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rPr>
          <w:rFonts w:hint="eastAsia" w:ascii="楷体" w:hAnsi="楷体" w:eastAsia="楷体"/>
          <w:b/>
          <w:color w:val="auto"/>
          <w:sz w:val="72"/>
          <w:szCs w:val="72"/>
          <w:highlight w:val="none"/>
        </w:rPr>
        <w:outlineLvl w:val="9"/>
      </w:pPr>
      <w:r>
        <w:rPr>
          <w:rFonts w:hint="eastAsia" w:ascii="楷体" w:hAnsi="楷体" w:eastAsia="楷体"/>
          <w:b/>
          <w:color w:val="auto"/>
          <w:sz w:val="72"/>
          <w:szCs w:val="72"/>
          <w:highlight w:val="none"/>
        </w:rPr>
      </w:r>
      <w:r/>
    </w:p>
    <w:p>
      <w:pPr>
        <w:jc w:val="center"/>
        <w:keepLines w:val="0"/>
        <w:keepNext w:val="0"/>
        <w:pageBreakBefore w:val="0"/>
        <w:spacing w:line="1040" w:lineRule="exact"/>
        <w:rPr>
          <w:rFonts w:hint="eastAsia" w:ascii="黑体" w:hAnsi="黑体" w:eastAsia="黑体"/>
          <w:b/>
          <w:color w:val="auto"/>
          <w:sz w:val="72"/>
          <w:szCs w:val="72"/>
          <w:highlight w:val="none"/>
        </w:rPr>
        <w:outlineLvl w:val="9"/>
      </w:pPr>
      <w:r>
        <w:rPr>
          <w:rFonts w:hint="eastAsia" w:ascii="黑体" w:hAnsi="黑体" w:eastAsia="黑体"/>
          <w:b/>
          <w:color w:val="auto"/>
          <w:sz w:val="72"/>
          <w:szCs w:val="72"/>
          <w:highlight w:val="none"/>
        </w:rPr>
      </w:r>
      <w:r/>
    </w:p>
    <w:p>
      <w:pPr>
        <w:jc w:val="center"/>
        <w:keepLines w:val="0"/>
        <w:keepNext w:val="0"/>
        <w:pageBreakBefore w:val="0"/>
        <w:spacing w:line="1040" w:lineRule="exact"/>
        <w:rPr>
          <w:rFonts w:hint="eastAsia" w:ascii="黑体" w:hAnsi="黑体" w:eastAsia="黑体"/>
          <w:b/>
          <w:color w:val="auto"/>
          <w:sz w:val="72"/>
          <w:szCs w:val="72"/>
          <w:highlight w:val="none"/>
        </w:rPr>
        <w:outlineLvl w:val="9"/>
      </w:pPr>
      <w:r>
        <w:rPr>
          <w:rFonts w:hint="eastAsia" w:ascii="黑体" w:hAnsi="黑体" w:eastAsia="黑体"/>
          <w:b/>
          <w:color w:val="auto"/>
          <w:sz w:val="72"/>
          <w:szCs w:val="72"/>
          <w:highlight w:val="none"/>
        </w:rPr>
        <w:t xml:space="preserve">公 开 招 标 文 件</w:t>
      </w:r>
      <w:r/>
    </w:p>
    <w:p>
      <w:pPr>
        <w:jc w:val="left"/>
        <w:keepLines w:val="0"/>
        <w:keepNext w:val="0"/>
        <w:pageBreakBefore w:val="0"/>
        <w:tabs>
          <w:tab w:val="center" w:pos="4621" w:leader="none"/>
        </w:tabs>
        <w:rPr>
          <w:rFonts w:hint="eastAsia" w:ascii="黑体" w:hAnsi="黑体" w:eastAsia="黑体"/>
          <w:b/>
          <w:color w:val="auto"/>
          <w:sz w:val="72"/>
          <w:highlight w:val="none"/>
        </w:rPr>
        <w:outlineLvl w:val="9"/>
      </w:pPr>
      <w:r>
        <w:rPr>
          <w:rFonts w:hint="eastAsia" w:ascii="黑体" w:hAnsi="黑体" w:eastAsia="黑体"/>
          <w:b/>
          <w:color w:val="auto"/>
          <w:sz w:val="72"/>
          <w:highlight w:val="none"/>
        </w:rPr>
      </w:r>
      <w:r/>
    </w:p>
    <w:p>
      <w:pPr>
        <w:keepLines w:val="0"/>
        <w:keepNext w:val="0"/>
        <w:pageBreakBefore w:val="0"/>
        <w:rPr>
          <w:rFonts w:hint="eastAsia" w:ascii="黑体" w:hAnsi="黑体" w:eastAsia="黑体"/>
          <w:b/>
          <w:color w:val="auto"/>
          <w:sz w:val="32"/>
          <w:highlight w:val="none"/>
        </w:rPr>
        <w:outlineLvl w:val="9"/>
      </w:pPr>
      <w:r>
        <w:rPr>
          <w:rFonts w:hint="eastAsia" w:ascii="黑体" w:hAnsi="黑体" w:eastAsia="黑体"/>
          <w:b/>
          <w:color w:val="auto"/>
          <w:sz w:val="32"/>
          <w:highlight w:val="none"/>
        </w:rPr>
      </w:r>
      <w:r/>
    </w:p>
    <w:p>
      <w:pPr>
        <w:keepLines w:val="0"/>
        <w:keepNext w:val="0"/>
        <w:pageBreakBefore w:val="0"/>
        <w:rPr>
          <w:rFonts w:hint="eastAsia" w:ascii="黑体" w:hAnsi="黑体" w:eastAsia="黑体"/>
          <w:b/>
          <w:color w:val="auto"/>
          <w:sz w:val="32"/>
          <w:highlight w:val="none"/>
        </w:rPr>
        <w:outlineLvl w:val="9"/>
      </w:pPr>
      <w:r>
        <w:rPr>
          <w:rFonts w:hint="eastAsia" w:ascii="黑体" w:hAnsi="黑体" w:eastAsia="黑体"/>
          <w:b/>
          <w:color w:val="auto"/>
          <w:sz w:val="32"/>
          <w:highlight w:val="none"/>
        </w:rPr>
      </w:r>
      <w:r/>
    </w:p>
    <w:p>
      <w:pPr>
        <w:keepLines w:val="0"/>
        <w:keepNext w:val="0"/>
        <w:pageBreakBefore w:val="0"/>
        <w:rPr>
          <w:rFonts w:hint="eastAsia" w:ascii="黑体" w:hAnsi="黑体" w:eastAsia="黑体"/>
          <w:b/>
          <w:color w:val="auto"/>
          <w:sz w:val="32"/>
          <w:highlight w:val="none"/>
        </w:rPr>
        <w:outlineLvl w:val="9"/>
      </w:pPr>
      <w:r>
        <w:rPr>
          <w:rFonts w:hint="eastAsia" w:ascii="黑体" w:hAnsi="黑体" w:eastAsia="黑体"/>
          <w:b/>
          <w:color w:val="auto"/>
          <w:sz w:val="32"/>
          <w:highlight w:val="none"/>
        </w:rPr>
      </w:r>
      <w:r/>
    </w:p>
    <w:p>
      <w:pPr>
        <w:keepLines w:val="0"/>
        <w:keepNext w:val="0"/>
        <w:pageBreakBefore w:val="0"/>
        <w:rPr>
          <w:rFonts w:hint="eastAsia" w:ascii="黑体" w:hAnsi="黑体" w:eastAsia="黑体"/>
          <w:b/>
          <w:color w:val="auto"/>
          <w:sz w:val="32"/>
          <w:highlight w:val="none"/>
        </w:rPr>
        <w:outlineLvl w:val="9"/>
      </w:pPr>
      <w:r>
        <w:rPr>
          <w:rFonts w:hint="eastAsia" w:ascii="黑体" w:hAnsi="黑体" w:eastAsia="黑体"/>
          <w:b/>
          <w:color w:val="auto"/>
          <w:sz w:val="32"/>
          <w:highlight w:val="none"/>
        </w:rPr>
      </w:r>
      <w:r/>
    </w:p>
    <w:p>
      <w:pPr>
        <w:ind w:firstLine="708"/>
        <w:keepLines w:val="0"/>
        <w:keepNext w:val="0"/>
        <w:pageBreakBefore w:val="0"/>
        <w:spacing w:line="760" w:lineRule="exact"/>
        <w:rPr>
          <w:rFonts w:hint="eastAsia" w:ascii="黑体" w:hAnsi="黑体" w:eastAsia="黑体"/>
          <w:b/>
          <w:color w:val="auto"/>
          <w:sz w:val="36"/>
          <w:szCs w:val="36"/>
          <w:highlight w:val="none"/>
          <w:lang w:eastAsia="zh-CN"/>
        </w:rPr>
        <w:outlineLvl w:val="9"/>
      </w:pPr>
      <w:r>
        <w:rPr>
          <w:rFonts w:hint="eastAsia" w:ascii="黑体" w:hAnsi="黑体" w:eastAsia="黑体"/>
          <w:b/>
          <w:color w:val="auto"/>
          <w:sz w:val="36"/>
          <w:szCs w:val="36"/>
          <w:highlight w:val="none"/>
        </w:rPr>
        <w:t xml:space="preserve">项目名称: </w:t>
      </w:r>
      <w:r>
        <w:rPr>
          <w:rFonts w:hint="eastAsia" w:ascii="黑体" w:hAnsi="黑体" w:eastAsia="黑体"/>
          <w:b/>
          <w:color w:val="auto"/>
          <w:sz w:val="36"/>
          <w:szCs w:val="36"/>
          <w:highlight w:val="none"/>
          <w:lang w:eastAsia="zh-CN"/>
        </w:rPr>
        <w:t xml:space="preserve">2026年经开区绿化养护服务项目</w:t>
      </w:r>
      <w:r/>
    </w:p>
    <w:p>
      <w:pPr>
        <w:keepLines w:val="0"/>
        <w:keepNext w:val="0"/>
        <w:pageBreakBefore w:val="0"/>
        <w:spacing w:line="760" w:lineRule="exact"/>
        <w:rPr>
          <w:rFonts w:hint="eastAsia" w:ascii="黑体" w:hAnsi="黑体" w:eastAsia="黑体"/>
          <w:b/>
          <w:color w:val="auto"/>
          <w:sz w:val="36"/>
          <w:szCs w:val="36"/>
          <w:highlight w:val="none"/>
        </w:rPr>
        <w:outlineLvl w:val="9"/>
      </w:pPr>
      <w:r>
        <w:rPr>
          <w:rFonts w:hint="eastAsia" w:ascii="黑体" w:hAnsi="黑体" w:eastAsia="黑体"/>
          <w:b/>
          <w:color w:val="auto"/>
          <w:sz w:val="36"/>
          <w:szCs w:val="36"/>
          <w:highlight w:val="none"/>
        </w:rPr>
      </w:r>
      <w:r/>
    </w:p>
    <w:p>
      <w:pPr>
        <w:keepLines w:val="0"/>
        <w:keepNext w:val="0"/>
        <w:pageBreakBefore w:val="0"/>
        <w:spacing w:line="760" w:lineRule="exact"/>
        <w:rPr>
          <w:rFonts w:hint="eastAsia" w:ascii="黑体" w:hAnsi="黑体" w:eastAsia="黑体"/>
          <w:b/>
          <w:color w:val="auto"/>
          <w:sz w:val="36"/>
          <w:highlight w:val="none"/>
        </w:rPr>
        <w:outlineLvl w:val="9"/>
      </w:pPr>
      <w:r>
        <w:rPr>
          <w:rFonts w:hint="eastAsia" w:ascii="黑体" w:hAnsi="黑体" w:eastAsia="黑体"/>
          <w:b/>
          <w:color w:val="auto"/>
          <w:sz w:val="36"/>
          <w:highlight w:val="none"/>
        </w:rPr>
      </w:r>
      <w:r/>
    </w:p>
    <w:p>
      <w:pPr>
        <w:keepLines w:val="0"/>
        <w:keepNext w:val="0"/>
        <w:pageBreakBefore w:val="0"/>
        <w:spacing w:line="760" w:lineRule="exact"/>
        <w:rPr>
          <w:rFonts w:hint="eastAsia" w:ascii="黑体" w:hAnsi="黑体" w:eastAsia="黑体"/>
          <w:b/>
          <w:color w:val="auto"/>
          <w:sz w:val="36"/>
          <w:highlight w:val="none"/>
        </w:rPr>
        <w:outlineLvl w:val="9"/>
      </w:pPr>
      <w:r>
        <w:rPr>
          <w:rFonts w:hint="eastAsia" w:ascii="黑体" w:hAnsi="黑体" w:eastAsia="黑体"/>
          <w:b/>
          <w:color w:val="auto"/>
          <w:sz w:val="36"/>
          <w:highlight w:val="none"/>
        </w:rPr>
      </w:r>
      <w:r/>
    </w:p>
    <w:p>
      <w:pPr>
        <w:ind w:firstLine="708"/>
        <w:keepLines w:val="0"/>
        <w:keepNext w:val="0"/>
        <w:pageBreakBefore w:val="0"/>
        <w:spacing w:line="760" w:lineRule="exact"/>
        <w:rPr>
          <w:rFonts w:hint="eastAsia" w:ascii="黑体" w:hAnsi="黑体" w:eastAsia="黑体"/>
          <w:b/>
          <w:color w:val="auto"/>
          <w:sz w:val="36"/>
          <w:highlight w:val="none"/>
        </w:rPr>
        <w:outlineLvl w:val="9"/>
      </w:pPr>
      <w:r>
        <w:rPr>
          <w:rFonts w:hint="eastAsia" w:ascii="黑体" w:hAnsi="黑体" w:eastAsia="黑体"/>
          <w:b/>
          <w:color w:val="auto"/>
          <w:sz w:val="36"/>
          <w:highlight w:val="none"/>
        </w:rPr>
        <w:t xml:space="preserve">项目编号:</w:t>
      </w:r>
      <w:r>
        <w:rPr>
          <w:rFonts w:hint="eastAsia" w:ascii="黑体" w:hAnsi="黑体" w:eastAsia="黑体"/>
          <w:b/>
          <w:color w:val="auto"/>
          <w:sz w:val="36"/>
          <w:highlight w:val="none"/>
          <w:lang w:eastAsia="zh-CN"/>
        </w:rPr>
        <w:t xml:space="preserve">JSZC-320891-YHDL-G2026-0001</w:t>
      </w:r>
      <w:r>
        <w:rPr>
          <w:rFonts w:hint="eastAsia" w:ascii="黑体" w:hAnsi="黑体" w:eastAsia="黑体"/>
          <w:b/>
          <w:color w:val="auto"/>
          <w:sz w:val="36"/>
          <w:highlight w:val="none"/>
        </w:rPr>
        <w:t xml:space="preserve"> </w:t>
      </w:r>
      <w:r/>
    </w:p>
    <w:p>
      <w:pPr>
        <w:ind w:left="-359" w:firstLine="360"/>
        <w:keepLines w:val="0"/>
        <w:keepNext w:val="0"/>
        <w:pageBreakBefore w:val="0"/>
        <w:rPr>
          <w:rFonts w:ascii="黑体" w:hAnsi="黑体" w:eastAsia="黑体"/>
          <w:b/>
          <w:color w:val="auto"/>
          <w:sz w:val="32"/>
          <w:highlight w:val="none"/>
        </w:rPr>
        <w:outlineLvl w:val="9"/>
      </w:pPr>
      <w:r>
        <w:rPr>
          <w:rFonts w:ascii="黑体" w:hAnsi="黑体" w:eastAsia="黑体"/>
          <w:b/>
          <w:color w:val="auto"/>
          <w:sz w:val="32"/>
          <w:highlight w:val="none"/>
        </w:rPr>
      </w:r>
      <w:r/>
    </w:p>
    <w:p>
      <w:pPr>
        <w:keepLines w:val="0"/>
        <w:keepNext w:val="0"/>
        <w:pageBreakBefore w:val="0"/>
        <w:rPr>
          <w:rFonts w:ascii="黑体" w:hAnsi="黑体" w:eastAsia="黑体"/>
          <w:b/>
          <w:color w:val="auto"/>
          <w:sz w:val="32"/>
          <w:highlight w:val="none"/>
        </w:rPr>
        <w:outlineLvl w:val="9"/>
      </w:pPr>
      <w:r>
        <w:rPr>
          <w:rFonts w:ascii="黑体" w:hAnsi="黑体" w:eastAsia="黑体"/>
          <w:b/>
          <w:color w:val="auto"/>
          <w:sz w:val="32"/>
          <w:highlight w:val="none"/>
        </w:rPr>
      </w:r>
      <w:r/>
    </w:p>
    <w:p>
      <w:pPr>
        <w:keepLines w:val="0"/>
        <w:keepNext w:val="0"/>
        <w:pageBreakBefore w:val="0"/>
        <w:rPr>
          <w:rFonts w:hint="eastAsia" w:ascii="黑体" w:hAnsi="黑体" w:eastAsia="黑体"/>
          <w:b/>
          <w:color w:val="auto"/>
          <w:sz w:val="32"/>
          <w:highlight w:val="none"/>
        </w:rPr>
        <w:outlineLvl w:val="9"/>
      </w:pPr>
      <w:r>
        <w:rPr>
          <w:rFonts w:hint="eastAsia" w:ascii="黑体" w:hAnsi="黑体" w:eastAsia="黑体"/>
          <w:b/>
          <w:color w:val="auto"/>
          <w:sz w:val="32"/>
          <w:highlight w:val="none"/>
        </w:rPr>
      </w:r>
      <w:r/>
    </w:p>
    <w:p>
      <w:pPr>
        <w:keepLines w:val="0"/>
        <w:keepNext w:val="0"/>
        <w:pageBreakBefore w:val="0"/>
        <w:rPr>
          <w:rFonts w:hint="eastAsia" w:ascii="黑体" w:hAnsi="黑体" w:eastAsia="黑体"/>
          <w:b/>
          <w:color w:val="auto"/>
          <w:sz w:val="32"/>
          <w:highlight w:val="none"/>
        </w:rPr>
        <w:outlineLvl w:val="9"/>
      </w:pPr>
      <w:r>
        <w:rPr>
          <w:rFonts w:hint="eastAsia" w:ascii="黑体" w:hAnsi="黑体" w:eastAsia="黑体"/>
          <w:b/>
          <w:color w:val="auto"/>
          <w:sz w:val="32"/>
          <w:highlight w:val="none"/>
        </w:rPr>
      </w:r>
      <w:r/>
    </w:p>
    <w:p>
      <w:pPr>
        <w:jc w:val="center"/>
        <w:keepLines w:val="0"/>
        <w:keepNext w:val="0"/>
        <w:pageBreakBefore w:val="0"/>
        <w:spacing w:line="600" w:lineRule="exact"/>
        <w:rPr>
          <w:rFonts w:hint="eastAsia" w:ascii="黑体" w:hAnsi="黑体" w:eastAsia="黑体"/>
          <w:b/>
          <w:color w:val="auto"/>
          <w:sz w:val="32"/>
          <w:highlight w:val="none"/>
        </w:rPr>
        <w:outlineLvl w:val="9"/>
      </w:pPr>
      <w:r>
        <w:rPr>
          <w:rFonts w:hint="eastAsia" w:ascii="黑体" w:hAnsi="黑体" w:eastAsia="黑体"/>
          <w:b/>
          <w:color w:val="auto"/>
          <w:sz w:val="36"/>
          <w:szCs w:val="36"/>
          <w:highlight w:val="none"/>
          <w:lang w:val="en-US" w:eastAsia="zh-CN"/>
        </w:rPr>
        <w:t xml:space="preserve">淮安经济技术开发区住房和城乡建设局</w:t>
      </w:r>
      <w:r/>
    </w:p>
    <w:p>
      <w:pPr>
        <w:jc w:val="center"/>
        <w:keepLines w:val="0"/>
        <w:keepNext w:val="0"/>
        <w:pageBreakBefore w:val="0"/>
        <w:spacing w:line="600" w:lineRule="exact"/>
        <w:rPr>
          <w:rFonts w:hint="eastAsia" w:ascii="黑体" w:hAnsi="黑体" w:eastAsia="黑体"/>
          <w:b/>
          <w:color w:val="auto"/>
          <w:sz w:val="36"/>
          <w:szCs w:val="36"/>
          <w:highlight w:val="none"/>
          <w:u w:val="single"/>
          <w:lang w:eastAsia="zh-CN"/>
        </w:rPr>
        <w:outlineLvl w:val="9"/>
      </w:pPr>
      <w:r>
        <w:rPr>
          <w:rFonts w:hint="eastAsia" w:ascii="黑体" w:hAnsi="黑体" w:eastAsia="黑体"/>
          <w:b/>
          <w:color w:val="auto"/>
          <w:sz w:val="36"/>
          <w:szCs w:val="36"/>
          <w:highlight w:val="none"/>
          <w:lang w:eastAsia="zh-CN"/>
        </w:rPr>
        <w:t xml:space="preserve">江苏宇杭项目管理有限公司</w:t>
      </w:r>
      <w:r/>
    </w:p>
    <w:p>
      <w:pPr>
        <w:jc w:val="center"/>
        <w:keepLines w:val="0"/>
        <w:keepNext w:val="0"/>
        <w:pageBreakBefore w:val="0"/>
        <w:spacing w:line="600" w:lineRule="exact"/>
        <w:tabs>
          <w:tab w:val="center" w:pos="5215" w:leader="none"/>
        </w:tabs>
        <w:rPr>
          <w:rFonts w:hint="eastAsia" w:ascii="宋体" w:hAnsi="宋体"/>
          <w:color w:val="auto"/>
          <w:sz w:val="24"/>
          <w:highlight w:val="none"/>
        </w:rPr>
        <w:outlineLvl w:val="9"/>
      </w:pPr>
      <w:r>
        <w:rPr>
          <w:rFonts w:hint="eastAsia" w:ascii="黑体" w:hAnsi="黑体" w:eastAsia="黑体"/>
          <w:b/>
          <w:color w:val="auto"/>
          <w:sz w:val="36"/>
          <w:szCs w:val="36"/>
          <w:highlight w:val="none"/>
          <w:lang w:eastAsia="zh-CN"/>
        </w:rPr>
        <w:t xml:space="preserve">二〇二六</w:t>
      </w:r>
      <w:r>
        <w:rPr>
          <w:rFonts w:hint="eastAsia" w:ascii="黑体" w:hAnsi="黑体" w:eastAsia="黑体"/>
          <w:b/>
          <w:color w:val="auto"/>
          <w:sz w:val="36"/>
          <w:szCs w:val="36"/>
          <w:highlight w:val="none"/>
        </w:rPr>
        <w:t xml:space="preserve">年</w:t>
      </w:r>
      <w:r>
        <w:rPr>
          <w:rFonts w:hint="eastAsia" w:ascii="黑体" w:hAnsi="黑体" w:eastAsia="黑体"/>
          <w:b/>
          <w:color w:val="auto"/>
          <w:sz w:val="36"/>
          <w:szCs w:val="36"/>
          <w:highlight w:val="none"/>
          <w:lang w:val="en-US" w:eastAsia="zh-CN"/>
        </w:rPr>
        <w:t xml:space="preserve">四</w:t>
      </w:r>
      <w:r>
        <w:rPr>
          <w:rFonts w:hint="eastAsia" w:ascii="黑体" w:hAnsi="黑体" w:eastAsia="黑体"/>
          <w:b/>
          <w:color w:val="auto"/>
          <w:sz w:val="36"/>
          <w:szCs w:val="36"/>
          <w:highlight w:val="none"/>
        </w:rPr>
        <w:t xml:space="preserve">月</w:t>
      </w:r>
      <w:r/>
    </w:p>
    <w:p>
      <w:pPr>
        <w:ind w:firstLine="2512"/>
        <w:keepLines w:val="0"/>
        <w:keepNext w:val="0"/>
        <w:pageBreakBefore w:val="0"/>
        <w:spacing w:line="520" w:lineRule="exact"/>
        <w:widowControl w:val="off"/>
        <w:rPr>
          <w:rFonts w:hint="eastAsia" w:ascii="仿宋" w:hAnsi="仿宋" w:eastAsia="仿宋"/>
          <w:b/>
          <w:color w:val="auto"/>
          <w:sz w:val="36"/>
          <w:szCs w:val="36"/>
          <w:highlight w:val="none"/>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color w:val="auto"/>
          <w:sz w:val="36"/>
          <w:szCs w:val="36"/>
          <w:highlight w:val="none"/>
        </w:rPr>
      </w:r>
      <w:r/>
    </w:p>
    <w:p>
      <w:pPr>
        <w:ind w:firstLine="2512"/>
        <w:keepLines w:val="0"/>
        <w:keepNext w:val="0"/>
        <w:pageBreakBefore w:val="0"/>
        <w:spacing w:line="520" w:lineRule="exact"/>
        <w:widowControl w:val="off"/>
        <w:rPr>
          <w:rFonts w:hint="eastAsia" w:ascii="仿宋" w:hAnsi="仿宋" w:eastAsia="仿宋"/>
          <w:b/>
          <w:color w:val="auto"/>
          <w:sz w:val="36"/>
          <w:szCs w:val="36"/>
          <w:highlight w:val="none"/>
        </w:rPr>
        <w:outlineLvl w:val="9"/>
      </w:pPr>
      <w:r>
        <w:rPr>
          <w:rFonts w:hint="eastAsia" w:ascii="仿宋" w:hAnsi="仿宋" w:eastAsia="仿宋"/>
          <w:b/>
          <w:color w:val="auto"/>
          <w:sz w:val="36"/>
          <w:szCs w:val="36"/>
          <w:highlight w:val="none"/>
        </w:rPr>
        <w:t xml:space="preserve">第一章  投标邀请</w:t>
      </w:r>
      <w:r/>
    </w:p>
    <w:p>
      <w:pPr>
        <w:ind w:left="1" w:firstLine="537"/>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highlight w:val="none"/>
        </w:rPr>
        <w:t xml:space="preserve">受</w:t>
      </w:r>
      <w:r>
        <w:rPr>
          <w:rFonts w:hint="eastAsia" w:ascii="仿宋" w:hAnsi="仿宋" w:eastAsia="仿宋"/>
          <w:color w:val="auto"/>
          <w:sz w:val="28"/>
          <w:highlight w:val="none"/>
          <w:lang w:eastAsia="zh-CN"/>
        </w:rPr>
        <w:t xml:space="preserve">淮安经济技术开发区住房和城乡建设局</w:t>
      </w:r>
      <w:r>
        <w:rPr>
          <w:rFonts w:hint="eastAsia" w:ascii="仿宋" w:hAnsi="仿宋" w:eastAsia="仿宋"/>
          <w:color w:val="auto"/>
          <w:sz w:val="28"/>
          <w:highlight w:val="none"/>
        </w:rPr>
        <w:t xml:space="preserve">的委托，</w:t>
      </w:r>
      <w:r>
        <w:rPr>
          <w:rFonts w:hint="eastAsia" w:ascii="仿宋" w:hAnsi="仿宋" w:eastAsia="仿宋"/>
          <w:color w:val="auto"/>
          <w:sz w:val="28"/>
          <w:highlight w:val="none"/>
          <w:lang w:eastAsia="zh-CN"/>
        </w:rPr>
        <w:t xml:space="preserve">江苏宇杭项目管理有限公司</w:t>
      </w:r>
      <w:r>
        <w:rPr>
          <w:rFonts w:hint="eastAsia" w:ascii="仿宋" w:hAnsi="仿宋" w:eastAsia="仿宋"/>
          <w:color w:val="auto"/>
          <w:sz w:val="28"/>
          <w:highlight w:val="none"/>
        </w:rPr>
        <w:t xml:space="preserve">就</w:t>
      </w:r>
      <w:r>
        <w:rPr>
          <w:rFonts w:hint="eastAsia" w:ascii="仿宋" w:hAnsi="仿宋" w:eastAsia="仿宋"/>
          <w:color w:val="auto"/>
          <w:sz w:val="28"/>
          <w:highlight w:val="none"/>
          <w:lang w:eastAsia="zh-CN"/>
        </w:rPr>
        <w:t xml:space="preserve">2026年经开区绿化养护服务项目</w:t>
      </w:r>
      <w:r>
        <w:rPr>
          <w:rFonts w:hint="eastAsia" w:ascii="仿宋" w:hAnsi="仿宋" w:eastAsia="仿宋"/>
          <w:color w:val="auto"/>
          <w:sz w:val="28"/>
          <w:highlight w:val="none"/>
        </w:rPr>
        <w:t xml:space="preserve">进行公开招标采购，现邀请</w:t>
      </w:r>
      <w:r>
        <w:rPr>
          <w:rFonts w:hint="eastAsia" w:ascii="仿宋" w:hAnsi="仿宋" w:eastAsia="仿宋"/>
          <w:color w:val="auto"/>
          <w:sz w:val="28"/>
          <w:szCs w:val="28"/>
          <w:highlight w:val="none"/>
        </w:rPr>
        <w:t xml:space="preserve">符合条件的投标人参加投标</w:t>
      </w:r>
      <w:r>
        <w:rPr>
          <w:rFonts w:hint="eastAsia" w:ascii="仿宋" w:hAnsi="仿宋" w:eastAsia="仿宋"/>
          <w:color w:val="auto"/>
          <w:sz w:val="28"/>
          <w:highlight w:val="none"/>
        </w:rPr>
        <w:t xml:space="preserve">。</w:t>
      </w:r>
      <w:r/>
    </w:p>
    <w:p>
      <w:pPr>
        <w:ind w:left="1" w:firstLine="537"/>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844675"/>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5761355" cy="1844675"/>
                        </a:xfrm>
                        <a:prstGeom prst="rect">
                          <a:avLst/>
                        </a:prstGeom>
                        <a:solidFill>
                          <a:srgbClr val="FFFFFF"/>
                        </a:solidFill>
                        <a:ln>
                          <a:solidFill>
                            <a:srgbClr val="000000"/>
                          </a:solidFill>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2026年经开区绿化养护服务项目</w:t>
                            </w:r>
                            <w:r>
                              <w:rPr>
                                <w:rFonts w:hint="eastAsia" w:ascii="仿宋" w:hAnsi="仿宋" w:eastAsia="仿宋"/>
                                <w:sz w:val="28"/>
                                <w:szCs w:val="28"/>
                                <w:u w:val="single"/>
                              </w:rPr>
                              <w:t xml:space="preserve">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年5</w:t>
                            </w:r>
                            <w:r>
                              <w:rPr>
                                <w:rFonts w:hint="eastAsia" w:ascii="仿宋" w:hAnsi="仿宋" w:eastAsia="仿宋"/>
                                <w:sz w:val="28"/>
                                <w:szCs w:val="28"/>
                              </w:rPr>
                              <w:t xml:space="preserve">月19</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p>
                            <w:r/>
                            <w:r/>
                          </w:p>
                        </w:txbxContent>
                      </wps:txbx>
                      <wps:bodyPr wrap="square" upright="1"/>
                    </wps:wsp>
                  </a:graphicData>
                </a:graphic>
              </wp:anchor>
            </w:drawing>
          </mc:Choice>
          <mc:Fallback>
            <w:pict>
              <v:shape id="shape 1" o:spid="_x0000_s1" o:spt="1" type="#_x0000_t1" style="position:absolute;z-index:251659264;o:allowoverlap:true;o:allowincell:true;mso-position-horizontal-relative:text;margin-left:-1.6pt;mso-position-horizontal:absolute;mso-position-vertical-relative:text;margin-top:9.5pt;mso-position-vertical:absolute;width:453.6pt;height:145.2pt;mso-wrap-distance-left:9.0pt;mso-wrap-distance-top:0.0pt;mso-wrap-distance-right:9.0pt;mso-wrap-distance-bottom:0.0pt;visibility:visible;" fillcolor="#FFFFFF" strokecolor="#000000">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2026年经开区绿化养护服务项目</w:t>
                      </w:r>
                      <w:r>
                        <w:rPr>
                          <w:rFonts w:hint="eastAsia" w:ascii="仿宋" w:hAnsi="仿宋" w:eastAsia="仿宋"/>
                          <w:sz w:val="28"/>
                          <w:szCs w:val="28"/>
                          <w:u w:val="single"/>
                        </w:rPr>
                        <w:t xml:space="preserve">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年5</w:t>
                      </w:r>
                      <w:r>
                        <w:rPr>
                          <w:rFonts w:hint="eastAsia" w:ascii="仿宋" w:hAnsi="仿宋" w:eastAsia="仿宋"/>
                          <w:sz w:val="28"/>
                          <w:szCs w:val="28"/>
                        </w:rPr>
                        <w:t xml:space="preserve">月19</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p>
                      <w:r/>
                      <w:r/>
                    </w:p>
                  </w:txbxContent>
                </v:textbox>
              </v:shape>
            </w:pict>
          </mc:Fallback>
        </mc:AlternateContent>
      </w:r>
      <w:r/>
    </w:p>
    <w:p>
      <w:pPr>
        <w:ind w:left="1" w:firstLine="537"/>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ind w:left="1" w:firstLine="537"/>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ind w:left="1" w:firstLine="537"/>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ind w:left="1" w:firstLine="537"/>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ind w:firstLine="560"/>
        <w:keepLines w:val="0"/>
        <w:keepNext w:val="0"/>
        <w:pageBreakBefore w:val="0"/>
        <w:spacing w:line="52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一、项目基本情况</w:t>
      </w:r>
      <w:r/>
    </w:p>
    <w:p>
      <w:pPr>
        <w:ind w:firstLine="565"/>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一）项目编号:JSZC-320891-YHDL-G2026-0001</w:t>
      </w:r>
      <w:r/>
    </w:p>
    <w:p>
      <w:pPr>
        <w:ind w:firstLine="565"/>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（二）项目名称:2026年经开区绿化养护服务项目 </w:t>
      </w:r>
      <w:r/>
    </w:p>
    <w:p>
      <w:pPr>
        <w:ind w:firstLine="565"/>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（三）预算金额:1610万元（采购包1：840万元；采购包2： 770万元）</w:t>
      </w:r>
      <w:r/>
    </w:p>
    <w:p>
      <w:pPr>
        <w:ind w:firstLine="565"/>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（四）最高限价:16082083.52元（采购包1：8394415.76元；采购包2：7687667.76元。</w:t>
      </w:r>
      <w:r>
        <w:rPr>
          <w:rFonts w:hint="default" w:ascii="仿宋" w:hAnsi="仿宋" w:eastAsia="仿宋"/>
          <w:color w:val="auto"/>
          <w:sz w:val="28"/>
          <w:szCs w:val="28"/>
          <w:highlight w:val="none"/>
          <w:lang w:val="en-US" w:eastAsia="zh-CN"/>
        </w:rPr>
        <w:t xml:space="preserve">本次项目单价设置最高限价，最高限价为</w:t>
      </w:r>
      <w:r>
        <w:rPr>
          <w:rFonts w:hint="eastAsia" w:ascii="仿宋" w:hAnsi="仿宋" w:eastAsia="仿宋"/>
          <w:color w:val="auto"/>
          <w:sz w:val="28"/>
          <w:szCs w:val="28"/>
          <w:highlight w:val="none"/>
          <w:lang w:val="en-US" w:eastAsia="zh-CN"/>
        </w:rPr>
        <w:t xml:space="preserve">4</w:t>
      </w:r>
      <w:r>
        <w:rPr>
          <w:rFonts w:hint="default" w:ascii="仿宋" w:hAnsi="仿宋" w:eastAsia="仿宋"/>
          <w:color w:val="auto"/>
          <w:sz w:val="28"/>
          <w:szCs w:val="28"/>
          <w:highlight w:val="none"/>
          <w:lang w:val="en-US" w:eastAsia="zh-CN"/>
        </w:rPr>
        <w:t xml:space="preserve">元/平方米/年。</w:t>
      </w:r>
      <w:r>
        <w:rPr>
          <w:rFonts w:hint="eastAsia" w:ascii="仿宋" w:hAnsi="仿宋" w:eastAsia="仿宋"/>
          <w:color w:val="auto"/>
          <w:sz w:val="28"/>
          <w:szCs w:val="28"/>
          <w:highlight w:val="none"/>
          <w:lang w:val="en-US" w:eastAsia="zh-CN"/>
        </w:rPr>
        <w:t xml:space="preserve">）</w:t>
      </w:r>
      <w:r/>
    </w:p>
    <w:p>
      <w:pPr>
        <w:ind w:firstLine="565"/>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（五）采购需求:2026年经开区绿化养护服务项目，共分为两个标包，</w:t>
      </w:r>
      <w:r>
        <w:rPr>
          <w:rFonts w:hint="default" w:ascii="仿宋" w:hAnsi="仿宋" w:eastAsia="仿宋"/>
          <w:color w:val="auto"/>
          <w:sz w:val="28"/>
          <w:szCs w:val="28"/>
          <w:highlight w:val="none"/>
          <w:lang w:val="en-US" w:eastAsia="zh-CN"/>
        </w:rPr>
        <w:t xml:space="preserve">各</w:t>
      </w:r>
      <w:r>
        <w:rPr>
          <w:rFonts w:hint="eastAsia" w:ascii="仿宋" w:hAnsi="仿宋" w:eastAsia="仿宋"/>
          <w:color w:val="auto"/>
          <w:sz w:val="28"/>
          <w:szCs w:val="28"/>
          <w:highlight w:val="none"/>
          <w:lang w:val="en-US" w:eastAsia="zh-CN"/>
        </w:rPr>
        <w:t xml:space="preserve">投标人</w:t>
      </w:r>
      <w:r>
        <w:rPr>
          <w:rFonts w:hint="default" w:ascii="仿宋" w:hAnsi="仿宋" w:eastAsia="仿宋"/>
          <w:color w:val="auto"/>
          <w:sz w:val="28"/>
          <w:szCs w:val="28"/>
          <w:highlight w:val="none"/>
          <w:lang w:val="en-US" w:eastAsia="zh-CN"/>
        </w:rPr>
        <w:t xml:space="preserve">可报其中一个</w:t>
      </w:r>
      <w:r>
        <w:rPr>
          <w:rFonts w:hint="eastAsia" w:ascii="仿宋" w:hAnsi="仿宋" w:eastAsia="仿宋"/>
          <w:color w:val="auto"/>
          <w:sz w:val="28"/>
          <w:szCs w:val="28"/>
          <w:highlight w:val="none"/>
          <w:lang w:val="en-US" w:eastAsia="zh-CN"/>
        </w:rPr>
        <w:t xml:space="preserve">采购</w:t>
      </w:r>
      <w:r>
        <w:rPr>
          <w:rFonts w:hint="default" w:ascii="仿宋" w:hAnsi="仿宋" w:eastAsia="仿宋"/>
          <w:color w:val="auto"/>
          <w:sz w:val="28"/>
          <w:szCs w:val="28"/>
          <w:highlight w:val="none"/>
          <w:lang w:val="en-US" w:eastAsia="zh-CN"/>
        </w:rPr>
        <w:t xml:space="preserve">包也可以</w:t>
      </w:r>
      <w:r>
        <w:rPr>
          <w:rFonts w:hint="eastAsia" w:ascii="仿宋" w:hAnsi="仿宋" w:eastAsia="仿宋"/>
          <w:color w:val="auto"/>
          <w:sz w:val="28"/>
          <w:szCs w:val="28"/>
          <w:highlight w:val="none"/>
          <w:lang w:val="en-US" w:eastAsia="zh-CN"/>
        </w:rPr>
        <w:t xml:space="preserve">二个都报，但只能中一个采购包，每个采购包的电子响应文件单独上传，不得二个采购包上传在同一个电子响应文件中，否则作无效响应文件处理。投标人可以自行前往对有关现场和周围环境进行勘察，以获取编制响应文件和签署合同所需的资料。勘察现场所发生的费用由供应商自己承担，具体要求详见招标文件采购需求。</w:t>
      </w:r>
      <w:r/>
    </w:p>
    <w:p>
      <w:pPr>
        <w:ind w:firstLine="565"/>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（六）合同履行期限:</w:t>
      </w:r>
      <w:r>
        <w:rPr>
          <w:rFonts w:hint="eastAsia" w:ascii="仿宋" w:hAnsi="仿宋" w:eastAsia="仿宋"/>
          <w:color w:val="auto"/>
          <w:sz w:val="28"/>
          <w:szCs w:val="28"/>
          <w:highlight w:val="none"/>
          <w:lang w:val="en-US" w:eastAsia="zh-CN"/>
        </w:rPr>
        <w:t xml:space="preserve">二年</w:t>
      </w:r>
      <w:r>
        <w:rPr>
          <w:rFonts w:hint="eastAsia" w:ascii="仿宋" w:hAnsi="仿宋" w:eastAsia="仿宋"/>
          <w:color w:val="auto"/>
          <w:sz w:val="28"/>
          <w:szCs w:val="28"/>
          <w:highlight w:val="none"/>
        </w:rPr>
        <w:t xml:space="preserve">。   </w:t>
      </w:r>
      <w:r/>
    </w:p>
    <w:p>
      <w:pPr>
        <w:ind w:firstLine="565"/>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（七）本项目（</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是</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否）接受联合体投标。</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（八）本项目采购标的对应的中小企业划分标准所属行业为</w:t>
      </w:r>
      <w:r>
        <w:rPr>
          <w:rFonts w:hint="eastAsia" w:ascii="仿宋" w:hAnsi="仿宋" w:eastAsia="仿宋"/>
          <w:color w:val="auto"/>
          <w:sz w:val="28"/>
          <w:szCs w:val="28"/>
          <w:highlight w:val="none"/>
          <w:u w:val="single"/>
        </w:rPr>
        <w:t xml:space="preserve"> 其他未列明行业 </w:t>
      </w:r>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二、申请人的资格要求</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二</w:t>
      </w:r>
      <w:r>
        <w:rPr>
          <w:rFonts w:hint="eastAsia" w:ascii="仿宋" w:hAnsi="仿宋" w:eastAsia="仿宋" w:cs="仿宋"/>
          <w:color w:val="auto"/>
          <w:sz w:val="28"/>
          <w:szCs w:val="28"/>
          <w:highlight w:val="none"/>
        </w:rPr>
        <w:t xml:space="preserve">个采购包通用）</w:t>
      </w:r>
      <w:r>
        <w:rPr>
          <w:rFonts w:hint="eastAsia" w:ascii="仿宋" w:hAnsi="仿宋" w:eastAsia="仿宋"/>
          <w:color w:val="auto"/>
          <w:sz w:val="28"/>
          <w:szCs w:val="28"/>
          <w:highlight w:val="none"/>
        </w:rPr>
        <w:t xml:space="preserve">:</w:t>
      </w:r>
      <w:r/>
    </w:p>
    <w:p>
      <w:pPr>
        <w:ind w:left="559"/>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（一）符合《中华人民共和国政府采购法》第二十二条规定；</w:t>
      </w:r>
      <w:r/>
    </w:p>
    <w:p>
      <w:pPr>
        <w:ind w:left="559"/>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（二）落实政府采购政策需满足的资格要求:</w:t>
      </w:r>
      <w:r/>
    </w:p>
    <w:p>
      <w:pPr>
        <w:ind w:firstLine="560"/>
        <w:keepLines w:val="0"/>
        <w:keepNext w:val="0"/>
        <w:pageBreakBefore w:val="0"/>
        <w:spacing w:line="520" w:lineRule="exact"/>
        <w:rPr>
          <w:rFonts w:hint="eastAsia" w:ascii="仿宋" w:hAnsi="仿宋" w:eastAsia="仿宋"/>
          <w:color w:val="auto"/>
          <w:sz w:val="28"/>
          <w:szCs w:val="28"/>
          <w:highlight w:val="none"/>
          <w:lang w:val="zh-CN"/>
        </w:rPr>
        <w:outlineLvl w:val="9"/>
      </w:pPr>
      <w:r>
        <w:rPr>
          <w:rFonts w:hint="eastAsia" w:ascii="仿宋" w:hAnsi="仿宋" w:eastAsia="仿宋"/>
          <w:color w:val="auto"/>
          <w:sz w:val="28"/>
          <w:szCs w:val="28"/>
          <w:highlight w:val="none"/>
          <w:lang w:val="zh-CN"/>
        </w:rPr>
        <w:t xml:space="preserve">本项目</w:t>
      </w:r>
      <w:r>
        <w:rPr>
          <w:rFonts w:hint="eastAsia" w:ascii="仿宋" w:hAnsi="仿宋" w:eastAsia="仿宋"/>
          <w:color w:val="auto"/>
          <w:sz w:val="28"/>
          <w:szCs w:val="28"/>
          <w:highlight w:val="none"/>
        </w:rPr>
        <w:t xml:space="preserve">按照</w:t>
      </w:r>
      <w:r>
        <w:rPr>
          <w:rFonts w:hint="eastAsia" w:ascii="仿宋" w:hAnsi="仿宋" w:eastAsia="仿宋"/>
          <w:color w:val="auto"/>
          <w:sz w:val="28"/>
          <w:szCs w:val="28"/>
          <w:highlight w:val="none"/>
          <w:lang w:val="zh-CN"/>
        </w:rPr>
        <w:t xml:space="preserve">以下第</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val="en-US" w:eastAsia="zh-CN"/>
        </w:rPr>
        <w:t xml:space="preserve">1</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lang w:val="zh-CN"/>
        </w:rPr>
        <w:t xml:space="preserve">种方式落实政府采购促进中小企业发展的要求：</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zh-CN"/>
        </w:rPr>
        <w:t xml:space="preserve">1、</w:t>
      </w:r>
      <w:r>
        <w:rPr>
          <w:rFonts w:ascii="仿宋" w:hAnsi="仿宋" w:eastAsia="仿宋"/>
          <w:color w:val="auto"/>
          <w:sz w:val="28"/>
          <w:szCs w:val="28"/>
          <w:highlight w:val="none"/>
        </w:rPr>
        <w:t xml:space="preserve">本项目为专门面向中小企业采购的项目</w:t>
      </w:r>
      <w:r>
        <w:rPr>
          <w:rFonts w:hint="eastAsia" w:ascii="仿宋" w:hAnsi="仿宋" w:eastAsia="仿宋"/>
          <w:color w:val="auto"/>
          <w:sz w:val="28"/>
          <w:szCs w:val="28"/>
          <w:highlight w:val="none"/>
        </w:rPr>
        <w:t xml:space="preserve">。</w:t>
      </w:r>
      <w:r/>
    </w:p>
    <w:p>
      <w:pPr>
        <w:ind w:firstLine="560"/>
        <w:keepLines w:val="0"/>
        <w:keepNext w:val="0"/>
        <w:pageBreakBefore w:val="0"/>
        <w:spacing w:line="520" w:lineRule="exact"/>
        <w:rPr>
          <w:rFonts w:hint="eastAsia" w:ascii="仿宋" w:hAnsi="仿宋" w:eastAsia="仿宋"/>
          <w:color w:val="auto"/>
          <w:sz w:val="28"/>
          <w:szCs w:val="28"/>
          <w:highlight w:val="none"/>
          <w:lang w:val="zh-CN"/>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zh-CN"/>
        </w:rPr>
        <w:t xml:space="preserve">本项目通过以下第（）种方式预留部分采购份额</w:t>
      </w:r>
      <w:r>
        <w:rPr>
          <w:rFonts w:hint="eastAsia" w:ascii="仿宋" w:hAnsi="仿宋" w:eastAsia="仿宋"/>
          <w:color w:val="auto"/>
          <w:sz w:val="28"/>
          <w:szCs w:val="28"/>
          <w:highlight w:val="none"/>
        </w:rPr>
        <w:t xml:space="preserve">采购</w:t>
      </w:r>
      <w:r>
        <w:rPr>
          <w:rFonts w:hint="eastAsia" w:ascii="仿宋" w:hAnsi="仿宋" w:eastAsia="仿宋"/>
          <w:color w:val="auto"/>
          <w:sz w:val="28"/>
          <w:szCs w:val="28"/>
          <w:highlight w:val="none"/>
          <w:lang w:val="zh-CN"/>
        </w:rPr>
        <w:t xml:space="preserve">中小企业</w:t>
      </w:r>
      <w:r>
        <w:rPr>
          <w:rFonts w:hint="eastAsia" w:ascii="仿宋" w:hAnsi="仿宋" w:eastAsia="仿宋"/>
          <w:color w:val="auto"/>
          <w:sz w:val="28"/>
          <w:szCs w:val="28"/>
          <w:highlight w:val="none"/>
        </w:rPr>
        <w:t xml:space="preserve">服务</w:t>
      </w:r>
      <w:r>
        <w:rPr>
          <w:rFonts w:hint="eastAsia" w:ascii="仿宋" w:hAnsi="仿宋" w:eastAsia="仿宋"/>
          <w:color w:val="auto"/>
          <w:sz w:val="28"/>
          <w:szCs w:val="28"/>
          <w:highlight w:val="none"/>
          <w:lang w:val="zh-CN"/>
        </w:rPr>
        <w:t xml:space="preserve">：</w:t>
      </w:r>
      <w:r/>
    </w:p>
    <w:p>
      <w:pPr>
        <w:ind w:firstLine="560"/>
        <w:keepLines w:val="0"/>
        <w:keepNext w:val="0"/>
        <w:pageBreakBefore w:val="0"/>
        <w:spacing w:line="520" w:lineRule="exact"/>
        <w:rPr>
          <w:rFonts w:hint="eastAsia" w:ascii="仿宋" w:hAnsi="仿宋" w:eastAsia="仿宋"/>
          <w:color w:val="auto"/>
          <w:sz w:val="28"/>
          <w:szCs w:val="28"/>
          <w:highlight w:val="none"/>
          <w:lang w:val="zh-CN"/>
        </w:rPr>
        <w:outlineLvl w:val="9"/>
      </w:pPr>
      <w:r>
        <w:rPr>
          <w:rFonts w:hint="eastAsia" w:ascii="仿宋" w:hAnsi="仿宋" w:eastAsia="仿宋"/>
          <w:color w:val="auto"/>
          <w:sz w:val="28"/>
          <w:szCs w:val="28"/>
          <w:highlight w:val="none"/>
          <w:lang w:val="zh-CN"/>
        </w:rPr>
        <w:t xml:space="preserve">（1）本项目要求投标人以联合体形式参加，中小企业合同金额应当达到的比例为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color w:val="auto"/>
          <w:sz w:val="28"/>
          <w:szCs w:val="28"/>
          <w:highlight w:val="none"/>
          <w:lang w:val="zh-CN"/>
        </w:rPr>
        <w:outlineLvl w:val="9"/>
      </w:pPr>
      <w:r>
        <w:rPr>
          <w:rFonts w:hint="eastAsia" w:ascii="仿宋" w:hAnsi="仿宋" w:eastAsia="仿宋"/>
          <w:color w:val="auto"/>
          <w:sz w:val="28"/>
          <w:szCs w:val="28"/>
          <w:highlight w:val="none"/>
          <w:lang w:val="zh-CN"/>
        </w:rPr>
        <w:t xml:space="preserve">（2）本项目要求投标人进行合同分包，中小企业合同金额应当达到的比例为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color w:val="auto"/>
          <w:sz w:val="28"/>
          <w:szCs w:val="28"/>
          <w:highlight w:val="none"/>
          <w:lang w:val="zh-CN"/>
        </w:rPr>
        <w:outlineLvl w:val="9"/>
      </w:pPr>
      <w:r>
        <w:rPr>
          <w:rFonts w:hint="eastAsia" w:ascii="仿宋" w:hAnsi="仿宋" w:eastAsia="仿宋"/>
          <w:color w:val="auto"/>
          <w:sz w:val="28"/>
          <w:szCs w:val="28"/>
          <w:highlight w:val="none"/>
          <w:lang w:val="zh-CN"/>
        </w:rPr>
        <w:t xml:space="preserve">3、本项目为非预留份额的采购项目，</w:t>
      </w:r>
      <w:r>
        <w:rPr>
          <w:rFonts w:hint="eastAsia" w:ascii="仿宋" w:hAnsi="仿宋" w:eastAsia="仿宋"/>
          <w:color w:val="auto"/>
          <w:sz w:val="28"/>
          <w:szCs w:val="28"/>
          <w:highlight w:val="none"/>
        </w:rPr>
        <w:t xml:space="preserve">对小微企业报价给予扣除，用扣除后的价格参加评审，具体详见第二章“投标人须知”第3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.1项</w:t>
      </w:r>
      <w:r>
        <w:rPr>
          <w:rFonts w:hint="eastAsia" w:ascii="仿宋" w:hAnsi="仿宋" w:eastAsia="仿宋"/>
          <w:color w:val="auto"/>
          <w:sz w:val="28"/>
          <w:szCs w:val="28"/>
          <w:highlight w:val="none"/>
          <w:lang w:val="zh-CN"/>
        </w:rPr>
        <w:t xml:space="preserve">。</w:t>
      </w:r>
      <w:r/>
    </w:p>
    <w:p>
      <w:pPr>
        <w:ind w:firstLine="560"/>
        <w:keepLines w:val="0"/>
        <w:keepNext w:val="0"/>
        <w:pageBreakBefore w:val="0"/>
        <w:spacing w:line="520" w:lineRule="exact"/>
        <w:rPr>
          <w:rFonts w:hint="eastAsia" w:ascii="仿宋" w:hAnsi="仿宋" w:eastAsia="仿宋"/>
          <w:color w:val="auto"/>
          <w:sz w:val="28"/>
          <w:szCs w:val="28"/>
          <w:highlight w:val="none"/>
          <w:lang w:val="zh-CN"/>
        </w:rPr>
        <w:outlineLvl w:val="9"/>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4"/>
        </w:num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本项目的特定资格要求:</w:t>
      </w:r>
      <w:r/>
    </w:p>
    <w:p>
      <w:pPr>
        <w:ind w:firstLine="560"/>
        <w:keepLines w:val="0"/>
        <w:keepNext w:val="0"/>
        <w:pageBreakBefore w:val="0"/>
        <w:spacing w:line="520" w:lineRule="exact"/>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lang w:eastAsia="zh-CN"/>
        </w:rPr>
        <w:t xml:space="preserve">投标人承诺拟派项目经理必须为本项目专职人员（未兼职其他项目），常驻项目所在地，工作日每天需到达指定地点进行签到。</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s="宋体"/>
          <w:color w:val="auto"/>
          <w:sz w:val="28"/>
          <w:szCs w:val="28"/>
          <w:highlight w:val="none"/>
        </w:rPr>
        <w:t xml:space="preserve">（四）拒绝下述条件的</w:t>
      </w:r>
      <w:r>
        <w:rPr>
          <w:rFonts w:hint="eastAsia" w:ascii="仿宋" w:hAnsi="仿宋" w:eastAsia="仿宋" w:cs="宋体"/>
          <w:color w:val="auto"/>
          <w:sz w:val="28"/>
          <w:szCs w:val="28"/>
          <w:highlight w:val="none"/>
          <w:lang w:eastAsia="zh-CN"/>
        </w:rPr>
        <w:t xml:space="preserve">投标人</w:t>
      </w:r>
      <w:r>
        <w:rPr>
          <w:rFonts w:hint="eastAsia" w:ascii="仿宋" w:hAnsi="仿宋" w:eastAsia="仿宋" w:cs="宋体"/>
          <w:color w:val="auto"/>
          <w:sz w:val="28"/>
          <w:szCs w:val="28"/>
          <w:highlight w:val="none"/>
        </w:rPr>
        <w:t xml:space="preserve">参加本次采购活动:</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单位负责人为同一人或者存在直接控股、管理关系的不同</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，不得</w:t>
      </w:r>
      <w:r>
        <w:rPr>
          <w:rFonts w:hint="eastAsia" w:ascii="仿宋" w:hAnsi="仿宋" w:eastAsia="仿宋"/>
          <w:color w:val="auto"/>
          <w:sz w:val="28"/>
          <w:szCs w:val="28"/>
          <w:highlight w:val="none"/>
        </w:rPr>
        <w:t xml:space="preserve">同时</w:t>
      </w:r>
      <w:r>
        <w:rPr>
          <w:rFonts w:ascii="仿宋" w:hAnsi="仿宋" w:eastAsia="仿宋"/>
          <w:color w:val="auto"/>
          <w:sz w:val="28"/>
          <w:szCs w:val="28"/>
          <w:highlight w:val="none"/>
        </w:rPr>
        <w:t xml:space="preserve">参加同一合同项下的政府采购活动。</w:t>
      </w:r>
      <w:r/>
    </w:p>
    <w:p>
      <w:pPr>
        <w:ind w:firstLine="560"/>
        <w:keepLines w:val="0"/>
        <w:keepNext w:val="0"/>
        <w:pageBreakBefore w:val="0"/>
        <w:spacing w:line="520" w:lineRule="exact"/>
        <w:rPr>
          <w:rFonts w:ascii="仿宋" w:hAnsi="仿宋" w:eastAsia="仿宋"/>
          <w:b/>
          <w:i/>
          <w:color w:val="auto"/>
          <w:sz w:val="28"/>
          <w:szCs w:val="28"/>
          <w:highlight w:val="none"/>
        </w:rPr>
        <w:outlineLvl w:val="9"/>
      </w:pPr>
      <w:r>
        <w:rPr>
          <w:rFonts w:hint="eastAsia" w:ascii="仿宋" w:hAnsi="仿宋" w:eastAsia="仿宋"/>
          <w:color w:val="auto"/>
          <w:sz w:val="28"/>
          <w:szCs w:val="28"/>
          <w:highlight w:val="none"/>
        </w:rPr>
        <w:t xml:space="preserve">2、凡</w:t>
      </w:r>
      <w:r>
        <w:rPr>
          <w:rFonts w:ascii="仿宋" w:hAnsi="仿宋" w:eastAsia="仿宋"/>
          <w:color w:val="auto"/>
          <w:sz w:val="28"/>
          <w:szCs w:val="28"/>
          <w:highlight w:val="none"/>
        </w:rPr>
        <w:t xml:space="preserve">为采购项目提供整体设计、规范编制或者项目管理、监理、检测等服务的</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，不得再参加</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项目的采购活动。</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3、投标人被“信用中国”网站、“中国政府采购网”列入失信被执行人、重大税收违法案件当事人名单、政府采购严重违法失信行为记录名单。</w:t>
      </w:r>
      <w:r/>
    </w:p>
    <w:p>
      <w:pPr>
        <w:ind w:firstLine="560"/>
        <w:keepLines w:val="0"/>
        <w:keepNext w:val="0"/>
        <w:pageBreakBefore w:val="0"/>
        <w:spacing w:line="52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三、获取招标文件</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（一）时间:自招标公告发布之日起五个工作日。</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（二）方式：在“淮安市政府采购网”自行免费下载招标文件。</w:t>
      </w:r>
      <w:r/>
    </w:p>
    <w:p>
      <w:pPr>
        <w:ind w:firstLine="560"/>
        <w:keepLines w:val="0"/>
        <w:keepNext w:val="0"/>
        <w:pageBreakBefore w:val="0"/>
        <w:spacing w:line="52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四、提交投标文件截止时间、开标时间和地点</w:t>
      </w:r>
      <w:r/>
    </w:p>
    <w:p>
      <w:pPr>
        <w:ind w:firstLine="280"/>
        <w:keepLines w:val="0"/>
        <w:keepNext w:val="0"/>
        <w:pageBreakBefore w:val="0"/>
        <w:spacing w:line="520" w:lineRule="exact"/>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rPr>
        <w:t xml:space="preserve">（一）投标文件提交截止时间及开标时间:202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月19</w:t>
      </w:r>
      <w:r>
        <w:rPr>
          <w:rFonts w:hint="eastAsia" w:ascii="仿宋" w:hAnsi="仿宋" w:eastAsia="仿宋"/>
          <w:color w:val="auto"/>
          <w:sz w:val="28"/>
          <w:szCs w:val="28"/>
          <w:highlight w:val="none"/>
        </w:rPr>
        <w:t xml:space="preserve">日上午</w:t>
      </w:r>
      <w:r>
        <w:rPr>
          <w:rFonts w:hint="eastAsia" w:ascii="仿宋" w:hAnsi="仿宋" w:eastAsia="仿宋"/>
          <w:color w:val="auto"/>
          <w:sz w:val="28"/>
          <w:szCs w:val="28"/>
          <w:highlight w:val="none"/>
          <w:lang w:val="en-US" w:eastAsia="zh-CN"/>
        </w:rPr>
        <w:t xml:space="preserve">09:30</w:t>
      </w:r>
      <w:r>
        <w:rPr>
          <w:rFonts w:hint="eastAsia" w:ascii="仿宋" w:hAnsi="仿宋" w:eastAsia="仿宋"/>
          <w:color w:val="auto"/>
          <w:sz w:val="28"/>
          <w:szCs w:val="28"/>
          <w:highlight w:val="none"/>
          <w:lang w:eastAsia="zh-CN"/>
        </w:rPr>
        <w:t xml:space="preserve">。</w:t>
      </w:r>
      <w:r/>
    </w:p>
    <w:p>
      <w:pPr>
        <w:ind w:firstLine="28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（二）投标文件上传地址：“苏采云”政府采购交易系统网上开标大厅。</w:t>
      </w:r>
      <w:r/>
    </w:p>
    <w:p>
      <w:pPr>
        <w:ind w:firstLine="560"/>
        <w:keepLines w:val="0"/>
        <w:keepNext w:val="0"/>
        <w:pageBreakBefore w:val="0"/>
        <w:spacing w:line="52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五、公告期限</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自本公告发布之日起五个工作日。</w:t>
      </w:r>
      <w:r/>
    </w:p>
    <w:p>
      <w:pPr>
        <w:ind w:firstLine="560"/>
        <w:keepLines w:val="0"/>
        <w:keepNext w:val="0"/>
        <w:pageBreakBefore w:val="0"/>
        <w:spacing w:line="52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六、其他补充事宜</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本项目仅采购非进口产品（注:本文件所称进口产品是指通过中国海关报关验放进入中国境内且产自关境外的产品）。</w:t>
      </w:r>
      <w:r/>
    </w:p>
    <w:p>
      <w:pPr>
        <w:ind w:firstLine="560"/>
        <w:keepLines w:val="0"/>
        <w:keepNext w:val="0"/>
        <w:pageBreakBefore w:val="0"/>
        <w:spacing w:line="52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七、对本次采购提出询问，请按以下方式联系。</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1、采购人联系方式</w:t>
      </w:r>
      <w:r/>
    </w:p>
    <w:p>
      <w:pPr>
        <w:ind w:firstLine="560"/>
        <w:keepLines w:val="0"/>
        <w:keepNext w:val="0"/>
        <w:pageBreakBefore w:val="0"/>
        <w:spacing w:line="520" w:lineRule="exact"/>
        <w:rPr>
          <w:rFonts w:hint="eastAsia" w:ascii="仿宋" w:hAnsi="仿宋" w:eastAsia="仿宋"/>
          <w:color w:val="auto"/>
          <w:sz w:val="28"/>
          <w:szCs w:val="28"/>
          <w:highlight w:val="none"/>
          <w:lang w:eastAsia="zh-CN"/>
        </w:rPr>
        <w:outlineLvl w:val="9"/>
      </w:pPr>
      <w:r>
        <w:rPr>
          <w:rFonts w:hint="eastAsia" w:ascii="仿宋" w:hAnsi="仿宋" w:eastAsia="仿宋" w:cs="仿宋"/>
          <w:color w:val="auto"/>
          <w:sz w:val="28"/>
          <w:szCs w:val="28"/>
          <w:highlight w:val="none"/>
        </w:rPr>
        <w:t xml:space="preserve">名</w:t>
      </w:r>
      <w:r>
        <w:rPr>
          <w:rFonts w:hint="eastAsia" w:ascii="仿宋" w:hAnsi="仿宋" w:eastAsia="仿宋"/>
          <w:color w:val="auto"/>
          <w:sz w:val="28"/>
          <w:szCs w:val="28"/>
          <w:highlight w:val="none"/>
        </w:rPr>
        <w:t xml:space="preserve">称: </w:t>
      </w:r>
      <w:r>
        <w:rPr>
          <w:rFonts w:hint="eastAsia" w:ascii="仿宋" w:hAnsi="仿宋" w:eastAsia="仿宋"/>
          <w:color w:val="auto"/>
          <w:sz w:val="28"/>
          <w:szCs w:val="28"/>
          <w:highlight w:val="none"/>
          <w:lang w:eastAsia="zh-CN"/>
        </w:rPr>
        <w:t xml:space="preserve">淮安经济技术开发区住房和城乡建设局</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地址: </w:t>
      </w:r>
      <w:r>
        <w:rPr>
          <w:rFonts w:hint="eastAsia" w:ascii="仿宋" w:hAnsi="仿宋" w:eastAsia="仿宋"/>
          <w:color w:val="auto"/>
          <w:sz w:val="28"/>
          <w:szCs w:val="28"/>
          <w:highlight w:val="none"/>
          <w:lang w:eastAsia="zh-CN"/>
        </w:rPr>
        <w:t xml:space="preserve">淮安经济技术开发区</w:t>
      </w:r>
      <w:r>
        <w:rPr>
          <w:rFonts w:hint="eastAsia" w:ascii="仿宋" w:hAnsi="仿宋" w:eastAsia="仿宋"/>
          <w:color w:val="auto"/>
          <w:sz w:val="28"/>
          <w:szCs w:val="28"/>
          <w:highlight w:val="none"/>
          <w:lang w:val="en-US" w:eastAsia="zh-CN"/>
        </w:rPr>
        <w:t xml:space="preserve">迎宾大道8</w:t>
      </w:r>
      <w:r>
        <w:rPr>
          <w:rFonts w:hint="eastAsia" w:ascii="仿宋" w:hAnsi="仿宋" w:eastAsia="仿宋"/>
          <w:color w:val="auto"/>
          <w:sz w:val="28"/>
          <w:szCs w:val="28"/>
          <w:highlight w:val="none"/>
          <w:lang w:eastAsia="zh-CN"/>
        </w:rPr>
        <w:t xml:space="preserve">号</w:t>
      </w:r>
      <w:r>
        <w:rPr>
          <w:rFonts w:hint="eastAsia" w:ascii="仿宋" w:hAnsi="仿宋" w:eastAsia="仿宋"/>
          <w:color w:val="auto"/>
          <w:sz w:val="28"/>
          <w:szCs w:val="28"/>
          <w:highlight w:val="none"/>
        </w:rPr>
        <w:t xml:space="preserve"> </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rPr>
        <w:t xml:space="preserve">联系人: </w:t>
      </w:r>
      <w:r>
        <w:rPr>
          <w:rFonts w:hint="eastAsia" w:ascii="仿宋" w:hAnsi="仿宋" w:eastAsia="仿宋"/>
          <w:color w:val="auto"/>
          <w:sz w:val="28"/>
          <w:szCs w:val="28"/>
          <w:highlight w:val="none"/>
          <w:lang w:val="en-US" w:eastAsia="zh-CN"/>
        </w:rPr>
        <w:t xml:space="preserve">陈主任      </w:t>
      </w:r>
      <w:r>
        <w:rPr>
          <w:rFonts w:hint="eastAsia" w:ascii="仿宋" w:hAnsi="仿宋" w:eastAsia="仿宋"/>
          <w:color w:val="auto"/>
          <w:sz w:val="28"/>
          <w:szCs w:val="28"/>
          <w:highlight w:val="none"/>
        </w:rPr>
        <w:t xml:space="preserve">联系</w:t>
      </w:r>
      <w:r>
        <w:rPr>
          <w:rFonts w:hint="eastAsia" w:ascii="仿宋" w:hAnsi="仿宋" w:eastAsia="仿宋"/>
          <w:color w:val="auto"/>
          <w:sz w:val="28"/>
          <w:szCs w:val="28"/>
          <w:highlight w:val="none"/>
          <w:lang w:val="en-US" w:eastAsia="zh-CN"/>
        </w:rPr>
        <w:t xml:space="preserve">电话：0517-83712621</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2、采购代理机构信息</w:t>
      </w:r>
      <w:r/>
    </w:p>
    <w:p>
      <w:pPr>
        <w:ind w:firstLine="560"/>
        <w:keepLines w:val="0"/>
        <w:keepNext w:val="0"/>
        <w:pageBreakBefore w:val="0"/>
        <w:spacing w:line="520" w:lineRule="exact"/>
        <w:rPr>
          <w:rFonts w:hint="eastAsia" w:ascii="仿宋" w:hAnsi="仿宋" w:eastAsia="仿宋" w:cs="Times New Roman"/>
          <w:color w:val="auto"/>
          <w:sz w:val="28"/>
          <w:szCs w:val="28"/>
          <w:highlight w:val="none"/>
          <w:lang w:eastAsia="zh-CN"/>
        </w:rPr>
        <w:outlineLvl w:val="9"/>
      </w:pPr>
      <w:r>
        <w:rPr>
          <w:rFonts w:hint="eastAsia" w:ascii="仿宋" w:hAnsi="仿宋" w:eastAsia="仿宋" w:cs="Times New Roman"/>
          <w:color w:val="auto"/>
          <w:sz w:val="28"/>
          <w:szCs w:val="28"/>
          <w:highlight w:val="none"/>
        </w:rPr>
        <w:t xml:space="preserve">名称</w:t>
      </w:r>
      <w:r>
        <w:rPr>
          <w:rFonts w:hint="eastAsia" w:ascii="仿宋" w:hAnsi="仿宋" w:eastAsia="仿宋" w:cs="Times New Roman"/>
          <w:color w:val="auto"/>
          <w:sz w:val="28"/>
          <w:szCs w:val="28"/>
          <w:highlight w:val="none"/>
          <w:lang w:eastAsia="zh-CN"/>
        </w:rPr>
        <w:t xml:space="preserve">：江苏宇杭项目管理有限公司</w:t>
      </w:r>
      <w:r/>
    </w:p>
    <w:p>
      <w:pPr>
        <w:ind w:firstLine="560"/>
        <w:keepLines w:val="0"/>
        <w:keepNext w:val="0"/>
        <w:pageBreakBefore w:val="0"/>
        <w:spacing w:line="520" w:lineRule="exact"/>
        <w:rPr>
          <w:rFonts w:hint="eastAsia" w:ascii="仿宋" w:hAnsi="仿宋" w:eastAsia="仿宋" w:cs="Times New Roman"/>
          <w:color w:val="auto"/>
          <w:sz w:val="28"/>
          <w:szCs w:val="28"/>
          <w:highlight w:val="none"/>
        </w:rPr>
        <w:outlineLvl w:val="9"/>
      </w:pPr>
      <w:r>
        <w:rPr>
          <w:rFonts w:hint="eastAsia" w:ascii="仿宋" w:hAnsi="仿宋" w:eastAsia="仿宋" w:cs="Times New Roman"/>
          <w:color w:val="auto"/>
          <w:sz w:val="28"/>
          <w:szCs w:val="28"/>
          <w:highlight w:val="none"/>
        </w:rPr>
        <w:t xml:space="preserve">地址</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淮安市淮阴区西安北路荣鑫花苑（宇杭监理）</w:t>
      </w:r>
      <w:r/>
    </w:p>
    <w:p>
      <w:pPr>
        <w:ind w:firstLine="560"/>
        <w:keepLines w:val="0"/>
        <w:keepNext w:val="0"/>
        <w:pageBreakBefore w:val="0"/>
        <w:spacing w:line="520" w:lineRule="exact"/>
        <w:rPr>
          <w:rFonts w:hint="eastAsia" w:ascii="仿宋" w:hAnsi="仿宋" w:eastAsia="仿宋" w:cs="Times New Roman"/>
          <w:color w:val="auto"/>
          <w:sz w:val="28"/>
          <w:szCs w:val="28"/>
          <w:highlight w:val="none"/>
        </w:rPr>
        <w:outlineLvl w:val="9"/>
      </w:pPr>
      <w:r>
        <w:rPr>
          <w:rFonts w:hint="eastAsia" w:ascii="仿宋" w:hAnsi="仿宋" w:eastAsia="仿宋" w:cs="Times New Roman"/>
          <w:color w:val="auto"/>
          <w:sz w:val="28"/>
          <w:szCs w:val="28"/>
          <w:highlight w:val="none"/>
        </w:rPr>
        <w:t xml:space="preserve">联系方式</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李工 </w:t>
      </w:r>
      <w:r>
        <w:rPr>
          <w:rFonts w:hint="eastAsia" w:ascii="仿宋" w:hAnsi="仿宋" w:eastAsia="仿宋" w:cs="Times New Roman"/>
          <w:color w:val="auto"/>
          <w:sz w:val="28"/>
          <w:szCs w:val="28"/>
          <w:highlight w:val="none"/>
        </w:rPr>
        <w:t xml:space="preserve">  电话：</w:t>
      </w:r>
      <w:r>
        <w:rPr>
          <w:rFonts w:hint="eastAsia" w:ascii="仿宋" w:hAnsi="仿宋" w:eastAsia="仿宋" w:cs="Times New Roman"/>
          <w:color w:val="auto"/>
          <w:sz w:val="28"/>
          <w:szCs w:val="28"/>
          <w:highlight w:val="none"/>
          <w:lang w:val="en-US" w:eastAsia="zh-CN"/>
        </w:rPr>
        <w:t xml:space="preserve">19051706750</w:t>
      </w:r>
      <w:r>
        <w:rPr>
          <w:rFonts w:hint="eastAsia" w:ascii="仿宋" w:hAnsi="仿宋" w:eastAsia="仿宋" w:cs="Times New Roman"/>
          <w:color w:val="auto"/>
          <w:sz w:val="28"/>
          <w:szCs w:val="28"/>
          <w:highlight w:val="none"/>
        </w:rPr>
        <w:t xml:space="preserve"> </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八、其他</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20" w:lineRule="exact"/>
        <w:rPr>
          <w:rFonts w:hint="eastAsia" w:ascii="仿宋" w:hAnsi="仿宋" w:eastAsia="仿宋"/>
          <w:color w:val="auto"/>
          <w:sz w:val="28"/>
          <w:szCs w:val="28"/>
          <w:highlight w:val="none"/>
        </w:rPr>
        <w:outlineLvl w:val="9"/>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有关本次招标的事项若存在变动或修改，敬请及时关注</w:t>
      </w:r>
      <w:r>
        <w:rPr>
          <w:rFonts w:hint="eastAsia" w:ascii="仿宋" w:hAnsi="仿宋" w:eastAsia="仿宋"/>
          <w:color w:val="auto"/>
          <w:sz w:val="28"/>
          <w:szCs w:val="28"/>
          <w:highlight w:val="none"/>
          <w:lang w:eastAsia="zh-CN"/>
        </w:rPr>
        <w:t xml:space="preserve">江苏宇杭项目管理有限公司</w:t>
      </w:r>
      <w:r>
        <w:rPr>
          <w:rFonts w:hint="eastAsia" w:ascii="仿宋" w:hAnsi="仿宋" w:eastAsia="仿宋"/>
          <w:color w:val="auto"/>
          <w:sz w:val="28"/>
          <w:szCs w:val="28"/>
          <w:highlight w:val="none"/>
        </w:rPr>
        <w:t xml:space="preserve">在“淮安市政府采购网”发布的更正公告。</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本次招标不收取投标保证金。</w:t>
      </w:r>
      <w:r/>
    </w:p>
    <w:p>
      <w:pPr>
        <w:jc w:val="center"/>
        <w:keepLines w:val="0"/>
        <w:keepNext w:val="0"/>
        <w:pageBreakBefore w:val="0"/>
        <w:spacing w:line="520" w:lineRule="exact"/>
        <w:widowControl w:val="off"/>
        <w:rPr>
          <w:rFonts w:hint="eastAsia" w:ascii="仿宋" w:hAnsi="仿宋" w:eastAsia="仿宋"/>
          <w:b/>
          <w:color w:val="auto"/>
          <w:sz w:val="36"/>
          <w:szCs w:val="36"/>
          <w:highlight w:val="none"/>
        </w:rPr>
        <w:outlineLvl w:val="9"/>
      </w:pPr>
      <w:r>
        <w:rPr>
          <w:rFonts w:hint="eastAsia" w:ascii="仿宋" w:hAnsi="仿宋" w:eastAsia="仿宋"/>
          <w:color w:val="auto"/>
          <w:sz w:val="28"/>
          <w:szCs w:val="28"/>
          <w:highlight w:val="none"/>
        </w:rPr>
        <w:br w:type="page" w:clear="all"/>
      </w:r>
      <w:r>
        <w:rPr>
          <w:rFonts w:hint="eastAsia" w:ascii="仿宋" w:hAnsi="仿宋" w:eastAsia="仿宋"/>
          <w:b/>
          <w:color w:val="auto"/>
          <w:sz w:val="36"/>
          <w:szCs w:val="36"/>
          <w:highlight w:val="none"/>
        </w:rPr>
        <w:t xml:space="preserve">第二章  投标人须知</w:t>
      </w:r>
      <w:r/>
    </w:p>
    <w:p>
      <w:pPr>
        <w:keepLines w:val="0"/>
        <w:keepNext w:val="0"/>
        <w:pageBreakBefore w:val="0"/>
        <w:spacing w:line="520" w:lineRule="exact"/>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t xml:space="preserve">一、总则</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1.适用范围</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本招标文件仅适用于本次投标邀请中所述项目的采购。</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2.合格的投标人</w:t>
      </w:r>
      <w:r/>
    </w:p>
    <w:p>
      <w:pPr>
        <w:ind w:firstLine="555"/>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2.1 满足第一章投标邀请中投标人资格要求的规定。 </w:t>
      </w:r>
      <w:r/>
    </w:p>
    <w:p>
      <w:pPr>
        <w:ind w:firstLine="555"/>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2.2 满足招标文件中实质性条款的规定。</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3.适用法律</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3.1 《中华人民共和国政府采购法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中华人民共和国政府采购法实施条例</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政府采购货物和服务招标投标管理办法》等有关法律、规章和规定等。</w:t>
      </w:r>
      <w:r/>
    </w:p>
    <w:p>
      <w:pPr>
        <w:ind w:firstLine="560"/>
        <w:keepLines w:val="0"/>
        <w:keepNext w:val="0"/>
        <w:pageBreakBefore w:val="0"/>
        <w:spacing w:line="520" w:lineRule="exact"/>
        <w:rPr>
          <w:rFonts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3.2 在本项目政府采购活动过程中，如果所执行的标准有更新的，按照最新标准执行。</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4.投标费用</w:t>
      </w:r>
      <w:r/>
    </w:p>
    <w:p>
      <w:pPr>
        <w:ind w:firstLine="555"/>
        <w:keepLines w:val="0"/>
        <w:keepNext w:val="0"/>
        <w:pageBreakBefore w:val="0"/>
        <w:spacing w:line="520" w:lineRule="exact"/>
        <w:rPr>
          <w:rFonts w:hint="eastAsia" w:ascii="仿宋" w:hAnsi="仿宋" w:eastAsia="仿宋"/>
          <w:b/>
          <w:bCs/>
          <w:color w:val="auto"/>
          <w:sz w:val="28"/>
          <w:szCs w:val="28"/>
          <w:highlight w:val="none"/>
        </w:rPr>
        <w:outlineLvl w:val="9"/>
      </w:pPr>
      <w:r>
        <w:rPr>
          <w:rFonts w:hint="eastAsia" w:ascii="仿宋" w:hAnsi="仿宋" w:eastAsia="仿宋"/>
          <w:color w:val="auto"/>
          <w:sz w:val="28"/>
          <w:szCs w:val="28"/>
          <w:highlight w:val="none"/>
        </w:rPr>
        <w:t xml:space="preserve">4.1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投标人应自行承担所有与参加投标有关的费用。不论投标的结果如何，</w:t>
      </w:r>
      <w:r>
        <w:rPr>
          <w:rFonts w:hint="eastAsia" w:ascii="仿宋" w:hAnsi="仿宋" w:eastAsia="仿宋"/>
          <w:color w:val="auto"/>
          <w:sz w:val="28"/>
          <w:szCs w:val="28"/>
          <w:highlight w:val="none"/>
          <w:lang w:eastAsia="zh-CN"/>
        </w:rPr>
        <w:t xml:space="preserve">江苏宇杭项目管理有限公司</w:t>
      </w:r>
      <w:r>
        <w:rPr>
          <w:rFonts w:hint="eastAsia" w:ascii="仿宋" w:hAnsi="仿宋" w:eastAsia="仿宋"/>
          <w:color w:val="auto"/>
          <w:sz w:val="28"/>
          <w:szCs w:val="28"/>
          <w:highlight w:val="none"/>
        </w:rPr>
        <w:t xml:space="preserve">（以下简称</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）在任何情况下均无义务和责任承担这些费用。</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olor w:val="auto"/>
          <w:sz w:val="28"/>
          <w:szCs w:val="28"/>
          <w:highlight w:val="none"/>
          <w:lang w:eastAsia="zh-CN"/>
        </w:rPr>
        <w:t xml:space="preserve">招标</w:t>
      </w:r>
      <w:r>
        <w:rPr>
          <w:rFonts w:hint="eastAsia" w:ascii="仿宋" w:hAnsi="仿宋" w:eastAsia="仿宋"/>
          <w:color w:val="auto"/>
          <w:sz w:val="28"/>
          <w:szCs w:val="28"/>
          <w:highlight w:val="none"/>
        </w:rPr>
        <w:t xml:space="preserve">文件的约束力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一旦参加本项目采购活动，即被认为接受了本</w:t>
      </w:r>
      <w:r>
        <w:rPr>
          <w:rFonts w:hint="eastAsia" w:ascii="仿宋" w:hAnsi="仿宋" w:eastAsia="仿宋"/>
          <w:color w:val="auto"/>
          <w:sz w:val="28"/>
          <w:szCs w:val="28"/>
          <w:highlight w:val="none"/>
          <w:lang w:eastAsia="zh-CN"/>
        </w:rPr>
        <w:t xml:space="preserve">招标</w:t>
      </w:r>
      <w:r>
        <w:rPr>
          <w:rFonts w:hint="eastAsia" w:ascii="仿宋" w:hAnsi="仿宋" w:eastAsia="仿宋"/>
          <w:color w:val="auto"/>
          <w:sz w:val="28"/>
          <w:szCs w:val="28"/>
          <w:highlight w:val="none"/>
        </w:rPr>
        <w:t xml:space="preserve">文件的规定和约束。</w:t>
      </w:r>
      <w:r/>
    </w:p>
    <w:p>
      <w:pPr>
        <w:keepLines w:val="0"/>
        <w:keepNext w:val="0"/>
        <w:pageBreakBefore w:val="0"/>
        <w:spacing w:line="520" w:lineRule="exact"/>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t xml:space="preserve">二、招标文件</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.招标文件由以下部分组成:</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投标邀请</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投标人须知</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评标方法与评标标准</w:t>
      </w:r>
      <w:r>
        <w:rPr>
          <w:rFonts w:hint="eastAsia" w:ascii="仿宋" w:hAnsi="仿宋" w:eastAsia="仿宋"/>
          <w:color w:val="auto"/>
          <w:sz w:val="28"/>
          <w:szCs w:val="28"/>
          <w:highlight w:val="none"/>
          <w:lang w:val="en-US" w:eastAsia="zh-CN"/>
        </w:rPr>
        <w:t xml:space="preserve"> </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4 </w:t>
      </w:r>
      <w:r>
        <w:rPr>
          <w:rFonts w:hint="eastAsia" w:ascii="仿宋" w:hAnsi="仿宋" w:eastAsia="仿宋"/>
          <w:color w:val="auto"/>
          <w:sz w:val="28"/>
          <w:szCs w:val="28"/>
          <w:highlight w:val="none"/>
        </w:rPr>
        <w:t xml:space="preserve">合同格式及条款</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.5</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项目采购需求</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.6</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投标文件</w:t>
      </w:r>
      <w:r/>
    </w:p>
    <w:p>
      <w:pPr>
        <w:keepLines w:val="0"/>
        <w:keepNext w:val="0"/>
        <w:pageBreakBefore w:val="0"/>
        <w:spacing w:line="520" w:lineRule="exact"/>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.招标文件的</w:t>
      </w:r>
      <w:r>
        <w:rPr>
          <w:rFonts w:hint="eastAsia" w:ascii="仿宋" w:hAnsi="仿宋" w:eastAsia="仿宋"/>
          <w:color w:val="auto"/>
          <w:sz w:val="28"/>
          <w:szCs w:val="28"/>
          <w:highlight w:val="none"/>
          <w:lang w:eastAsia="zh-CN"/>
        </w:rPr>
        <w:t xml:space="preserve">更正或补充</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 在投标截止时间前，</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可以对招标文件进行修改。</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 </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有权按照法定的要求推迟投标截止日期和开标日期。</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7.3 招标文件的修改将在江苏政府采购网</w:t>
      </w:r>
      <w:r>
        <w:rPr>
          <w:rFonts w:hint="eastAsia" w:ascii="仿宋" w:hAnsi="仿宋" w:eastAsia="仿宋"/>
          <w:color w:val="auto"/>
          <w:sz w:val="28"/>
          <w:szCs w:val="28"/>
          <w:highlight w:val="none"/>
          <w:lang w:eastAsia="zh-CN"/>
        </w:rPr>
        <w:t xml:space="preserve">、淮安市政府采购网</w:t>
      </w:r>
      <w:r>
        <w:rPr>
          <w:rFonts w:hint="eastAsia" w:ascii="仿宋" w:hAnsi="仿宋" w:eastAsia="仿宋"/>
          <w:color w:val="auto"/>
          <w:sz w:val="28"/>
          <w:szCs w:val="28"/>
          <w:highlight w:val="none"/>
        </w:rPr>
        <w:t xml:space="preserve">公布，补充文件将作为招标文件的组成部分，并对投标人具有约束力。</w:t>
      </w:r>
      <w:r/>
    </w:p>
    <w:p>
      <w:pPr>
        <w:keepLines w:val="0"/>
        <w:keepNext w:val="0"/>
        <w:pageBreakBefore w:val="0"/>
        <w:spacing w:line="520" w:lineRule="exact"/>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t xml:space="preserve">三、投标文件的编制</w:t>
      </w:r>
      <w:r/>
    </w:p>
    <w:p>
      <w:pPr>
        <w:keepLines w:val="0"/>
        <w:keepNext w:val="0"/>
        <w:pageBreakBefore w:val="0"/>
        <w:spacing w:line="520" w:lineRule="exact"/>
        <w:rPr>
          <w:rFonts w:ascii="仿宋" w:hAnsi="仿宋" w:eastAsia="仿宋"/>
          <w:color w:val="auto"/>
          <w:sz w:val="28"/>
          <w:szCs w:val="28"/>
          <w:highlight w:val="none"/>
        </w:rPr>
        <w:outlineLvl w:val="9"/>
      </w:pPr>
      <w:r/>
      <w:bookmarkStart w:id="0" w:name="_Toc462564073"/>
      <w:r/>
      <w:bookmarkStart w:id="1" w:name="_Toc16938530"/>
      <w:r/>
      <w:bookmarkStart w:id="2" w:name="_Toc20823286"/>
      <w:r/>
      <w:bookmarkStart w:id="3" w:name="_Toc513029214"/>
      <w:r>
        <w:rPr>
          <w:rFonts w:hint="eastAsia" w:ascii="仿宋" w:hAnsi="仿宋" w:eastAsia="仿宋"/>
          <w:color w:val="auto"/>
          <w:sz w:val="28"/>
          <w:szCs w:val="28"/>
          <w:highlight w:val="none"/>
        </w:rPr>
        <w:t xml:space="preserve">8.投标文件的语言及度量衡单位</w:t>
      </w:r>
      <w:bookmarkEnd w:id="0"/>
      <w:r/>
      <w:bookmarkEnd w:id="1"/>
      <w:r/>
      <w:bookmarkEnd w:id="2"/>
      <w:r/>
      <w:bookmarkEnd w:id="3"/>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 投标人提交的投标文件以及投标人与</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就有关投标的所有来往通知、函件和文件均应使用简体中文。</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8.2 除技术性能另有规定外，投标文件所使用的度量衡单位，均须采用国家法定计量单位。</w:t>
      </w:r>
      <w:r/>
    </w:p>
    <w:p>
      <w:pPr>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9.投标文件构成</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olor w:val="auto"/>
          <w:sz w:val="28"/>
          <w:szCs w:val="28"/>
          <w:highlight w:val="none"/>
          <w:lang w:val="zh-CN"/>
        </w:rPr>
        <w:t xml:space="preserve">请投标人根据本招标文件的要求在指定模块中上传</w:t>
      </w:r>
      <w:r>
        <w:rPr>
          <w:rFonts w:hint="eastAsia" w:ascii="仿宋" w:hAnsi="仿宋" w:eastAsia="仿宋"/>
          <w:color w:val="auto"/>
          <w:sz w:val="28"/>
          <w:szCs w:val="28"/>
          <w:highlight w:val="none"/>
          <w:lang w:val="en-US" w:eastAsia="zh-CN"/>
        </w:rPr>
        <w:t xml:space="preserve">相应</w:t>
      </w:r>
      <w:r>
        <w:rPr>
          <w:rFonts w:hint="eastAsia" w:ascii="仿宋" w:hAnsi="仿宋" w:eastAsia="仿宋"/>
          <w:color w:val="auto"/>
          <w:sz w:val="28"/>
          <w:szCs w:val="28"/>
          <w:highlight w:val="none"/>
          <w:lang w:val="zh-CN"/>
        </w:rPr>
        <w:t xml:space="preserve">的投标材料，未按招标文件要求在指定模块上传</w:t>
      </w:r>
      <w:r>
        <w:rPr>
          <w:rFonts w:hint="eastAsia" w:ascii="仿宋" w:hAnsi="仿宋" w:eastAsia="仿宋"/>
          <w:color w:val="auto"/>
          <w:sz w:val="28"/>
          <w:szCs w:val="28"/>
          <w:highlight w:val="none"/>
          <w:lang w:val="en-US" w:eastAsia="zh-CN"/>
        </w:rPr>
        <w:t xml:space="preserve">相应</w:t>
      </w:r>
      <w:r>
        <w:rPr>
          <w:rFonts w:hint="eastAsia" w:ascii="仿宋" w:hAnsi="仿宋" w:eastAsia="仿宋"/>
          <w:color w:val="auto"/>
          <w:sz w:val="28"/>
          <w:szCs w:val="28"/>
          <w:highlight w:val="none"/>
          <w:lang w:val="zh-CN"/>
        </w:rPr>
        <w:t xml:space="preserve">的投标材料的，</w:t>
      </w:r>
      <w:r>
        <w:rPr>
          <w:rFonts w:hint="eastAsia" w:ascii="仿宋" w:hAnsi="仿宋" w:eastAsia="仿宋"/>
          <w:color w:val="auto"/>
          <w:sz w:val="28"/>
          <w:szCs w:val="28"/>
          <w:highlight w:val="none"/>
        </w:rPr>
        <w:t xml:space="preserve">视同未提交该投标材料处理。</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9.2 如标书制作工具中格式和内容与</w:t>
      </w:r>
      <w:r>
        <w:rPr>
          <w:rFonts w:hint="eastAsia" w:ascii="仿宋" w:hAnsi="仿宋" w:eastAsia="仿宋"/>
          <w:color w:val="auto"/>
          <w:sz w:val="28"/>
          <w:szCs w:val="28"/>
          <w:highlight w:val="none"/>
          <w:lang w:eastAsia="zh-CN"/>
        </w:rPr>
        <w:t xml:space="preserve">“江苏省政府采购网”、</w:t>
      </w:r>
      <w:r>
        <w:rPr>
          <w:rFonts w:hint="eastAsia" w:ascii="仿宋" w:hAnsi="仿宋" w:eastAsia="仿宋"/>
          <w:color w:val="auto"/>
          <w:sz w:val="28"/>
          <w:szCs w:val="28"/>
          <w:highlight w:val="none"/>
        </w:rPr>
        <w:t xml:space="preserve">“淮安市政府采购网”发布的招标文件不一致，请以</w:t>
      </w:r>
      <w:r>
        <w:rPr>
          <w:rFonts w:hint="eastAsia" w:ascii="仿宋" w:hAnsi="仿宋" w:eastAsia="仿宋"/>
          <w:color w:val="auto"/>
          <w:sz w:val="28"/>
          <w:szCs w:val="28"/>
          <w:highlight w:val="none"/>
          <w:lang w:eastAsia="zh-CN"/>
        </w:rPr>
        <w:t xml:space="preserve">“江苏省政府采购网”、</w:t>
      </w:r>
      <w:r>
        <w:rPr>
          <w:rFonts w:hint="eastAsia" w:ascii="仿宋" w:hAnsi="仿宋" w:eastAsia="仿宋"/>
          <w:color w:val="auto"/>
          <w:sz w:val="28"/>
          <w:szCs w:val="28"/>
          <w:highlight w:val="none"/>
        </w:rPr>
        <w:t xml:space="preserve">“淮安市政府采购网”发布的招标文件为准。</w:t>
      </w:r>
      <w:r/>
    </w:p>
    <w:p>
      <w:pPr>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10.证明投标人及投标标的符合招标文件规定的文件</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10.1 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10.2招标文件对证明文件无明确形式要求的，证明文件可以以文字资料、图纸和数据等形式提交。</w:t>
      </w:r>
      <w:r/>
    </w:p>
    <w:p>
      <w:pPr>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11.投标分项报价表</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11.1 投标人应按照招标文件规定格式填报投标分项报价表。</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投标货币。投标文件中的单价和总价无特殊规定的采用人民币报价，以元为单位标注。招标文件中另有规定的按规定执行。</w:t>
      </w:r>
      <w:r/>
    </w:p>
    <w:p>
      <w:pPr>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12.技术要求响应及偏离表、商务要求响应及偏离表（如有）</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12.1 投标人需对招标文件中的技术要求与商务要求逐项作出响应或偏离，并说明原因。</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12.2 投标人可在投标文件中提供认为需要的其他技术文件或说明。</w:t>
      </w:r>
      <w:r/>
    </w:p>
    <w:p>
      <w:pPr>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13.服务承诺、培训计划、人员安排及其他（如有）</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13.2 投标人需根据招标文件要求提供培训计划。</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13.3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投标人需根据招标文件要求提供所投标的的主要组成部分、功能设计、实现思路及关键技术等。</w:t>
      </w:r>
      <w:r/>
    </w:p>
    <w:p>
      <w:pPr>
        <w:keepLines w:val="0"/>
        <w:keepNext w:val="0"/>
        <w:pageBreakBefore w:val="0"/>
        <w:spacing w:line="520" w:lineRule="exact"/>
        <w:rPr>
          <w:rFonts w:ascii="仿宋" w:hAnsi="仿宋" w:eastAsia="仿宋"/>
          <w:color w:val="auto"/>
          <w:sz w:val="28"/>
          <w:szCs w:val="28"/>
          <w:highlight w:val="none"/>
        </w:rPr>
        <w:outlineLvl w:val="9"/>
      </w:pPr>
      <w:r/>
      <w:bookmarkStart w:id="4" w:name="_Toc49090510"/>
      <w:r/>
      <w:bookmarkStart w:id="5" w:name="_Toc14577359"/>
      <w:r>
        <w:rPr>
          <w:rFonts w:hint="eastAsia" w:ascii="仿宋" w:hAnsi="仿宋" w:eastAsia="仿宋"/>
          <w:color w:val="auto"/>
          <w:sz w:val="28"/>
          <w:szCs w:val="28"/>
          <w:highlight w:val="none"/>
        </w:rPr>
        <w:t xml:space="preserve">14.投标函和开标一览表</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14.1 投标人应按照招标文件中提供的格式完整、正确填写投标函、开标一览表。</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4"/>
      <w:bookmarkEnd w:id="5"/>
      <w:r/>
    </w:p>
    <w:p>
      <w:pPr>
        <w:keepLines w:val="0"/>
        <w:keepNext w:val="0"/>
        <w:pageBreakBefore w:val="0"/>
        <w:spacing w:line="520" w:lineRule="exact"/>
        <w:rPr>
          <w:rFonts w:ascii="仿宋" w:hAnsi="仿宋" w:eastAsia="仿宋"/>
          <w:color w:val="auto"/>
          <w:sz w:val="28"/>
          <w:szCs w:val="28"/>
          <w:highlight w:val="none"/>
        </w:rPr>
        <w:outlineLvl w:val="9"/>
      </w:pPr>
      <w:r/>
      <w:bookmarkStart w:id="6" w:name="_Toc49090511"/>
      <w:r/>
      <w:bookmarkStart w:id="7" w:name="_Toc14577360"/>
      <w:r>
        <w:rPr>
          <w:rFonts w:hint="eastAsia" w:ascii="仿宋" w:hAnsi="仿宋" w:eastAsia="仿宋"/>
          <w:color w:val="auto"/>
          <w:sz w:val="28"/>
          <w:szCs w:val="28"/>
          <w:highlight w:val="none"/>
        </w:rPr>
        <w:t xml:space="preserve">15.投标有效期</w:t>
      </w:r>
      <w:bookmarkEnd w:id="6"/>
      <w:r/>
      <w:bookmarkEnd w:id="7"/>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15.1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投标有效期为</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规定的开标之日后</w:t>
      </w:r>
      <w:r>
        <w:rPr>
          <w:rFonts w:hint="eastAsia" w:ascii="仿宋" w:hAnsi="仿宋" w:eastAsia="仿宋"/>
          <w:color w:val="auto"/>
          <w:sz w:val="28"/>
          <w:szCs w:val="28"/>
          <w:highlight w:val="none"/>
          <w:lang w:val="en-US" w:eastAsia="zh-CN"/>
        </w:rPr>
        <w:t xml:space="preserve">九</w:t>
      </w:r>
      <w:r>
        <w:rPr>
          <w:rFonts w:hint="eastAsia" w:ascii="仿宋" w:hAnsi="仿宋" w:eastAsia="仿宋"/>
          <w:color w:val="auto"/>
          <w:sz w:val="28"/>
          <w:szCs w:val="28"/>
          <w:highlight w:val="none"/>
        </w:rPr>
        <w:t xml:space="preserve">十（</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0）天。投标有效期比规定短的将被视为未实质性响应招标文件而予以拒绝。</w:t>
      </w:r>
      <w:r/>
    </w:p>
    <w:p>
      <w:pPr>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16.投标有效期的延长</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16.1在特殊情况下，</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于原投标有效期满之前，可向投标人提出延长投标有效期的要求。这种要求与答复均应采用书面形式。投标人可以拒绝</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color w:val="auto"/>
          <w:sz w:val="28"/>
          <w:szCs w:val="28"/>
          <w:highlight w:val="none"/>
          <w:lang w:eastAsia="zh-CN"/>
        </w:rPr>
        <w:outlineLvl w:val="9"/>
      </w:pPr>
      <w:r>
        <w:rPr>
          <w:rFonts w:hint="eastAsia" w:ascii="仿宋" w:hAnsi="仿宋" w:eastAsia="仿宋"/>
          <w:bCs/>
          <w:color w:val="auto"/>
          <w:sz w:val="28"/>
          <w:szCs w:val="28"/>
          <w:highlight w:val="none"/>
        </w:rPr>
        <w:t xml:space="preserve">17.方案部分</w:t>
      </w:r>
      <w:r/>
    </w:p>
    <w:p>
      <w:pPr>
        <w:ind w:firstLine="560"/>
        <w:keepLines w:val="0"/>
        <w:keepNext w:val="0"/>
        <w:pageBreakBefore w:val="0"/>
        <w:spacing w:line="52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17.1</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本项目评标标准中的方案部分采用</w:t>
      </w:r>
      <w:r>
        <w:rPr>
          <w:rFonts w:hint="eastAsia" w:ascii="仿宋" w:hAnsi="仿宋" w:eastAsia="仿宋"/>
          <w:bCs/>
          <w:color w:val="auto"/>
          <w:sz w:val="28"/>
          <w:szCs w:val="28"/>
          <w:highlight w:val="none"/>
          <w:lang w:val="en-US" w:eastAsia="zh-CN"/>
        </w:rPr>
        <w:t xml:space="preserve">明</w:t>
      </w:r>
      <w:r>
        <w:rPr>
          <w:rFonts w:hint="eastAsia" w:ascii="仿宋" w:hAnsi="仿宋" w:eastAsia="仿宋"/>
          <w:bCs/>
          <w:color w:val="auto"/>
          <w:sz w:val="28"/>
          <w:szCs w:val="28"/>
          <w:highlight w:val="none"/>
        </w:rPr>
        <w:t xml:space="preserve">标方式进行评审。</w:t>
      </w:r>
      <w:r/>
    </w:p>
    <w:p>
      <w:pPr>
        <w:ind w:firstLine="560"/>
        <w:keepLines w:val="0"/>
        <w:keepNext w:val="0"/>
        <w:pageBreakBefore w:val="0"/>
        <w:spacing w:line="520" w:lineRule="exact"/>
        <w:rPr>
          <w:rFonts w:ascii="仿宋" w:hAnsi="仿宋" w:eastAsia="仿宋"/>
          <w:bCs/>
          <w:color w:val="auto"/>
          <w:sz w:val="28"/>
          <w:szCs w:val="28"/>
          <w:highlight w:val="none"/>
          <w:lang w:val="en-US" w:eastAsia="zh-CN"/>
        </w:rPr>
        <w:outlineLvl w:val="9"/>
      </w:pPr>
      <w:r>
        <w:rPr>
          <w:rFonts w:hint="eastAsia" w:ascii="仿宋" w:hAnsi="仿宋" w:eastAsia="仿宋"/>
          <w:bCs/>
          <w:color w:val="auto"/>
          <w:sz w:val="28"/>
          <w:szCs w:val="28"/>
          <w:highlight w:val="none"/>
        </w:rPr>
        <w:t xml:space="preserve">17.2</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方案部分采用</w:t>
      </w:r>
      <w:r>
        <w:rPr>
          <w:rFonts w:hint="eastAsia" w:ascii="仿宋" w:hAnsi="仿宋" w:eastAsia="仿宋"/>
          <w:bCs/>
          <w:color w:val="auto"/>
          <w:sz w:val="28"/>
          <w:szCs w:val="28"/>
          <w:highlight w:val="none"/>
          <w:lang w:val="en-US" w:eastAsia="zh-CN"/>
        </w:rPr>
        <w:t xml:space="preserve">明</w:t>
      </w:r>
      <w:r>
        <w:rPr>
          <w:rFonts w:hint="eastAsia" w:ascii="仿宋" w:hAnsi="仿宋" w:eastAsia="仿宋"/>
          <w:bCs/>
          <w:color w:val="auto"/>
          <w:sz w:val="28"/>
          <w:szCs w:val="28"/>
          <w:highlight w:val="none"/>
        </w:rPr>
        <w:t xml:space="preserve">标方式进行评审的</w:t>
      </w:r>
      <w:r>
        <w:rPr>
          <w:rFonts w:hint="eastAsia" w:ascii="仿宋" w:hAnsi="仿宋" w:eastAsia="仿宋"/>
          <w:bCs/>
          <w:color w:val="auto"/>
          <w:sz w:val="28"/>
          <w:szCs w:val="28"/>
          <w:highlight w:val="none"/>
          <w:lang w:eastAsia="zh-CN"/>
        </w:rPr>
        <w:t xml:space="preserve">。</w:t>
      </w:r>
      <w:r/>
    </w:p>
    <w:p>
      <w:pPr>
        <w:ind w:firstLine="560"/>
        <w:keepLines w:val="0"/>
        <w:keepNext w:val="0"/>
        <w:pageBreakBefore w:val="0"/>
        <w:spacing w:line="52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17.3</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lang w:eastAsia="zh-CN"/>
        </w:rPr>
        <w:t xml:space="preserve">投标人</w:t>
      </w:r>
      <w:r>
        <w:rPr>
          <w:rFonts w:hint="eastAsia" w:ascii="仿宋" w:hAnsi="仿宋" w:eastAsia="仿宋"/>
          <w:bCs/>
          <w:color w:val="auto"/>
          <w:sz w:val="28"/>
          <w:szCs w:val="28"/>
          <w:highlight w:val="none"/>
        </w:rPr>
        <w:t xml:space="preserve">应按第17.2的要求编制方案，经三分之二评委认定，</w:t>
      </w:r>
      <w:r>
        <w:rPr>
          <w:rFonts w:hint="eastAsia" w:ascii="仿宋" w:hAnsi="仿宋" w:eastAsia="仿宋"/>
          <w:bCs/>
          <w:color w:val="auto"/>
          <w:sz w:val="28"/>
          <w:szCs w:val="28"/>
          <w:highlight w:val="none"/>
          <w:lang w:eastAsia="zh-CN"/>
        </w:rPr>
        <w:t xml:space="preserve">投标人</w:t>
      </w:r>
      <w:r>
        <w:rPr>
          <w:rFonts w:hint="eastAsia" w:ascii="仿宋" w:hAnsi="仿宋" w:eastAsia="仿宋"/>
          <w:bCs/>
          <w:color w:val="auto"/>
          <w:sz w:val="28"/>
          <w:szCs w:val="28"/>
          <w:highlight w:val="none"/>
        </w:rPr>
        <w:t xml:space="preserve">未按第17.2的要求编制方案的，按未提供方案处理。</w:t>
      </w:r>
      <w:r/>
    </w:p>
    <w:p>
      <w:pPr>
        <w:keepLines w:val="0"/>
        <w:keepNext w:val="0"/>
        <w:pageBreakBefore w:val="0"/>
        <w:spacing w:line="520" w:lineRule="exact"/>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t xml:space="preserve">四、投标文件上传</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18.投标文件的上传</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18.1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投标人应当按照《操作手册》规定，在投标截止时间前</w:t>
      </w:r>
      <w:r>
        <w:rPr>
          <w:rFonts w:ascii="仿宋" w:hAnsi="仿宋" w:eastAsia="仿宋"/>
          <w:color w:val="auto"/>
          <w:sz w:val="28"/>
          <w:szCs w:val="28"/>
          <w:highlight w:val="none"/>
        </w:rPr>
        <w:t xml:space="preserve">制作</w:t>
      </w:r>
      <w:r>
        <w:rPr>
          <w:rFonts w:hint="eastAsia" w:ascii="仿宋" w:hAnsi="仿宋" w:eastAsia="仿宋"/>
          <w:color w:val="auto"/>
          <w:sz w:val="28"/>
          <w:szCs w:val="28"/>
          <w:highlight w:val="none"/>
        </w:rPr>
        <w:t xml:space="preserve">并上传电子投标文件。</w:t>
      </w:r>
      <w:r/>
    </w:p>
    <w:p>
      <w:pPr>
        <w:ind w:firstLine="560"/>
        <w:keepLines w:val="0"/>
        <w:keepNext w:val="0"/>
        <w:pageBreakBefore w:val="0"/>
        <w:spacing w:line="520" w:lineRule="exact"/>
        <w:rPr>
          <w:rFonts w:hint="eastAsia" w:ascii="仿宋" w:hAnsi="仿宋" w:eastAsia="仿宋" w:cs="宋体"/>
          <w:bCs/>
          <w:color w:val="auto"/>
          <w:sz w:val="28"/>
          <w:szCs w:val="28"/>
          <w:highlight w:val="none"/>
          <w:lang w:val="zh-CN"/>
        </w:rPr>
        <w:outlineLvl w:val="9"/>
      </w:pPr>
      <w:r>
        <w:rPr>
          <w:rFonts w:hint="eastAsia" w:ascii="仿宋" w:hAnsi="仿宋" w:eastAsia="仿宋"/>
          <w:color w:val="auto"/>
          <w:sz w:val="28"/>
          <w:szCs w:val="28"/>
          <w:highlight w:val="none"/>
        </w:rPr>
        <w:t xml:space="preserve">18.2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投标人上传的电子投标文件内容不清楚或不清晰的（含扫描</w:t>
      </w:r>
      <w:r>
        <w:rPr>
          <w:rFonts w:hint="eastAsia" w:ascii="仿宋" w:hAnsi="仿宋" w:eastAsia="仿宋" w:cs="宋体"/>
          <w:bCs/>
          <w:color w:val="auto"/>
          <w:sz w:val="28"/>
          <w:szCs w:val="28"/>
          <w:highlight w:val="none"/>
        </w:rPr>
        <w:t xml:space="preserve">件），造成无法评审或部分影响评审的，</w:t>
      </w:r>
      <w:r>
        <w:rPr>
          <w:rFonts w:hint="eastAsia" w:ascii="仿宋" w:hAnsi="仿宋" w:eastAsia="仿宋" w:cs="宋体"/>
          <w:bCs/>
          <w:color w:val="auto"/>
          <w:sz w:val="28"/>
          <w:szCs w:val="28"/>
          <w:highlight w:val="none"/>
          <w:lang w:val="zh-CN"/>
        </w:rPr>
        <w:t xml:space="preserve">责任由</w:t>
      </w:r>
      <w:r>
        <w:rPr>
          <w:rFonts w:hint="eastAsia" w:ascii="仿宋" w:hAnsi="仿宋" w:eastAsia="仿宋" w:cs="宋体"/>
          <w:bCs/>
          <w:color w:val="auto"/>
          <w:sz w:val="28"/>
          <w:szCs w:val="28"/>
          <w:highlight w:val="none"/>
        </w:rPr>
        <w:t xml:space="preserve">投标人</w:t>
      </w:r>
      <w:r>
        <w:rPr>
          <w:rFonts w:hint="eastAsia" w:ascii="仿宋" w:hAnsi="仿宋" w:eastAsia="仿宋" w:cs="宋体"/>
          <w:bCs/>
          <w:color w:val="auto"/>
          <w:sz w:val="28"/>
          <w:szCs w:val="28"/>
          <w:highlight w:val="none"/>
          <w:lang w:val="zh-CN"/>
        </w:rPr>
        <w:t xml:space="preserve">自负。</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18.3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投标人上传电子投标文件的时间不得迟于投标邀请中规定的截止时间。</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18.4</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19.投标文件被拒绝接收的情形</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19.1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在招标文件规定的提交投标文件截止时间后上传的电子投标文件。</w:t>
      </w:r>
      <w:r/>
    </w:p>
    <w:p>
      <w:pPr>
        <w:keepLines w:val="0"/>
        <w:keepNext w:val="0"/>
        <w:pageBreakBefore w:val="0"/>
        <w:spacing w:line="520" w:lineRule="exact"/>
        <w:rPr>
          <w:rFonts w:hint="eastAsia" w:ascii="仿宋" w:hAnsi="仿宋" w:eastAsia="仿宋"/>
          <w:b/>
          <w:color w:val="auto"/>
          <w:sz w:val="28"/>
          <w:szCs w:val="28"/>
          <w:highlight w:val="none"/>
        </w:rPr>
        <w:outlineLvl w:val="9"/>
      </w:pPr>
      <w:r>
        <w:rPr>
          <w:rFonts w:hint="eastAsia" w:ascii="仿宋" w:hAnsi="仿宋" w:eastAsia="仿宋"/>
          <w:color w:val="auto"/>
          <w:sz w:val="28"/>
          <w:szCs w:val="28"/>
          <w:highlight w:val="none"/>
        </w:rPr>
        <w:t xml:space="preserve">20.投标文件的修改和撤回</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20</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20</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投标人不得在开标时间以后修改电子投标文件。</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20</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投标人不得在提交电子投标文件截止时间起至投标有效期满前撤回电子投标文件。</w:t>
      </w:r>
      <w:r/>
    </w:p>
    <w:p>
      <w:pPr>
        <w:numPr>
          <w:ilvl w:val="0"/>
          <w:numId w:val="5"/>
        </w:numPr>
        <w:keepLines w:val="0"/>
        <w:keepNext w:val="0"/>
        <w:pageBreakBefore w:val="0"/>
        <w:spacing w:line="520" w:lineRule="exact"/>
        <w:rPr>
          <w:rFonts w:hint="eastAsia" w:ascii="仿宋" w:hAnsi="仿宋" w:eastAsia="仿宋"/>
          <w:b/>
          <w:color w:val="auto"/>
          <w:sz w:val="32"/>
          <w:szCs w:val="32"/>
          <w:highlight w:val="none"/>
        </w:rPr>
        <w:outlineLvl w:val="9"/>
      </w:pPr>
      <w:r/>
      <w:bookmarkStart w:id="8" w:name="_Toc162083530"/>
      <w:r>
        <w:rPr>
          <w:rFonts w:hint="eastAsia" w:ascii="仿宋" w:hAnsi="仿宋" w:eastAsia="仿宋"/>
          <w:b/>
          <w:color w:val="auto"/>
          <w:sz w:val="32"/>
          <w:szCs w:val="32"/>
          <w:highlight w:val="none"/>
        </w:rPr>
        <w:t xml:space="preserve">开标及评标</w:t>
      </w:r>
      <w:bookmarkEnd w:id="8"/>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.开标</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.1 </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将在招标公告中规定的时间和地点组织开标。投标人应当按照《操作手册》规定，</w:t>
      </w:r>
      <w:r>
        <w:rPr>
          <w:rFonts w:ascii="仿宋" w:hAnsi="仿宋" w:eastAsia="仿宋"/>
          <w:color w:val="auto"/>
          <w:sz w:val="28"/>
          <w:szCs w:val="28"/>
          <w:highlight w:val="none"/>
        </w:rPr>
        <w:t xml:space="preserve">参加开标活动</w:t>
      </w:r>
      <w:r>
        <w:rPr>
          <w:rFonts w:hint="eastAsia" w:ascii="仿宋" w:hAnsi="仿宋" w:eastAsia="仿宋"/>
          <w:color w:val="auto"/>
          <w:sz w:val="28"/>
          <w:szCs w:val="28"/>
          <w:highlight w:val="none"/>
        </w:rPr>
        <w:t xml:space="preserve">和在苏采云系统规定的时间内对投标文件进行解密。</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开标仪式由</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组织。苏采云系统将自动对</w:t>
      </w:r>
      <w:r>
        <w:rPr>
          <w:rFonts w:ascii="仿宋" w:hAnsi="仿宋" w:eastAsia="仿宋"/>
          <w:color w:val="auto"/>
          <w:sz w:val="28"/>
          <w:szCs w:val="28"/>
          <w:highlight w:val="none"/>
        </w:rPr>
        <w:t xml:space="preserve">项目进行开标，</w:t>
      </w:r>
      <w:r>
        <w:rPr>
          <w:rFonts w:hint="eastAsia" w:ascii="仿宋" w:hAnsi="仿宋" w:eastAsia="仿宋"/>
          <w:color w:val="auto"/>
          <w:sz w:val="28"/>
          <w:szCs w:val="28"/>
          <w:highlight w:val="none"/>
        </w:rPr>
        <w:t xml:space="preserve">并宣布各投标人名称和投标价格。</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投标人在开标过程中</w:t>
      </w:r>
      <w:r>
        <w:rPr>
          <w:rFonts w:hint="eastAsia" w:ascii="仿宋" w:hAnsi="仿宋" w:eastAsia="仿宋"/>
          <w:color w:val="auto"/>
          <w:sz w:val="28"/>
          <w:szCs w:val="28"/>
          <w:highlight w:val="none"/>
          <w:lang w:eastAsia="zh-CN"/>
        </w:rPr>
        <w:t xml:space="preserve">涉及</w:t>
      </w:r>
      <w:r>
        <w:rPr>
          <w:rFonts w:hint="eastAsia" w:ascii="仿宋" w:hAnsi="仿宋" w:eastAsia="仿宋"/>
          <w:color w:val="auto"/>
          <w:sz w:val="28"/>
          <w:szCs w:val="28"/>
          <w:highlight w:val="none"/>
        </w:rPr>
        <w:t xml:space="preserve">的投标文件解密、开标结果确认等工作，应按照《操作手册》规定执行。</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.4</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仿宋" w:hAnsi="仿宋" w:eastAsia="仿宋"/>
          <w:color w:val="auto"/>
          <w:sz w:val="28"/>
          <w:szCs w:val="28"/>
          <w:highlight w:val="none"/>
        </w:rPr>
        <w:outlineLvl w:val="9"/>
      </w:pPr>
      <w:r/>
      <w:bookmarkStart w:id="9" w:name="_Toc513029231"/>
      <w:r/>
      <w:bookmarkStart w:id="10" w:name="_Toc16938547"/>
      <w:r/>
      <w:bookmarkStart w:id="11" w:name="_Toc20823303"/>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.评标委员会</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开标后，</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将立即组织评标委员会（以下简称评委会）进行评标。</w:t>
      </w:r>
      <w:r/>
    </w:p>
    <w:p>
      <w:pPr>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2</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.2 评委会由采购人代表和有关技术、经济等方面的专家组成，且人员构成符合政府采购有关规定。</w:t>
      </w:r>
      <w:r/>
    </w:p>
    <w:p>
      <w:pPr>
        <w:ind w:firstLine="28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2</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评委会独立工作，负责评审所有投标文件并确定中标</w:t>
      </w:r>
      <w:r>
        <w:rPr>
          <w:rFonts w:hint="eastAsia" w:ascii="仿宋" w:hAnsi="仿宋" w:eastAsia="仿宋"/>
          <w:color w:val="auto"/>
          <w:sz w:val="28"/>
          <w:szCs w:val="28"/>
          <w:highlight w:val="none"/>
          <w:lang w:eastAsia="zh-CN"/>
        </w:rPr>
        <w:t xml:space="preserve">候</w:t>
      </w:r>
      <w:r>
        <w:rPr>
          <w:rFonts w:hint="eastAsia" w:ascii="仿宋" w:hAnsi="仿宋" w:eastAsia="仿宋"/>
          <w:color w:val="auto"/>
          <w:sz w:val="28"/>
          <w:szCs w:val="28"/>
          <w:highlight w:val="none"/>
        </w:rPr>
        <w:t xml:space="preserve">选人。</w:t>
      </w:r>
      <w:r/>
    </w:p>
    <w:p>
      <w:pPr>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．评标过程的保密与公正</w:t>
      </w:r>
      <w:bookmarkEnd w:id="9"/>
      <w:r/>
      <w:bookmarkEnd w:id="10"/>
      <w:r/>
      <w:bookmarkEnd w:id="11"/>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凡是与审查、澄清、评价和比较投标的有关资料以及</w:t>
      </w:r>
      <w:r>
        <w:rPr>
          <w:rFonts w:hint="eastAsia" w:ascii="仿宋" w:hAnsi="仿宋" w:eastAsia="仿宋"/>
          <w:color w:val="auto"/>
          <w:sz w:val="28"/>
          <w:szCs w:val="28"/>
          <w:highlight w:val="none"/>
          <w:lang w:eastAsia="zh-CN"/>
        </w:rPr>
        <w:t xml:space="preserve">投标</w:t>
      </w:r>
      <w:r>
        <w:rPr>
          <w:rFonts w:hint="eastAsia" w:ascii="仿宋" w:hAnsi="仿宋" w:eastAsia="仿宋"/>
          <w:color w:val="auto"/>
          <w:sz w:val="28"/>
          <w:szCs w:val="28"/>
          <w:highlight w:val="none"/>
        </w:rPr>
        <w:t xml:space="preserve">建议等，采购人、评委、</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均不得向投标人或与评标无关的其他人员透露。</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在评标过程中，投标人不得以任何行为影响评标过程，否则其投标文件将被作为无效投标文件。</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和评标委员会不向未中标的投标人解释未中标原因，也不公布评标过程中的相关细节。</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 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仿宋" w:hAnsi="仿宋" w:eastAsia="仿宋"/>
          <w:color w:val="auto"/>
          <w:sz w:val="28"/>
          <w:szCs w:val="28"/>
          <w:highlight w:val="none"/>
        </w:rPr>
        <w:outlineLvl w:val="9"/>
      </w:pPr>
      <w:r/>
      <w:bookmarkStart w:id="12" w:name="_Toc20823304"/>
      <w:r/>
      <w:bookmarkStart w:id="13" w:name="_Toc16938548"/>
      <w:r/>
      <w:bookmarkStart w:id="14" w:name="_Toc513029232"/>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．投标文件的澄清</w:t>
      </w:r>
      <w:bookmarkEnd w:id="12"/>
      <w:r/>
      <w:bookmarkEnd w:id="13"/>
      <w:r/>
      <w:bookmarkEnd w:id="14"/>
      <w:r/>
      <w:r/>
    </w:p>
    <w:p>
      <w:pPr>
        <w:ind w:firstLine="560"/>
        <w:keepLines w:val="0"/>
        <w:keepNext w:val="0"/>
        <w:pageBreakBefore w:val="0"/>
        <w:spacing w:line="520" w:lineRule="exact"/>
        <w:rPr>
          <w:rFonts w:ascii="仿宋" w:hAnsi="仿宋" w:eastAsia="仿宋"/>
          <w:color w:val="auto"/>
          <w:sz w:val="28"/>
          <w:szCs w:val="28"/>
          <w:highlight w:val="none"/>
        </w:rPr>
        <w:outlineLvl w:val="9"/>
      </w:pPr>
      <w:r/>
      <w:bookmarkStart w:id="15" w:name="_Toc16938549"/>
      <w:r/>
      <w:bookmarkStart w:id="16" w:name="_Toc20823305"/>
      <w:r/>
      <w:bookmarkStart w:id="17" w:name="_Toc513029233"/>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评</w:t>
      </w:r>
      <w:r>
        <w:rPr>
          <w:rFonts w:ascii="仿宋" w:hAnsi="仿宋" w:eastAsia="仿宋"/>
          <w:color w:val="auto"/>
          <w:sz w:val="28"/>
          <w:szCs w:val="28"/>
          <w:highlight w:val="none"/>
        </w:rPr>
        <w:t xml:space="preserve">委会并非对每个投标人都做澄清要求</w:t>
      </w:r>
      <w:r>
        <w:rPr>
          <w:rFonts w:hint="eastAsia" w:ascii="仿宋" w:hAnsi="仿宋" w:eastAsia="仿宋"/>
          <w:color w:val="auto"/>
          <w:sz w:val="28"/>
          <w:szCs w:val="28"/>
          <w:highlight w:val="none"/>
        </w:rPr>
        <w:t xml:space="preserve">。</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需要</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进行澄清、说明和补正的，评委会将通过苏采云系统向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.3 接到评委会澄清、说明和补正要求的投标人如未按规定</w:t>
      </w:r>
      <w:r>
        <w:rPr>
          <w:rFonts w:hint="eastAsia" w:ascii="仿宋" w:hAnsi="仿宋" w:eastAsia="仿宋"/>
          <w:color w:val="auto"/>
          <w:sz w:val="28"/>
          <w:szCs w:val="28"/>
          <w:highlight w:val="none"/>
          <w:lang w:eastAsia="zh-CN"/>
        </w:rPr>
        <w:t xml:space="preserve">作出</w:t>
      </w:r>
      <w:r>
        <w:rPr>
          <w:rFonts w:hint="eastAsia" w:ascii="仿宋" w:hAnsi="仿宋" w:eastAsia="仿宋"/>
          <w:color w:val="auto"/>
          <w:sz w:val="28"/>
          <w:szCs w:val="28"/>
          <w:highlight w:val="none"/>
        </w:rPr>
        <w:t xml:space="preserve">澄清、说明和补正，其风险由投标人自行承担。</w:t>
      </w:r>
      <w:r/>
    </w:p>
    <w:p>
      <w:pPr>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.对投标文件的初审</w:t>
      </w:r>
      <w:bookmarkEnd w:id="15"/>
      <w:r/>
      <w:bookmarkEnd w:id="16"/>
      <w:r/>
      <w:bookmarkEnd w:id="17"/>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投标文件初审分为资格审查和符合性审查。</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接受联合体的项目，两个以上的自然人、法人或者其他组织组成一个联合体，以一个</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的身份共同参加政府采购活动的,联合体成员中任何一方存在不良信用记录的，视同联合体存在不良应用记录。</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.1.3 未通过资格审查或符合性审查的投标人，</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将在苏采云系统中告知未通过资格审查或符合性审查的原因，评审结束后，</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将不再告知未通过资格审查或符合性审查的原因。</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如果投标文件实质上没有响应招标文件的要求，评委会将予以拒绝，投标人不得通过修改或撤销</w:t>
      </w:r>
      <w:r>
        <w:rPr>
          <w:rFonts w:hint="eastAsia" w:ascii="仿宋" w:hAnsi="仿宋" w:eastAsia="仿宋"/>
          <w:color w:val="auto"/>
          <w:sz w:val="28"/>
          <w:szCs w:val="28"/>
          <w:highlight w:val="none"/>
          <w:lang w:eastAsia="zh-CN"/>
        </w:rPr>
        <w:t xml:space="preserve">不符</w:t>
      </w:r>
      <w:r>
        <w:rPr>
          <w:rFonts w:hint="eastAsia" w:ascii="仿宋" w:hAnsi="仿宋" w:eastAsia="仿宋"/>
          <w:color w:val="auto"/>
          <w:sz w:val="28"/>
          <w:szCs w:val="28"/>
          <w:highlight w:val="none"/>
        </w:rPr>
        <w:t xml:space="preserve">合要求的偏离或保留而使其投标成为实质性响应的投标。</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.4</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（2）大写金额和小写金额不一致的，以大写金额为准。</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同时出现两种以上错误的，按照前款规定的顺序修正。</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.5</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评委会将按上述修正错误的方法调整投标文件中的投标报价，并</w:t>
      </w:r>
      <w:r>
        <w:rPr>
          <w:rFonts w:ascii="仿宋" w:hAnsi="仿宋" w:eastAsia="仿宋"/>
          <w:color w:val="auto"/>
          <w:sz w:val="28"/>
          <w:szCs w:val="28"/>
          <w:highlight w:val="none"/>
        </w:rPr>
        <w:t xml:space="preserve">通过</w:t>
      </w:r>
      <w:r>
        <w:rPr>
          <w:rFonts w:hint="eastAsia" w:ascii="仿宋" w:hAnsi="仿宋" w:eastAsia="仿宋"/>
          <w:color w:val="auto"/>
          <w:sz w:val="28"/>
          <w:szCs w:val="28"/>
          <w:highlight w:val="none"/>
        </w:rPr>
        <w:t xml:space="preserve">苏采云系统告知</w:t>
      </w:r>
      <w:r>
        <w:rPr>
          <w:rFonts w:ascii="仿宋" w:hAnsi="仿宋" w:eastAsia="仿宋"/>
          <w:color w:val="auto"/>
          <w:sz w:val="28"/>
          <w:szCs w:val="28"/>
          <w:highlight w:val="none"/>
        </w:rPr>
        <w:t xml:space="preserve">投标人，</w:t>
      </w:r>
      <w:r>
        <w:rPr>
          <w:rFonts w:hint="eastAsia" w:ascii="仿宋" w:hAnsi="仿宋" w:eastAsia="仿宋"/>
          <w:color w:val="auto"/>
          <w:sz w:val="28"/>
          <w:szCs w:val="28"/>
          <w:highlight w:val="none"/>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color w:val="auto"/>
          <w:sz w:val="28"/>
          <w:szCs w:val="28"/>
          <w:highlight w:val="none"/>
        </w:rPr>
        <w:outlineLvl w:val="9"/>
      </w:pPr>
      <w:r/>
      <w:bookmarkStart w:id="18" w:name="_Toc20823306"/>
      <w:r/>
      <w:bookmarkStart w:id="19" w:name="_Toc16938550"/>
      <w:r/>
      <w:bookmarkStart w:id="20" w:name="_Toc513029234"/>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.6</w:t>
      </w:r>
      <w:r>
        <w:rPr>
          <w:rFonts w:hint="eastAsia" w:ascii="仿宋" w:hAnsi="仿宋" w:eastAsia="仿宋"/>
          <w:color w:val="auto"/>
          <w:sz w:val="28"/>
          <w:szCs w:val="28"/>
          <w:highlight w:val="none"/>
          <w:lang w:val="en-US" w:eastAsia="zh-CN"/>
        </w:rPr>
        <w:t xml:space="preserve"> </w:t>
      </w:r>
      <w:r>
        <w:rPr>
          <w:rFonts w:ascii="仿宋" w:hAnsi="仿宋" w:eastAsia="仿宋"/>
          <w:color w:val="auto"/>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 xml:space="preserve">按照招标文件规定的方式（招标文件未规定的通过</w:t>
      </w:r>
      <w:r>
        <w:rPr>
          <w:rFonts w:ascii="仿宋" w:hAnsi="仿宋" w:eastAsia="仿宋"/>
          <w:color w:val="auto"/>
          <w:sz w:val="28"/>
          <w:szCs w:val="28"/>
          <w:highlight w:val="none"/>
        </w:rPr>
        <w:t xml:space="preserve">随机抽取</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确定一个参加评标的投标人，其他投标无效。</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highlight w:val="none"/>
        </w:rPr>
        <w:t xml:space="preserve">根据招标文件规定的方式（招标文件未规定的采取随机抽取的方式）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一个中标候选人</w:t>
      </w:r>
      <w:r>
        <w:rPr>
          <w:rFonts w:ascii="仿宋" w:hAnsi="仿宋" w:eastAsia="仿宋"/>
          <w:color w:val="auto"/>
          <w:sz w:val="28"/>
          <w:szCs w:val="28"/>
          <w:highlight w:val="none"/>
        </w:rPr>
        <w:t xml:space="preserve">，其他同品牌投标人不作为中标候选人。</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t xml:space="preserve">非单一产品采购项目，招标文件中</w:t>
      </w:r>
      <w:r>
        <w:rPr>
          <w:rFonts w:hint="eastAsia" w:ascii="仿宋" w:hAnsi="仿宋" w:eastAsia="仿宋"/>
          <w:color w:val="auto"/>
          <w:sz w:val="28"/>
          <w:szCs w:val="28"/>
          <w:highlight w:val="none"/>
        </w:rPr>
        <w:t xml:space="preserve">将载明其中的核心产品</w:t>
      </w:r>
      <w:r>
        <w:rPr>
          <w:rFonts w:ascii="仿宋" w:hAnsi="仿宋" w:eastAsia="仿宋"/>
          <w:color w:val="auto"/>
          <w:sz w:val="28"/>
          <w:szCs w:val="28"/>
          <w:highlight w:val="none"/>
        </w:rPr>
        <w:t xml:space="preserve">。多家投标人提供的核心产品品牌相同的，按前两款规定处理。</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.7</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投标人在开、评标全过程中应保持通讯畅通，及时登录苏采云系统查阅</w:t>
      </w:r>
      <w:r>
        <w:rPr>
          <w:rFonts w:ascii="仿宋" w:hAnsi="仿宋" w:eastAsia="仿宋"/>
          <w:color w:val="auto"/>
          <w:sz w:val="28"/>
          <w:szCs w:val="28"/>
          <w:highlight w:val="none"/>
        </w:rPr>
        <w:t xml:space="preserve">、答复相关</w:t>
      </w:r>
      <w:r>
        <w:rPr>
          <w:rFonts w:hint="eastAsia" w:ascii="仿宋" w:hAnsi="仿宋" w:eastAsia="仿宋"/>
          <w:color w:val="auto"/>
          <w:sz w:val="28"/>
          <w:szCs w:val="28"/>
          <w:highlight w:val="none"/>
        </w:rPr>
        <w:t xml:space="preserve">信息</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并安排专人与</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及评标委员会联系。</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25.8 异常低价投标审查</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25.8.1 评标过程中出现下列情形之一的，评标委员会应当启动异常低价投标审查程序：</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（4）评审委员会基于专业判断，认为供应商报价过低，有可能影响产品质量或者不能诚信履约的其他情形。 </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bookmarkEnd w:id="18"/>
      <w:r/>
      <w:bookmarkEnd w:id="19"/>
      <w:r/>
      <w:bookmarkEnd w:id="20"/>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.无效投标条款和废标条款</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二</w:t>
      </w:r>
      <w:r>
        <w:rPr>
          <w:rFonts w:hint="eastAsia" w:ascii="仿宋" w:hAnsi="仿宋" w:eastAsia="仿宋" w:cs="仿宋"/>
          <w:color w:val="auto"/>
          <w:sz w:val="28"/>
          <w:szCs w:val="28"/>
          <w:highlight w:val="none"/>
        </w:rPr>
        <w:t xml:space="preserve">个采购包通用）</w:t>
      </w:r>
      <w:r/>
    </w:p>
    <w:p>
      <w:pPr>
        <w:ind w:firstLine="560"/>
        <w:keepLines w:val="0"/>
        <w:keepNext w:val="0"/>
        <w:pageBreakBefore w:val="0"/>
        <w:spacing w:line="520" w:lineRule="exact"/>
        <w:rPr>
          <w:rFonts w:ascii="仿宋" w:hAnsi="仿宋" w:eastAsia="仿宋"/>
          <w:color w:val="auto"/>
          <w:sz w:val="28"/>
          <w:szCs w:val="28"/>
          <w:highlight w:val="none"/>
        </w:rPr>
        <w:outlineLvl w:val="9"/>
      </w:pPr>
      <w:r/>
      <w:bookmarkStart w:id="21" w:name="_Toc20823307"/>
      <w:r/>
      <w:bookmarkStart w:id="22" w:name="_Toc16938551"/>
      <w:r/>
      <w:bookmarkStart w:id="23" w:name="_Toc513029235"/>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.1无效投标条款</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.1.1 投标人在苏采云系统规定的时间内未成功解密电子投标文件的。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投标人未按照招标文件要求上传电子投标文件的。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同一投标人提交两个</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含</w:t>
      </w:r>
      <w:r>
        <w:rPr>
          <w:rFonts w:ascii="仿宋" w:hAnsi="仿宋" w:eastAsia="仿宋"/>
          <w:color w:val="auto"/>
          <w:sz w:val="28"/>
          <w:szCs w:val="28"/>
          <w:highlight w:val="none"/>
        </w:rPr>
        <w:t xml:space="preserve">两个）</w:t>
      </w:r>
      <w:r>
        <w:rPr>
          <w:rFonts w:hint="eastAsia" w:ascii="仿宋" w:hAnsi="仿宋" w:eastAsia="仿宋"/>
          <w:color w:val="auto"/>
          <w:sz w:val="28"/>
          <w:szCs w:val="28"/>
          <w:highlight w:val="none"/>
        </w:rPr>
        <w:t xml:space="preserve">以上不同的</w:t>
      </w:r>
      <w:r>
        <w:rPr>
          <w:rFonts w:ascii="仿宋" w:hAnsi="仿宋" w:eastAsia="仿宋"/>
          <w:color w:val="auto"/>
          <w:sz w:val="28"/>
          <w:szCs w:val="28"/>
          <w:highlight w:val="none"/>
        </w:rPr>
        <w:t xml:space="preserve">投标报价的。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投标人不具备招标文件中规定资格要求的。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投标人的报价超过了采购预算或最高限价的。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未通过符合性审查的。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不符合招标文件中规定的实质性要求和条件的（实质性要求和条件是指本招标文件中用带星号（“★”）的商务和技术要求）。</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8</w:t>
      </w:r>
      <w:r>
        <w:rPr>
          <w:rFonts w:hint="eastAsia" w:ascii="仿宋" w:hAnsi="仿宋" w:eastAsia="仿宋"/>
          <w:color w:val="auto"/>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9</w:t>
      </w:r>
      <w:r>
        <w:rPr>
          <w:rFonts w:hint="eastAsia" w:ascii="仿宋" w:hAnsi="仿宋" w:eastAsia="仿宋"/>
          <w:color w:val="auto"/>
          <w:sz w:val="28"/>
          <w:szCs w:val="28"/>
          <w:highlight w:val="none"/>
        </w:rPr>
        <w:t xml:space="preserve"> 投标文件含有采购人不能接受的附加条件的。</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10</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评标委员会按照本招标文件规定对投标人进行异常低价投标审查后，认为投标人不能证明其报价合理性的。</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.1.1</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按照第 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.4的要求本项目中具有“强制采购”产品，但未提供经国家确定的认证机构出具的、处于有效期之内该节能产品认证证书图片的；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投标文件未按照招标文件要求加盖CA电子公章的。</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.1.1</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其他</w:t>
      </w:r>
      <w:r>
        <w:rPr>
          <w:rFonts w:hint="eastAsia" w:ascii="仿宋" w:hAnsi="仿宋" w:eastAsia="仿宋"/>
          <w:color w:val="auto"/>
          <w:sz w:val="28"/>
          <w:szCs w:val="28"/>
          <w:highlight w:val="none"/>
          <w:lang w:eastAsia="zh-CN"/>
        </w:rPr>
        <w:t xml:space="preserve">法律法规</w:t>
      </w:r>
      <w:r>
        <w:rPr>
          <w:rFonts w:hint="eastAsia" w:ascii="仿宋" w:hAnsi="仿宋" w:eastAsia="仿宋"/>
          <w:color w:val="auto"/>
          <w:sz w:val="28"/>
          <w:szCs w:val="28"/>
          <w:highlight w:val="none"/>
        </w:rPr>
        <w:t xml:space="preserve">及本招标文件规定的</w:t>
      </w:r>
      <w:r>
        <w:rPr>
          <w:rFonts w:hint="eastAsia" w:ascii="仿宋" w:hAnsi="仿宋" w:eastAsia="仿宋"/>
          <w:color w:val="auto"/>
          <w:sz w:val="28"/>
          <w:szCs w:val="28"/>
          <w:highlight w:val="none"/>
          <w:lang w:eastAsia="zh-CN"/>
        </w:rPr>
        <w:t xml:space="preserve">属于</w:t>
      </w:r>
      <w:r>
        <w:rPr>
          <w:rFonts w:hint="eastAsia" w:ascii="仿宋" w:hAnsi="仿宋" w:eastAsia="仿宋"/>
          <w:color w:val="auto"/>
          <w:sz w:val="28"/>
          <w:szCs w:val="28"/>
          <w:highlight w:val="none"/>
        </w:rPr>
        <w:t xml:space="preserve">无效投标的情形。</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26.1.14 投标人未按照招标文件第五章 项目采购需求“二、</w:t>
      </w:r>
      <w:r>
        <w:rPr>
          <w:rFonts w:hint="eastAsia" w:ascii="仿宋" w:hAnsi="仿宋" w:eastAsia="仿宋"/>
          <w:color w:val="auto"/>
          <w:sz w:val="28"/>
          <w:szCs w:val="28"/>
          <w:highlight w:val="none"/>
          <w:lang w:val="en-US" w:eastAsia="zh-CN"/>
        </w:rPr>
        <w:t xml:space="preserve">基本要求</w:t>
      </w:r>
      <w:r>
        <w:rPr>
          <w:rFonts w:hint="eastAsia" w:ascii="仿宋" w:hAnsi="仿宋" w:eastAsia="仿宋"/>
          <w:color w:val="auto"/>
          <w:sz w:val="28"/>
          <w:szCs w:val="28"/>
          <w:highlight w:val="none"/>
        </w:rPr>
        <w:t xml:space="preserve">”相关要求提供承诺、分析或证明材料的。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废标条款</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符合专业条件的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或者对招标文件作实质响应的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不足三家的。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出现影响采购公正的违法、违规行为的。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因重大变故，采购任务取消的。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.2.4</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评标委员会认定招标文件存在歧义、重大缺陷导致评审工作无法进行。</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.2.5 因苏采云</w:t>
      </w:r>
      <w:r>
        <w:rPr>
          <w:rFonts w:hint="eastAsia" w:ascii="仿宋" w:hAnsi="仿宋" w:eastAsia="仿宋"/>
          <w:color w:val="auto"/>
          <w:sz w:val="28"/>
          <w:szCs w:val="28"/>
          <w:highlight w:val="none"/>
          <w:lang w:eastAsia="zh-CN"/>
        </w:rPr>
        <w:t xml:space="preserve">系统故障</w:t>
      </w:r>
      <w:r>
        <w:rPr>
          <w:rFonts w:ascii="仿宋" w:hAnsi="仿宋" w:eastAsia="仿宋"/>
          <w:color w:val="auto"/>
          <w:sz w:val="28"/>
          <w:szCs w:val="28"/>
          <w:highlight w:val="none"/>
        </w:rPr>
        <w:t xml:space="preserve">原因造成开标不成功</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.3 投标截止时间结束后参加投标的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不足三家的处理：</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.3.1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如出现投标截止时间结束后参加投标的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或者在评标期间对招标文件做出实质响应的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不足三家情况，按政府采购相关规定执行。</w:t>
      </w:r>
      <w:bookmarkEnd w:id="21"/>
      <w:bookmarkEnd w:id="22"/>
      <w:bookmarkEnd w:id="23"/>
      <w:r/>
    </w:p>
    <w:p>
      <w:pPr>
        <w:numPr>
          <w:ilvl w:val="0"/>
          <w:numId w:val="5"/>
        </w:numPr>
        <w:ind w:firstLine="482"/>
        <w:keepLines w:val="0"/>
        <w:keepNext w:val="0"/>
        <w:pageBreakBefore w:val="0"/>
        <w:spacing w:line="520" w:lineRule="exact"/>
        <w:rPr>
          <w:rFonts w:ascii="仿宋" w:hAnsi="仿宋" w:eastAsia="仿宋"/>
          <w:b/>
          <w:color w:val="auto"/>
          <w:sz w:val="32"/>
          <w:szCs w:val="32"/>
          <w:highlight w:val="none"/>
        </w:rPr>
        <w:outlineLvl w:val="9"/>
      </w:pPr>
      <w:r/>
      <w:bookmarkStart w:id="24" w:name="_Toc120614219"/>
      <w:r>
        <w:rPr>
          <w:rFonts w:hint="eastAsia" w:ascii="仿宋" w:hAnsi="仿宋" w:eastAsia="仿宋"/>
          <w:b/>
          <w:color w:val="auto"/>
          <w:sz w:val="32"/>
          <w:szCs w:val="32"/>
          <w:highlight w:val="none"/>
        </w:rPr>
        <w:t xml:space="preserve">定标</w:t>
      </w:r>
      <w:bookmarkEnd w:id="24"/>
      <w:r/>
      <w:r/>
    </w:p>
    <w:p>
      <w:pPr>
        <w:keepLines w:val="0"/>
        <w:keepNext w:val="0"/>
        <w:pageBreakBefore w:val="0"/>
        <w:spacing w:line="520" w:lineRule="exact"/>
        <w:rPr>
          <w:rFonts w:ascii="仿宋" w:hAnsi="仿宋" w:eastAsia="仿宋"/>
          <w:color w:val="auto"/>
          <w:sz w:val="28"/>
          <w:szCs w:val="28"/>
          <w:highlight w:val="none"/>
        </w:rPr>
        <w:outlineLvl w:val="9"/>
      </w:pPr>
      <w:r/>
      <w:bookmarkStart w:id="25" w:name="_Toc513029238"/>
      <w:r/>
      <w:bookmarkStart w:id="26" w:name="_Toc20823310"/>
      <w:r/>
      <w:bookmarkStart w:id="27" w:name="_Toc16938554"/>
      <w:r>
        <w:rPr>
          <w:rFonts w:hint="eastAsia" w:ascii="仿宋" w:hAnsi="仿宋" w:eastAsia="仿宋"/>
          <w:color w:val="auto"/>
          <w:sz w:val="28"/>
          <w:szCs w:val="28"/>
          <w:highlight w:val="none"/>
        </w:rPr>
        <w:t xml:space="preserve">2</w:t>
      </w:r>
      <w:bookmarkEnd w:id="25"/>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.确定</w:t>
      </w:r>
      <w:bookmarkEnd w:id="26"/>
      <w:r/>
      <w:bookmarkEnd w:id="27"/>
      <w:r>
        <w:rPr>
          <w:rFonts w:hint="eastAsia" w:ascii="仿宋" w:hAnsi="仿宋" w:eastAsia="仿宋"/>
          <w:color w:val="auto"/>
          <w:sz w:val="28"/>
          <w:szCs w:val="28"/>
          <w:highlight w:val="none"/>
        </w:rPr>
        <w:t xml:space="preserve">中标单位</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中标候选人的选取原则和数量见招标文件第三章规定。 </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.2 采购人应根据评委会推荐的中标候选人确定中标人。</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.3 </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将在</w:t>
      </w:r>
      <w:r>
        <w:rPr>
          <w:rFonts w:hint="eastAsia" w:ascii="仿宋" w:hAnsi="仿宋" w:eastAsia="仿宋"/>
          <w:color w:val="auto"/>
          <w:sz w:val="28"/>
          <w:szCs w:val="28"/>
          <w:highlight w:val="none"/>
          <w:lang w:eastAsia="zh-CN"/>
        </w:rPr>
        <w:t xml:space="preserve">“江苏省政府采购网”、</w:t>
      </w:r>
      <w:r>
        <w:rPr>
          <w:rFonts w:hint="eastAsia" w:ascii="仿宋" w:hAnsi="仿宋" w:eastAsia="仿宋"/>
          <w:color w:val="auto"/>
          <w:sz w:val="28"/>
          <w:szCs w:val="28"/>
          <w:highlight w:val="none"/>
        </w:rPr>
        <w:t xml:space="preserve">“淮安市政府采购网”发布中标公告，公告期限为1个工作日。</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.4</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若有充分证据证明，中标人出现下列情况之一的，一经查实，将被取消中标资格：</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.4.1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提供虚假材料谋取中标的。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.4.2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向采购人、</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行贿或者提供其他不正当利益的。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.4.3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属于本文件规定的无效条件，但在评标过程中又未被评委会发现的。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.4.4</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与采购人或者其他</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恶意串通的。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.4.5</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采取不正当手段诋毁、排挤其他</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w:t>
      </w:r>
      <w:r/>
    </w:p>
    <w:p>
      <w:pPr>
        <w:ind w:firstLine="560"/>
        <w:keepLines w:val="0"/>
        <w:keepNext w:val="0"/>
        <w:pageBreakBefore w:val="0"/>
        <w:spacing w:line="520" w:lineRule="exact"/>
        <w:rPr>
          <w:rFonts w:ascii="仿宋" w:hAnsi="仿宋" w:eastAsia="仿宋"/>
          <w:color w:val="auto"/>
          <w:sz w:val="28"/>
          <w:szCs w:val="28"/>
          <w:highlight w:val="none"/>
        </w:rPr>
        <w:outlineLvl w:val="9"/>
      </w:pPr>
      <w:r/>
      <w:bookmarkStart w:id="28" w:name="_Toc200451960"/>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有下列情形之一的，</w:t>
      </w:r>
      <w:r>
        <w:rPr>
          <w:rFonts w:hint="eastAsia" w:ascii="仿宋" w:hAnsi="仿宋" w:eastAsia="仿宋"/>
          <w:color w:val="auto"/>
          <w:sz w:val="28"/>
          <w:szCs w:val="28"/>
          <w:highlight w:val="none"/>
        </w:rPr>
        <w:t xml:space="preserve">视为投标人</w:t>
      </w:r>
      <w:r>
        <w:rPr>
          <w:rFonts w:ascii="仿宋" w:hAnsi="仿宋" w:eastAsia="仿宋"/>
          <w:color w:val="auto"/>
          <w:sz w:val="28"/>
          <w:szCs w:val="28"/>
          <w:highlight w:val="none"/>
        </w:rPr>
        <w:t xml:space="preserve">串通</w:t>
      </w:r>
      <w:r>
        <w:rPr>
          <w:rFonts w:hint="eastAsia" w:ascii="仿宋" w:hAnsi="仿宋" w:eastAsia="仿宋"/>
          <w:color w:val="auto"/>
          <w:sz w:val="28"/>
          <w:szCs w:val="28"/>
          <w:highlight w:val="none"/>
        </w:rPr>
        <w:t xml:space="preserve">投标，投标无效：</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.5.1不同投标人的投标文件由同一单位或者个人编制；</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.5.2不同投标人委托同一单位或者个人办理投标事宜；</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.5.3 不同投标人的投标文件载明的项目管理成员或者联系人员为同一人；</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.5.4不同投标人的投标文件异常一致或者投标报价呈规律性差异；</w:t>
      </w:r>
      <w:bookmarkEnd w:id="28"/>
      <w:r/>
    </w:p>
    <w:p>
      <w:pPr>
        <w:keepLines w:val="0"/>
        <w:keepNext w:val="0"/>
        <w:pageBreakBefore w:val="0"/>
        <w:spacing w:line="520" w:lineRule="exact"/>
        <w:rPr>
          <w:rFonts w:ascii="仿宋" w:hAnsi="仿宋" w:eastAsia="仿宋" w:cs="Times New Roman"/>
          <w:color w:val="auto"/>
          <w:sz w:val="28"/>
          <w:szCs w:val="28"/>
          <w:highlight w:val="none"/>
        </w:rPr>
        <w:outlineLvl w:val="9"/>
      </w:pPr>
      <w:r>
        <w:rPr>
          <w:rFonts w:ascii="仿宋" w:hAnsi="仿宋" w:eastAsia="仿宋" w:cs="Times New Roman"/>
          <w:color w:val="auto"/>
          <w:sz w:val="28"/>
          <w:szCs w:val="28"/>
          <w:highlight w:val="none"/>
        </w:rPr>
        <w:t xml:space="preserve">2</w:t>
      </w:r>
      <w:r>
        <w:rPr>
          <w:rFonts w:hint="eastAsia" w:ascii="仿宋" w:hAnsi="仿宋" w:eastAsia="仿宋" w:cs="Times New Roman"/>
          <w:color w:val="auto"/>
          <w:sz w:val="28"/>
          <w:szCs w:val="28"/>
          <w:highlight w:val="none"/>
          <w:lang w:val="en-US" w:eastAsia="zh-CN"/>
        </w:rPr>
        <w:t xml:space="preserve">8</w:t>
      </w:r>
      <w:r>
        <w:rPr>
          <w:rFonts w:hint="eastAsia" w:ascii="仿宋" w:hAnsi="仿宋" w:eastAsia="仿宋" w:cs="Times New Roman"/>
          <w:color w:val="auto"/>
          <w:sz w:val="28"/>
          <w:szCs w:val="28"/>
          <w:highlight w:val="none"/>
        </w:rPr>
        <w:t xml:space="preserve">．质疑处理</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28.1 提出质疑的供应商应当是参与所质疑项目采购活动的供应商。潜在供应商依法获取其可质疑的采购文件的，可以对采购文件提出质疑。</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28.2.1对可以质疑的采购文件提出质疑的，为收到采购文件之日或者采购文件公告期限届满之日；</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28.2.2对采购过程提出质疑的，为各采购程序环节结束之日；</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28.2.3对中标或者成交结果提出质疑的，为中标或者成交结果公告期限届满之日。</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28.4 供应商（含潜在供应商）对与本项目有关的所有询问、质疑均请向代理机构提出，由代理机构负责答复。</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代理机构只接收以纸质原件形式送达的质疑,建议供应商尽量通过邮寄方式提交质疑（代理机构不接受无快递运单号的快递）。</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质疑接收人及联系方式见招标文件第一章。</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28.5 以下情形的质疑不予受理</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28.5.1 内容不符合《政府采购质疑和投诉办法》第十二条规定的质疑。</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28.5.2 超出政府采购法定期限的质疑。</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28.5.3 以传真、电子邮件等方式递交的非原件形式的质疑。</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28.5.4 未参加投标活动的供应商或在投标活动中自身权益未受到损害的供应商所提出的质疑。</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28.5.5供应商组成联合体参加投标，联合体中任何一方或多方未按要求签字、盖章、加盖公章的质疑。</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28.7 对于内容、格式符合规定的质疑函，代理机构将在五个工作日内以书面文件的形式作出答复，但质疑答复的内容不涉及商业秘密。</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.中标通知书</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.l</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中标结果确定后，</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中标通知书将是合同的一个组成部分。对采购人和中标</w:t>
      </w:r>
      <w:r>
        <w:rPr>
          <w:rFonts w:hint="eastAsia" w:ascii="仿宋" w:hAnsi="仿宋" w:eastAsia="仿宋"/>
          <w:color w:val="auto"/>
          <w:sz w:val="28"/>
          <w:szCs w:val="28"/>
          <w:highlight w:val="none"/>
          <w:lang w:eastAsia="zh-CN"/>
        </w:rPr>
        <w:t xml:space="preserve">人</w:t>
      </w:r>
      <w:r>
        <w:rPr>
          <w:rFonts w:hint="eastAsia" w:ascii="仿宋" w:hAnsi="仿宋" w:eastAsia="仿宋"/>
          <w:color w:val="auto"/>
          <w:sz w:val="28"/>
          <w:szCs w:val="28"/>
          <w:highlight w:val="none"/>
        </w:rPr>
        <w:t xml:space="preserve">均具有法律效力。中标通知书发出后，采购人改变中标结果的，或者中标</w:t>
      </w:r>
      <w:r>
        <w:rPr>
          <w:rFonts w:hint="eastAsia" w:ascii="仿宋" w:hAnsi="仿宋" w:eastAsia="仿宋"/>
          <w:color w:val="auto"/>
          <w:sz w:val="28"/>
          <w:szCs w:val="28"/>
          <w:highlight w:val="none"/>
          <w:lang w:eastAsia="zh-CN"/>
        </w:rPr>
        <w:t xml:space="preserve">人</w:t>
      </w:r>
      <w:r>
        <w:rPr>
          <w:rFonts w:hint="eastAsia" w:ascii="仿宋" w:hAnsi="仿宋" w:eastAsia="仿宋"/>
          <w:color w:val="auto"/>
          <w:sz w:val="28"/>
          <w:szCs w:val="28"/>
          <w:highlight w:val="none"/>
        </w:rPr>
        <w:t xml:space="preserve">放弃中标项目的，应当依法承担法律责任。</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bookmarkStart w:id="29" w:name="_Toc120614220"/>
      <w:r/>
      <w:bookmarkStart w:id="30" w:name="_Toc16938552"/>
      <w:r/>
      <w:bookmarkStart w:id="31" w:name="_Toc20823308"/>
      <w:r/>
      <w:bookmarkStart w:id="32" w:name="_Toc513029236"/>
      <w:r>
        <w:rPr>
          <w:rFonts w:hint="eastAsia" w:ascii="仿宋" w:hAnsi="仿宋" w:eastAsia="仿宋"/>
          <w:color w:val="auto"/>
          <w:sz w:val="28"/>
          <w:szCs w:val="28"/>
          <w:highlight w:val="none"/>
        </w:rPr>
        <w:t xml:space="preserve">授予合同</w:t>
      </w:r>
      <w:bookmarkEnd w:id="29"/>
      <w:r/>
      <w:bookmarkEnd w:id="30"/>
      <w:bookmarkEnd w:id="31"/>
      <w:bookmarkEnd w:id="32"/>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bookmarkStart w:id="33" w:name="_Toc20823309"/>
      <w:r/>
      <w:bookmarkStart w:id="34" w:name="_Toc513029237"/>
      <w:r/>
      <w:bookmarkStart w:id="35" w:name="_Toc16938553"/>
      <w:r>
        <w:rPr>
          <w:rFonts w:hint="eastAsia" w:ascii="仿宋" w:hAnsi="仿宋" w:eastAsia="仿宋"/>
          <w:color w:val="auto"/>
          <w:sz w:val="28"/>
          <w:szCs w:val="28"/>
          <w:highlight w:val="none"/>
          <w:lang w:val="en-US" w:eastAsia="zh-CN"/>
        </w:rPr>
        <w:t xml:space="preserve">30</w:t>
      </w:r>
      <w:r>
        <w:rPr>
          <w:rFonts w:hint="eastAsia" w:ascii="仿宋" w:hAnsi="仿宋" w:eastAsia="仿宋"/>
          <w:color w:val="auto"/>
          <w:sz w:val="28"/>
          <w:szCs w:val="28"/>
          <w:highlight w:val="none"/>
        </w:rPr>
        <w:t xml:space="preserve">. 签订合同</w:t>
      </w:r>
      <w:r>
        <w:rPr>
          <w:rFonts w:hint="eastAsia" w:ascii="仿宋" w:hAnsi="仿宋" w:eastAsia="仿宋"/>
          <w:color w:val="auto"/>
          <w:sz w:val="28"/>
          <w:szCs w:val="28"/>
          <w:highlight w:val="none"/>
        </w:rPr>
        <w:tab/>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30</w:t>
      </w:r>
      <w:r>
        <w:rPr>
          <w:rFonts w:hint="eastAsia" w:ascii="仿宋" w:hAnsi="仿宋" w:eastAsia="仿宋"/>
          <w:color w:val="auto"/>
          <w:sz w:val="28"/>
          <w:szCs w:val="28"/>
          <w:highlight w:val="none"/>
        </w:rPr>
        <w:t xml:space="preserve">.l</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中标人应当在中标通知书发出之日起三十日内，按照招标文件确定的事项与采购人签订政府采购合同。</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30</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招标文件、中标人的投标文件及招标过程中有关澄清、承诺文件均应作为合同附件。</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30</w:t>
      </w:r>
      <w:r>
        <w:rPr>
          <w:rFonts w:hint="eastAsia" w:ascii="仿宋" w:hAnsi="仿宋" w:eastAsia="仿宋"/>
          <w:color w:val="auto"/>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.货物（包含与货物相关的服务）的追加</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93"/>
        <w:ind w:left="0" w:firstLine="0"/>
        <w:spacing w:line="520" w:lineRule="exact"/>
        <w:rPr>
          <w:rFonts w:hint="eastAsia" w:ascii="仿宋" w:hAnsi="仿宋" w:eastAsia="仿宋"/>
          <w:color w:val="auto"/>
          <w:sz w:val="28"/>
          <w:szCs w:val="28"/>
          <w:highlight w:val="none"/>
          <w:lang w:eastAsia="zh-CN"/>
        </w:rPr>
      </w:pPr>
      <w:r>
        <w:rPr>
          <w:rFonts w:hint="eastAsia" w:ascii="仿宋" w:hAnsi="仿宋" w:eastAsia="仿宋" w:cs="Times New Roman"/>
          <w:color w:val="auto"/>
          <w:sz w:val="28"/>
          <w:szCs w:val="28"/>
          <w:highlight w:val="none"/>
          <w:lang w:val="en-US" w:eastAsia="zh-CN"/>
        </w:rPr>
        <w:t xml:space="preserve">32.</w:t>
      </w:r>
      <w:r>
        <w:rPr>
          <w:rFonts w:hint="eastAsia" w:ascii="仿宋" w:hAnsi="仿宋" w:eastAsia="仿宋"/>
          <w:color w:val="auto"/>
          <w:sz w:val="28"/>
          <w:szCs w:val="28"/>
          <w:highlight w:val="none"/>
        </w:rPr>
        <w:t xml:space="preserve">履约保证金</w:t>
      </w:r>
      <w:r/>
    </w:p>
    <w:p>
      <w:pPr>
        <w:pStyle w:val="893"/>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32.1乙方交纳人民币_</w:t>
      </w:r>
      <w:r>
        <w:rPr>
          <w:rFonts w:hint="eastAsia" w:ascii="仿宋" w:hAnsi="仿宋" w:eastAsia="仿宋"/>
          <w:b/>
          <w:bCs/>
          <w:color w:val="auto"/>
          <w:sz w:val="28"/>
          <w:szCs w:val="28"/>
          <w:highlight w:val="none"/>
          <w:u w:val="single"/>
        </w:rPr>
        <w:t xml:space="preserve">合同金额的5%</w:t>
      </w:r>
      <w:r>
        <w:rPr>
          <w:rFonts w:hint="eastAsia" w:ascii="仿宋" w:hAnsi="仿宋" w:eastAsia="仿宋" w:cs="Times New Roman"/>
          <w:color w:val="auto"/>
          <w:sz w:val="28"/>
          <w:szCs w:val="28"/>
          <w:highlight w:val="none"/>
          <w:lang w:val="en-US" w:eastAsia="zh-CN" w:bidi="ar-SA"/>
        </w:rPr>
        <w:t xml:space="preserve">_作为本合同的履约保证金。</w:t>
      </w:r>
      <w:r/>
    </w:p>
    <w:p>
      <w:pPr>
        <w:numPr>
          <w:ilvl w:val="0"/>
          <w:numId w:val="0"/>
        </w:numPr>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32.2乙方提供的履约保证金可以是人民币形式（银行本票、汇票、支票、电汇），或银行保函、担保公司的保证担保或保险公司的保证保险等多种形式。</w:t>
      </w:r>
      <w:r/>
    </w:p>
    <w:p>
      <w:pPr>
        <w:numPr>
          <w:ilvl w:val="0"/>
          <w:numId w:val="0"/>
        </w:numPr>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p>
    <w:p>
      <w:pPr>
        <w:numPr>
          <w:ilvl w:val="0"/>
          <w:numId w:val="0"/>
        </w:numPr>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32.5如乙方未能履行合同规定的义务，甲方有权从履约保证金中取得补偿。</w:t>
      </w:r>
      <w:r/>
    </w:p>
    <w:p>
      <w:pPr>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ind w:firstLine="560"/>
        <w:spacing w:line="520" w:lineRule="exact"/>
        <w:rPr>
          <w:rFonts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    32.7履约保证金在合同约定期间内不予退还或者应完全有效，履约保证金在项目验收合格后无息退还给乙方。</w:t>
      </w:r>
      <w:bookmarkEnd w:id="33"/>
      <w:bookmarkEnd w:id="34"/>
      <w:bookmarkEnd w:id="35"/>
      <w:r/>
    </w:p>
    <w:p>
      <w:pPr>
        <w:keepLines w:val="0"/>
        <w:keepNext w:val="0"/>
        <w:pageBreakBefore w:val="0"/>
        <w:spacing w:line="520" w:lineRule="exact"/>
        <w:rPr>
          <w:rFonts w:hint="eastAsia" w:ascii="仿宋" w:hAnsi="仿宋" w:eastAsia="仿宋"/>
          <w:b/>
          <w:bCs/>
          <w:color w:val="auto"/>
          <w:sz w:val="32"/>
          <w:szCs w:val="28"/>
          <w:highlight w:val="none"/>
        </w:rPr>
        <w:outlineLvl w:val="9"/>
      </w:pPr>
      <w:r>
        <w:rPr>
          <w:rFonts w:hint="eastAsia" w:ascii="仿宋" w:hAnsi="仿宋" w:eastAsia="仿宋"/>
          <w:b/>
          <w:bCs/>
          <w:color w:val="auto"/>
          <w:sz w:val="32"/>
          <w:szCs w:val="28"/>
          <w:highlight w:val="none"/>
        </w:rPr>
        <w:t xml:space="preserve">八、政府采购政策功能落实</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促进中小企业发展</w:t>
      </w:r>
      <w:r>
        <w:rPr>
          <w:rFonts w:hint="eastAsia" w:ascii="仿宋" w:hAnsi="仿宋" w:eastAsia="仿宋"/>
          <w:color w:val="auto"/>
          <w:sz w:val="28"/>
          <w:szCs w:val="28"/>
          <w:highlight w:val="none"/>
        </w:rPr>
        <w:t xml:space="preserve">政策</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小微型企业价格扣除</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.1.1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color w:val="auto"/>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.1.2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在货物采购项目中，</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提供的货物既有中小企业制造货物，也有大型企业制造货物的，不享受本办法规定的中小企业扶持政策。</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联合体及分包</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.3小微型企业</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（1）投标人须按照招标文件的要求提供相应的《企业声明函》，详见招标文件第六章示范格式。</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（2）企业标准请参照《政府采购促进中小企业发展管理办法》（财库</w:t>
      </w:r>
      <w:r>
        <w:rPr>
          <w:rFonts w:hint="eastAsia" w:ascii="仿宋" w:hAnsi="仿宋" w:eastAsia="仿宋"/>
          <w:color w:val="auto"/>
          <w:sz w:val="28"/>
          <w:szCs w:val="28"/>
          <w:highlight w:val="none"/>
          <w:lang w:eastAsia="zh-CN"/>
        </w:rPr>
        <w:t xml:space="preserve">〔2020〕46号</w:t>
      </w:r>
      <w:r>
        <w:rPr>
          <w:rFonts w:hint="eastAsia" w:ascii="仿宋" w:hAnsi="仿宋" w:eastAsia="仿宋"/>
          <w:color w:val="auto"/>
          <w:sz w:val="28"/>
          <w:szCs w:val="28"/>
          <w:highlight w:val="none"/>
        </w:rPr>
        <w:t xml:space="preserve">）文件规定自行填写。</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.4残疾人福利单位</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.5监狱和戒毒企业</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（2）监狱企业标准请参照《关于政府采购支持监狱企业发展有关问题的通知》（财库</w:t>
      </w:r>
      <w:r>
        <w:rPr>
          <w:rFonts w:hint="eastAsia" w:ascii="仿宋" w:hAnsi="仿宋" w:eastAsia="仿宋"/>
          <w:color w:val="auto"/>
          <w:sz w:val="28"/>
          <w:szCs w:val="28"/>
          <w:highlight w:val="none"/>
          <w:lang w:eastAsia="zh-CN"/>
        </w:rPr>
        <w:t xml:space="preserve">〔2014〕68号</w:t>
      </w:r>
      <w:r>
        <w:rPr>
          <w:rFonts w:hint="eastAsia" w:ascii="仿宋" w:hAnsi="仿宋" w:eastAsia="仿宋"/>
          <w:color w:val="auto"/>
          <w:sz w:val="28"/>
          <w:szCs w:val="28"/>
          <w:highlight w:val="none"/>
        </w:rPr>
        <w:t xml:space="preserve">）。</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 节能、环保政策</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节能产品（本项目不涉及）</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 (采购产品)</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（优先采购/强制采购）</w:t>
      </w:r>
      <w:r>
        <w:rPr>
          <w:rFonts w:hint="eastAsia" w:ascii="仿宋" w:hAnsi="仿宋" w:eastAsia="仿宋"/>
          <w:color w:val="auto"/>
          <w:sz w:val="28"/>
          <w:szCs w:val="28"/>
          <w:highlight w:val="none"/>
        </w:rPr>
        <w:t xml:space="preserve">。</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环保产品（本项目不涉及）</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 (采购产品)</w:t>
      </w:r>
      <w:r>
        <w:rPr>
          <w:rFonts w:hint="eastAsia" w:ascii="仿宋" w:hAnsi="仿宋" w:eastAsia="仿宋"/>
          <w:color w:val="auto"/>
          <w:sz w:val="28"/>
          <w:szCs w:val="28"/>
          <w:highlight w:val="none"/>
        </w:rPr>
        <w:t xml:space="preserve">被列入“环境标志产品品目清单”的，实行优先采购。</w:t>
      </w:r>
      <w:r/>
    </w:p>
    <w:p>
      <w:pPr>
        <w:ind w:firstLine="560"/>
        <w:keepLines w:val="0"/>
        <w:keepNext w:val="0"/>
        <w:pageBreakBefore w:val="0"/>
        <w:spacing w:line="520" w:lineRule="exact"/>
        <w:rPr>
          <w:rFonts w:hint="eastAsia" w:ascii="仿宋" w:hAnsi="仿宋" w:eastAsia="仿宋"/>
          <w:color w:val="auto"/>
          <w:sz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.4</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本项目中实行“强制采购”的，需</w:t>
      </w:r>
      <w:r>
        <w:rPr>
          <w:rFonts w:hint="eastAsia" w:ascii="仿宋" w:hAnsi="仿宋" w:eastAsia="仿宋"/>
          <w:color w:val="auto"/>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color w:val="auto"/>
          <w:sz w:val="28"/>
          <w:highlight w:val="none"/>
          <w:lang w:val="en-US" w:eastAsia="zh-CN"/>
        </w:rPr>
        <w:t xml:space="preserve">节能</w:t>
      </w:r>
      <w:r>
        <w:rPr>
          <w:rFonts w:hint="eastAsia" w:ascii="仿宋" w:hAnsi="仿宋" w:eastAsia="仿宋"/>
          <w:color w:val="auto"/>
          <w:sz w:val="28"/>
          <w:highlight w:val="none"/>
        </w:rPr>
        <w:t xml:space="preserve">标志产品认证证书电子件，未提供的作无效投标处理；实行“优先采购”的，在评分标准的“政策导向”处参与加分（详见第三章评标标准）。</w:t>
      </w:r>
      <w:r/>
    </w:p>
    <w:p>
      <w:pPr>
        <w:ind w:firstLine="560"/>
        <w:keepLines w:val="0"/>
        <w:keepNext w:val="0"/>
        <w:pageBreakBefore w:val="0"/>
        <w:spacing w:line="520" w:lineRule="exact"/>
        <w:rPr>
          <w:rFonts w:hint="eastAsia" w:ascii="仿宋" w:hAnsi="仿宋" w:eastAsia="仿宋"/>
          <w:bCs/>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.5</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keepLines w:val="0"/>
        <w:keepNext w:val="0"/>
        <w:pageBreakBefore w:val="0"/>
        <w:spacing w:line="52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3</w:t>
      </w:r>
      <w:r>
        <w:rPr>
          <w:rFonts w:hint="eastAsia" w:ascii="仿宋" w:hAnsi="仿宋" w:eastAsia="仿宋"/>
          <w:bCs/>
          <w:color w:val="auto"/>
          <w:sz w:val="28"/>
          <w:szCs w:val="28"/>
          <w:highlight w:val="none"/>
          <w:lang w:val="en-US" w:eastAsia="zh-CN"/>
        </w:rPr>
        <w:t xml:space="preserve">5</w:t>
      </w:r>
      <w:r>
        <w:rPr>
          <w:rFonts w:hint="eastAsia" w:ascii="仿宋" w:hAnsi="仿宋" w:eastAsia="仿宋"/>
          <w:bCs/>
          <w:color w:val="auto"/>
          <w:sz w:val="28"/>
          <w:szCs w:val="28"/>
          <w:highlight w:val="none"/>
        </w:rPr>
        <w:t xml:space="preserve">．政府绿色采购</w:t>
      </w:r>
      <w:r/>
    </w:p>
    <w:p>
      <w:pPr>
        <w:ind w:firstLine="280"/>
        <w:keepLines w:val="0"/>
        <w:keepNext w:val="0"/>
        <w:pageBreakBefore w:val="0"/>
        <w:spacing w:line="520" w:lineRule="exact"/>
        <w:rPr>
          <w:rFonts w:hint="eastAsia" w:ascii="仿宋" w:hAnsi="仿宋" w:eastAsia="仿宋"/>
          <w:bCs/>
          <w:color w:val="auto"/>
          <w:sz w:val="28"/>
          <w:szCs w:val="28"/>
          <w:highlight w:val="none"/>
        </w:rPr>
        <w:outlineLvl w:val="9"/>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p>
    <w:p>
      <w:pPr>
        <w:pStyle w:val="909"/>
        <w:ind w:left="0" w:firstLine="560"/>
        <w:keepLines w:val="0"/>
        <w:keepNext w:val="0"/>
        <w:pageBreakBefore w:val="0"/>
        <w:spacing w:after="0"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本项目中涉及商品的</w:t>
      </w:r>
      <w:r>
        <w:rPr>
          <w:rFonts w:ascii="仿宋" w:hAnsi="仿宋" w:eastAsia="仿宋"/>
          <w:color w:val="auto"/>
          <w:sz w:val="28"/>
          <w:szCs w:val="28"/>
          <w:highlight w:val="none"/>
        </w:rPr>
        <w:t xml:space="preserve">包装应按照“财办库〔2020〕123号《关于印发《商品包装政府采购需求标准（试行）</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快递包装政府采购需求标准（试行）》的通知》”执行</w:t>
      </w:r>
      <w:r>
        <w:rPr>
          <w:rFonts w:hint="eastAsia" w:ascii="仿宋" w:hAnsi="仿宋" w:eastAsia="仿宋"/>
          <w:color w:val="auto"/>
          <w:sz w:val="28"/>
          <w:szCs w:val="28"/>
          <w:highlight w:val="none"/>
        </w:rPr>
        <w:t xml:space="preserve">,在供货、安装过程中能</w:t>
      </w:r>
      <w:r>
        <w:rPr>
          <w:rFonts w:hint="eastAsia" w:ascii="仿宋" w:hAnsi="仿宋" w:eastAsia="仿宋"/>
          <w:color w:val="auto"/>
          <w:sz w:val="28"/>
          <w:szCs w:val="28"/>
          <w:highlight w:val="none"/>
          <w:lang w:eastAsia="zh-CN"/>
        </w:rPr>
        <w:t xml:space="preserve">够</w:t>
      </w:r>
      <w:r>
        <w:rPr>
          <w:rFonts w:hint="eastAsia" w:ascii="仿宋" w:hAnsi="仿宋" w:eastAsia="仿宋"/>
          <w:color w:val="auto"/>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auto"/>
          <w:sz w:val="28"/>
          <w:szCs w:val="28"/>
          <w:highlight w:val="none"/>
          <w:lang w:eastAsia="zh-CN"/>
        </w:rPr>
        <w:t xml:space="preserve">〔2023〕7号</w:t>
      </w:r>
      <w:r>
        <w:rPr>
          <w:rFonts w:hint="eastAsia" w:ascii="仿宋" w:hAnsi="仿宋" w:eastAsia="仿宋"/>
          <w:color w:val="auto"/>
          <w:sz w:val="28"/>
          <w:szCs w:val="28"/>
          <w:highlight w:val="none"/>
        </w:rPr>
        <w:t xml:space="preserve">文）执行。</w:t>
      </w:r>
      <w:r/>
    </w:p>
    <w:p>
      <w:pPr>
        <w:pStyle w:val="909"/>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52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3</w:t>
      </w:r>
      <w:r>
        <w:rPr>
          <w:rFonts w:hint="eastAsia" w:ascii="仿宋" w:hAnsi="仿宋" w:eastAsia="仿宋" w:cs="Times New Roman"/>
          <w:bCs/>
          <w:color w:val="auto"/>
          <w:sz w:val="28"/>
          <w:szCs w:val="28"/>
          <w:highlight w:val="none"/>
          <w:lang w:val="en-US" w:eastAsia="zh-CN"/>
        </w:rPr>
        <w:t xml:space="preserve">6</w:t>
      </w:r>
      <w:r>
        <w:rPr>
          <w:rFonts w:hint="eastAsia" w:ascii="仿宋" w:hAnsi="仿宋" w:eastAsia="仿宋" w:cs="Times New Roman"/>
          <w:bCs/>
          <w:color w:val="auto"/>
          <w:sz w:val="28"/>
          <w:szCs w:val="28"/>
          <w:highlight w:val="none"/>
        </w:rPr>
        <w:t xml:space="preserve">. 履约资金扶持政策</w:t>
      </w:r>
      <w:r/>
    </w:p>
    <w:p>
      <w:pPr>
        <w:pStyle w:val="909"/>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09"/>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有融资贷款需求的中标人，与采购人在苏采云【合同在线签订】模块中进行合同在线签订时，【账户信息完善】的“是否融资”一栏中需选择“是”，同时完善收款账号信息和合同补充协议（融资账号）。</w:t>
      </w:r>
      <w:r/>
    </w:p>
    <w:p>
      <w:pPr>
        <w:pStyle w:val="909"/>
        <w:ind w:left="0" w:firstLine="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37.</w:t>
      </w:r>
      <w:r>
        <w:rPr>
          <w:rFonts w:hint="eastAsia" w:ascii="仿宋" w:hAnsi="仿宋" w:eastAsia="仿宋"/>
          <w:color w:val="auto"/>
          <w:sz w:val="28"/>
          <w:szCs w:val="28"/>
          <w:highlight w:val="none"/>
        </w:rPr>
        <w:t xml:space="preserve">采购本国产品的支持政策</w:t>
      </w:r>
      <w:r/>
    </w:p>
    <w:p>
      <w:pPr>
        <w:pStyle w:val="909"/>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p>
    <w:p>
      <w:pPr>
        <w:pStyle w:val="909"/>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7.2 当采购项目或者采购包中含有多种产品，</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为该采购项目或者采购包提供的符合本国产品标准的产品成本之和占该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提供的全部产品成本之和的比例达到80%以上时（</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需在“第六章 投标文件格式”的“</w:t>
      </w:r>
      <w:r>
        <w:rPr>
          <w:rFonts w:hint="eastAsia" w:ascii="仿宋" w:hAnsi="仿宋" w:eastAsia="仿宋"/>
          <w:color w:val="auto"/>
          <w:sz w:val="28"/>
          <w:szCs w:val="28"/>
          <w:highlight w:val="none"/>
          <w:lang w:eastAsia="zh-CN"/>
        </w:rPr>
        <w:t xml:space="preserve">三、投标报价明细表</w:t>
      </w:r>
      <w:r>
        <w:rPr>
          <w:rFonts w:hint="eastAsia" w:ascii="仿宋" w:hAnsi="仿宋" w:eastAsia="仿宋"/>
          <w:color w:val="auto"/>
          <w:sz w:val="28"/>
          <w:szCs w:val="28"/>
          <w:highlight w:val="none"/>
        </w:rPr>
        <w:t xml:space="preserve">”中填写比例数值），依法对该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提供的全部产品给予价格评审优惠，即对该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提供的全部产品的总报价给予20%的价格扣除，用扣除后的价格参与评审。</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未填写比例数值，或比例数值未达到80%的，将不享受本国产品价格评审优惠。</w:t>
      </w:r>
      <w:r/>
    </w:p>
    <w:p>
      <w:pPr>
        <w:pStyle w:val="909"/>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7.3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需按照招标文件的要求提供《关于符合本国产品标准的声明函》（以下简称《声明函》</w:t>
      </w:r>
      <w:r>
        <w:rPr>
          <w:rFonts w:hint="eastAsia" w:ascii="仿宋" w:hAnsi="仿宋" w:eastAsia="仿宋"/>
          <w:color w:val="auto"/>
          <w:sz w:val="28"/>
          <w:szCs w:val="28"/>
          <w:highlight w:val="none"/>
          <w:lang w:eastAsia="zh-CN"/>
        </w:rPr>
        <w:t xml:space="preserve">，详见第六章“示范格式”</w:t>
      </w:r>
      <w:r>
        <w:rPr>
          <w:rFonts w:hint="eastAsia" w:ascii="仿宋" w:hAnsi="仿宋" w:eastAsia="仿宋"/>
          <w:color w:val="auto"/>
          <w:sz w:val="28"/>
          <w:szCs w:val="28"/>
          <w:highlight w:val="none"/>
        </w:rPr>
        <w:t xml:space="preserve">），如不提供将不享受本国产品价格评审优惠。</w:t>
      </w:r>
      <w:r/>
    </w:p>
    <w:p>
      <w:pPr>
        <w:pStyle w:val="909"/>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7.4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pStyle w:val="909"/>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7.5 评标过程中，如发现</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提供的相关产品视为不符合本国产品标准。</w:t>
      </w:r>
      <w:r/>
    </w:p>
    <w:p>
      <w:pPr>
        <w:pStyle w:val="909"/>
        <w:ind w:left="0"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s="Times New Roman"/>
          <w:color w:val="auto"/>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auto"/>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keepLines w:val="0"/>
        <w:keepNext w:val="0"/>
        <w:pageBreakBefore w:val="0"/>
        <w:spacing w:line="520" w:lineRule="exact"/>
        <w:widowControl w:val="off"/>
        <w:rPr>
          <w:rFonts w:hint="eastAsia" w:ascii="仿宋" w:hAnsi="仿宋" w:eastAsia="仿宋"/>
          <w:b/>
          <w:color w:val="auto"/>
          <w:sz w:val="36"/>
          <w:szCs w:val="36"/>
          <w:highlight w:val="none"/>
          <w:lang w:eastAsia="zh-CN"/>
        </w:rPr>
        <w:outlineLvl w:val="9"/>
      </w:pPr>
      <w:r>
        <w:rPr>
          <w:rFonts w:hint="eastAsia" w:ascii="仿宋" w:hAnsi="仿宋" w:eastAsia="仿宋"/>
          <w:color w:val="auto"/>
          <w:sz w:val="28"/>
          <w:szCs w:val="28"/>
          <w:highlight w:val="none"/>
        </w:rPr>
        <w:br w:type="page" w:clear="all"/>
      </w:r>
      <w:r>
        <w:rPr>
          <w:rFonts w:hint="eastAsia" w:ascii="仿宋" w:hAnsi="仿宋" w:eastAsia="仿宋"/>
          <w:b/>
          <w:color w:val="auto"/>
          <w:sz w:val="36"/>
          <w:szCs w:val="36"/>
          <w:highlight w:val="none"/>
        </w:rPr>
        <w:t xml:space="preserve">第三章  评标方法与评标标准（</w:t>
      </w:r>
      <w:r>
        <w:rPr>
          <w:rFonts w:hint="eastAsia" w:ascii="仿宋" w:hAnsi="仿宋" w:eastAsia="仿宋"/>
          <w:b/>
          <w:color w:val="auto"/>
          <w:sz w:val="36"/>
          <w:szCs w:val="36"/>
          <w:highlight w:val="none"/>
          <w:lang w:val="en-US" w:eastAsia="zh-CN"/>
        </w:rPr>
        <w:t xml:space="preserve">二</w:t>
      </w:r>
      <w:r>
        <w:rPr>
          <w:rFonts w:hint="eastAsia" w:ascii="仿宋" w:hAnsi="仿宋" w:eastAsia="仿宋"/>
          <w:b/>
          <w:color w:val="auto"/>
          <w:sz w:val="36"/>
          <w:szCs w:val="36"/>
          <w:highlight w:val="none"/>
        </w:rPr>
        <w:t xml:space="preserve">个采购包通用）</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为中标候选人的评标方法。</w:t>
      </w:r>
      <w:r/>
    </w:p>
    <w:p>
      <w:pPr>
        <w:ind w:firstLine="560"/>
        <w:keepLines w:val="0"/>
        <w:keepNext w:val="0"/>
        <w:pageBreakBefore w:val="0"/>
        <w:spacing w:line="520" w:lineRule="exact"/>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color w:val="auto"/>
          <w:sz w:val="28"/>
          <w:szCs w:val="28"/>
          <w:highlight w:val="none"/>
        </w:rPr>
        <w:t xml:space="preserve"> 由评标委员会</w:t>
      </w:r>
      <w:r>
        <w:rPr>
          <w:rFonts w:hint="eastAsia" w:ascii="仿宋" w:hAnsi="仿宋" w:eastAsia="仿宋"/>
          <w:color w:val="auto"/>
          <w:sz w:val="28"/>
          <w:szCs w:val="28"/>
          <w:highlight w:val="none"/>
        </w:rPr>
        <w:t xml:space="preserve">通过随机抽取的方式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中标候选人。投标人最多只能中1个</w:t>
      </w:r>
      <w:r>
        <w:rPr>
          <w:rFonts w:hint="eastAsia" w:ascii="仿宋" w:hAnsi="仿宋" w:eastAsia="仿宋"/>
          <w:color w:val="auto"/>
          <w:sz w:val="28"/>
          <w:szCs w:val="28"/>
          <w:highlight w:val="none"/>
          <w:lang w:val="en-US" w:eastAsia="zh-CN"/>
        </w:rPr>
        <w:t xml:space="preserve">采购包</w:t>
      </w:r>
      <w:r>
        <w:rPr>
          <w:rFonts w:hint="eastAsia" w:ascii="仿宋" w:hAnsi="仿宋" w:eastAsia="仿宋"/>
          <w:color w:val="auto"/>
          <w:sz w:val="28"/>
          <w:szCs w:val="28"/>
          <w:highlight w:val="none"/>
        </w:rPr>
        <w:t xml:space="preserve">，若中</w:t>
      </w:r>
      <w:r>
        <w:rPr>
          <w:rFonts w:hint="eastAsia" w:ascii="仿宋" w:hAnsi="仿宋" w:eastAsia="仿宋"/>
          <w:color w:val="auto"/>
          <w:sz w:val="28"/>
          <w:szCs w:val="28"/>
          <w:highlight w:val="none"/>
          <w:lang w:val="en-US" w:eastAsia="zh-CN"/>
        </w:rPr>
        <w:t xml:space="preserve">标</w:t>
      </w:r>
      <w:r>
        <w:rPr>
          <w:rFonts w:hint="eastAsia" w:ascii="仿宋" w:hAnsi="仿宋" w:eastAsia="仿宋"/>
          <w:color w:val="auto"/>
          <w:sz w:val="28"/>
          <w:szCs w:val="28"/>
          <w:highlight w:val="none"/>
        </w:rPr>
        <w:t xml:space="preserve">多于1个</w:t>
      </w:r>
      <w:r>
        <w:rPr>
          <w:rFonts w:hint="eastAsia" w:ascii="仿宋" w:hAnsi="仿宋" w:eastAsia="仿宋"/>
          <w:color w:val="auto"/>
          <w:sz w:val="28"/>
          <w:szCs w:val="28"/>
          <w:highlight w:val="none"/>
          <w:lang w:val="en-US" w:eastAsia="zh-CN"/>
        </w:rPr>
        <w:t xml:space="preserve">采购包的</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按照采购包先后顺序进行排列</w:t>
      </w:r>
      <w:r>
        <w:rPr>
          <w:rFonts w:hint="eastAsia" w:ascii="仿宋" w:hAnsi="仿宋" w:eastAsia="仿宋"/>
          <w:color w:val="auto"/>
          <w:sz w:val="28"/>
          <w:szCs w:val="28"/>
          <w:highlight w:val="none"/>
        </w:rPr>
        <w:t xml:space="preserve">，</w:t>
      </w:r>
      <w:r>
        <w:rPr>
          <w:rFonts w:hint="eastAsia" w:ascii="仿宋" w:hAnsi="仿宋" w:eastAsia="仿宋" w:cs="仿宋"/>
          <w:color w:val="auto"/>
          <w:sz w:val="28"/>
          <w:szCs w:val="28"/>
          <w:highlight w:val="none"/>
        </w:rPr>
        <w:t xml:space="preserve">则其在其他采购包的得分清零，将不推荐为中标候选人</w:t>
      </w:r>
      <w:r>
        <w:rPr>
          <w:rFonts w:hint="eastAsia" w:ascii="仿宋" w:hAnsi="仿宋" w:eastAsia="仿宋" w:cs="仿宋"/>
          <w:color w:val="auto"/>
          <w:sz w:val="28"/>
          <w:szCs w:val="28"/>
          <w:highlight w:val="none"/>
          <w:lang w:eastAsia="zh-CN"/>
        </w:rPr>
        <w:t xml:space="preserve">。</w:t>
      </w:r>
      <w:r/>
    </w:p>
    <w:p>
      <w:pPr>
        <w:ind w:firstLine="560"/>
        <w:keepLines w:val="0"/>
        <w:keepNext w:val="0"/>
        <w:pageBreakBefore w:val="0"/>
        <w:spacing w:line="520" w:lineRule="exact"/>
        <w:rPr>
          <w:rFonts w:hint="eastAsia" w:ascii="仿宋" w:hAnsi="仿宋" w:eastAsia="仿宋"/>
          <w:color w:val="auto"/>
          <w:sz w:val="28"/>
          <w:highlight w:val="none"/>
        </w:rPr>
        <w:outlineLvl w:val="9"/>
      </w:pPr>
      <w:r>
        <w:rPr>
          <w:rFonts w:hint="eastAsia" w:ascii="仿宋" w:hAnsi="仿宋" w:eastAsia="仿宋"/>
          <w:color w:val="auto"/>
          <w:sz w:val="28"/>
          <w:highlight w:val="none"/>
          <w:lang w:eastAsia="zh-CN"/>
        </w:rPr>
        <w:t xml:space="preserve">四</w:t>
      </w:r>
      <w:r>
        <w:rPr>
          <w:rFonts w:hint="eastAsia" w:ascii="仿宋" w:hAnsi="仿宋" w:eastAsia="仿宋"/>
          <w:color w:val="auto"/>
          <w:sz w:val="28"/>
          <w:highlight w:val="none"/>
        </w:rPr>
        <w:t xml:space="preserve">、具体标准:</w:t>
      </w:r>
      <w:r/>
    </w:p>
    <w:p>
      <w:pPr>
        <w:pStyle w:val="691"/>
        <w:ind w:firstLine="560"/>
        <w:rPr>
          <w:rFonts w:hint="default"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1、价格：10分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满足招标文件要求且投标价格最低为评标基准价，其价格分为满分。其他投标人的价格分按照下列公式计算（计算过程和计算结果均保留两位小数，第三位小数四舍五入）：</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投标报价得分＝（评标基准价/投标报价）×10分</w:t>
      </w:r>
      <w:r/>
    </w:p>
    <w:p>
      <w:pPr>
        <w:numPr>
          <w:ilvl w:val="0"/>
          <w:numId w:val="6"/>
        </w:numPr>
        <w:ind w:firstLine="560"/>
        <w:jc w:val="left"/>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Times New Roman"/>
          <w:bCs w:val="0"/>
          <w:color w:val="auto"/>
          <w:sz w:val="28"/>
          <w:szCs w:val="28"/>
          <w:highlight w:val="none"/>
          <w:lang w:val="en-US" w:eastAsia="zh-CN" w:bidi="ar-SA"/>
        </w:rPr>
        <w:t xml:space="preserve">方案部分：30分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评委会根据投标人提供的方案进行评分，不提供分项方案或者经三分之二评委认定分项方案存在重大偏离的，分项方案不得分。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（1）养护人员及投入的机械设备情况和安排计划：（6 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 1）投标人针对本项目提供管理人员及技术人员配备情况及劳动力安排计划。人员落实到位措施，养护人员的权责、分工描述，人员上岗时间保障措施，后勤保障到位措施。（3分）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方案内容具体详细、符合实际、措施切实可行的得3分。方案内容较具体详细、基本符合实际、措施相对简单的得2分；方案内容不够具体详细、措施简单、表述不够准确，明晰的得1分。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2）现场投入的机械设备满足招标文件设备最低要求数量且配备全面、合理，附有详细的设备设施品种、型号及数量清单，并能根据季节性和阶段性养护工作对机械设备进行量化配置，较好的满足养护管理需要。（3 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方案内容具体详细、符合实际、切实可行的得3分。方案内容较具体详细、基本符合实际、较为符合实际的得2分；方案内容不够具体详细、基本简单、表述不够准确，明晰的得1分。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（2）重点特色树种及其他乔灌草的修剪措施：（4 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根据养护区域不同行道树制定有针对性修剪措施，措施科学合理，其他乔木、花灌木、草坪、绿篱及地被等根据生长特性和季节制定合理的修剪措施。</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方案内容具体详细、符合实际、措施切实可行的得4分。方案内容较具体详细、基本符合实际、措施相对简单的得2分；方案内容不够具体详细、措施简单、表述不够准确，明晰的得1分。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（3）植物除草、灌溉、施肥、农药等施工方案：（4 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根据养护区域、季节采取相应除草、灌溉、施肥、农药等施工方案，有养护手册的浇水、排水要求，根据生长规律制定出有效的施肥方案，有详细的全年病虫害防治计划，针对病虫害使用低毒高效农药防治措施。</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方案内容具体详细、符合实际、切实可行的得4分。方案内容较具体详细、基本符合实际、相对简单的得2分；方案内容不够具体详细、简单、表述不够准确，明晰的得1分。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（4）巡查方案、绿化补种方案：（4 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合理安排巡视时间，巡视资料上报准确、及时，绿地发生破坏或侵占第一时间上报，建立相关制度和实施方案并针对绿地发生破坏提供绿化补种可行措施（绿化补种含绿化踩踏、缺株、死株更换、绿地种菜恢复、无手续行政开挖恢复等所有绿化补种）。</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方案内容具体详细、符合实际、切实可行的得4分。方案内容较具体详细、基本符合实际、较为符合实际的得2分；方案内容不够具体详细、基本简单、表述不够准确，明晰的得1分。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（5）重点难点质量保证措施：（4 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针对绿化养护的各种可能存在的技术重点和难点，有详细有效的分析内容及应对和保障措施，重点病虫害防治技术措施，雨季、旱季、冬季养护措施等养护难点技术保证措施。</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方案内容具体详细、符合实际、措施切实可行的得4分。方案内容较具体详细、基本符合实际、措施相对简单的得2分；方案内容不够具体详细、措施简单、表述不够准确，明晰的得1分。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（6）设施维修措施：（4 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设施的保护、维修措施具体详尽、符合实际、切实可行。</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方案内容具体详细、符合实际、措施切实可行的得4分。方案内容较具体详细、基本符合实际、措施相对简单的得2分；方案内容不够具体详细、措施简单、表述不够准确，明晰的得1分。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（7）安全、文明管养措施：（4分）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1） 评委会根据投标人提供的安全、文明管养措施方案进行打分。（2分）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方案内容具体详细、符合实际、措施切实可行的得2分。方案内容较具体详细、基本符合实际、措施相对简单的得1分。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2）评委会根据投标人提供的不可抗力应急措施方案（包括灾害性天气和突发事件，如交通事故的应急预案、恶劣天气应急预案、抢险救灾措施等内容）打分。（2分）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方案内容具体详细、符合实际、措施切实可行的得2分。方案内容较具体详细、基本符合实际、措施相对简单的得1分。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3、商务部分：36分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（1）投标人针对本项目配备登高车或高空作业车（必须为正式挂牌车辆）的得 2 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（2）投标人每配备 1 辆货车的得 2 分，本项最多得 6分。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（3）投标人每配备一辆多功能抑尘车或雾炮车的得 2分，本项最多得2 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（4）投标人每配备 1 辆核载量为 5T 及以上洒水车的得 1 分，每配备 1 辆核载量为 10T 及以上洒水车的得 2 分，本项最多得 6 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（5）投标人配备巡视汽车（含具有行驶证的电动汽车）2 辆及以上的得2 分,本项最多得 2分。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（6）投标人每配备 1 台打药机的得 1 分，本项最多得 3 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（7）投标人配备 15 台割灌机（基本配置）的得 1 分，每增加 5 台的加 1 分，本项最多得 3 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（8）投标人配备 10 台草坪机（基本配置）的得 1 分，每增加 5 台的加 1 分，本项最多得 3 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（9）投标人配备 15 台绿篱机（基本配置）的得 1 分，每增加 5 台的加 1 分，本项最多得 3 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注：</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①登高车或高空作业车、洒水车、多功能抑尘车或雾炮车、货车等车辆须达到国四及以上标准。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②登高车或高空作业车、洒水车、多功能抑尘车或雾炮车、货车登记证书名称须与投标人名称一致，登高车或高空作业车、洒水车行驶证必须标明为专项作业车。</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③（1）－（5）项提供车辆登记证书、行驶证（含车辆登记照片）、有效期内强制险保单及保单网上截图、车辆（正面、侧面）照片须反映出车牌号码等。</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④（6）－（9） 项提供机具购买发票。</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⑤以上为本标段所需设备，未满足基本配置的，该小项不得分。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⑥投标人提供证明材料必须清晰可见，评审时无法辨认的材料不得分，证明材料上传至电子投标文件中并进行电子签章，未按要求提供的不得分。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⑦投标人已在淮安经济技术开发区其他标段实施绿化养护，养护期内正在使用的机械、车辆，本项目不得重复使用（本项目服务期届满的除外）。评委会将针对招标人递交的上一履行期限内养护单位提供的设备清单进行对比核查，如有重复的本大项“项目配置设备情况”不得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（10）投标人2023年1月1日以来独立承担过类似绿化养护项目，每提供一个成功案例的得 1分，本项最高限得 6 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注：</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①成功案例不重复计分，单项合同多个标段的以一个项目进行计算。</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②投标人提供中标通知书和合同扫描件上传至电子投标文件中并进行电子签章，</w:t>
      </w:r>
      <w:bookmarkStart w:id="38" w:name="_GoBack"/>
      <w:r>
        <w:rPr>
          <w:rFonts w:hint="eastAsia" w:ascii="仿宋" w:hAnsi="仿宋" w:eastAsia="仿宋" w:cs="Times New Roman"/>
          <w:bCs w:val="0"/>
          <w:color w:val="auto"/>
          <w:sz w:val="28"/>
          <w:szCs w:val="28"/>
          <w:highlight w:val="none"/>
          <w:lang w:val="en-US" w:eastAsia="zh-CN" w:bidi="ar-SA"/>
        </w:rPr>
        <w:t xml:space="preserve">成功案</w:t>
      </w:r>
      <w:bookmarkEnd w:id="38"/>
      <w:r>
        <w:rPr>
          <w:rFonts w:hint="eastAsia" w:ascii="仿宋" w:hAnsi="仿宋" w:eastAsia="仿宋" w:cs="Times New Roman"/>
          <w:bCs w:val="0"/>
          <w:color w:val="auto"/>
          <w:sz w:val="28"/>
          <w:szCs w:val="28"/>
          <w:highlight w:val="none"/>
          <w:lang w:val="en-US" w:eastAsia="zh-CN" w:bidi="ar-SA"/>
        </w:rPr>
        <w:t xml:space="preserve">例时间以合同签订时间为准，未按要求提供的不得分。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line="360" w:lineRule="auto"/>
        <w:rPr>
          <w:rFonts w:hint="default"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4、人员配备：24分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（1）投标人针对本项目拟派项目经理具有园林绿化类中级职称的得 2 分，具有园林绿化类高级或以上职称的得 3 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（2）投标人针对本项目拟派技术组成员中具有园林绿化类初级工程师职称的加 1 分，中级及以上工程师职称的加 2 分，本项最高限得9 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（3）投标人针对本项目拟派项目组成员具有高空作业证的得 2 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（4）投标人针对本项目拟派项目组成员中具有(绿化、花卉工)，每拟派一名中级工的得 1 分，高级工的得 2 分，本项最高限得 10 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注：</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①以上人员不重复得分，一个项目只能拟派一位项目经理，工程师职称证书上未注明为园林绿化时，以职称申报表或毕业证书中内容为准。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②1-2 项提供人员职称证书及 2025年1月以来任意一个月企业为其缴纳养老保险证明。</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③3-4 项提供项目组成员高空作业证、绿化或花卉高级工证书及 2025年1月以来任意一个月企业为其缴纳养老保险证明。</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④投标人提供证明材料必须清晰可见，评审时无法辨认的材料不得分，证明材料上传至电子投标文件中并进行电子签章，未按要求提供的不得分。</w:t>
      </w:r>
      <w:r/>
    </w:p>
    <w:p>
      <w:pPr>
        <w:ind w:firstLine="560"/>
        <w:jc w:val="left"/>
        <w:spacing w:line="360" w:lineRule="auto"/>
        <w:rPr>
          <w:rFonts w:hint="default"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⑤投标人已在淮安经济技术开发区其他标段实施绿化养护，养护期内已拟派的所有养护人员本项目不得重复使用（本项目服务期届满的除外）。评委会将针对招标人递交的上一履行期限内养护单位提供的拟派人员配备表进行对比核查，如有重复的本大项“绿化养护组织机构和技术人员配备”不得分。</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691"/>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pStyle w:val="691"/>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pStyle w:val="691"/>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pStyle w:val="691"/>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pStyle w:val="691"/>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pStyle w:val="691"/>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pStyle w:val="691"/>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pStyle w:val="691"/>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pStyle w:val="691"/>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pStyle w:val="691"/>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pStyle w:val="691"/>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pStyle w:val="691"/>
        <w:rPr>
          <w:rFonts w:ascii="仿宋" w:hAnsi="仿宋" w:eastAsia="仿宋"/>
          <w:color w:val="auto"/>
          <w:sz w:val="28"/>
          <w:szCs w:val="28"/>
          <w:highlight w:val="none"/>
        </w:rPr>
      </w:pPr>
      <w:r>
        <w:rPr>
          <w:rFonts w:ascii="仿宋" w:hAnsi="仿宋" w:eastAsia="仿宋"/>
          <w:color w:val="auto"/>
          <w:sz w:val="28"/>
          <w:szCs w:val="28"/>
          <w:highlight w:val="none"/>
        </w:rPr>
      </w:r>
      <w:r/>
    </w:p>
    <w:p>
      <w:pPr>
        <w:pStyle w:val="691"/>
        <w:rPr>
          <w:rFonts w:ascii="仿宋" w:hAnsi="仿宋" w:eastAsia="仿宋"/>
          <w:color w:val="auto"/>
          <w:sz w:val="28"/>
          <w:szCs w:val="28"/>
          <w:highlight w:val="none"/>
        </w:rPr>
      </w:pPr>
      <w:r>
        <w:rPr>
          <w:rFonts w:ascii="仿宋" w:hAnsi="仿宋" w:eastAsia="仿宋"/>
          <w:color w:val="auto"/>
          <w:sz w:val="28"/>
          <w:szCs w:val="28"/>
          <w:highlight w:val="none"/>
        </w:rPr>
      </w:r>
      <w:r/>
    </w:p>
    <w:p>
      <w:pPr>
        <w:rPr>
          <w:color w:val="auto"/>
          <w:highlight w:val="none"/>
        </w:rPr>
      </w:pPr>
      <w:r>
        <w:rPr>
          <w:color w:val="auto"/>
          <w:highlight w:val="none"/>
        </w:rPr>
      </w:r>
      <w:r/>
    </w:p>
    <w:p>
      <w:pPr>
        <w:jc w:val="center"/>
        <w:keepLines w:val="0"/>
        <w:keepNext w:val="0"/>
        <w:pageBreakBefore w:val="0"/>
        <w:spacing w:line="520" w:lineRule="exact"/>
        <w:widowControl w:val="off"/>
        <w:rPr>
          <w:rFonts w:hint="eastAsia" w:ascii="仿宋" w:hAnsi="仿宋" w:eastAsia="仿宋"/>
          <w:b/>
          <w:color w:val="auto"/>
          <w:sz w:val="36"/>
          <w:szCs w:val="36"/>
          <w:highlight w:val="none"/>
        </w:rPr>
        <w:outlineLvl w:val="9"/>
      </w:pPr>
      <w:r>
        <w:rPr>
          <w:rFonts w:hint="eastAsia" w:ascii="仿宋" w:hAnsi="仿宋" w:eastAsia="仿宋"/>
          <w:b/>
          <w:color w:val="auto"/>
          <w:sz w:val="36"/>
          <w:szCs w:val="36"/>
          <w:highlight w:val="none"/>
        </w:rPr>
        <w:t xml:space="preserve">第四章  合同格式及条款</w:t>
      </w:r>
      <w:r/>
    </w:p>
    <w:p>
      <w:pPr>
        <w:ind w:firstLine="560"/>
        <w:keepLines w:val="0"/>
        <w:keepNext w:val="0"/>
        <w:pageBreakBefore w:val="0"/>
        <w:spacing w:line="520" w:lineRule="exact"/>
        <w:tabs>
          <w:tab w:val="left" w:pos="180" w:leader="none"/>
        </w:tabs>
        <w:rPr>
          <w:rFonts w:hint="eastAsia" w:ascii="仿宋" w:hAnsi="仿宋" w:eastAsia="仿宋"/>
          <w:color w:val="auto"/>
          <w:sz w:val="32"/>
          <w:highlight w:val="none"/>
        </w:rPr>
        <w:outlineLvl w:val="9"/>
      </w:pPr>
      <w:r>
        <w:rPr>
          <w:rFonts w:hint="eastAsia" w:ascii="仿宋" w:hAnsi="仿宋" w:eastAsia="仿宋"/>
          <w:bCs/>
          <w:color w:val="auto"/>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893"/>
        <w:ind w:firstLine="3066"/>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jc w:val="center"/>
        <w:keepLines w:val="0"/>
        <w:keepNext w:val="0"/>
        <w:pageBreakBefore w:val="0"/>
        <w:spacing w:line="520" w:lineRule="exact"/>
        <w:widowControl w:val="off"/>
        <w:rPr>
          <w:rFonts w:hint="eastAsia" w:ascii="仿宋" w:hAnsi="仿宋" w:eastAsia="仿宋"/>
          <w:b/>
          <w:color w:val="auto"/>
          <w:sz w:val="36"/>
          <w:szCs w:val="36"/>
          <w:highlight w:val="none"/>
        </w:rPr>
        <w:outlineLvl w:val="9"/>
      </w:pPr>
      <w:r>
        <w:rPr>
          <w:rFonts w:hint="eastAsia" w:ascii="仿宋" w:hAnsi="仿宋" w:eastAsia="仿宋"/>
          <w:b/>
          <w:color w:val="auto"/>
          <w:sz w:val="36"/>
          <w:szCs w:val="36"/>
          <w:highlight w:val="none"/>
          <w:lang w:val="en-US" w:eastAsia="zh-CN"/>
        </w:rPr>
        <w:t xml:space="preserve">一、</w:t>
      </w:r>
      <w:r>
        <w:rPr>
          <w:rFonts w:hint="eastAsia" w:ascii="仿宋" w:hAnsi="仿宋" w:eastAsia="仿宋"/>
          <w:b/>
          <w:color w:val="auto"/>
          <w:sz w:val="36"/>
          <w:szCs w:val="36"/>
          <w:highlight w:val="none"/>
        </w:rPr>
        <w:t xml:space="preserve">合同主要条款</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1、本次项目付款方式:</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甲方每月对乙方的养护质量</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按照淮安经济技术开发区绿地精细化养护管理考核办法</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进行检查考核评分，每三个月根据考核结果和实际养护面积计算养护金额并予以支付。（付款时，乙方须提供服务费正式发票，实际养护面积以淮安经济技术开发区园林局测量为准）</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lang w:eastAsia="zh-CN"/>
        </w:rPr>
        <w:outlineLvl w:val="9"/>
      </w:pPr>
      <w:r>
        <w:rPr>
          <w:rFonts w:hint="eastAsia" w:ascii="仿宋" w:hAnsi="仿宋" w:eastAsia="仿宋"/>
          <w:bCs/>
          <w:color w:val="auto"/>
          <w:sz w:val="28"/>
          <w:szCs w:val="28"/>
          <w:highlight w:val="none"/>
        </w:rPr>
        <w:t xml:space="preserve">2、服务期限：</w:t>
      </w:r>
      <w:r>
        <w:rPr>
          <w:rFonts w:hint="eastAsia" w:ascii="仿宋" w:hAnsi="仿宋" w:eastAsia="仿宋"/>
          <w:bCs/>
          <w:color w:val="auto"/>
          <w:sz w:val="28"/>
          <w:szCs w:val="28"/>
          <w:highlight w:val="none"/>
          <w:lang w:eastAsia="zh-CN"/>
        </w:rPr>
        <w:t xml:space="preserve">两年</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3、实施地点</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由采购人指定。</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lang w:val="en-US" w:eastAsia="zh-CN"/>
        </w:rPr>
        <w:outlineLvl w:val="9"/>
      </w:pPr>
      <w:r>
        <w:rPr>
          <w:rFonts w:hint="eastAsia" w:ascii="仿宋" w:hAnsi="仿宋" w:eastAsia="仿宋"/>
          <w:bCs/>
          <w:color w:val="auto"/>
          <w:sz w:val="28"/>
          <w:szCs w:val="28"/>
          <w:highlight w:val="none"/>
          <w:lang w:val="en-US" w:eastAsia="zh-CN"/>
        </w:rPr>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lang w:val="en-US" w:eastAsia="zh-CN"/>
        </w:rPr>
        <w:outlineLvl w:val="9"/>
      </w:pPr>
      <w:r>
        <w:rPr>
          <w:rFonts w:hint="eastAsia" w:ascii="仿宋" w:hAnsi="仿宋" w:eastAsia="仿宋"/>
          <w:bCs/>
          <w:color w:val="auto"/>
          <w:sz w:val="28"/>
          <w:szCs w:val="28"/>
          <w:highlight w:val="none"/>
          <w:lang w:val="en-US" w:eastAsia="zh-CN"/>
        </w:rPr>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lang w:val="en-US" w:eastAsia="zh-CN"/>
        </w:rPr>
        <w:outlineLvl w:val="9"/>
      </w:pPr>
      <w:r>
        <w:rPr>
          <w:rFonts w:hint="eastAsia" w:ascii="仿宋" w:hAnsi="仿宋" w:eastAsia="仿宋"/>
          <w:bCs/>
          <w:color w:val="auto"/>
          <w:sz w:val="28"/>
          <w:szCs w:val="28"/>
          <w:highlight w:val="none"/>
          <w:lang w:val="en-US" w:eastAsia="zh-CN"/>
        </w:rPr>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lang w:val="en-US" w:eastAsia="zh-CN"/>
        </w:rPr>
        <w:outlineLvl w:val="9"/>
      </w:pPr>
      <w:r>
        <w:rPr>
          <w:rFonts w:hint="eastAsia" w:ascii="仿宋" w:hAnsi="仿宋" w:eastAsia="仿宋"/>
          <w:bCs/>
          <w:color w:val="auto"/>
          <w:sz w:val="28"/>
          <w:szCs w:val="28"/>
          <w:highlight w:val="none"/>
          <w:lang w:val="en-US" w:eastAsia="zh-CN"/>
        </w:rPr>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lang w:val="en-US" w:eastAsia="zh-CN"/>
        </w:rPr>
        <w:outlineLvl w:val="9"/>
      </w:pPr>
      <w:r>
        <w:rPr>
          <w:rFonts w:hint="eastAsia" w:ascii="仿宋" w:hAnsi="仿宋" w:eastAsia="仿宋"/>
          <w:bCs/>
          <w:color w:val="auto"/>
          <w:sz w:val="28"/>
          <w:szCs w:val="28"/>
          <w:highlight w:val="none"/>
          <w:lang w:val="en-US" w:eastAsia="zh-CN"/>
        </w:rPr>
      </w:r>
      <w:r/>
    </w:p>
    <w:p>
      <w:pPr>
        <w:numPr>
          <w:ilvl w:val="0"/>
          <w:numId w:val="0"/>
        </w:numPr>
        <w:ind w:right="0"/>
        <w:jc w:val="center"/>
        <w:keepLines w:val="0"/>
        <w:keepNext w:val="0"/>
        <w:pageBreakBefore w:val="0"/>
        <w:spacing w:line="560" w:lineRule="exact"/>
        <w:rPr>
          <w:rFonts w:hint="eastAsia" w:ascii="方正楷体_GB2312" w:hAnsi="方正楷体_GB2312" w:eastAsia="方正楷体_GB2312" w:cs="方正楷体_GB2312"/>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color w:val="auto"/>
          <w:sz w:val="32"/>
          <w:szCs w:val="32"/>
          <w:highlight w:val="none"/>
          <w:lang w:val="en-US" w:eastAsia="zh-CN"/>
        </w:rPr>
      </w:r>
      <w:r/>
    </w:p>
    <w:p>
      <w:pPr>
        <w:numPr>
          <w:ilvl w:val="0"/>
          <w:numId w:val="0"/>
        </w:numPr>
        <w:ind w:right="0"/>
        <w:jc w:val="center"/>
        <w:keepLines w:val="0"/>
        <w:keepNext w:val="0"/>
        <w:pageBreakBefore w:val="0"/>
        <w:spacing w:line="560" w:lineRule="exact"/>
        <w:rPr>
          <w:rFonts w:hint="eastAsia" w:ascii="方正楷体_GB2312" w:hAnsi="方正楷体_GB2312" w:eastAsia="方正楷体_GB2312" w:cs="方正楷体_GB2312"/>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color w:val="auto"/>
          <w:sz w:val="32"/>
          <w:szCs w:val="32"/>
          <w:highlight w:val="none"/>
          <w:lang w:val="en-US" w:eastAsia="zh-CN"/>
        </w:rPr>
      </w:r>
      <w:r/>
    </w:p>
    <w:p>
      <w:pPr>
        <w:numPr>
          <w:ilvl w:val="0"/>
          <w:numId w:val="0"/>
        </w:numPr>
        <w:ind w:right="0"/>
        <w:jc w:val="center"/>
        <w:keepLines w:val="0"/>
        <w:keepNext w:val="0"/>
        <w:pageBreakBefore w:val="0"/>
        <w:spacing w:line="560" w:lineRule="exact"/>
        <w:rPr>
          <w:rFonts w:hint="eastAsia" w:ascii="方正楷体_GB2312" w:hAnsi="方正楷体_GB2312" w:eastAsia="方正楷体_GB2312" w:cs="方正楷体_GB2312"/>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color w:val="auto"/>
          <w:sz w:val="32"/>
          <w:szCs w:val="32"/>
          <w:highlight w:val="none"/>
          <w:lang w:val="en-US" w:eastAsia="zh-CN"/>
        </w:rPr>
      </w:r>
      <w:r/>
    </w:p>
    <w:p>
      <w:pPr>
        <w:jc w:val="center"/>
        <w:keepLines w:val="0"/>
        <w:keepNext w:val="0"/>
        <w:pageBreakBefore w:val="0"/>
        <w:spacing w:line="520" w:lineRule="exact"/>
        <w:widowControl w:val="off"/>
        <w:rPr>
          <w:rFonts w:hint="eastAsia" w:ascii="仿宋" w:hAnsi="仿宋" w:eastAsia="仿宋"/>
          <w:b/>
          <w:color w:val="auto"/>
          <w:sz w:val="36"/>
          <w:szCs w:val="36"/>
          <w:highlight w:val="none"/>
          <w:lang w:val="en-US" w:eastAsia="zh-CN"/>
        </w:rPr>
        <w:outlineLvl w:val="9"/>
      </w:pPr>
      <w:r>
        <w:rPr>
          <w:rFonts w:hint="eastAsia" w:ascii="仿宋" w:hAnsi="仿宋" w:eastAsia="仿宋"/>
          <w:b/>
          <w:color w:val="auto"/>
          <w:sz w:val="36"/>
          <w:szCs w:val="36"/>
          <w:highlight w:val="none"/>
          <w:lang w:val="en-US" w:eastAsia="zh-CN"/>
        </w:rPr>
      </w:r>
      <w:r/>
    </w:p>
    <w:p>
      <w:pPr>
        <w:jc w:val="center"/>
        <w:keepLines w:val="0"/>
        <w:keepNext w:val="0"/>
        <w:pageBreakBefore w:val="0"/>
        <w:spacing w:line="520" w:lineRule="exact"/>
        <w:widowControl w:val="off"/>
        <w:rPr>
          <w:rFonts w:hint="eastAsia" w:ascii="仿宋" w:hAnsi="仿宋" w:eastAsia="仿宋"/>
          <w:b/>
          <w:color w:val="auto"/>
          <w:sz w:val="36"/>
          <w:szCs w:val="36"/>
          <w:highlight w:val="none"/>
          <w:lang w:val="en-US" w:eastAsia="zh-CN"/>
        </w:rPr>
        <w:outlineLvl w:val="9"/>
      </w:pPr>
      <w:r>
        <w:rPr>
          <w:rFonts w:hint="eastAsia" w:ascii="仿宋" w:hAnsi="仿宋" w:eastAsia="仿宋"/>
          <w:b/>
          <w:color w:val="auto"/>
          <w:sz w:val="36"/>
          <w:szCs w:val="36"/>
          <w:highlight w:val="none"/>
          <w:lang w:val="en-US" w:eastAsia="zh-CN"/>
        </w:rPr>
      </w:r>
      <w:r/>
    </w:p>
    <w:p>
      <w:pPr>
        <w:jc w:val="center"/>
        <w:keepLines w:val="0"/>
        <w:keepNext w:val="0"/>
        <w:pageBreakBefore w:val="0"/>
        <w:spacing w:line="520" w:lineRule="exact"/>
        <w:widowControl w:val="off"/>
        <w:rPr>
          <w:rFonts w:hint="eastAsia" w:ascii="仿宋" w:hAnsi="仿宋" w:eastAsia="仿宋"/>
          <w:b/>
          <w:color w:val="auto"/>
          <w:sz w:val="36"/>
          <w:szCs w:val="36"/>
          <w:highlight w:val="none"/>
          <w:lang w:val="en-US" w:eastAsia="zh-CN"/>
        </w:rPr>
        <w:outlineLvl w:val="9"/>
      </w:pPr>
      <w:r>
        <w:rPr>
          <w:rFonts w:hint="eastAsia" w:ascii="仿宋" w:hAnsi="仿宋" w:eastAsia="仿宋"/>
          <w:b/>
          <w:color w:val="auto"/>
          <w:sz w:val="36"/>
          <w:szCs w:val="36"/>
          <w:highlight w:val="none"/>
          <w:lang w:val="en-US" w:eastAsia="zh-CN"/>
        </w:rPr>
      </w:r>
      <w:r/>
    </w:p>
    <w:p>
      <w:pPr>
        <w:jc w:val="center"/>
        <w:keepLines w:val="0"/>
        <w:keepNext w:val="0"/>
        <w:pageBreakBefore w:val="0"/>
        <w:spacing w:line="520" w:lineRule="exact"/>
        <w:widowControl w:val="off"/>
        <w:rPr>
          <w:rFonts w:hint="eastAsia" w:ascii="仿宋" w:hAnsi="仿宋" w:eastAsia="仿宋"/>
          <w:b/>
          <w:color w:val="auto"/>
          <w:sz w:val="36"/>
          <w:szCs w:val="36"/>
          <w:highlight w:val="none"/>
          <w:lang w:val="en-US" w:eastAsia="zh-CN"/>
        </w:rPr>
        <w:outlineLvl w:val="9"/>
      </w:pPr>
      <w:r>
        <w:rPr>
          <w:rFonts w:hint="eastAsia" w:ascii="仿宋" w:hAnsi="仿宋" w:eastAsia="仿宋"/>
          <w:b/>
          <w:color w:val="auto"/>
          <w:sz w:val="36"/>
          <w:szCs w:val="36"/>
          <w:highlight w:val="none"/>
          <w:lang w:val="en-US" w:eastAsia="zh-CN"/>
        </w:rPr>
      </w:r>
      <w:r/>
    </w:p>
    <w:p>
      <w:pPr>
        <w:jc w:val="center"/>
        <w:keepLines w:val="0"/>
        <w:keepNext w:val="0"/>
        <w:pageBreakBefore w:val="0"/>
        <w:spacing w:line="520" w:lineRule="exact"/>
        <w:widowControl w:val="off"/>
        <w:rPr>
          <w:rFonts w:hint="eastAsia" w:ascii="仿宋" w:hAnsi="仿宋" w:eastAsia="仿宋"/>
          <w:b/>
          <w:color w:val="auto"/>
          <w:sz w:val="36"/>
          <w:szCs w:val="36"/>
          <w:highlight w:val="none"/>
          <w:lang w:val="en-US" w:eastAsia="zh-CN"/>
        </w:rPr>
        <w:outlineLvl w:val="9"/>
      </w:pPr>
      <w:r>
        <w:rPr>
          <w:rFonts w:hint="eastAsia" w:ascii="仿宋" w:hAnsi="仿宋" w:eastAsia="仿宋"/>
          <w:b/>
          <w:color w:val="auto"/>
          <w:sz w:val="36"/>
          <w:szCs w:val="36"/>
          <w:highlight w:val="none"/>
          <w:lang w:val="en-US" w:eastAsia="zh-CN"/>
        </w:rPr>
      </w:r>
      <w:r/>
    </w:p>
    <w:p>
      <w:pPr>
        <w:jc w:val="center"/>
        <w:keepLines w:val="0"/>
        <w:keepNext w:val="0"/>
        <w:pageBreakBefore w:val="0"/>
        <w:spacing w:line="520" w:lineRule="exact"/>
        <w:widowControl w:val="off"/>
        <w:rPr>
          <w:rFonts w:hint="eastAsia" w:ascii="仿宋" w:hAnsi="仿宋" w:eastAsia="仿宋"/>
          <w:b/>
          <w:color w:val="auto"/>
          <w:sz w:val="36"/>
          <w:szCs w:val="36"/>
          <w:highlight w:val="none"/>
          <w:lang w:val="en-US" w:eastAsia="zh-CN"/>
        </w:rPr>
        <w:outlineLvl w:val="9"/>
      </w:pPr>
      <w:r>
        <w:rPr>
          <w:rFonts w:hint="eastAsia" w:ascii="仿宋" w:hAnsi="仿宋" w:eastAsia="仿宋"/>
          <w:b/>
          <w:color w:val="auto"/>
          <w:sz w:val="36"/>
          <w:szCs w:val="36"/>
          <w:highlight w:val="none"/>
          <w:lang w:val="en-US" w:eastAsia="zh-CN"/>
        </w:rPr>
        <w:t xml:space="preserve">二、 合同格式</w:t>
      </w:r>
      <w:r/>
    </w:p>
    <w:p>
      <w:pPr>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采购人：淮安经济技术开发区住房和城乡建设局（以下简称“甲方”）</w:t>
      </w:r>
      <w:r/>
    </w:p>
    <w:p>
      <w:pPr>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承包人： </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（以下简称“乙方”）</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根据《中华人民共和国民法典》及期他有关法律、行政法规、遵循平等、自愿、公平的原则，在双方承诺招投标文件全部内容（含补充文件）全部内容的基础上，协商一致，订立本合同。</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lang w:val="en-US" w:eastAsia="zh-CN"/>
        </w:rPr>
        <w:t xml:space="preserve">一、项目概况</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项目名称：202</w:t>
      </w:r>
      <w:r>
        <w:rPr>
          <w:rFonts w:hint="eastAsia" w:ascii="仿宋" w:hAnsi="仿宋" w:eastAsia="仿宋"/>
          <w:bCs/>
          <w:color w:val="auto"/>
          <w:sz w:val="28"/>
          <w:szCs w:val="28"/>
          <w:highlight w:val="none"/>
          <w:lang w:val="en-US" w:eastAsia="zh-CN"/>
        </w:rPr>
        <w:t xml:space="preserve">6</w:t>
      </w:r>
      <w:r>
        <w:rPr>
          <w:rFonts w:hint="eastAsia" w:ascii="仿宋" w:hAnsi="仿宋" w:eastAsia="仿宋"/>
          <w:bCs/>
          <w:color w:val="auto"/>
          <w:sz w:val="28"/>
          <w:szCs w:val="28"/>
          <w:highlight w:val="none"/>
        </w:rPr>
        <w:t xml:space="preserve">年经开区绿化养护服务项目（项目编号：）</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养护内容：行道树、乔木、花灌木、地被草坪、花坛花卉绿化养护管理、景观设施维护、铺装维修、卫生保洁、冲洗除尘、喷雾降尘、绿地保护、病虫害防治、施肥等。</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lang w:eastAsia="zh-CN"/>
        </w:rPr>
        <w:outlineLvl w:val="9"/>
      </w:pPr>
      <w:r>
        <w:rPr>
          <w:rFonts w:hint="eastAsia" w:ascii="仿宋" w:hAnsi="仿宋" w:eastAsia="仿宋"/>
          <w:bCs/>
          <w:color w:val="auto"/>
          <w:sz w:val="28"/>
          <w:szCs w:val="28"/>
          <w:highlight w:val="none"/>
        </w:rPr>
        <w:t xml:space="preserve">养护质量等级： 参照省二级养护标准</w:t>
      </w:r>
      <w:r>
        <w:rPr>
          <w:rFonts w:hint="eastAsia" w:ascii="仿宋" w:hAnsi="仿宋" w:eastAsia="仿宋"/>
          <w:bCs/>
          <w:color w:val="auto"/>
          <w:sz w:val="28"/>
          <w:szCs w:val="28"/>
          <w:highlight w:val="none"/>
          <w:lang w:eastAsia="zh-CN"/>
        </w:rPr>
        <w:t xml:space="preserve">。</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lang w:eastAsia="zh-CN"/>
        </w:rPr>
        <w:outlineLvl w:val="9"/>
      </w:pPr>
      <w:r>
        <w:rPr>
          <w:rFonts w:hint="eastAsia" w:ascii="仿宋" w:hAnsi="仿宋" w:eastAsia="仿宋"/>
          <w:bCs/>
          <w:color w:val="auto"/>
          <w:sz w:val="28"/>
          <w:szCs w:val="28"/>
          <w:highlight w:val="none"/>
          <w:lang w:val="en-US" w:eastAsia="zh-CN"/>
        </w:rPr>
        <w:t xml:space="preserve">二、承包范围：</w:t>
      </w:r>
      <w:r>
        <w:rPr>
          <w:rFonts w:hint="eastAsia" w:ascii="仿宋" w:hAnsi="仿宋" w:eastAsia="仿宋"/>
          <w:bCs/>
          <w:color w:val="auto"/>
          <w:sz w:val="28"/>
          <w:szCs w:val="28"/>
          <w:highlight w:val="none"/>
        </w:rPr>
        <w:t xml:space="preserve"> 养护管理服务总承包</w:t>
      </w:r>
      <w:r>
        <w:rPr>
          <w:rFonts w:hint="eastAsia" w:ascii="仿宋" w:hAnsi="仿宋" w:eastAsia="仿宋"/>
          <w:bCs/>
          <w:color w:val="auto"/>
          <w:sz w:val="28"/>
          <w:szCs w:val="28"/>
          <w:highlight w:val="none"/>
          <w:lang w:eastAsia="zh-CN"/>
        </w:rPr>
        <w:t xml:space="preserve">。</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lang w:val="en-US" w:eastAsia="zh-CN"/>
        </w:rPr>
        <w:t xml:space="preserve">三、承包及养护期限</w:t>
      </w:r>
      <w:r>
        <w:rPr>
          <w:rFonts w:hint="eastAsia" w:ascii="仿宋" w:hAnsi="仿宋" w:eastAsia="仿宋"/>
          <w:bCs/>
          <w:color w:val="auto"/>
          <w:sz w:val="28"/>
          <w:szCs w:val="28"/>
          <w:highlight w:val="none"/>
        </w:rPr>
        <w:t xml:space="preserve">：</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1、养护时间为：进场服务时间起</w:t>
      </w:r>
      <w:r>
        <w:rPr>
          <w:rFonts w:hint="eastAsia" w:ascii="仿宋" w:hAnsi="仿宋" w:eastAsia="仿宋"/>
          <w:bCs/>
          <w:color w:val="auto"/>
          <w:sz w:val="28"/>
          <w:szCs w:val="28"/>
          <w:highlight w:val="none"/>
          <w:lang w:val="en-US" w:eastAsia="zh-CN"/>
        </w:rPr>
        <w:t xml:space="preserve">两</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日起至</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日）；</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2、试用期限为：1 个月，在试用期内采购人将按本合同中约定的考核办法、考核标准，对其进行考核。如果考核结果为不合格，采购人有权取消其中标资格。</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3、养护面积： </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平方米 ，采购合同签订后中标人开始接收、养护，最终养护面积按实计算。</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lang w:val="en-US" w:eastAsia="zh-CN"/>
        </w:rPr>
        <w:outlineLvl w:val="9"/>
      </w:pPr>
      <w:r>
        <w:rPr>
          <w:rFonts w:hint="eastAsia" w:ascii="仿宋" w:hAnsi="仿宋" w:eastAsia="仿宋"/>
          <w:bCs/>
          <w:color w:val="auto"/>
          <w:sz w:val="28"/>
          <w:szCs w:val="28"/>
          <w:highlight w:val="none"/>
          <w:lang w:val="en-US" w:eastAsia="zh-CN"/>
        </w:rPr>
        <w:t xml:space="preserve">四、人员要求：</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1、甲方代表</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甲方指派</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u w:val="single"/>
          <w:lang w:val="en-US" w:eastAsia="zh-CN"/>
        </w:rPr>
        <w:t xml:space="preserve">     </w:t>
      </w:r>
      <w:r>
        <w:rPr>
          <w:rFonts w:hint="eastAsia" w:ascii="仿宋" w:hAnsi="仿宋" w:eastAsia="仿宋"/>
          <w:bCs/>
          <w:color w:val="auto"/>
          <w:sz w:val="28"/>
          <w:szCs w:val="28"/>
          <w:highlight w:val="none"/>
        </w:rPr>
        <w:t xml:space="preserve"> 为派驻现场代表，全面负责日常养护作业的跟踪督察考核等管理工作。</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2、乙方代表</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2.1 乙方指派</w:t>
      </w:r>
      <w:r>
        <w:rPr>
          <w:rFonts w:hint="eastAsia" w:ascii="仿宋" w:hAnsi="仿宋" w:eastAsia="仿宋"/>
          <w:bCs/>
          <w:color w:val="auto"/>
          <w:sz w:val="28"/>
          <w:szCs w:val="28"/>
          <w:highlight w:val="none"/>
          <w:u w:val="single"/>
          <w:lang w:val="en-US" w:eastAsia="zh-CN"/>
        </w:rPr>
        <w:t xml:space="preserve">       </w:t>
      </w:r>
      <w:r>
        <w:rPr>
          <w:rFonts w:hint="eastAsia" w:ascii="仿宋" w:hAnsi="仿宋" w:eastAsia="仿宋"/>
          <w:bCs/>
          <w:color w:val="auto"/>
          <w:sz w:val="28"/>
          <w:szCs w:val="28"/>
          <w:highlight w:val="none"/>
        </w:rPr>
        <w:t xml:space="preserve">为绿地养护项目经理，具体负责本养护</w:t>
      </w:r>
      <w:r>
        <w:rPr>
          <w:rFonts w:hint="eastAsia" w:ascii="仿宋" w:hAnsi="仿宋" w:eastAsia="仿宋"/>
          <w:bCs/>
          <w:color w:val="auto"/>
          <w:sz w:val="28"/>
          <w:szCs w:val="28"/>
          <w:highlight w:val="none"/>
          <w:lang w:eastAsia="zh-CN"/>
        </w:rPr>
        <w:t xml:space="preserve">标包</w:t>
      </w:r>
      <w:r>
        <w:rPr>
          <w:rFonts w:hint="eastAsia" w:ascii="仿宋" w:hAnsi="仿宋" w:eastAsia="仿宋"/>
          <w:bCs/>
          <w:color w:val="auto"/>
          <w:sz w:val="28"/>
          <w:szCs w:val="28"/>
          <w:highlight w:val="none"/>
        </w:rPr>
        <w:t xml:space="preserve">作业工作，并用书面材料报甲方备案。</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2.2 项目经理必须准时参加由甲方召开的养护例会和甲方安排的其他会议。</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2.3 乙方必须按照投标文件承诺的人员数量、结构比例安排相关人员进场，项目经理必须符合投标文件承诺的资质资历，一律不得变更。</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2.4 投标人拟派项目经理必须为本项目专职人员（未兼职其他项目），常驻项目所在地，每个工作日须到甲方指定地点签到（1-6 天未按要求进行签到的，罚款 1000 元/天；7-14 天未按要求进行签到的，罚款 2000 元/天；14 天以上未按要求进行签到的，罚款 3000 元/天），遇特殊情况需请假的，必须经过甲方同意(提供三级及以上医院证明等相关材料)。</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2.5 乙方不得擅自更换项目经理（死亡及重大疾病）除外，需提供相关证明并及时以书面形式通知甲方。擅自更换项目经理甲方有权对乙方处合同价的 3%罚款及解除合同并向政府采购监管部门申请将该单位列入不良记录。确需更换项目经理，应征得甲方同意后方可变更项目经理。</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2.6 乙方须无条件更换甲方认为不称职的项目经理，新更换项目经理资质不得低于投标文件中拟派项目经理资质。</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2.7 乙方养护人员必须达到 80%及以上为当地人员，10%管理人员由乙方自定。</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lang w:val="en-US" w:eastAsia="zh-CN"/>
        </w:rPr>
        <w:t xml:space="preserve">五、甲方工作</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1、负责向乙方提供养护</w:t>
      </w:r>
      <w:r>
        <w:rPr>
          <w:rFonts w:hint="eastAsia" w:ascii="仿宋" w:hAnsi="仿宋" w:eastAsia="仿宋"/>
          <w:bCs/>
          <w:color w:val="auto"/>
          <w:sz w:val="28"/>
          <w:szCs w:val="28"/>
          <w:highlight w:val="none"/>
          <w:lang w:eastAsia="zh-CN"/>
        </w:rPr>
        <w:t xml:space="preserve">标包</w:t>
      </w:r>
      <w:r>
        <w:rPr>
          <w:rFonts w:hint="eastAsia" w:ascii="仿宋" w:hAnsi="仿宋" w:eastAsia="仿宋"/>
          <w:bCs/>
          <w:color w:val="auto"/>
          <w:sz w:val="28"/>
          <w:szCs w:val="28"/>
          <w:highlight w:val="none"/>
        </w:rPr>
        <w:t xml:space="preserve">的有关资料。</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2、组织召开养护作业技术交底会。</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3、负责乙方的日常养护作业的管理和检查（定期检查和不定期抽查相结合）。每月对乙方做出下月度养护工作计划布置和对当月度养护工作进行考核（全年考核 12 次，每月抽查若干次），考核按《江苏省淮安经济技术开发区绿化养护管理考核办法》进行，年终综合考核考评。</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4、如遇突发事件，协调乙方在工作过程中与其他管理部门的关系。</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5、甲方应做到的其他工作，双方在补充条款内约定。</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lang w:val="en-US" w:eastAsia="zh-CN"/>
        </w:rPr>
        <w:t xml:space="preserve">六、乙方工作</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1、根据甲方养护工作计划，乙方承担日常养护内容有：绿化养护、设施维护、环境卫生、公共秩序、抢险、迎检等应急工作。</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2、做好统计报表，并按时做好月、季、年度上报养护工作完成情况表，按甲方要求及时上报。</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3、应按甲方提出的对各种管理的要求落实保护措施。</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4、建立日报制度。乙方每天有专人进行对绿化及设施的巡视，并做好每日巡查工作记录，并于每天下午五点前报淮安经济技术开发区园林局。</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lang w:val="en-US" w:eastAsia="zh-CN"/>
        </w:rPr>
        <w:t xml:space="preserve">1</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巡视中如发现人为造成的绿化设施损坏，必须及时制止，且在 24 小时内书面报告甲方和所在地行政执法部门，并及时做好恢复工作。</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lang w:val="en-US" w:eastAsia="zh-CN"/>
        </w:rPr>
        <w:t xml:space="preserve">2</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巡视中发现绿地内有违章搭建及其他破坏绿化等现象，必须当场予以制止，立即报告淮安经济技术开发区园林局，由园林局协助做好有关处理工作，并将处理结果报告甲方。</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5、建立代办制度。对交办事项未能按要求时间之内及时整改的，由考核领导小组（园林局）安排代办整改，所需经费直接从责任单位养护经费中支出。</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6、建立淘汰制度。对养护单位，因管理不到位，第一次考核不合格的进行约谈，约谈后不整改或整改后仍不合格的，全额扣除余下的养护费，甲方有权终止承包合同。产生的法律责</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任和经济损失均由乙方承担。</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7、超出常规养护范围的工作，需提前报甲方审批。</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8、及时解决来信、来访，并根据甲方要求及时处理。</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9、按时按量完成甲方交办的其它突击性任务和指令性任务。</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10、加强法定节假日的正常养护维修工作。</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11、乙方应做的其它工作，双方在补充条款内约定。</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12、 乙方应服从所在地的绿化主管部门的行业管理。</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13、如有移伐树木、占用绿地等破坏绿化行为，乙方要及时发现通知甲方处理并做好相关手续和后期恢复工作。</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lang w:val="en-US" w:eastAsia="zh-CN"/>
        </w:rPr>
        <w:outlineLvl w:val="9"/>
      </w:pPr>
      <w:r>
        <w:rPr>
          <w:rFonts w:hint="eastAsia" w:ascii="仿宋" w:hAnsi="仿宋" w:eastAsia="仿宋"/>
          <w:bCs/>
          <w:color w:val="auto"/>
          <w:sz w:val="28"/>
          <w:szCs w:val="28"/>
          <w:highlight w:val="none"/>
          <w:lang w:val="en-US" w:eastAsia="zh-CN"/>
        </w:rPr>
        <w:t xml:space="preserve">七、进度计划</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1、乙方在本合同生效后 15 天内上报全年养护作业维修计划，并结合季节特点和绿化状况，制定季度、月养护计划，材料计划送交甲方、甲方在 7 天内予以确认。</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2、乙方必须按甲方确认的进度计划组织养护作业，接受甲方对进度的价差、监督。养护作业实际进度与经确认的进度计划不一致时，乙方应按甲方的要求提出改进措施，经甲方代表</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确认后执行。因乙方的原因导致实际进度与计划进度不符，乙方无权就改进措施提出追加合同价款。</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lang w:val="en-US" w:eastAsia="zh-CN"/>
        </w:rPr>
        <w:outlineLvl w:val="9"/>
      </w:pPr>
      <w:r>
        <w:rPr>
          <w:rFonts w:hint="eastAsia" w:ascii="仿宋" w:hAnsi="仿宋" w:eastAsia="仿宋"/>
          <w:bCs/>
          <w:color w:val="auto"/>
          <w:sz w:val="28"/>
          <w:szCs w:val="28"/>
          <w:highlight w:val="none"/>
          <w:lang w:val="en-US" w:eastAsia="zh-CN"/>
        </w:rPr>
        <w:t xml:space="preserve">八、质量标准</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养护维修质量标准参照补充条款约定的质量标准。因乙方原因养护质量达不到约定的质量标准，乙方承担违约责任。</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lang w:val="en-US" w:eastAsia="zh-CN"/>
        </w:rPr>
        <w:outlineLvl w:val="9"/>
      </w:pPr>
      <w:r>
        <w:rPr>
          <w:rFonts w:hint="eastAsia" w:ascii="仿宋" w:hAnsi="仿宋" w:eastAsia="仿宋"/>
          <w:bCs/>
          <w:color w:val="auto"/>
          <w:sz w:val="28"/>
          <w:szCs w:val="28"/>
          <w:highlight w:val="none"/>
          <w:lang w:val="en-US" w:eastAsia="zh-CN"/>
        </w:rPr>
        <w:t xml:space="preserve">九、检查和考核</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乙方应认真按照淮安经济技术开发区绿地精细化养护管理考核办法中约定的质量标准进行养护，随时接受甲方的检查和考核，为检查和考核提供便利条件。</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lang w:val="en-US" w:eastAsia="zh-CN"/>
        </w:rPr>
        <w:outlineLvl w:val="9"/>
      </w:pPr>
      <w:r>
        <w:rPr>
          <w:rFonts w:hint="eastAsia" w:ascii="仿宋" w:hAnsi="仿宋" w:eastAsia="仿宋"/>
          <w:bCs/>
          <w:color w:val="auto"/>
          <w:sz w:val="28"/>
          <w:szCs w:val="28"/>
          <w:highlight w:val="none"/>
          <w:lang w:val="en-US" w:eastAsia="zh-CN"/>
        </w:rPr>
        <w:t xml:space="preserve">十、履约保证金</w:t>
      </w:r>
      <w:r/>
    </w:p>
    <w:p>
      <w:pPr>
        <w:ind w:firstLine="523"/>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1、乙方交纳人民币</w:t>
      </w:r>
      <w:r>
        <w:rPr>
          <w:rFonts w:hint="eastAsia" w:ascii="仿宋" w:hAnsi="仿宋" w:eastAsia="仿宋"/>
          <w:b/>
          <w:bCs/>
          <w:color w:val="auto"/>
          <w:sz w:val="28"/>
          <w:szCs w:val="28"/>
          <w:highlight w:val="none"/>
          <w:u w:val="single"/>
        </w:rPr>
        <w:t xml:space="preserve">合同金额的5%</w:t>
      </w:r>
      <w:r>
        <w:rPr>
          <w:rFonts w:hint="eastAsia" w:ascii="仿宋" w:hAnsi="仿宋" w:eastAsia="仿宋"/>
          <w:color w:val="auto"/>
          <w:sz w:val="28"/>
          <w:highlight w:val="none"/>
        </w:rPr>
        <w:t xml:space="preserve">作为本合同的履约保证金。</w:t>
      </w:r>
      <w:r/>
    </w:p>
    <w:p>
      <w:pPr>
        <w:ind w:firstLine="523"/>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2、乙方提供的履约保证金可以是人民币形式（银行本票、汇票、支票、电汇），或银行保函、担保公司的保证担保或保险公司的保证保险等多种形式。</w:t>
      </w:r>
      <w:r/>
    </w:p>
    <w:p>
      <w:pPr>
        <w:ind w:firstLine="523"/>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3、乙方选取银行保函、担保公司的保证担保或保险公司的保证保险等形式的向采购人缴纳的，如保函（担保、保险等）的约定期到期但乙方履约仍未结束的，乙方须进行续保。</w:t>
      </w:r>
      <w:r/>
    </w:p>
    <w:p>
      <w:pPr>
        <w:ind w:firstLine="523"/>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23"/>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5、如乙方未能履行合同规定的义务，甲方有权从履约保证金中取得补偿。</w:t>
      </w:r>
      <w:r/>
    </w:p>
    <w:p>
      <w:pPr>
        <w:ind w:firstLine="523"/>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6、履约保证金在合同约定期间内不予退还或者应完全有效，约定期间届满之日起5个工作日内，甲方应将履约保证金退还乙方；逾期退还的，按中国人民银行同期贷款基利率上浮20%后的利率支付超期资金占用费，但因乙方自身原因导致无法及时退还的除外。</w:t>
      </w:r>
      <w:r/>
    </w:p>
    <w:p>
      <w:pPr>
        <w:ind w:firstLine="523"/>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7、履约保证金在合同约定期间内不予退还或者应完全有效，履约保证金在项目验收合格后无息退还给乙方。</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lang w:val="en-US" w:eastAsia="zh-CN"/>
        </w:rPr>
        <w:outlineLvl w:val="9"/>
      </w:pPr>
      <w:r>
        <w:rPr>
          <w:rFonts w:hint="eastAsia" w:ascii="仿宋" w:hAnsi="仿宋" w:eastAsia="仿宋"/>
          <w:bCs/>
          <w:color w:val="auto"/>
          <w:sz w:val="28"/>
          <w:szCs w:val="28"/>
          <w:highlight w:val="none"/>
          <w:lang w:val="en-US" w:eastAsia="zh-CN"/>
        </w:rPr>
        <w:t xml:space="preserve">十一、安全文明施工和检查</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1、乙方应做好养护作业管理区内的安全管理工作，并随时接受甲方或行业安全检查人员依法实施的监督检查，采取必要的安全防护措施，消除事故隐患。</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2、由于乙方管理不善，引起政府职能部门出发和停工整改，或安全措施不力造成事故的责任和因此发生的费用，由乙方承担。</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3、养护作业人员应做好各项安全防范措施，必须着装上岗操作。</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lang w:val="en-US" w:eastAsia="zh-CN"/>
        </w:rPr>
        <w:t xml:space="preserve">十二、事故责任及处理方法</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1、承包人在承包合同期限内，发生的工伤、安全等事故，所有费用均应由承包人自行承担，与采购人无关。</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2、承包人在承包期限内，不得将承包的工程进行违法转包，也不得变相以分包的形式进行转包。否则，采购人除有权随时单方解除本合同外，因此造成的一切损失，全部由承包人承</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担。如采购人因此承担责任的，有权另行向承包人进行追偿。</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3、承包人应严格履行本合同，规范施工、加强管理、依法用工。如在承包期限内，发生工伤、安全、侵权、人损等事故和责任的，一切责任均由承包人独立承担。如采购人因此承担责任的，有权另行向承包人进行追偿。</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4、如发生重大伤亡及其他安全事故，乙方应按有关规定立即上报有关部门并通知甲方代表，按时按政府有关部门要求处理由事故责任方承担发生的费用。</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5、如遇不可抗拒自然灾害（如强台风、冰雹、洪水等）造成的苗木损失承包方免赔偿。</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lang w:val="en-US" w:eastAsia="zh-CN"/>
        </w:rPr>
        <w:outlineLvl w:val="9"/>
      </w:pPr>
      <w:r>
        <w:rPr>
          <w:rFonts w:hint="eastAsia" w:ascii="仿宋" w:hAnsi="仿宋" w:eastAsia="仿宋"/>
          <w:bCs/>
          <w:color w:val="auto"/>
          <w:sz w:val="28"/>
          <w:szCs w:val="28"/>
          <w:highlight w:val="none"/>
          <w:lang w:val="en-US" w:eastAsia="zh-CN"/>
        </w:rPr>
        <w:t xml:space="preserve">十三、合同价款</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1、本项目由乙方以包工、包料、包质量、包安全、包文明施工的方式实施总承包，乙方应对全部养护项目负责，中标以后不得分包、转包。如一经发现上述行为，甲方单方或甲方代</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表有权立即终止综合养护项目承包合同，由此产生一切法律责任和经济损失均由乙方承担。</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2、甲方按实际养护面积给乙方结算，实际养护面积以（淮安经济技术开发区园林局）测量数据为准。各类树木苗、草坪等非自然因素遭到损坏或死亡的，乙方应第一时间向甲方汇报，</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并做好现场图片资料的收集和数据统计,补植费用由投标人承担。</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3、合同金额及付款方式</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合同总价： </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元人民币，合同单价：</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元/㎡/每年。甲方每月对乙方的养护质量进行检查考核评分，每三个月根据考核结果及实际养护面积计算上月养护金额并予以支付（付款时，乙方应优先纳税在项目所在地，支付时提供项目所在地服务费的正式发票，未按要求提供发票的，不予支付服务费）。</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lang w:val="en-US" w:eastAsia="zh-CN"/>
        </w:rPr>
        <w:outlineLvl w:val="9"/>
      </w:pPr>
      <w:r>
        <w:rPr>
          <w:rFonts w:hint="eastAsia" w:ascii="仿宋" w:hAnsi="仿宋" w:eastAsia="仿宋"/>
          <w:bCs/>
          <w:color w:val="auto"/>
          <w:sz w:val="28"/>
          <w:szCs w:val="28"/>
          <w:highlight w:val="none"/>
          <w:lang w:val="en-US" w:eastAsia="zh-CN"/>
        </w:rPr>
        <w:t xml:space="preserve">十三、合同生效及其它</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本合同经甲方、乙方授权代表签字盖章，并在收到乙方提交的履约保证金之日起生效。如有变动，必须经甲方、乙方协商一致方可更改。本合同一式六份，甲方、乙方各执二份、淮安经济技术开发区招标投标服务中心</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lang w:val="en-US" w:eastAsia="zh-CN"/>
        </w:rPr>
        <w:t xml:space="preserve">代理机构</w:t>
      </w:r>
      <w:r>
        <w:rPr>
          <w:rFonts w:hint="eastAsia" w:ascii="仿宋" w:hAnsi="仿宋" w:eastAsia="仿宋"/>
          <w:bCs/>
          <w:color w:val="auto"/>
          <w:sz w:val="28"/>
          <w:szCs w:val="28"/>
          <w:highlight w:val="none"/>
        </w:rPr>
        <w:t xml:space="preserve">各执</w:t>
      </w:r>
      <w:r>
        <w:rPr>
          <w:rFonts w:hint="eastAsia" w:ascii="仿宋" w:hAnsi="仿宋" w:eastAsia="仿宋"/>
          <w:bCs/>
          <w:color w:val="auto"/>
          <w:sz w:val="28"/>
          <w:szCs w:val="28"/>
          <w:highlight w:val="none"/>
          <w:lang w:val="en-US" w:eastAsia="zh-CN"/>
        </w:rPr>
        <w:t xml:space="preserve">一</w:t>
      </w:r>
      <w:r>
        <w:rPr>
          <w:rFonts w:hint="eastAsia" w:ascii="仿宋" w:hAnsi="仿宋" w:eastAsia="仿宋"/>
          <w:bCs/>
          <w:color w:val="auto"/>
          <w:sz w:val="28"/>
          <w:szCs w:val="28"/>
          <w:highlight w:val="none"/>
        </w:rPr>
        <w:t xml:space="preserve">份。</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lang w:val="en-US" w:eastAsia="zh-CN"/>
        </w:rPr>
        <w:t xml:space="preserve">十四、组成本合同的文件包括</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1、合同主要条款和通用条款；</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2、招标文件和乙方的投标文件；</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3、中标通知书；</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4、甲乙双方商定的其他必要文件。 上述合同文件内容互为补充，如有不明确，由甲方负责解释。</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甲 </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方: </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乙 </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方:</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单位盖章: </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单位盖章:</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代表签字: </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代表签字:</w:t>
      </w:r>
      <w:r/>
    </w:p>
    <w:p>
      <w:pPr>
        <w:ind w:firstLine="560"/>
        <w:keepLines w:val="0"/>
        <w:keepNext w:val="0"/>
        <w:pageBreakBefore w:val="0"/>
        <w:spacing w:line="520" w:lineRule="exact"/>
        <w:tabs>
          <w:tab w:val="left" w:pos="180" w:leader="none"/>
        </w:tabs>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签定日期: </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签定日期:</w:t>
      </w:r>
      <w:r/>
    </w:p>
    <w:p>
      <w:pPr>
        <w:ind w:firstLine="560"/>
        <w:keepLines w:val="0"/>
        <w:keepNext w:val="0"/>
        <w:pageBreakBefore w:val="0"/>
        <w:spacing w:line="520" w:lineRule="exact"/>
        <w:tabs>
          <w:tab w:val="left" w:pos="180" w:leader="none"/>
        </w:tabs>
        <w:rPr>
          <w:rFonts w:hint="eastAsia" w:ascii="仿宋" w:hAnsi="仿宋" w:eastAsia="仿宋" w:cs="Times New Roman"/>
          <w:bCs w:val="0"/>
          <w:color w:val="auto"/>
          <w:sz w:val="28"/>
          <w:szCs w:val="28"/>
          <w:highlight w:val="none"/>
          <w:lang w:val="en-US" w:eastAsia="zh-CN" w:bidi="ar-SA"/>
        </w:rPr>
        <w:outlineLvl w:val="9"/>
      </w:pPr>
      <w:r>
        <w:rPr>
          <w:rFonts w:hint="eastAsia" w:ascii="仿宋" w:hAnsi="仿宋" w:eastAsia="仿宋"/>
          <w:bCs/>
          <w:color w:val="auto"/>
          <w:sz w:val="28"/>
          <w:szCs w:val="28"/>
          <w:highlight w:val="none"/>
        </w:rPr>
        <w:t xml:space="preserve"> </w:t>
      </w:r>
      <w:r/>
    </w:p>
    <w:p>
      <w:pPr>
        <w:jc w:val="center"/>
        <w:spacing w:line="360" w:lineRule="auto"/>
        <w:rPr>
          <w:rFonts w:hint="eastAsia" w:ascii="仿宋" w:hAnsi="仿宋" w:eastAsia="仿宋" w:cs="Times New Roman"/>
          <w:b/>
          <w:bCs/>
          <w:color w:val="auto"/>
          <w:sz w:val="32"/>
          <w:szCs w:val="32"/>
          <w:highlight w:val="none"/>
          <w:lang w:val="en-US" w:eastAsia="zh-CN" w:bidi="ar-SA"/>
        </w:rPr>
      </w:pPr>
      <w:r>
        <w:rPr>
          <w:rFonts w:hint="eastAsia" w:ascii="仿宋" w:hAnsi="仿宋" w:eastAsia="仿宋" w:cs="Times New Roman"/>
          <w:b/>
          <w:bCs/>
          <w:color w:val="auto"/>
          <w:sz w:val="32"/>
          <w:szCs w:val="32"/>
          <w:highlight w:val="none"/>
          <w:lang w:val="en-US" w:eastAsia="zh-CN" w:bidi="ar-SA"/>
        </w:rPr>
        <w:t xml:space="preserve">淮安经济技术开发区绿地精细化养护管理考核办法</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一、考核范围</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淮安经济技术开发区城区范围内财政拨款，由淮安经济技术开发区园林局负责管理的公共绿地、行道树。</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二、考核要求</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1.淮安经济技术开发区园林局管理科牵头对管理范围内公共绿地的日常养护管理检查考核。</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2.各养护单位要严格按照《淮安经济技术开发区绿地精细化养护管理考核标准》要求，认真履行养护合同条款。</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三、考核办法</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1.考核采取专项核查（人员在岗、施肥、抗旱浇水、加播黑麦草、城市创建等）、日常巡查、月度检查三结合的方式，客观公正评价绿地养护质量，并综合评定得分。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2.月度考核由局管理科牵头局领导、工程科、养护单位共同参与。</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四、计分办法</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1.考核实行百分制。养护月考核成绩等于一百分减去本月考核累计扣分值；</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2.考核按分值分段计算。养护月考核成绩 95 分以上（含 95 分）为优秀，养护月考核成绩90-95 分（含 90 分）为优良，80-90 分（含 80 分）为合格，80 分以下为不合格。</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五、奖惩办法</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1.养护月考核成绩为优秀的，养护费按照合同比例足额支付。</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2.养护月考核成绩为优良的，养护费则按照考核成绩每分扣养护费 1000 元支付养护费(如:本月考核成绩为 90 分，养护费则扣 1 万元)；考核成绩为合格的，养护费则按照考核成绩每分扣 2000 元。(如：本月考核成绩为 80 分，当月养护费则扣 4 万元)。考核成绩不合格的，养护费则按照考核成绩每分扣 4000 元，(如：本月考核成绩为 70 分，当月养护费则扣 12 万元)。每月养护费用扣完为止，每 3 个月汇总 1 次。</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3.养护月考核成绩累计三次不合格的，取消该单位的养护资格，第三次考核不合格后立即终止养护合同。养护月考核成绩优良的一年内不得少于 8 次。</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4.奖励加分：①重大活动时能及时完成上级布置的养护任务或其他临时突击增加的任务；②对于养护难题能创新思路，并采取有效可行的新举措的；③养护单位被城管办加分且加分项属于绿地养护范围内的，次月可同等加分。养护单位可申请进行 1-3 分加分，要求上报加分材料必须图文并茂，并于每月 30 日前上报管理科，每月加分分值由局领导、管理科、工程科一起商讨确定。</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643"/>
        <w:jc w:val="left"/>
        <w:spacing w:line="360" w:lineRule="auto"/>
        <w:rPr>
          <w:rFonts w:hint="eastAsia" w:ascii="仿宋" w:hAnsi="仿宋" w:eastAsia="仿宋" w:cs="Times New Roman"/>
          <w:b/>
          <w:bCs/>
          <w:color w:val="auto"/>
          <w:sz w:val="32"/>
          <w:szCs w:val="32"/>
          <w:highlight w:val="none"/>
          <w:lang w:val="en-US" w:eastAsia="zh-CN" w:bidi="ar-SA"/>
        </w:rPr>
      </w:pPr>
      <w:r>
        <w:rPr>
          <w:rFonts w:hint="eastAsia" w:ascii="仿宋" w:hAnsi="仿宋" w:eastAsia="仿宋" w:cs="Times New Roman"/>
          <w:b/>
          <w:bCs/>
          <w:color w:val="auto"/>
          <w:sz w:val="32"/>
          <w:szCs w:val="32"/>
          <w:highlight w:val="none"/>
          <w:lang w:val="en-US" w:eastAsia="zh-CN" w:bidi="ar-SA"/>
        </w:rPr>
        <w:t xml:space="preserve">淮安经济技术开发区绿地精细化养护管理考核标准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tbl>
      <w:tblPr>
        <w:tblStyle w:val="7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6"/>
        <w:gridCol w:w="3454"/>
        <w:gridCol w:w="3827"/>
      </w:tblGrid>
      <w:tr>
        <w:trPr>
          <w:jc w:val="center"/>
        </w:trPr>
        <w:tc>
          <w:tcPr>
            <w:tcW w:w="1676" w:type="dxa"/>
            <w:vAlign w:val="top"/>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项目</w:t>
            </w:r>
            <w:r/>
          </w:p>
        </w:tc>
        <w:tc>
          <w:tcPr>
            <w:tcW w:w="3623" w:type="dxa"/>
            <w:vAlign w:val="top"/>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质量要求</w:t>
            </w:r>
            <w:r/>
          </w:p>
        </w:tc>
        <w:tc>
          <w:tcPr>
            <w:tcW w:w="4002" w:type="dxa"/>
            <w:vAlign w:val="top"/>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考核标准</w:t>
            </w:r>
            <w:r/>
          </w:p>
        </w:tc>
      </w:tr>
      <w:tr>
        <w:trPr>
          <w:jc w:val="center"/>
        </w:trPr>
        <w:tc>
          <w:tcPr>
            <w:tcW w:w="1676" w:type="dxa"/>
            <w:vAlign w:val="top"/>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队伍管理</w:t>
            </w:r>
            <w:r/>
          </w:p>
        </w:tc>
        <w:tc>
          <w:tcPr>
            <w:tcW w:w="3623" w:type="dxa"/>
            <w:vAlign w:val="top"/>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1.项目经理必须准时参加由甲方召开的养护例会和甲方安排的其他会议。</w:t>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2.绿地内必须定人定岗；养护管理人员工作期间必须着园林统一工作服(工作服须具有反光标志)。一般每8000 ㎡配备一名养护工。</w:t>
            </w:r>
            <w:r/>
          </w:p>
        </w:tc>
        <w:tc>
          <w:tcPr>
            <w:tcW w:w="4002" w:type="dxa"/>
            <w:vAlign w:val="top"/>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工作时间内路段上无管理人员，每次扣2 分；有未着工作服，每人每次扣 1 分；</w:t>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绿化科组织的人员在岗签到时，每少一人扣 2 分，项目经理不在岗或未按时参加由甲方召开的养护例会和甲方安排的其他会议每次扣 5 分。</w:t>
            </w:r>
            <w:r/>
          </w:p>
        </w:tc>
      </w:tr>
      <w:tr>
        <w:trPr>
          <w:jc w:val="center"/>
        </w:trPr>
        <w:tc>
          <w:tcPr>
            <w:tcW w:w="1676" w:type="dxa"/>
            <w:vAlign w:val="top"/>
            <w:textDirection w:val="lrTb"/>
            <w:noWrap w:val="false"/>
          </w:tcPr>
          <w:p>
            <w:pPr>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车辆、机械设备管理</w:t>
            </w:r>
            <w:r/>
          </w:p>
        </w:tc>
        <w:tc>
          <w:tcPr>
            <w:tcW w:w="3623" w:type="dxa"/>
            <w:vAlign w:val="top"/>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按照合同配备车辆、机械设备、园林工具、有规范的管理场所。</w:t>
            </w:r>
            <w:r/>
          </w:p>
        </w:tc>
        <w:tc>
          <w:tcPr>
            <w:tcW w:w="4002" w:type="dxa"/>
            <w:vAlign w:val="top"/>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未按合同配备车辆、机械设备的每台、每辆每次扣 2 分。</w:t>
            </w:r>
            <w:r/>
          </w:p>
        </w:tc>
      </w:tr>
      <w:tr>
        <w:trPr>
          <w:jc w:val="center"/>
        </w:trPr>
        <w:tc>
          <w:tcPr>
            <w:tcW w:w="1676" w:type="dxa"/>
            <w:vMerge w:val="restart"/>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护绿管理</w:t>
            </w:r>
            <w:r/>
          </w:p>
        </w:tc>
        <w:tc>
          <w:tcPr>
            <w:tcW w:w="3623"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绿地有专人巡查，发现践踏绿地、攀枝摘花、摇晃树木等行为及时制止，发现重大毁绿行为要及时制止，并及时上报执法部门处理，同时按期恢复绿化后将结果上报。</w:t>
            </w:r>
            <w:r/>
          </w:p>
        </w:tc>
        <w:tc>
          <w:tcPr>
            <w:tcW w:w="4002"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24 小时内未发现毁绿行为，每次扣 5 分。</w:t>
            </w:r>
            <w:r/>
          </w:p>
        </w:tc>
      </w:tr>
      <w:tr>
        <w:trPr>
          <w:jc w:val="center"/>
        </w:trPr>
        <w:tc>
          <w:tcPr>
            <w:tcW w:w="1676" w:type="dxa"/>
            <w:vMerge w:val="continue"/>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tc>
        <w:tc>
          <w:tcPr>
            <w:tcW w:w="3623"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绿地管理范围内有行政审批同意的事项时，要跟踪管理，监督施工单位在审批范围内操作，不得超范围或破坏其他绿化。</w:t>
            </w:r>
            <w:r/>
          </w:p>
        </w:tc>
        <w:tc>
          <w:tcPr>
            <w:tcW w:w="4002"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树木移植或占用绿地施工过程中，管理力度不强，造成审批范围外绿地或植物受到损坏的，扣 2-5 分。</w:t>
            </w:r>
            <w:r/>
          </w:p>
        </w:tc>
      </w:tr>
      <w:tr>
        <w:trPr>
          <w:jc w:val="center"/>
        </w:trPr>
        <w:tc>
          <w:tcPr>
            <w:tcW w:w="1676" w:type="dxa"/>
            <w:vMerge w:val="continue"/>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tc>
        <w:tc>
          <w:tcPr>
            <w:tcW w:w="3623"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协助城管做好绿地内、树池内无种菜、扣绳挂物、堆放杂物、乱摆摊点、车辆乱放、乱拉横幅现象。</w:t>
            </w:r>
            <w:r/>
          </w:p>
        </w:tc>
        <w:tc>
          <w:tcPr>
            <w:tcW w:w="4002"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有养护单位管理不到位造成绿地内、树池内有种菜、扣绳挂物、堆放杂物现象、乱摆摊点、车辆乱放、乱拉横幅的，每处扣 2 分。</w:t>
            </w:r>
            <w:r/>
          </w:p>
        </w:tc>
      </w:tr>
      <w:tr>
        <w:trPr>
          <w:jc w:val="center"/>
        </w:trPr>
        <w:tc>
          <w:tcPr>
            <w:tcW w:w="1676" w:type="dxa"/>
            <w:vMerge w:val="restart"/>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绿地养护</w:t>
            </w:r>
            <w:r/>
          </w:p>
        </w:tc>
        <w:tc>
          <w:tcPr>
            <w:tcW w:w="3623"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1、绿篱的修剪应确保平篱线条流畅、层次分明，轮廓清晰，平篱顶面平整，高度一致的景观效果；2、球类的修剪要注意大小结合、高矮结合，毛球剪成光球；3、乔木修剪应配合整形，除萌蘖枝、过密枝、内膛枝、交叉枝、病虫枝等；4、花灌木修剪迎渐趋萌蘖枝、病虫枝、不均衡枝、保持花灌木树形美观、匀称。影响景观的残花、残果应及时剪除；</w:t>
            </w:r>
            <w:r/>
          </w:p>
        </w:tc>
        <w:tc>
          <w:tcPr>
            <w:tcW w:w="4002"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未及时修剪，每处扣 2 分，未达到要求的每株（平方）扣 1 分。</w:t>
            </w:r>
            <w:r/>
          </w:p>
        </w:tc>
      </w:tr>
      <w:tr>
        <w:trPr>
          <w:jc w:val="center"/>
        </w:trPr>
        <w:tc>
          <w:tcPr>
            <w:tcW w:w="1676" w:type="dxa"/>
            <w:vMerge w:val="continue"/>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tc>
        <w:tc>
          <w:tcPr>
            <w:tcW w:w="3623"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绿地内、树池内无明显砖瓦石块，无堆土，无杂草；游园、广场园路及时清扫，无积土，无积水，无积雪（雨雪后二日内）；铺装路面无杂草；无明显病虫害症状。</w:t>
            </w:r>
            <w:r/>
          </w:p>
        </w:tc>
        <w:tc>
          <w:tcPr>
            <w:tcW w:w="4002"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绿地内、树池内有明显砖瓦石块、抛弃物、堆土，每 1 处扣 1 分；园路未及时清扫，有积土、积水、积雪（雨雪后二日内），每平方米扣 1 分。铺装路面有杂草，每处扣 1 分,绿地内有明显杂草，杂树每处扣 2 分，绿地水面有漂浮物每处扣 2 分。</w:t>
            </w:r>
            <w:r/>
          </w:p>
        </w:tc>
      </w:tr>
      <w:tr>
        <w:trPr>
          <w:jc w:val="center"/>
        </w:trPr>
        <w:tc>
          <w:tcPr>
            <w:tcW w:w="1676" w:type="dxa"/>
            <w:vMerge w:val="continue"/>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tc>
        <w:tc>
          <w:tcPr>
            <w:tcW w:w="3623"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涂白裹干：每年 11 月初开始对乔灌木进行涂白裹干，树木涂白要求高度整齐一致，乔木及行道树涂白高度在 1.3 米左右，灌木涂白高度在 1 米左右，涂白后地面整洁干净。树木裹干应在树木主杆包裹保温材料后用黑色薄膜包裹。</w:t>
            </w:r>
            <w:r/>
          </w:p>
        </w:tc>
        <w:tc>
          <w:tcPr>
            <w:tcW w:w="4002"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未按时间要求和质量要求进行涂白和裹干的每地段扣 3 分。</w:t>
            </w:r>
            <w:r/>
          </w:p>
        </w:tc>
      </w:tr>
      <w:tr>
        <w:trPr>
          <w:jc w:val="center"/>
        </w:trPr>
        <w:tc>
          <w:tcPr>
            <w:tcW w:w="1676" w:type="dxa"/>
            <w:vMerge w:val="continue"/>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tc>
        <w:tc>
          <w:tcPr>
            <w:tcW w:w="3623"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日常保洁：绿化垃圾要日产日清，绿地内无焚烧现象，无垃圾、无枯枝落叶、无乱涂乱画，无卫生死角</w:t>
            </w:r>
            <w:r/>
          </w:p>
        </w:tc>
        <w:tc>
          <w:tcPr>
            <w:tcW w:w="4002"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绿地内有绿化垃圾、枯枝落叶，每处扣3 分</w:t>
            </w:r>
            <w:r/>
          </w:p>
        </w:tc>
      </w:tr>
      <w:tr>
        <w:trPr>
          <w:jc w:val="center"/>
        </w:trPr>
        <w:tc>
          <w:tcPr>
            <w:tcW w:w="1676" w:type="dxa"/>
            <w:vMerge w:val="continue"/>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tc>
        <w:tc>
          <w:tcPr>
            <w:tcW w:w="3623"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靠近养护地段的沟边、道口 5 米范围内需确保无杂草、杂物等</w:t>
            </w:r>
            <w:r/>
          </w:p>
        </w:tc>
        <w:tc>
          <w:tcPr>
            <w:tcW w:w="4002"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未按要求清除杂草杂物的每处扣 2 分</w:t>
            </w:r>
            <w:r/>
          </w:p>
        </w:tc>
      </w:tr>
      <w:tr>
        <w:trPr>
          <w:jc w:val="center"/>
        </w:trPr>
        <w:tc>
          <w:tcPr>
            <w:tcW w:w="1676"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草坪养护</w:t>
            </w:r>
            <w:r/>
          </w:p>
        </w:tc>
        <w:tc>
          <w:tcPr>
            <w:tcW w:w="3623"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草坪生长茂盛，无秃斑、无明显杂草；草坪适时修剪（暖季草坪高度保持在 10CM以下，冷季草坪保持在 12CM 以下），无明显病虫为害症状，修剪及时，水肥适当；草坪覆盖率不低于 95%，对绿地内与草坪交接处要进行切边，修剪后及时清理干净。保持线条流畅清晰。无明显病虫为害症状；草坪无焚烧现象。</w:t>
            </w:r>
            <w:r/>
          </w:p>
        </w:tc>
        <w:tc>
          <w:tcPr>
            <w:tcW w:w="4002"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草坪秃斑小于 5 ㎡，每处扣 1 分，大于5 ㎡，每处扣 2 分；有明显杂草，每处扣 2 分；草坪未及时修剪或修剪不达标准,扣 5 分;病虫害防治不及时(出现明显病虫为害症状)，每处扣 1 分;草坪覆盖率低于 95%，自行补植,未补植的,每10㎡扣 1 分。未切边的每处扣 2 分，边缘不流畅的每处扣 1 分；草坪焚烧小于10 ㎡，每处扣 1 分，大于 10 ㎡每处扣 3分。</w:t>
            </w:r>
            <w:r/>
          </w:p>
        </w:tc>
      </w:tr>
      <w:tr>
        <w:trPr>
          <w:jc w:val="center"/>
        </w:trPr>
        <w:tc>
          <w:tcPr>
            <w:tcW w:w="1676"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黑麦草加播</w:t>
            </w:r>
            <w:r/>
          </w:p>
        </w:tc>
        <w:tc>
          <w:tcPr>
            <w:tcW w:w="3623"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每年 9 月底前完成黑麦草播种并及时浇水，确保出芽率要达到 98%以上。11 月上旬上报黑麦草播种报验单、及图片资料。</w:t>
            </w:r>
            <w:r/>
          </w:p>
        </w:tc>
        <w:tc>
          <w:tcPr>
            <w:tcW w:w="4002"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黑麦草考核参照淮园发〔2016〕50 号&lt;关于进一步规范绿化养护及审批等制度的通知&gt;</w:t>
            </w:r>
            <w:r/>
          </w:p>
        </w:tc>
      </w:tr>
      <w:tr>
        <w:trPr>
          <w:jc w:val="center"/>
        </w:trPr>
        <w:tc>
          <w:tcPr>
            <w:tcW w:w="1676"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浇水、冲尘</w:t>
            </w:r>
            <w:r/>
          </w:p>
        </w:tc>
        <w:tc>
          <w:tcPr>
            <w:tcW w:w="3623"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在 4-11 月期间每 3 天浇一次水，遇到雨水</w:t>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天气进行顺延；12 月至次年 3 月每周至少浇水一次（冰冻季节除外）。主城区道路分车带平篱灌木等须确保植物表面无灰尘污浊</w:t>
            </w:r>
            <w:r/>
          </w:p>
        </w:tc>
        <w:tc>
          <w:tcPr>
            <w:tcW w:w="4002"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未及时浇水扣 5 分，浇水不到位扣 2 分，浇水不规范，影响周边环境卫生的扣 1分，主城区道路分车带平篱灌木表面污浊的扣 2 分</w:t>
            </w:r>
            <w:r/>
          </w:p>
        </w:tc>
      </w:tr>
      <w:tr>
        <w:trPr>
          <w:jc w:val="center"/>
        </w:trPr>
        <w:tc>
          <w:tcPr>
            <w:tcW w:w="1676"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病虫害防治</w:t>
            </w:r>
            <w:r/>
          </w:p>
        </w:tc>
        <w:tc>
          <w:tcPr>
            <w:tcW w:w="3623"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3-11 月份做好病虫害统防统治工作，尤其是美国白蛾，锦斑蛾等高发高危虫害的防治工作；发现树洞及时修补，防止腐朽进一步扩大；定期对虫情测报汇总并上报</w:t>
            </w:r>
            <w:r/>
          </w:p>
        </w:tc>
        <w:tc>
          <w:tcPr>
            <w:tcW w:w="4002"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未及时进行病虫害防治的，扣 5 分。未及时上报虫情汇总表的，每次扣 3 分</w:t>
            </w:r>
            <w:r/>
          </w:p>
        </w:tc>
      </w:tr>
      <w:tr>
        <w:trPr>
          <w:jc w:val="center"/>
        </w:trPr>
        <w:tc>
          <w:tcPr>
            <w:tcW w:w="1676"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树木养护</w:t>
            </w:r>
            <w:r/>
          </w:p>
        </w:tc>
        <w:tc>
          <w:tcPr>
            <w:tcW w:w="3623"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树木生长健壮、旺盛；无枯死枝、病虫枝；树根无萌蘖，树干无藤物缠绕，树梢无悬挂物；无明显病虫为害症状；按树木生长规律和要求施肥；死树枯枝及时清理；行道树：及时抹芽，法桐一级分枝上无萌条；及时扶正倾斜树木，12CM 以上倾斜树</w:t>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木冬春季集中扶正。每年修剪内膛枝、下垂枝、平行枝等不少于 3 次。树木根部草坪及时切边。发现树洞及时修补，防止腐朽进一步扩大。</w:t>
            </w:r>
            <w:r/>
          </w:p>
        </w:tc>
        <w:tc>
          <w:tcPr>
            <w:tcW w:w="4002"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未及时清理萌蘖、藤物、悬挂物、禁锢物，每株扣 1 分,未按要求修剪内膛枝、下垂枝、病虫枝，每株扣 1 分；倾斜树木未及时扶正，每株扣 1 分。树木出现明显病虫危害，每株扣 2 分。抹芽不及时，每株扣 1 分。树洞未及时修补的，每株扣 1 分。死树未及时清除的，每株扣 1 分。有枯枝未及时清除的，每株扣1 分。树木根部草坪长满未切边的，每株扣 1 分，切边不符合要求的，扣 1 分。</w:t>
            </w:r>
            <w:r/>
          </w:p>
        </w:tc>
      </w:tr>
      <w:tr>
        <w:trPr>
          <w:jc w:val="center"/>
        </w:trPr>
        <w:tc>
          <w:tcPr>
            <w:tcW w:w="1676"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缺株补植</w:t>
            </w:r>
            <w:r/>
          </w:p>
        </w:tc>
        <w:tc>
          <w:tcPr>
            <w:tcW w:w="3623"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树木、地被完好无缺。补植的苗木品种与规格需与现场品种规格保持一致。</w:t>
            </w:r>
            <w:r/>
          </w:p>
        </w:tc>
        <w:tc>
          <w:tcPr>
            <w:tcW w:w="4002"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树木、地被缺株在 7 日内（高温和冰冻季节除外）未补齐的，树木每株扣 1 分；地被每平方米扣 1 分。</w:t>
            </w:r>
            <w:r/>
          </w:p>
        </w:tc>
      </w:tr>
      <w:tr>
        <w:trPr>
          <w:jc w:val="center"/>
        </w:trPr>
        <w:tc>
          <w:tcPr>
            <w:tcW w:w="1676"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设施维护</w:t>
            </w:r>
            <w:r/>
          </w:p>
        </w:tc>
        <w:tc>
          <w:tcPr>
            <w:tcW w:w="3623"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游园、广场、绿地内设施完好无损，定期擦拭园椅园凳，园林设施小品上无乱贴乱画，园路铺装、花坛贴面砖侧石完好无损，铺装路面无杂草，绿地附属设施每年油漆1 次(9 月份)。</w:t>
            </w:r>
            <w:r/>
          </w:p>
        </w:tc>
        <w:tc>
          <w:tcPr>
            <w:tcW w:w="4002"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园林设施损坏未及时修补的，每处扣1-2 分；涂抹刻划未及时清理，每处扣 1分。游园、广场内园椅园凳不干净无法下座的，每处扣 1 分；道路花坛边坐凳污渍未及时清理的，每处扣 1 分；绿地附属设施每年未按时油漆的，扣 5 分。</w:t>
            </w:r>
            <w:r/>
          </w:p>
        </w:tc>
      </w:tr>
      <w:tr>
        <w:trPr>
          <w:jc w:val="center"/>
        </w:trPr>
        <w:tc>
          <w:tcPr>
            <w:tcW w:w="1676"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交办单回复</w:t>
            </w:r>
            <w:r/>
          </w:p>
        </w:tc>
        <w:tc>
          <w:tcPr>
            <w:tcW w:w="3623"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城管交办单、数字城管交办单、12345 交办单、市民及媒体投诉、长效管理交办单、手机 app 交办单等按时整改并回复；针对交办单存在职责不清的，实行派单制。</w:t>
            </w:r>
            <w:r/>
          </w:p>
        </w:tc>
        <w:tc>
          <w:tcPr>
            <w:tcW w:w="4002"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未按要求按期整改每单扣 3 分；对交办单推诿的扣 10 分；未按照派单制执行</w:t>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的，每件扣 5 分。</w:t>
            </w:r>
            <w:r/>
          </w:p>
        </w:tc>
      </w:tr>
      <w:tr>
        <w:trPr>
          <w:jc w:val="center"/>
        </w:trPr>
        <w:tc>
          <w:tcPr>
            <w:tcW w:w="1676"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档案管理</w:t>
            </w:r>
            <w:r/>
          </w:p>
        </w:tc>
        <w:tc>
          <w:tcPr>
            <w:tcW w:w="3623"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日常养护管理作业资料齐全，做到有记录，有统计，并且资料与实际养护情况相符。年终对全年资料进行汇总装订。明确专职信息员，路段长将巡查发现的问题及时报督查办。每月 30 日报月总结及下月计划安排。</w:t>
            </w:r>
            <w:r/>
          </w:p>
        </w:tc>
        <w:tc>
          <w:tcPr>
            <w:tcW w:w="4002"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年底汇总的养护台帐不健全的，扣 2 分，未及时报月总结，扣 3 分</w:t>
            </w:r>
            <w:r/>
          </w:p>
        </w:tc>
      </w:tr>
      <w:tr>
        <w:trPr>
          <w:jc w:val="center"/>
        </w:trPr>
        <w:tc>
          <w:tcPr>
            <w:tcW w:w="1676"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突击事件</w:t>
            </w:r>
            <w:r/>
          </w:p>
        </w:tc>
        <w:tc>
          <w:tcPr>
            <w:tcW w:w="3623"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成立抢险队伍，有 24 小时联系电话；紧急事件必须在 30 分钟内到现场，及时处理好事故现场；在台风季节和大雪天气等恶劣天气有人值班，及时抢险，确保无不良影响；景观道路沿线绿地路牙因车辆撞击等各种因素破损、残缺的，在 2 天内必须修</w:t>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复完毕。</w:t>
            </w:r>
            <w:r/>
          </w:p>
        </w:tc>
        <w:tc>
          <w:tcPr>
            <w:tcW w:w="4002"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未成立抢险队伍的，扣 5 分；若遇突发事件无法联络的，每次扣 5 分，并从养护经费中扣除处理事件所需的经费；在台风季节和大雪天气等恶劣天气不及时抢险，每次扣 5 分；景观道路沿线绿地园林侧石未及时修复的，每处扣 2 分。</w:t>
            </w:r>
            <w:r/>
          </w:p>
        </w:tc>
      </w:tr>
      <w:tr>
        <w:trPr>
          <w:jc w:val="center"/>
        </w:trPr>
        <w:tc>
          <w:tcPr>
            <w:tcW w:w="1676"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r>
            <w:r/>
          </w:p>
          <w:p>
            <w:pPr>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文明安全养护</w:t>
            </w:r>
            <w:r/>
          </w:p>
        </w:tc>
        <w:tc>
          <w:tcPr>
            <w:tcW w:w="3623"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做到文明作业，随时保持道路的清洁、畅通，并由专人负责监管。在夜间养护作业必须在作业地域内按交通规定设置警示标志。</w:t>
            </w:r>
            <w:r/>
          </w:p>
        </w:tc>
        <w:tc>
          <w:tcPr>
            <w:tcW w:w="4002" w:type="dxa"/>
            <w:textDirection w:val="lrTb"/>
            <w:noWrap w:val="false"/>
          </w:tcPr>
          <w:p>
            <w:pPr>
              <w:ind w:firstLine="560"/>
              <w:jc w:val="left"/>
              <w:spacing w:after="0"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未做到的，每次扣 1 分， 发生安全事故的，除承担相关责任外，每次扣 1 分。</w:t>
            </w:r>
            <w:r/>
          </w:p>
        </w:tc>
      </w:tr>
    </w:tbl>
    <w:p>
      <w:pPr>
        <w:pStyle w:val="893"/>
        <w:jc w:val="center"/>
        <w:keepLines w:val="0"/>
        <w:keepNext w:val="0"/>
        <w:pageBreakBefore w:val="0"/>
        <w:spacing w:line="520" w:lineRule="exact"/>
        <w:widowControl w:val="off"/>
        <w:rPr>
          <w:rFonts w:hint="eastAsia" w:ascii="仿宋" w:hAnsi="仿宋" w:eastAsia="仿宋"/>
          <w:b/>
          <w:bCs/>
          <w:color w:val="auto"/>
          <w:sz w:val="36"/>
          <w:szCs w:val="36"/>
          <w:highlight w:val="none"/>
          <w:lang w:val="zh-CN"/>
        </w:rPr>
        <w:outlineLvl w:val="9"/>
      </w:pPr>
      <w:r>
        <w:rPr>
          <w:rFonts w:hint="eastAsia" w:ascii="仿宋" w:hAnsi="仿宋" w:eastAsia="仿宋"/>
          <w:b/>
          <w:bCs/>
          <w:color w:val="auto"/>
          <w:sz w:val="36"/>
          <w:szCs w:val="36"/>
          <w:highlight w:val="none"/>
        </w:rPr>
        <w:t xml:space="preserve">第五章  项目采购需求</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一、项目概况：</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2026年经开区绿化养护服务项目招标文件，分为两个采购包，（具体养护清单见下表）。</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二、基本要求：</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1、本项目养护质量标准：《淮安经济技术开发区绿地精细化养护管理考核办法》及本招标、响应文件中的补充养护质量要求，主管部门出台的其它养护质量要求。</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2、各类树木苗、草坪等因非自然因素遭到损坏或死亡的，中标人应第一时间向甲方汇报，并做好现场图片资料的收集和数据统计,补植工作由中标人承担，所需均费用含在报价中。</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3、养护范围内如有黄土裸露部分，均由中标人负责绿化补种草种并经采购人验收合格,所需均费用含在报价中，采购人后不因此项增加任何费用。</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4、投标人养护现场必须配备安全员。配备的巡视车，须保持 24 小时待命，做到随叫随到。 </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5、投标人在淮安市必须具有自有或租赁的能够满足办公、仓储等要求的固定工作场所，投标人参加投标时必须提供相关证明材料（扫描件并加盖投标人电子签章）；如果投标人在淮安市没有固定工作场所的则参加投标时必须提供其承诺在中标后十五个日历天内在淮安市设立能够满足办公、仓储等要求的固定工作场所的书面承诺函，相关证明材料或书面承诺函均未提供的作无效投标处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6、本次招标报价各投标人必须附报价构成的书面分析（需从人员工资、机械费用、肥料费用、农药费用、浇水费用、税收、合理利润等方面进行分析）。投标人投标时未提供报价构成书面分析的或经三分之二评委认定报价不合理的作无效投标处理。投标人有义务接受评委会对其价格组成及成本构成的质询。</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7、养护移交与接收：养护单位在末期养护的质量必须达到 《省二级养护标准》，经甲方和现接收养护单位共同确认养护质量后，方可接收。养护单位在移交时，养护质量达不到 《省二级养护标准》，不满足接收要求的，限定 15 日内整改，整改期结束后任不满足接收要求的，甲方将视现场情况根据考核要求进行双倍处罚。</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三、主要服务内容：</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1、行道树、乔木、花灌木、地被草坪、花坛花卉绿化养护管理、景观设施维护、 铺装维修、卫生保洁、冲洗除尘、喷雾降尘、绿地保护、病虫害防治、施肥等。</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2、养护质量等级:参照省二级养护标准。</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3、服务期限：两年</w:t>
      </w:r>
      <w:r/>
    </w:p>
    <w:p>
      <w:pPr>
        <w:ind w:firstLine="560"/>
        <w:jc w:val="left"/>
        <w:spacing w:line="360" w:lineRule="auto"/>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四、养护管理面积清单 </w:t>
      </w:r>
      <w:r/>
    </w:p>
    <w:p>
      <w:pPr>
        <w:ind w:firstLine="560"/>
        <w:jc w:val="left"/>
        <w:spacing w:line="360" w:lineRule="auto"/>
        <w:rPr>
          <w:rFonts w:hint="eastAsia" w:ascii="仿宋" w:hAnsi="仿宋" w:eastAsia="仿宋"/>
          <w:color w:val="auto"/>
          <w:sz w:val="28"/>
          <w:szCs w:val="24"/>
          <w:highlight w:val="none"/>
          <w:lang w:val="en-US" w:eastAsia="zh-CN"/>
        </w:rPr>
      </w:pPr>
      <w:r>
        <w:rPr>
          <w:rFonts w:hint="eastAsia" w:ascii="仿宋" w:hAnsi="仿宋" w:eastAsia="仿宋" w:cs="Times New Roman"/>
          <w:bCs w:val="0"/>
          <w:color w:val="auto"/>
          <w:sz w:val="28"/>
          <w:szCs w:val="28"/>
          <w:highlight w:val="none"/>
          <w:lang w:val="en-US" w:eastAsia="zh-CN" w:bidi="ar-SA"/>
        </w:rPr>
        <w:t xml:space="preserve"> </w:t>
      </w:r>
      <w:r/>
    </w:p>
    <w:p>
      <w:pPr>
        <w:pStyle w:val="962"/>
        <w:spacing w:line="520" w:lineRule="exact"/>
        <w:rPr>
          <w:rFonts w:hint="default" w:ascii="仿宋" w:hAnsi="仿宋" w:eastAsia="仿宋"/>
          <w:color w:val="auto"/>
          <w:sz w:val="28"/>
          <w:szCs w:val="24"/>
          <w:highlight w:val="none"/>
          <w:lang w:val="en-US" w:eastAsia="zh-CN"/>
        </w:rPr>
      </w:pPr>
      <w:r>
        <w:rPr>
          <w:rFonts w:hint="eastAsia" w:ascii="仿宋" w:hAnsi="仿宋" w:eastAsia="仿宋"/>
          <w:color w:val="auto"/>
          <w:sz w:val="28"/>
          <w:szCs w:val="24"/>
          <w:highlight w:val="none"/>
          <w:lang w:val="en-US" w:eastAsia="zh-CN"/>
        </w:rPr>
        <w:t xml:space="preserve">采购包1：</w:t>
      </w:r>
      <w:r/>
    </w:p>
    <w:tbl>
      <w:tblPr>
        <w:tblStyle w:val="688"/>
        <w:tblW w:w="10063" w:type="dxa"/>
        <w:tblInd w:w="-57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8"/>
        <w:gridCol w:w="2162"/>
        <w:gridCol w:w="1550"/>
        <w:gridCol w:w="1238"/>
        <w:gridCol w:w="1162"/>
        <w:gridCol w:w="1475"/>
        <w:gridCol w:w="1688"/>
      </w:tblGrid>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路段名称</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养护范围</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实际养护面（㎡）</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退红线面积（㎡）</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备注</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和畅路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7610.34</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7610.34</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福州路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广州路—城东路</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21942</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6940.5</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28882.5</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和顺路（原名：三亚路）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（城东路—广州路）</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55738</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55738</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（苏州街—最东头）</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7600</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7600</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none" w:color="000000" w:sz="4" w:space="0"/>
              <w:right w:val="single" w:color="000000" w:sz="4" w:space="0"/>
            </w:tcBorders>
            <w:tcW w:w="788" w:type="dxa"/>
            <w:vAlign w:val="center"/>
            <w:vMerge w:val="restart"/>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216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集贤路（原名：汕头路）全线</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(广州路—城东路)</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82113.8</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7415.4</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89529.2</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none" w:color="000000" w:sz="4" w:space="0"/>
              <w:right w:val="single" w:color="000000" w:sz="4" w:space="0"/>
            </w:tcBorders>
            <w:tcW w:w="788" w:type="dxa"/>
            <w:vAlign w:val="center"/>
            <w:vMerge w:val="continue"/>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2162"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汕头东路（城东路—东头）</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17500</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17500</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restart"/>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城东路及四大沟</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河坡上面（海口路—顺德路）</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10038.73</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10038.73</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中心分隔带</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6473.7</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6473.7</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四大沟（城东路东侧，海口路向南河两侧至徐杨路）</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6705.08</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6705.08</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刨去生态新城面积2785㎡</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大连路全线</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白果路—康马路</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5515</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5515</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康马路—飞耀路</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15776</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15776</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non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南方休闲广场</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和畅路与寿民路交叉路南</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7671.07</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7671.07</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2017.6.5开始养护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restart"/>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岳阳街</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集贤路向南</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9225</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9225</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徐杨路向北</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4596</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4596</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none" w:color="000000" w:sz="4" w:space="0"/>
              <w:right w:val="single" w:color="000000" w:sz="4" w:space="0"/>
            </w:tcBorders>
            <w:tcW w:w="788" w:type="dxa"/>
            <w:vAlign w:val="center"/>
            <w:vMerge w:val="restart"/>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金华街（又名：宏盛路）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集贤路—徐杨路</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10450</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10450</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none" w:color="000000" w:sz="4" w:space="0"/>
              <w:right w:val="single" w:color="000000" w:sz="4" w:space="0"/>
            </w:tcBorders>
            <w:tcW w:w="788" w:type="dxa"/>
            <w:vAlign w:val="center"/>
            <w:vMerge w:val="continue"/>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集贤路—海口路</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6738.7</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6738.7</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restart"/>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西安街(寿民路)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三亚路—福州路</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2824</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2824</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集贤路—和顺路</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restart"/>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民营工业园</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二期一路（飞耀路—广州路）及徐杨商业街</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10437.16</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10437.16</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民营工业园</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12960</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12960</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二期内部道路及徐杨中小企业集中加工区道路</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12659.85</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12659.85</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重庆街</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和顺路—大连路</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6143</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6143</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none" w:color="000000" w:sz="4" w:space="0"/>
              <w:right w:val="single" w:color="000000" w:sz="4" w:space="0"/>
            </w:tcBorders>
            <w:tcW w:w="788" w:type="dxa"/>
            <w:vAlign w:val="center"/>
            <w:vMerge w:val="restart"/>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2162" w:type="dxa"/>
            <w:vAlign w:val="center"/>
            <w:vMerge w:val="restart"/>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白果路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海口辅道路—大连路</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4461</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4461</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none" w:color="000000" w:sz="4" w:space="0"/>
              <w:right w:val="single" w:color="000000" w:sz="4" w:space="0"/>
            </w:tcBorders>
            <w:tcW w:w="788" w:type="dxa"/>
            <w:vAlign w:val="center"/>
            <w:vMerge w:val="continue"/>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2162" w:type="dxa"/>
            <w:vAlign w:val="center"/>
            <w:vMerge w:val="continue"/>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大连路—徐杨路</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17225.8</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17225.8</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扬州街（又名：汇景路）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集贤路—徐扬老街</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10391</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10391</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restart"/>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徐杨路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（广州路—康马路）（苏州街—岳阳街）</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33009</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6680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39689</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徐杨路（飞耀路—237省道）</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22118.18</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22118.18</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（康马路—城东路）（岳阳街—237省道）</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58804.67</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58804.67</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non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徐杨商业街</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重庆街—鸿海路</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657.16</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657.16</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non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w:t>
            </w:r>
            <w:r/>
          </w:p>
        </w:tc>
        <w:tc>
          <w:tcPr>
            <w:shd w:val="clear" w:color="auto" w:fill="auto"/>
            <w:tcBorders>
              <w:top w:val="non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浩源路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广州路向东</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2376</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2376</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寿民路（和畅路—膳魔师路）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快速路迁移苗木至寿民路</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6597.5</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6597.5</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和畅路（飞耀路—广州路）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快速路迁移苗木至和畅路</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2187.4</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2187.4</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扳闸干渠堤岸</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（海口路—南京路）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河道两侧</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187489.2</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187489.2</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交接证明总面积为304252.6㎡，扣除招标养护单位的部分</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城东路（海口路向南）</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21463.7</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21463.7</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2017年快速路移苗</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膳魔师泵站</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2834</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2834</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二大沟移苗</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广州路泵站</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4216</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4216</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二大沟移苗</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海口路泵站</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2947</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2947</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二大沟移苗</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污水处理厂泵站</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6700</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6700</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二大沟移苗</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安澜路小学家长接送等候区小游园</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含亭子，安澜路向西200米路两侧</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安澜路河对岸</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安澜路沿线（京永自行车门两侧）、安澜路沿线（和畅路—膳魔师路）、安澜路沿线（深圳路—珠海路）、安澜路沿线（珠海路—嘉兴路）</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21559.3</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21559.3</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荷香路（二大沟黑臭水体治理生态绿化工程）</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46101</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46101</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2021年11月16日交接</w:t>
            </w:r>
            <w:r/>
          </w:p>
        </w:tc>
      </w:tr>
      <w:tr>
        <w:trPr>
          <w:trHeight w:val="420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珠海路、南马厂大道、开福路、开祥路、广州路、膳魔师路、徐杨路、鸿海路、扬州街、白果路、咏贤路、飞耀南路、红豆路、珠海路、深圳路、西藏街、富准路、灵秀路、集贤路、民营工业园（广州路—飞耀路）、三大沟河西、火车南站南侧地块、安澜路与徐杨老街交叉口</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（2019年市政项目景观绿化恢复提升工程）</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65911.62</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65911.62</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2022年8月1日交接</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汕头路、咏贤路（汕头路、咏贤路绿化工程）</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29930</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29930</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2023年2月1日交接</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金华街、丰树产业园周边、徐杨路、广州路、枚皋路、三大沟、污水处理厂门前道路绿化、咏贤路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2021年经开区企业退红线地段绿化工程</w:t>
            </w:r>
            <w:r>
              <w:rPr>
                <w:rFonts w:hint="eastAsia" w:ascii="仿宋" w:hAnsi="仿宋" w:eastAsia="仿宋" w:cs="仿宋"/>
                <w:i w:val="0"/>
                <w:iCs w:val="0"/>
                <w:color w:val="auto"/>
                <w:sz w:val="24"/>
                <w:szCs w:val="24"/>
                <w:highlight w:val="none"/>
                <w:u w:val="none"/>
                <w:lang w:val="en-US" w:eastAsia="zh-CN" w:bidi="ar"/>
              </w:rPr>
              <w:t xml:space="preserve">(金华街：迎宾大道向南东侧约250米；丰树产业园周边：白果路、和畅路、扬州街、膳魔师路；广州路：徐杨路—枚皋路；三大沟：迎宾大道—枚皋路；咏贤路：枚皋路—达方路)</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righ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40798.39</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40798.39</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2024年6月4日交于养护单位养护</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城东河段：从深圳路至膳魔师路段（含保税区）绿化</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经开区2021年河道沿线景观工程</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14826.72</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14826.72</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2024年6月5日交于养护单位养护</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枚皋路(锦侨生物以西)、达方路（咏贤路以东）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2022年经开区企业退红线地段绿化工程</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5821</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5821</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枚皋路(锦侨生物以西)4507㎡；达方路（咏贤路以东）1314㎡；2024年9月4日交于养护单位养护</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36</w:t>
            </w:r>
            <w:r/>
          </w:p>
        </w:tc>
        <w:tc>
          <w:tcPr>
            <w:shd w:val="clear" w:color="auto" w:fill="auto"/>
            <w:tcBorders>
              <w:top w:val="none" w:color="000000" w:sz="4" w:space="0"/>
              <w:left w:val="none" w:color="000000" w:sz="4" w:space="0"/>
              <w:bottom w:val="none" w:color="000000" w:sz="4" w:space="0"/>
              <w:right w:val="none" w:color="000000" w:sz="4" w:space="0"/>
            </w:tcBorders>
            <w:tcW w:w="2162"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白云路南延</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智慧谷白云路南延工程</w:t>
            </w:r>
            <w:r/>
          </w:p>
        </w:tc>
        <w:tc>
          <w:tcPr>
            <w:shd w:val="clear" w:color="auto" w:fill="auto"/>
            <w:tcBorders>
              <w:top w:val="none" w:color="000000" w:sz="4" w:space="0"/>
              <w:left w:val="none" w:color="000000" w:sz="4" w:space="0"/>
              <w:bottom w:val="none" w:color="000000" w:sz="4" w:space="0"/>
              <w:right w:val="non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2164</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2164</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预交接面积，以实际交接面接未为准</w:t>
            </w:r>
            <w:r/>
          </w:p>
        </w:tc>
      </w:tr>
      <w:tr>
        <w:trPr>
          <w:trHeight w:val="36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五支渠（从运南路到宁连路两侧绿化）、明光路（轮窑路-运南路两侧绿化）、轮窑路（明光路-学府路两侧绿化）、学府路（从轮窑路-运南路西侧绿化）、正大路(原正大饲料厂门前草坪）、龙江路南侧草坪</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防汛排涝工程（科教办片区）</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46088</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46088</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预交接面积，以实际交接面接未为准</w:t>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none" w:color="000000" w:sz="4" w:space="0"/>
              <w:right w:val="single" w:color="000000" w:sz="4" w:space="0"/>
            </w:tcBorders>
            <w:tcW w:w="216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正大路（承德路-通福路）快慢车道分隔带绿化、通甫路大运河桥辅道两侧绿化、枚乘路与创业路交叉口游园</w:t>
            </w:r>
            <w:r/>
          </w:p>
        </w:tc>
        <w:tc>
          <w:tcPr>
            <w:shd w:val="clear" w:color="auto" w:fill="auto"/>
            <w:tcBorders>
              <w:top w:val="single" w:color="000000" w:sz="4" w:space="0"/>
              <w:left w:val="single" w:color="000000" w:sz="4" w:space="0"/>
              <w:bottom w:val="non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科教园2023年市政道路绿化提升工程</w:t>
            </w:r>
            <w:r/>
          </w:p>
        </w:tc>
        <w:tc>
          <w:tcPr>
            <w:shd w:val="clear" w:color="auto" w:fill="auto"/>
            <w:tcBorders>
              <w:top w:val="single" w:color="000000" w:sz="4" w:space="0"/>
              <w:left w:val="single" w:color="000000" w:sz="4" w:space="0"/>
              <w:bottom w:val="none" w:color="000000" w:sz="4" w:space="0"/>
              <w:right w:val="single" w:color="000000" w:sz="4" w:space="0"/>
            </w:tcBorders>
            <w:tcW w:w="12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42571</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42571</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预交接面积，以实际交接面接未为准</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合计面积（㎡）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1049301.97</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bl>
    <w:p>
      <w:pPr>
        <w:pStyle w:val="962"/>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962"/>
        <w:spacing w:line="520" w:lineRule="exact"/>
        <w:rPr>
          <w:rFonts w:hint="eastAsia" w:ascii="仿宋" w:hAnsi="仿宋" w:eastAsia="仿宋"/>
          <w:color w:val="auto"/>
          <w:sz w:val="28"/>
          <w:szCs w:val="24"/>
          <w:highlight w:val="none"/>
          <w:lang w:val="en-US" w:eastAsia="zh-CN"/>
        </w:rPr>
      </w:pPr>
      <w:r>
        <w:rPr>
          <w:rFonts w:hint="eastAsia" w:ascii="仿宋" w:hAnsi="仿宋" w:eastAsia="仿宋"/>
          <w:color w:val="auto"/>
          <w:sz w:val="28"/>
          <w:szCs w:val="24"/>
          <w:highlight w:val="none"/>
          <w:lang w:val="en-US" w:eastAsia="zh-CN"/>
        </w:rPr>
      </w:r>
      <w:r/>
    </w:p>
    <w:p>
      <w:pPr>
        <w:pStyle w:val="962"/>
        <w:spacing w:line="520" w:lineRule="exact"/>
        <w:rPr>
          <w:rFonts w:hint="eastAsia" w:ascii="仿宋" w:hAnsi="仿宋" w:eastAsia="仿宋"/>
          <w:color w:val="auto"/>
          <w:sz w:val="28"/>
          <w:szCs w:val="24"/>
          <w:highlight w:val="none"/>
          <w:lang w:val="en-US" w:eastAsia="zh-CN"/>
        </w:rPr>
      </w:pPr>
      <w:r>
        <w:rPr>
          <w:rFonts w:hint="eastAsia" w:ascii="仿宋" w:hAnsi="仿宋" w:eastAsia="仿宋"/>
          <w:color w:val="auto"/>
          <w:sz w:val="28"/>
          <w:szCs w:val="24"/>
          <w:highlight w:val="none"/>
          <w:lang w:val="en-US" w:eastAsia="zh-CN"/>
        </w:rPr>
      </w:r>
      <w:r/>
    </w:p>
    <w:p>
      <w:pPr>
        <w:pStyle w:val="962"/>
        <w:spacing w:line="520" w:lineRule="exact"/>
        <w:rPr>
          <w:rFonts w:hint="default" w:ascii="仿宋" w:hAnsi="仿宋" w:eastAsia="仿宋"/>
          <w:color w:val="auto"/>
          <w:sz w:val="28"/>
          <w:szCs w:val="24"/>
          <w:highlight w:val="none"/>
          <w:lang w:val="en-US" w:eastAsia="zh-CN"/>
        </w:rPr>
      </w:pPr>
      <w:r>
        <w:rPr>
          <w:rFonts w:hint="eastAsia" w:ascii="仿宋" w:hAnsi="仿宋" w:eastAsia="仿宋"/>
          <w:color w:val="auto"/>
          <w:sz w:val="28"/>
          <w:szCs w:val="24"/>
          <w:highlight w:val="none"/>
          <w:lang w:val="en-US" w:eastAsia="zh-CN"/>
        </w:rPr>
        <w:t xml:space="preserve">采购包2：</w:t>
      </w:r>
      <w:r/>
    </w:p>
    <w:tbl>
      <w:tblPr>
        <w:tblStyle w:val="688"/>
        <w:tblW w:w="10077" w:type="dxa"/>
        <w:tblInd w:w="-61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5"/>
        <w:gridCol w:w="2225"/>
        <w:gridCol w:w="1550"/>
        <w:gridCol w:w="1237"/>
        <w:gridCol w:w="1150"/>
        <w:gridCol w:w="1475"/>
        <w:gridCol w:w="1665"/>
      </w:tblGrid>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路段名称</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养护范围</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实际养护面（㎡）</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退红线面积（㎡）</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合计</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备注</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西游大道一标段、二标段</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（S237-经四路）、（经四路—开发大道）</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197595</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197595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明伦自行车、黑龙江路桥公司围墙外、深圳路上兴淮汽车厂</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明伦自行车、黑龙江路桥围墙外</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6347.78</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6347.78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珠海路（鸿海路—城东路）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珠海路（鸿海路—城东路）</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京九自行车周边绿化</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京九自行车周边</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2620</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2620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中桥精密机械公司厂区四周</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中桥精密机械公司厂区四周</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4410</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4410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新竹路（开新路—开祥路）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快速路迁移苗木至新竹路</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7410</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7410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企业服务中心广场</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快速路迁移苗木至企业服务中心广场（管委会东广场）</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18602</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18602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开新路（水渡口大道—深圳东路）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快速路迁移苗木至新竹路工程</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26800</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26800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深圳东路沿线扳闸干渠两侧</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鸿海路向西150米至城东路</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46364</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46364</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青春苑小区周边</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237省道西大门南侧、237省道西大门北侧、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237省道南大门两侧西侧、237省道南大门两侧东侧</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27546</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bottom"/>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27546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城东路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（大同路—深圳路）</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33800</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33800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大同路与237交叉口</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（东南角）</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19870</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19870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二大沟移苗</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王桂路（南马厂）</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南马厂老街向南至水渡口大道之间</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二大沟移苗</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管委会北侧停车场</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19712</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19712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王河东延两侧绿化（鸿海路向东—城东路）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39696</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39696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2016年5月26日养护</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高张村墓地（徐杨街道高张村墓地集中整治绿化工程/徐杨街道高张村墓地二期集中整治绿化工程）</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15733.85</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15733.85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2021/12/22交接</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深圳路、田港路（深圳路、田港路绿化工程）</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8605</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8605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2022年5月12日交接</w: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富士康路（广州路—安澜路）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富士康路（广州路—安澜路）景观绿化工程</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28843</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28843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2023年7月1日开始养护</w:t>
            </w:r>
            <w:r/>
          </w:p>
        </w:tc>
      </w:tr>
      <w:tr>
        <w:trPr>
          <w:trHeight w:val="190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王高路、开祥路、南马厂大道、珠海东路、南马厂大道北段泵张周边</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2021年经开区企业退红线地段绿化工程（王高路：南马厂大道—开发大道；开祥路：深圳东路—新竹路；南马厂大道：深圳东路—台南路；珠海东路：城东路以西北侧；南马厂大道北段：与板闸干渠交叉口泵站及周边）</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27037.19</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bottom"/>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27037.19</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2024年6月4日交与养护单位养护</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扳闸干渠段：从国道233至深圳路段</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河道沿线景观工程（扳闸干渠段：深圳路以北至大同路至237段）</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36082.37</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36082.37 </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2024年6月5日交与养护单位养护</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233三角地块：东城青春苑—深圳路（东西）233国道—高铁线（南北）</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经开区交通干线两侧环境综合提升工程</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163900.21</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163900.21 </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2024年8月20日交于养护单位</w: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233沿线</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经开区交通干线两侧环境综合提升工程</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69809.61</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69809.61 </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2024年8月20日交于养护单位</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景华路小客厅：景华路—高架桥（南北）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盐河路—宁连路（东西）</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经开区交通干线两侧环境综合提升工程</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49360.46</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49360.46 </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2024年8月20日交于养护单位</w:t>
            </w:r>
            <w:r/>
          </w:p>
        </w:tc>
      </w:tr>
      <w:tr>
        <w:trPr>
          <w:trHeight w:val="226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鸿海路（深圳路以南路东侧）、开新路（新竹路以北东侧）</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2022年经开区企业退红线地段绿化工程</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5332</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5332 </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鸿海路（宏恒胜—深圳路）企业退红线地段3100㎡；开新路（水渡口大道—新竹路）企业退红线地段 2232㎡；2024年9月4日交于养护单位养护</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威博液压企业绿化（珠海路、鸿海路）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2022年经开区已建成绿化地段提升工程</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5217</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5217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2025年1月8日交于养护单位养护</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天合路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vMerge w:val="restart"/>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2024年经开区重点地段绿化补植修复工程</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16522.88</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16522.88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预交接面积，以实际交接面接未为准</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高雄路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vMerge w:val="continue"/>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3177.02</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3177.02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预交接面积，以实际交接面接未为准</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王高路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vMerge w:val="continue"/>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2771.1</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2771.1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预交接面积，以实际交接面接未为准</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南马厂大道东侧、西侧部分（水渡口大道—西游大道）</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vMerge w:val="continue"/>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3281</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3281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预交接面积，以实际交接面接未为准</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none" w:color="000000" w:sz="4" w:space="0"/>
              <w:right w:val="single" w:color="000000" w:sz="4" w:space="0"/>
            </w:tcBorders>
            <w:tcW w:w="222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鹏鼎3期（深圳以南，鸿海路以东）</w:t>
            </w:r>
            <w:r/>
          </w:p>
        </w:tc>
        <w:tc>
          <w:tcPr>
            <w:shd w:val="clear" w:color="auto" w:fill="auto"/>
            <w:tcBorders>
              <w:top w:val="single" w:color="000000" w:sz="4" w:space="0"/>
              <w:left w:val="single" w:color="000000" w:sz="4" w:space="0"/>
              <w:bottom w:val="none" w:color="000000" w:sz="4" w:space="0"/>
              <w:right w:val="single" w:color="000000" w:sz="4" w:space="0"/>
            </w:tcBorders>
            <w:tcW w:w="1550" w:type="dxa"/>
            <w:vAlign w:val="center"/>
            <w:textDirection w:val="lrTb"/>
            <w:noWrap/>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经开区2022年深圳路、鸿海路污水管道建设工程</w:t>
            </w:r>
            <w:r/>
          </w:p>
        </w:tc>
        <w:tc>
          <w:tcPr>
            <w:shd w:val="clear" w:color="auto" w:fill="auto"/>
            <w:tcBorders>
              <w:top w:val="single" w:color="000000" w:sz="4" w:space="0"/>
              <w:left w:val="single" w:color="000000" w:sz="4" w:space="0"/>
              <w:bottom w:val="non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预交接面积，以实际交接面接未为准</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高雄路（南马厂大道—开祥路）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7100</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7100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预交接面积，以实际交接面接未为准</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开源路（台南路—高雄路）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1024</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1024</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预交接面积，以实际交接面接未为准</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开华路（新竹路—五支渠）</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639</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639</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预交接面积，以实际交接面接未为准</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空港纬一路（经七路-经八路）工程</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预交接面积，以实际交接面接未为准</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空港纬三路（经七路-经八路）工程</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预交接面积，以实际交接面接未为准</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南马厂大道（内湖路—西游大道）</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2023年经开区新建企业围墙地段、道路绿化补植工程</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预交接面积，以实际交接面接未为准</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深圳东路（开祥路物流以东路路北侧—围墙段）、开祥路（深圳东路以北路东侧物流园围墙边）</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预交接面积，以实际交接面接未为准</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bottom"/>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960958.47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bottom"/>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bl>
    <w:p>
      <w:pPr>
        <w:pStyle w:val="962"/>
        <w:spacing w:line="520" w:lineRule="exact"/>
        <w:rPr>
          <w:rFonts w:hint="eastAsia" w:ascii="仿宋" w:hAnsi="仿宋" w:eastAsia="仿宋"/>
          <w:color w:val="auto"/>
          <w:sz w:val="28"/>
          <w:szCs w:val="24"/>
          <w:highlight w:val="none"/>
          <w:lang w:val="en-US" w:eastAsia="zh-CN"/>
        </w:rPr>
      </w:pPr>
      <w:r>
        <w:rPr>
          <w:rFonts w:hint="eastAsia" w:ascii="仿宋" w:hAnsi="仿宋" w:eastAsia="仿宋"/>
          <w:color w:val="auto"/>
          <w:sz w:val="28"/>
          <w:szCs w:val="24"/>
          <w:highlight w:val="none"/>
          <w:lang w:val="en-US" w:eastAsia="zh-CN"/>
        </w:rPr>
      </w:r>
      <w:r/>
    </w:p>
    <w:p>
      <w:pPr>
        <w:pStyle w:val="962"/>
        <w:spacing w:line="520" w:lineRule="exact"/>
        <w:rPr>
          <w:rFonts w:hint="eastAsia" w:ascii="仿宋" w:hAnsi="仿宋" w:eastAsia="仿宋"/>
          <w:color w:val="auto"/>
          <w:sz w:val="28"/>
          <w:szCs w:val="24"/>
          <w:highlight w:val="none"/>
          <w:lang w:val="en-US" w:eastAsia="zh-CN"/>
        </w:rPr>
      </w:pPr>
      <w:r>
        <w:rPr>
          <w:rFonts w:hint="eastAsia" w:ascii="仿宋" w:hAnsi="仿宋" w:eastAsia="仿宋"/>
          <w:color w:val="auto"/>
          <w:sz w:val="28"/>
          <w:szCs w:val="24"/>
          <w:highlight w:val="none"/>
          <w:lang w:val="en-US" w:eastAsia="zh-CN"/>
        </w:rPr>
        <w:t xml:space="preserve">注：以上为每标包养护面积，具体养护面积以最终实际养护为准。详细养护苗木清单，具体养护苗木清单以工程交接验收清单为准。</w:t>
      </w:r>
      <w:r/>
    </w:p>
    <w:p>
      <w:pPr>
        <w:pStyle w:val="962"/>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962"/>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962"/>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962"/>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962"/>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jc w:val="both"/>
        <w:keepLines w:val="0"/>
        <w:keepNext w:val="0"/>
        <w:pageBreakBefore w:val="0"/>
        <w:spacing w:line="400" w:lineRule="exact"/>
        <w:widowControl w:val="off"/>
        <w:rPr>
          <w:rFonts w:hint="eastAsia" w:ascii="黑体" w:hAnsi="黑体" w:eastAsia="黑体"/>
          <w:b/>
          <w:bCs/>
          <w:color w:val="auto"/>
          <w:sz w:val="36"/>
          <w:highlight w:val="none"/>
        </w:rPr>
        <w:outlineLvl w:val="9"/>
      </w:pPr>
      <w:r>
        <w:rPr>
          <w:rFonts w:hint="eastAsia" w:ascii="黑体" w:hAnsi="黑体" w:eastAsia="黑体"/>
          <w:b/>
          <w:bCs/>
          <w:color w:val="auto"/>
          <w:sz w:val="36"/>
          <w:highlight w:val="none"/>
        </w:rPr>
      </w:r>
      <w:r/>
    </w:p>
    <w:p>
      <w:pPr>
        <w:jc w:val="center"/>
        <w:keepLines w:val="0"/>
        <w:keepNext w:val="0"/>
        <w:pageBreakBefore w:val="0"/>
        <w:spacing w:line="400" w:lineRule="exact"/>
        <w:widowControl w:val="off"/>
        <w:rPr>
          <w:rFonts w:hint="default" w:ascii="黑体" w:hAnsi="黑体" w:eastAsia="黑体"/>
          <w:b/>
          <w:bCs/>
          <w:color w:val="auto"/>
          <w:sz w:val="36"/>
          <w:highlight w:val="none"/>
          <w:lang w:val="en-US" w:eastAsia="zh-CN"/>
        </w:rPr>
        <w:outlineLvl w:val="9"/>
      </w:pPr>
      <w:r>
        <w:rPr>
          <w:rFonts w:hint="eastAsia" w:ascii="黑体" w:hAnsi="黑体" w:eastAsia="黑体"/>
          <w:b/>
          <w:bCs/>
          <w:color w:val="auto"/>
          <w:sz w:val="36"/>
          <w:highlight w:val="none"/>
        </w:rPr>
        <w:t xml:space="preserve">第六章  投标文件</w:t>
      </w:r>
      <w:r>
        <w:rPr>
          <w:rFonts w:hint="eastAsia" w:ascii="黑体" w:hAnsi="黑体" w:eastAsia="黑体"/>
          <w:b/>
          <w:bCs/>
          <w:color w:val="auto"/>
          <w:sz w:val="36"/>
          <w:highlight w:val="none"/>
          <w:lang w:eastAsia="zh-CN"/>
        </w:rPr>
        <w:t xml:space="preserve">（</w:t>
      </w:r>
      <w:r>
        <w:rPr>
          <w:rFonts w:hint="eastAsia" w:ascii="黑体" w:hAnsi="黑体" w:eastAsia="黑体"/>
          <w:b/>
          <w:bCs/>
          <w:color w:val="auto"/>
          <w:sz w:val="36"/>
          <w:highlight w:val="none"/>
          <w:lang w:val="en-US" w:eastAsia="zh-CN"/>
        </w:rPr>
        <w:t xml:space="preserve">二个采购包通用）</w:t>
      </w:r>
      <w:r/>
    </w:p>
    <w:p>
      <w:pPr>
        <w:pStyle w:val="893"/>
        <w:keepLines w:val="0"/>
        <w:keepNext w:val="0"/>
        <w:pageBreakBefore w:val="0"/>
        <w:rPr>
          <w:rFonts w:hint="eastAsia" w:ascii="黑体" w:hAnsi="黑体" w:eastAsia="黑体"/>
          <w:color w:val="auto"/>
          <w:sz w:val="44"/>
          <w:szCs w:val="44"/>
          <w:highlight w:val="none"/>
        </w:rPr>
        <w:outlineLvl w:val="9"/>
      </w:pPr>
      <w:r>
        <w:rPr>
          <w:rFonts w:hint="eastAsia" w:ascii="黑体" w:hAnsi="黑体" w:eastAsia="黑体"/>
          <w:color w:val="auto"/>
          <w:sz w:val="44"/>
          <w:szCs w:val="44"/>
          <w:highlight w:val="none"/>
        </w:rPr>
      </w:r>
      <w:r/>
    </w:p>
    <w:p>
      <w:pPr>
        <w:pStyle w:val="893"/>
        <w:keepLines w:val="0"/>
        <w:keepNext w:val="0"/>
        <w:pageBreakBefore w:val="0"/>
        <w:rPr>
          <w:rFonts w:hint="eastAsia" w:ascii="黑体" w:hAnsi="黑体" w:eastAsia="黑体"/>
          <w:color w:val="auto"/>
          <w:sz w:val="32"/>
          <w:highlight w:val="none"/>
        </w:rPr>
        <w:outlineLvl w:val="9"/>
      </w:pPr>
      <w:r>
        <w:rPr>
          <w:rFonts w:hint="eastAsia" w:ascii="黑体" w:hAnsi="黑体" w:eastAsia="黑体"/>
          <w:color w:val="auto"/>
          <w:sz w:val="32"/>
          <w:highlight w:val="none"/>
        </w:rPr>
      </w:r>
      <w:r/>
    </w:p>
    <w:p>
      <w:pPr>
        <w:pStyle w:val="893"/>
        <w:keepLines w:val="0"/>
        <w:keepNext w:val="0"/>
        <w:pageBreakBefore w:val="0"/>
        <w:rPr>
          <w:rFonts w:hint="eastAsia" w:ascii="黑体" w:hAnsi="黑体" w:eastAsia="黑体"/>
          <w:color w:val="auto"/>
          <w:sz w:val="32"/>
          <w:highlight w:val="none"/>
        </w:rPr>
        <w:outlineLvl w:val="9"/>
      </w:pPr>
      <w:r>
        <w:rPr>
          <w:rFonts w:hint="eastAsia" w:ascii="黑体" w:hAnsi="黑体" w:eastAsia="黑体"/>
          <w:color w:val="auto"/>
          <w:sz w:val="32"/>
          <w:highlight w:val="none"/>
        </w:rPr>
      </w:r>
      <w:r/>
    </w:p>
    <w:p>
      <w:pPr>
        <w:pStyle w:val="893"/>
        <w:keepLines w:val="0"/>
        <w:keepNext w:val="0"/>
        <w:pageBreakBefore w:val="0"/>
        <w:rPr>
          <w:rFonts w:hint="eastAsia" w:ascii="黑体" w:hAnsi="黑体" w:eastAsia="黑体"/>
          <w:color w:val="auto"/>
          <w:sz w:val="32"/>
          <w:highlight w:val="none"/>
        </w:rPr>
        <w:outlineLvl w:val="9"/>
      </w:pPr>
      <w:r>
        <w:rPr>
          <w:rFonts w:hint="eastAsia" w:ascii="黑体" w:hAnsi="黑体" w:eastAsia="黑体"/>
          <w:color w:val="auto"/>
          <w:sz w:val="32"/>
          <w:highlight w:val="none"/>
        </w:rPr>
      </w:r>
      <w:r/>
    </w:p>
    <w:p>
      <w:pPr>
        <w:pStyle w:val="893"/>
        <w:keepLines w:val="0"/>
        <w:keepNext w:val="0"/>
        <w:pageBreakBefore w:val="0"/>
        <w:rPr>
          <w:rFonts w:hint="eastAsia" w:ascii="黑体" w:hAnsi="黑体" w:eastAsia="黑体"/>
          <w:color w:val="auto"/>
          <w:sz w:val="32"/>
          <w:highlight w:val="none"/>
        </w:rPr>
        <w:outlineLvl w:val="9"/>
      </w:pPr>
      <w:r>
        <w:rPr>
          <w:rFonts w:hint="eastAsia" w:ascii="黑体" w:hAnsi="黑体" w:eastAsia="黑体"/>
          <w:color w:val="auto"/>
          <w:sz w:val="32"/>
          <w:highlight w:val="none"/>
        </w:rPr>
      </w:r>
      <w:r/>
    </w:p>
    <w:p>
      <w:pPr>
        <w:ind w:firstLine="1084"/>
        <w:keepLines w:val="0"/>
        <w:keepNext w:val="0"/>
        <w:pageBreakBefore w:val="0"/>
        <w:spacing w:line="400" w:lineRule="exact"/>
        <w:rPr>
          <w:rFonts w:hint="eastAsia" w:ascii="黑体" w:hAnsi="黑体" w:eastAsia="黑体"/>
          <w:b/>
          <w:bCs/>
          <w:color w:val="auto"/>
          <w:sz w:val="36"/>
          <w:highlight w:val="none"/>
        </w:rPr>
        <w:outlineLvl w:val="9"/>
      </w:pPr>
      <w:r>
        <w:rPr>
          <w:rFonts w:hint="eastAsia" w:ascii="黑体" w:hAnsi="黑体" w:eastAsia="黑体"/>
          <w:b/>
          <w:bCs/>
          <w:color w:val="auto"/>
          <w:sz w:val="36"/>
          <w:highlight w:val="none"/>
        </w:rPr>
        <w:t xml:space="preserve">项</w:t>
      </w:r>
      <w:r>
        <w:rPr>
          <w:rFonts w:hint="eastAsia" w:ascii="黑体" w:hAnsi="黑体" w:eastAsia="黑体"/>
          <w:b/>
          <w:bCs/>
          <w:color w:val="auto"/>
          <w:sz w:val="36"/>
          <w:highlight w:val="none"/>
          <w:lang w:val="en-US" w:eastAsia="zh-CN"/>
        </w:rPr>
        <w:t xml:space="preserve"> </w:t>
      </w:r>
      <w:r>
        <w:rPr>
          <w:rFonts w:hint="eastAsia" w:ascii="黑体" w:hAnsi="黑体" w:eastAsia="黑体"/>
          <w:b/>
          <w:bCs/>
          <w:color w:val="auto"/>
          <w:sz w:val="36"/>
          <w:highlight w:val="none"/>
        </w:rPr>
        <w:t xml:space="preserve">目</w:t>
      </w:r>
      <w:r>
        <w:rPr>
          <w:rFonts w:hint="eastAsia" w:ascii="黑体" w:hAnsi="黑体" w:eastAsia="黑体"/>
          <w:b/>
          <w:bCs/>
          <w:color w:val="auto"/>
          <w:sz w:val="36"/>
          <w:highlight w:val="none"/>
          <w:lang w:val="en-US" w:eastAsia="zh-CN"/>
        </w:rPr>
        <w:t xml:space="preserve"> </w:t>
      </w:r>
      <w:r>
        <w:rPr>
          <w:rFonts w:hint="eastAsia" w:ascii="黑体" w:hAnsi="黑体" w:eastAsia="黑体"/>
          <w:b/>
          <w:bCs/>
          <w:color w:val="auto"/>
          <w:sz w:val="36"/>
          <w:highlight w:val="none"/>
        </w:rPr>
        <w:t xml:space="preserve">名</w:t>
      </w:r>
      <w:r>
        <w:rPr>
          <w:rFonts w:hint="eastAsia" w:ascii="黑体" w:hAnsi="黑体" w:eastAsia="黑体"/>
          <w:b/>
          <w:bCs/>
          <w:color w:val="auto"/>
          <w:sz w:val="36"/>
          <w:highlight w:val="none"/>
          <w:lang w:val="en-US" w:eastAsia="zh-CN"/>
        </w:rPr>
        <w:t xml:space="preserve"> </w:t>
      </w:r>
      <w:r>
        <w:rPr>
          <w:rFonts w:hint="eastAsia" w:ascii="黑体" w:hAnsi="黑体" w:eastAsia="黑体"/>
          <w:b/>
          <w:bCs/>
          <w:color w:val="auto"/>
          <w:sz w:val="36"/>
          <w:highlight w:val="none"/>
        </w:rPr>
        <w:t xml:space="preserve">称:</w:t>
      </w:r>
      <w:r/>
    </w:p>
    <w:p>
      <w:pPr>
        <w:pStyle w:val="893"/>
        <w:keepLines w:val="0"/>
        <w:keepNext w:val="0"/>
        <w:pageBreakBefore w:val="0"/>
        <w:rPr>
          <w:rFonts w:hint="eastAsia" w:ascii="黑体" w:hAnsi="黑体" w:eastAsia="黑体"/>
          <w:color w:val="auto"/>
          <w:sz w:val="32"/>
          <w:highlight w:val="none"/>
        </w:rPr>
        <w:outlineLvl w:val="9"/>
      </w:pPr>
      <w:r>
        <w:rPr>
          <w:rFonts w:hint="eastAsia" w:ascii="黑体" w:hAnsi="黑体" w:eastAsia="黑体"/>
          <w:color w:val="auto"/>
          <w:sz w:val="32"/>
          <w:highlight w:val="none"/>
        </w:rPr>
      </w:r>
      <w:r/>
    </w:p>
    <w:p>
      <w:pPr>
        <w:pStyle w:val="893"/>
        <w:keepLines w:val="0"/>
        <w:keepNext w:val="0"/>
        <w:pageBreakBefore w:val="0"/>
        <w:rPr>
          <w:rFonts w:hint="eastAsia" w:ascii="黑体" w:hAnsi="黑体" w:eastAsia="黑体"/>
          <w:b/>
          <w:color w:val="auto"/>
          <w:sz w:val="36"/>
          <w:szCs w:val="24"/>
          <w:highlight w:val="none"/>
        </w:rPr>
        <w:outlineLvl w:val="9"/>
      </w:pPr>
      <w:r>
        <w:rPr>
          <w:rFonts w:hint="eastAsia" w:ascii="黑体" w:hAnsi="黑体" w:eastAsia="黑体"/>
          <w:b/>
          <w:color w:val="auto"/>
          <w:sz w:val="36"/>
          <w:szCs w:val="24"/>
          <w:highlight w:val="none"/>
        </w:rPr>
      </w:r>
      <w:r/>
    </w:p>
    <w:p>
      <w:pPr>
        <w:pStyle w:val="893"/>
        <w:ind w:firstLine="1066"/>
        <w:keepLines w:val="0"/>
        <w:keepNext w:val="0"/>
        <w:pageBreakBefore w:val="0"/>
        <w:rPr>
          <w:rFonts w:hint="eastAsia" w:ascii="黑体" w:hAnsi="黑体" w:eastAsia="黑体"/>
          <w:b/>
          <w:color w:val="auto"/>
          <w:sz w:val="36"/>
          <w:szCs w:val="24"/>
          <w:highlight w:val="none"/>
        </w:rPr>
        <w:outlineLvl w:val="9"/>
      </w:pPr>
      <w:r>
        <w:rPr>
          <w:rFonts w:hint="eastAsia" w:ascii="黑体" w:hAnsi="黑体" w:eastAsia="黑体"/>
          <w:b/>
          <w:color w:val="auto"/>
          <w:sz w:val="36"/>
          <w:szCs w:val="24"/>
          <w:highlight w:val="none"/>
        </w:rPr>
      </w:r>
      <w:r/>
    </w:p>
    <w:p>
      <w:pPr>
        <w:pStyle w:val="893"/>
        <w:ind w:firstLine="1066"/>
        <w:keepLines w:val="0"/>
        <w:keepNext w:val="0"/>
        <w:pageBreakBefore w:val="0"/>
        <w:rPr>
          <w:rFonts w:ascii="黑体" w:hAnsi="黑体" w:eastAsia="黑体"/>
          <w:b/>
          <w:color w:val="auto"/>
          <w:sz w:val="36"/>
          <w:szCs w:val="24"/>
          <w:highlight w:val="none"/>
        </w:rPr>
        <w:outlineLvl w:val="9"/>
      </w:pPr>
      <w:r>
        <w:rPr>
          <w:rFonts w:hint="eastAsia" w:ascii="黑体" w:hAnsi="黑体" w:eastAsia="黑体"/>
          <w:b/>
          <w:color w:val="auto"/>
          <w:sz w:val="36"/>
          <w:szCs w:val="24"/>
          <w:highlight w:val="none"/>
          <w:lang w:eastAsia="zh-CN"/>
        </w:rPr>
        <w:t xml:space="preserve">招</w:t>
      </w:r>
      <w:r>
        <w:rPr>
          <w:rFonts w:hint="eastAsia" w:ascii="黑体" w:hAnsi="黑体" w:eastAsia="黑体"/>
          <w:b/>
          <w:color w:val="auto"/>
          <w:sz w:val="36"/>
          <w:szCs w:val="24"/>
          <w:highlight w:val="none"/>
          <w:lang w:val="en-US" w:eastAsia="zh-CN"/>
        </w:rPr>
        <w:t xml:space="preserve"> </w:t>
      </w:r>
      <w:r>
        <w:rPr>
          <w:rFonts w:hint="eastAsia" w:ascii="黑体" w:hAnsi="黑体" w:eastAsia="黑体"/>
          <w:b/>
          <w:color w:val="auto"/>
          <w:sz w:val="36"/>
          <w:szCs w:val="24"/>
          <w:highlight w:val="none"/>
          <w:lang w:eastAsia="zh-CN"/>
        </w:rPr>
        <w:t xml:space="preserve">标</w:t>
      </w:r>
      <w:r>
        <w:rPr>
          <w:rFonts w:hint="eastAsia" w:ascii="黑体" w:hAnsi="黑体" w:eastAsia="黑体"/>
          <w:b/>
          <w:color w:val="auto"/>
          <w:sz w:val="36"/>
          <w:szCs w:val="24"/>
          <w:highlight w:val="none"/>
          <w:lang w:val="en-US" w:eastAsia="zh-CN"/>
        </w:rPr>
        <w:t xml:space="preserve"> </w:t>
      </w:r>
      <w:r>
        <w:rPr>
          <w:rFonts w:hint="eastAsia" w:ascii="黑体" w:hAnsi="黑体" w:eastAsia="黑体"/>
          <w:b/>
          <w:color w:val="auto"/>
          <w:sz w:val="36"/>
          <w:szCs w:val="24"/>
          <w:highlight w:val="none"/>
        </w:rPr>
        <w:t xml:space="preserve">编</w:t>
      </w:r>
      <w:r>
        <w:rPr>
          <w:rFonts w:hint="eastAsia" w:ascii="黑体" w:hAnsi="黑体" w:eastAsia="黑体"/>
          <w:b/>
          <w:color w:val="auto"/>
          <w:sz w:val="36"/>
          <w:szCs w:val="24"/>
          <w:highlight w:val="none"/>
          <w:lang w:val="en-US" w:eastAsia="zh-CN"/>
        </w:rPr>
        <w:t xml:space="preserve"> </w:t>
      </w:r>
      <w:r>
        <w:rPr>
          <w:rFonts w:hint="eastAsia" w:ascii="黑体" w:hAnsi="黑体" w:eastAsia="黑体"/>
          <w:b/>
          <w:color w:val="auto"/>
          <w:sz w:val="36"/>
          <w:szCs w:val="24"/>
          <w:highlight w:val="none"/>
        </w:rPr>
        <w:t xml:space="preserve">号:</w:t>
      </w:r>
      <w:r/>
    </w:p>
    <w:p>
      <w:pPr>
        <w:keepLines w:val="0"/>
        <w:keepNext w:val="0"/>
        <w:pageBreakBefore w:val="0"/>
        <w:spacing w:line="400" w:lineRule="exact"/>
        <w:rPr>
          <w:rFonts w:hint="eastAsia" w:ascii="黑体" w:hAnsi="黑体" w:eastAsia="黑体"/>
          <w:color w:val="auto"/>
          <w:sz w:val="32"/>
          <w:szCs w:val="20"/>
          <w:highlight w:val="none"/>
        </w:rPr>
        <w:outlineLvl w:val="9"/>
      </w:pPr>
      <w:r>
        <w:rPr>
          <w:rFonts w:hint="eastAsia" w:ascii="黑体" w:hAnsi="黑体" w:eastAsia="黑体"/>
          <w:color w:val="auto"/>
          <w:sz w:val="32"/>
          <w:szCs w:val="20"/>
          <w:highlight w:val="none"/>
        </w:rPr>
      </w:r>
      <w:r/>
    </w:p>
    <w:p>
      <w:pPr>
        <w:keepLines w:val="0"/>
        <w:keepNext w:val="0"/>
        <w:pageBreakBefore w:val="0"/>
        <w:spacing w:line="400" w:lineRule="exact"/>
        <w:rPr>
          <w:rFonts w:hint="eastAsia" w:ascii="黑体" w:hAnsi="黑体" w:eastAsia="黑体"/>
          <w:color w:val="auto"/>
          <w:sz w:val="32"/>
          <w:szCs w:val="20"/>
          <w:highlight w:val="none"/>
        </w:rPr>
        <w:outlineLvl w:val="9"/>
      </w:pPr>
      <w:r>
        <w:rPr>
          <w:rFonts w:hint="eastAsia" w:ascii="黑体" w:hAnsi="黑体" w:eastAsia="黑体"/>
          <w:color w:val="auto"/>
          <w:sz w:val="32"/>
          <w:szCs w:val="20"/>
          <w:highlight w:val="none"/>
        </w:rPr>
      </w:r>
      <w:r/>
    </w:p>
    <w:p>
      <w:pPr>
        <w:keepLines w:val="0"/>
        <w:keepNext w:val="0"/>
        <w:pageBreakBefore w:val="0"/>
        <w:spacing w:line="400" w:lineRule="exact"/>
        <w:rPr>
          <w:rFonts w:hint="eastAsia" w:ascii="黑体" w:hAnsi="黑体" w:eastAsia="黑体"/>
          <w:color w:val="auto"/>
          <w:sz w:val="32"/>
          <w:szCs w:val="20"/>
          <w:highlight w:val="none"/>
        </w:rPr>
        <w:outlineLvl w:val="9"/>
      </w:pPr>
      <w:r>
        <w:rPr>
          <w:rFonts w:hint="eastAsia" w:ascii="黑体" w:hAnsi="黑体" w:eastAsia="黑体"/>
          <w:color w:val="auto"/>
          <w:sz w:val="32"/>
          <w:szCs w:val="20"/>
          <w:highlight w:val="none"/>
        </w:rPr>
      </w:r>
      <w:r/>
    </w:p>
    <w:p>
      <w:pPr>
        <w:ind w:firstLine="1066"/>
        <w:keepLines w:val="0"/>
        <w:keepNext w:val="0"/>
        <w:pageBreakBefore w:val="0"/>
        <w:spacing w:line="400" w:lineRule="exact"/>
        <w:rPr>
          <w:rFonts w:hint="eastAsia" w:ascii="黑体" w:hAnsi="黑体" w:eastAsia="黑体"/>
          <w:b/>
          <w:bCs/>
          <w:color w:val="auto"/>
          <w:sz w:val="36"/>
          <w:highlight w:val="none"/>
          <w:lang w:val="en-US" w:eastAsia="zh-CN"/>
        </w:rPr>
        <w:outlineLvl w:val="9"/>
      </w:pPr>
      <w:r>
        <w:rPr>
          <w:rFonts w:hint="eastAsia" w:ascii="黑体" w:hAnsi="黑体" w:eastAsia="黑体"/>
          <w:b/>
          <w:bCs/>
          <w:color w:val="auto"/>
          <w:sz w:val="36"/>
          <w:highlight w:val="none"/>
        </w:rPr>
        <w:t xml:space="preserve">投标人</w:t>
      </w:r>
      <w:r>
        <w:rPr>
          <w:rFonts w:hint="eastAsia" w:ascii="黑体" w:hAnsi="黑体" w:eastAsia="黑体"/>
          <w:b/>
          <w:bCs/>
          <w:color w:val="auto"/>
          <w:sz w:val="36"/>
          <w:highlight w:val="none"/>
          <w:lang w:eastAsia="zh-CN"/>
        </w:rPr>
        <w:t xml:space="preserve">名称</w:t>
      </w:r>
      <w:r>
        <w:rPr>
          <w:rFonts w:hint="eastAsia" w:ascii="黑体" w:hAnsi="黑体" w:eastAsia="黑体"/>
          <w:b/>
          <w:bCs/>
          <w:color w:val="auto"/>
          <w:sz w:val="36"/>
          <w:highlight w:val="none"/>
        </w:rPr>
        <w:t xml:space="preserve">:</w:t>
      </w:r>
      <w:r>
        <w:rPr>
          <w:rFonts w:hint="eastAsia" w:ascii="黑体" w:hAnsi="黑体" w:eastAsia="黑体"/>
          <w:b/>
          <w:bCs/>
          <w:color w:val="auto"/>
          <w:sz w:val="36"/>
          <w:highlight w:val="none"/>
          <w:lang w:eastAsia="zh-CN"/>
        </w:rPr>
        <w:t xml:space="preserve">（加盖</w:t>
      </w:r>
      <w:r>
        <w:rPr>
          <w:rFonts w:hint="eastAsia" w:ascii="黑体" w:hAnsi="黑体" w:eastAsia="黑体"/>
          <w:b/>
          <w:bCs/>
          <w:color w:val="auto"/>
          <w:sz w:val="36"/>
          <w:highlight w:val="none"/>
          <w:lang w:val="en-US" w:eastAsia="zh-CN"/>
        </w:rPr>
        <w:t xml:space="preserve">CA电子公章）</w:t>
      </w:r>
      <w:r/>
    </w:p>
    <w:p>
      <w:pPr>
        <w:ind w:firstLine="1066"/>
        <w:keepLines w:val="0"/>
        <w:keepNext w:val="0"/>
        <w:pageBreakBefore w:val="0"/>
        <w:spacing w:line="400" w:lineRule="exact"/>
        <w:rPr>
          <w:rFonts w:hint="eastAsia" w:ascii="黑体" w:hAnsi="黑体" w:eastAsia="黑体"/>
          <w:b/>
          <w:bCs/>
          <w:color w:val="auto"/>
          <w:sz w:val="36"/>
          <w:highlight w:val="none"/>
          <w:lang w:val="en-US" w:eastAsia="zh-CN"/>
        </w:rPr>
        <w:outlineLvl w:val="9"/>
      </w:pPr>
      <w:r>
        <w:rPr>
          <w:rFonts w:hint="eastAsia" w:ascii="黑体" w:hAnsi="黑体" w:eastAsia="黑体"/>
          <w:b/>
          <w:bCs/>
          <w:color w:val="auto"/>
          <w:sz w:val="36"/>
          <w:highlight w:val="none"/>
          <w:lang w:val="en-US" w:eastAsia="zh-CN"/>
        </w:rPr>
        <w:t xml:space="preserve">    </w:t>
      </w:r>
      <w:r/>
    </w:p>
    <w:p>
      <w:pPr>
        <w:keepLines w:val="0"/>
        <w:keepNext w:val="0"/>
        <w:pageBreakBefore w:val="0"/>
        <w:spacing w:line="400" w:lineRule="exact"/>
        <w:rPr>
          <w:rFonts w:hint="eastAsia" w:ascii="黑体" w:hAnsi="黑体" w:eastAsia="黑体"/>
          <w:b/>
          <w:bCs/>
          <w:color w:val="auto"/>
          <w:sz w:val="36"/>
          <w:highlight w:val="none"/>
          <w:lang w:val="en-US" w:eastAsia="zh-CN"/>
        </w:rPr>
        <w:outlineLvl w:val="9"/>
      </w:pPr>
      <w:r>
        <w:rPr>
          <w:rFonts w:hint="eastAsia" w:ascii="黑体" w:hAnsi="黑体" w:eastAsia="黑体"/>
          <w:b/>
          <w:bCs/>
          <w:color w:val="auto"/>
          <w:sz w:val="36"/>
          <w:highlight w:val="none"/>
          <w:lang w:val="en-US" w:eastAsia="zh-CN"/>
        </w:rPr>
      </w:r>
      <w:r/>
    </w:p>
    <w:p>
      <w:pPr>
        <w:keepLines w:val="0"/>
        <w:keepNext w:val="0"/>
        <w:pageBreakBefore w:val="0"/>
        <w:spacing w:line="400" w:lineRule="exact"/>
        <w:rPr>
          <w:rFonts w:hint="eastAsia" w:ascii="黑体" w:hAnsi="黑体" w:eastAsia="黑体"/>
          <w:b/>
          <w:bCs/>
          <w:color w:val="auto"/>
          <w:sz w:val="36"/>
          <w:highlight w:val="none"/>
          <w:lang w:val="en-US" w:eastAsia="zh-CN"/>
        </w:rPr>
        <w:outlineLvl w:val="9"/>
      </w:pPr>
      <w:r>
        <w:rPr>
          <w:rFonts w:hint="eastAsia" w:ascii="黑体" w:hAnsi="黑体" w:eastAsia="黑体"/>
          <w:b/>
          <w:bCs/>
          <w:color w:val="auto"/>
          <w:sz w:val="36"/>
          <w:highlight w:val="none"/>
          <w:lang w:val="en-US" w:eastAsia="zh-CN"/>
        </w:rPr>
      </w:r>
      <w:r/>
    </w:p>
    <w:p>
      <w:pPr>
        <w:ind w:firstLine="1066"/>
        <w:keepLines w:val="0"/>
        <w:keepNext w:val="0"/>
        <w:pageBreakBefore w:val="0"/>
        <w:spacing w:line="400" w:lineRule="exact"/>
        <w:rPr>
          <w:rFonts w:hint="eastAsia" w:ascii="黑体" w:hAnsi="黑体" w:eastAsia="黑体"/>
          <w:b/>
          <w:bCs/>
          <w:color w:val="auto"/>
          <w:sz w:val="36"/>
          <w:highlight w:val="none"/>
          <w:lang w:val="zh-CN" w:eastAsia="zh-CN"/>
        </w:rPr>
        <w:outlineLvl w:val="9"/>
      </w:pPr>
      <w:r>
        <w:rPr>
          <w:rFonts w:hint="eastAsia" w:ascii="黑体" w:hAnsi="黑体" w:eastAsia="黑体"/>
          <w:b/>
          <w:bCs/>
          <w:color w:val="auto"/>
          <w:sz w:val="36"/>
          <w:highlight w:val="none"/>
          <w:lang w:val="en-US" w:eastAsia="zh-CN"/>
        </w:rPr>
        <w:t xml:space="preserve">日       期：</w:t>
      </w:r>
      <w:r/>
    </w:p>
    <w:p>
      <w:pPr>
        <w:pStyle w:val="893"/>
        <w:ind w:firstLine="0"/>
        <w:jc w:val="center"/>
        <w:keepLines w:val="0"/>
        <w:keepNext w:val="0"/>
        <w:pageBreakBefore w:val="0"/>
        <w:spacing w:line="640" w:lineRule="exact"/>
        <w:widowControl w:val="off"/>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br w:type="page" w:clear="all"/>
      </w:r>
      <w:r>
        <w:rPr>
          <w:rFonts w:hint="eastAsia" w:ascii="仿宋" w:hAnsi="仿宋" w:eastAsia="仿宋"/>
          <w:b/>
          <w:color w:val="auto"/>
          <w:sz w:val="32"/>
          <w:szCs w:val="32"/>
          <w:highlight w:val="none"/>
        </w:rPr>
        <w:t xml:space="preserve">一、投标函</w:t>
      </w:r>
      <w:r/>
    </w:p>
    <w:p>
      <w:pPr>
        <w:pStyle w:val="893"/>
        <w:keepLines w:val="0"/>
        <w:keepNext w:val="0"/>
        <w:pageBreakBefore w:val="0"/>
        <w:spacing w:line="640" w:lineRule="exact"/>
        <w:rPr>
          <w:rFonts w:hint="eastAsia" w:ascii="仿宋" w:hAnsi="仿宋" w:eastAsia="仿宋"/>
          <w:color w:val="auto"/>
          <w:sz w:val="28"/>
          <w:szCs w:val="24"/>
          <w:highlight w:val="none"/>
        </w:rPr>
        <w:outlineLvl w:val="9"/>
      </w:pPr>
      <w:r>
        <w:rPr>
          <w:rFonts w:hint="eastAsia" w:ascii="仿宋" w:hAnsi="仿宋" w:eastAsia="仿宋" w:cs="Times New Roman"/>
          <w:color w:val="auto"/>
          <w:sz w:val="28"/>
          <w:szCs w:val="28"/>
          <w:highlight w:val="none"/>
          <w:lang w:val="en-US" w:eastAsia="zh-CN" w:bidi="ar-SA"/>
        </w:rPr>
        <w:t xml:space="preserve">淮安经济技术开发区住房和城乡建设局</w:t>
      </w:r>
      <w:r>
        <w:rPr>
          <w:rFonts w:hint="eastAsia" w:ascii="仿宋" w:hAnsi="仿宋" w:eastAsia="仿宋"/>
          <w:color w:val="auto"/>
          <w:sz w:val="28"/>
          <w:szCs w:val="24"/>
          <w:highlight w:val="none"/>
        </w:rPr>
        <w:t xml:space="preserve">:</w:t>
      </w:r>
      <w:r/>
    </w:p>
    <w:p>
      <w:pPr>
        <w:pStyle w:val="944"/>
        <w:ind w:firstLine="700"/>
        <w:keepLines w:val="0"/>
        <w:keepNext w:val="0"/>
        <w:pageBreakBefore w:val="0"/>
        <w:spacing w:before="0" w:after="0" w:line="64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（投标人单位名称），全权处理本次项目投标的有关事宜。</w:t>
      </w:r>
      <w:r/>
    </w:p>
    <w:p>
      <w:pPr>
        <w:ind w:firstLine="560"/>
        <w:keepLines w:val="0"/>
        <w:keepNext w:val="0"/>
        <w:pageBreakBefore w:val="0"/>
        <w:spacing w:line="640" w:lineRule="exact"/>
        <w:rPr>
          <w:rFonts w:hint="eastAsia" w:ascii="仿宋" w:hAnsi="仿宋" w:eastAsia="仿宋"/>
          <w:color w:val="auto"/>
          <w:sz w:val="28"/>
          <w:szCs w:val="28"/>
          <w:highlight w:val="none"/>
        </w:rPr>
        <w:outlineLvl w:val="9"/>
      </w:pPr>
      <w:r>
        <w:rPr>
          <w:rFonts w:hint="eastAsia" w:ascii="仿宋" w:hAnsi="仿宋" w:eastAsia="仿宋"/>
          <w:color w:val="auto"/>
          <w:sz w:val="28"/>
          <w:highlight w:val="none"/>
        </w:rPr>
        <w:t xml:space="preserve">1、</w:t>
      </w:r>
      <w:r>
        <w:rPr>
          <w:rFonts w:hint="eastAsia" w:ascii="仿宋" w:hAnsi="仿宋" w:eastAsia="仿宋"/>
          <w:color w:val="auto"/>
          <w:sz w:val="28"/>
          <w:szCs w:val="28"/>
          <w:highlight w:val="none"/>
        </w:rPr>
        <w:t xml:space="preserve">我公司没有</w:t>
      </w:r>
      <w:r>
        <w:rPr>
          <w:rFonts w:ascii="仿宋" w:hAnsi="仿宋" w:eastAsia="仿宋"/>
          <w:color w:val="auto"/>
          <w:sz w:val="28"/>
          <w:szCs w:val="28"/>
          <w:highlight w:val="none"/>
        </w:rPr>
        <w:t xml:space="preserve">为</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项目提供整体设计、规范编制或者项目管理、监理、检测等服务。</w:t>
      </w:r>
      <w:r/>
    </w:p>
    <w:p>
      <w:pPr>
        <w:ind w:firstLine="560"/>
        <w:keepLines w:val="0"/>
        <w:keepNext w:val="0"/>
        <w:pageBreakBefore w:val="0"/>
        <w:spacing w:line="640" w:lineRule="exact"/>
        <w:rPr>
          <w:rFonts w:hint="eastAsia" w:ascii="仿宋" w:hAnsi="仿宋" w:eastAsia="仿宋"/>
          <w:color w:val="auto"/>
          <w:sz w:val="28"/>
          <w:highlight w:val="none"/>
        </w:rPr>
        <w:outlineLvl w:val="9"/>
      </w:pPr>
      <w:r>
        <w:rPr>
          <w:rFonts w:hint="eastAsia" w:ascii="仿宋" w:hAnsi="仿宋" w:eastAsia="仿宋"/>
          <w:color w:val="auto"/>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44"/>
        <w:ind w:firstLine="560"/>
        <w:keepLines w:val="0"/>
        <w:keepNext w:val="0"/>
        <w:pageBreakBefore w:val="0"/>
        <w:spacing w:before="0" w:after="0" w:line="64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3、我们接受招标文件的所有的条款和规定。</w:t>
      </w:r>
      <w:r/>
    </w:p>
    <w:p>
      <w:pPr>
        <w:pStyle w:val="944"/>
        <w:ind w:firstLine="560"/>
        <w:keepLines w:val="0"/>
        <w:keepNext w:val="0"/>
        <w:pageBreakBefore w:val="0"/>
        <w:spacing w:before="0" w:after="0" w:line="64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4、我们同意按照招标文件第二章第15条的规定，本投标文件的有效期为从开标之日期起计算的</w:t>
      </w:r>
      <w:r>
        <w:rPr>
          <w:rFonts w:hint="eastAsia" w:ascii="仿宋" w:hAnsi="仿宋" w:eastAsia="仿宋"/>
          <w:color w:val="auto"/>
          <w:sz w:val="28"/>
          <w:szCs w:val="28"/>
          <w:highlight w:val="none"/>
          <w:lang w:val="en-US" w:eastAsia="zh-CN"/>
        </w:rPr>
        <w:t xml:space="preserve">九</w:t>
      </w:r>
      <w:r>
        <w:rPr>
          <w:rFonts w:hint="eastAsia" w:ascii="仿宋" w:hAnsi="仿宋" w:eastAsia="仿宋"/>
          <w:color w:val="auto"/>
          <w:sz w:val="28"/>
          <w:szCs w:val="28"/>
          <w:highlight w:val="none"/>
        </w:rPr>
        <w:t xml:space="preserve">十天，在此期间，本投标文件将始终对我们具有约束力，并可随时被接受。如果我们中标，本投标文件在此期间之后将继续保持有效。</w:t>
      </w:r>
      <w:r/>
    </w:p>
    <w:p>
      <w:pPr>
        <w:pStyle w:val="944"/>
        <w:ind w:firstLine="560"/>
        <w:keepLines w:val="0"/>
        <w:keepNext w:val="0"/>
        <w:pageBreakBefore w:val="0"/>
        <w:spacing w:before="0" w:after="0" w:line="64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5、我们理解，你们无义务必须接受投标价最低的投标。同时也理解你们不承担我们本次投标的费用。</w:t>
      </w:r>
      <w:r/>
    </w:p>
    <w:p>
      <w:pPr>
        <w:pStyle w:val="944"/>
        <w:ind w:firstLine="560"/>
        <w:keepLines w:val="0"/>
        <w:keepNext w:val="0"/>
        <w:pageBreakBefore w:val="0"/>
        <w:spacing w:before="0" w:after="0" w:line="640" w:lineRule="exact"/>
        <w:rPr>
          <w:rFonts w:hint="eastAsia" w:ascii="仿宋" w:hAnsi="仿宋" w:eastAsia="仿宋"/>
          <w:color w:val="auto"/>
          <w:sz w:val="28"/>
          <w:szCs w:val="28"/>
          <w:highlight w:val="none"/>
        </w:rPr>
        <w:outlineLvl w:val="9"/>
      </w:pPr>
      <w:r>
        <w:rPr>
          <w:rFonts w:hint="eastAsia" w:ascii="仿宋" w:hAnsi="仿宋" w:eastAsia="仿宋"/>
          <w:color w:val="auto"/>
          <w:sz w:val="28"/>
          <w:highlight w:val="none"/>
        </w:rPr>
        <w:t xml:space="preserve">6、我们同意向贵方提供贵方可能要求的与投标有关的任何证据或资料，并保证所提供的都是真实的、准确的。</w:t>
      </w:r>
      <w:r/>
    </w:p>
    <w:p>
      <w:pPr>
        <w:pStyle w:val="944"/>
        <w:ind w:firstLine="560"/>
        <w:keepLines w:val="0"/>
        <w:keepNext w:val="0"/>
        <w:pageBreakBefore w:val="0"/>
        <w:spacing w:before="0" w:after="0" w:line="64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7、一旦我方中标，我方将根据招标文件的规定，严格履行合同的责任和义务，并保证在按招标文件中规定的时间内供货，并完成项目的施工、调试、交付买方验收、使用。</w:t>
      </w:r>
      <w:r/>
    </w:p>
    <w:p>
      <w:pPr>
        <w:pStyle w:val="944"/>
        <w:ind w:right="560" w:firstLine="2940"/>
        <w:keepLines w:val="0"/>
        <w:keepNext w:val="0"/>
        <w:pageBreakBefore w:val="0"/>
        <w:spacing w:before="0" w:after="0" w:line="640" w:lineRule="exact"/>
        <w:rPr>
          <w:rFonts w:hint="eastAsia" w:ascii="仿宋" w:hAnsi="仿宋" w:eastAsia="仿宋"/>
          <w:color w:val="auto"/>
          <w:sz w:val="28"/>
          <w:highlight w:val="none"/>
        </w:rPr>
        <w:outlineLvl w:val="9"/>
      </w:pPr>
      <w:r>
        <w:rPr>
          <w:rFonts w:hint="eastAsia" w:ascii="仿宋" w:hAnsi="仿宋" w:eastAsia="仿宋"/>
          <w:color w:val="auto"/>
          <w:sz w:val="28"/>
          <w:highlight w:val="none"/>
        </w:rPr>
      </w:r>
      <w:r/>
    </w:p>
    <w:p>
      <w:pPr>
        <w:pStyle w:val="944"/>
        <w:ind w:right="560" w:firstLine="2940"/>
        <w:keepLines w:val="0"/>
        <w:keepNext w:val="0"/>
        <w:pageBreakBefore w:val="0"/>
        <w:spacing w:before="0" w:after="0" w:line="640" w:lineRule="exact"/>
        <w:rPr>
          <w:rFonts w:hint="eastAsia" w:ascii="仿宋" w:hAnsi="仿宋" w:eastAsia="仿宋"/>
          <w:color w:val="auto"/>
          <w:sz w:val="28"/>
          <w:highlight w:val="none"/>
          <w:u w:val="single"/>
        </w:rPr>
        <w:outlineLvl w:val="9"/>
      </w:pPr>
      <w:r>
        <w:rPr>
          <w:rFonts w:hint="eastAsia" w:ascii="仿宋" w:hAnsi="仿宋" w:eastAsia="仿宋"/>
          <w:color w:val="auto"/>
          <w:sz w:val="28"/>
          <w:highlight w:val="none"/>
        </w:rPr>
        <w:t xml:space="preserve">投标人名称（电子签章）:</w:t>
      </w:r>
      <w:r>
        <w:rPr>
          <w:rFonts w:hint="eastAsia" w:ascii="仿宋" w:hAnsi="仿宋" w:eastAsia="仿宋"/>
          <w:color w:val="auto"/>
          <w:sz w:val="28"/>
          <w:highlight w:val="none"/>
          <w:u w:val="single"/>
        </w:rPr>
        <w:t xml:space="preserve">             </w:t>
      </w:r>
      <w:r/>
    </w:p>
    <w:p>
      <w:pPr>
        <w:pStyle w:val="944"/>
        <w:ind w:right="560" w:firstLine="2940"/>
        <w:keepLines w:val="0"/>
        <w:keepNext w:val="0"/>
        <w:pageBreakBefore w:val="0"/>
        <w:spacing w:before="0" w:after="0" w:line="64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u w:val="single"/>
        </w:rPr>
        <w:t xml:space="preserve">             </w:t>
      </w:r>
      <w:r/>
    </w:p>
    <w:p>
      <w:pPr>
        <w:ind w:right="560" w:firstLine="420"/>
        <w:jc w:val="center"/>
        <w:keepLines w:val="0"/>
        <w:keepNext w:val="0"/>
        <w:pageBreakBefore w:val="0"/>
        <w:spacing w:line="640" w:lineRule="exact"/>
        <w:rPr>
          <w:rFonts w:hint="eastAsia" w:ascii="仿宋" w:hAnsi="仿宋" w:eastAsia="仿宋"/>
          <w:color w:val="auto"/>
          <w:sz w:val="28"/>
          <w:szCs w:val="28"/>
          <w:highlight w:val="none"/>
          <w:u w:val="single"/>
        </w:rPr>
        <w:outlineLvl w:val="9"/>
      </w:pPr>
      <w:r>
        <w:rPr>
          <w:rFonts w:hint="eastAsia" w:ascii="仿宋" w:hAnsi="仿宋" w:eastAsia="仿宋"/>
          <w:color w:val="auto"/>
          <w:sz w:val="28"/>
          <w:szCs w:val="28"/>
          <w:highlight w:val="none"/>
        </w:rPr>
        <w:t xml:space="preserve">    电话:</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u w:val="single"/>
        </w:rPr>
        <w:t xml:space="preserve">           </w:t>
      </w:r>
      <w:r/>
    </w:p>
    <w:p>
      <w:pPr>
        <w:pStyle w:val="893"/>
        <w:ind w:right="560" w:firstLine="420"/>
        <w:jc w:val="center"/>
        <w:keepLines w:val="0"/>
        <w:keepNext w:val="0"/>
        <w:pageBreakBefore w:val="0"/>
        <w:spacing w:line="640" w:lineRule="exact"/>
        <w:rPr>
          <w:rFonts w:hint="eastAsia" w:ascii="仿宋" w:hAnsi="仿宋" w:eastAsia="仿宋"/>
          <w:bCs/>
          <w:color w:val="auto"/>
          <w:sz w:val="32"/>
          <w:szCs w:val="32"/>
          <w:highlight w:val="none"/>
        </w:rPr>
        <w:outlineLvl w:val="9"/>
      </w:pPr>
      <w:r>
        <w:rPr>
          <w:rFonts w:hint="eastAsia" w:ascii="仿宋" w:hAnsi="仿宋" w:eastAsia="仿宋"/>
          <w:color w:val="auto"/>
          <w:sz w:val="28"/>
          <w:szCs w:val="24"/>
          <w:highlight w:val="none"/>
        </w:rPr>
        <w:t xml:space="preserve">         日期: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036"/>
        <w:keepLines w:val="0"/>
        <w:keepNext w:val="0"/>
        <w:pageBreakBefore w:val="0"/>
        <w:spacing w:before="19" w:line="440" w:lineRule="exact"/>
        <w:widowControl/>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br w:type="page" w:clear="all"/>
      </w:r>
      <w:r>
        <w:rPr>
          <w:rFonts w:hint="eastAsia" w:ascii="仿宋" w:hAnsi="仿宋" w:eastAsia="仿宋"/>
          <w:b/>
          <w:color w:val="auto"/>
          <w:sz w:val="32"/>
          <w:szCs w:val="32"/>
          <w:highlight w:val="none"/>
        </w:rPr>
        <w:t xml:space="preserve">二、开标一览表</w:t>
      </w:r>
      <w:r/>
    </w:p>
    <w:p>
      <w:pPr>
        <w:ind w:firstLine="3036"/>
        <w:keepLines w:val="0"/>
        <w:keepNext w:val="0"/>
        <w:pageBreakBefore w:val="0"/>
        <w:spacing w:before="19" w:line="440" w:lineRule="exact"/>
        <w:widowControl/>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r>
      <w:r/>
    </w:p>
    <w:tbl>
      <w:tblPr>
        <w:tblStyle w:val="68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keepLines w:val="0"/>
              <w:keepNext w:val="0"/>
              <w:pageBreakBefore w:val="0"/>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项目名称</w:t>
            </w:r>
            <w:r/>
          </w:p>
        </w:tc>
        <w:tc>
          <w:tcPr>
            <w:tcW w:w="6759" w:type="dxa"/>
            <w:vAlign w:val="center"/>
            <w:textDirection w:val="lrTb"/>
            <w:noWrap w:val="false"/>
          </w:tcPr>
          <w:p>
            <w:pPr>
              <w:jc w:val="center"/>
              <w:keepLines w:val="0"/>
              <w:keepNext w:val="0"/>
              <w:pageBreakBefore w:val="0"/>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tc>
      </w:tr>
      <w:tr>
        <w:trPr>
          <w:cantSplit/>
          <w:trHeight w:val="2261"/>
        </w:trPr>
        <w:tc>
          <w:tcPr>
            <w:tcW w:w="1701" w:type="dxa"/>
            <w:vAlign w:val="center"/>
            <w:textDirection w:val="lrTb"/>
            <w:noWrap w:val="false"/>
          </w:tcPr>
          <w:p>
            <w:pPr>
              <w:jc w:val="center"/>
              <w:keepLines w:val="0"/>
              <w:keepNext w:val="0"/>
              <w:pageBreakBefore w:val="0"/>
              <w:spacing w:line="7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投标报价</w:t>
            </w:r>
            <w:r/>
          </w:p>
          <w:p>
            <w:pPr>
              <w:jc w:val="center"/>
              <w:keepLines w:val="0"/>
              <w:keepNext w:val="0"/>
              <w:pageBreakBefore w:val="0"/>
              <w:spacing w:line="7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总计</w:t>
            </w:r>
            <w:r/>
          </w:p>
        </w:tc>
        <w:tc>
          <w:tcPr>
            <w:tcW w:w="6759" w:type="dxa"/>
            <w:vAlign w:val="center"/>
            <w:textDirection w:val="lrTb"/>
            <w:noWrap w:val="false"/>
          </w:tcPr>
          <w:p>
            <w:pPr>
              <w:keepLines w:val="0"/>
              <w:keepNext w:val="0"/>
              <w:pageBreakBefore w:val="0"/>
              <w:spacing w:line="720" w:lineRule="exact"/>
              <w:rPr>
                <w:rFonts w:hint="eastAsia" w:ascii="仿宋" w:hAnsi="仿宋" w:eastAsia="仿宋"/>
                <w:color w:val="auto"/>
                <w:sz w:val="28"/>
                <w:szCs w:val="28"/>
                <w:highlight w:val="none"/>
                <w:u w:val="single"/>
              </w:rPr>
              <w:outlineLvl w:val="9"/>
            </w:pPr>
            <w:r>
              <w:rPr>
                <w:rFonts w:hint="eastAsia" w:ascii="仿宋" w:hAnsi="仿宋" w:eastAsia="仿宋"/>
                <w:color w:val="auto"/>
                <w:sz w:val="28"/>
                <w:szCs w:val="28"/>
                <w:highlight w:val="none"/>
              </w:rPr>
              <w:t xml:space="preserve">（小写）</w:t>
            </w:r>
            <w:r>
              <w:rPr>
                <w:rFonts w:hint="eastAsia" w:ascii="宋体" w:hAnsi="宋体" w:eastAsia="仿宋"/>
                <w:color w:val="auto"/>
                <w:sz w:val="28"/>
                <w:szCs w:val="28"/>
                <w:highlight w:val="none"/>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w:t>
            </w:r>
            <w:r/>
          </w:p>
          <w:p>
            <w:pPr>
              <w:keepLines w:val="0"/>
              <w:keepNext w:val="0"/>
              <w:pageBreakBefore w:val="0"/>
              <w:spacing w:line="7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（大写）人民币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元整</w:t>
            </w:r>
            <w:r/>
          </w:p>
        </w:tc>
      </w:tr>
      <w:tr>
        <w:trPr>
          <w:cantSplit/>
          <w:trHeight w:val="1273"/>
        </w:trPr>
        <w:tc>
          <w:tcPr>
            <w:tcW w:w="1701" w:type="dxa"/>
            <w:vAlign w:val="center"/>
            <w:textDirection w:val="lrTb"/>
            <w:noWrap w:val="false"/>
          </w:tcPr>
          <w:p>
            <w:pPr>
              <w:ind w:firstLine="140"/>
              <w:keepLines w:val="0"/>
              <w:keepNext w:val="0"/>
              <w:pageBreakBefore w:val="0"/>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核心品牌</w:t>
            </w:r>
            <w:r/>
          </w:p>
        </w:tc>
        <w:tc>
          <w:tcPr>
            <w:tcW w:w="6759" w:type="dxa"/>
            <w:vAlign w:val="center"/>
            <w:textDirection w:val="lrTb"/>
            <w:noWrap w:val="false"/>
          </w:tcPr>
          <w:p>
            <w:pPr>
              <w:ind w:firstLine="1540"/>
              <w:keepLines w:val="0"/>
              <w:keepNext w:val="0"/>
              <w:pageBreakBefore w:val="0"/>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w:t>
            </w:r>
            <w:r/>
          </w:p>
        </w:tc>
      </w:tr>
    </w:tbl>
    <w:p>
      <w:pPr>
        <w:pStyle w:val="893"/>
        <w:keepLines w:val="0"/>
        <w:keepNext w:val="0"/>
        <w:pageBreakBefore w:val="0"/>
        <w:rPr>
          <w:rFonts w:hint="eastAsia" w:hAnsi="宋体"/>
          <w:b/>
          <w:color w:val="auto"/>
          <w:sz w:val="32"/>
          <w:szCs w:val="32"/>
          <w:highlight w:val="none"/>
        </w:rPr>
        <w:outlineLvl w:val="9"/>
      </w:pPr>
      <w:r/>
      <w:bookmarkStart w:id="36" w:name="_Toc157775468"/>
      <w:r/>
      <w:r/>
    </w:p>
    <w:p>
      <w:pPr>
        <w:pStyle w:val="964"/>
        <w:jc w:val="center"/>
        <w:rPr>
          <w:rFonts w:ascii="仿宋" w:hAnsi="仿宋" w:eastAsia="仿宋"/>
          <w:b/>
          <w:color w:val="auto"/>
          <w:sz w:val="32"/>
          <w:szCs w:val="32"/>
          <w:highlight w:val="none"/>
        </w:rPr>
      </w:pPr>
      <w:r>
        <w:rPr>
          <w:rFonts w:hint="eastAsia" w:ascii="仿宋" w:hAnsi="仿宋" w:eastAsia="仿宋"/>
          <w:b/>
          <w:color w:val="auto"/>
          <w:sz w:val="32"/>
          <w:szCs w:val="32"/>
          <w:highlight w:val="none"/>
        </w:rPr>
        <w:br w:type="page" w:clear="all"/>
      </w:r>
      <w:r>
        <w:rPr>
          <w:rFonts w:hint="eastAsia" w:ascii="仿宋" w:hAnsi="仿宋" w:eastAsia="仿宋"/>
          <w:b/>
          <w:color w:val="auto"/>
          <w:sz w:val="32"/>
          <w:szCs w:val="32"/>
          <w:highlight w:val="none"/>
        </w:rPr>
        <w:t xml:space="preserve">三、投标报价明细表</w:t>
      </w:r>
      <w:r/>
    </w:p>
    <w:p>
      <w:pPr>
        <w:pStyle w:val="963"/>
        <w:jc w:val="right"/>
        <w:spacing w:line="340" w:lineRule="exact"/>
        <w:rPr>
          <w:rFonts w:ascii="仿宋" w:hAnsi="仿宋" w:eastAsia="仿宋" w:cs="Calibri"/>
          <w:color w:val="auto"/>
          <w:sz w:val="24"/>
          <w:szCs w:val="24"/>
          <w:highlight w:val="none"/>
        </w:rPr>
      </w:pPr>
      <w:r>
        <w:rPr>
          <w:rFonts w:hint="eastAsia" w:ascii="仿宋" w:hAnsi="仿宋" w:eastAsia="仿宋" w:cs="Calibri"/>
          <w:color w:val="auto"/>
          <w:sz w:val="24"/>
          <w:szCs w:val="24"/>
          <w:highlight w:val="none"/>
        </w:rPr>
        <w:t xml:space="preserve">单位</w:t>
      </w:r>
      <w:r>
        <w:rPr>
          <w:rFonts w:hint="eastAsia" w:ascii="仿宋" w:hAnsi="仿宋" w:eastAsia="仿宋" w:cs="Calibri"/>
          <w:color w:val="auto"/>
          <w:sz w:val="24"/>
          <w:szCs w:val="24"/>
          <w:highlight w:val="none"/>
          <w:lang w:eastAsia="zh-CN"/>
        </w:rPr>
        <w:t xml:space="preserve">：</w:t>
      </w:r>
      <w:r>
        <w:rPr>
          <w:rFonts w:hint="eastAsia" w:ascii="仿宋" w:hAnsi="仿宋" w:eastAsia="仿宋" w:cs="Calibri"/>
          <w:color w:val="auto"/>
          <w:sz w:val="24"/>
          <w:szCs w:val="24"/>
          <w:highlight w:val="none"/>
        </w:rPr>
        <w:t xml:space="preserve">人民币元</w:t>
      </w:r>
      <w:r/>
    </w:p>
    <w:tbl>
      <w:tblPr>
        <w:tblStyle w:val="688"/>
        <w:tblW w:w="8768" w:type="dxa"/>
        <w:jc w:val="center"/>
        <w:tblLayout w:type="fixed"/>
        <w:tblCellMar>
          <w:left w:w="108" w:type="dxa"/>
          <w:top w:w="0" w:type="dxa"/>
          <w:right w:w="108" w:type="dxa"/>
          <w:bottom w:w="0" w:type="dxa"/>
        </w:tblCellMar>
        <w:tblLook w:val="04A0" w:firstRow="1" w:lastRow="0" w:firstColumn="1" w:lastColumn="0" w:noHBand="0" w:noVBand="1"/>
      </w:tblPr>
      <w:tblGrid>
        <w:gridCol w:w="1464"/>
        <w:gridCol w:w="1756"/>
        <w:gridCol w:w="1825"/>
        <w:gridCol w:w="1310"/>
        <w:gridCol w:w="775"/>
        <w:gridCol w:w="1638"/>
      </w:tblGrid>
      <w:tr>
        <w:trPr>
          <w:jc w:val="center"/>
          <w:trHeight w:val="722"/>
        </w:trPr>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756" w:type="dxa"/>
            <w:vAlign w:val="center"/>
            <w:textDirection w:val="lrTb"/>
            <w:noWrap w:val="false"/>
          </w:tcPr>
          <w:p>
            <w:pPr>
              <w:jc w:val="center"/>
              <w:rPr>
                <w:rFonts w:hint="eastAsia" w:ascii="仿宋" w:hAnsi="仿宋" w:eastAsia="仿宋"/>
                <w:bCs/>
                <w:color w:val="auto"/>
                <w:sz w:val="24"/>
                <w:highlight w:val="none"/>
              </w:rPr>
            </w:pPr>
            <w:r>
              <w:rPr>
                <w:rFonts w:hint="eastAsia" w:ascii="仿宋" w:hAnsi="仿宋" w:eastAsia="仿宋"/>
                <w:bCs/>
                <w:color w:val="auto"/>
                <w:sz w:val="24"/>
                <w:highlight w:val="none"/>
                <w:lang w:val="en-US" w:eastAsia="zh-CN"/>
              </w:rPr>
              <w:t xml:space="preserve">养护路段</w:t>
            </w:r>
            <w:r/>
          </w:p>
        </w:tc>
        <w:tc>
          <w:tcPr>
            <w:tcBorders>
              <w:top w:val="single" w:color="000000" w:sz="4" w:space="0"/>
              <w:left w:val="non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bCs/>
                <w:color w:val="auto"/>
                <w:sz w:val="24"/>
                <w:highlight w:val="none"/>
              </w:rPr>
            </w:pPr>
            <w:r>
              <w:rPr>
                <w:rFonts w:hint="eastAsia" w:ascii="仿宋" w:hAnsi="仿宋" w:eastAsia="仿宋"/>
                <w:bCs/>
                <w:color w:val="auto"/>
                <w:sz w:val="24"/>
                <w:highlight w:val="none"/>
                <w:lang w:val="en-US" w:eastAsia="zh-CN"/>
              </w:rPr>
              <w:t xml:space="preserve">面积（㎡）</w:t>
            </w:r>
            <w:r/>
          </w:p>
        </w:tc>
        <w:tc>
          <w:tcPr>
            <w:tcBorders>
              <w:top w:val="single" w:color="000000" w:sz="4" w:space="0"/>
              <w:left w:val="none" w:color="000000" w:sz="4" w:space="0"/>
              <w:bottom w:val="single" w:color="000000" w:sz="4" w:space="0"/>
              <w:right w:val="single" w:color="000000" w:sz="4" w:space="0"/>
            </w:tcBorders>
            <w:tcW w:w="1310" w:type="dxa"/>
            <w:vAlign w:val="center"/>
            <w:textDirection w:val="lrTb"/>
            <w:noWrap w:val="false"/>
          </w:tcPr>
          <w:p>
            <w:pPr>
              <w:jc w:val="center"/>
              <w:rPr>
                <w:rFonts w:hint="eastAsia" w:ascii="仿宋" w:hAnsi="仿宋" w:eastAsia="仿宋"/>
                <w:bCs/>
                <w:color w:val="auto"/>
                <w:sz w:val="24"/>
                <w:highlight w:val="none"/>
              </w:rPr>
            </w:pPr>
            <w:r>
              <w:rPr>
                <w:rFonts w:hint="eastAsia" w:ascii="仿宋" w:hAnsi="仿宋" w:eastAsia="仿宋"/>
                <w:bCs/>
                <w:color w:val="auto"/>
                <w:sz w:val="24"/>
                <w:highlight w:val="none"/>
                <w:lang w:val="en-US" w:eastAsia="zh-CN"/>
              </w:rPr>
              <w:t xml:space="preserve">综合单价</w:t>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rPr>
                <w:rFonts w:hint="eastAsia" w:ascii="仿宋" w:hAnsi="仿宋" w:eastAsia="仿宋"/>
                <w:bCs/>
                <w:color w:val="auto"/>
                <w:sz w:val="24"/>
                <w:highlight w:val="none"/>
              </w:rPr>
            </w:pPr>
            <w:r>
              <w:rPr>
                <w:rFonts w:hint="eastAsia" w:ascii="仿宋" w:hAnsi="仿宋" w:eastAsia="仿宋"/>
                <w:bCs/>
                <w:color w:val="auto"/>
                <w:sz w:val="24"/>
                <w:highlight w:val="none"/>
                <w:lang w:val="en-US" w:eastAsia="zh-CN"/>
              </w:rPr>
              <w:t xml:space="preserve">总价</w:t>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jc w:val="center"/>
          <w:trHeight w:val="722"/>
        </w:trPr>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1756"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1825"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1310"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jc w:val="center"/>
          <w:trHeight w:val="722"/>
        </w:trPr>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1756"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1825"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1310"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jc w:val="center"/>
          <w:trHeight w:val="722"/>
        </w:trPr>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1756"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1825"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1310"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jc w:val="center"/>
          <w:trHeight w:val="722"/>
        </w:trPr>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1756"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1825"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1310"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jc w:val="center"/>
          <w:trHeight w:val="722"/>
        </w:trPr>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1756"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1825"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1310"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jc w:val="center"/>
          <w:trHeight w:val="722"/>
        </w:trPr>
        <w:tc>
          <w:tcPr>
            <w:gridSpan w:val="2"/>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总    价</w:t>
            </w:r>
            <w:r/>
          </w:p>
        </w:tc>
        <w:tc>
          <w:tcPr>
            <w:gridSpan w:val="4"/>
            <w:tcBorders>
              <w:top w:val="single" w:color="000000" w:sz="4" w:space="0"/>
              <w:left w:val="none" w:color="000000" w:sz="4" w:space="0"/>
              <w:bottom w:val="single" w:color="000000" w:sz="4" w:space="0"/>
              <w:right w:val="single" w:color="000000" w:sz="4" w:space="0"/>
            </w:tcBorders>
            <w:tcW w:w="5548" w:type="dxa"/>
            <w:vAlign w:val="center"/>
            <w:textDirection w:val="lrTb"/>
            <w:noWrap w:val="false"/>
          </w:tcPr>
          <w:p>
            <w:pPr>
              <w:jc w:val="center"/>
              <w:rPr>
                <w:rFonts w:hint="eastAsia" w:ascii="仿宋" w:hAnsi="仿宋" w:eastAsia="仿宋"/>
                <w:bCs/>
                <w:color w:val="auto"/>
                <w:sz w:val="24"/>
                <w:highlight w:val="none"/>
                <w:lang w:val="en-US" w:eastAsia="zh-CN"/>
              </w:rPr>
            </w:pPr>
            <w:r>
              <w:rPr>
                <w:rFonts w:hint="eastAsia" w:ascii="仿宋" w:hAnsi="仿宋" w:eastAsia="仿宋"/>
                <w:bCs/>
                <w:color w:val="auto"/>
                <w:sz w:val="24"/>
                <w:highlight w:val="none"/>
                <w:lang w:val="en-US" w:eastAsia="zh-CN"/>
              </w:rPr>
              <w:t xml:space="preserve">元</w:t>
            </w:r>
            <w:r/>
          </w:p>
        </w:tc>
      </w:tr>
    </w:tbl>
    <w:p>
      <w:pPr>
        <w:jc w:val="right"/>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w:t>
      </w:r>
      <w:r/>
    </w:p>
    <w:p>
      <w:pPr>
        <w:jc w:val="right"/>
        <w:spacing w:line="640" w:lineRule="exact"/>
        <w:rPr>
          <w:rFonts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63"/>
        <w:ind w:firstLine="41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63"/>
        <w:ind w:firstLine="408"/>
        <w:spacing w:line="520" w:lineRule="exact"/>
        <w:rPr>
          <w:rFonts w:ascii="仿宋" w:hAnsi="仿宋" w:eastAsia="仿宋"/>
          <w:color w:val="auto"/>
          <w:sz w:val="28"/>
          <w:szCs w:val="24"/>
          <w:highlight w:val="none"/>
        </w:rPr>
      </w:pPr>
      <w:r>
        <w:rPr>
          <w:rFonts w:ascii="仿宋" w:hAnsi="仿宋" w:eastAsia="仿宋"/>
          <w:color w:val="auto"/>
          <w:sz w:val="28"/>
          <w:szCs w:val="24"/>
          <w:highlight w:val="none"/>
        </w:rPr>
        <w:t xml:space="preserve">备注：</w:t>
      </w:r>
      <w:r>
        <w:rPr>
          <w:rFonts w:hint="eastAsia" w:ascii="仿宋" w:hAnsi="仿宋" w:eastAsia="仿宋"/>
          <w:color w:val="auto"/>
          <w:sz w:val="28"/>
          <w:szCs w:val="24"/>
          <w:highlight w:val="none"/>
          <w:lang w:val="en-US" w:eastAsia="zh-CN"/>
        </w:rPr>
        <w:t xml:space="preserve">1、</w:t>
      </w:r>
      <w:r>
        <w:rPr>
          <w:rFonts w:hint="eastAsia" w:ascii="仿宋" w:hAnsi="仿宋" w:eastAsia="仿宋"/>
          <w:color w:val="auto"/>
          <w:sz w:val="28"/>
          <w:szCs w:val="24"/>
          <w:highlight w:val="none"/>
        </w:rPr>
        <w:t xml:space="preserve">本次招标报价各投标人必须附报价构成的书面分析（需从人员工资、机械费用、肥料费用、农药费用、黑麦草草籽费用、浇水费用、税收、合理利润等方面进行分析，格式自拟加盖投标人电子签章）不提供作无效投标处理。</w:t>
      </w:r>
      <w:r>
        <w:rPr>
          <w:rFonts w:hint="eastAsia" w:ascii="仿宋" w:hAnsi="仿宋" w:eastAsia="仿宋" w:cs="楷体_GB2312"/>
          <w:color w:val="auto"/>
          <w:sz w:val="28"/>
          <w:szCs w:val="28"/>
          <w:highlight w:val="none"/>
          <w:lang w:val="zh-CN"/>
        </w:rPr>
        <w:t xml:space="preserve"> </w:t>
      </w:r>
      <w:r/>
    </w:p>
    <w:p>
      <w:pPr>
        <w:pStyle w:val="963"/>
        <w:ind w:firstLine="408"/>
        <w:spacing w:line="520" w:lineRule="exact"/>
        <w:rPr>
          <w:rFonts w:hint="eastAsia" w:ascii="仿宋" w:hAnsi="仿宋" w:eastAsia="仿宋" w:cs="Times New Roman"/>
          <w:color w:val="auto"/>
          <w:sz w:val="28"/>
          <w:szCs w:val="24"/>
          <w:highlight w:val="none"/>
        </w:rPr>
      </w:pPr>
      <w:r>
        <w:rPr>
          <w:rFonts w:hint="eastAsia" w:ascii="仿宋" w:hAnsi="仿宋" w:eastAsia="仿宋"/>
          <w:color w:val="auto"/>
          <w:sz w:val="28"/>
          <w:szCs w:val="24"/>
          <w:highlight w:val="none"/>
          <w:lang w:val="en-US" w:eastAsia="zh-CN"/>
        </w:rPr>
        <w:t xml:space="preserve">2</w:t>
      </w:r>
      <w:r>
        <w:rPr>
          <w:rFonts w:hint="eastAsia" w:ascii="仿宋" w:hAnsi="仿宋" w:eastAsia="仿宋"/>
          <w:color w:val="auto"/>
          <w:sz w:val="28"/>
          <w:szCs w:val="24"/>
          <w:highlight w:val="none"/>
        </w:rPr>
        <w:t xml:space="preserve">、投</w:t>
      </w:r>
      <w:r>
        <w:rPr>
          <w:rFonts w:ascii="仿宋" w:hAnsi="仿宋" w:eastAsia="仿宋"/>
          <w:color w:val="auto"/>
          <w:sz w:val="28"/>
          <w:szCs w:val="24"/>
          <w:highlight w:val="none"/>
        </w:rPr>
        <w:t xml:space="preserve">标报价采用总承包方式，“投标总报价”应包括所投货物（包</w:t>
      </w:r>
      <w:r>
        <w:rPr>
          <w:rFonts w:hint="eastAsia" w:ascii="仿宋" w:hAnsi="仿宋" w:eastAsia="仿宋" w:cs="Times New Roman"/>
          <w:color w:val="auto"/>
          <w:sz w:val="28"/>
          <w:szCs w:val="24"/>
          <w:highlight w:val="none"/>
        </w:rPr>
        <w:t xml:space="preserve">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63"/>
        <w:ind w:firstLine="408"/>
        <w:spacing w:line="520" w:lineRule="exact"/>
        <w:rPr>
          <w:rFonts w:hint="eastAsia" w:ascii="仿宋" w:hAnsi="仿宋" w:eastAsia="仿宋" w:cs="Times New Roman"/>
          <w:color w:val="auto"/>
          <w:sz w:val="28"/>
          <w:szCs w:val="24"/>
          <w:highlight w:val="none"/>
        </w:rPr>
      </w:pPr>
      <w:r>
        <w:rPr>
          <w:rFonts w:hint="eastAsia" w:ascii="仿宋" w:hAnsi="仿宋" w:eastAsia="仿宋" w:cs="Times New Roman"/>
          <w:color w:val="auto"/>
          <w:sz w:val="28"/>
          <w:szCs w:val="24"/>
          <w:highlight w:val="none"/>
          <w:lang w:val="en-US" w:eastAsia="zh-CN"/>
        </w:rPr>
        <w:t xml:space="preserve">3、</w:t>
      </w:r>
      <w:r>
        <w:rPr>
          <w:rFonts w:hint="eastAsia" w:ascii="仿宋" w:hAnsi="仿宋" w:eastAsia="仿宋" w:cs="Times New Roman"/>
          <w:color w:val="auto"/>
          <w:sz w:val="28"/>
          <w:szCs w:val="24"/>
          <w:highlight w:val="none"/>
        </w:rPr>
        <w:t xml:space="preserve">“投标分项报价表”中“投标总报价”数额应当与“开标一览表”中“投标总报价”数额一致。</w:t>
      </w:r>
      <w:r/>
    </w:p>
    <w:p>
      <w:pPr>
        <w:ind w:right="0"/>
        <w:jc w:val="center"/>
        <w:keepLines w:val="0"/>
        <w:keepNext w:val="0"/>
        <w:pageBreakBefore w:val="0"/>
        <w:spacing w:line="560" w:lineRule="exact"/>
        <w:rPr>
          <w:rFonts w:hint="eastAsia" w:ascii="仿宋" w:hAnsi="仿宋" w:eastAsia="仿宋" w:cs="Times New Roman"/>
          <w:b/>
          <w:color w:val="auto"/>
          <w:sz w:val="32"/>
          <w:szCs w:val="3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b/>
          <w:color w:val="auto"/>
          <w:sz w:val="32"/>
          <w:highlight w:val="none"/>
        </w:rPr>
        <w:br w:type="page" w:clear="all"/>
      </w:r>
      <w:r>
        <w:rPr>
          <w:rFonts w:hint="eastAsia" w:ascii="仿宋" w:hAnsi="仿宋" w:eastAsia="仿宋" w:cs="Times New Roman"/>
          <w:b/>
          <w:color w:val="auto"/>
          <w:sz w:val="32"/>
          <w:szCs w:val="32"/>
          <w:highlight w:val="none"/>
          <w:lang w:val="en-US" w:eastAsia="zh-CN" w:bidi="ar-SA"/>
        </w:rPr>
        <w:t xml:space="preserve">四、</w:t>
      </w:r>
      <w:bookmarkEnd w:id="36"/>
      <w:r>
        <w:rPr>
          <w:rFonts w:hint="eastAsia" w:ascii="仿宋" w:hAnsi="仿宋" w:eastAsia="仿宋" w:cs="Times New Roman"/>
          <w:b/>
          <w:color w:val="auto"/>
          <w:sz w:val="32"/>
          <w:szCs w:val="32"/>
          <w:highlight w:val="none"/>
          <w:lang w:val="en-US" w:eastAsia="zh-CN" w:bidi="ar-SA"/>
        </w:rPr>
        <w:t xml:space="preserve">公司投入专用车辆一览表</w:t>
      </w:r>
      <w:r/>
    </w:p>
    <w:p>
      <w:pPr>
        <w:ind w:right="0"/>
        <w:jc w:val="both"/>
        <w:keepLines w:val="0"/>
        <w:keepNext w:val="0"/>
        <w:pageBreakBefore w:val="0"/>
        <w:spacing w:line="560" w:lineRule="exact"/>
        <w:rPr>
          <w:rFonts w:hint="eastAsia" w:ascii="仿宋" w:hAnsi="仿宋" w:eastAsia="仿宋" w:cs="仿宋"/>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szCs w:val="32"/>
          <w:highlight w:val="none"/>
        </w:rPr>
        <w:t xml:space="preserve">（要求按行驶证记录的准予行驶日期按从后到前的顺序填入）</w:t>
      </w:r>
      <w:r/>
    </w:p>
    <w:tbl>
      <w:tblPr>
        <w:tblStyle w:val="710"/>
        <w:tblW w:w="93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400"/>
        <w:gridCol w:w="1400"/>
        <w:gridCol w:w="1480"/>
        <w:gridCol w:w="2440"/>
        <w:gridCol w:w="1840"/>
      </w:tblGrid>
      <w:tr>
        <w:trPr/>
        <w:tc>
          <w:tcPr>
            <w:tcW w:w="741" w:type="dxa"/>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lang w:val="en-US" w:eastAsia="zh-CN"/>
              </w:rPr>
            </w:pPr>
            <w:r>
              <w:rPr>
                <w:rFonts w:hint="eastAsia" w:ascii="仿宋" w:hAnsi="仿宋" w:eastAsia="仿宋" w:cs="仿宋"/>
                <w:b w:val="0"/>
                <w:bCs/>
                <w:color w:val="auto"/>
                <w:sz w:val="24"/>
                <w:szCs w:val="24"/>
                <w:highlight w:val="none"/>
                <w:vertAlign w:val="baseline"/>
                <w:lang w:val="en-US" w:eastAsia="zh-CN"/>
              </w:rPr>
              <w:t xml:space="preserve">序号</w:t>
            </w:r>
            <w:r/>
          </w:p>
        </w:tc>
        <w:tc>
          <w:tcPr>
            <w:tcW w:w="1400" w:type="dxa"/>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lang w:val="en-US" w:eastAsia="zh-CN"/>
              </w:rPr>
            </w:pPr>
            <w:r>
              <w:rPr>
                <w:rFonts w:hint="eastAsia" w:ascii="仿宋" w:hAnsi="仿宋" w:eastAsia="仿宋" w:cs="仿宋"/>
                <w:b w:val="0"/>
                <w:bCs/>
                <w:color w:val="auto"/>
                <w:sz w:val="24"/>
                <w:szCs w:val="24"/>
                <w:highlight w:val="none"/>
                <w:vertAlign w:val="baseline"/>
                <w:lang w:val="en-US" w:eastAsia="zh-CN"/>
              </w:rPr>
              <w:t xml:space="preserve">车辆类型</w:t>
            </w:r>
            <w:r/>
          </w:p>
        </w:tc>
        <w:tc>
          <w:tcPr>
            <w:tcW w:w="1400" w:type="dxa"/>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lang w:val="en-US" w:eastAsia="zh-CN"/>
              </w:rPr>
            </w:pPr>
            <w:r>
              <w:rPr>
                <w:rFonts w:hint="eastAsia" w:ascii="仿宋" w:hAnsi="仿宋" w:eastAsia="仿宋" w:cs="仿宋"/>
                <w:b w:val="0"/>
                <w:bCs/>
                <w:color w:val="auto"/>
                <w:sz w:val="24"/>
                <w:szCs w:val="24"/>
                <w:highlight w:val="none"/>
                <w:vertAlign w:val="baseline"/>
                <w:lang w:val="en-US" w:eastAsia="zh-CN"/>
              </w:rPr>
              <w:t xml:space="preserve">国家批准型号</w:t>
            </w:r>
            <w:r/>
          </w:p>
        </w:tc>
        <w:tc>
          <w:tcPr>
            <w:tcW w:w="1480" w:type="dxa"/>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lang w:val="en-US" w:eastAsia="zh-CN"/>
              </w:rPr>
            </w:pPr>
            <w:r>
              <w:rPr>
                <w:rFonts w:hint="eastAsia" w:ascii="仿宋" w:hAnsi="仿宋" w:eastAsia="仿宋" w:cs="仿宋"/>
                <w:b w:val="0"/>
                <w:bCs/>
                <w:color w:val="auto"/>
                <w:sz w:val="24"/>
                <w:szCs w:val="24"/>
                <w:highlight w:val="none"/>
                <w:vertAlign w:val="baseline"/>
                <w:lang w:val="en-US" w:eastAsia="zh-CN"/>
              </w:rPr>
              <w:t xml:space="preserve">车牌号</w:t>
            </w:r>
            <w:r/>
          </w:p>
        </w:tc>
        <w:tc>
          <w:tcPr>
            <w:tcW w:w="2440" w:type="dxa"/>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lang w:val="en-US" w:eastAsia="zh-CN"/>
              </w:rPr>
            </w:pPr>
            <w:r>
              <w:rPr>
                <w:rFonts w:hint="eastAsia" w:ascii="仿宋" w:hAnsi="仿宋" w:eastAsia="仿宋" w:cs="仿宋"/>
                <w:b w:val="0"/>
                <w:bCs/>
                <w:color w:val="auto"/>
                <w:sz w:val="24"/>
                <w:szCs w:val="24"/>
                <w:highlight w:val="none"/>
                <w:vertAlign w:val="baseline"/>
                <w:lang w:val="en-US" w:eastAsia="zh-CN"/>
              </w:rPr>
              <w:t xml:space="preserve">发动机号（上）/（下）</w:t>
            </w:r>
            <w:r/>
          </w:p>
        </w:tc>
        <w:tc>
          <w:tcPr>
            <w:tcW w:w="1840" w:type="dxa"/>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lang w:val="en-US" w:eastAsia="zh-CN"/>
              </w:rPr>
            </w:pPr>
            <w:r>
              <w:rPr>
                <w:rFonts w:hint="eastAsia" w:ascii="仿宋" w:hAnsi="仿宋" w:eastAsia="仿宋" w:cs="仿宋"/>
                <w:b w:val="0"/>
                <w:bCs/>
                <w:color w:val="auto"/>
                <w:sz w:val="24"/>
                <w:szCs w:val="24"/>
                <w:highlight w:val="none"/>
                <w:vertAlign w:val="baseline"/>
                <w:lang w:val="en-US" w:eastAsia="zh-CN"/>
              </w:rPr>
              <w:t xml:space="preserve">行驶证上登记日期</w:t>
            </w:r>
            <w:r/>
          </w:p>
        </w:tc>
      </w:tr>
      <w:tr>
        <w:trPr>
          <w:trHeight w:val="274"/>
        </w:trPr>
        <w:tc>
          <w:tcPr>
            <w:tcW w:w="741" w:type="dxa"/>
            <w:vMerge w:val="restart"/>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lang w:val="en-US" w:eastAsia="zh-CN"/>
              </w:rPr>
            </w:pPr>
            <w:r>
              <w:rPr>
                <w:rFonts w:hint="eastAsia" w:ascii="仿宋" w:hAnsi="仿宋" w:eastAsia="仿宋" w:cs="仿宋"/>
                <w:b w:val="0"/>
                <w:bCs/>
                <w:color w:val="auto"/>
                <w:sz w:val="24"/>
                <w:szCs w:val="24"/>
                <w:highlight w:val="none"/>
                <w:vertAlign w:val="baseline"/>
                <w:lang w:val="en-US" w:eastAsia="zh-CN"/>
              </w:rPr>
              <w:t xml:space="preserve">1</w:t>
            </w:r>
            <w:r/>
          </w:p>
        </w:tc>
        <w:tc>
          <w:tcPr>
            <w:tcW w:w="1400" w:type="dxa"/>
            <w:vMerge w:val="restart"/>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lang w:val="en-US" w:eastAsia="zh-CN"/>
              </w:rPr>
            </w:pPr>
            <w:r>
              <w:rPr>
                <w:rFonts w:hint="eastAsia" w:ascii="仿宋" w:hAnsi="仿宋" w:eastAsia="仿宋" w:cs="仿宋"/>
                <w:b w:val="0"/>
                <w:bCs/>
                <w:color w:val="auto"/>
                <w:sz w:val="24"/>
                <w:szCs w:val="24"/>
                <w:highlight w:val="none"/>
                <w:vertAlign w:val="baseline"/>
                <w:lang w:val="en-US" w:eastAsia="zh-CN"/>
              </w:rPr>
              <w:t xml:space="preserve">洒水车</w:t>
            </w:r>
            <w:r/>
          </w:p>
        </w:tc>
        <w:tc>
          <w:tcPr>
            <w:tcW w:w="1400" w:type="dxa"/>
            <w:vMerge w:val="restart"/>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c>
          <w:tcPr>
            <w:tcW w:w="1480" w:type="dxa"/>
            <w:vMerge w:val="restart"/>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c>
          <w:tcPr>
            <w:tcW w:w="2440" w:type="dxa"/>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c>
          <w:tcPr>
            <w:tcW w:w="1840" w:type="dxa"/>
            <w:vMerge w:val="restart"/>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r>
      <w:tr>
        <w:trPr>
          <w:trHeight w:val="274"/>
        </w:trPr>
        <w:tc>
          <w:tcPr>
            <w:tcW w:w="741" w:type="dxa"/>
            <w:vMerge w:val="continue"/>
            <w:textDirection w:val="lrTb"/>
            <w:noWrap w:val="false"/>
          </w:tcPr>
          <w:p>
            <w:pPr>
              <w:ind w:right="0"/>
              <w:jc w:val="center"/>
              <w:keepLines w:val="0"/>
              <w:keepNext w:val="0"/>
              <w:pageBreakBefore w:val="0"/>
              <w:spacing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00" w:type="dxa"/>
            <w:vMerge w:val="continue"/>
            <w:textDirection w:val="lrTb"/>
            <w:noWrap w:val="false"/>
          </w:tcPr>
          <w:p>
            <w:pPr>
              <w:ind w:right="0"/>
              <w:jc w:val="center"/>
              <w:keepLines w:val="0"/>
              <w:keepNext w:val="0"/>
              <w:pageBreakBefore w:val="0"/>
              <w:spacing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00" w:type="dxa"/>
            <w:vMerge w:val="continue"/>
            <w:textDirection w:val="lrTb"/>
            <w:noWrap w:val="false"/>
          </w:tcPr>
          <w:p>
            <w:pPr>
              <w:ind w:right="0"/>
              <w:jc w:val="center"/>
              <w:keepLines w:val="0"/>
              <w:keepNext w:val="0"/>
              <w:pageBreakBefore w:val="0"/>
              <w:spacing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Merge w:val="continue"/>
            <w:textDirection w:val="lrTb"/>
            <w:noWrap w:val="false"/>
          </w:tcPr>
          <w:p>
            <w:pPr>
              <w:ind w:right="0"/>
              <w:jc w:val="center"/>
              <w:keepLines w:val="0"/>
              <w:keepNext w:val="0"/>
              <w:pageBreakBefore w:val="0"/>
              <w:spacing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440" w:type="dxa"/>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c>
          <w:tcPr>
            <w:tcW w:w="1840" w:type="dxa"/>
            <w:vMerge w:val="continue"/>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r>
      <w:tr>
        <w:trPr>
          <w:trHeight w:val="274"/>
        </w:trPr>
        <w:tc>
          <w:tcPr>
            <w:tcW w:w="741" w:type="dxa"/>
            <w:vMerge w:val="restart"/>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lang w:val="en-US" w:eastAsia="zh-CN"/>
              </w:rPr>
            </w:pPr>
            <w:r>
              <w:rPr>
                <w:rFonts w:hint="eastAsia" w:ascii="仿宋" w:hAnsi="仿宋" w:eastAsia="仿宋" w:cs="仿宋"/>
                <w:b w:val="0"/>
                <w:bCs/>
                <w:color w:val="auto"/>
                <w:sz w:val="24"/>
                <w:szCs w:val="24"/>
                <w:highlight w:val="none"/>
                <w:vertAlign w:val="baseline"/>
                <w:lang w:val="en-US" w:eastAsia="zh-CN"/>
              </w:rPr>
              <w:t xml:space="preserve">2</w:t>
            </w:r>
            <w:r/>
          </w:p>
        </w:tc>
        <w:tc>
          <w:tcPr>
            <w:tcW w:w="1400" w:type="dxa"/>
            <w:vMerge w:val="restart"/>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lang w:val="en-US" w:eastAsia="zh-CN"/>
              </w:rPr>
            </w:pPr>
            <w:r>
              <w:rPr>
                <w:rFonts w:hint="eastAsia" w:ascii="仿宋" w:hAnsi="仿宋" w:eastAsia="仿宋" w:cs="仿宋"/>
                <w:b w:val="0"/>
                <w:bCs/>
                <w:color w:val="auto"/>
                <w:sz w:val="24"/>
                <w:szCs w:val="24"/>
                <w:highlight w:val="none"/>
                <w:vertAlign w:val="baseline"/>
                <w:lang w:val="en-US" w:eastAsia="zh-CN"/>
              </w:rPr>
              <w:t xml:space="preserve">登高车</w:t>
            </w:r>
            <w:r/>
          </w:p>
        </w:tc>
        <w:tc>
          <w:tcPr>
            <w:tcW w:w="1400" w:type="dxa"/>
            <w:vMerge w:val="restart"/>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c>
          <w:tcPr>
            <w:tcW w:w="1480" w:type="dxa"/>
            <w:vMerge w:val="restart"/>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c>
          <w:tcPr>
            <w:tcW w:w="2440" w:type="dxa"/>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c>
          <w:tcPr>
            <w:tcW w:w="1840" w:type="dxa"/>
            <w:vMerge w:val="restart"/>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r>
      <w:tr>
        <w:trPr>
          <w:trHeight w:val="274"/>
        </w:trPr>
        <w:tc>
          <w:tcPr>
            <w:tcW w:w="741" w:type="dxa"/>
            <w:vMerge w:val="continue"/>
            <w:textDirection w:val="lrTb"/>
            <w:noWrap w:val="false"/>
          </w:tcPr>
          <w:p>
            <w:pPr>
              <w:ind w:right="0"/>
              <w:jc w:val="center"/>
              <w:keepLines w:val="0"/>
              <w:keepNext w:val="0"/>
              <w:pageBreakBefore w:val="0"/>
              <w:spacing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00" w:type="dxa"/>
            <w:vMerge w:val="continue"/>
            <w:textDirection w:val="lrTb"/>
            <w:noWrap w:val="false"/>
          </w:tcPr>
          <w:p>
            <w:pPr>
              <w:ind w:right="0"/>
              <w:jc w:val="center"/>
              <w:keepLines w:val="0"/>
              <w:keepNext w:val="0"/>
              <w:pageBreakBefore w:val="0"/>
              <w:spacing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00" w:type="dxa"/>
            <w:vMerge w:val="continue"/>
            <w:textDirection w:val="lrTb"/>
            <w:noWrap w:val="false"/>
          </w:tcPr>
          <w:p>
            <w:pPr>
              <w:ind w:right="0"/>
              <w:jc w:val="center"/>
              <w:keepLines w:val="0"/>
              <w:keepNext w:val="0"/>
              <w:pageBreakBefore w:val="0"/>
              <w:spacing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Merge w:val="continue"/>
            <w:textDirection w:val="lrTb"/>
            <w:noWrap w:val="false"/>
          </w:tcPr>
          <w:p>
            <w:pPr>
              <w:ind w:right="0"/>
              <w:jc w:val="center"/>
              <w:keepLines w:val="0"/>
              <w:keepNext w:val="0"/>
              <w:pageBreakBefore w:val="0"/>
              <w:spacing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440" w:type="dxa"/>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c>
          <w:tcPr>
            <w:tcW w:w="1840" w:type="dxa"/>
            <w:vMerge w:val="continue"/>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r>
      <w:tr>
        <w:trPr>
          <w:trHeight w:val="274"/>
        </w:trPr>
        <w:tc>
          <w:tcPr>
            <w:tcW w:w="741" w:type="dxa"/>
            <w:vMerge w:val="restart"/>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lang w:val="en-US" w:eastAsia="zh-CN"/>
              </w:rPr>
            </w:pPr>
            <w:r>
              <w:rPr>
                <w:rFonts w:hint="eastAsia" w:ascii="仿宋" w:hAnsi="仿宋" w:eastAsia="仿宋" w:cs="仿宋"/>
                <w:b w:val="0"/>
                <w:bCs/>
                <w:color w:val="auto"/>
                <w:sz w:val="24"/>
                <w:szCs w:val="24"/>
                <w:highlight w:val="none"/>
                <w:vertAlign w:val="baseline"/>
                <w:lang w:val="en-US" w:eastAsia="zh-CN"/>
              </w:rPr>
              <w:t xml:space="preserve">3</w:t>
            </w:r>
            <w:r/>
          </w:p>
        </w:tc>
        <w:tc>
          <w:tcPr>
            <w:tcW w:w="1400" w:type="dxa"/>
            <w:vMerge w:val="restart"/>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lang w:val="en-US" w:eastAsia="zh-CN"/>
              </w:rPr>
            </w:pPr>
            <w:r>
              <w:rPr>
                <w:rFonts w:hint="eastAsia" w:ascii="仿宋" w:hAnsi="仿宋" w:eastAsia="仿宋" w:cs="仿宋"/>
                <w:b w:val="0"/>
                <w:bCs/>
                <w:color w:val="auto"/>
                <w:sz w:val="24"/>
                <w:szCs w:val="24"/>
                <w:highlight w:val="none"/>
                <w:vertAlign w:val="baseline"/>
                <w:lang w:val="en-US" w:eastAsia="zh-CN"/>
              </w:rPr>
              <w:t xml:space="preserve">货车</w:t>
            </w:r>
            <w:r/>
          </w:p>
        </w:tc>
        <w:tc>
          <w:tcPr>
            <w:tcW w:w="1400" w:type="dxa"/>
            <w:vMerge w:val="restart"/>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c>
          <w:tcPr>
            <w:tcW w:w="1480" w:type="dxa"/>
            <w:vMerge w:val="restart"/>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c>
          <w:tcPr>
            <w:tcW w:w="2440" w:type="dxa"/>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c>
          <w:tcPr>
            <w:tcW w:w="1840" w:type="dxa"/>
            <w:vMerge w:val="restart"/>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r>
      <w:tr>
        <w:trPr>
          <w:trHeight w:val="274"/>
        </w:trPr>
        <w:tc>
          <w:tcPr>
            <w:tcW w:w="741" w:type="dxa"/>
            <w:vMerge w:val="continue"/>
            <w:textDirection w:val="lrTb"/>
            <w:noWrap w:val="false"/>
          </w:tcPr>
          <w:p>
            <w:pPr>
              <w:ind w:right="0"/>
              <w:jc w:val="center"/>
              <w:keepLines w:val="0"/>
              <w:keepNext w:val="0"/>
              <w:pageBreakBefore w:val="0"/>
              <w:spacing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00" w:type="dxa"/>
            <w:vMerge w:val="continue"/>
            <w:textDirection w:val="lrTb"/>
            <w:noWrap w:val="false"/>
          </w:tcPr>
          <w:p>
            <w:pPr>
              <w:ind w:right="0"/>
              <w:jc w:val="center"/>
              <w:keepLines w:val="0"/>
              <w:keepNext w:val="0"/>
              <w:pageBreakBefore w:val="0"/>
              <w:spacing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00" w:type="dxa"/>
            <w:vMerge w:val="continue"/>
            <w:textDirection w:val="lrTb"/>
            <w:noWrap w:val="false"/>
          </w:tcPr>
          <w:p>
            <w:pPr>
              <w:ind w:right="0"/>
              <w:jc w:val="center"/>
              <w:keepLines w:val="0"/>
              <w:keepNext w:val="0"/>
              <w:pageBreakBefore w:val="0"/>
              <w:spacing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Merge w:val="continue"/>
            <w:textDirection w:val="lrTb"/>
            <w:noWrap w:val="false"/>
          </w:tcPr>
          <w:p>
            <w:pPr>
              <w:ind w:right="0"/>
              <w:jc w:val="center"/>
              <w:keepLines w:val="0"/>
              <w:keepNext w:val="0"/>
              <w:pageBreakBefore w:val="0"/>
              <w:spacing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440" w:type="dxa"/>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c>
          <w:tcPr>
            <w:tcW w:w="1840" w:type="dxa"/>
            <w:vMerge w:val="continue"/>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r>
      <w:tr>
        <w:trPr>
          <w:trHeight w:val="274"/>
        </w:trPr>
        <w:tc>
          <w:tcPr>
            <w:tcW w:w="741" w:type="dxa"/>
            <w:vMerge w:val="restart"/>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lang w:val="en-US" w:eastAsia="zh-CN"/>
              </w:rPr>
            </w:pPr>
            <w:r>
              <w:rPr>
                <w:rFonts w:hint="eastAsia" w:ascii="仿宋" w:hAnsi="仿宋" w:eastAsia="仿宋" w:cs="仿宋"/>
                <w:b w:val="0"/>
                <w:bCs/>
                <w:color w:val="auto"/>
                <w:sz w:val="24"/>
                <w:szCs w:val="24"/>
                <w:highlight w:val="none"/>
                <w:vertAlign w:val="baseline"/>
                <w:lang w:val="en-US" w:eastAsia="zh-CN"/>
              </w:rPr>
              <w:t xml:space="preserve">4</w:t>
            </w:r>
            <w:r/>
          </w:p>
        </w:tc>
        <w:tc>
          <w:tcPr>
            <w:tcW w:w="1400" w:type="dxa"/>
            <w:vMerge w:val="restart"/>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lang w:val="en-US" w:eastAsia="zh-CN"/>
              </w:rPr>
            </w:pPr>
            <w:r>
              <w:rPr>
                <w:rFonts w:hint="eastAsia" w:ascii="仿宋" w:hAnsi="仿宋" w:eastAsia="仿宋" w:cs="仿宋"/>
                <w:b w:val="0"/>
                <w:bCs/>
                <w:color w:val="auto"/>
                <w:sz w:val="24"/>
                <w:szCs w:val="24"/>
                <w:highlight w:val="none"/>
                <w:vertAlign w:val="baseline"/>
                <w:lang w:val="en-US" w:eastAsia="zh-CN"/>
              </w:rPr>
              <w:t xml:space="preserve">汽车</w:t>
            </w:r>
            <w:r/>
          </w:p>
        </w:tc>
        <w:tc>
          <w:tcPr>
            <w:tcW w:w="1400" w:type="dxa"/>
            <w:vMerge w:val="restart"/>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c>
          <w:tcPr>
            <w:tcW w:w="1480" w:type="dxa"/>
            <w:vMerge w:val="restart"/>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c>
          <w:tcPr>
            <w:tcW w:w="2440" w:type="dxa"/>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c>
          <w:tcPr>
            <w:tcW w:w="1840" w:type="dxa"/>
            <w:vMerge w:val="restart"/>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r>
      <w:tr>
        <w:trPr>
          <w:trHeight w:val="274"/>
        </w:trPr>
        <w:tc>
          <w:tcPr>
            <w:tcW w:w="741" w:type="dxa"/>
            <w:vMerge w:val="continue"/>
            <w:textDirection w:val="lrTb"/>
            <w:noWrap w:val="false"/>
          </w:tcPr>
          <w:p>
            <w:pPr>
              <w:ind w:right="0"/>
              <w:jc w:val="center"/>
              <w:keepLines w:val="0"/>
              <w:keepNext w:val="0"/>
              <w:pageBreakBefore w:val="0"/>
              <w:spacing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00" w:type="dxa"/>
            <w:vMerge w:val="continue"/>
            <w:textDirection w:val="lrTb"/>
            <w:noWrap w:val="false"/>
          </w:tcPr>
          <w:p>
            <w:pPr>
              <w:ind w:right="0"/>
              <w:jc w:val="center"/>
              <w:keepLines w:val="0"/>
              <w:keepNext w:val="0"/>
              <w:pageBreakBefore w:val="0"/>
              <w:spacing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00" w:type="dxa"/>
            <w:vMerge w:val="continue"/>
            <w:textDirection w:val="lrTb"/>
            <w:noWrap w:val="false"/>
          </w:tcPr>
          <w:p>
            <w:pPr>
              <w:ind w:right="0"/>
              <w:jc w:val="center"/>
              <w:keepLines w:val="0"/>
              <w:keepNext w:val="0"/>
              <w:pageBreakBefore w:val="0"/>
              <w:spacing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Merge w:val="continue"/>
            <w:textDirection w:val="lrTb"/>
            <w:noWrap w:val="false"/>
          </w:tcPr>
          <w:p>
            <w:pPr>
              <w:ind w:right="0"/>
              <w:jc w:val="center"/>
              <w:keepLines w:val="0"/>
              <w:keepNext w:val="0"/>
              <w:pageBreakBefore w:val="0"/>
              <w:spacing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440" w:type="dxa"/>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c>
          <w:tcPr>
            <w:tcW w:w="1840" w:type="dxa"/>
            <w:vMerge w:val="continue"/>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r>
      <w:tr>
        <w:trPr>
          <w:trHeight w:val="279"/>
        </w:trPr>
        <w:tc>
          <w:tcPr>
            <w:tcW w:w="741" w:type="dxa"/>
            <w:vMerge w:val="restart"/>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lang w:val="en-US" w:eastAsia="zh-CN"/>
              </w:rPr>
            </w:pPr>
            <w:r>
              <w:rPr>
                <w:rFonts w:hint="eastAsia" w:ascii="仿宋" w:hAnsi="仿宋" w:eastAsia="仿宋" w:cs="仿宋"/>
                <w:b w:val="0"/>
                <w:bCs/>
                <w:color w:val="auto"/>
                <w:sz w:val="24"/>
                <w:szCs w:val="24"/>
                <w:highlight w:val="none"/>
                <w:vertAlign w:val="baseline"/>
                <w:lang w:val="en-US" w:eastAsia="zh-CN"/>
              </w:rPr>
              <w:t xml:space="preserve">5</w:t>
            </w:r>
            <w:r/>
          </w:p>
        </w:tc>
        <w:tc>
          <w:tcPr>
            <w:tcW w:w="1400" w:type="dxa"/>
            <w:vMerge w:val="restart"/>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lang w:val="en-US" w:eastAsia="zh-CN"/>
              </w:rPr>
            </w:pPr>
            <w:r>
              <w:rPr>
                <w:rFonts w:hint="eastAsia" w:ascii="仿宋" w:hAnsi="仿宋" w:eastAsia="仿宋" w:cs="仿宋"/>
                <w:b w:val="0"/>
                <w:bCs/>
                <w:color w:val="auto"/>
                <w:sz w:val="24"/>
                <w:szCs w:val="24"/>
                <w:highlight w:val="none"/>
                <w:vertAlign w:val="baseline"/>
                <w:lang w:val="en-US" w:eastAsia="zh-CN"/>
              </w:rPr>
              <w:t xml:space="preserve">抑尘车</w:t>
            </w:r>
            <w:r/>
          </w:p>
        </w:tc>
        <w:tc>
          <w:tcPr>
            <w:tcW w:w="1400" w:type="dxa"/>
            <w:vMerge w:val="restart"/>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c>
          <w:tcPr>
            <w:tcW w:w="1480" w:type="dxa"/>
            <w:vMerge w:val="restart"/>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c>
          <w:tcPr>
            <w:tcW w:w="2440" w:type="dxa"/>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c>
          <w:tcPr>
            <w:tcW w:w="1840" w:type="dxa"/>
            <w:vMerge w:val="restart"/>
            <w:textDirection w:val="lrTb"/>
            <w:noWrap w:val="false"/>
          </w:tcPr>
          <w:p>
            <w:pPr>
              <w:ind w:right="0"/>
              <w:jc w:val="center"/>
              <w:keepLines w:val="0"/>
              <w:keepNext w:val="0"/>
              <w:pageBreakBefore w:val="0"/>
              <w:spacing w:after="0" w:line="560" w:lineRule="exact"/>
              <w:rPr>
                <w:rFonts w:hint="eastAsia" w:ascii="仿宋" w:hAnsi="仿宋" w:eastAsia="仿宋" w:cs="仿宋"/>
                <w:b w:val="0"/>
                <w:bCs/>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r>
            <w:r/>
          </w:p>
        </w:tc>
      </w:tr>
      <w:tr>
        <w:trPr>
          <w:trHeight w:val="279"/>
        </w:trPr>
        <w:tc>
          <w:tcPr>
            <w:tcW w:w="741"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highlight w:val="none"/>
              </w:rPr>
            </w:pPr>
            <w:r>
              <w:rPr>
                <w:rFonts w:hint="eastAsia" w:ascii="方正仿宋_GB2312" w:hAnsi="方正仿宋_GB2312" w:eastAsia="方正仿宋_GB2312" w:cs="方正仿宋_GB2312"/>
                <w:color w:val="auto"/>
                <w:sz w:val="32"/>
                <w:szCs w:val="32"/>
                <w:highlight w:val="none"/>
              </w:rPr>
            </w:r>
            <w:r/>
          </w:p>
        </w:tc>
        <w:tc>
          <w:tcPr>
            <w:tcW w:w="1400"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highlight w:val="none"/>
              </w:rPr>
            </w:pPr>
            <w:r>
              <w:rPr>
                <w:rFonts w:hint="eastAsia" w:ascii="方正仿宋_GB2312" w:hAnsi="方正仿宋_GB2312" w:eastAsia="方正仿宋_GB2312" w:cs="方正仿宋_GB2312"/>
                <w:color w:val="auto"/>
                <w:sz w:val="32"/>
                <w:szCs w:val="32"/>
                <w:highlight w:val="none"/>
              </w:rPr>
            </w:r>
            <w:r/>
          </w:p>
        </w:tc>
        <w:tc>
          <w:tcPr>
            <w:tcW w:w="1400"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highlight w:val="none"/>
              </w:rPr>
            </w:pPr>
            <w:r>
              <w:rPr>
                <w:rFonts w:hint="eastAsia" w:ascii="方正仿宋_GB2312" w:hAnsi="方正仿宋_GB2312" w:eastAsia="方正仿宋_GB2312" w:cs="方正仿宋_GB2312"/>
                <w:color w:val="auto"/>
                <w:sz w:val="32"/>
                <w:szCs w:val="32"/>
                <w:highlight w:val="none"/>
              </w:rPr>
            </w:r>
            <w:r/>
          </w:p>
        </w:tc>
        <w:tc>
          <w:tcPr>
            <w:tcW w:w="1480"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highlight w:val="none"/>
              </w:rPr>
            </w:pPr>
            <w:r>
              <w:rPr>
                <w:rFonts w:hint="eastAsia" w:ascii="方正仿宋_GB2312" w:hAnsi="方正仿宋_GB2312" w:eastAsia="方正仿宋_GB2312" w:cs="方正仿宋_GB2312"/>
                <w:color w:val="auto"/>
                <w:sz w:val="32"/>
                <w:szCs w:val="32"/>
                <w:highlight w:val="none"/>
              </w:rPr>
            </w:r>
            <w:r/>
          </w:p>
        </w:tc>
        <w:tc>
          <w:tcPr>
            <w:tcW w:w="2440"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highlight w:val="none"/>
                <w:vertAlign w:val="baseline"/>
              </w:rPr>
            </w:pPr>
            <w:r>
              <w:rPr>
                <w:rFonts w:hint="eastAsia" w:ascii="方正仿宋_GB2312" w:hAnsi="方正仿宋_GB2312" w:eastAsia="方正仿宋_GB2312" w:cs="方正仿宋_GB2312"/>
                <w:b w:val="0"/>
                <w:bCs/>
                <w:color w:val="auto"/>
                <w:sz w:val="32"/>
                <w:szCs w:val="32"/>
                <w:highlight w:val="none"/>
                <w:vertAlign w:val="baseline"/>
              </w:rPr>
            </w:r>
            <w:r/>
          </w:p>
        </w:tc>
        <w:tc>
          <w:tcPr>
            <w:tcW w:w="1840"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highlight w:val="none"/>
                <w:vertAlign w:val="baseline"/>
              </w:rPr>
            </w:pPr>
            <w:r>
              <w:rPr>
                <w:rFonts w:hint="eastAsia" w:ascii="方正仿宋_GB2312" w:hAnsi="方正仿宋_GB2312" w:eastAsia="方正仿宋_GB2312" w:cs="方正仿宋_GB2312"/>
                <w:b w:val="0"/>
                <w:bCs/>
                <w:color w:val="auto"/>
                <w:sz w:val="32"/>
                <w:szCs w:val="32"/>
                <w:highlight w:val="none"/>
                <w:vertAlign w:val="baseline"/>
              </w:rPr>
            </w:r>
            <w:r/>
          </w:p>
        </w:tc>
      </w:tr>
    </w:tbl>
    <w:p>
      <w:pPr>
        <w:ind w:right="0"/>
        <w:jc w:val="left"/>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highlight w:val="none"/>
        </w:rPr>
        <w:t xml:space="preserve">投标人</w:t>
      </w:r>
      <w:r>
        <w:rPr>
          <w:rFonts w:hint="eastAsia" w:ascii="方正仿宋_GB2312" w:hAnsi="方正仿宋_GB2312" w:eastAsia="方正仿宋_GB2312" w:cs="方正仿宋_GB2312"/>
          <w:color w:val="auto"/>
          <w:sz w:val="32"/>
          <w:szCs w:val="32"/>
          <w:highlight w:val="none"/>
          <w:lang w:eastAsia="zh-CN"/>
        </w:rPr>
        <w:t xml:space="preserve">：</w:t>
      </w:r>
      <w:r>
        <w:rPr>
          <w:rFonts w:hint="eastAsia" w:ascii="方正仿宋_GB2312" w:hAnsi="方正仿宋_GB2312" w:eastAsia="方正仿宋_GB2312" w:cs="方正仿宋_GB2312"/>
          <w:color w:val="auto"/>
          <w:sz w:val="32"/>
          <w:szCs w:val="32"/>
          <w:highlight w:val="none"/>
        </w:rPr>
        <w:t xml:space="preserve">（电子签章）</w:t>
      </w:r>
      <w:r/>
    </w:p>
    <w:p>
      <w:pPr>
        <w:ind w:right="0"/>
        <w:jc w:val="left"/>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highlight w:val="none"/>
        </w:rPr>
        <w:t xml:space="preserve">法定代表人或其委托受托人（签字或签章）</w:t>
      </w:r>
      <w:r>
        <w:rPr>
          <w:rFonts w:hint="eastAsia" w:ascii="方正仿宋_GB2312" w:hAnsi="方正仿宋_GB2312" w:eastAsia="方正仿宋_GB2312" w:cs="方正仿宋_GB2312"/>
          <w:color w:val="auto"/>
          <w:sz w:val="32"/>
          <w:szCs w:val="32"/>
          <w:highlight w:val="none"/>
          <w:lang w:eastAsia="zh-CN"/>
        </w:rPr>
        <w:t xml:space="preserve">：</w:t>
      </w:r>
      <w:r/>
    </w:p>
    <w:p>
      <w:pPr>
        <w:ind w:right="0"/>
        <w:jc w:val="both"/>
        <w:keepLines w:val="0"/>
        <w:keepNext w:val="0"/>
        <w:pageBreakBefore w:val="0"/>
        <w:spacing w:line="560" w:lineRule="exact"/>
        <w:rPr>
          <w:rFonts w:hint="eastAsia" w:ascii="方正仿宋_GB2312" w:hAnsi="方正仿宋_GB2312" w:eastAsia="方正仿宋_GB2312" w:cs="方正仿宋_GB2312"/>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highlight w:val="none"/>
          <w:lang w:val="en-US" w:eastAsia="zh-CN"/>
        </w:rPr>
        <w:t xml:space="preserve">日期：    </w:t>
      </w:r>
      <w:r>
        <w:rPr>
          <w:rFonts w:hint="eastAsia" w:ascii="方正仿宋_GB2312" w:hAnsi="方正仿宋_GB2312" w:eastAsia="方正仿宋_GB2312" w:cs="方正仿宋_GB2312"/>
          <w:color w:val="auto"/>
          <w:sz w:val="32"/>
          <w:szCs w:val="32"/>
          <w:highlight w:val="none"/>
        </w:rPr>
        <w:t xml:space="preserve"> 年</w:t>
      </w:r>
      <w:r>
        <w:rPr>
          <w:rFonts w:hint="eastAsia" w:ascii="方正仿宋_GB2312" w:hAnsi="方正仿宋_GB2312" w:eastAsia="方正仿宋_GB2312" w:cs="方正仿宋_GB2312"/>
          <w:color w:val="auto"/>
          <w:sz w:val="32"/>
          <w:szCs w:val="32"/>
          <w:highlight w:val="none"/>
          <w:lang w:val="en-US" w:eastAsia="zh-CN"/>
        </w:rPr>
        <w:t xml:space="preserve">   </w:t>
      </w:r>
      <w:r>
        <w:rPr>
          <w:rFonts w:hint="eastAsia" w:ascii="方正仿宋_GB2312" w:hAnsi="方正仿宋_GB2312" w:eastAsia="方正仿宋_GB2312" w:cs="方正仿宋_GB2312"/>
          <w:color w:val="auto"/>
          <w:sz w:val="32"/>
          <w:szCs w:val="32"/>
          <w:highlight w:val="none"/>
        </w:rPr>
        <w:t xml:space="preserve"> 月 </w:t>
      </w:r>
      <w:r>
        <w:rPr>
          <w:rFonts w:hint="eastAsia" w:ascii="方正仿宋_GB2312" w:hAnsi="方正仿宋_GB2312" w:eastAsia="方正仿宋_GB2312" w:cs="方正仿宋_GB2312"/>
          <w:color w:val="auto"/>
          <w:sz w:val="32"/>
          <w:szCs w:val="32"/>
          <w:highlight w:val="none"/>
          <w:lang w:val="en-US" w:eastAsia="zh-CN"/>
        </w:rPr>
        <w:t xml:space="preserve">   </w:t>
      </w:r>
      <w:r>
        <w:rPr>
          <w:rFonts w:hint="eastAsia" w:ascii="方正仿宋_GB2312" w:hAnsi="方正仿宋_GB2312" w:eastAsia="方正仿宋_GB2312" w:cs="方正仿宋_GB2312"/>
          <w:color w:val="auto"/>
          <w:sz w:val="32"/>
          <w:szCs w:val="32"/>
          <w:highlight w:val="none"/>
        </w:rPr>
        <w:t xml:space="preserve">日</w:t>
      </w:r>
      <w:r/>
    </w:p>
    <w:p>
      <w:pPr>
        <w:pStyle w:val="972"/>
        <w:numPr>
          <w:ilvl w:val="0"/>
          <w:numId w:val="0"/>
        </w:numPr>
        <w:keepLines w:val="0"/>
        <w:keepNext w:val="0"/>
        <w:pageBreakBefore w:val="0"/>
        <w:spacing w:before="0" w:after="0" w:line="560" w:lineRule="exact"/>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r>
      <w:r/>
    </w:p>
    <w:p>
      <w:p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rPr>
      </w:pPr>
      <w:r>
        <w:rPr>
          <w:rFonts w:hint="eastAsia" w:ascii="方正仿宋_GB2312" w:hAnsi="方正仿宋_GB2312" w:eastAsia="方正仿宋_GB2312" w:cs="方正仿宋_GB2312"/>
          <w:color w:val="auto"/>
          <w:sz w:val="32"/>
          <w:szCs w:val="32"/>
          <w:highlight w:val="none"/>
        </w:rPr>
        <w:t xml:space="preserve">填表说明：</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rPr>
      </w:pPr>
      <w:r>
        <w:rPr>
          <w:rFonts w:hint="eastAsia" w:ascii="方正仿宋_GB2312" w:hAnsi="方正仿宋_GB2312" w:eastAsia="方正仿宋_GB2312" w:cs="方正仿宋_GB2312"/>
          <w:color w:val="auto"/>
          <w:sz w:val="32"/>
          <w:szCs w:val="32"/>
          <w:highlight w:val="none"/>
        </w:rPr>
        <w:t xml:space="preserve">1、按登高车、货车、汽车等顺序分类填入；</w:t>
      </w:r>
      <w:r/>
    </w:p>
    <w:p>
      <w:pPr>
        <w:keepLines w:val="0"/>
        <w:keepNext w:val="0"/>
        <w:pageBreakBefore w:val="0"/>
        <w:spacing w:line="560" w:lineRule="exact"/>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color w:val="auto"/>
          <w:sz w:val="32"/>
          <w:szCs w:val="32"/>
          <w:highlight w:val="none"/>
        </w:rPr>
        <w:t xml:space="preserve">2、每一车辆填写一行，该车辆在第 5 列按上半行“发动机号”、下半行“车架号”填入。</w:t>
      </w:r>
      <w:r/>
    </w:p>
    <w:p>
      <w:pPr>
        <w:pStyle w:val="972"/>
        <w:numPr>
          <w:ilvl w:val="0"/>
          <w:numId w:val="0"/>
        </w:numPr>
        <w:jc w:val="both"/>
        <w:keepLines w:val="0"/>
        <w:keepNext w:val="0"/>
        <w:pageBreakBefore w:val="0"/>
        <w:spacing w:before="0" w:after="0" w:line="560" w:lineRule="exact"/>
        <w:rPr>
          <w:rFonts w:hint="eastAsia" w:ascii="方正楷体_GB2312" w:hAnsi="方正楷体_GB2312" w:eastAsia="方正楷体_GB2312" w:cs="方正楷体_GB2312"/>
          <w:b/>
          <w:i w:val="0"/>
          <w:iCs/>
          <w:color w:val="auto"/>
          <w:sz w:val="32"/>
          <w:szCs w:val="32"/>
          <w:highlight w:val="none"/>
          <w:u w:val="none"/>
          <w:lang w:val="en-US" w:eastAsia="zh-CN" w:bidi="ar-SA"/>
        </w:rPr>
      </w:pPr>
      <w:r>
        <w:rPr>
          <w:rFonts w:hint="eastAsia" w:ascii="方正楷体_GB2312" w:hAnsi="方正楷体_GB2312" w:eastAsia="方正楷体_GB2312" w:cs="方正楷体_GB2312"/>
          <w:b/>
          <w:i w:val="0"/>
          <w:iCs/>
          <w:color w:val="auto"/>
          <w:sz w:val="32"/>
          <w:szCs w:val="32"/>
          <w:highlight w:val="none"/>
          <w:u w:val="none"/>
          <w:lang w:val="en-US" w:eastAsia="zh-CN" w:bidi="ar-SA"/>
        </w:rPr>
      </w:r>
      <w:r/>
    </w:p>
    <w:p>
      <w:pPr>
        <w:pStyle w:val="972"/>
        <w:numPr>
          <w:ilvl w:val="0"/>
          <w:numId w:val="0"/>
        </w:numPr>
        <w:jc w:val="both"/>
        <w:keepLines w:val="0"/>
        <w:keepNext w:val="0"/>
        <w:pageBreakBefore w:val="0"/>
        <w:spacing w:before="0" w:after="0" w:line="560" w:lineRule="exact"/>
        <w:rPr>
          <w:rFonts w:hint="eastAsia" w:ascii="方正楷体_GB2312" w:hAnsi="方正楷体_GB2312" w:eastAsia="方正楷体_GB2312" w:cs="方正楷体_GB2312"/>
          <w:b/>
          <w:i w:val="0"/>
          <w:iCs/>
          <w:color w:val="auto"/>
          <w:sz w:val="32"/>
          <w:szCs w:val="32"/>
          <w:highlight w:val="none"/>
          <w:u w:val="none"/>
          <w:lang w:val="en-US" w:eastAsia="zh-CN" w:bidi="ar-SA"/>
        </w:rPr>
      </w:pPr>
      <w:r>
        <w:rPr>
          <w:rFonts w:hint="eastAsia" w:ascii="方正楷体_GB2312" w:hAnsi="方正楷体_GB2312" w:eastAsia="方正楷体_GB2312" w:cs="方正楷体_GB2312"/>
          <w:b/>
          <w:i w:val="0"/>
          <w:iCs/>
          <w:color w:val="auto"/>
          <w:sz w:val="32"/>
          <w:szCs w:val="32"/>
          <w:highlight w:val="none"/>
          <w:u w:val="none"/>
          <w:lang w:val="en-US" w:eastAsia="zh-CN" w:bidi="ar-SA"/>
        </w:rPr>
      </w:r>
      <w:r/>
    </w:p>
    <w:p>
      <w:pPr>
        <w:pStyle w:val="972"/>
        <w:numPr>
          <w:ilvl w:val="0"/>
          <w:numId w:val="0"/>
        </w:numPr>
        <w:jc w:val="center"/>
        <w:keepLines w:val="0"/>
        <w:keepNext w:val="0"/>
        <w:pageBreakBefore w:val="0"/>
        <w:spacing w:before="0" w:after="0" w:line="560" w:lineRule="exact"/>
        <w:rPr>
          <w:rFonts w:hint="eastAsia" w:ascii="仿宋" w:hAnsi="仿宋" w:eastAsia="仿宋" w:cs="Times New Roman"/>
          <w:b/>
          <w:color w:val="auto"/>
          <w:sz w:val="32"/>
          <w:szCs w:val="32"/>
          <w:highlight w:val="none"/>
          <w:lang w:val="en-US" w:eastAsia="zh-CN" w:bidi="ar-SA"/>
        </w:rPr>
      </w:pPr>
      <w:r>
        <w:rPr>
          <w:rFonts w:hint="eastAsia" w:ascii="仿宋" w:hAnsi="仿宋" w:eastAsia="仿宋" w:cs="Times New Roman"/>
          <w:b/>
          <w:color w:val="auto"/>
          <w:sz w:val="32"/>
          <w:szCs w:val="32"/>
          <w:highlight w:val="none"/>
          <w:lang w:val="en-US" w:eastAsia="zh-CN" w:bidi="ar-SA"/>
        </w:rPr>
        <w:t xml:space="preserve">五、主要施工机械设备表</w:t>
      </w:r>
      <w:r/>
    </w:p>
    <w:tbl>
      <w:tblPr>
        <w:tblStyle w:val="7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0"/>
        <w:gridCol w:w="1373"/>
        <w:gridCol w:w="989"/>
        <w:gridCol w:w="989"/>
        <w:gridCol w:w="989"/>
        <w:gridCol w:w="989"/>
        <w:gridCol w:w="989"/>
        <w:gridCol w:w="989"/>
        <w:gridCol w:w="990"/>
      </w:tblGrid>
      <w:tr>
        <w:trPr/>
        <w:tc>
          <w:tcPr>
            <w:tcW w:w="612"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序号</w:t>
            </w:r>
            <w:r/>
          </w:p>
        </w:tc>
        <w:tc>
          <w:tcPr>
            <w:tcW w:w="1424"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机械或设备名称</w:t>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型号规格</w:t>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数量</w:t>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产地</w:t>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制造年份</w:t>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额定功率KW</w:t>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生产能力</w:t>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备注</w:t>
            </w:r>
            <w:r/>
          </w:p>
        </w:tc>
      </w:tr>
      <w:tr>
        <w:trPr/>
        <w:tc>
          <w:tcPr>
            <w:tcW w:w="612"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1</w:t>
            </w:r>
            <w:r/>
          </w:p>
        </w:tc>
        <w:tc>
          <w:tcPr>
            <w:tcW w:w="1424"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打药车</w:t>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c>
          <w:tcPr>
            <w:tcW w:w="612"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1.1</w:t>
            </w:r>
            <w:r/>
          </w:p>
        </w:tc>
        <w:tc>
          <w:tcPr>
            <w:tcW w:w="1424"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c>
          <w:tcPr>
            <w:tcW w:w="612"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1.2</w:t>
            </w:r>
            <w:r/>
          </w:p>
        </w:tc>
        <w:tc>
          <w:tcPr>
            <w:tcW w:w="1424"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c>
          <w:tcPr>
            <w:tcW w:w="612"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1.3</w:t>
            </w:r>
            <w:r/>
          </w:p>
        </w:tc>
        <w:tc>
          <w:tcPr>
            <w:tcW w:w="1424"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c>
          <w:tcPr>
            <w:tcW w:w="612"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1.4</w:t>
            </w:r>
            <w:r/>
          </w:p>
        </w:tc>
        <w:tc>
          <w:tcPr>
            <w:tcW w:w="1424"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c>
          <w:tcPr>
            <w:tcW w:w="612"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2</w:t>
            </w:r>
            <w:r/>
          </w:p>
        </w:tc>
        <w:tc>
          <w:tcPr>
            <w:tcW w:w="1424"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割灌机</w:t>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c>
          <w:tcPr>
            <w:tcW w:w="612"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2.1</w:t>
            </w:r>
            <w:r/>
          </w:p>
        </w:tc>
        <w:tc>
          <w:tcPr>
            <w:tcW w:w="1424"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c>
          <w:tcPr>
            <w:tcW w:w="612"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2.2</w:t>
            </w:r>
            <w:r/>
          </w:p>
        </w:tc>
        <w:tc>
          <w:tcPr>
            <w:tcW w:w="1424"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c>
          <w:tcPr>
            <w:tcW w:w="612"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2.3</w:t>
            </w:r>
            <w:r/>
          </w:p>
        </w:tc>
        <w:tc>
          <w:tcPr>
            <w:tcW w:w="1424"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c>
          <w:tcPr>
            <w:tcW w:w="612"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2.4</w:t>
            </w:r>
            <w:r/>
          </w:p>
        </w:tc>
        <w:tc>
          <w:tcPr>
            <w:tcW w:w="1424"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c>
          <w:tcPr>
            <w:tcW w:w="612"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3</w:t>
            </w:r>
            <w:r/>
          </w:p>
        </w:tc>
        <w:tc>
          <w:tcPr>
            <w:tcW w:w="1424"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草坪机</w:t>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c>
          <w:tcPr>
            <w:tcW w:w="612"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3.1</w:t>
            </w:r>
            <w:r/>
          </w:p>
        </w:tc>
        <w:tc>
          <w:tcPr>
            <w:tcW w:w="1424"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c>
          <w:tcPr>
            <w:tcW w:w="612"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3.2</w:t>
            </w:r>
            <w:r/>
          </w:p>
        </w:tc>
        <w:tc>
          <w:tcPr>
            <w:tcW w:w="1424"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c>
          <w:tcPr>
            <w:tcW w:w="612"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3.2</w:t>
            </w:r>
            <w:r/>
          </w:p>
        </w:tc>
        <w:tc>
          <w:tcPr>
            <w:tcW w:w="1424"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c>
          <w:tcPr>
            <w:tcW w:w="612"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3.4</w:t>
            </w:r>
            <w:r/>
          </w:p>
        </w:tc>
        <w:tc>
          <w:tcPr>
            <w:tcW w:w="1424"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c>
          <w:tcPr>
            <w:tcW w:w="612"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4</w:t>
            </w:r>
            <w:r/>
          </w:p>
        </w:tc>
        <w:tc>
          <w:tcPr>
            <w:tcW w:w="1424"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绿篱机</w:t>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c>
          <w:tcPr>
            <w:tcW w:w="612"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4.1</w:t>
            </w:r>
            <w:r/>
          </w:p>
        </w:tc>
        <w:tc>
          <w:tcPr>
            <w:tcW w:w="1424"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c>
          <w:tcPr>
            <w:tcW w:w="612"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4.2</w:t>
            </w:r>
            <w:r/>
          </w:p>
        </w:tc>
        <w:tc>
          <w:tcPr>
            <w:tcW w:w="1424"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c>
          <w:tcPr>
            <w:tcW w:w="612"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4.3</w:t>
            </w:r>
            <w:r/>
          </w:p>
        </w:tc>
        <w:tc>
          <w:tcPr>
            <w:tcW w:w="1424"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c>
          <w:tcPr>
            <w:tcW w:w="612"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4.4</w:t>
            </w:r>
            <w:r/>
          </w:p>
        </w:tc>
        <w:tc>
          <w:tcPr>
            <w:tcW w:w="1424"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c>
          <w:tcPr>
            <w:tcW w:w="612"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1424"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c>
          <w:tcPr>
            <w:tcW w:w="612"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1424"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019" w:type="dxa"/>
            <w:textDirection w:val="lrTb"/>
            <w:noWrap w:val="false"/>
          </w:tcPr>
          <w:p>
            <w:pPr>
              <w:keepLines w:val="0"/>
              <w:keepNext w:val="0"/>
              <w:pageBreakBefore w:val="0"/>
              <w:spacing w:after="0" w:line="56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bl>
    <w:p>
      <w:pPr>
        <w:ind w:right="0"/>
        <w:jc w:val="left"/>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highlight w:val="none"/>
        </w:rPr>
      </w:r>
      <w:r/>
    </w:p>
    <w:p>
      <w:pPr>
        <w:ind w:right="0"/>
        <w:jc w:val="left"/>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highlight w:val="none"/>
        </w:rPr>
        <w:t xml:space="preserve">投标人</w:t>
      </w:r>
      <w:r>
        <w:rPr>
          <w:rFonts w:hint="eastAsia" w:ascii="方正仿宋_GB2312" w:hAnsi="方正仿宋_GB2312" w:eastAsia="方正仿宋_GB2312" w:cs="方正仿宋_GB2312"/>
          <w:color w:val="auto"/>
          <w:sz w:val="32"/>
          <w:szCs w:val="32"/>
          <w:highlight w:val="none"/>
          <w:lang w:eastAsia="zh-CN"/>
        </w:rPr>
        <w:t xml:space="preserve">：</w:t>
      </w:r>
      <w:r>
        <w:rPr>
          <w:rFonts w:hint="eastAsia" w:ascii="方正仿宋_GB2312" w:hAnsi="方正仿宋_GB2312" w:eastAsia="方正仿宋_GB2312" w:cs="方正仿宋_GB2312"/>
          <w:color w:val="auto"/>
          <w:sz w:val="32"/>
          <w:szCs w:val="32"/>
          <w:highlight w:val="none"/>
        </w:rPr>
        <w:t xml:space="preserve">（电子签章）</w:t>
      </w:r>
      <w:r/>
    </w:p>
    <w:p>
      <w:pPr>
        <w:ind w:right="0"/>
        <w:jc w:val="left"/>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highlight w:val="none"/>
        </w:rPr>
        <w:t xml:space="preserve">法定代表人或其委托受托人（签字或签章）</w:t>
      </w:r>
      <w:r>
        <w:rPr>
          <w:rFonts w:hint="eastAsia" w:ascii="方正仿宋_GB2312" w:hAnsi="方正仿宋_GB2312" w:eastAsia="方正仿宋_GB2312" w:cs="方正仿宋_GB2312"/>
          <w:color w:val="auto"/>
          <w:sz w:val="32"/>
          <w:szCs w:val="32"/>
          <w:highlight w:val="none"/>
          <w:lang w:eastAsia="zh-CN"/>
        </w:rPr>
        <w:t xml:space="preserve">：</w:t>
      </w:r>
      <w:r/>
    </w:p>
    <w:p>
      <w:pPr>
        <w:ind w:right="0"/>
        <w:jc w:val="both"/>
        <w:keepLines w:val="0"/>
        <w:keepNext w:val="0"/>
        <w:pageBreakBefore w:val="0"/>
        <w:spacing w:line="560" w:lineRule="exact"/>
        <w:rPr>
          <w:rFonts w:hint="eastAsia" w:ascii="方正仿宋_GB2312" w:hAnsi="方正仿宋_GB2312" w:eastAsia="方正仿宋_GB2312" w:cs="方正仿宋_GB2312"/>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highlight w:val="none"/>
          <w:lang w:val="en-US" w:eastAsia="zh-CN"/>
        </w:rPr>
        <w:t xml:space="preserve">日期：    </w:t>
      </w:r>
      <w:r>
        <w:rPr>
          <w:rFonts w:hint="eastAsia" w:ascii="方正仿宋_GB2312" w:hAnsi="方正仿宋_GB2312" w:eastAsia="方正仿宋_GB2312" w:cs="方正仿宋_GB2312"/>
          <w:color w:val="auto"/>
          <w:sz w:val="32"/>
          <w:szCs w:val="32"/>
          <w:highlight w:val="none"/>
        </w:rPr>
        <w:t xml:space="preserve"> 年</w:t>
      </w:r>
      <w:r>
        <w:rPr>
          <w:rFonts w:hint="eastAsia" w:ascii="方正仿宋_GB2312" w:hAnsi="方正仿宋_GB2312" w:eastAsia="方正仿宋_GB2312" w:cs="方正仿宋_GB2312"/>
          <w:color w:val="auto"/>
          <w:sz w:val="32"/>
          <w:szCs w:val="32"/>
          <w:highlight w:val="none"/>
          <w:lang w:val="en-US" w:eastAsia="zh-CN"/>
        </w:rPr>
        <w:t xml:space="preserve">   </w:t>
      </w:r>
      <w:r>
        <w:rPr>
          <w:rFonts w:hint="eastAsia" w:ascii="方正仿宋_GB2312" w:hAnsi="方正仿宋_GB2312" w:eastAsia="方正仿宋_GB2312" w:cs="方正仿宋_GB2312"/>
          <w:color w:val="auto"/>
          <w:sz w:val="32"/>
          <w:szCs w:val="32"/>
          <w:highlight w:val="none"/>
        </w:rPr>
        <w:t xml:space="preserve"> 月 </w:t>
      </w:r>
      <w:r>
        <w:rPr>
          <w:rFonts w:hint="eastAsia" w:ascii="方正仿宋_GB2312" w:hAnsi="方正仿宋_GB2312" w:eastAsia="方正仿宋_GB2312" w:cs="方正仿宋_GB2312"/>
          <w:color w:val="auto"/>
          <w:sz w:val="32"/>
          <w:szCs w:val="32"/>
          <w:highlight w:val="none"/>
          <w:lang w:val="en-US" w:eastAsia="zh-CN"/>
        </w:rPr>
        <w:t xml:space="preserve">   </w:t>
      </w:r>
      <w:r>
        <w:rPr>
          <w:rFonts w:hint="eastAsia" w:ascii="方正仿宋_GB2312" w:hAnsi="方正仿宋_GB2312" w:eastAsia="方正仿宋_GB2312" w:cs="方正仿宋_GB2312"/>
          <w:color w:val="auto"/>
          <w:sz w:val="32"/>
          <w:szCs w:val="32"/>
          <w:highlight w:val="none"/>
        </w:rPr>
        <w:t xml:space="preserve">日</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rPr>
      </w:pPr>
      <w:r>
        <w:rPr>
          <w:rFonts w:hint="eastAsia" w:ascii="方正仿宋_GB2312" w:hAnsi="方正仿宋_GB2312" w:eastAsia="方正仿宋_GB2312" w:cs="方正仿宋_GB2312"/>
          <w:color w:val="auto"/>
          <w:sz w:val="32"/>
          <w:szCs w:val="32"/>
          <w:highlight w:val="none"/>
        </w:rPr>
      </w:r>
      <w:r/>
    </w:p>
    <w:p>
      <w:pPr>
        <w:ind w:left="0" w:right="0" w:firstLine="321"/>
        <w:jc w:val="center"/>
        <w:keepLines w:val="0"/>
        <w:keepNext w:val="0"/>
        <w:pageBreakBefore w:val="0"/>
        <w:spacing w:line="560" w:lineRule="exact"/>
        <w:rPr>
          <w:rFonts w:hint="eastAsia" w:ascii="方正仿宋_GB2312" w:hAnsi="方正仿宋_GB2312" w:eastAsia="方正仿宋_GB2312" w:cs="方正仿宋_GB2312"/>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2"/>
          <w:szCs w:val="32"/>
          <w:highlight w:val="none"/>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highlight w:val="none"/>
          <w:u w:val="none"/>
          <w:lang w:val="en-US" w:eastAsia="zh-CN" w:bidi="ar-SA"/>
        </w:rPr>
      </w:pPr>
      <w:r>
        <w:rPr>
          <w:rFonts w:hint="eastAsia" w:ascii="方正楷体_GB2312" w:hAnsi="方正楷体_GB2312" w:eastAsia="方正楷体_GB2312" w:cs="方正楷体_GB2312"/>
          <w:b/>
          <w:i w:val="0"/>
          <w:iCs/>
          <w:color w:val="auto"/>
          <w:sz w:val="32"/>
          <w:szCs w:val="32"/>
          <w:highlight w:val="none"/>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highlight w:val="none"/>
          <w:u w:val="none"/>
          <w:lang w:val="en-US" w:eastAsia="zh-CN" w:bidi="ar-SA"/>
        </w:rPr>
      </w:pPr>
      <w:r>
        <w:rPr>
          <w:rFonts w:hint="eastAsia" w:ascii="方正楷体_GB2312" w:hAnsi="方正楷体_GB2312" w:eastAsia="方正楷体_GB2312" w:cs="方正楷体_GB2312"/>
          <w:b/>
          <w:i w:val="0"/>
          <w:iCs/>
          <w:color w:val="auto"/>
          <w:sz w:val="32"/>
          <w:szCs w:val="32"/>
          <w:highlight w:val="none"/>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highlight w:val="none"/>
          <w:u w:val="none"/>
          <w:lang w:val="en-US" w:eastAsia="zh-CN" w:bidi="ar-SA"/>
        </w:rPr>
      </w:pPr>
      <w:r>
        <w:rPr>
          <w:rFonts w:hint="eastAsia" w:ascii="方正楷体_GB2312" w:hAnsi="方正楷体_GB2312" w:eastAsia="方正楷体_GB2312" w:cs="方正楷体_GB2312"/>
          <w:b/>
          <w:i w:val="0"/>
          <w:iCs/>
          <w:color w:val="auto"/>
          <w:sz w:val="32"/>
          <w:szCs w:val="32"/>
          <w:highlight w:val="none"/>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highlight w:val="none"/>
          <w:u w:val="none"/>
          <w:lang w:val="en-US" w:eastAsia="zh-CN" w:bidi="ar-SA"/>
        </w:rPr>
      </w:pPr>
      <w:r>
        <w:rPr>
          <w:rFonts w:hint="eastAsia" w:ascii="方正楷体_GB2312" w:hAnsi="方正楷体_GB2312" w:eastAsia="方正楷体_GB2312" w:cs="方正楷体_GB2312"/>
          <w:b/>
          <w:i w:val="0"/>
          <w:iCs/>
          <w:color w:val="auto"/>
          <w:sz w:val="32"/>
          <w:szCs w:val="32"/>
          <w:highlight w:val="none"/>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highlight w:val="none"/>
          <w:u w:val="none"/>
          <w:lang w:val="en-US" w:eastAsia="zh-CN" w:bidi="ar-SA"/>
        </w:rPr>
      </w:pPr>
      <w:r>
        <w:rPr>
          <w:rFonts w:hint="eastAsia" w:ascii="方正楷体_GB2312" w:hAnsi="方正楷体_GB2312" w:eastAsia="方正楷体_GB2312" w:cs="方正楷体_GB2312"/>
          <w:b/>
          <w:i w:val="0"/>
          <w:iCs/>
          <w:color w:val="auto"/>
          <w:sz w:val="32"/>
          <w:szCs w:val="32"/>
          <w:highlight w:val="none"/>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highlight w:val="none"/>
          <w:u w:val="none"/>
          <w:lang w:val="en-US" w:eastAsia="zh-CN" w:bidi="ar-SA"/>
        </w:rPr>
      </w:pPr>
      <w:r>
        <w:rPr>
          <w:rFonts w:hint="eastAsia" w:ascii="方正楷体_GB2312" w:hAnsi="方正楷体_GB2312" w:eastAsia="方正楷体_GB2312" w:cs="方正楷体_GB2312"/>
          <w:b/>
          <w:i w:val="0"/>
          <w:iCs/>
          <w:color w:val="auto"/>
          <w:sz w:val="32"/>
          <w:szCs w:val="32"/>
          <w:highlight w:val="none"/>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highlight w:val="none"/>
          <w:u w:val="none"/>
          <w:lang w:val="en-US" w:eastAsia="zh-CN" w:bidi="ar-SA"/>
        </w:rPr>
      </w:pPr>
      <w:r>
        <w:rPr>
          <w:rFonts w:hint="eastAsia" w:ascii="方正楷体_GB2312" w:hAnsi="方正楷体_GB2312" w:eastAsia="方正楷体_GB2312" w:cs="方正楷体_GB2312"/>
          <w:b/>
          <w:i w:val="0"/>
          <w:iCs/>
          <w:color w:val="auto"/>
          <w:sz w:val="32"/>
          <w:szCs w:val="32"/>
          <w:highlight w:val="none"/>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highlight w:val="none"/>
          <w:u w:val="none"/>
          <w:lang w:val="en-US" w:eastAsia="zh-CN" w:bidi="ar-SA"/>
        </w:rPr>
      </w:pPr>
      <w:r>
        <w:rPr>
          <w:rFonts w:hint="eastAsia" w:ascii="方正楷体_GB2312" w:hAnsi="方正楷体_GB2312" w:eastAsia="方正楷体_GB2312" w:cs="方正楷体_GB2312"/>
          <w:b/>
          <w:i w:val="0"/>
          <w:iCs/>
          <w:color w:val="auto"/>
          <w:sz w:val="32"/>
          <w:szCs w:val="32"/>
          <w:highlight w:val="none"/>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highlight w:val="none"/>
          <w:u w:val="none"/>
          <w:lang w:val="en-US" w:eastAsia="zh-CN" w:bidi="ar-SA"/>
        </w:rPr>
      </w:pPr>
      <w:r>
        <w:rPr>
          <w:rFonts w:hint="eastAsia" w:ascii="方正楷体_GB2312" w:hAnsi="方正楷体_GB2312" w:eastAsia="方正楷体_GB2312" w:cs="方正楷体_GB2312"/>
          <w:b/>
          <w:i w:val="0"/>
          <w:iCs/>
          <w:color w:val="auto"/>
          <w:sz w:val="32"/>
          <w:szCs w:val="32"/>
          <w:highlight w:val="none"/>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highlight w:val="none"/>
          <w:u w:val="none"/>
          <w:lang w:val="en-US" w:eastAsia="zh-CN" w:bidi="ar-SA"/>
        </w:rPr>
      </w:pPr>
      <w:r>
        <w:rPr>
          <w:rFonts w:hint="eastAsia" w:ascii="方正楷体_GB2312" w:hAnsi="方正楷体_GB2312" w:eastAsia="方正楷体_GB2312" w:cs="方正楷体_GB2312"/>
          <w:b/>
          <w:i w:val="0"/>
          <w:iCs/>
          <w:color w:val="auto"/>
          <w:sz w:val="32"/>
          <w:szCs w:val="32"/>
          <w:highlight w:val="none"/>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highlight w:val="none"/>
          <w:u w:val="none"/>
          <w:lang w:val="en-US" w:eastAsia="zh-CN" w:bidi="ar-SA"/>
        </w:rPr>
      </w:pPr>
      <w:r>
        <w:rPr>
          <w:rFonts w:hint="eastAsia" w:ascii="方正楷体_GB2312" w:hAnsi="方正楷体_GB2312" w:eastAsia="方正楷体_GB2312" w:cs="方正楷体_GB2312"/>
          <w:b/>
          <w:i w:val="0"/>
          <w:iCs/>
          <w:color w:val="auto"/>
          <w:sz w:val="32"/>
          <w:szCs w:val="32"/>
          <w:highlight w:val="none"/>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highlight w:val="none"/>
          <w:u w:val="none"/>
          <w:lang w:val="en-US" w:eastAsia="zh-CN" w:bidi="ar-SA"/>
        </w:rPr>
      </w:pPr>
      <w:r>
        <w:rPr>
          <w:rFonts w:hint="eastAsia" w:ascii="方正楷体_GB2312" w:hAnsi="方正楷体_GB2312" w:eastAsia="方正楷体_GB2312" w:cs="方正楷体_GB2312"/>
          <w:b/>
          <w:i w:val="0"/>
          <w:iCs/>
          <w:color w:val="auto"/>
          <w:sz w:val="32"/>
          <w:szCs w:val="32"/>
          <w:highlight w:val="none"/>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highlight w:val="none"/>
          <w:u w:val="none"/>
          <w:lang w:val="en-US" w:eastAsia="zh-CN" w:bidi="ar-SA"/>
        </w:rPr>
      </w:pPr>
      <w:r>
        <w:rPr>
          <w:rFonts w:hint="eastAsia" w:ascii="方正楷体_GB2312" w:hAnsi="方正楷体_GB2312" w:eastAsia="方正楷体_GB2312" w:cs="方正楷体_GB2312"/>
          <w:b/>
          <w:i w:val="0"/>
          <w:iCs/>
          <w:color w:val="auto"/>
          <w:sz w:val="32"/>
          <w:szCs w:val="32"/>
          <w:highlight w:val="none"/>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highlight w:val="none"/>
          <w:u w:val="none"/>
          <w:lang w:val="en-US" w:eastAsia="zh-CN" w:bidi="ar-SA"/>
        </w:rPr>
      </w:pPr>
      <w:r>
        <w:rPr>
          <w:rFonts w:hint="eastAsia" w:ascii="方正楷体_GB2312" w:hAnsi="方正楷体_GB2312" w:eastAsia="方正楷体_GB2312" w:cs="方正楷体_GB2312"/>
          <w:b/>
          <w:i w:val="0"/>
          <w:iCs/>
          <w:color w:val="auto"/>
          <w:sz w:val="32"/>
          <w:szCs w:val="32"/>
          <w:highlight w:val="none"/>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highlight w:val="none"/>
          <w:u w:val="none"/>
          <w:lang w:val="en-US" w:eastAsia="zh-CN" w:bidi="ar-SA"/>
        </w:rPr>
      </w:pPr>
      <w:r>
        <w:rPr>
          <w:rFonts w:hint="eastAsia" w:ascii="方正楷体_GB2312" w:hAnsi="方正楷体_GB2312" w:eastAsia="方正楷体_GB2312" w:cs="方正楷体_GB2312"/>
          <w:b/>
          <w:i w:val="0"/>
          <w:iCs/>
          <w:color w:val="auto"/>
          <w:sz w:val="32"/>
          <w:szCs w:val="32"/>
          <w:highlight w:val="none"/>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highlight w:val="none"/>
          <w:u w:val="none"/>
          <w:lang w:val="en-US" w:eastAsia="zh-CN" w:bidi="ar-SA"/>
        </w:rPr>
      </w:pPr>
      <w:r>
        <w:rPr>
          <w:rFonts w:hint="eastAsia" w:ascii="方正楷体_GB2312" w:hAnsi="方正楷体_GB2312" w:eastAsia="方正楷体_GB2312" w:cs="方正楷体_GB2312"/>
          <w:b/>
          <w:i w:val="0"/>
          <w:iCs/>
          <w:color w:val="auto"/>
          <w:sz w:val="32"/>
          <w:szCs w:val="32"/>
          <w:highlight w:val="none"/>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highlight w:val="none"/>
          <w:u w:val="none"/>
          <w:lang w:val="en-US" w:eastAsia="zh-CN" w:bidi="ar-SA"/>
        </w:rPr>
      </w:pPr>
      <w:r>
        <w:rPr>
          <w:rFonts w:hint="eastAsia" w:ascii="方正楷体_GB2312" w:hAnsi="方正楷体_GB2312" w:eastAsia="方正楷体_GB2312" w:cs="方正楷体_GB2312"/>
          <w:b/>
          <w:i w:val="0"/>
          <w:iCs/>
          <w:color w:val="auto"/>
          <w:sz w:val="32"/>
          <w:szCs w:val="32"/>
          <w:highlight w:val="none"/>
          <w:u w:val="none"/>
          <w:lang w:val="en-US" w:eastAsia="zh-CN" w:bidi="ar-SA"/>
        </w:rPr>
      </w:r>
      <w:r/>
    </w:p>
    <w:p>
      <w:pPr>
        <w:jc w:val="center"/>
        <w:keepLines w:val="0"/>
        <w:keepNext w:val="0"/>
        <w:pageBreakBefore w:val="0"/>
        <w:spacing w:line="560" w:lineRule="exact"/>
        <w:rPr>
          <w:rFonts w:hint="eastAsia" w:ascii="方正仿宋_GB2312" w:hAnsi="方正仿宋_GB2312" w:eastAsia="方正仿宋_GB2312" w:cs="方正仿宋_GB2312"/>
          <w:b/>
          <w:bCs/>
          <w:color w:val="auto"/>
          <w:sz w:val="32"/>
          <w:szCs w:val="32"/>
          <w:highlight w:val="none"/>
        </w:rPr>
      </w:pPr>
      <w:r>
        <w:rPr>
          <w:rFonts w:hint="eastAsia" w:ascii="方正楷体_GB2312" w:hAnsi="方正楷体_GB2312" w:eastAsia="方正楷体_GB2312" w:cs="方正楷体_GB2312"/>
          <w:b/>
          <w:i w:val="0"/>
          <w:iCs/>
          <w:color w:val="auto"/>
          <w:sz w:val="32"/>
          <w:szCs w:val="32"/>
          <w:highlight w:val="none"/>
          <w:u w:val="none"/>
          <w:lang w:val="en-US" w:eastAsia="zh-CN" w:bidi="ar-SA"/>
        </w:rPr>
        <w:t xml:space="preserve">六、拟投入项目组人员一览表</w:t>
      </w:r>
      <w:r/>
    </w:p>
    <w:tbl>
      <w:tblPr>
        <w:tblStyle w:val="68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106"/>
        <w:gridCol w:w="1439"/>
        <w:gridCol w:w="1496"/>
        <w:gridCol w:w="1827"/>
        <w:gridCol w:w="2288"/>
      </w:tblGrid>
      <w:tr>
        <w:trPr>
          <w:jc w:val="center"/>
          <w:trHeight w:val="534"/>
        </w:trPr>
        <w:tc>
          <w:tcPr>
            <w:tcW w:w="418" w:type="pct"/>
            <w:vAlign w:val="center"/>
            <w:textDirection w:val="lrTb"/>
            <w:noWrap w:val="false"/>
          </w:tcPr>
          <w:p>
            <w:pPr>
              <w:jc w:val="cente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序号</w:t>
            </w:r>
            <w:r/>
          </w:p>
        </w:tc>
        <w:tc>
          <w:tcPr>
            <w:tcW w:w="621" w:type="pct"/>
            <w:vAlign w:val="center"/>
            <w:textDirection w:val="lrTb"/>
            <w:noWrap w:val="false"/>
          </w:tcPr>
          <w:p>
            <w:pPr>
              <w:jc w:val="cente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姓名</w:t>
            </w:r>
            <w:r/>
          </w:p>
        </w:tc>
        <w:tc>
          <w:tcPr>
            <w:tcW w:w="808" w:type="pct"/>
            <w:vAlign w:val="center"/>
            <w:textDirection w:val="lrTb"/>
            <w:noWrap w:val="false"/>
          </w:tcPr>
          <w:p>
            <w:pPr>
              <w:jc w:val="cente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职务</w:t>
            </w:r>
            <w:r/>
          </w:p>
        </w:tc>
        <w:tc>
          <w:tcPr>
            <w:tcW w:w="840" w:type="pct"/>
            <w:vAlign w:val="center"/>
            <w:textDirection w:val="lrTb"/>
            <w:noWrap w:val="false"/>
          </w:tcPr>
          <w:p>
            <w:pPr>
              <w:jc w:val="cente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职称</w:t>
            </w:r>
            <w:r/>
          </w:p>
        </w:tc>
        <w:tc>
          <w:tcPr>
            <w:tcW w:w="1026" w:type="pct"/>
            <w:vAlign w:val="center"/>
            <w:textDirection w:val="lrTb"/>
            <w:noWrap w:val="false"/>
          </w:tcPr>
          <w:p>
            <w:pPr>
              <w:jc w:val="cente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证书</w:t>
            </w:r>
            <w:r>
              <w:rPr>
                <w:rFonts w:hint="eastAsia" w:ascii="方正仿宋_GB2312" w:hAnsi="方正仿宋_GB2312" w:eastAsia="方正仿宋_GB2312" w:cs="方正仿宋_GB2312"/>
                <w:color w:val="auto"/>
                <w:sz w:val="24"/>
                <w:szCs w:val="24"/>
                <w:highlight w:val="none"/>
                <w:lang w:val="en-US" w:eastAsia="zh-CN"/>
              </w:rPr>
              <w:t xml:space="preserve">编号</w:t>
            </w:r>
            <w:r/>
          </w:p>
        </w:tc>
        <w:tc>
          <w:tcPr>
            <w:tcW w:w="1284" w:type="pct"/>
            <w:vAlign w:val="center"/>
            <w:textDirection w:val="lrTb"/>
            <w:noWrap w:val="false"/>
          </w:tcPr>
          <w:p>
            <w:pPr>
              <w:jc w:val="left"/>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主要资历、经验及承担过的项目</w:t>
            </w:r>
            <w:r/>
          </w:p>
        </w:tc>
      </w:tr>
      <w:tr>
        <w:trPr>
          <w:jc w:val="center"/>
          <w:trHeight w:val="896"/>
        </w:trPr>
        <w:tc>
          <w:tcPr>
            <w:tcW w:w="418" w:type="pct"/>
            <w:vAlign w:val="top"/>
            <w:textDirection w:val="lrTb"/>
            <w:noWrap w:val="false"/>
          </w:tcPr>
          <w:p>
            <w:pPr>
              <w:jc w:val="cente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1</w:t>
            </w:r>
            <w:r/>
          </w:p>
        </w:tc>
        <w:tc>
          <w:tcPr>
            <w:tcW w:w="621"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08"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项目经理</w:t>
            </w:r>
            <w:r/>
          </w:p>
        </w:tc>
        <w:tc>
          <w:tcPr>
            <w:tcW w:w="840"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026"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84"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896"/>
        </w:trPr>
        <w:tc>
          <w:tcPr>
            <w:tcW w:w="418" w:type="pct"/>
            <w:vAlign w:val="top"/>
            <w:textDirection w:val="lrTb"/>
            <w:noWrap w:val="false"/>
          </w:tcPr>
          <w:p>
            <w:pPr>
              <w:jc w:val="cente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w:t>
            </w:r>
            <w:r/>
          </w:p>
        </w:tc>
        <w:tc>
          <w:tcPr>
            <w:tcW w:w="621"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08"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技术组人员</w:t>
            </w:r>
            <w:r/>
          </w:p>
        </w:tc>
        <w:tc>
          <w:tcPr>
            <w:tcW w:w="840"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026"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84"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896"/>
        </w:trPr>
        <w:tc>
          <w:tcPr>
            <w:tcW w:w="418" w:type="pct"/>
            <w:vAlign w:val="top"/>
            <w:textDirection w:val="lrTb"/>
            <w:noWrap w:val="false"/>
          </w:tcPr>
          <w:p>
            <w:pPr>
              <w:jc w:val="cente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w:t>
            </w:r>
            <w:r/>
          </w:p>
        </w:tc>
        <w:tc>
          <w:tcPr>
            <w:tcW w:w="621"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08"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技术组人员</w:t>
            </w:r>
            <w:r/>
          </w:p>
        </w:tc>
        <w:tc>
          <w:tcPr>
            <w:tcW w:w="840"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026"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84"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896"/>
        </w:trPr>
        <w:tc>
          <w:tcPr>
            <w:tcW w:w="418" w:type="pct"/>
            <w:vAlign w:val="top"/>
            <w:textDirection w:val="lrTb"/>
            <w:noWrap w:val="false"/>
          </w:tcPr>
          <w:p>
            <w:pPr>
              <w:jc w:val="cente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4</w:t>
            </w:r>
            <w:r/>
          </w:p>
        </w:tc>
        <w:tc>
          <w:tcPr>
            <w:tcW w:w="621"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08"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技术组人员</w:t>
            </w:r>
            <w:r/>
          </w:p>
        </w:tc>
        <w:tc>
          <w:tcPr>
            <w:tcW w:w="840"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026"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84"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896"/>
        </w:trPr>
        <w:tc>
          <w:tcPr>
            <w:tcW w:w="418" w:type="pct"/>
            <w:vAlign w:val="top"/>
            <w:textDirection w:val="lrTb"/>
            <w:noWrap w:val="false"/>
          </w:tcPr>
          <w:p>
            <w:pPr>
              <w:jc w:val="cente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5</w:t>
            </w:r>
            <w:r/>
          </w:p>
        </w:tc>
        <w:tc>
          <w:tcPr>
            <w:tcW w:w="621"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08"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安全员</w:t>
            </w:r>
            <w:r/>
          </w:p>
        </w:tc>
        <w:tc>
          <w:tcPr>
            <w:tcW w:w="840"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026"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84"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896"/>
        </w:trPr>
        <w:tc>
          <w:tcPr>
            <w:tcW w:w="418"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621"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08"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40"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026"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84"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896"/>
        </w:trPr>
        <w:tc>
          <w:tcPr>
            <w:tcW w:w="418"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621"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08"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40"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026"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84"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bl>
    <w:p>
      <w:pPr>
        <w:ind w:left="0" w:right="0" w:firstLine="321"/>
        <w:jc w:val="center"/>
        <w:keepLines w:val="0"/>
        <w:keepNext w:val="0"/>
        <w:pageBreakBefore w:val="0"/>
        <w:spacing w:line="560" w:lineRule="exact"/>
        <w:rPr>
          <w:rFonts w:hint="eastAsia" w:ascii="方正仿宋_GB2312" w:hAnsi="方正仿宋_GB2312" w:eastAsia="方正仿宋_GB2312" w:cs="方正仿宋_GB2312"/>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2"/>
          <w:szCs w:val="32"/>
          <w:highlight w:val="none"/>
        </w:rPr>
      </w:r>
      <w:r/>
    </w:p>
    <w:p>
      <w:pPr>
        <w:ind w:right="0"/>
        <w:jc w:val="left"/>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highlight w:val="none"/>
        </w:rPr>
        <w:t xml:space="preserve">投标人</w:t>
      </w:r>
      <w:r>
        <w:rPr>
          <w:rFonts w:hint="eastAsia" w:ascii="方正仿宋_GB2312" w:hAnsi="方正仿宋_GB2312" w:eastAsia="方正仿宋_GB2312" w:cs="方正仿宋_GB2312"/>
          <w:color w:val="auto"/>
          <w:sz w:val="32"/>
          <w:szCs w:val="32"/>
          <w:highlight w:val="none"/>
          <w:lang w:eastAsia="zh-CN"/>
        </w:rPr>
        <w:t xml:space="preserve">：</w:t>
      </w:r>
      <w:r>
        <w:rPr>
          <w:rFonts w:hint="eastAsia" w:ascii="方正仿宋_GB2312" w:hAnsi="方正仿宋_GB2312" w:eastAsia="方正仿宋_GB2312" w:cs="方正仿宋_GB2312"/>
          <w:color w:val="auto"/>
          <w:sz w:val="32"/>
          <w:szCs w:val="32"/>
          <w:highlight w:val="none"/>
        </w:rPr>
        <w:t xml:space="preserve">（电子签章）</w:t>
      </w:r>
      <w:r/>
    </w:p>
    <w:p>
      <w:pPr>
        <w:ind w:right="0"/>
        <w:jc w:val="left"/>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highlight w:val="none"/>
        </w:rPr>
        <w:t xml:space="preserve">法定代表人或其委托受托人（签字或签章）</w:t>
      </w:r>
      <w:r>
        <w:rPr>
          <w:rFonts w:hint="eastAsia" w:ascii="方正仿宋_GB2312" w:hAnsi="方正仿宋_GB2312" w:eastAsia="方正仿宋_GB2312" w:cs="方正仿宋_GB2312"/>
          <w:color w:val="auto"/>
          <w:sz w:val="32"/>
          <w:szCs w:val="32"/>
          <w:highlight w:val="none"/>
          <w:lang w:eastAsia="zh-CN"/>
        </w:rPr>
        <w:t xml:space="preserve">：</w:t>
      </w:r>
      <w:r/>
    </w:p>
    <w:p>
      <w:pPr>
        <w:ind w:right="0"/>
        <w:jc w:val="both"/>
        <w:keepLines w:val="0"/>
        <w:keepNext w:val="0"/>
        <w:pageBreakBefore w:val="0"/>
        <w:spacing w:line="560" w:lineRule="exact"/>
        <w:rPr>
          <w:rFonts w:hint="eastAsia" w:ascii="方正仿宋_GB2312" w:hAnsi="方正仿宋_GB2312" w:eastAsia="方正仿宋_GB2312" w:cs="方正仿宋_GB2312"/>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highlight w:val="none"/>
          <w:lang w:val="en-US" w:eastAsia="zh-CN"/>
        </w:rPr>
        <w:t xml:space="preserve">日期：    </w:t>
      </w:r>
      <w:r>
        <w:rPr>
          <w:rFonts w:hint="eastAsia" w:ascii="方正仿宋_GB2312" w:hAnsi="方正仿宋_GB2312" w:eastAsia="方正仿宋_GB2312" w:cs="方正仿宋_GB2312"/>
          <w:color w:val="auto"/>
          <w:sz w:val="32"/>
          <w:szCs w:val="32"/>
          <w:highlight w:val="none"/>
        </w:rPr>
        <w:t xml:space="preserve"> 年</w:t>
      </w:r>
      <w:r>
        <w:rPr>
          <w:rFonts w:hint="eastAsia" w:ascii="方正仿宋_GB2312" w:hAnsi="方正仿宋_GB2312" w:eastAsia="方正仿宋_GB2312" w:cs="方正仿宋_GB2312"/>
          <w:color w:val="auto"/>
          <w:sz w:val="32"/>
          <w:szCs w:val="32"/>
          <w:highlight w:val="none"/>
          <w:lang w:val="en-US" w:eastAsia="zh-CN"/>
        </w:rPr>
        <w:t xml:space="preserve">   </w:t>
      </w:r>
      <w:r>
        <w:rPr>
          <w:rFonts w:hint="eastAsia" w:ascii="方正仿宋_GB2312" w:hAnsi="方正仿宋_GB2312" w:eastAsia="方正仿宋_GB2312" w:cs="方正仿宋_GB2312"/>
          <w:color w:val="auto"/>
          <w:sz w:val="32"/>
          <w:szCs w:val="32"/>
          <w:highlight w:val="none"/>
        </w:rPr>
        <w:t xml:space="preserve"> 月 </w:t>
      </w:r>
      <w:r>
        <w:rPr>
          <w:rFonts w:hint="eastAsia" w:ascii="方正仿宋_GB2312" w:hAnsi="方正仿宋_GB2312" w:eastAsia="方正仿宋_GB2312" w:cs="方正仿宋_GB2312"/>
          <w:color w:val="auto"/>
          <w:sz w:val="32"/>
          <w:szCs w:val="32"/>
          <w:highlight w:val="none"/>
          <w:lang w:val="en-US" w:eastAsia="zh-CN"/>
        </w:rPr>
        <w:t xml:space="preserve">   </w:t>
      </w:r>
      <w:r>
        <w:rPr>
          <w:rFonts w:hint="eastAsia" w:ascii="方正仿宋_GB2312" w:hAnsi="方正仿宋_GB2312" w:eastAsia="方正仿宋_GB2312" w:cs="方正仿宋_GB2312"/>
          <w:color w:val="auto"/>
          <w:sz w:val="32"/>
          <w:szCs w:val="32"/>
          <w:highlight w:val="none"/>
        </w:rPr>
        <w:t xml:space="preserve">日</w:t>
      </w:r>
      <w:r/>
    </w:p>
    <w:p>
      <w:pPr>
        <w:ind w:left="0" w:right="0" w:firstLine="321"/>
        <w:jc w:val="center"/>
        <w:keepLines w:val="0"/>
        <w:keepNext w:val="0"/>
        <w:pageBreakBefore w:val="0"/>
        <w:spacing w:line="560" w:lineRule="exact"/>
        <w:rPr>
          <w:rFonts w:hint="eastAsia" w:ascii="方正仿宋_GB2312" w:hAnsi="方正仿宋_GB2312" w:eastAsia="方正仿宋_GB2312" w:cs="方正仿宋_GB2312"/>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2"/>
          <w:szCs w:val="32"/>
          <w:highlight w:val="none"/>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highlight w:val="none"/>
          <w:u w:val="none"/>
          <w:lang w:val="en-US" w:eastAsia="zh-CN" w:bidi="ar-SA"/>
        </w:rPr>
      </w:pPr>
      <w:r>
        <w:rPr>
          <w:rFonts w:hint="eastAsia" w:ascii="方正楷体_GB2312" w:hAnsi="方正楷体_GB2312" w:eastAsia="方正楷体_GB2312" w:cs="方正楷体_GB2312"/>
          <w:b/>
          <w:i w:val="0"/>
          <w:iCs/>
          <w:color w:val="auto"/>
          <w:sz w:val="32"/>
          <w:szCs w:val="32"/>
          <w:highlight w:val="none"/>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highlight w:val="none"/>
          <w:u w:val="none"/>
          <w:lang w:val="en-US" w:eastAsia="zh-CN" w:bidi="ar-SA"/>
        </w:rPr>
      </w:pPr>
      <w:r>
        <w:rPr>
          <w:rFonts w:hint="eastAsia" w:ascii="方正楷体_GB2312" w:hAnsi="方正楷体_GB2312" w:eastAsia="方正楷体_GB2312" w:cs="方正楷体_GB2312"/>
          <w:b/>
          <w:i w:val="0"/>
          <w:iCs/>
          <w:color w:val="auto"/>
          <w:sz w:val="32"/>
          <w:szCs w:val="32"/>
          <w:highlight w:val="none"/>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highlight w:val="none"/>
          <w:u w:val="none"/>
          <w:lang w:val="en-US" w:eastAsia="zh-CN" w:bidi="ar-SA"/>
        </w:rPr>
      </w:pPr>
      <w:r>
        <w:rPr>
          <w:rFonts w:hint="eastAsia" w:ascii="方正楷体_GB2312" w:hAnsi="方正楷体_GB2312" w:eastAsia="方正楷体_GB2312" w:cs="方正楷体_GB2312"/>
          <w:b/>
          <w:i w:val="0"/>
          <w:iCs/>
          <w:color w:val="auto"/>
          <w:sz w:val="32"/>
          <w:szCs w:val="32"/>
          <w:highlight w:val="none"/>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highlight w:val="none"/>
          <w:u w:val="none"/>
          <w:lang w:val="en-US" w:eastAsia="zh-CN" w:bidi="ar-SA"/>
        </w:rPr>
      </w:pPr>
      <w:r>
        <w:rPr>
          <w:rFonts w:hint="eastAsia" w:ascii="方正楷体_GB2312" w:hAnsi="方正楷体_GB2312" w:eastAsia="方正楷体_GB2312" w:cs="方正楷体_GB2312"/>
          <w:b/>
          <w:i w:val="0"/>
          <w:iCs/>
          <w:color w:val="auto"/>
          <w:sz w:val="32"/>
          <w:szCs w:val="32"/>
          <w:highlight w:val="none"/>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highlight w:val="none"/>
          <w:u w:val="none"/>
          <w:lang w:val="en-US" w:eastAsia="zh-CN" w:bidi="ar-SA"/>
        </w:rPr>
      </w:pPr>
      <w:r>
        <w:rPr>
          <w:rFonts w:hint="eastAsia" w:ascii="方正楷体_GB2312" w:hAnsi="方正楷体_GB2312" w:eastAsia="方正楷体_GB2312" w:cs="方正楷体_GB2312"/>
          <w:b/>
          <w:i w:val="0"/>
          <w:iCs/>
          <w:color w:val="auto"/>
          <w:sz w:val="32"/>
          <w:szCs w:val="32"/>
          <w:highlight w:val="none"/>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highlight w:val="none"/>
          <w:u w:val="none"/>
          <w:lang w:val="en-US" w:eastAsia="zh-CN" w:bidi="ar-SA"/>
        </w:rPr>
      </w:pPr>
      <w:r>
        <w:rPr>
          <w:rFonts w:hint="eastAsia" w:ascii="方正楷体_GB2312" w:hAnsi="方正楷体_GB2312" w:eastAsia="方正楷体_GB2312" w:cs="方正楷体_GB2312"/>
          <w:b/>
          <w:i w:val="0"/>
          <w:iCs/>
          <w:color w:val="auto"/>
          <w:sz w:val="32"/>
          <w:szCs w:val="32"/>
          <w:highlight w:val="none"/>
          <w:u w:val="none"/>
          <w:lang w:val="en-US" w:eastAsia="zh-CN" w:bidi="ar-SA"/>
        </w:rPr>
        <w:t xml:space="preserve">七、劳 动 力 计 划 表</w:t>
      </w:r>
      <w:r/>
    </w:p>
    <w:p>
      <w:pPr>
        <w:ind w:left="0" w:right="0" w:firstLine="321"/>
        <w:jc w:val="right"/>
        <w:keepLines w:val="0"/>
        <w:keepNext w:val="0"/>
        <w:pageBreakBefore w:val="0"/>
        <w:spacing w:line="560" w:lineRule="exact"/>
        <w:rPr>
          <w:rFonts w:hint="eastAsia" w:ascii="方正仿宋_GB2312" w:hAnsi="方正仿宋_GB2312" w:eastAsia="方正仿宋_GB2312" w:cs="方正仿宋_GB2312"/>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32"/>
          <w:szCs w:val="32"/>
          <w:highlight w:val="none"/>
          <w:lang w:val="en-US" w:eastAsia="zh-CN"/>
        </w:rPr>
        <w:t xml:space="preserve">单位：人</w:t>
      </w:r>
      <w:r/>
    </w:p>
    <w:tbl>
      <w:tblPr>
        <w:tblStyle w:val="710"/>
        <w:tblW w:w="0" w:type="auto"/>
        <w:tblInd w:w="-3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9"/>
        <w:gridCol w:w="1111"/>
        <w:gridCol w:w="1111"/>
        <w:gridCol w:w="1111"/>
        <w:gridCol w:w="1111"/>
        <w:gridCol w:w="1111"/>
        <w:gridCol w:w="1112"/>
        <w:gridCol w:w="1114"/>
      </w:tblGrid>
      <w:tr>
        <w:trPr>
          <w:trHeight w:val="779"/>
        </w:trPr>
        <w:tc>
          <w:tcPr>
            <w:tcW w:w="1524"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highlight w:val="none"/>
                <w:vertAlign w:val="baseline"/>
                <w:lang w:val="en-US" w:eastAsia="zh-CN"/>
              </w:rPr>
            </w:pPr>
            <w:r>
              <w:rPr>
                <w:rFonts w:hint="eastAsia" w:ascii="方正仿宋_GB2312" w:hAnsi="方正仿宋_GB2312" w:eastAsia="方正仿宋_GB2312" w:cs="方正仿宋_GB2312"/>
                <w:b w:val="0"/>
                <w:bCs/>
                <w:color w:val="auto"/>
                <w:sz w:val="32"/>
                <w:szCs w:val="32"/>
                <w:highlight w:val="none"/>
                <w:vertAlign w:val="baseline"/>
                <w:lang w:val="en-US" w:eastAsia="zh-CN"/>
              </w:rPr>
              <w:t xml:space="preserve">工种、级别</w:t>
            </w:r>
            <w:r/>
          </w:p>
        </w:tc>
        <w:tc>
          <w:tcPr>
            <w:gridSpan w:val="7"/>
            <w:tcW w:w="7920"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highlight w:val="none"/>
                <w:vertAlign w:val="baseline"/>
              </w:rPr>
            </w:pPr>
            <w:r>
              <w:rPr>
                <w:rFonts w:hint="eastAsia" w:ascii="方正仿宋_GB2312" w:hAnsi="方正仿宋_GB2312" w:eastAsia="方正仿宋_GB2312" w:cs="方正仿宋_GB2312"/>
                <w:b w:val="0"/>
                <w:bCs/>
                <w:color w:val="auto"/>
                <w:sz w:val="32"/>
                <w:szCs w:val="32"/>
                <w:highlight w:val="none"/>
                <w:vertAlign w:val="baseline"/>
              </w:rPr>
              <w:t xml:space="preserve">按养护内容投入劳动力情况</w:t>
            </w:r>
            <w:r/>
          </w:p>
        </w:tc>
      </w:tr>
      <w:tr>
        <w:trPr/>
        <w:tc>
          <w:tcPr>
            <w:tcW w:w="1524"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highlight w:val="none"/>
                <w:vertAlign w:val="baseline"/>
              </w:rPr>
            </w:pPr>
            <w:r>
              <w:rPr>
                <w:rFonts w:hint="eastAsia" w:ascii="方正仿宋_GB2312" w:hAnsi="方正仿宋_GB2312" w:eastAsia="方正仿宋_GB2312" w:cs="方正仿宋_GB2312"/>
                <w:b w:val="0"/>
                <w:bCs/>
                <w:color w:val="auto"/>
                <w:sz w:val="32"/>
                <w:szCs w:val="32"/>
                <w:highlight w:val="none"/>
                <w:vertAlign w:val="baseline"/>
              </w:rPr>
            </w:r>
            <w:r/>
          </w:p>
        </w:tc>
        <w:tc>
          <w:tcPr>
            <w:tcW w:w="1131"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highlight w:val="none"/>
                <w:vertAlign w:val="baseline"/>
              </w:rPr>
            </w:pPr>
            <w:r>
              <w:rPr>
                <w:rFonts w:hint="eastAsia" w:ascii="方正仿宋_GB2312" w:hAnsi="方正仿宋_GB2312" w:eastAsia="方正仿宋_GB2312" w:cs="方正仿宋_GB2312"/>
                <w:b w:val="0"/>
                <w:bCs/>
                <w:color w:val="auto"/>
                <w:sz w:val="32"/>
                <w:szCs w:val="32"/>
                <w:highlight w:val="none"/>
                <w:vertAlign w:val="baseline"/>
              </w:rPr>
            </w:r>
            <w:r/>
          </w:p>
        </w:tc>
        <w:tc>
          <w:tcPr>
            <w:tcW w:w="1131"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highlight w:val="none"/>
                <w:vertAlign w:val="baseline"/>
              </w:rPr>
            </w:pPr>
            <w:r>
              <w:rPr>
                <w:rFonts w:hint="eastAsia" w:ascii="方正仿宋_GB2312" w:hAnsi="方正仿宋_GB2312" w:eastAsia="方正仿宋_GB2312" w:cs="方正仿宋_GB2312"/>
                <w:b w:val="0"/>
                <w:bCs/>
                <w:color w:val="auto"/>
                <w:sz w:val="32"/>
                <w:szCs w:val="32"/>
                <w:highlight w:val="none"/>
                <w:vertAlign w:val="baseline"/>
              </w:rPr>
            </w:r>
            <w:r/>
          </w:p>
        </w:tc>
        <w:tc>
          <w:tcPr>
            <w:tcW w:w="1131"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highlight w:val="none"/>
                <w:vertAlign w:val="baseline"/>
              </w:rPr>
            </w:pPr>
            <w:r>
              <w:rPr>
                <w:rFonts w:hint="eastAsia" w:ascii="方正仿宋_GB2312" w:hAnsi="方正仿宋_GB2312" w:eastAsia="方正仿宋_GB2312" w:cs="方正仿宋_GB2312"/>
                <w:b w:val="0"/>
                <w:bCs/>
                <w:color w:val="auto"/>
                <w:sz w:val="32"/>
                <w:szCs w:val="32"/>
                <w:highlight w:val="none"/>
                <w:vertAlign w:val="baseline"/>
              </w:rPr>
            </w:r>
            <w:r/>
          </w:p>
        </w:tc>
        <w:tc>
          <w:tcPr>
            <w:tcW w:w="1131"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highlight w:val="none"/>
                <w:vertAlign w:val="baseline"/>
              </w:rPr>
            </w:pPr>
            <w:r>
              <w:rPr>
                <w:rFonts w:hint="eastAsia" w:ascii="方正仿宋_GB2312" w:hAnsi="方正仿宋_GB2312" w:eastAsia="方正仿宋_GB2312" w:cs="方正仿宋_GB2312"/>
                <w:b w:val="0"/>
                <w:bCs/>
                <w:color w:val="auto"/>
                <w:sz w:val="32"/>
                <w:szCs w:val="32"/>
                <w:highlight w:val="none"/>
                <w:vertAlign w:val="baseline"/>
              </w:rPr>
            </w:r>
            <w:r/>
          </w:p>
        </w:tc>
        <w:tc>
          <w:tcPr>
            <w:tcW w:w="1131"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highlight w:val="none"/>
                <w:vertAlign w:val="baseline"/>
              </w:rPr>
            </w:pPr>
            <w:r>
              <w:rPr>
                <w:rFonts w:hint="eastAsia" w:ascii="方正仿宋_GB2312" w:hAnsi="方正仿宋_GB2312" w:eastAsia="方正仿宋_GB2312" w:cs="方正仿宋_GB2312"/>
                <w:b w:val="0"/>
                <w:bCs/>
                <w:color w:val="auto"/>
                <w:sz w:val="32"/>
                <w:szCs w:val="32"/>
                <w:highlight w:val="none"/>
                <w:vertAlign w:val="baseline"/>
              </w:rPr>
            </w:r>
            <w:r/>
          </w:p>
        </w:tc>
        <w:tc>
          <w:tcPr>
            <w:tcW w:w="1132"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highlight w:val="none"/>
                <w:vertAlign w:val="baseline"/>
              </w:rPr>
            </w:pPr>
            <w:r>
              <w:rPr>
                <w:rFonts w:hint="eastAsia" w:ascii="方正仿宋_GB2312" w:hAnsi="方正仿宋_GB2312" w:eastAsia="方正仿宋_GB2312" w:cs="方正仿宋_GB2312"/>
                <w:b w:val="0"/>
                <w:bCs/>
                <w:color w:val="auto"/>
                <w:sz w:val="32"/>
                <w:szCs w:val="32"/>
                <w:highlight w:val="none"/>
                <w:vertAlign w:val="baseline"/>
              </w:rPr>
            </w:r>
            <w:r/>
          </w:p>
        </w:tc>
        <w:tc>
          <w:tcPr>
            <w:tcW w:w="1133"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highlight w:val="none"/>
                <w:vertAlign w:val="baseline"/>
              </w:rPr>
            </w:pPr>
            <w:r>
              <w:rPr>
                <w:rFonts w:hint="eastAsia" w:ascii="方正仿宋_GB2312" w:hAnsi="方正仿宋_GB2312" w:eastAsia="方正仿宋_GB2312" w:cs="方正仿宋_GB2312"/>
                <w:b w:val="0"/>
                <w:bCs/>
                <w:color w:val="auto"/>
                <w:sz w:val="32"/>
                <w:szCs w:val="32"/>
                <w:highlight w:val="none"/>
                <w:vertAlign w:val="baseline"/>
              </w:rPr>
            </w:r>
            <w:r/>
          </w:p>
        </w:tc>
      </w:tr>
      <w:tr>
        <w:trPr>
          <w:trHeight w:val="2959"/>
        </w:trPr>
        <w:tc>
          <w:tcPr>
            <w:tcW w:w="1524"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highlight w:val="none"/>
                <w:vertAlign w:val="baseline"/>
              </w:rPr>
            </w:pPr>
            <w:r>
              <w:rPr>
                <w:rFonts w:hint="eastAsia" w:ascii="方正仿宋_GB2312" w:hAnsi="方正仿宋_GB2312" w:eastAsia="方正仿宋_GB2312" w:cs="方正仿宋_GB2312"/>
                <w:b w:val="0"/>
                <w:bCs/>
                <w:color w:val="auto"/>
                <w:sz w:val="32"/>
                <w:szCs w:val="32"/>
                <w:highlight w:val="none"/>
                <w:vertAlign w:val="baseline"/>
              </w:rPr>
            </w:r>
            <w:r/>
          </w:p>
        </w:tc>
        <w:tc>
          <w:tcPr>
            <w:tcW w:w="1131"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highlight w:val="none"/>
                <w:vertAlign w:val="baseline"/>
              </w:rPr>
            </w:pPr>
            <w:r>
              <w:rPr>
                <w:rFonts w:hint="eastAsia" w:ascii="方正仿宋_GB2312" w:hAnsi="方正仿宋_GB2312" w:eastAsia="方正仿宋_GB2312" w:cs="方正仿宋_GB2312"/>
                <w:b w:val="0"/>
                <w:bCs/>
                <w:color w:val="auto"/>
                <w:sz w:val="32"/>
                <w:szCs w:val="32"/>
                <w:highlight w:val="none"/>
                <w:vertAlign w:val="baseline"/>
              </w:rPr>
            </w:r>
            <w:r/>
          </w:p>
        </w:tc>
        <w:tc>
          <w:tcPr>
            <w:tcW w:w="1131"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highlight w:val="none"/>
                <w:vertAlign w:val="baseline"/>
              </w:rPr>
            </w:pPr>
            <w:r>
              <w:rPr>
                <w:rFonts w:hint="eastAsia" w:ascii="方正仿宋_GB2312" w:hAnsi="方正仿宋_GB2312" w:eastAsia="方正仿宋_GB2312" w:cs="方正仿宋_GB2312"/>
                <w:b w:val="0"/>
                <w:bCs/>
                <w:color w:val="auto"/>
                <w:sz w:val="32"/>
                <w:szCs w:val="32"/>
                <w:highlight w:val="none"/>
                <w:vertAlign w:val="baseline"/>
              </w:rPr>
            </w:r>
            <w:r/>
          </w:p>
        </w:tc>
        <w:tc>
          <w:tcPr>
            <w:tcW w:w="1131"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highlight w:val="none"/>
                <w:vertAlign w:val="baseline"/>
              </w:rPr>
            </w:pPr>
            <w:r>
              <w:rPr>
                <w:rFonts w:hint="eastAsia" w:ascii="方正仿宋_GB2312" w:hAnsi="方正仿宋_GB2312" w:eastAsia="方正仿宋_GB2312" w:cs="方正仿宋_GB2312"/>
                <w:b w:val="0"/>
                <w:bCs/>
                <w:color w:val="auto"/>
                <w:sz w:val="32"/>
                <w:szCs w:val="32"/>
                <w:highlight w:val="none"/>
                <w:vertAlign w:val="baseline"/>
              </w:rPr>
            </w:r>
            <w:r/>
          </w:p>
        </w:tc>
        <w:tc>
          <w:tcPr>
            <w:tcW w:w="1131"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highlight w:val="none"/>
                <w:vertAlign w:val="baseline"/>
              </w:rPr>
            </w:pPr>
            <w:r>
              <w:rPr>
                <w:rFonts w:hint="eastAsia" w:ascii="方正仿宋_GB2312" w:hAnsi="方正仿宋_GB2312" w:eastAsia="方正仿宋_GB2312" w:cs="方正仿宋_GB2312"/>
                <w:b w:val="0"/>
                <w:bCs/>
                <w:color w:val="auto"/>
                <w:sz w:val="32"/>
                <w:szCs w:val="32"/>
                <w:highlight w:val="none"/>
                <w:vertAlign w:val="baseline"/>
              </w:rPr>
            </w:r>
            <w:r/>
          </w:p>
        </w:tc>
        <w:tc>
          <w:tcPr>
            <w:tcW w:w="1131"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highlight w:val="none"/>
                <w:vertAlign w:val="baseline"/>
              </w:rPr>
            </w:pPr>
            <w:r>
              <w:rPr>
                <w:rFonts w:hint="eastAsia" w:ascii="方正仿宋_GB2312" w:hAnsi="方正仿宋_GB2312" w:eastAsia="方正仿宋_GB2312" w:cs="方正仿宋_GB2312"/>
                <w:b w:val="0"/>
                <w:bCs/>
                <w:color w:val="auto"/>
                <w:sz w:val="32"/>
                <w:szCs w:val="32"/>
                <w:highlight w:val="none"/>
                <w:vertAlign w:val="baseline"/>
              </w:rPr>
            </w:r>
            <w:r/>
          </w:p>
        </w:tc>
        <w:tc>
          <w:tcPr>
            <w:tcW w:w="1132"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highlight w:val="none"/>
                <w:vertAlign w:val="baseline"/>
              </w:rPr>
            </w:pPr>
            <w:r>
              <w:rPr>
                <w:rFonts w:hint="eastAsia" w:ascii="方正仿宋_GB2312" w:hAnsi="方正仿宋_GB2312" w:eastAsia="方正仿宋_GB2312" w:cs="方正仿宋_GB2312"/>
                <w:b w:val="0"/>
                <w:bCs/>
                <w:color w:val="auto"/>
                <w:sz w:val="32"/>
                <w:szCs w:val="32"/>
                <w:highlight w:val="none"/>
                <w:vertAlign w:val="baseline"/>
              </w:rPr>
            </w:r>
            <w:r/>
          </w:p>
        </w:tc>
        <w:tc>
          <w:tcPr>
            <w:tcW w:w="1133"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highlight w:val="none"/>
                <w:vertAlign w:val="baseline"/>
              </w:rPr>
            </w:pPr>
            <w:r>
              <w:rPr>
                <w:rFonts w:hint="eastAsia" w:ascii="方正仿宋_GB2312" w:hAnsi="方正仿宋_GB2312" w:eastAsia="方正仿宋_GB2312" w:cs="方正仿宋_GB2312"/>
                <w:b w:val="0"/>
                <w:bCs/>
                <w:color w:val="auto"/>
                <w:sz w:val="32"/>
                <w:szCs w:val="32"/>
                <w:highlight w:val="none"/>
                <w:vertAlign w:val="baseline"/>
              </w:rPr>
            </w:r>
            <w:r/>
          </w:p>
        </w:tc>
      </w:tr>
    </w:tbl>
    <w:p>
      <w:pPr>
        <w:ind w:right="0"/>
        <w:jc w:val="left"/>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highlight w:val="none"/>
        </w:rPr>
        <w:t xml:space="preserve">投标人</w:t>
      </w:r>
      <w:r>
        <w:rPr>
          <w:rFonts w:hint="eastAsia" w:ascii="方正仿宋_GB2312" w:hAnsi="方正仿宋_GB2312" w:eastAsia="方正仿宋_GB2312" w:cs="方正仿宋_GB2312"/>
          <w:color w:val="auto"/>
          <w:sz w:val="32"/>
          <w:szCs w:val="32"/>
          <w:highlight w:val="none"/>
          <w:lang w:eastAsia="zh-CN"/>
        </w:rPr>
        <w:t xml:space="preserve">：</w:t>
      </w:r>
      <w:r>
        <w:rPr>
          <w:rFonts w:hint="eastAsia" w:ascii="方正仿宋_GB2312" w:hAnsi="方正仿宋_GB2312" w:eastAsia="方正仿宋_GB2312" w:cs="方正仿宋_GB2312"/>
          <w:color w:val="auto"/>
          <w:sz w:val="32"/>
          <w:szCs w:val="32"/>
          <w:highlight w:val="none"/>
        </w:rPr>
        <w:t xml:space="preserve">（电子签章）</w:t>
      </w:r>
      <w:r/>
    </w:p>
    <w:p>
      <w:pPr>
        <w:ind w:right="0"/>
        <w:jc w:val="left"/>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highlight w:val="none"/>
        </w:rPr>
        <w:t xml:space="preserve">法定代表人或其委托受托人（签字或签章）</w:t>
      </w:r>
      <w:r>
        <w:rPr>
          <w:rFonts w:hint="eastAsia" w:ascii="方正仿宋_GB2312" w:hAnsi="方正仿宋_GB2312" w:eastAsia="方正仿宋_GB2312" w:cs="方正仿宋_GB2312"/>
          <w:color w:val="auto"/>
          <w:sz w:val="32"/>
          <w:szCs w:val="32"/>
          <w:highlight w:val="none"/>
          <w:lang w:eastAsia="zh-CN"/>
        </w:rPr>
        <w:t xml:space="preserve">：</w:t>
      </w:r>
      <w:r/>
    </w:p>
    <w:p>
      <w:pPr>
        <w:ind w:right="0"/>
        <w:jc w:val="both"/>
        <w:keepLines w:val="0"/>
        <w:keepNext w:val="0"/>
        <w:pageBreakBefore w:val="0"/>
        <w:spacing w:line="560" w:lineRule="exact"/>
        <w:rPr>
          <w:rFonts w:hint="eastAsia" w:ascii="方正仿宋_GB2312" w:hAnsi="方正仿宋_GB2312" w:eastAsia="方正仿宋_GB2312" w:cs="方正仿宋_GB2312"/>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highlight w:val="none"/>
          <w:lang w:val="en-US" w:eastAsia="zh-CN"/>
        </w:rPr>
        <w:t xml:space="preserve">日期：    </w:t>
      </w:r>
      <w:r>
        <w:rPr>
          <w:rFonts w:hint="eastAsia" w:ascii="方正仿宋_GB2312" w:hAnsi="方正仿宋_GB2312" w:eastAsia="方正仿宋_GB2312" w:cs="方正仿宋_GB2312"/>
          <w:color w:val="auto"/>
          <w:sz w:val="32"/>
          <w:szCs w:val="32"/>
          <w:highlight w:val="none"/>
        </w:rPr>
        <w:t xml:space="preserve"> 年</w:t>
      </w:r>
      <w:r>
        <w:rPr>
          <w:rFonts w:hint="eastAsia" w:ascii="方正仿宋_GB2312" w:hAnsi="方正仿宋_GB2312" w:eastAsia="方正仿宋_GB2312" w:cs="方正仿宋_GB2312"/>
          <w:color w:val="auto"/>
          <w:sz w:val="32"/>
          <w:szCs w:val="32"/>
          <w:highlight w:val="none"/>
          <w:lang w:val="en-US" w:eastAsia="zh-CN"/>
        </w:rPr>
        <w:t xml:space="preserve">   </w:t>
      </w:r>
      <w:r>
        <w:rPr>
          <w:rFonts w:hint="eastAsia" w:ascii="方正仿宋_GB2312" w:hAnsi="方正仿宋_GB2312" w:eastAsia="方正仿宋_GB2312" w:cs="方正仿宋_GB2312"/>
          <w:color w:val="auto"/>
          <w:sz w:val="32"/>
          <w:szCs w:val="32"/>
          <w:highlight w:val="none"/>
        </w:rPr>
        <w:t xml:space="preserve"> 月 </w:t>
      </w:r>
      <w:r>
        <w:rPr>
          <w:rFonts w:hint="eastAsia" w:ascii="方正仿宋_GB2312" w:hAnsi="方正仿宋_GB2312" w:eastAsia="方正仿宋_GB2312" w:cs="方正仿宋_GB2312"/>
          <w:color w:val="auto"/>
          <w:sz w:val="32"/>
          <w:szCs w:val="32"/>
          <w:highlight w:val="none"/>
          <w:lang w:val="en-US" w:eastAsia="zh-CN"/>
        </w:rPr>
        <w:t xml:space="preserve">   </w:t>
      </w:r>
      <w:r>
        <w:rPr>
          <w:rFonts w:hint="eastAsia" w:ascii="方正仿宋_GB2312" w:hAnsi="方正仿宋_GB2312" w:eastAsia="方正仿宋_GB2312" w:cs="方正仿宋_GB2312"/>
          <w:color w:val="auto"/>
          <w:sz w:val="32"/>
          <w:szCs w:val="32"/>
          <w:highlight w:val="none"/>
        </w:rPr>
        <w:t xml:space="preserve">日</w:t>
      </w:r>
      <w:r/>
    </w:p>
    <w:p>
      <w:pPr>
        <w:ind w:left="0" w:right="0" w:firstLine="321"/>
        <w:jc w:val="center"/>
        <w:keepLines w:val="0"/>
        <w:keepNext w:val="0"/>
        <w:pageBreakBefore w:val="0"/>
        <w:spacing w:line="560" w:lineRule="exact"/>
        <w:rPr>
          <w:rFonts w:hint="eastAsia" w:ascii="方正仿宋_GB2312" w:hAnsi="方正仿宋_GB2312" w:eastAsia="方正仿宋_GB2312" w:cs="方正仿宋_GB2312"/>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2"/>
          <w:szCs w:val="32"/>
          <w:highlight w:val="none"/>
        </w:rPr>
      </w:r>
      <w:r/>
    </w:p>
    <w:p>
      <w:pPr>
        <w:ind w:right="0" w:firstLine="643"/>
        <w:jc w:val="both"/>
        <w:keepLines w:val="0"/>
        <w:keepNext w:val="0"/>
        <w:pageBreakBefore w:val="0"/>
        <w:spacing w:line="560" w:lineRule="exact"/>
        <w:rPr>
          <w:rFonts w:hint="eastAsia" w:ascii="方正仿宋_GB2312" w:hAnsi="方正仿宋_GB2312" w:eastAsia="方正仿宋_GB2312" w:cs="方正仿宋_GB2312"/>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2"/>
          <w:szCs w:val="32"/>
          <w:highlight w:val="none"/>
        </w:rPr>
        <w:t xml:space="preserve">注:投标人应按所列格式提交估计的劳动力计划表。本计划表是以每班八小时工作制为基础的。特殊项目的养护按行业的有关作业规定处理。</w:t>
      </w:r>
      <w:r/>
    </w:p>
    <w:p>
      <w:pPr>
        <w:ind w:left="0" w:right="0" w:firstLine="321"/>
        <w:jc w:val="center"/>
        <w:keepLines w:val="0"/>
        <w:keepNext w:val="0"/>
        <w:pageBreakBefore w:val="0"/>
        <w:spacing w:line="560" w:lineRule="exact"/>
        <w:rPr>
          <w:rFonts w:hint="eastAsia" w:ascii="方正仿宋_GB2312" w:hAnsi="方正仿宋_GB2312" w:eastAsia="方正仿宋_GB2312" w:cs="方正仿宋_GB2312"/>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2"/>
          <w:szCs w:val="32"/>
          <w:highlight w:val="none"/>
        </w:rPr>
      </w:r>
      <w:r/>
    </w:p>
    <w:p>
      <w:pPr>
        <w:ind w:left="0" w:right="0" w:firstLine="321"/>
        <w:jc w:val="center"/>
        <w:keepLines w:val="0"/>
        <w:keepNext w:val="0"/>
        <w:pageBreakBefore w:val="0"/>
        <w:spacing w:line="560" w:lineRule="exact"/>
        <w:rPr>
          <w:rFonts w:hint="eastAsia" w:ascii="方正仿宋_GB2312" w:hAnsi="方正仿宋_GB2312" w:eastAsia="方正仿宋_GB2312" w:cs="方正仿宋_GB2312"/>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2"/>
          <w:szCs w:val="32"/>
          <w:highlight w:val="none"/>
        </w:rPr>
      </w:r>
      <w:r/>
    </w:p>
    <w:p>
      <w:pPr>
        <w:pStyle w:val="965"/>
        <w:ind w:left="0" w:right="34" w:firstLine="2715"/>
        <w:spacing w:before="120" w:line="520" w:lineRule="exact"/>
        <w:rPr>
          <w:rFonts w:ascii="宋体" w:hAnsi="宋体"/>
          <w:b/>
          <w:color w:val="auto"/>
          <w:sz w:val="32"/>
          <w:szCs w:val="32"/>
          <w:highlight w:val="none"/>
        </w:rPr>
      </w:pPr>
      <w:r>
        <w:rPr>
          <w:rFonts w:ascii="宋体" w:hAnsi="宋体"/>
          <w:b/>
          <w:color w:val="auto"/>
          <w:sz w:val="32"/>
          <w:szCs w:val="32"/>
          <w:highlight w:val="none"/>
        </w:rPr>
      </w:r>
      <w:r/>
    </w:p>
    <w:p>
      <w:pPr>
        <w:pStyle w:val="893"/>
        <w:ind w:firstLine="0"/>
        <w:jc w:val="center"/>
        <w:keepLines w:val="0"/>
        <w:keepNext w:val="0"/>
        <w:pageBreakBefore w:val="0"/>
        <w:spacing w:line="520" w:lineRule="exact"/>
        <w:widowControl w:val="off"/>
        <w:rPr>
          <w:rFonts w:hint="eastAsia" w:ascii="仿宋" w:hAnsi="仿宋" w:eastAsia="仿宋"/>
          <w:b/>
          <w:bCs/>
          <w:color w:val="auto"/>
          <w:sz w:val="32"/>
          <w:szCs w:val="32"/>
          <w:highlight w:val="none"/>
        </w:rPr>
        <w:outlineLvl w:val="9"/>
      </w:pPr>
      <w:r>
        <w:rPr>
          <w:rFonts w:hint="eastAsia" w:ascii="仿宋" w:hAnsi="仿宋" w:eastAsia="仿宋"/>
          <w:b/>
          <w:bCs/>
          <w:color w:val="auto"/>
          <w:sz w:val="32"/>
          <w:highlight w:val="none"/>
        </w:rPr>
        <w:br w:type="page" w:clear="all"/>
      </w:r>
      <w:r>
        <w:rPr>
          <w:rFonts w:hint="eastAsia" w:ascii="仿宋" w:hAnsi="仿宋" w:eastAsia="仿宋"/>
          <w:b/>
          <w:bCs/>
          <w:color w:val="auto"/>
          <w:sz w:val="32"/>
          <w:highlight w:val="none"/>
          <w:lang w:val="en-US" w:eastAsia="zh-CN"/>
        </w:rPr>
        <w:t xml:space="preserve">八、</w:t>
      </w:r>
      <w:r>
        <w:rPr>
          <w:rFonts w:hint="eastAsia" w:ascii="仿宋" w:hAnsi="仿宋" w:eastAsia="仿宋"/>
          <w:b/>
          <w:color w:val="auto"/>
          <w:sz w:val="32"/>
          <w:szCs w:val="32"/>
          <w:highlight w:val="none"/>
        </w:rPr>
        <w:t xml:space="preserve">资质审查时</w:t>
      </w:r>
      <w:r>
        <w:rPr>
          <w:rFonts w:hint="eastAsia" w:ascii="仿宋" w:hAnsi="仿宋" w:eastAsia="仿宋"/>
          <w:b/>
          <w:bCs/>
          <w:color w:val="auto"/>
          <w:sz w:val="32"/>
          <w:szCs w:val="32"/>
          <w:highlight w:val="none"/>
        </w:rPr>
        <w:t xml:space="preserve">投标人必须提供的资格证明文件</w:t>
      </w:r>
      <w:r/>
    </w:p>
    <w:p>
      <w:pPr>
        <w:pStyle w:val="893"/>
        <w:ind w:firstLine="551"/>
        <w:keepLines w:val="0"/>
        <w:keepNext w:val="0"/>
        <w:pageBreakBefore w:val="0"/>
        <w:spacing w:line="520" w:lineRule="exact"/>
        <w:rPr>
          <w:rFonts w:hint="eastAsia" w:ascii="仿宋" w:hAnsi="仿宋" w:eastAsia="仿宋"/>
          <w:b/>
          <w:bCs/>
          <w:color w:val="auto"/>
          <w:sz w:val="32"/>
          <w:szCs w:val="32"/>
          <w:highlight w:val="none"/>
        </w:rPr>
        <w:outlineLvl w:val="9"/>
      </w:pPr>
      <w:r>
        <w:rPr>
          <w:rFonts w:hint="eastAsia" w:ascii="仿宋" w:hAnsi="仿宋" w:eastAsia="仿宋"/>
          <w:color w:val="auto"/>
          <w:sz w:val="28"/>
          <w:szCs w:val="28"/>
          <w:highlight w:val="none"/>
        </w:rPr>
        <w:t xml:space="preserve">1、提供下列材料之一:</w:t>
      </w:r>
      <w:r/>
    </w:p>
    <w:p>
      <w:pPr>
        <w:ind w:firstLine="420"/>
        <w:keepLines w:val="0"/>
        <w:keepNext w:val="0"/>
        <w:pageBreakBefore w:val="0"/>
        <w:spacing w:line="520" w:lineRule="exact"/>
        <w:rPr>
          <w:rFonts w:hint="eastAsia" w:ascii="仿宋" w:hAnsi="仿宋" w:eastAsia="仿宋"/>
          <w:color w:val="auto"/>
          <w:sz w:val="28"/>
          <w:highlight w:val="none"/>
        </w:rPr>
        <w:outlineLvl w:val="9"/>
      </w:pPr>
      <w:r>
        <w:rPr>
          <w:rFonts w:hint="eastAsia" w:ascii="仿宋" w:hAnsi="仿宋" w:eastAsia="仿宋"/>
          <w:color w:val="auto"/>
          <w:sz w:val="28"/>
          <w:highlight w:val="none"/>
        </w:rPr>
        <w:t xml:space="preserve">（1）投标人</w:t>
      </w:r>
      <w:r>
        <w:rPr>
          <w:rFonts w:hint="eastAsia" w:ascii="仿宋" w:hAnsi="仿宋" w:eastAsia="仿宋"/>
          <w:color w:val="auto"/>
          <w:sz w:val="28"/>
          <w:szCs w:val="28"/>
          <w:highlight w:val="none"/>
        </w:rPr>
        <w:t xml:space="preserve">提供</w:t>
      </w:r>
      <w:r>
        <w:rPr>
          <w:rFonts w:hint="eastAsia" w:ascii="仿宋" w:hAnsi="仿宋" w:eastAsia="仿宋" w:cs="Arial"/>
          <w:bCs/>
          <w:color w:val="auto"/>
          <w:sz w:val="28"/>
          <w:szCs w:val="28"/>
          <w:highlight w:val="none"/>
        </w:rPr>
        <w:t xml:space="preserve">法定代表人资格证明</w:t>
      </w:r>
      <w:r>
        <w:rPr>
          <w:rFonts w:hint="eastAsia" w:ascii="仿宋" w:hAnsi="仿宋" w:eastAsia="仿宋"/>
          <w:color w:val="auto"/>
          <w:sz w:val="28"/>
          <w:highlight w:val="none"/>
        </w:rPr>
        <w:t xml:space="preserve">（格式详见示范格式）和</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420"/>
        <w:keepLines w:val="0"/>
        <w:keepNext w:val="0"/>
        <w:pageBreakBefore w:val="0"/>
        <w:spacing w:line="52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（2）投标人提供授权委托书（格式详见示范格式）和受托人身份证（加盖CA电子签章）。</w:t>
      </w:r>
      <w:r/>
    </w:p>
    <w:p>
      <w:pPr>
        <w:ind w:firstLine="420"/>
        <w:keepLines w:val="0"/>
        <w:keepNext w:val="0"/>
        <w:pageBreakBefore w:val="0"/>
        <w:spacing w:line="52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2、投标人提供下列材料之一</w:t>
      </w:r>
      <w:r/>
    </w:p>
    <w:p>
      <w:pPr>
        <w:ind w:firstLine="420"/>
        <w:keepLines w:val="0"/>
        <w:keepNext w:val="0"/>
        <w:pageBreakBefore w:val="0"/>
        <w:spacing w:line="52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lang w:val="en-US" w:eastAsia="zh-CN"/>
        </w:rPr>
        <w:t xml:space="preserve">1</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投标人为企业的</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提供营业执照 (三证合一)(扫描件并加盖</w:t>
      </w:r>
      <w:r>
        <w:rPr>
          <w:rFonts w:hint="eastAsia" w:ascii="仿宋" w:hAnsi="仿宋" w:eastAsia="仿宋"/>
          <w:bCs/>
          <w:color w:val="auto"/>
          <w:sz w:val="28"/>
          <w:szCs w:val="28"/>
          <w:highlight w:val="none"/>
          <w:lang w:val="en-US" w:eastAsia="zh-CN"/>
        </w:rPr>
        <w:t xml:space="preserve">投标人</w:t>
      </w:r>
      <w:r>
        <w:rPr>
          <w:rFonts w:hint="eastAsia" w:ascii="仿宋" w:hAnsi="仿宋" w:eastAsia="仿宋"/>
          <w:bCs/>
          <w:color w:val="auto"/>
          <w:sz w:val="28"/>
          <w:szCs w:val="28"/>
          <w:highlight w:val="none"/>
        </w:rPr>
        <w:t xml:space="preserve">电子签章，必须提供)；</w:t>
      </w:r>
      <w:r/>
    </w:p>
    <w:p>
      <w:pPr>
        <w:ind w:firstLine="420"/>
        <w:keepLines w:val="0"/>
        <w:keepNext w:val="0"/>
        <w:pageBreakBefore w:val="0"/>
        <w:spacing w:line="520" w:lineRule="exact"/>
        <w:rPr>
          <w:rFonts w:hint="eastAsia" w:ascii="仿宋" w:hAnsi="仿宋" w:eastAsia="仿宋"/>
          <w:color w:val="auto"/>
          <w:sz w:val="28"/>
          <w:highlight w:val="none"/>
        </w:rPr>
        <w:outlineLvl w:val="9"/>
      </w:pP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lang w:val="en-US" w:eastAsia="zh-CN"/>
        </w:rPr>
        <w:t xml:space="preserve">2</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投标人为事业单位的</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提供事业法人证书(扫描件并加盖</w:t>
      </w:r>
      <w:r>
        <w:rPr>
          <w:rFonts w:hint="eastAsia" w:ascii="仿宋" w:hAnsi="仿宋" w:eastAsia="仿宋"/>
          <w:bCs/>
          <w:color w:val="auto"/>
          <w:sz w:val="28"/>
          <w:szCs w:val="28"/>
          <w:highlight w:val="none"/>
          <w:lang w:val="en-US" w:eastAsia="zh-CN"/>
        </w:rPr>
        <w:t xml:space="preserve">投标人</w:t>
      </w:r>
      <w:r>
        <w:rPr>
          <w:rFonts w:hint="eastAsia" w:ascii="仿宋" w:hAnsi="仿宋" w:eastAsia="仿宋"/>
          <w:bCs/>
          <w:color w:val="auto"/>
          <w:sz w:val="28"/>
          <w:szCs w:val="28"/>
          <w:highlight w:val="none"/>
        </w:rPr>
        <w:t xml:space="preserve">电子签章，必须提供)；</w:t>
      </w:r>
      <w:r/>
    </w:p>
    <w:p>
      <w:pPr>
        <w:ind w:firstLine="700"/>
        <w:keepLines w:val="0"/>
        <w:keepNext w:val="0"/>
        <w:pageBreakBefore w:val="0"/>
        <w:spacing w:line="520" w:lineRule="exact"/>
        <w:rPr>
          <w:rFonts w:hint="eastAsia" w:ascii="仿宋" w:hAnsi="仿宋" w:eastAsia="仿宋"/>
          <w:color w:val="auto"/>
          <w:sz w:val="28"/>
          <w:highlight w:val="none"/>
          <w:lang w:val="zh-CN"/>
        </w:rPr>
        <w:outlineLvl w:val="9"/>
      </w:pPr>
      <w:r>
        <w:rPr>
          <w:rFonts w:hint="eastAsia" w:ascii="仿宋" w:hAnsi="仿宋" w:eastAsia="仿宋"/>
          <w:color w:val="auto"/>
          <w:sz w:val="28"/>
          <w:highlight w:val="none"/>
          <w:lang w:val="en-US" w:eastAsia="zh-CN"/>
        </w:rPr>
        <w:t xml:space="preserve">3、</w:t>
      </w:r>
      <w:r>
        <w:rPr>
          <w:rFonts w:hint="eastAsia" w:ascii="仿宋" w:hAnsi="仿宋" w:eastAsia="仿宋"/>
          <w:color w:val="auto"/>
          <w:sz w:val="28"/>
          <w:highlight w:val="none"/>
        </w:rPr>
        <w:t xml:space="preserve">投标人符合《</w:t>
      </w:r>
      <w:r>
        <w:rPr>
          <w:rFonts w:hint="eastAsia" w:ascii="仿宋" w:hAnsi="仿宋" w:eastAsia="仿宋"/>
          <w:color w:val="auto"/>
          <w:sz w:val="28"/>
          <w:highlight w:val="none"/>
          <w:lang w:eastAsia="zh-CN"/>
        </w:rPr>
        <w:t xml:space="preserve">中华人民共和国</w:t>
      </w:r>
      <w:r>
        <w:rPr>
          <w:rFonts w:hint="eastAsia" w:ascii="仿宋" w:hAnsi="仿宋" w:eastAsia="仿宋"/>
          <w:color w:val="auto"/>
          <w:sz w:val="28"/>
          <w:highlight w:val="none"/>
        </w:rPr>
        <w:t xml:space="preserve">政府采购法》第二十二条规定条件的承诺函</w:t>
      </w:r>
      <w:r>
        <w:rPr>
          <w:rFonts w:hint="eastAsia" w:ascii="仿宋" w:hAnsi="仿宋" w:eastAsia="仿宋"/>
          <w:color w:val="auto"/>
          <w:sz w:val="28"/>
          <w:highlight w:val="none"/>
          <w:lang w:val="zh-CN"/>
        </w:rPr>
        <w:t xml:space="preserve">（</w:t>
      </w:r>
      <w:r>
        <w:rPr>
          <w:rFonts w:hint="eastAsia" w:ascii="仿宋" w:hAnsi="仿宋" w:eastAsia="仿宋"/>
          <w:color w:val="auto"/>
          <w:sz w:val="28"/>
          <w:highlight w:val="none"/>
        </w:rPr>
        <w:t xml:space="preserve">格式详见示范格式</w:t>
      </w:r>
      <w:r>
        <w:rPr>
          <w:rFonts w:hint="eastAsia" w:ascii="仿宋" w:hAnsi="仿宋" w:eastAsia="仿宋"/>
          <w:color w:val="auto"/>
          <w:sz w:val="28"/>
          <w:highlight w:val="none"/>
          <w:lang w:val="zh-CN"/>
        </w:rPr>
        <w:t xml:space="preserve">）；</w:t>
      </w:r>
      <w:r/>
    </w:p>
    <w:p>
      <w:pPr>
        <w:ind w:firstLine="70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落实政府采购政策需满足的资格要求（提供下列任一项材料即可，</w:t>
      </w:r>
      <w:r>
        <w:rPr>
          <w:rFonts w:hint="eastAsia" w:ascii="仿宋" w:hAnsi="仿宋" w:eastAsia="仿宋"/>
          <w:color w:val="auto"/>
          <w:sz w:val="28"/>
          <w:szCs w:val="28"/>
          <w:highlight w:val="none"/>
          <w:lang w:val="zh-CN"/>
        </w:rPr>
        <w:t xml:space="preserve">非专门面向中小企业或者预留份额的采购项目，本项无需提供</w:t>
      </w:r>
      <w:r>
        <w:rPr>
          <w:rFonts w:hint="eastAsia" w:ascii="仿宋" w:hAnsi="仿宋" w:eastAsia="仿宋"/>
          <w:color w:val="auto"/>
          <w:sz w:val="28"/>
          <w:szCs w:val="28"/>
          <w:highlight w:val="none"/>
        </w:rPr>
        <w:t xml:space="preserve">）:</w:t>
      </w:r>
      <w:r/>
    </w:p>
    <w:p>
      <w:pPr>
        <w:ind w:firstLine="560"/>
        <w:keepLines w:val="0"/>
        <w:keepNext w:val="0"/>
        <w:pageBreakBefore w:val="0"/>
        <w:spacing w:line="52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（1）企业声明函（详见示范格式）；</w:t>
      </w:r>
      <w:r/>
    </w:p>
    <w:p>
      <w:pPr>
        <w:ind w:firstLine="560"/>
        <w:keepLines w:val="0"/>
        <w:keepNext w:val="0"/>
        <w:pageBreakBefore w:val="0"/>
        <w:spacing w:line="52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（2）《残疾人福利性单位声明函》（详见示范格式）；</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（3）由省级以上监狱管理局、戒毒管理局（含新疆生产建设兵团）出具的属于监狱企业的证明文件）（加盖出具单位公章的电子件）。</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lang w:val="zh-CN"/>
        </w:rPr>
        <w:t xml:space="preserve">、</w:t>
      </w:r>
      <w:r>
        <w:rPr>
          <w:rFonts w:hint="eastAsia" w:ascii="仿宋" w:hAnsi="仿宋" w:eastAsia="仿宋"/>
          <w:color w:val="auto"/>
          <w:sz w:val="28"/>
          <w:szCs w:val="28"/>
          <w:highlight w:val="none"/>
        </w:rPr>
        <w:t xml:space="preserve">根据本项目的特定资格要求，</w:t>
      </w:r>
      <w:r>
        <w:rPr>
          <w:rFonts w:hint="eastAsia" w:ascii="仿宋" w:hAnsi="仿宋" w:eastAsia="仿宋"/>
          <w:color w:val="auto"/>
          <w:sz w:val="28"/>
          <w:szCs w:val="28"/>
          <w:highlight w:val="none"/>
          <w:lang w:val="zh-CN"/>
        </w:rPr>
        <w:t xml:space="preserve">投标人还须提供下列资料</w:t>
      </w:r>
      <w:r>
        <w:rPr>
          <w:rFonts w:hint="eastAsia" w:ascii="仿宋" w:hAnsi="仿宋" w:eastAsia="仿宋"/>
          <w:color w:val="auto"/>
          <w:sz w:val="28"/>
          <w:szCs w:val="28"/>
          <w:highlight w:val="none"/>
        </w:rPr>
        <w:t xml:space="preserve">:</w:t>
      </w:r>
      <w:r/>
    </w:p>
    <w:p>
      <w:pPr>
        <w:ind w:right="0" w:firstLine="640"/>
        <w:jc w:val="both"/>
        <w:keepLines w:val="0"/>
        <w:keepNext w:val="0"/>
        <w:pageBreakBefore w:val="0"/>
        <w:spacing w:line="560" w:lineRule="exact"/>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bookmarkStart w:id="37" w:name="_Toc157775454"/>
      <w:r>
        <w:rPr>
          <w:rFonts w:hint="eastAsia" w:ascii="仿宋" w:hAnsi="仿宋" w:eastAsia="仿宋" w:cs="仿宋"/>
          <w:b w:val="0"/>
          <w:bCs/>
          <w:color w:val="auto"/>
          <w:sz w:val="28"/>
          <w:szCs w:val="28"/>
          <w:highlight w:val="none"/>
        </w:rPr>
        <w:t xml:space="preserve">投标人承诺拟派项目经理必须为本项目专职人员（未兼职其他项目），常驻项目所在地，工作日每天需到达指定地点进行签到。（扫描件加盖投标人电子签章）</w:t>
      </w:r>
      <w:r/>
    </w:p>
    <w:p>
      <w:pPr>
        <w:ind w:firstLine="643"/>
        <w:jc w:val="center"/>
        <w:keepLines w:val="0"/>
        <w:keepNext w:val="0"/>
        <w:pageBreakBefore w:val="0"/>
        <w:spacing w:line="520" w:lineRule="exact"/>
        <w:rPr>
          <w:rFonts w:hint="eastAsia" w:ascii="仿宋" w:hAnsi="仿宋" w:eastAsia="仿宋" w:cs="Arial"/>
          <w:b/>
          <w:bCs/>
          <w:color w:val="auto"/>
          <w:sz w:val="32"/>
          <w:highlight w:val="none"/>
        </w:rPr>
        <w:outlineLvl w:val="9"/>
      </w:pPr>
      <w:r>
        <w:rPr>
          <w:rFonts w:hint="eastAsia" w:ascii="仿宋" w:hAnsi="仿宋" w:eastAsia="仿宋" w:cs="Arial"/>
          <w:b/>
          <w:bCs/>
          <w:color w:val="auto"/>
          <w:sz w:val="32"/>
          <w:highlight w:val="none"/>
        </w:rPr>
        <w:br w:type="page" w:clear="all"/>
      </w:r>
      <w:r>
        <w:rPr>
          <w:rFonts w:hint="eastAsia" w:ascii="仿宋" w:hAnsi="仿宋" w:eastAsia="仿宋" w:cs="Arial"/>
          <w:b/>
          <w:bCs/>
          <w:color w:val="auto"/>
          <w:sz w:val="32"/>
          <w:highlight w:val="none"/>
          <w:lang w:val="en-US" w:eastAsia="zh-CN"/>
        </w:rPr>
        <w:t xml:space="preserve">九</w:t>
      </w:r>
      <w:r>
        <w:rPr>
          <w:rFonts w:hint="eastAsia" w:ascii="仿宋" w:hAnsi="仿宋" w:eastAsia="仿宋" w:cs="Arial"/>
          <w:b/>
          <w:bCs/>
          <w:color w:val="auto"/>
          <w:sz w:val="32"/>
          <w:highlight w:val="none"/>
        </w:rPr>
        <w:t xml:space="preserve">、综合评分时投标人需提供的证明文件</w:t>
      </w:r>
      <w:r/>
    </w:p>
    <w:p>
      <w:pPr>
        <w:ind w:firstLine="840"/>
        <w:keepLines w:val="0"/>
        <w:keepNext w:val="0"/>
        <w:pageBreakBefore w:val="0"/>
        <w:spacing w:line="520" w:lineRule="exact"/>
        <w:rPr>
          <w:rFonts w:hint="eastAsia" w:ascii="宋体" w:hAnsi="宋体"/>
          <w:b/>
          <w:color w:val="auto"/>
          <w:sz w:val="36"/>
          <w:highlight w:val="none"/>
        </w:rPr>
        <w:outlineLvl w:val="9"/>
      </w:pPr>
      <w:r>
        <w:rPr>
          <w:rFonts w:hint="eastAsia" w:ascii="仿宋" w:hAnsi="仿宋" w:eastAsia="仿宋" w:cs="楷体_GB2312"/>
          <w:color w:val="auto"/>
          <w:sz w:val="28"/>
          <w:szCs w:val="28"/>
          <w:highlight w:val="none"/>
          <w:lang w:val="zh-CN"/>
        </w:rPr>
        <w:t xml:space="preserve">（投标人根据第三章评标标准的要求提供相关材料）</w:t>
      </w:r>
      <w:r/>
    </w:p>
    <w:p>
      <w:pPr>
        <w:ind w:firstLine="0"/>
        <w:jc w:val="center"/>
        <w:keepLines w:val="0"/>
        <w:keepNext w:val="0"/>
        <w:pageBreakBefore w:val="0"/>
        <w:spacing w:line="440" w:lineRule="exact"/>
        <w:widowControl w:val="off"/>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r>
      <w:r/>
    </w:p>
    <w:p>
      <w:pPr>
        <w:ind w:firstLine="562"/>
        <w:spacing w:line="520" w:lineRule="exact"/>
        <w:rPr>
          <w:rFonts w:hint="eastAsia" w:ascii="仿宋" w:hAnsi="仿宋" w:eastAsia="仿宋" w:cs="楷体_GB2312"/>
          <w:b/>
          <w:bCs/>
          <w:color w:val="auto"/>
          <w:sz w:val="28"/>
          <w:szCs w:val="28"/>
          <w:highlight w:val="none"/>
          <w:lang w:val="zh-CN"/>
        </w:rPr>
      </w:pPr>
      <w:r>
        <w:rPr>
          <w:rFonts w:hint="eastAsia" w:ascii="仿宋" w:hAnsi="仿宋" w:eastAsia="仿宋" w:cs="楷体_GB2312"/>
          <w:b/>
          <w:bCs/>
          <w:color w:val="auto"/>
          <w:sz w:val="28"/>
          <w:szCs w:val="28"/>
          <w:highlight w:val="none"/>
          <w:lang w:val="en-US" w:eastAsia="zh-CN"/>
        </w:rPr>
        <w:t xml:space="preserve">注：综合评分中提供的</w:t>
      </w:r>
      <w:r>
        <w:rPr>
          <w:rFonts w:hint="eastAsia" w:ascii="仿宋" w:hAnsi="仿宋" w:eastAsia="仿宋" w:cs="楷体_GB2312"/>
          <w:b/>
          <w:bCs/>
          <w:color w:val="auto"/>
          <w:sz w:val="28"/>
          <w:szCs w:val="28"/>
          <w:highlight w:val="none"/>
          <w:lang w:val="zh-CN"/>
        </w:rPr>
        <w:t xml:space="preserve">业绩、人员及企业证书、车辆及机械设备等证明材料的原件，采购</w:t>
      </w:r>
      <w:r>
        <w:rPr>
          <w:rFonts w:hint="eastAsia" w:ascii="仿宋" w:hAnsi="仿宋" w:eastAsia="仿宋" w:cs="楷体_GB2312"/>
          <w:b/>
          <w:bCs/>
          <w:color w:val="auto"/>
          <w:sz w:val="28"/>
          <w:szCs w:val="28"/>
          <w:highlight w:val="none"/>
          <w:lang w:val="en-US" w:eastAsia="zh-CN"/>
        </w:rPr>
        <w:t xml:space="preserve">人</w:t>
      </w:r>
      <w:r>
        <w:rPr>
          <w:rFonts w:hint="eastAsia" w:ascii="仿宋" w:hAnsi="仿宋" w:eastAsia="仿宋" w:cs="楷体_GB2312"/>
          <w:b/>
          <w:bCs/>
          <w:color w:val="auto"/>
          <w:sz w:val="28"/>
          <w:szCs w:val="28"/>
          <w:highlight w:val="none"/>
          <w:lang w:val="zh-CN"/>
        </w:rPr>
        <w:t xml:space="preserve">有权在签订合同前进行核查，若不能按时提供或提供虚假材料的，采购人将取消其中标资格。</w:t>
      </w:r>
      <w:r/>
    </w:p>
    <w:p>
      <w:pPr>
        <w:ind w:firstLine="0"/>
        <w:jc w:val="center"/>
        <w:keepLines w:val="0"/>
        <w:keepNext w:val="0"/>
        <w:pageBreakBefore w:val="0"/>
        <w:spacing w:line="440" w:lineRule="exact"/>
        <w:widowControl w:val="off"/>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br w:type="page" w:clear="all"/>
      </w:r>
      <w:r>
        <w:rPr>
          <w:rFonts w:hint="eastAsia" w:ascii="仿宋" w:hAnsi="仿宋" w:eastAsia="仿宋"/>
          <w:b/>
          <w:color w:val="auto"/>
          <w:sz w:val="32"/>
          <w:szCs w:val="32"/>
          <w:highlight w:val="none"/>
          <w:lang w:val="en-US" w:eastAsia="zh-CN"/>
        </w:rPr>
        <w:t xml:space="preserve">十</w:t>
      </w:r>
      <w:r>
        <w:rPr>
          <w:rFonts w:hint="eastAsia" w:ascii="仿宋" w:hAnsi="仿宋" w:eastAsia="仿宋"/>
          <w:b/>
          <w:color w:val="auto"/>
          <w:sz w:val="32"/>
          <w:szCs w:val="32"/>
          <w:highlight w:val="none"/>
        </w:rPr>
        <w:t xml:space="preserve">、示范格式</w:t>
      </w:r>
      <w:r/>
    </w:p>
    <w:p>
      <w:pPr>
        <w:keepLines w:val="0"/>
        <w:keepNext w:val="0"/>
        <w:pageBreakBefore w:val="0"/>
        <w:spacing w:line="440" w:lineRule="exact"/>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t xml:space="preserve">示范格式一                 </w:t>
      </w:r>
      <w:r/>
    </w:p>
    <w:p>
      <w:pPr>
        <w:ind w:firstLine="2570"/>
        <w:keepLines w:val="0"/>
        <w:keepNext w:val="0"/>
        <w:pageBreakBefore w:val="0"/>
        <w:spacing w:line="440" w:lineRule="exact"/>
        <w:rPr>
          <w:rFonts w:hint="eastAsia" w:ascii="仿宋" w:hAnsi="仿宋" w:eastAsia="仿宋" w:cs="Arial"/>
          <w:b/>
          <w:bCs/>
          <w:color w:val="auto"/>
          <w:sz w:val="32"/>
          <w:highlight w:val="none"/>
        </w:rPr>
        <w:outlineLvl w:val="9"/>
      </w:pPr>
      <w:r>
        <w:rPr>
          <w:rFonts w:hint="eastAsia" w:ascii="仿宋" w:hAnsi="仿宋" w:eastAsia="仿宋" w:cs="Arial"/>
          <w:b/>
          <w:bCs/>
          <w:color w:val="auto"/>
          <w:sz w:val="32"/>
          <w:highlight w:val="none"/>
        </w:rPr>
      </w:r>
      <w:bookmarkEnd w:id="37"/>
      <w:r/>
    </w:p>
    <w:p>
      <w:pPr>
        <w:ind w:firstLine="2891"/>
        <w:keepLines w:val="0"/>
        <w:keepNext w:val="0"/>
        <w:pageBreakBefore w:val="0"/>
        <w:spacing w:line="640" w:lineRule="exact"/>
        <w:rPr>
          <w:rFonts w:ascii="仿宋" w:hAnsi="仿宋" w:eastAsia="仿宋" w:cs="楷体_GB2312"/>
          <w:b/>
          <w:bCs/>
          <w:color w:val="auto"/>
          <w:sz w:val="32"/>
          <w:szCs w:val="32"/>
          <w:highlight w:val="none"/>
          <w:lang w:val="zh-CN"/>
        </w:rPr>
        <w:outlineLvl w:val="9"/>
      </w:pPr>
      <w:r>
        <w:rPr>
          <w:rFonts w:hint="eastAsia" w:ascii="仿宋" w:hAnsi="仿宋" w:eastAsia="仿宋" w:cs="楷体_GB2312"/>
          <w:b/>
          <w:bCs/>
          <w:color w:val="auto"/>
          <w:sz w:val="32"/>
          <w:szCs w:val="32"/>
          <w:highlight w:val="none"/>
          <w:lang w:val="zh-CN"/>
        </w:rPr>
        <w:t xml:space="preserve">法定代表人资格证明</w:t>
      </w:r>
      <w:r/>
    </w:p>
    <w:p>
      <w:pPr>
        <w:keepLines w:val="0"/>
        <w:keepNext w:val="0"/>
        <w:pageBreakBefore w:val="0"/>
        <w:spacing w:line="640" w:lineRule="exact"/>
        <w:rPr>
          <w:rFonts w:ascii="仿宋" w:hAnsi="仿宋" w:eastAsia="仿宋" w:cs="楷体_GB2312"/>
          <w:color w:val="auto"/>
          <w:sz w:val="28"/>
          <w:szCs w:val="28"/>
          <w:highlight w:val="none"/>
          <w:lang w:val="zh-CN"/>
        </w:rPr>
        <w:outlineLvl w:val="9"/>
      </w:pPr>
      <w:r>
        <w:rPr>
          <w:rFonts w:hint="eastAsia" w:ascii="仿宋" w:hAnsi="仿宋" w:eastAsia="仿宋" w:cs="楷体_GB2312"/>
          <w:color w:val="auto"/>
          <w:sz w:val="28"/>
          <w:szCs w:val="28"/>
          <w:highlight w:val="none"/>
          <w:lang w:val="zh-CN"/>
        </w:rPr>
        <w:t xml:space="preserve">单位名称:</w:t>
      </w:r>
      <w:r/>
    </w:p>
    <w:p>
      <w:pPr>
        <w:keepLines w:val="0"/>
        <w:keepNext w:val="0"/>
        <w:pageBreakBefore w:val="0"/>
        <w:spacing w:line="640" w:lineRule="exact"/>
        <w:rPr>
          <w:rFonts w:ascii="仿宋" w:hAnsi="仿宋" w:eastAsia="仿宋" w:cs="楷体_GB2312"/>
          <w:color w:val="auto"/>
          <w:sz w:val="28"/>
          <w:szCs w:val="28"/>
          <w:highlight w:val="none"/>
          <w:lang w:val="zh-CN"/>
        </w:rPr>
        <w:outlineLvl w:val="9"/>
      </w:pPr>
      <w:r>
        <w:rPr>
          <w:rFonts w:hint="eastAsia" w:ascii="仿宋" w:hAnsi="仿宋" w:eastAsia="仿宋" w:cs="楷体_GB2312"/>
          <w:color w:val="auto"/>
          <w:sz w:val="28"/>
          <w:szCs w:val="28"/>
          <w:highlight w:val="none"/>
          <w:lang w:val="zh-CN"/>
        </w:rPr>
        <w:t xml:space="preserve">地址:</w:t>
      </w:r>
      <w:r/>
    </w:p>
    <w:p>
      <w:pPr>
        <w:keepLines w:val="0"/>
        <w:keepNext w:val="0"/>
        <w:pageBreakBefore w:val="0"/>
        <w:spacing w:line="640" w:lineRule="exact"/>
        <w:rPr>
          <w:rFonts w:ascii="仿宋" w:hAnsi="仿宋" w:eastAsia="仿宋" w:cs="楷体_GB2312"/>
          <w:color w:val="auto"/>
          <w:sz w:val="28"/>
          <w:szCs w:val="28"/>
          <w:highlight w:val="none"/>
          <w:lang w:val="zh-CN"/>
        </w:rPr>
        <w:outlineLvl w:val="9"/>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keepLines w:val="0"/>
        <w:keepNext w:val="0"/>
        <w:pageBreakBefore w:val="0"/>
        <w:spacing w:line="640" w:lineRule="exact"/>
        <w:rPr>
          <w:rFonts w:hint="eastAsia" w:ascii="仿宋" w:hAnsi="仿宋" w:eastAsia="仿宋"/>
          <w:color w:val="auto"/>
          <w:sz w:val="28"/>
          <w:highlight w:val="none"/>
        </w:rPr>
        <w:outlineLvl w:val="9"/>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keepLines w:val="0"/>
        <w:keepNext w:val="0"/>
        <w:pageBreakBefore w:val="0"/>
        <w:spacing w:line="640" w:lineRule="exact"/>
        <w:rPr>
          <w:rFonts w:ascii="仿宋" w:hAnsi="仿宋" w:eastAsia="仿宋" w:cs="楷体_GB2312"/>
          <w:color w:val="auto"/>
          <w:sz w:val="28"/>
          <w:szCs w:val="28"/>
          <w:highlight w:val="none"/>
        </w:rPr>
        <w:outlineLvl w:val="9"/>
      </w:pPr>
      <w:r>
        <w:rPr>
          <w:rFonts w:ascii="仿宋" w:hAnsi="仿宋" w:eastAsia="仿宋" w:cs="楷体_GB2312"/>
          <w:color w:val="auto"/>
          <w:sz w:val="28"/>
          <w:szCs w:val="28"/>
          <w:highlight w:val="none"/>
        </w:rPr>
      </w:r>
      <w:r/>
    </w:p>
    <w:p>
      <w:pPr>
        <w:keepLines w:val="0"/>
        <w:keepNext w:val="0"/>
        <w:pageBreakBefore w:val="0"/>
        <w:spacing w:line="640" w:lineRule="exact"/>
        <w:rPr>
          <w:rFonts w:hint="eastAsia" w:ascii="仿宋" w:hAnsi="仿宋" w:eastAsia="仿宋" w:cs="楷体_GB2312"/>
          <w:color w:val="auto"/>
          <w:sz w:val="28"/>
          <w:szCs w:val="28"/>
          <w:highlight w:val="none"/>
          <w:lang w:val="zh-CN"/>
        </w:rPr>
        <w:outlineLvl w:val="9"/>
      </w:pPr>
      <w:r>
        <w:rPr>
          <w:rFonts w:hint="eastAsia" w:ascii="仿宋" w:hAnsi="仿宋" w:eastAsia="仿宋" w:cs="楷体_GB2312"/>
          <w:color w:val="auto"/>
          <w:sz w:val="28"/>
          <w:szCs w:val="28"/>
          <w:highlight w:val="none"/>
          <w:lang w:val="zh-CN"/>
        </w:rPr>
      </w:r>
      <w:r/>
    </w:p>
    <w:p>
      <w:pPr>
        <w:ind w:firstLine="280"/>
        <w:keepLines w:val="0"/>
        <w:keepNext w:val="0"/>
        <w:pageBreakBefore w:val="0"/>
        <w:spacing w:line="640" w:lineRule="exact"/>
        <w:rPr>
          <w:rFonts w:ascii="仿宋" w:hAnsi="仿宋" w:eastAsia="仿宋" w:cs="楷体_GB2312"/>
          <w:color w:val="auto"/>
          <w:sz w:val="28"/>
          <w:szCs w:val="28"/>
          <w:highlight w:val="none"/>
          <w:lang w:val="zh-CN"/>
        </w:rPr>
        <w:outlineLvl w:val="9"/>
      </w:pPr>
      <w:r>
        <w:rPr>
          <w:rFonts w:hint="eastAsia" w:ascii="仿宋" w:hAnsi="仿宋" w:eastAsia="仿宋" w:cs="楷体_GB2312"/>
          <w:color w:val="auto"/>
          <w:sz w:val="28"/>
          <w:szCs w:val="28"/>
          <w:highlight w:val="none"/>
          <w:lang w:val="zh-CN"/>
        </w:rPr>
        <w:t xml:space="preserve">特此证明。</w:t>
      </w:r>
      <w:r/>
    </w:p>
    <w:p>
      <w:pPr>
        <w:jc w:val="center"/>
        <w:keepLines w:val="0"/>
        <w:keepNext w:val="0"/>
        <w:pageBreakBefore w:val="0"/>
        <w:spacing w:line="640" w:lineRule="exact"/>
        <w:rPr>
          <w:rFonts w:hint="eastAsia" w:ascii="仿宋" w:hAnsi="仿宋" w:eastAsia="仿宋" w:cs="楷体_GB2312"/>
          <w:color w:val="auto"/>
          <w:sz w:val="28"/>
          <w:szCs w:val="28"/>
          <w:highlight w:val="none"/>
          <w:lang w:val="zh-CN"/>
        </w:rPr>
        <w:outlineLvl w:val="9"/>
      </w:pPr>
      <w:r>
        <w:rPr>
          <w:rFonts w:hint="eastAsia" w:ascii="仿宋" w:hAnsi="仿宋" w:eastAsia="仿宋" w:cs="楷体_GB2312"/>
          <w:color w:val="auto"/>
          <w:sz w:val="28"/>
          <w:szCs w:val="28"/>
          <w:highlight w:val="none"/>
          <w:lang w:val="zh-CN"/>
        </w:rPr>
        <w:t xml:space="preserve">                   </w:t>
      </w:r>
      <w:r/>
    </w:p>
    <w:p>
      <w:pPr>
        <w:jc w:val="center"/>
        <w:keepLines w:val="0"/>
        <w:keepNext w:val="0"/>
        <w:pageBreakBefore w:val="0"/>
        <w:spacing w:line="640" w:lineRule="exact"/>
        <w:rPr>
          <w:rFonts w:ascii="仿宋" w:hAnsi="仿宋" w:eastAsia="仿宋" w:cs="楷体_GB2312"/>
          <w:color w:val="auto"/>
          <w:sz w:val="28"/>
          <w:szCs w:val="28"/>
          <w:highlight w:val="none"/>
          <w:lang w:val="zh-CN"/>
        </w:rPr>
        <w:outlineLvl w:val="9"/>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keepLines w:val="0"/>
        <w:keepNext w:val="0"/>
        <w:pageBreakBefore w:val="0"/>
        <w:spacing w:line="640" w:lineRule="exact"/>
        <w:rPr>
          <w:rFonts w:ascii="仿宋" w:hAnsi="仿宋" w:eastAsia="仿宋" w:cs="楷体_GB2312"/>
          <w:color w:val="auto"/>
          <w:sz w:val="28"/>
          <w:szCs w:val="28"/>
          <w:highlight w:val="none"/>
          <w:lang w:val="zh-CN"/>
        </w:rPr>
        <w:outlineLvl w:val="9"/>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44"/>
        <w:ind w:left="4760" w:right="560" w:hanging="1820"/>
        <w:keepLines w:val="0"/>
        <w:keepNext w:val="0"/>
        <w:pageBreakBefore w:val="0"/>
        <w:spacing w:before="0" w:after="0" w:line="520" w:lineRule="exact"/>
        <w:rPr>
          <w:rFonts w:ascii="仿宋" w:hAnsi="仿宋" w:eastAsia="仿宋" w:cs="楷体_GB2312"/>
          <w:color w:val="auto"/>
          <w:sz w:val="28"/>
          <w:szCs w:val="28"/>
          <w:highlight w:val="none"/>
          <w:lang w:val="zh-CN"/>
        </w:rPr>
        <w:outlineLvl w:val="9"/>
      </w:pPr>
      <w:r>
        <w:rPr>
          <w:rFonts w:ascii="仿宋" w:hAnsi="仿宋" w:eastAsia="仿宋" w:cs="楷体_GB2312"/>
          <w:color w:val="auto"/>
          <w:sz w:val="28"/>
          <w:szCs w:val="28"/>
          <w:highlight w:val="none"/>
          <w:lang w:val="zh-CN"/>
        </w:rPr>
      </w:r>
      <w:r/>
    </w:p>
    <w:p>
      <w:pPr>
        <w:jc w:val="center"/>
        <w:keepLines w:val="0"/>
        <w:keepNext w:val="0"/>
        <w:pageBreakBefore w:val="0"/>
        <w:spacing w:line="640" w:lineRule="exact"/>
        <w:rPr>
          <w:rFonts w:ascii="仿宋" w:hAnsi="仿宋" w:eastAsia="仿宋" w:cs="楷体_GB2312"/>
          <w:color w:val="auto"/>
          <w:sz w:val="28"/>
          <w:szCs w:val="28"/>
          <w:highlight w:val="none"/>
          <w:lang w:val="zh-CN"/>
        </w:rPr>
        <w:outlineLvl w:val="9"/>
      </w:pPr>
      <w:r>
        <w:rPr>
          <w:rFonts w:ascii="仿宋" w:hAnsi="仿宋" w:eastAsia="仿宋" w:cs="楷体_GB2312"/>
          <w:color w:val="auto"/>
          <w:sz w:val="28"/>
          <w:szCs w:val="28"/>
          <w:highlight w:val="none"/>
          <w:lang w:val="zh-CN"/>
        </w:rPr>
        <w:t xml:space="preserve">                     </w:t>
      </w:r>
      <w:r/>
    </w:p>
    <w:p>
      <w:pPr>
        <w:ind w:firstLine="560"/>
        <w:keepLines w:val="0"/>
        <w:keepNext w:val="0"/>
        <w:pageBreakBefore w:val="0"/>
        <w:spacing w:line="640" w:lineRule="exact"/>
        <w:rPr>
          <w:rFonts w:hint="eastAsia" w:ascii="仿宋" w:hAnsi="仿宋" w:eastAsia="仿宋"/>
          <w:b/>
          <w:color w:val="auto"/>
          <w:sz w:val="32"/>
          <w:highlight w:val="none"/>
        </w:rPr>
        <w:outlineLvl w:val="9"/>
      </w:pPr>
      <w:r>
        <w:rPr>
          <w:rFonts w:hint="eastAsia" w:ascii="仿宋" w:hAnsi="仿宋" w:eastAsia="仿宋"/>
          <w:bCs/>
          <w:color w:val="auto"/>
          <w:sz w:val="28"/>
          <w:highlight w:val="none"/>
        </w:rPr>
        <w:t xml:space="preserve">注:投标人法定代表人</w:t>
      </w:r>
      <w:r>
        <w:rPr>
          <w:rFonts w:hint="eastAsia" w:ascii="仿宋" w:hAnsi="仿宋" w:eastAsia="仿宋"/>
          <w:bCs/>
          <w:color w:val="auto"/>
          <w:sz w:val="28"/>
          <w:szCs w:val="28"/>
          <w:highlight w:val="none"/>
        </w:rPr>
        <w:t xml:space="preserve">参加投标的，必须附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身份证扫描件加盖投标人电子签章。</w:t>
      </w:r>
      <w:r/>
    </w:p>
    <w:p>
      <w:pPr>
        <w:ind w:left="-359" w:firstLine="357"/>
        <w:keepLines w:val="0"/>
        <w:keepNext w:val="0"/>
        <w:pageBreakBefore w:val="0"/>
        <w:spacing w:line="640" w:lineRule="exact"/>
        <w:rPr>
          <w:rFonts w:hint="eastAsia" w:ascii="仿宋" w:hAnsi="仿宋" w:eastAsia="仿宋"/>
          <w:b/>
          <w:color w:val="auto"/>
          <w:sz w:val="28"/>
          <w:szCs w:val="28"/>
          <w:highlight w:val="none"/>
        </w:rPr>
        <w:outlineLvl w:val="9"/>
      </w:pPr>
      <w:r>
        <w:rPr>
          <w:rFonts w:hint="eastAsia" w:ascii="仿宋" w:hAnsi="仿宋" w:eastAsia="仿宋"/>
          <w:b/>
          <w:color w:val="auto"/>
          <w:sz w:val="32"/>
          <w:highlight w:val="none"/>
        </w:rPr>
        <w:br w:type="page" w:clear="all"/>
      </w:r>
      <w:r>
        <w:rPr>
          <w:rFonts w:hint="eastAsia" w:ascii="仿宋" w:hAnsi="仿宋" w:eastAsia="仿宋"/>
          <w:b/>
          <w:color w:val="auto"/>
          <w:sz w:val="32"/>
          <w:highlight w:val="none"/>
        </w:rPr>
        <w:t xml:space="preserve">示范格式二</w:t>
      </w:r>
      <w:r/>
    </w:p>
    <w:p>
      <w:pPr>
        <w:ind w:firstLine="3213"/>
        <w:keepLines w:val="0"/>
        <w:keepNext w:val="0"/>
        <w:pageBreakBefore w:val="0"/>
        <w:spacing w:line="520" w:lineRule="exact"/>
        <w:rPr>
          <w:rFonts w:hint="eastAsia" w:ascii="仿宋" w:hAnsi="仿宋" w:eastAsia="仿宋"/>
          <w:b/>
          <w:bCs/>
          <w:color w:val="auto"/>
          <w:sz w:val="28"/>
          <w:highlight w:val="none"/>
        </w:rPr>
        <w:outlineLvl w:val="9"/>
      </w:pPr>
      <w:r>
        <w:rPr>
          <w:rFonts w:hint="eastAsia" w:ascii="仿宋" w:hAnsi="仿宋" w:eastAsia="仿宋"/>
          <w:b/>
          <w:bCs/>
          <w:color w:val="auto"/>
          <w:sz w:val="32"/>
          <w:highlight w:val="none"/>
        </w:rPr>
        <w:t xml:space="preserve">授权委托书</w:t>
      </w:r>
      <w:r/>
    </w:p>
    <w:p>
      <w:pPr>
        <w:keepLines w:val="0"/>
        <w:keepNext w:val="0"/>
        <w:pageBreakBefore w:val="0"/>
        <w:spacing w:line="520" w:lineRule="exact"/>
        <w:rPr>
          <w:rFonts w:hint="eastAsia" w:ascii="仿宋" w:hAnsi="仿宋" w:eastAsia="仿宋"/>
          <w:bCs/>
          <w:color w:val="auto"/>
          <w:sz w:val="30"/>
          <w:szCs w:val="28"/>
          <w:highlight w:val="none"/>
        </w:rPr>
        <w:outlineLvl w:val="9"/>
      </w:pPr>
      <w:r>
        <w:rPr>
          <w:rFonts w:hint="eastAsia" w:ascii="仿宋" w:hAnsi="仿宋" w:eastAsia="仿宋"/>
          <w:bCs/>
          <w:color w:val="auto"/>
          <w:sz w:val="30"/>
          <w:szCs w:val="28"/>
          <w:highlight w:val="none"/>
        </w:rPr>
        <w:t xml:space="preserve">致</w:t>
      </w:r>
      <w:r>
        <w:rPr>
          <w:rFonts w:hint="eastAsia" w:ascii="仿宋" w:hAnsi="仿宋" w:eastAsia="仿宋"/>
          <w:bCs/>
          <w:color w:val="auto"/>
          <w:sz w:val="30"/>
          <w:szCs w:val="28"/>
          <w:highlight w:val="none"/>
          <w:lang w:eastAsia="zh-CN"/>
        </w:rPr>
        <w:t xml:space="preserve">淮安经济技术开发区住房和城乡建设局</w:t>
      </w:r>
      <w:r>
        <w:rPr>
          <w:rFonts w:hint="eastAsia" w:ascii="仿宋" w:hAnsi="仿宋" w:eastAsia="仿宋"/>
          <w:bCs/>
          <w:color w:val="auto"/>
          <w:sz w:val="30"/>
          <w:szCs w:val="28"/>
          <w:highlight w:val="none"/>
        </w:rPr>
        <w:t xml:space="preserve">:</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本授权书宣告:</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p>
    <w:p>
      <w:pPr>
        <w:keepLines w:val="0"/>
        <w:keepNext w:val="0"/>
        <w:pageBreakBefore w:val="0"/>
        <w:spacing w:line="520" w:lineRule="exact"/>
        <w:rPr>
          <w:rFonts w:hint="eastAsia" w:ascii="仿宋" w:hAnsi="仿宋" w:eastAsia="仿宋"/>
          <w:color w:val="auto"/>
          <w:sz w:val="28"/>
          <w:szCs w:val="28"/>
          <w:highlight w:val="none"/>
          <w:u w:val="single"/>
        </w:rPr>
        <w:outlineLvl w:val="9"/>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u w:val="single"/>
        </w:rPr>
        <w:t xml:space="preserve">           </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olor w:val="auto"/>
          <w:sz w:val="28"/>
          <w:szCs w:val="28"/>
          <w:highlight w:val="none"/>
          <w:lang w:eastAsia="zh-CN"/>
        </w:rPr>
        <w:t xml:space="preserve">江苏宇杭项目管理有限公司</w:t>
      </w:r>
      <w:r>
        <w:rPr>
          <w:rFonts w:hint="eastAsia" w:ascii="仿宋" w:hAnsi="仿宋" w:eastAsia="仿宋"/>
          <w:color w:val="auto"/>
          <w:sz w:val="28"/>
          <w:szCs w:val="28"/>
          <w:highlight w:val="none"/>
        </w:rPr>
        <w:t xml:space="preserve">组织的（项目编号: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协商、澄清、解释，签订合同书并执行一切与此有关的事项。</w:t>
      </w:r>
      <w:r/>
    </w:p>
    <w:p>
      <w:pPr>
        <w:keepLines w:val="0"/>
        <w:keepNext w:val="0"/>
        <w:pageBreakBefore w:val="0"/>
        <w:spacing w:line="520" w:lineRule="exact"/>
        <w:rPr>
          <w:rFonts w:hint="eastAsia" w:ascii="仿宋" w:hAnsi="仿宋" w:eastAsia="仿宋" w:cs="宋体"/>
          <w:color w:val="auto"/>
          <w:sz w:val="28"/>
          <w:szCs w:val="28"/>
          <w:highlight w:val="none"/>
        </w:rPr>
        <w:outlineLvl w:val="9"/>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委托期限:至上述事宜处理完毕止。</w:t>
      </w:r>
      <w:r/>
    </w:p>
    <w:p>
      <w:pPr>
        <w:ind w:firstLine="600"/>
        <w:keepLines w:val="0"/>
        <w:keepNext w:val="0"/>
        <w:pageBreakBefore w:val="0"/>
        <w:spacing w:line="520" w:lineRule="exact"/>
        <w:rPr>
          <w:rFonts w:hint="eastAsia" w:ascii="仿宋" w:hAnsi="仿宋" w:eastAsia="仿宋"/>
          <w:b/>
          <w:color w:val="auto"/>
          <w:sz w:val="28"/>
          <w:szCs w:val="28"/>
          <w:highlight w:val="none"/>
        </w:rPr>
        <w:outlineLvl w:val="9"/>
      </w:pPr>
      <w:r>
        <w:rPr>
          <w:rFonts w:hint="eastAsia" w:ascii="仿宋" w:hAnsi="仿宋" w:eastAsia="仿宋"/>
          <w:b/>
          <w:color w:val="auto"/>
          <w:sz w:val="28"/>
          <w:szCs w:val="28"/>
          <w:highlight w:val="none"/>
        </w:rPr>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jc w:val="center"/>
        <w:keepLines w:val="0"/>
        <w:keepNext w:val="0"/>
        <w:pageBreakBefore w:val="0"/>
        <w:spacing w:line="640" w:lineRule="exact"/>
        <w:rPr>
          <w:rFonts w:ascii="仿宋" w:hAnsi="仿宋" w:eastAsia="仿宋" w:cs="楷体_GB2312"/>
          <w:color w:val="auto"/>
          <w:sz w:val="28"/>
          <w:szCs w:val="28"/>
          <w:highlight w:val="none"/>
          <w:lang w:val="zh-CN"/>
        </w:rPr>
        <w:outlineLvl w:val="9"/>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keepLines w:val="0"/>
        <w:keepNext w:val="0"/>
        <w:pageBreakBefore w:val="0"/>
        <w:spacing w:line="520" w:lineRule="exact"/>
        <w:rPr>
          <w:rFonts w:hint="eastAsia" w:ascii="仿宋" w:hAnsi="仿宋" w:eastAsia="仿宋" w:cs="楷体_GB2312"/>
          <w:color w:val="auto"/>
          <w:sz w:val="28"/>
          <w:szCs w:val="28"/>
          <w:highlight w:val="none"/>
          <w:lang w:val="zh-CN"/>
        </w:rPr>
        <w:outlineLvl w:val="9"/>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left="-359" w:firstLine="548"/>
        <w:keepLines w:val="0"/>
        <w:keepNext w:val="0"/>
        <w:pageBreakBefore w:val="0"/>
        <w:spacing w:line="520" w:lineRule="exact"/>
        <w:rPr>
          <w:rFonts w:hint="eastAsia" w:ascii="仿宋" w:hAnsi="仿宋" w:eastAsia="仿宋"/>
          <w:bCs/>
          <w:color w:val="auto"/>
          <w:sz w:val="28"/>
          <w:highlight w:val="none"/>
        </w:rPr>
        <w:outlineLvl w:val="9"/>
      </w:pPr>
      <w:r>
        <w:rPr>
          <w:rFonts w:hint="eastAsia" w:ascii="仿宋" w:hAnsi="仿宋" w:eastAsia="仿宋"/>
          <w:bCs/>
          <w:color w:val="auto"/>
          <w:sz w:val="28"/>
          <w:highlight w:val="none"/>
        </w:rPr>
      </w:r>
      <w:r/>
    </w:p>
    <w:p>
      <w:pPr>
        <w:ind w:firstLine="560"/>
        <w:keepLines w:val="0"/>
        <w:keepNext w:val="0"/>
        <w:pageBreakBefore w:val="0"/>
        <w:spacing w:line="520" w:lineRule="exact"/>
        <w:rPr>
          <w:rFonts w:hint="eastAsia" w:ascii="仿宋" w:hAnsi="仿宋" w:eastAsia="仿宋"/>
          <w:b/>
          <w:color w:val="auto"/>
          <w:sz w:val="32"/>
          <w:szCs w:val="32"/>
          <w:highlight w:val="none"/>
        </w:rPr>
        <w:outlineLvl w:val="9"/>
      </w:pPr>
      <w:r>
        <w:rPr>
          <w:rFonts w:hint="eastAsia" w:ascii="仿宋" w:hAnsi="仿宋" w:eastAsia="仿宋"/>
          <w:bCs/>
          <w:color w:val="auto"/>
          <w:sz w:val="28"/>
          <w:highlight w:val="none"/>
        </w:rPr>
        <w:t xml:space="preserve">注:投标人委托</w:t>
      </w:r>
      <w:r>
        <w:rPr>
          <w:rFonts w:hint="eastAsia" w:ascii="仿宋" w:hAnsi="仿宋" w:eastAsia="仿宋"/>
          <w:bCs/>
          <w:color w:val="auto"/>
          <w:sz w:val="28"/>
          <w:szCs w:val="28"/>
          <w:highlight w:val="none"/>
        </w:rPr>
        <w:t xml:space="preserve">受托人参加投标的，必须附受托人身份证</w:t>
      </w:r>
      <w:r>
        <w:rPr>
          <w:rFonts w:hint="eastAsia" w:ascii="仿宋" w:hAnsi="仿宋" w:eastAsia="仿宋"/>
          <w:color w:val="auto"/>
          <w:sz w:val="28"/>
          <w:szCs w:val="28"/>
          <w:highlight w:val="none"/>
        </w:rPr>
        <w:t xml:space="preserve">扫描</w:t>
      </w:r>
      <w:r>
        <w:rPr>
          <w:rFonts w:hint="eastAsia" w:ascii="仿宋" w:hAnsi="仿宋" w:eastAsia="仿宋"/>
          <w:bCs/>
          <w:color w:val="auto"/>
          <w:sz w:val="28"/>
          <w:szCs w:val="28"/>
          <w:highlight w:val="none"/>
        </w:rPr>
        <w:t xml:space="preserve">件加盖投标人电子签章。</w:t>
      </w:r>
      <w:r/>
    </w:p>
    <w:p>
      <w:pPr>
        <w:keepLines w:val="0"/>
        <w:keepNext w:val="0"/>
        <w:pageBreakBefore w:val="0"/>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br w:type="page" w:clear="all"/>
      </w:r>
      <w:r>
        <w:rPr>
          <w:rFonts w:hint="eastAsia" w:ascii="仿宋" w:hAnsi="仿宋" w:eastAsia="仿宋"/>
          <w:b/>
          <w:color w:val="auto"/>
          <w:sz w:val="32"/>
          <w:szCs w:val="32"/>
          <w:highlight w:val="none"/>
        </w:rPr>
        <w:t xml:space="preserve">示范格式三</w:t>
      </w:r>
      <w:r/>
    </w:p>
    <w:p>
      <w:pPr>
        <w:keepLines w:val="0"/>
        <w:keepNext w:val="0"/>
        <w:pageBreakBefore w:val="0"/>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r>
      <w:r/>
    </w:p>
    <w:p>
      <w:pPr>
        <w:jc w:val="center"/>
        <w:keepLines w:val="0"/>
        <w:keepNext w:val="0"/>
        <w:pageBreakBefore w:val="0"/>
        <w:spacing w:line="520" w:lineRule="exact"/>
        <w:rPr>
          <w:rFonts w:hint="eastAsia" w:ascii="仿宋" w:hAnsi="仿宋" w:eastAsia="仿宋"/>
          <w:b/>
          <w:bCs/>
          <w:color w:val="auto"/>
          <w:sz w:val="32"/>
          <w:highlight w:val="none"/>
        </w:rPr>
        <w:outlineLvl w:val="9"/>
      </w:pPr>
      <w:r>
        <w:rPr>
          <w:rFonts w:hint="eastAsia" w:ascii="仿宋" w:hAnsi="仿宋" w:eastAsia="仿宋"/>
          <w:b/>
          <w:bCs/>
          <w:color w:val="auto"/>
          <w:sz w:val="32"/>
          <w:highlight w:val="none"/>
        </w:rPr>
        <w:t xml:space="preserve">符合《中华人民共和国政府采购法》第二十二条规定条件的声明函</w:t>
      </w:r>
      <w:r/>
    </w:p>
    <w:p>
      <w:pPr>
        <w:pStyle w:val="875"/>
        <w:ind w:firstLine="0"/>
        <w:keepLines w:val="0"/>
        <w:keepNext w:val="0"/>
        <w:pageBreakBefore w:val="0"/>
        <w:spacing w:line="72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致</w:t>
      </w:r>
      <w:r>
        <w:rPr>
          <w:rFonts w:hint="eastAsia" w:ascii="仿宋" w:hAnsi="仿宋" w:eastAsia="仿宋"/>
          <w:bCs/>
          <w:color w:val="auto"/>
          <w:sz w:val="30"/>
          <w:szCs w:val="28"/>
          <w:highlight w:val="none"/>
          <w:lang w:eastAsia="zh-CN"/>
        </w:rPr>
        <w:t xml:space="preserve">淮安经济技术开发区住房和城乡建设局</w:t>
      </w:r>
      <w:r>
        <w:rPr>
          <w:rFonts w:hint="eastAsia" w:ascii="仿宋" w:hAnsi="仿宋" w:eastAsia="仿宋"/>
          <w:bCs/>
          <w:color w:val="auto"/>
          <w:sz w:val="28"/>
          <w:szCs w:val="28"/>
          <w:highlight w:val="none"/>
        </w:rPr>
        <w:t xml:space="preserve">:</w:t>
      </w:r>
      <w:r/>
    </w:p>
    <w:p>
      <w:pPr>
        <w:ind w:firstLine="84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我公司参加贵中心组织实施的（项目编号: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采购项目的政府采购活动。针对《中华人民共和国政府采购法》第二十二条规定做出如下声明：</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1、我单位具有独立承担民事责任的能力；</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2、我单位具有良好的商业信誉和健全的财务会计制度；</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3、我单位具有履行合同所必需的设备和专业技术能力；</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4、我单位有依法缴纳税收和社会保障资金的良好记录；</w:t>
      </w:r>
      <w:r/>
    </w:p>
    <w:p>
      <w:pPr>
        <w:ind w:firstLine="560"/>
        <w:jc w:val="left"/>
        <w:keepLines w:val="0"/>
        <w:keepNext w:val="0"/>
        <w:pageBreakBefore w:val="0"/>
        <w:spacing w:line="640" w:lineRule="exact"/>
        <w:rPr>
          <w:rFonts w:ascii="仿宋" w:hAnsi="仿宋" w:eastAsia="仿宋" w:cs="仿宋"/>
          <w:color w:val="auto"/>
          <w:sz w:val="28"/>
          <w:szCs w:val="28"/>
          <w:highlight w:val="none"/>
        </w:rPr>
        <w:outlineLvl w:val="9"/>
      </w:pPr>
      <w:r>
        <w:rPr>
          <w:rFonts w:hint="eastAsia" w:ascii="仿宋" w:hAnsi="仿宋" w:eastAsia="仿宋"/>
          <w:color w:val="auto"/>
          <w:sz w:val="28"/>
          <w:szCs w:val="28"/>
          <w:highlight w:val="none"/>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r/>
    </w:p>
    <w:p>
      <w:pPr>
        <w:ind w:firstLine="638"/>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6、我单位满足法律、行政法规规定的其他条件。</w:t>
      </w:r>
      <w:r/>
    </w:p>
    <w:p>
      <w:pPr>
        <w:keepLines w:val="0"/>
        <w:keepNext w:val="0"/>
        <w:pageBreakBefore w:val="0"/>
        <w:spacing w:line="520" w:lineRule="exact"/>
        <w:rPr>
          <w:rFonts w:hint="eastAsia" w:ascii="仿宋" w:hAnsi="仿宋" w:eastAsia="仿宋"/>
          <w:color w:val="auto"/>
          <w:sz w:val="28"/>
          <w:szCs w:val="28"/>
          <w:highlight w:val="none"/>
          <w:u w:val="single"/>
        </w:rPr>
        <w:outlineLvl w:val="9"/>
      </w:pPr>
      <w:r>
        <w:rPr>
          <w:rFonts w:hint="eastAsia" w:ascii="仿宋" w:hAnsi="仿宋" w:eastAsia="仿宋"/>
          <w:color w:val="auto"/>
          <w:sz w:val="28"/>
          <w:szCs w:val="28"/>
          <w:highlight w:val="none"/>
          <w:u w:val="single"/>
        </w:rPr>
      </w:r>
      <w:r/>
    </w:p>
    <w:p>
      <w:pPr>
        <w:keepLines w:val="0"/>
        <w:keepNext w:val="0"/>
        <w:pageBreakBefore w:val="0"/>
        <w:spacing w:line="520" w:lineRule="exact"/>
        <w:rPr>
          <w:rFonts w:hint="eastAsia" w:ascii="仿宋" w:hAnsi="仿宋" w:eastAsia="仿宋"/>
          <w:color w:val="auto"/>
          <w:sz w:val="28"/>
          <w:szCs w:val="28"/>
          <w:highlight w:val="none"/>
          <w:u w:val="single"/>
        </w:rPr>
        <w:outlineLvl w:val="9"/>
      </w:pPr>
      <w:r>
        <w:rPr>
          <w:rFonts w:hint="eastAsia" w:ascii="仿宋" w:hAnsi="仿宋" w:eastAsia="仿宋"/>
          <w:color w:val="auto"/>
          <w:sz w:val="28"/>
          <w:szCs w:val="28"/>
          <w:highlight w:val="none"/>
          <w:u w:val="single"/>
        </w:rPr>
      </w:r>
      <w:r/>
    </w:p>
    <w:p>
      <w:pPr>
        <w:jc w:val="right"/>
        <w:keepLines w:val="0"/>
        <w:keepNext w:val="0"/>
        <w:pageBreakBefore w:val="0"/>
        <w:spacing w:line="640" w:lineRule="exact"/>
        <w:rPr>
          <w:rFonts w:ascii="仿宋" w:hAnsi="仿宋" w:eastAsia="仿宋" w:cs="楷体_GB2312"/>
          <w:color w:val="auto"/>
          <w:sz w:val="28"/>
          <w:szCs w:val="28"/>
          <w:highlight w:val="none"/>
          <w:lang w:val="zh-CN"/>
        </w:rPr>
        <w:outlineLvl w:val="9"/>
      </w:pPr>
      <w:r>
        <w:rPr>
          <w:rFonts w:hint="eastAsia" w:ascii="仿宋" w:hAnsi="仿宋" w:eastAsia="仿宋" w:cs="楷体_GB2312"/>
          <w:color w:val="auto"/>
          <w:sz w:val="28"/>
          <w:szCs w:val="28"/>
          <w:highlight w:val="none"/>
        </w:rPr>
        <w:t xml:space="preserve">  </w:t>
      </w:r>
      <w:r>
        <w:rPr>
          <w:rFonts w:hint="eastAsia" w:ascii="仿宋" w:hAnsi="仿宋" w:eastAsia="仿宋"/>
          <w:color w:val="auto"/>
          <w:sz w:val="28"/>
          <w:szCs w:val="28"/>
          <w:highlight w:val="none"/>
        </w:rPr>
        <w:t xml:space="preserve">承诺人</w:t>
      </w:r>
      <w:r>
        <w:rPr>
          <w:rFonts w:hint="eastAsia" w:ascii="仿宋" w:hAnsi="仿宋" w:eastAsia="仿宋" w:cs="楷体_GB2312"/>
          <w:color w:val="auto"/>
          <w:sz w:val="28"/>
          <w:szCs w:val="28"/>
          <w:highlight w:val="none"/>
          <w:lang w:val="zh-CN"/>
        </w:rPr>
        <w:t xml:space="preserve">:</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keepLines w:val="0"/>
        <w:keepNext w:val="0"/>
        <w:pageBreakBefore w:val="0"/>
        <w:spacing w:line="520" w:lineRule="exact"/>
        <w:rPr>
          <w:rFonts w:hint="eastAsia" w:ascii="仿宋" w:hAnsi="仿宋" w:eastAsia="仿宋"/>
          <w:b/>
          <w:color w:val="auto"/>
          <w:sz w:val="32"/>
          <w:szCs w:val="32"/>
          <w:highlight w:val="none"/>
        </w:rPr>
        <w:outlineLvl w:val="9"/>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keepLines w:val="0"/>
        <w:keepNext w:val="0"/>
        <w:pageBreakBefore w:val="0"/>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br w:type="page" w:clear="all"/>
      </w:r>
      <w:r/>
    </w:p>
    <w:p>
      <w:pPr>
        <w:keepLines w:val="0"/>
        <w:keepNext w:val="0"/>
        <w:pageBreakBefore w:val="0"/>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t xml:space="preserve">示范格式四</w:t>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承   诺  书</w:t>
      </w:r>
      <w:r/>
    </w:p>
    <w:p>
      <w:pPr>
        <w:jc w:val="center"/>
        <w:spacing w:line="360" w:lineRule="auto"/>
        <w:rPr>
          <w:rFonts w:hint="eastAsia" w:ascii="仿宋" w:hAnsi="仿宋" w:eastAsia="仿宋" w:cs="仿宋"/>
          <w:b/>
          <w:color w:val="auto"/>
          <w:sz w:val="36"/>
          <w:szCs w:val="28"/>
          <w:highlight w:val="none"/>
        </w:rPr>
      </w:pPr>
      <w:r>
        <w:rPr>
          <w:rFonts w:hint="eastAsia" w:ascii="仿宋" w:hAnsi="仿宋" w:eastAsia="仿宋" w:cs="仿宋"/>
          <w:b/>
          <w:color w:val="auto"/>
          <w:sz w:val="36"/>
          <w:szCs w:val="28"/>
          <w:highlight w:val="none"/>
        </w:rPr>
      </w:r>
      <w:r/>
    </w:p>
    <w:p>
      <w:pPr>
        <w:spacing w:line="360" w:lineRule="auto"/>
        <w:rPr>
          <w:rFonts w:hint="eastAsia" w:ascii="仿宋" w:hAnsi="仿宋" w:eastAsia="仿宋" w:cs="仿宋"/>
          <w:b/>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color w:val="auto"/>
          <w:sz w:val="28"/>
          <w:szCs w:val="28"/>
          <w:highlight w:val="none"/>
          <w:u w:val="single"/>
        </w:rPr>
        <w:t xml:space="preserve">（采购人）</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我方在</w:t>
      </w:r>
      <w:r>
        <w:rPr>
          <w:rFonts w:hint="eastAsia" w:ascii="仿宋" w:hAnsi="仿宋" w:eastAsia="仿宋" w:cs="仿宋"/>
          <w:bCs/>
          <w:color w:val="auto"/>
          <w:sz w:val="28"/>
          <w:szCs w:val="28"/>
          <w:highlight w:val="none"/>
          <w:u w:val="single"/>
        </w:rPr>
        <w:t xml:space="preserve">          （项目名称及项目编号）            </w:t>
      </w:r>
      <w:r>
        <w:rPr>
          <w:rFonts w:hint="eastAsia" w:ascii="仿宋" w:hAnsi="仿宋" w:eastAsia="仿宋" w:cs="仿宋"/>
          <w:bCs/>
          <w:color w:val="auto"/>
          <w:sz w:val="28"/>
          <w:szCs w:val="28"/>
          <w:highlight w:val="none"/>
        </w:rPr>
        <w:t xml:space="preserve">的投标过程中，做如下承诺：</w:t>
      </w:r>
      <w:r/>
    </w:p>
    <w:p>
      <w:pPr>
        <w:numPr>
          <w:ilvl w:val="0"/>
          <w:numId w:val="0"/>
        </w:num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val="en-US" w:eastAsia="zh-CN"/>
        </w:rPr>
        <w:t xml:space="preserve">一、</w:t>
      </w:r>
      <w:r>
        <w:rPr>
          <w:rFonts w:hint="eastAsia" w:ascii="仿宋" w:hAnsi="仿宋" w:eastAsia="仿宋" w:cs="仿宋"/>
          <w:bCs/>
          <w:color w:val="auto"/>
          <w:sz w:val="28"/>
          <w:szCs w:val="28"/>
          <w:highlight w:val="none"/>
        </w:rPr>
        <w:t xml:space="preserve">我单位</w:t>
      </w:r>
      <w:r>
        <w:rPr>
          <w:rFonts w:hint="eastAsia" w:ascii="仿宋" w:hAnsi="仿宋" w:eastAsia="仿宋" w:cs="仿宋"/>
          <w:color w:val="auto"/>
          <w:sz w:val="28"/>
          <w:szCs w:val="28"/>
          <w:highlight w:val="none"/>
        </w:rPr>
        <w:t xml:space="preserve">完全具备履行合同所</w:t>
      </w:r>
      <w:r>
        <w:rPr>
          <w:rFonts w:hint="eastAsia" w:ascii="仿宋" w:hAnsi="仿宋" w:eastAsia="仿宋" w:cs="仿宋"/>
          <w:color w:val="auto"/>
          <w:sz w:val="28"/>
          <w:szCs w:val="28"/>
          <w:highlight w:val="none"/>
          <w:lang w:eastAsia="zh-CN"/>
        </w:rPr>
        <w:t xml:space="preserve">必需的</w:t>
      </w:r>
      <w:r>
        <w:rPr>
          <w:rFonts w:hint="eastAsia" w:ascii="仿宋" w:hAnsi="仿宋" w:eastAsia="仿宋" w:cs="仿宋"/>
          <w:color w:val="auto"/>
          <w:sz w:val="28"/>
          <w:szCs w:val="28"/>
          <w:highlight w:val="none"/>
        </w:rPr>
        <w:t xml:space="preserve">设备和专业技术能力；</w:t>
      </w:r>
      <w:r/>
    </w:p>
    <w:p>
      <w:pPr>
        <w:numPr>
          <w:ilvl w:val="0"/>
          <w:numId w:val="0"/>
        </w:numPr>
        <w:ind w:firstLine="560"/>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二、</w:t>
      </w:r>
      <w:r>
        <w:rPr>
          <w:rFonts w:hint="eastAsia" w:ascii="仿宋" w:hAnsi="仿宋" w:eastAsia="仿宋" w:cs="仿宋"/>
          <w:color w:val="auto"/>
          <w:sz w:val="28"/>
          <w:szCs w:val="28"/>
          <w:highlight w:val="none"/>
        </w:rPr>
        <w:t xml:space="preserve">我单位承诺</w:t>
      </w:r>
      <w:r>
        <w:rPr>
          <w:rFonts w:hint="eastAsia" w:ascii="仿宋" w:hAnsi="仿宋" w:eastAsia="仿宋" w:cs="仿宋"/>
          <w:color w:val="auto"/>
          <w:sz w:val="28"/>
          <w:szCs w:val="28"/>
          <w:highlight w:val="none"/>
          <w:lang w:val="zh-CN"/>
        </w:rPr>
        <w:t xml:space="preserve">所有服务人员在工作期间的人身安全、劳资关系与采购人无关，皆由我单位自行负责并承担全部责任；</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三、我单位负责人与其他参与本项目投标的单位负责人不为同一人、不存在直接控股、管理关系；</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lang w:val="en-US" w:eastAsia="zh-CN"/>
        </w:rPr>
        <w:t xml:space="preserve">四</w:t>
      </w:r>
      <w:r>
        <w:rPr>
          <w:rFonts w:hint="eastAsia" w:ascii="仿宋" w:hAnsi="仿宋" w:eastAsia="仿宋" w:cs="仿宋"/>
          <w:color w:val="auto"/>
          <w:sz w:val="28"/>
          <w:szCs w:val="28"/>
          <w:highlight w:val="none"/>
        </w:rPr>
        <w:t xml:space="preserve">、</w:t>
      </w:r>
      <w:r>
        <w:rPr>
          <w:rFonts w:hint="eastAsia" w:ascii="仿宋" w:hAnsi="仿宋" w:eastAsia="仿宋" w:cs="仿宋"/>
          <w:bCs/>
          <w:color w:val="auto"/>
          <w:sz w:val="28"/>
          <w:szCs w:val="28"/>
          <w:highlight w:val="none"/>
        </w:rPr>
        <w:t xml:space="preserve">我单位没有为本采购项目提供整体设计、规范编制或者项目管理、监理、检测等服务；</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我方保证上述信息的真实和准确，并愿意承担因我方就此弄虚作假所引起的一切法律后果，并自愿接受相关监督管理部门作出的任何处罚。</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特此承诺！               </w:t>
      </w:r>
      <w:r/>
    </w:p>
    <w:p>
      <w:pPr>
        <w:pStyle w:val="972"/>
        <w:numPr>
          <w:ilvl w:val="0"/>
          <w:numId w:val="0"/>
        </w:numPr>
        <w:ind w:left="432"/>
        <w:spacing w:line="360" w:lineRule="auto"/>
        <w:rPr>
          <w:rFonts w:hint="eastAsia" w:ascii="仿宋" w:hAnsi="仿宋" w:eastAsia="仿宋" w:cs="仿宋"/>
          <w:color w:val="auto"/>
          <w:sz w:val="28"/>
          <w:szCs w:val="22"/>
          <w:highlight w:val="none"/>
          <w:lang w:val="zh-CN"/>
        </w:rPr>
      </w:pPr>
      <w:r>
        <w:rPr>
          <w:rFonts w:hint="eastAsia" w:ascii="仿宋" w:hAnsi="仿宋" w:eastAsia="仿宋" w:cs="仿宋"/>
          <w:color w:val="auto"/>
          <w:sz w:val="28"/>
          <w:szCs w:val="22"/>
          <w:highlight w:val="none"/>
          <w:lang w:val="zh-CN"/>
        </w:rPr>
        <w:t xml:space="preserve">    </w:t>
      </w:r>
      <w:r/>
    </w:p>
    <w:p>
      <w:pPr>
        <w:pStyle w:val="972"/>
        <w:numPr>
          <w:ilvl w:val="0"/>
          <w:numId w:val="0"/>
        </w:numPr>
        <w:ind w:firstLine="56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投标人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（电子签章）   </w:t>
      </w:r>
      <w:r>
        <w:rPr>
          <w:rFonts w:hint="eastAsia" w:ascii="仿宋" w:hAnsi="仿宋" w:eastAsia="仿宋" w:cs="仿宋"/>
          <w:color w:val="auto"/>
          <w:sz w:val="28"/>
          <w:szCs w:val="28"/>
          <w:highlight w:val="none"/>
        </w:rPr>
        <w:t xml:space="preserve">  </w:t>
      </w:r>
      <w:r/>
    </w:p>
    <w:p>
      <w:pPr>
        <w:pStyle w:val="972"/>
        <w:numPr>
          <w:ilvl w:val="0"/>
          <w:numId w:val="0"/>
        </w:numPr>
        <w:ind w:left="632"/>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法定代表人或其委托受托人: </w:t>
      </w:r>
      <w:r>
        <w:rPr>
          <w:rFonts w:hint="eastAsia" w:ascii="仿宋" w:hAnsi="仿宋" w:eastAsia="仿宋" w:cs="仿宋"/>
          <w:color w:val="auto"/>
          <w:sz w:val="28"/>
          <w:szCs w:val="28"/>
          <w:highlight w:val="none"/>
          <w:u w:val="single"/>
        </w:rPr>
        <w:t xml:space="preserve">（电子签章或电子签字）   </w:t>
      </w:r>
      <w:r/>
    </w:p>
    <w:p>
      <w:pPr>
        <w:pStyle w:val="972"/>
        <w:numPr>
          <w:ilvl w:val="0"/>
          <w:numId w:val="0"/>
        </w:numPr>
        <w:ind w:left="432"/>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日期：       年      月    日</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keepLines w:val="0"/>
        <w:keepNext w:val="0"/>
        <w:pageBreakBefore w:val="0"/>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r>
      <w:r/>
    </w:p>
    <w:p>
      <w:pPr>
        <w:keepLines w:val="0"/>
        <w:keepNext w:val="0"/>
        <w:pageBreakBefore w:val="0"/>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r>
      <w:r/>
    </w:p>
    <w:p>
      <w:pPr>
        <w:keepLines w:val="0"/>
        <w:keepNext w:val="0"/>
        <w:pageBreakBefore w:val="0"/>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r>
      <w:r/>
    </w:p>
    <w:p>
      <w:pPr>
        <w:keepLines w:val="0"/>
        <w:keepNext w:val="0"/>
        <w:pageBreakBefore w:val="0"/>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r>
      <w:r/>
    </w:p>
    <w:p>
      <w:pPr>
        <w:keepLines w:val="0"/>
        <w:keepNext w:val="0"/>
        <w:pageBreakBefore w:val="0"/>
        <w:rPr>
          <w:rFonts w:hint="eastAsia" w:ascii="仿宋" w:hAnsi="仿宋" w:eastAsia="仿宋"/>
          <w:color w:val="auto"/>
          <w:sz w:val="28"/>
          <w:szCs w:val="28"/>
          <w:highlight w:val="none"/>
        </w:rPr>
        <w:outlineLvl w:val="9"/>
      </w:pP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五</w:t>
      </w:r>
      <w:r>
        <w:rPr>
          <w:rFonts w:hint="eastAsia" w:ascii="仿宋" w:hAnsi="仿宋" w:eastAsia="仿宋"/>
          <w:color w:val="auto"/>
          <w:sz w:val="28"/>
          <w:szCs w:val="28"/>
          <w:highlight w:val="none"/>
        </w:rPr>
        <w:t xml:space="preserve">                                          </w:t>
      </w:r>
      <w:r/>
    </w:p>
    <w:p>
      <w:pPr>
        <w:jc w:val="center"/>
        <w:keepLines w:val="0"/>
        <w:keepNext w:val="0"/>
        <w:pageBreakBefore w:val="0"/>
        <w:spacing w:line="640" w:lineRule="exact"/>
        <w:rPr>
          <w:rFonts w:hint="eastAsia" w:ascii="仿宋" w:hAnsi="仿宋" w:eastAsia="仿宋"/>
          <w:b/>
          <w:bCs/>
          <w:color w:val="auto"/>
          <w:sz w:val="32"/>
          <w:szCs w:val="32"/>
          <w:highlight w:val="none"/>
        </w:rPr>
        <w:outlineLvl w:val="9"/>
      </w:pPr>
      <w:r>
        <w:rPr>
          <w:rFonts w:hint="eastAsia" w:ascii="仿宋" w:hAnsi="仿宋" w:eastAsia="仿宋"/>
          <w:b/>
          <w:bCs/>
          <w:color w:val="auto"/>
          <w:sz w:val="32"/>
          <w:szCs w:val="32"/>
          <w:highlight w:val="none"/>
        </w:rPr>
        <w:t xml:space="preserve">企业声明函（服务</w:t>
      </w:r>
      <w:r>
        <w:rPr>
          <w:rFonts w:hint="eastAsia" w:ascii="仿宋" w:hAnsi="仿宋" w:eastAsia="仿宋"/>
          <w:b/>
          <w:bCs/>
          <w:color w:val="auto"/>
          <w:sz w:val="32"/>
          <w:szCs w:val="32"/>
          <w:highlight w:val="none"/>
          <w:lang w:val="en-US" w:eastAsia="zh-CN"/>
        </w:rPr>
        <w:t xml:space="preserve">类</w:t>
      </w:r>
      <w:r>
        <w:rPr>
          <w:rFonts w:hint="eastAsia" w:ascii="仿宋" w:hAnsi="仿宋" w:eastAsia="仿宋"/>
          <w:b/>
          <w:bCs/>
          <w:color w:val="auto"/>
          <w:sz w:val="32"/>
          <w:szCs w:val="32"/>
          <w:highlight w:val="none"/>
        </w:rPr>
        <w:t xml:space="preserve">）</w:t>
      </w:r>
      <w:r/>
    </w:p>
    <w:p>
      <w:pPr>
        <w:pStyle w:val="875"/>
        <w:ind w:firstLine="0"/>
        <w:keepLines w:val="0"/>
        <w:keepNext w:val="0"/>
        <w:pageBreakBefore w:val="0"/>
        <w:spacing w:line="60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致</w:t>
      </w:r>
      <w:r>
        <w:rPr>
          <w:rFonts w:hint="eastAsia" w:ascii="仿宋" w:hAnsi="仿宋" w:eastAsia="仿宋"/>
          <w:bCs/>
          <w:color w:val="auto"/>
          <w:sz w:val="30"/>
          <w:szCs w:val="28"/>
          <w:highlight w:val="none"/>
          <w:lang w:eastAsia="zh-CN"/>
        </w:rPr>
        <w:t xml:space="preserve">淮安经济技术开发区住房和城乡建设局</w:t>
      </w:r>
      <w:r>
        <w:rPr>
          <w:rFonts w:hint="eastAsia" w:ascii="仿宋" w:hAnsi="仿宋" w:eastAsia="仿宋"/>
          <w:bCs/>
          <w:color w:val="auto"/>
          <w:sz w:val="28"/>
          <w:szCs w:val="28"/>
          <w:highlight w:val="none"/>
        </w:rPr>
        <w:t xml:space="preserve">:</w:t>
      </w:r>
      <w:r/>
    </w:p>
    <w:p>
      <w:pPr>
        <w:pStyle w:val="875"/>
        <w:ind w:firstLine="560"/>
        <w:keepLines w:val="0"/>
        <w:keepNext w:val="0"/>
        <w:pageBreakBefore w:val="0"/>
        <w:spacing w:line="60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75"/>
        <w:ind w:firstLine="560"/>
        <w:keepLines w:val="0"/>
        <w:keepNext w:val="0"/>
        <w:pageBreakBefore w:val="0"/>
        <w:spacing w:line="60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875"/>
        <w:ind w:firstLine="560"/>
        <w:keepLines w:val="0"/>
        <w:keepNext w:val="0"/>
        <w:pageBreakBefore w:val="0"/>
        <w:spacing w:line="60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875"/>
        <w:ind w:firstLine="560"/>
        <w:keepLines w:val="0"/>
        <w:keepNext w:val="0"/>
        <w:pageBreakBefore w:val="0"/>
        <w:spacing w:line="600" w:lineRule="exact"/>
        <w:rPr>
          <w:rFonts w:hint="eastAsia" w:ascii="仿宋" w:hAnsi="仿宋" w:eastAsia="仿宋"/>
          <w:bCs/>
          <w:color w:val="auto"/>
          <w:sz w:val="28"/>
          <w:szCs w:val="28"/>
          <w:highlight w:val="none"/>
        </w:rPr>
        <w:outlineLvl w:val="9"/>
      </w:pPr>
      <w:r>
        <w:rPr>
          <w:rFonts w:ascii="Arial" w:hAnsi="Arial" w:eastAsia="仿宋" w:cs="Arial"/>
          <w:bCs/>
          <w:color w:val="auto"/>
          <w:sz w:val="28"/>
          <w:szCs w:val="28"/>
          <w:highlight w:val="none"/>
        </w:rPr>
        <w:t xml:space="preserve">……</w:t>
      </w:r>
      <w:r/>
    </w:p>
    <w:p>
      <w:pPr>
        <w:pStyle w:val="875"/>
        <w:ind w:firstLine="560"/>
        <w:keepLines w:val="0"/>
        <w:keepNext w:val="0"/>
        <w:pageBreakBefore w:val="0"/>
        <w:spacing w:line="60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875"/>
        <w:ind w:firstLine="560"/>
        <w:keepLines w:val="0"/>
        <w:keepNext w:val="0"/>
        <w:pageBreakBefore w:val="0"/>
        <w:spacing w:line="60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keepLines w:val="0"/>
        <w:keepNext w:val="0"/>
        <w:pageBreakBefore w:val="0"/>
        <w:spacing w:line="640" w:lineRule="exact"/>
        <w:rPr>
          <w:rFonts w:hint="eastAsia" w:ascii="仿宋" w:hAnsi="仿宋" w:eastAsia="仿宋" w:cs="楷体_GB2312"/>
          <w:color w:val="auto"/>
          <w:sz w:val="28"/>
          <w:szCs w:val="28"/>
          <w:highlight w:val="none"/>
          <w:lang w:val="zh-CN"/>
        </w:rPr>
        <w:outlineLvl w:val="9"/>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640" w:lineRule="exact"/>
        <w:rPr>
          <w:rFonts w:ascii="仿宋" w:hAnsi="仿宋" w:eastAsia="仿宋" w:cs="楷体_GB2312"/>
          <w:color w:val="auto"/>
          <w:sz w:val="28"/>
          <w:szCs w:val="28"/>
          <w:highlight w:val="none"/>
          <w:lang w:val="zh-CN"/>
        </w:rPr>
        <w:outlineLvl w:val="9"/>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875"/>
        <w:ind w:firstLine="0"/>
        <w:keepLines w:val="0"/>
        <w:keepNext w:val="0"/>
        <w:pageBreakBefore w:val="0"/>
        <w:spacing w:line="600" w:lineRule="exact"/>
        <w:rPr>
          <w:rFonts w:hint="eastAsia" w:ascii="仿宋" w:hAnsi="仿宋" w:eastAsia="仿宋"/>
          <w:bCs/>
          <w:color w:val="auto"/>
          <w:sz w:val="24"/>
          <w:szCs w:val="24"/>
          <w:highlight w:val="none"/>
        </w:rPr>
        <w:outlineLvl w:val="9"/>
      </w:pPr>
      <w:r>
        <w:rPr>
          <w:rFonts w:hint="eastAsia" w:ascii="仿宋" w:hAnsi="仿宋" w:eastAsia="仿宋"/>
          <w:bCs/>
          <w:color w:val="auto"/>
          <w:sz w:val="24"/>
          <w:szCs w:val="24"/>
          <w:highlight w:val="none"/>
        </w:rPr>
        <w:t xml:space="preserve">注：从业人员、营业收入、资产总额填报上一年度数据，无上一年度数据的新成立企业可不填报。</w:t>
      </w:r>
      <w:r/>
    </w:p>
    <w:p>
      <w:pPr>
        <w:pStyle w:val="875"/>
        <w:ind w:firstLine="0"/>
        <w:keepLines w:val="0"/>
        <w:keepNext w:val="0"/>
        <w:pageBreakBefore w:val="0"/>
        <w:spacing w:line="600" w:lineRule="exact"/>
        <w:rPr>
          <w:rFonts w:hint="eastAsia" w:ascii="仿宋" w:hAnsi="仿宋" w:eastAsia="仿宋"/>
          <w:bCs/>
          <w:color w:val="auto"/>
          <w:sz w:val="24"/>
          <w:szCs w:val="24"/>
          <w:highlight w:val="none"/>
        </w:rPr>
        <w:outlineLvl w:val="9"/>
      </w:pPr>
      <w:r>
        <w:rPr>
          <w:rFonts w:hint="eastAsia" w:ascii="仿宋" w:hAnsi="仿宋" w:eastAsia="仿宋"/>
          <w:bCs/>
          <w:color w:val="auto"/>
          <w:sz w:val="24"/>
          <w:szCs w:val="24"/>
          <w:highlight w:val="none"/>
        </w:rPr>
      </w:r>
      <w:r/>
    </w:p>
    <w:p>
      <w:pPr>
        <w:pStyle w:val="875"/>
        <w:ind w:firstLine="0"/>
        <w:jc w:val="left"/>
        <w:keepLines w:val="0"/>
        <w:keepNext w:val="0"/>
        <w:pageBreakBefore w:val="0"/>
        <w:spacing w:line="520" w:lineRule="exact"/>
        <w:rPr>
          <w:rFonts w:hint="eastAsia" w:ascii="仿宋" w:hAnsi="仿宋" w:eastAsia="仿宋"/>
          <w:b/>
          <w:color w:val="auto"/>
          <w:sz w:val="32"/>
          <w:szCs w:val="32"/>
          <w:highlight w:val="none"/>
          <w:lang w:eastAsia="zh-CN"/>
        </w:rPr>
        <w:outlineLvl w:val="9"/>
      </w:pP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六</w:t>
      </w:r>
      <w:r/>
    </w:p>
    <w:p>
      <w:pPr>
        <w:jc w:val="center"/>
        <w:keepLines w:val="0"/>
        <w:keepNext w:val="0"/>
        <w:pageBreakBefore w:val="0"/>
        <w:spacing w:line="640" w:lineRule="exact"/>
        <w:widowControl/>
        <w:rPr>
          <w:rFonts w:ascii="仿宋" w:hAnsi="仿宋" w:eastAsia="仿宋" w:cs="宋体"/>
          <w:color w:val="auto"/>
          <w:sz w:val="24"/>
          <w:highlight w:val="none"/>
        </w:rPr>
        <w:outlineLvl w:val="9"/>
      </w:pPr>
      <w:r>
        <w:rPr>
          <w:rFonts w:hint="eastAsia" w:ascii="仿宋" w:hAnsi="仿宋" w:eastAsia="仿宋" w:cs="宋体"/>
          <w:b/>
          <w:bCs/>
          <w:color w:val="auto"/>
          <w:sz w:val="32"/>
          <w:szCs w:val="32"/>
          <w:highlight w:val="none"/>
        </w:rPr>
        <w:t xml:space="preserve">残疾人福利性单位声明函</w:t>
      </w:r>
      <w:r/>
    </w:p>
    <w:p>
      <w:pPr>
        <w:pStyle w:val="875"/>
        <w:ind w:firstLine="0"/>
        <w:keepLines w:val="0"/>
        <w:keepNext w:val="0"/>
        <w:pageBreakBefore w:val="0"/>
        <w:spacing w:line="64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致</w:t>
      </w:r>
      <w:r>
        <w:rPr>
          <w:rFonts w:hint="eastAsia" w:ascii="仿宋" w:hAnsi="仿宋" w:eastAsia="仿宋"/>
          <w:bCs/>
          <w:color w:val="auto"/>
          <w:sz w:val="30"/>
          <w:szCs w:val="28"/>
          <w:highlight w:val="none"/>
          <w:lang w:eastAsia="zh-CN"/>
        </w:rPr>
        <w:t xml:space="preserve">淮安经济技术开发区住房和城乡建设局</w:t>
      </w:r>
      <w:r>
        <w:rPr>
          <w:rFonts w:hint="eastAsia" w:ascii="仿宋" w:hAnsi="仿宋" w:eastAsia="仿宋"/>
          <w:bCs/>
          <w:color w:val="auto"/>
          <w:sz w:val="28"/>
          <w:szCs w:val="28"/>
          <w:highlight w:val="none"/>
        </w:rPr>
        <w:t xml:space="preserve">:</w:t>
      </w:r>
      <w:r/>
    </w:p>
    <w:p>
      <w:pPr>
        <w:pStyle w:val="875"/>
        <w:ind w:firstLine="560"/>
        <w:keepLines w:val="0"/>
        <w:keepNext w:val="0"/>
        <w:pageBreakBefore w:val="0"/>
        <w:spacing w:line="64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75"/>
        <w:ind w:firstLine="560"/>
        <w:keepLines w:val="0"/>
        <w:keepNext w:val="0"/>
        <w:pageBreakBefore w:val="0"/>
        <w:spacing w:line="640" w:lineRule="exact"/>
        <w:rPr>
          <w:rFonts w:hint="eastAsia" w:ascii="仿宋" w:hAnsi="仿宋" w:eastAsia="仿宋"/>
          <w:bCs/>
          <w:color w:val="auto"/>
          <w:sz w:val="28"/>
          <w:szCs w:val="28"/>
          <w:highlight w:val="none"/>
        </w:rPr>
        <w:outlineLvl w:val="9"/>
      </w:pPr>
      <w:r>
        <w:rPr>
          <w:rFonts w:ascii="仿宋" w:hAnsi="仿宋" w:eastAsia="仿宋"/>
          <w:bCs/>
          <w:color w:val="auto"/>
          <w:sz w:val="28"/>
          <w:szCs w:val="28"/>
          <w:highlight w:val="none"/>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75"/>
        <w:ind w:firstLine="560"/>
        <w:keepLines w:val="0"/>
        <w:keepNext w:val="0"/>
        <w:pageBreakBefore w:val="0"/>
        <w:spacing w:line="640" w:lineRule="exact"/>
        <w:rPr>
          <w:rFonts w:hint="eastAsia" w:ascii="仿宋" w:hAnsi="仿宋" w:eastAsia="仿宋"/>
          <w:bCs/>
          <w:color w:val="auto"/>
          <w:sz w:val="28"/>
          <w:szCs w:val="28"/>
          <w:highlight w:val="none"/>
        </w:rPr>
        <w:outlineLvl w:val="9"/>
      </w:pP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75"/>
        <w:ind w:firstLine="560"/>
        <w:keepLines w:val="0"/>
        <w:keepNext w:val="0"/>
        <w:pageBreakBefore w:val="0"/>
        <w:spacing w:line="640" w:lineRule="exact"/>
        <w:rPr>
          <w:rFonts w:hint="eastAsia" w:ascii="仿宋" w:hAnsi="仿宋" w:eastAsia="仿宋"/>
          <w:bCs/>
          <w:color w:val="auto"/>
          <w:sz w:val="28"/>
          <w:szCs w:val="28"/>
          <w:highlight w:val="none"/>
        </w:rPr>
        <w:outlineLvl w:val="9"/>
      </w:pPr>
      <w:r>
        <w:rPr>
          <w:rFonts w:hint="eastAsia" w:ascii="仿宋" w:hAnsi="仿宋" w:eastAsia="仿宋" w:cs="仿宋_GB2312"/>
          <w:color w:val="auto"/>
          <w:sz w:val="28"/>
          <w:szCs w:val="28"/>
          <w:highlight w:val="none"/>
        </w:rPr>
        <w:t xml:space="preserve">注:</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875"/>
        <w:ind w:firstLine="560"/>
        <w:keepLines w:val="0"/>
        <w:keepNext w:val="0"/>
        <w:pageBreakBefore w:val="0"/>
        <w:spacing w:line="64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jc w:val="center"/>
        <w:keepLines w:val="0"/>
        <w:keepNext w:val="0"/>
        <w:pageBreakBefore w:val="0"/>
        <w:spacing w:line="640" w:lineRule="exact"/>
        <w:rPr>
          <w:rFonts w:hint="eastAsia" w:ascii="仿宋" w:hAnsi="仿宋" w:eastAsia="仿宋" w:cs="楷体_GB2312"/>
          <w:color w:val="auto"/>
          <w:sz w:val="28"/>
          <w:szCs w:val="28"/>
          <w:highlight w:val="none"/>
          <w:lang w:val="zh-CN"/>
        </w:rPr>
        <w:outlineLvl w:val="9"/>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640" w:lineRule="exact"/>
        <w:rPr>
          <w:rFonts w:ascii="仿宋" w:hAnsi="仿宋" w:eastAsia="仿宋" w:cs="楷体_GB2312"/>
          <w:color w:val="auto"/>
          <w:sz w:val="28"/>
          <w:szCs w:val="28"/>
          <w:highlight w:val="none"/>
          <w:lang w:val="zh-CN"/>
        </w:rPr>
        <w:outlineLvl w:val="9"/>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keepLines w:val="0"/>
        <w:keepNext w:val="0"/>
        <w:pageBreakBefore w:val="0"/>
        <w:spacing w:line="640" w:lineRule="exact"/>
        <w:rPr>
          <w:rFonts w:hint="eastAsia" w:ascii="仿宋" w:hAnsi="仿宋" w:eastAsia="仿宋"/>
          <w:color w:val="auto"/>
          <w:sz w:val="28"/>
          <w:szCs w:val="28"/>
          <w:highlight w:val="none"/>
        </w:rPr>
        <w:outlineLvl w:val="9"/>
      </w:pPr>
      <w:r>
        <w:rPr>
          <w:rFonts w:hint="eastAsia" w:ascii="仿宋" w:hAnsi="仿宋" w:eastAsia="仿宋" w:cs="仿宋_GB2312"/>
          <w:color w:val="auto"/>
          <w:sz w:val="28"/>
          <w:szCs w:val="28"/>
          <w:highlight w:val="none"/>
        </w:rPr>
        <w:t xml:space="preserve">注:</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Style w:val="875"/>
        <w:ind w:left="0" w:firstLine="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r>
      <w:r/>
    </w:p>
    <w:p>
      <w:pPr>
        <w:pStyle w:val="875"/>
        <w:ind w:left="0" w:firstLine="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r>
      <w:r/>
    </w:p>
    <w:p>
      <w:pPr>
        <w:jc w:val="center"/>
        <w:keepLines w:val="0"/>
        <w:keepNext w:val="0"/>
        <w:pageBreakBefore w:val="0"/>
        <w:spacing w:line="640" w:lineRule="exact"/>
        <w:widowControl/>
        <w:rPr>
          <w:rFonts w:hint="eastAsia" w:ascii="仿宋" w:hAnsi="仿宋" w:eastAsia="仿宋" w:cs="宋体"/>
          <w:b/>
          <w:bCs/>
          <w:color w:val="auto"/>
          <w:sz w:val="32"/>
          <w:szCs w:val="32"/>
          <w:highlight w:val="none"/>
        </w:rPr>
        <w:outlineLvl w:val="9"/>
      </w:pPr>
      <w:r>
        <w:rPr>
          <w:rFonts w:hint="eastAsia" w:ascii="仿宋" w:hAnsi="仿宋" w:eastAsia="仿宋" w:cs="宋体"/>
          <w:b/>
          <w:bCs/>
          <w:color w:val="auto"/>
          <w:sz w:val="32"/>
          <w:szCs w:val="32"/>
          <w:highlight w:val="none"/>
        </w:rPr>
        <w:t xml:space="preserve">质疑函范本</w:t>
      </w:r>
      <w:r/>
    </w:p>
    <w:p>
      <w:pPr>
        <w:ind w:left="0" w:right="0" w:firstLine="0"/>
        <w:jc w:val="both"/>
        <w:spacing w:before="312" w:after="0" w:line="85"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一、质疑供应商基本信息</w:t>
      </w:r>
      <w:r/>
    </w:p>
    <w:p>
      <w:pPr>
        <w:ind w:left="0" w:right="0" w:firstLine="0"/>
        <w:jc w:val="both"/>
        <w:spacing w:before="0" w:after="0" w:line="85"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p>
    <w:p>
      <w:pPr>
        <w:ind w:left="0" w:right="0" w:firstLine="0"/>
        <w:jc w:val="both"/>
        <w:spacing w:before="0" w:after="0" w:line="85"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p>
    <w:p>
      <w:pPr>
        <w:ind w:left="0" w:right="0" w:firstLine="0"/>
        <w:jc w:val="both"/>
        <w:spacing w:before="0" w:after="0" w:line="85"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p>
    <w:p>
      <w:pPr>
        <w:ind w:left="0" w:right="0" w:firstLine="0"/>
        <w:jc w:val="both"/>
        <w:spacing w:before="0" w:after="0" w:line="85"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p>
    <w:p>
      <w:pPr>
        <w:ind w:left="0" w:right="0" w:firstLine="0"/>
        <w:jc w:val="both"/>
        <w:spacing w:before="0" w:after="0" w:line="85"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p>
    <w:p>
      <w:pPr>
        <w:ind w:left="0" w:right="0" w:firstLine="0"/>
        <w:jc w:val="both"/>
        <w:spacing w:before="0" w:after="0" w:line="85"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地址：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p>
    <w:p>
      <w:pPr>
        <w:ind w:left="0" w:right="0" w:firstLine="0"/>
        <w:jc w:val="both"/>
        <w:spacing w:before="0" w:after="0" w:line="85"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二、质疑项目基本情况</w:t>
      </w:r>
      <w:r/>
    </w:p>
    <w:p>
      <w:pPr>
        <w:ind w:left="0" w:right="0" w:firstLine="0"/>
        <w:jc w:val="both"/>
        <w:spacing w:before="0" w:after="0" w:line="85"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p>
    <w:p>
      <w:pPr>
        <w:ind w:left="0" w:right="0" w:firstLine="0"/>
        <w:jc w:val="both"/>
        <w:spacing w:before="0" w:after="0" w:line="85"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p>
    <w:p>
      <w:pPr>
        <w:ind w:left="0" w:right="0" w:firstLine="0"/>
        <w:jc w:val="both"/>
        <w:spacing w:before="0" w:after="0" w:line="85"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p>
    <w:p>
      <w:pPr>
        <w:ind w:left="0" w:right="0" w:firstLine="0"/>
        <w:jc w:val="both"/>
        <w:spacing w:before="0" w:after="0" w:line="85"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p>
    <w:p>
      <w:pPr>
        <w:ind w:left="0" w:right="0" w:firstLine="0"/>
        <w:jc w:val="both"/>
        <w:spacing w:before="0" w:after="0" w:line="85"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三、质疑事项具体内容</w:t>
      </w:r>
      <w:r/>
    </w:p>
    <w:p>
      <w:pPr>
        <w:ind w:left="0" w:right="0" w:firstLine="0"/>
        <w:jc w:val="both"/>
        <w:spacing w:before="0" w:after="0" w:line="85"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p>
    <w:p>
      <w:pPr>
        <w:ind w:left="0" w:right="0" w:firstLine="0"/>
        <w:jc w:val="both"/>
        <w:spacing w:before="0" w:after="0" w:line="85"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p>
    <w:p>
      <w:pPr>
        <w:ind w:left="0" w:right="0" w:firstLine="0"/>
        <w:jc w:val="both"/>
        <w:spacing w:before="0" w:after="0" w:line="85"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u w:val="single"/>
        </w:rPr>
        <w:t xml:space="preserve">                                                                           </w:t>
      </w:r>
      <w:r/>
    </w:p>
    <w:p>
      <w:pPr>
        <w:ind w:left="0" w:right="0" w:firstLine="0"/>
        <w:jc w:val="both"/>
        <w:spacing w:before="0" w:after="0" w:line="85"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p>
    <w:p>
      <w:pPr>
        <w:ind w:left="0" w:right="0" w:firstLine="0"/>
        <w:jc w:val="both"/>
        <w:spacing w:before="0" w:after="0" w:line="85"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u w:val="single"/>
        </w:rPr>
        <w:t xml:space="preserve">                                                                           </w:t>
      </w:r>
      <w:r/>
    </w:p>
    <w:p>
      <w:pPr>
        <w:ind w:left="0" w:right="0" w:firstLine="0"/>
        <w:jc w:val="both"/>
        <w:spacing w:before="0" w:after="0" w:line="85"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质疑事项2</w:t>
      </w:r>
      <w:r/>
    </w:p>
    <w:p>
      <w:pPr>
        <w:ind w:left="0" w:right="0" w:firstLine="0"/>
        <w:jc w:val="both"/>
        <w:spacing w:before="0" w:after="0" w:line="85"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w:t>
      </w:r>
      <w:r/>
    </w:p>
    <w:p>
      <w:pPr>
        <w:ind w:left="0" w:right="0" w:firstLine="0"/>
        <w:jc w:val="both"/>
        <w:spacing w:before="0" w:after="0" w:line="85"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四、与质疑事项相关的质疑请求</w:t>
      </w:r>
      <w:r/>
    </w:p>
    <w:p>
      <w:pPr>
        <w:ind w:left="0" w:right="0" w:firstLine="0"/>
        <w:jc w:val="both"/>
        <w:spacing w:before="0" w:after="0" w:line="85"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p>
    <w:p>
      <w:pPr>
        <w:ind w:left="0" w:right="0" w:firstLine="0"/>
        <w:jc w:val="both"/>
        <w:spacing w:before="0" w:after="0"/>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签字(签章)：                   公章：                      </w:t>
      </w:r>
      <w:r/>
    </w:p>
    <w:p>
      <w:pPr>
        <w:ind w:left="0" w:right="0" w:firstLine="0"/>
        <w:jc w:val="both"/>
        <w:spacing w:before="0" w:after="0"/>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日期：</w:t>
      </w:r>
      <w:r/>
    </w:p>
    <w:p>
      <w:pPr>
        <w:ind w:left="0" w:right="0" w:firstLine="0"/>
        <w:jc w:val="both"/>
        <w:spacing w:before="0" w:after="0" w:line="400"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质疑函制作说明：</w:t>
      </w:r>
      <w:r/>
    </w:p>
    <w:p>
      <w:pPr>
        <w:ind w:left="0" w:right="0" w:firstLine="480"/>
        <w:spacing w:before="0" w:after="0" w:line="400"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1.供应商提出质疑时，应提交质疑函和必要的证明材料。</w:t>
      </w:r>
      <w:r/>
    </w:p>
    <w:p>
      <w:pPr>
        <w:ind w:left="0" w:right="0" w:firstLine="480"/>
        <w:spacing w:before="0" w:after="0" w:line="400"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3.质疑供应商若对项目的某一采购包进行质疑，质疑函中应列明具体采购包号。</w:t>
      </w:r>
      <w:r/>
    </w:p>
    <w:p>
      <w:pPr>
        <w:ind w:left="0" w:right="0" w:firstLine="480"/>
        <w:spacing w:before="0" w:after="0" w:line="400"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4.质疑函的质疑事项应具体、明确，并有必要的事实依据和法律依据。</w:t>
      </w:r>
      <w:r/>
    </w:p>
    <w:p>
      <w:pPr>
        <w:ind w:left="0" w:right="0" w:firstLine="480"/>
        <w:spacing w:before="0" w:after="0" w:line="400"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5.质疑函的质疑请求应与质疑事项相关。</w:t>
      </w:r>
      <w:r/>
    </w:p>
    <w:p>
      <w:pPr>
        <w:ind w:left="0" w:right="0" w:firstLine="480"/>
        <w:spacing w:before="0" w:after="0" w:line="400"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spacing w:before="0" w:after="0" w:line="400"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480"/>
        <w:spacing w:before="0" w:after="0" w:line="400"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00" w:lineRule="atLeast"/>
        <w:rPr>
          <w:rFonts w:hint="eastAsia" w:ascii="仿宋" w:hAnsi="仿宋" w:eastAsia="仿宋" w:cs="Times New Roman"/>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
    <w:panose1 w:val="02010609060101010101"/>
  </w:font>
  <w:font w:name="华文行楷">
    <w:panose1 w:val="02010800040101010101"/>
  </w:font>
  <w:font w:name="Symbol">
    <w:panose1 w:val="05050102010706020507"/>
  </w:font>
  <w:font w:name="Wingdings">
    <w:panose1 w:val="05000000000000000000"/>
  </w:font>
  <w:font w:name="方正楷体_GB2312">
    <w:panose1 w:val="020B0503020202020204"/>
  </w:font>
  <w:font w:name="仿宋">
    <w:panose1 w:val="02010609060101010101"/>
  </w:font>
  <w:font w:name="Tahoma">
    <w:panose1 w:val="020B0604030504040204"/>
  </w:font>
  <w:font w:name="Constantia">
    <w:panose1 w:val="02030602050306030303"/>
  </w:font>
  <w:font w:name="Courier New">
    <w:panose1 w:val="02070309020205020404"/>
  </w:font>
  <w:font w:name="Calibri">
    <w:panose1 w:val="020F0502020204030204"/>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楷体_GB2312">
    <w:panose1 w:val="02010609060101010101"/>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12"/>
      </w:rPr>
      <w:framePr w:wrap="around" w:vAnchor="text" w:hAnchor="margin" w:xAlign="center" w:y="1"/>
    </w:pPr>
    <w:r>
      <w:fldChar w:fldCharType="begin"/>
    </w:r>
    <w:r>
      <w:rPr>
        <w:rStyle w:val="912"/>
      </w:rPr>
      <w:instrText xml:space="preserve">PAGE  </w:instrText>
    </w:r>
    <w:r>
      <w:fldChar w:fldCharType="end"/>
    </w:r>
    <w:r/>
  </w:p>
  <w:p>
    <w:pPr>
      <w:pStyle w:val="8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8"/>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8"/>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Thousand"/>
      <w:pStyle w:val="958"/>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1"/>
      <w:numFmt w:val="chineseCountingThousand"/>
      <w:pStyle w:val="945"/>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chineseCountingThousand"/>
      <w:pStyle w:val="955"/>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4"/>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default="1">
    <w:name w:val="Normal"/>
    <w:link w:val="9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8">
    <w:name w:val="Heading 1"/>
    <w:basedOn w:val="677"/>
    <w:next w:val="677"/>
    <w:link w:val="725"/>
    <w:uiPriority w:val="9"/>
    <w:qFormat/>
    <w:pPr>
      <w:keepLines/>
      <w:keepNext/>
      <w:spacing w:before="480" w:after="200"/>
      <w:outlineLvl w:val="0"/>
    </w:pPr>
    <w:rPr>
      <w:rFonts w:ascii="Arial" w:hAnsi="Arial" w:eastAsia="Arial" w:cs="Arial"/>
      <w:sz w:val="40"/>
      <w:szCs w:val="40"/>
    </w:rPr>
  </w:style>
  <w:style w:type="paragraph" w:styleId="679">
    <w:name w:val="Heading 2"/>
    <w:basedOn w:val="677"/>
    <w:next w:val="677"/>
    <w:link w:val="726"/>
    <w:uiPriority w:val="9"/>
    <w:unhideWhenUsed/>
    <w:qFormat/>
    <w:pPr>
      <w:keepLines/>
      <w:keepNext/>
      <w:spacing w:before="360" w:after="200"/>
      <w:outlineLvl w:val="1"/>
    </w:pPr>
    <w:rPr>
      <w:rFonts w:ascii="Arial" w:hAnsi="Arial" w:eastAsia="Arial" w:cs="Arial"/>
      <w:sz w:val="34"/>
    </w:rPr>
  </w:style>
  <w:style w:type="paragraph" w:styleId="680">
    <w:name w:val="Heading 3"/>
    <w:basedOn w:val="677"/>
    <w:next w:val="677"/>
    <w:link w:val="727"/>
    <w:uiPriority w:val="9"/>
    <w:unhideWhenUsed/>
    <w:qFormat/>
    <w:pPr>
      <w:keepLines/>
      <w:keepNext/>
      <w:spacing w:before="320" w:after="200"/>
      <w:outlineLvl w:val="2"/>
    </w:pPr>
    <w:rPr>
      <w:rFonts w:ascii="Arial" w:hAnsi="Arial" w:eastAsia="Arial" w:cs="Arial"/>
      <w:sz w:val="30"/>
      <w:szCs w:val="30"/>
    </w:rPr>
  </w:style>
  <w:style w:type="paragraph" w:styleId="681">
    <w:name w:val="Heading 4"/>
    <w:basedOn w:val="677"/>
    <w:next w:val="677"/>
    <w:link w:val="728"/>
    <w:uiPriority w:val="9"/>
    <w:unhideWhenUsed/>
    <w:qFormat/>
    <w:pPr>
      <w:keepLines/>
      <w:keepNext/>
      <w:spacing w:before="320" w:after="200"/>
      <w:outlineLvl w:val="3"/>
    </w:pPr>
    <w:rPr>
      <w:rFonts w:ascii="Arial" w:hAnsi="Arial" w:eastAsia="Arial" w:cs="Arial"/>
      <w:b/>
      <w:bCs/>
      <w:sz w:val="26"/>
      <w:szCs w:val="26"/>
    </w:rPr>
  </w:style>
  <w:style w:type="paragraph" w:styleId="682">
    <w:name w:val="Heading 5"/>
    <w:basedOn w:val="677"/>
    <w:next w:val="677"/>
    <w:link w:val="729"/>
    <w:uiPriority w:val="9"/>
    <w:unhideWhenUsed/>
    <w:qFormat/>
    <w:pPr>
      <w:keepLines/>
      <w:keepNext/>
      <w:spacing w:before="320" w:after="200"/>
      <w:outlineLvl w:val="4"/>
    </w:pPr>
    <w:rPr>
      <w:rFonts w:ascii="Arial" w:hAnsi="Arial" w:eastAsia="Arial" w:cs="Arial"/>
      <w:b/>
      <w:bCs/>
      <w:sz w:val="24"/>
      <w:szCs w:val="24"/>
    </w:rPr>
  </w:style>
  <w:style w:type="paragraph" w:styleId="683">
    <w:name w:val="Heading 6"/>
    <w:basedOn w:val="677"/>
    <w:next w:val="677"/>
    <w:link w:val="730"/>
    <w:uiPriority w:val="9"/>
    <w:unhideWhenUsed/>
    <w:qFormat/>
    <w:pPr>
      <w:keepLines/>
      <w:keepNext/>
      <w:spacing w:before="320" w:after="200"/>
      <w:outlineLvl w:val="5"/>
    </w:pPr>
    <w:rPr>
      <w:rFonts w:ascii="Arial" w:hAnsi="Arial" w:eastAsia="Arial" w:cs="Arial"/>
      <w:b/>
      <w:bCs/>
      <w:sz w:val="22"/>
      <w:szCs w:val="22"/>
    </w:rPr>
  </w:style>
  <w:style w:type="paragraph" w:styleId="684">
    <w:name w:val="Heading 7"/>
    <w:basedOn w:val="677"/>
    <w:next w:val="677"/>
    <w:link w:val="731"/>
    <w:uiPriority w:val="9"/>
    <w:unhideWhenUsed/>
    <w:qFormat/>
    <w:pPr>
      <w:keepLines/>
      <w:keepNext/>
      <w:spacing w:before="320" w:after="200"/>
      <w:outlineLvl w:val="6"/>
    </w:pPr>
    <w:rPr>
      <w:rFonts w:ascii="Arial" w:hAnsi="Arial" w:eastAsia="Arial" w:cs="Arial"/>
      <w:b/>
      <w:bCs/>
      <w:i/>
      <w:iCs/>
      <w:sz w:val="22"/>
      <w:szCs w:val="22"/>
    </w:rPr>
  </w:style>
  <w:style w:type="paragraph" w:styleId="685">
    <w:name w:val="Heading 8"/>
    <w:basedOn w:val="677"/>
    <w:next w:val="677"/>
    <w:link w:val="732"/>
    <w:uiPriority w:val="9"/>
    <w:unhideWhenUsed/>
    <w:qFormat/>
    <w:pPr>
      <w:keepLines/>
      <w:keepNext/>
      <w:spacing w:before="320" w:after="200"/>
      <w:outlineLvl w:val="7"/>
    </w:pPr>
    <w:rPr>
      <w:rFonts w:ascii="Arial" w:hAnsi="Arial" w:eastAsia="Arial" w:cs="Arial"/>
      <w:i/>
      <w:iCs/>
      <w:sz w:val="22"/>
      <w:szCs w:val="22"/>
    </w:rPr>
  </w:style>
  <w:style w:type="paragraph" w:styleId="686">
    <w:name w:val="Heading 9"/>
    <w:basedOn w:val="677"/>
    <w:next w:val="677"/>
    <w:link w:val="733"/>
    <w:uiPriority w:val="9"/>
    <w:unhideWhenUsed/>
    <w:qFormat/>
    <w:pPr>
      <w:keepLines/>
      <w:keepNext/>
      <w:spacing w:before="320" w:after="200"/>
      <w:outlineLvl w:val="8"/>
    </w:pPr>
    <w:rPr>
      <w:rFonts w:ascii="Arial" w:hAnsi="Arial" w:eastAsia="Arial" w:cs="Arial"/>
      <w:i/>
      <w:iCs/>
      <w:sz w:val="21"/>
      <w:szCs w:val="21"/>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toc 7"/>
    <w:basedOn w:val="677"/>
    <w:next w:val="677"/>
    <w:uiPriority w:val="39"/>
    <w:unhideWhenUsed/>
    <w:qFormat/>
    <w:pPr>
      <w:ind w:left="1701" w:right="0" w:firstLine="0"/>
      <w:spacing w:after="57"/>
    </w:pPr>
  </w:style>
  <w:style w:type="paragraph" w:styleId="690">
    <w:name w:val="Caption"/>
    <w:basedOn w:val="677"/>
    <w:next w:val="677"/>
    <w:uiPriority w:val="35"/>
    <w:semiHidden/>
    <w:unhideWhenUsed/>
    <w:qFormat/>
    <w:pPr>
      <w:spacing w:line="276" w:lineRule="auto"/>
    </w:pPr>
    <w:rPr>
      <w:b/>
      <w:bCs/>
      <w:color w:val="4f81bd" w:themeColor="accent1"/>
      <w:sz w:val="18"/>
      <w:szCs w:val="18"/>
    </w:rPr>
  </w:style>
  <w:style w:type="paragraph" w:styleId="691">
    <w:name w:val="Body Text"/>
    <w:basedOn w:val="677"/>
    <w:next w:val="67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92">
    <w:name w:val="Body Text Indent"/>
    <w:basedOn w:val="677"/>
    <w:uiPriority w:val="0"/>
    <w:qFormat/>
    <w:pPr>
      <w:ind w:firstLine="630"/>
    </w:pPr>
    <w:rPr>
      <w:rFonts w:ascii="楷体_GB2312" w:eastAsia="楷体_GB2312"/>
      <w:sz w:val="32"/>
      <w:szCs w:val="20"/>
    </w:rPr>
  </w:style>
  <w:style w:type="paragraph" w:styleId="693">
    <w:name w:val="toc 5"/>
    <w:basedOn w:val="677"/>
    <w:next w:val="677"/>
    <w:uiPriority w:val="39"/>
    <w:unhideWhenUsed/>
    <w:qFormat/>
    <w:pPr>
      <w:ind w:left="1134" w:right="0" w:firstLine="0"/>
      <w:spacing w:after="57"/>
    </w:pPr>
  </w:style>
  <w:style w:type="paragraph" w:styleId="694">
    <w:name w:val="toc 3"/>
    <w:basedOn w:val="677"/>
    <w:next w:val="677"/>
    <w:uiPriority w:val="39"/>
    <w:unhideWhenUsed/>
    <w:qFormat/>
    <w:pPr>
      <w:ind w:left="567" w:right="0" w:firstLine="0"/>
      <w:spacing w:after="57"/>
    </w:pPr>
  </w:style>
  <w:style w:type="paragraph" w:styleId="695">
    <w:name w:val="toc 8"/>
    <w:basedOn w:val="677"/>
    <w:next w:val="677"/>
    <w:uiPriority w:val="39"/>
    <w:unhideWhenUsed/>
    <w:qFormat/>
    <w:pPr>
      <w:ind w:left="1984" w:right="0" w:firstLine="0"/>
      <w:spacing w:after="57"/>
    </w:pPr>
  </w:style>
  <w:style w:type="paragraph" w:styleId="696">
    <w:name w:val="endnote text"/>
    <w:basedOn w:val="677"/>
    <w:link w:val="871"/>
    <w:uiPriority w:val="99"/>
    <w:semiHidden/>
    <w:unhideWhenUsed/>
    <w:qFormat/>
    <w:pPr>
      <w:spacing w:after="0" w:line="240" w:lineRule="auto"/>
    </w:pPr>
    <w:rPr>
      <w:sz w:val="20"/>
    </w:rPr>
  </w:style>
  <w:style w:type="paragraph" w:styleId="697">
    <w:name w:val="Footer"/>
    <w:basedOn w:val="677"/>
    <w:link w:val="744"/>
    <w:uiPriority w:val="99"/>
    <w:unhideWhenUsed/>
    <w:qFormat/>
    <w:pPr>
      <w:spacing w:after="0" w:line="240" w:lineRule="auto"/>
      <w:tabs>
        <w:tab w:val="center" w:pos="7143" w:leader="none"/>
        <w:tab w:val="right" w:pos="14287" w:leader="none"/>
      </w:tabs>
    </w:pPr>
  </w:style>
  <w:style w:type="paragraph" w:styleId="698">
    <w:name w:val="Header"/>
    <w:basedOn w:val="677"/>
    <w:link w:val="742"/>
    <w:uiPriority w:val="99"/>
    <w:unhideWhenUsed/>
    <w:qFormat/>
    <w:pPr>
      <w:spacing w:after="0" w:line="240" w:lineRule="auto"/>
      <w:tabs>
        <w:tab w:val="center" w:pos="7143" w:leader="none"/>
        <w:tab w:val="right" w:pos="14287" w:leader="none"/>
      </w:tabs>
    </w:pPr>
  </w:style>
  <w:style w:type="paragraph" w:styleId="699">
    <w:name w:val="toc 1"/>
    <w:basedOn w:val="677"/>
    <w:next w:val="677"/>
    <w:uiPriority w:val="39"/>
    <w:unhideWhenUsed/>
    <w:qFormat/>
    <w:pPr>
      <w:ind w:left="0" w:right="0" w:firstLine="0"/>
      <w:spacing w:after="57"/>
    </w:pPr>
  </w:style>
  <w:style w:type="paragraph" w:styleId="700">
    <w:name w:val="toc 4"/>
    <w:basedOn w:val="677"/>
    <w:next w:val="677"/>
    <w:uiPriority w:val="39"/>
    <w:unhideWhenUsed/>
    <w:qFormat/>
    <w:pPr>
      <w:ind w:left="850" w:right="0" w:firstLine="0"/>
      <w:spacing w:after="57"/>
    </w:pPr>
  </w:style>
  <w:style w:type="paragraph" w:styleId="701">
    <w:name w:val="Subtitle"/>
    <w:basedOn w:val="677"/>
    <w:next w:val="677"/>
    <w:link w:val="737"/>
    <w:uiPriority w:val="11"/>
    <w:qFormat/>
    <w:pPr>
      <w:spacing w:before="200" w:after="200"/>
    </w:pPr>
    <w:rPr>
      <w:sz w:val="24"/>
      <w:szCs w:val="24"/>
    </w:rPr>
  </w:style>
  <w:style w:type="paragraph" w:styleId="702">
    <w:name w:val="footnote text"/>
    <w:basedOn w:val="677"/>
    <w:link w:val="870"/>
    <w:uiPriority w:val="99"/>
    <w:semiHidden/>
    <w:unhideWhenUsed/>
    <w:qFormat/>
    <w:pPr>
      <w:spacing w:after="40" w:line="240" w:lineRule="auto"/>
    </w:pPr>
    <w:rPr>
      <w:sz w:val="18"/>
    </w:rPr>
  </w:style>
  <w:style w:type="paragraph" w:styleId="703">
    <w:name w:val="toc 6"/>
    <w:basedOn w:val="677"/>
    <w:next w:val="677"/>
    <w:uiPriority w:val="39"/>
    <w:unhideWhenUsed/>
    <w:qFormat/>
    <w:pPr>
      <w:ind w:left="1417" w:right="0" w:firstLine="0"/>
      <w:spacing w:after="57"/>
    </w:pPr>
  </w:style>
  <w:style w:type="paragraph" w:styleId="704">
    <w:name w:val="table of figures"/>
    <w:basedOn w:val="677"/>
    <w:next w:val="677"/>
    <w:uiPriority w:val="99"/>
    <w:unhideWhenUsed/>
    <w:qFormat/>
    <w:pPr>
      <w:spacing w:after="0" w:afterAutospacing="0"/>
    </w:pPr>
  </w:style>
  <w:style w:type="paragraph" w:styleId="705">
    <w:name w:val="toc 2"/>
    <w:basedOn w:val="677"/>
    <w:next w:val="677"/>
    <w:uiPriority w:val="39"/>
    <w:unhideWhenUsed/>
    <w:qFormat/>
    <w:pPr>
      <w:ind w:left="283" w:right="0" w:firstLine="0"/>
      <w:spacing w:after="57"/>
    </w:pPr>
  </w:style>
  <w:style w:type="paragraph" w:styleId="706">
    <w:name w:val="toc 9"/>
    <w:basedOn w:val="677"/>
    <w:next w:val="677"/>
    <w:uiPriority w:val="39"/>
    <w:unhideWhenUsed/>
    <w:qFormat/>
    <w:pPr>
      <w:ind w:left="2268" w:right="0" w:firstLine="0"/>
      <w:spacing w:after="57"/>
    </w:pPr>
  </w:style>
  <w:style w:type="paragraph" w:styleId="707">
    <w:name w:val="Normal (Web)"/>
    <w:basedOn w:val="677"/>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708">
    <w:name w:val="Title"/>
    <w:basedOn w:val="677"/>
    <w:next w:val="677"/>
    <w:link w:val="736"/>
    <w:uiPriority w:val="10"/>
    <w:qFormat/>
    <w:pPr>
      <w:contextualSpacing/>
      <w:spacing w:before="300" w:after="200"/>
    </w:pPr>
    <w:rPr>
      <w:sz w:val="48"/>
      <w:szCs w:val="48"/>
    </w:rPr>
  </w:style>
  <w:style w:type="paragraph" w:styleId="709">
    <w:name w:val="Body Text First Indent 2"/>
    <w:basedOn w:val="692"/>
    <w:next w:val="677"/>
    <w:uiPriority w:val="0"/>
    <w:qFormat/>
    <w:pPr>
      <w:ind w:left="420" w:firstLine="420"/>
      <w:spacing w:after="120"/>
      <w:widowControl/>
    </w:pPr>
    <w:rPr>
      <w:rFonts w:ascii="仿宋_GB2312" w:eastAsia="仿宋_GB2312"/>
      <w:color w:val="ff6600"/>
      <w:sz w:val="21"/>
    </w:rPr>
  </w:style>
  <w:style w:type="table" w:styleId="71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Strong"/>
    <w:basedOn w:val="687"/>
    <w:uiPriority w:val="22"/>
    <w:qFormat/>
  </w:style>
  <w:style w:type="character" w:styleId="712">
    <w:name w:val="endnote reference"/>
    <w:uiPriority w:val="99"/>
    <w:semiHidden/>
    <w:unhideWhenUsed/>
    <w:qFormat/>
    <w:rPr>
      <w:vertAlign w:val="superscript"/>
    </w:rPr>
  </w:style>
  <w:style w:type="character" w:styleId="713">
    <w:name w:val="FollowedHyperlink"/>
    <w:basedOn w:val="687"/>
    <w:uiPriority w:val="99"/>
    <w:semiHidden/>
    <w:unhideWhenUsed/>
    <w:qFormat/>
    <w:rPr>
      <w:color w:val="800080"/>
      <w:u w:val="none"/>
    </w:rPr>
  </w:style>
  <w:style w:type="character" w:styleId="714">
    <w:name w:val="Emphasis"/>
    <w:basedOn w:val="687"/>
    <w:uiPriority w:val="20"/>
    <w:qFormat/>
  </w:style>
  <w:style w:type="character" w:styleId="715">
    <w:name w:val="HTML Definition"/>
    <w:basedOn w:val="687"/>
    <w:uiPriority w:val="99"/>
    <w:semiHidden/>
    <w:unhideWhenUsed/>
    <w:qFormat/>
  </w:style>
  <w:style w:type="character" w:styleId="716">
    <w:name w:val="HTML Typewriter"/>
    <w:basedOn w:val="687"/>
    <w:uiPriority w:val="99"/>
    <w:semiHidden/>
    <w:unhideWhenUsed/>
    <w:qFormat/>
    <w:rPr>
      <w:rFonts w:ascii="monospace" w:hAnsi="monospace" w:eastAsia="monospace" w:cs="monospace"/>
      <w:sz w:val="20"/>
    </w:rPr>
  </w:style>
  <w:style w:type="character" w:styleId="717">
    <w:name w:val="HTML Acronym"/>
    <w:basedOn w:val="687"/>
    <w:uiPriority w:val="99"/>
    <w:semiHidden/>
    <w:unhideWhenUsed/>
    <w:qFormat/>
  </w:style>
  <w:style w:type="character" w:styleId="718">
    <w:name w:val="HTML Variable"/>
    <w:basedOn w:val="687"/>
    <w:uiPriority w:val="99"/>
    <w:semiHidden/>
    <w:unhideWhenUsed/>
    <w:qFormat/>
  </w:style>
  <w:style w:type="character" w:styleId="719">
    <w:name w:val="Hyperlink"/>
    <w:uiPriority w:val="99"/>
    <w:unhideWhenUsed/>
    <w:qFormat/>
    <w:rPr>
      <w:color w:val="0000ff" w:themeColor="hyperlink"/>
      <w:u w:val="single"/>
    </w:rPr>
  </w:style>
  <w:style w:type="character" w:styleId="720">
    <w:name w:val="HTML Code"/>
    <w:basedOn w:val="687"/>
    <w:uiPriority w:val="99"/>
    <w:semiHidden/>
    <w:unhideWhenUsed/>
    <w:qFormat/>
    <w:rPr>
      <w:rFonts w:hint="default" w:ascii="monospace" w:hAnsi="monospace" w:eastAsia="monospace" w:cs="monospace"/>
      <w:sz w:val="20"/>
    </w:rPr>
  </w:style>
  <w:style w:type="character" w:styleId="721">
    <w:name w:val="HTML Cite"/>
    <w:basedOn w:val="687"/>
    <w:uiPriority w:val="99"/>
    <w:semiHidden/>
    <w:unhideWhenUsed/>
    <w:qFormat/>
  </w:style>
  <w:style w:type="character" w:styleId="722">
    <w:name w:val="footnote reference"/>
    <w:uiPriority w:val="99"/>
    <w:unhideWhenUsed/>
    <w:qFormat/>
    <w:rPr>
      <w:vertAlign w:val="superscript"/>
    </w:rPr>
  </w:style>
  <w:style w:type="character" w:styleId="723">
    <w:name w:val="HTML Keyboard"/>
    <w:basedOn w:val="687"/>
    <w:uiPriority w:val="99"/>
    <w:semiHidden/>
    <w:unhideWhenUsed/>
    <w:qFormat/>
    <w:rPr>
      <w:rFonts w:hint="default" w:ascii="monospace" w:hAnsi="monospace" w:eastAsia="monospace" w:cs="monospace"/>
      <w:sz w:val="20"/>
    </w:rPr>
  </w:style>
  <w:style w:type="character" w:styleId="724">
    <w:name w:val="HTML Sample"/>
    <w:basedOn w:val="687"/>
    <w:uiPriority w:val="99"/>
    <w:semiHidden/>
    <w:unhideWhenUsed/>
    <w:qFormat/>
    <w:rPr>
      <w:rFonts w:hint="default" w:ascii="monospace" w:hAnsi="monospace" w:eastAsia="monospace" w:cs="monospace"/>
    </w:rPr>
  </w:style>
  <w:style w:type="character" w:styleId="725" w:customStyle="1">
    <w:name w:val="Heading 1 Char"/>
    <w:link w:val="678"/>
    <w:uiPriority w:val="9"/>
    <w:qFormat/>
    <w:rPr>
      <w:rFonts w:ascii="Arial" w:hAnsi="Arial" w:eastAsia="Arial" w:cs="Arial"/>
      <w:sz w:val="40"/>
      <w:szCs w:val="40"/>
    </w:rPr>
  </w:style>
  <w:style w:type="character" w:styleId="726" w:customStyle="1">
    <w:name w:val="Heading 2 Char"/>
    <w:link w:val="679"/>
    <w:uiPriority w:val="9"/>
    <w:qFormat/>
    <w:rPr>
      <w:rFonts w:ascii="Arial" w:hAnsi="Arial" w:eastAsia="Arial" w:cs="Arial"/>
      <w:sz w:val="34"/>
    </w:rPr>
  </w:style>
  <w:style w:type="character" w:styleId="727" w:customStyle="1">
    <w:name w:val="Heading 3 Char"/>
    <w:link w:val="680"/>
    <w:uiPriority w:val="9"/>
    <w:qFormat/>
    <w:rPr>
      <w:rFonts w:ascii="Arial" w:hAnsi="Arial" w:eastAsia="Arial" w:cs="Arial"/>
      <w:sz w:val="30"/>
      <w:szCs w:val="30"/>
    </w:rPr>
  </w:style>
  <w:style w:type="character" w:styleId="728" w:customStyle="1">
    <w:name w:val="Heading 4 Char"/>
    <w:link w:val="681"/>
    <w:uiPriority w:val="9"/>
    <w:qFormat/>
    <w:rPr>
      <w:rFonts w:ascii="Arial" w:hAnsi="Arial" w:eastAsia="Arial" w:cs="Arial"/>
      <w:b/>
      <w:bCs/>
      <w:sz w:val="26"/>
      <w:szCs w:val="26"/>
    </w:rPr>
  </w:style>
  <w:style w:type="character" w:styleId="729" w:customStyle="1">
    <w:name w:val="Heading 5 Char"/>
    <w:link w:val="682"/>
    <w:uiPriority w:val="9"/>
    <w:qFormat/>
    <w:rPr>
      <w:rFonts w:ascii="Arial" w:hAnsi="Arial" w:eastAsia="Arial" w:cs="Arial"/>
      <w:b/>
      <w:bCs/>
      <w:sz w:val="24"/>
      <w:szCs w:val="24"/>
    </w:rPr>
  </w:style>
  <w:style w:type="character" w:styleId="730" w:customStyle="1">
    <w:name w:val="Heading 6 Char"/>
    <w:link w:val="683"/>
    <w:uiPriority w:val="9"/>
    <w:qFormat/>
    <w:rPr>
      <w:rFonts w:ascii="Arial" w:hAnsi="Arial" w:eastAsia="Arial" w:cs="Arial"/>
      <w:b/>
      <w:bCs/>
      <w:sz w:val="22"/>
      <w:szCs w:val="22"/>
    </w:rPr>
  </w:style>
  <w:style w:type="character" w:styleId="731" w:customStyle="1">
    <w:name w:val="Heading 7 Char"/>
    <w:link w:val="684"/>
    <w:uiPriority w:val="9"/>
    <w:qFormat/>
    <w:rPr>
      <w:rFonts w:ascii="Arial" w:hAnsi="Arial" w:eastAsia="Arial" w:cs="Arial"/>
      <w:b/>
      <w:bCs/>
      <w:i/>
      <w:iCs/>
      <w:sz w:val="22"/>
      <w:szCs w:val="22"/>
    </w:rPr>
  </w:style>
  <w:style w:type="character" w:styleId="732" w:customStyle="1">
    <w:name w:val="Heading 8 Char"/>
    <w:link w:val="685"/>
    <w:uiPriority w:val="9"/>
    <w:qFormat/>
    <w:rPr>
      <w:rFonts w:ascii="Arial" w:hAnsi="Arial" w:eastAsia="Arial" w:cs="Arial"/>
      <w:i/>
      <w:iCs/>
      <w:sz w:val="22"/>
      <w:szCs w:val="22"/>
    </w:rPr>
  </w:style>
  <w:style w:type="character" w:styleId="733" w:customStyle="1">
    <w:name w:val="Heading 9 Char"/>
    <w:link w:val="686"/>
    <w:uiPriority w:val="9"/>
    <w:qFormat/>
    <w:rPr>
      <w:rFonts w:ascii="Arial" w:hAnsi="Arial" w:eastAsia="Arial" w:cs="Arial"/>
      <w:i/>
      <w:iCs/>
      <w:sz w:val="21"/>
      <w:szCs w:val="21"/>
    </w:rPr>
  </w:style>
  <w:style w:type="paragraph" w:styleId="734">
    <w:name w:val="List Paragraph"/>
    <w:basedOn w:val="677"/>
    <w:uiPriority w:val="34"/>
    <w:qFormat/>
    <w:pPr>
      <w:contextualSpacing/>
      <w:ind w:left="720"/>
    </w:pPr>
  </w:style>
  <w:style w:type="paragraph" w:styleId="735">
    <w:name w:val="No Spacing"/>
    <w:uiPriority w:val="1"/>
    <w:qFormat/>
    <w:pPr>
      <w:spacing w:before="0" w:after="0" w:line="240" w:lineRule="auto"/>
    </w:pPr>
    <w:rPr>
      <w:rFonts w:hint="default" w:ascii="Times New Roman" w:hAnsi="Times New Roman" w:eastAsia="宋体" w:cs="Times New Roman"/>
    </w:rPr>
  </w:style>
  <w:style w:type="character" w:styleId="736" w:customStyle="1">
    <w:name w:val="Title Char"/>
    <w:link w:val="708"/>
    <w:uiPriority w:val="10"/>
    <w:qFormat/>
    <w:rPr>
      <w:sz w:val="48"/>
      <w:szCs w:val="48"/>
    </w:rPr>
  </w:style>
  <w:style w:type="character" w:styleId="737" w:customStyle="1">
    <w:name w:val="Subtitle Char"/>
    <w:link w:val="701"/>
    <w:uiPriority w:val="11"/>
    <w:qFormat/>
    <w:rPr>
      <w:sz w:val="24"/>
      <w:szCs w:val="24"/>
    </w:rPr>
  </w:style>
  <w:style w:type="paragraph" w:styleId="738">
    <w:name w:val="Quote"/>
    <w:basedOn w:val="677"/>
    <w:next w:val="677"/>
    <w:link w:val="739"/>
    <w:uiPriority w:val="29"/>
    <w:qFormat/>
    <w:pPr>
      <w:ind w:left="720" w:right="720"/>
    </w:pPr>
    <w:rPr>
      <w:i/>
    </w:rPr>
  </w:style>
  <w:style w:type="character" w:styleId="739" w:customStyle="1">
    <w:name w:val="Quote Char"/>
    <w:link w:val="738"/>
    <w:uiPriority w:val="29"/>
    <w:qFormat/>
    <w:rPr>
      <w:i/>
    </w:rPr>
  </w:style>
  <w:style w:type="paragraph" w:styleId="740">
    <w:name w:val="Intense Quote"/>
    <w:basedOn w:val="677"/>
    <w:next w:val="677"/>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Intense Quote Char"/>
    <w:link w:val="740"/>
    <w:uiPriority w:val="30"/>
    <w:qFormat/>
    <w:rPr>
      <w:i/>
    </w:rPr>
  </w:style>
  <w:style w:type="character" w:styleId="742" w:customStyle="1">
    <w:name w:val="Header Char"/>
    <w:link w:val="698"/>
    <w:uiPriority w:val="99"/>
    <w:qFormat/>
  </w:style>
  <w:style w:type="character" w:styleId="743" w:customStyle="1">
    <w:name w:val="Footer Char"/>
    <w:link w:val="697"/>
    <w:uiPriority w:val="99"/>
    <w:qFormat/>
  </w:style>
  <w:style w:type="character" w:styleId="744" w:customStyle="1">
    <w:name w:val="Caption Char"/>
    <w:link w:val="697"/>
    <w:uiPriority w:val="99"/>
    <w:qFormat/>
  </w:style>
  <w:style w:type="table" w:styleId="74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2"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9"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0"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2"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0" w:customStyle="1">
    <w:name w:val="Footnote Text Char"/>
    <w:link w:val="702"/>
    <w:uiPriority w:val="99"/>
    <w:qFormat/>
    <w:rPr>
      <w:sz w:val="18"/>
    </w:rPr>
  </w:style>
  <w:style w:type="character" w:styleId="871" w:customStyle="1">
    <w:name w:val="Endnote Text Char"/>
    <w:link w:val="696"/>
    <w:uiPriority w:val="99"/>
    <w:qFormat/>
    <w:rPr>
      <w:sz w:val="20"/>
    </w:rPr>
  </w:style>
  <w:style w:type="paragraph" w:styleId="872" w:customStyle="1">
    <w:name w:val="TOC Heading"/>
    <w:uiPriority w:val="39"/>
    <w:unhideWhenUsed/>
    <w:qFormat/>
    <w:rPr>
      <w:rFonts w:hint="default" w:ascii="Times New Roman" w:hAnsi="Times New Roman" w:eastAsia="宋体" w:cs="Times New Roman"/>
    </w:rPr>
  </w:style>
  <w:style w:type="paragraph" w:styleId="873" w:customStyle="1">
    <w:name w:val="标题 11"/>
    <w:basedOn w:val="677"/>
    <w:next w:val="677"/>
    <w:uiPriority w:val="9"/>
    <w:qFormat/>
    <w:pPr>
      <w:keepLines/>
      <w:keepNext/>
      <w:spacing w:before="340" w:after="330" w:line="578" w:lineRule="auto"/>
      <w:outlineLvl w:val="0"/>
    </w:pPr>
    <w:rPr>
      <w:b/>
      <w:bCs/>
      <w:sz w:val="44"/>
      <w:szCs w:val="44"/>
    </w:rPr>
  </w:style>
  <w:style w:type="paragraph" w:styleId="874" w:customStyle="1">
    <w:name w:val="标题 21"/>
    <w:basedOn w:val="677"/>
    <w:next w:val="875"/>
    <w:uiPriority w:val="9"/>
    <w:qFormat/>
    <w:pPr>
      <w:keepLines/>
      <w:keepNext/>
      <w:spacing w:before="260" w:after="260" w:line="413" w:lineRule="auto"/>
      <w:outlineLvl w:val="1"/>
    </w:pPr>
    <w:rPr>
      <w:rFonts w:ascii="Arial" w:hAnsi="Arial" w:eastAsia="黑体"/>
      <w:b/>
      <w:sz w:val="32"/>
      <w:szCs w:val="20"/>
    </w:rPr>
  </w:style>
  <w:style w:type="paragraph" w:styleId="875" w:customStyle="1">
    <w:name w:val="正文缩进1"/>
    <w:basedOn w:val="677"/>
    <w:link w:val="881"/>
    <w:uiPriority w:val="0"/>
    <w:qFormat/>
    <w:pPr>
      <w:ind w:firstLine="420"/>
    </w:pPr>
    <w:rPr>
      <w:szCs w:val="20"/>
    </w:rPr>
  </w:style>
  <w:style w:type="paragraph" w:styleId="876" w:customStyle="1">
    <w:name w:val="标题 31"/>
    <w:basedOn w:val="677"/>
    <w:next w:val="677"/>
    <w:uiPriority w:val="9"/>
    <w:qFormat/>
    <w:pPr>
      <w:keepLines/>
      <w:keepNext/>
      <w:spacing w:before="260" w:after="260" w:line="413" w:lineRule="auto"/>
      <w:outlineLvl w:val="2"/>
    </w:pPr>
    <w:rPr>
      <w:rFonts w:ascii="Arial" w:hAnsi="Arial"/>
      <w:b/>
      <w:sz w:val="32"/>
      <w:szCs w:val="20"/>
    </w:rPr>
  </w:style>
  <w:style w:type="paragraph" w:styleId="877" w:customStyle="1">
    <w:name w:val="标题 41"/>
    <w:basedOn w:val="677"/>
    <w:next w:val="677"/>
    <w:link w:val="882"/>
    <w:uiPriority w:val="9"/>
    <w:qFormat/>
    <w:pPr>
      <w:keepLines/>
      <w:keepNext/>
      <w:spacing w:before="280" w:after="290" w:line="376" w:lineRule="auto"/>
      <w:outlineLvl w:val="3"/>
    </w:pPr>
    <w:rPr>
      <w:rFonts w:ascii="Cambria" w:hAnsi="Cambria"/>
      <w:b/>
      <w:bCs/>
      <w:sz w:val="28"/>
      <w:szCs w:val="28"/>
    </w:rPr>
  </w:style>
  <w:style w:type="paragraph" w:styleId="878" w:customStyle="1">
    <w:name w:val="标题 51"/>
    <w:basedOn w:val="677"/>
    <w:next w:val="677"/>
    <w:link w:val="883"/>
    <w:uiPriority w:val="9"/>
    <w:qFormat/>
    <w:pPr>
      <w:keepLines/>
      <w:keepNext/>
      <w:spacing w:before="280" w:after="290" w:line="376" w:lineRule="auto"/>
      <w:outlineLvl w:val="4"/>
    </w:pPr>
    <w:rPr>
      <w:b/>
      <w:bCs/>
      <w:sz w:val="28"/>
      <w:szCs w:val="28"/>
    </w:rPr>
  </w:style>
  <w:style w:type="character" w:styleId="879" w:customStyle="1">
    <w:name w:val="默认段落字体1"/>
    <w:link w:val="677"/>
    <w:uiPriority w:val="0"/>
    <w:semiHidden/>
    <w:qFormat/>
  </w:style>
  <w:style w:type="table" w:styleId="880" w:customStyle="1">
    <w:name w:val="普通表格1"/>
    <w:uiPriority w:val="0"/>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81" w:customStyle="1">
    <w:name w:val="正文缩进 Char"/>
    <w:link w:val="875"/>
    <w:uiPriority w:val="0"/>
    <w:qFormat/>
    <w:rPr>
      <w:sz w:val="21"/>
    </w:rPr>
  </w:style>
  <w:style w:type="character" w:styleId="882" w:customStyle="1">
    <w:name w:val="标题 4 Char"/>
    <w:link w:val="877"/>
    <w:uiPriority w:val="9"/>
    <w:qFormat/>
    <w:rPr>
      <w:rFonts w:ascii="Cambria" w:hAnsi="Cambria"/>
      <w:b/>
      <w:bCs/>
      <w:sz w:val="28"/>
      <w:szCs w:val="28"/>
    </w:rPr>
  </w:style>
  <w:style w:type="character" w:styleId="883" w:customStyle="1">
    <w:name w:val="标题 5 Char"/>
    <w:link w:val="878"/>
    <w:uiPriority w:val="9"/>
    <w:qFormat/>
    <w:rPr>
      <w:b/>
      <w:bCs/>
      <w:sz w:val="28"/>
      <w:szCs w:val="28"/>
    </w:rPr>
  </w:style>
  <w:style w:type="paragraph" w:styleId="884" w:customStyle="1">
    <w:name w:val="题注1"/>
    <w:basedOn w:val="677"/>
    <w:next w:val="677"/>
    <w:uiPriority w:val="35"/>
    <w:qFormat/>
    <w:pPr>
      <w:jc w:val="center"/>
      <w:spacing w:before="156" w:after="156" w:line="360" w:lineRule="auto"/>
    </w:pPr>
    <w:rPr>
      <w:rFonts w:ascii="Arial" w:hAnsi="Arial" w:cs="Arial"/>
      <w:sz w:val="24"/>
      <w:szCs w:val="20"/>
    </w:rPr>
  </w:style>
  <w:style w:type="paragraph" w:styleId="885" w:customStyle="1">
    <w:name w:val="文档结构图1"/>
    <w:basedOn w:val="677"/>
    <w:uiPriority w:val="0"/>
    <w:semiHidden/>
    <w:qFormat/>
    <w:pPr>
      <w:shd w:val="clear" w:color="auto" w:fill="000080"/>
    </w:pPr>
  </w:style>
  <w:style w:type="paragraph" w:styleId="886" w:customStyle="1">
    <w:name w:val="批注文字1"/>
    <w:basedOn w:val="677"/>
    <w:link w:val="887"/>
    <w:uiPriority w:val="99"/>
    <w:unhideWhenUsed/>
    <w:qFormat/>
    <w:pPr>
      <w:jc w:val="left"/>
    </w:pPr>
  </w:style>
  <w:style w:type="character" w:styleId="887" w:customStyle="1">
    <w:name w:val="批注文字 Char"/>
    <w:link w:val="886"/>
    <w:uiPriority w:val="99"/>
    <w:qFormat/>
    <w:rPr>
      <w:sz w:val="21"/>
      <w:szCs w:val="24"/>
    </w:rPr>
  </w:style>
  <w:style w:type="paragraph" w:styleId="888" w:customStyle="1">
    <w:name w:val="正文文本 31"/>
    <w:basedOn w:val="677"/>
    <w:uiPriority w:val="0"/>
    <w:qFormat/>
    <w:rPr>
      <w:rFonts w:ascii="楷体_GB2312" w:hAnsi="Arial" w:eastAsia="楷体_GB2312" w:cs="Arial"/>
      <w:b/>
      <w:bCs/>
      <w:color w:val="000000"/>
      <w:sz w:val="24"/>
    </w:rPr>
  </w:style>
  <w:style w:type="paragraph" w:styleId="889" w:customStyle="1">
    <w:name w:val="正文文本1"/>
    <w:basedOn w:val="67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90" w:customStyle="1">
    <w:name w:val="正文文本缩进1"/>
    <w:basedOn w:val="677"/>
    <w:uiPriority w:val="0"/>
    <w:qFormat/>
    <w:pPr>
      <w:ind w:firstLine="630"/>
    </w:pPr>
    <w:rPr>
      <w:rFonts w:ascii="楷体_GB2312" w:eastAsia="楷体_GB2312"/>
      <w:sz w:val="32"/>
      <w:szCs w:val="20"/>
    </w:rPr>
  </w:style>
  <w:style w:type="paragraph" w:styleId="891" w:customStyle="1">
    <w:name w:val="文本块11"/>
    <w:basedOn w:val="677"/>
    <w:uiPriority w:val="0"/>
    <w:qFormat/>
    <w:pPr>
      <w:ind w:left="420" w:right="33"/>
      <w:jc w:val="left"/>
    </w:pPr>
    <w:rPr>
      <w:sz w:val="24"/>
      <w:szCs w:val="20"/>
    </w:rPr>
  </w:style>
  <w:style w:type="paragraph" w:styleId="892" w:customStyle="1">
    <w:name w:val="目录 31"/>
    <w:basedOn w:val="677"/>
    <w:next w:val="677"/>
    <w:uiPriority w:val="0"/>
    <w:semiHidden/>
    <w:qFormat/>
    <w:pPr>
      <w:ind w:left="840"/>
      <w:spacing w:line="300" w:lineRule="auto"/>
      <w:tabs>
        <w:tab w:val="right" w:pos="9344" w:leader="dot"/>
      </w:tabs>
    </w:pPr>
    <w:rPr>
      <w:rFonts w:ascii="Arial" w:hAnsi="Arial" w:cs="Arial"/>
      <w:szCs w:val="21"/>
    </w:rPr>
  </w:style>
  <w:style w:type="paragraph" w:styleId="893" w:customStyle="1">
    <w:name w:val="纯文本112"/>
    <w:basedOn w:val="677"/>
    <w:link w:val="894"/>
    <w:uiPriority w:val="0"/>
    <w:qFormat/>
    <w:rPr>
      <w:rFonts w:ascii="宋体" w:hAnsi="Courier New"/>
      <w:szCs w:val="20"/>
    </w:rPr>
  </w:style>
  <w:style w:type="character" w:styleId="894" w:customStyle="1">
    <w:name w:val="纯文本 Char"/>
    <w:link w:val="893"/>
    <w:uiPriority w:val="0"/>
    <w:qFormat/>
    <w:rPr>
      <w:rFonts w:ascii="宋体" w:hAnsi="Courier New" w:eastAsia="宋体"/>
      <w:sz w:val="21"/>
      <w:lang w:val="en-US" w:eastAsia="zh-CN" w:bidi="ar-SA"/>
    </w:rPr>
  </w:style>
  <w:style w:type="paragraph" w:styleId="895" w:customStyle="1">
    <w:name w:val="正文文本缩进 21"/>
    <w:basedOn w:val="677"/>
    <w:uiPriority w:val="0"/>
    <w:qFormat/>
    <w:pPr>
      <w:ind w:left="420"/>
      <w:spacing w:after="120" w:line="480" w:lineRule="auto"/>
    </w:pPr>
  </w:style>
  <w:style w:type="paragraph" w:styleId="896" w:customStyle="1">
    <w:name w:val="批注框文本1"/>
    <w:basedOn w:val="677"/>
    <w:link w:val="897"/>
    <w:uiPriority w:val="0"/>
    <w:qFormat/>
    <w:rPr>
      <w:sz w:val="18"/>
      <w:szCs w:val="18"/>
    </w:rPr>
  </w:style>
  <w:style w:type="character" w:styleId="897" w:customStyle="1">
    <w:name w:val="批注框文本 Char"/>
    <w:link w:val="896"/>
    <w:uiPriority w:val="0"/>
    <w:qFormat/>
    <w:rPr>
      <w:sz w:val="18"/>
      <w:szCs w:val="18"/>
    </w:rPr>
  </w:style>
  <w:style w:type="paragraph" w:styleId="898" w:customStyle="1">
    <w:name w:val="页脚1"/>
    <w:basedOn w:val="677"/>
    <w:link w:val="899"/>
    <w:uiPriority w:val="0"/>
    <w:qFormat/>
    <w:pPr>
      <w:jc w:val="left"/>
      <w:tabs>
        <w:tab w:val="center" w:pos="4153" w:leader="none"/>
        <w:tab w:val="right" w:pos="8306" w:leader="none"/>
      </w:tabs>
    </w:pPr>
    <w:rPr>
      <w:sz w:val="18"/>
      <w:szCs w:val="18"/>
    </w:rPr>
  </w:style>
  <w:style w:type="character" w:styleId="899" w:customStyle="1">
    <w:name w:val="页脚 Char"/>
    <w:link w:val="898"/>
    <w:uiPriority w:val="0"/>
    <w:qFormat/>
    <w:rPr>
      <w:sz w:val="18"/>
      <w:szCs w:val="18"/>
    </w:rPr>
  </w:style>
  <w:style w:type="paragraph" w:styleId="900" w:customStyle="1">
    <w:name w:val="页眉1"/>
    <w:basedOn w:val="677"/>
    <w:link w:val="901"/>
    <w:uiPriority w:val="0"/>
    <w:qFormat/>
    <w:pPr>
      <w:jc w:val="center"/>
      <w:tabs>
        <w:tab w:val="center" w:pos="4153" w:leader="none"/>
        <w:tab w:val="right" w:pos="8306" w:leader="none"/>
      </w:tabs>
      <w:pBdr>
        <w:bottom w:val="single" w:color="000000" w:sz="6" w:space="1"/>
      </w:pBdr>
    </w:pPr>
    <w:rPr>
      <w:sz w:val="18"/>
      <w:szCs w:val="18"/>
    </w:rPr>
  </w:style>
  <w:style w:type="character" w:styleId="901" w:customStyle="1">
    <w:name w:val="页眉 Char"/>
    <w:link w:val="900"/>
    <w:uiPriority w:val="0"/>
    <w:qFormat/>
    <w:rPr>
      <w:sz w:val="18"/>
      <w:szCs w:val="18"/>
    </w:rPr>
  </w:style>
  <w:style w:type="paragraph" w:styleId="902" w:customStyle="1">
    <w:name w:val="目录 11"/>
    <w:basedOn w:val="677"/>
    <w:next w:val="677"/>
    <w:uiPriority w:val="0"/>
    <w:semiHidden/>
    <w:qFormat/>
  </w:style>
  <w:style w:type="paragraph" w:styleId="903" w:customStyle="1">
    <w:name w:val="正文文本缩进 31"/>
    <w:basedOn w:val="677"/>
    <w:uiPriority w:val="99"/>
    <w:qFormat/>
    <w:pPr>
      <w:ind w:firstLine="420"/>
    </w:pPr>
    <w:rPr>
      <w:rFonts w:eastAsia="楷体_GB2312"/>
    </w:rPr>
  </w:style>
  <w:style w:type="paragraph" w:styleId="904" w:customStyle="1">
    <w:name w:val="目录 21"/>
    <w:basedOn w:val="677"/>
    <w:next w:val="677"/>
    <w:uiPriority w:val="0"/>
    <w:semiHidden/>
    <w:qFormat/>
    <w:pPr>
      <w:ind w:left="420"/>
    </w:pPr>
    <w:rPr>
      <w:szCs w:val="20"/>
    </w:rPr>
  </w:style>
  <w:style w:type="paragraph" w:styleId="905" w:customStyle="1">
    <w:name w:val="正文文本 21"/>
    <w:basedOn w:val="677"/>
    <w:link w:val="906"/>
    <w:uiPriority w:val="0"/>
    <w:qFormat/>
    <w:pPr>
      <w:spacing w:line="440" w:lineRule="exact"/>
    </w:pPr>
    <w:rPr>
      <w:rFonts w:ascii="楷体_GB2312" w:eastAsia="楷体_GB2312"/>
      <w:sz w:val="28"/>
    </w:rPr>
  </w:style>
  <w:style w:type="character" w:styleId="906" w:customStyle="1">
    <w:name w:val="正文文本 2 Char"/>
    <w:link w:val="905"/>
    <w:uiPriority w:val="0"/>
    <w:qFormat/>
    <w:rPr>
      <w:rFonts w:ascii="楷体_GB2312" w:eastAsia="楷体_GB2312"/>
      <w:sz w:val="28"/>
      <w:szCs w:val="24"/>
    </w:rPr>
  </w:style>
  <w:style w:type="paragraph" w:styleId="907" w:customStyle="1">
    <w:name w:val="批注主题1"/>
    <w:basedOn w:val="886"/>
    <w:next w:val="886"/>
    <w:link w:val="908"/>
    <w:uiPriority w:val="0"/>
    <w:qFormat/>
    <w:rPr>
      <w:b/>
      <w:bCs/>
    </w:rPr>
  </w:style>
  <w:style w:type="character" w:styleId="908" w:customStyle="1">
    <w:name w:val="批注主题 Char"/>
    <w:link w:val="907"/>
    <w:uiPriority w:val="0"/>
    <w:qFormat/>
    <w:rPr>
      <w:b/>
      <w:bCs/>
      <w:sz w:val="21"/>
      <w:szCs w:val="24"/>
    </w:rPr>
  </w:style>
  <w:style w:type="paragraph" w:styleId="909" w:customStyle="1">
    <w:name w:val="正文首行缩进 21"/>
    <w:basedOn w:val="890"/>
    <w:uiPriority w:val="0"/>
    <w:qFormat/>
    <w:pPr>
      <w:ind w:left="420" w:firstLine="420"/>
      <w:spacing w:after="120"/>
      <w:widowControl/>
    </w:pPr>
    <w:rPr>
      <w:rFonts w:ascii="仿宋_GB2312" w:eastAsia="仿宋_GB2312"/>
      <w:color w:val="ff6600"/>
      <w:sz w:val="21"/>
    </w:rPr>
  </w:style>
  <w:style w:type="table" w:styleId="910" w:customStyle="1">
    <w:name w:val="网格型1"/>
    <w:basedOn w:val="880"/>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11" w:customStyle="1">
    <w:name w:val="要点1"/>
    <w:link w:val="677"/>
    <w:uiPriority w:val="0"/>
    <w:qFormat/>
  </w:style>
  <w:style w:type="character" w:styleId="912" w:customStyle="1">
    <w:name w:val="页码1"/>
    <w:link w:val="677"/>
    <w:uiPriority w:val="0"/>
    <w:qFormat/>
  </w:style>
  <w:style w:type="character" w:styleId="913" w:customStyle="1">
    <w:name w:val="已访问的超链接1"/>
    <w:link w:val="677"/>
    <w:uiPriority w:val="0"/>
    <w:qFormat/>
    <w:rPr>
      <w:color w:val="800080"/>
      <w:u w:val="none"/>
    </w:rPr>
  </w:style>
  <w:style w:type="character" w:styleId="914" w:customStyle="1">
    <w:name w:val="强调1"/>
    <w:link w:val="677"/>
    <w:uiPriority w:val="0"/>
    <w:qFormat/>
  </w:style>
  <w:style w:type="character" w:styleId="915" w:customStyle="1">
    <w:name w:val="HTML 定义1"/>
    <w:link w:val="677"/>
    <w:uiPriority w:val="0"/>
    <w:qFormat/>
  </w:style>
  <w:style w:type="character" w:styleId="916" w:customStyle="1">
    <w:name w:val="HTML 打字机1"/>
    <w:link w:val="677"/>
    <w:uiPriority w:val="0"/>
    <w:qFormat/>
    <w:rPr>
      <w:rFonts w:ascii="monospace" w:hAnsi="monospace" w:eastAsia="monospace" w:cs="monospace"/>
      <w:sz w:val="20"/>
    </w:rPr>
  </w:style>
  <w:style w:type="character" w:styleId="917" w:customStyle="1">
    <w:name w:val="HTML 缩写1"/>
    <w:link w:val="677"/>
    <w:uiPriority w:val="0"/>
    <w:qFormat/>
  </w:style>
  <w:style w:type="character" w:styleId="918" w:customStyle="1">
    <w:name w:val="HTML 变量1"/>
    <w:link w:val="677"/>
    <w:uiPriority w:val="0"/>
    <w:qFormat/>
  </w:style>
  <w:style w:type="character" w:styleId="919" w:customStyle="1">
    <w:name w:val="超链接1"/>
    <w:link w:val="677"/>
    <w:uiPriority w:val="0"/>
    <w:qFormat/>
    <w:rPr>
      <w:color w:val="0000ff"/>
      <w:u w:val="none"/>
    </w:rPr>
  </w:style>
  <w:style w:type="character" w:styleId="920" w:customStyle="1">
    <w:name w:val="HTML 代码1"/>
    <w:link w:val="677"/>
    <w:uiPriority w:val="0"/>
    <w:qFormat/>
    <w:rPr>
      <w:rFonts w:ascii="monospace" w:hAnsi="monospace" w:eastAsia="monospace" w:cs="monospace"/>
      <w:sz w:val="20"/>
    </w:rPr>
  </w:style>
  <w:style w:type="character" w:styleId="921" w:customStyle="1">
    <w:name w:val="批注引用1"/>
    <w:link w:val="677"/>
    <w:uiPriority w:val="0"/>
    <w:qFormat/>
    <w:rPr>
      <w:sz w:val="21"/>
      <w:szCs w:val="21"/>
    </w:rPr>
  </w:style>
  <w:style w:type="character" w:styleId="922" w:customStyle="1">
    <w:name w:val="HTML 引文1"/>
    <w:link w:val="677"/>
    <w:uiPriority w:val="0"/>
    <w:qFormat/>
  </w:style>
  <w:style w:type="character" w:styleId="923" w:customStyle="1">
    <w:name w:val="HTML 键盘1"/>
    <w:link w:val="677"/>
    <w:uiPriority w:val="0"/>
    <w:qFormat/>
    <w:rPr>
      <w:rFonts w:ascii="monospace" w:hAnsi="monospace" w:eastAsia="monospace" w:cs="monospace"/>
      <w:sz w:val="20"/>
    </w:rPr>
  </w:style>
  <w:style w:type="character" w:styleId="924" w:customStyle="1">
    <w:name w:val="HTML 样本1"/>
    <w:link w:val="677"/>
    <w:uiPriority w:val="0"/>
    <w:qFormat/>
    <w:rPr>
      <w:rFonts w:ascii="monospace" w:hAnsi="monospace" w:eastAsia="monospace" w:cs="monospace"/>
    </w:rPr>
  </w:style>
  <w:style w:type="character" w:styleId="925" w:customStyle="1">
    <w:name w:val="Font Style30"/>
    <w:link w:val="677"/>
    <w:uiPriority w:val="0"/>
    <w:qFormat/>
    <w:rPr>
      <w:rFonts w:ascii="宋体" w:eastAsia="宋体" w:cs="宋体"/>
      <w:sz w:val="14"/>
      <w:szCs w:val="14"/>
    </w:rPr>
  </w:style>
  <w:style w:type="character" w:styleId="926" w:customStyle="1">
    <w:name w:val="glyphicon"/>
    <w:link w:val="677"/>
    <w:uiPriority w:val="0"/>
    <w:qFormat/>
  </w:style>
  <w:style w:type="character" w:styleId="927" w:customStyle="1">
    <w:name w:val="Font Style36"/>
    <w:link w:val="677"/>
    <w:uiPriority w:val="0"/>
    <w:qFormat/>
    <w:rPr>
      <w:rFonts w:ascii="宋体" w:eastAsia="宋体" w:cs="宋体"/>
      <w:sz w:val="16"/>
      <w:szCs w:val="16"/>
    </w:rPr>
  </w:style>
  <w:style w:type="character" w:styleId="928" w:customStyle="1">
    <w:name w:val="hour_am"/>
    <w:link w:val="677"/>
    <w:uiPriority w:val="0"/>
    <w:qFormat/>
  </w:style>
  <w:style w:type="character" w:styleId="929" w:customStyle="1">
    <w:name w:val="old"/>
    <w:link w:val="677"/>
    <w:uiPriority w:val="0"/>
    <w:qFormat/>
    <w:rPr>
      <w:color w:val="999999"/>
    </w:rPr>
  </w:style>
  <w:style w:type="character" w:styleId="930" w:customStyle="1">
    <w:name w:val="标题 2 Char"/>
    <w:link w:val="677"/>
    <w:uiPriority w:val="0"/>
    <w:qFormat/>
    <w:rPr>
      <w:rFonts w:ascii="Arial" w:hAnsi="Arial" w:eastAsia="黑体"/>
      <w:b/>
      <w:sz w:val="32"/>
      <w:lang w:val="en-US" w:eastAsia="zh-CN"/>
    </w:rPr>
  </w:style>
  <w:style w:type="character" w:styleId="931" w:customStyle="1">
    <w:name w:val="hover"/>
    <w:link w:val="677"/>
    <w:uiPriority w:val="0"/>
    <w:qFormat/>
    <w:rPr>
      <w:shd w:val="clear" w:color="auto" w:fill="eeeeee"/>
    </w:rPr>
  </w:style>
  <w:style w:type="character" w:styleId="932" w:customStyle="1">
    <w:name w:val="hour_pm"/>
    <w:link w:val="677"/>
    <w:uiPriority w:val="0"/>
    <w:qFormat/>
  </w:style>
  <w:style w:type="character" w:styleId="933" w:customStyle="1">
    <w:name w:val="Font Style28"/>
    <w:link w:val="677"/>
    <w:uiPriority w:val="0"/>
    <w:qFormat/>
    <w:rPr>
      <w:rFonts w:ascii="Constantia" w:hAnsi="Constantia" w:cs="Constantia"/>
      <w:sz w:val="28"/>
      <w:szCs w:val="28"/>
    </w:rPr>
  </w:style>
  <w:style w:type="character" w:styleId="934" w:customStyle="1">
    <w:name w:val="Font Style29"/>
    <w:link w:val="677"/>
    <w:uiPriority w:val="0"/>
    <w:qFormat/>
    <w:rPr>
      <w:rFonts w:ascii="Arial" w:hAnsi="Arial" w:cs="Arial"/>
      <w:sz w:val="14"/>
      <w:szCs w:val="14"/>
    </w:rPr>
  </w:style>
  <w:style w:type="character" w:styleId="935" w:customStyle="1">
    <w:name w:val="Font Style37"/>
    <w:link w:val="677"/>
    <w:uiPriority w:val="0"/>
    <w:qFormat/>
    <w:rPr>
      <w:rFonts w:ascii="Arial" w:hAnsi="Arial" w:cs="Arial"/>
      <w:sz w:val="16"/>
      <w:szCs w:val="16"/>
    </w:rPr>
  </w:style>
  <w:style w:type="character" w:styleId="936" w:customStyle="1">
    <w:name w:val="Plain Text Char"/>
    <w:link w:val="677"/>
    <w:uiPriority w:val="0"/>
    <w:qFormat/>
    <w:rPr>
      <w:rFonts w:ascii="宋体" w:hAnsi="Courier New" w:eastAsia="宋体"/>
      <w:sz w:val="21"/>
      <w:lang w:val="en-US" w:eastAsia="zh-CN" w:bidi="ar-SA"/>
    </w:rPr>
  </w:style>
  <w:style w:type="paragraph" w:styleId="937"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38" w:customStyle="1">
    <w:name w:val="默认段落字体 Para Char Char Char Char Char Char Char Char Char1 Char Char Char Char Char Char Char"/>
    <w:basedOn w:val="885"/>
    <w:uiPriority w:val="0"/>
    <w:qFormat/>
    <w:rPr>
      <w:rFonts w:ascii="Tahoma" w:hAnsi="Tahoma"/>
      <w:sz w:val="24"/>
    </w:rPr>
  </w:style>
  <w:style w:type="paragraph" w:styleId="939" w:customStyle="1">
    <w:name w:val="Style9"/>
    <w:basedOn w:val="677"/>
    <w:uiPriority w:val="0"/>
    <w:qFormat/>
    <w:pPr>
      <w:jc w:val="left"/>
    </w:pPr>
    <w:rPr>
      <w:rFonts w:ascii="宋体"/>
      <w:sz w:val="24"/>
    </w:rPr>
  </w:style>
  <w:style w:type="paragraph" w:styleId="940" w:customStyle="1">
    <w:name w:val="Char"/>
    <w:basedOn w:val="677"/>
    <w:uiPriority w:val="0"/>
    <w:qFormat/>
    <w:pPr>
      <w:tabs>
        <w:tab w:val="left" w:pos="360" w:leader="none"/>
      </w:tabs>
    </w:pPr>
    <w:rPr>
      <w:sz w:val="24"/>
    </w:rPr>
  </w:style>
  <w:style w:type="paragraph" w:styleId="941" w:customStyle="1">
    <w:name w:val=" Char Char Char1 Char Char Char Char"/>
    <w:basedOn w:val="677"/>
    <w:uiPriority w:val="0"/>
    <w:qFormat/>
    <w:pPr>
      <w:jc w:val="left"/>
      <w:spacing w:after="160" w:line="240" w:lineRule="exact"/>
      <w:widowControl/>
    </w:pPr>
    <w:rPr>
      <w:rFonts w:ascii="宋体" w:hAnsi="宋体"/>
      <w:b/>
      <w:sz w:val="28"/>
      <w:szCs w:val="28"/>
    </w:rPr>
  </w:style>
  <w:style w:type="paragraph" w:styleId="942" w:customStyle="1">
    <w:name w:val="Style10"/>
    <w:basedOn w:val="677"/>
    <w:uiPriority w:val="0"/>
    <w:qFormat/>
    <w:pPr>
      <w:jc w:val="left"/>
    </w:pPr>
    <w:rPr>
      <w:rFonts w:ascii="宋体"/>
      <w:sz w:val="24"/>
    </w:rPr>
  </w:style>
  <w:style w:type="paragraph" w:styleId="943" w:customStyle="1">
    <w:name w:val="首行缩进"/>
    <w:basedOn w:val="677"/>
    <w:uiPriority w:val="0"/>
    <w:qFormat/>
    <w:pPr>
      <w:ind w:firstLine="420"/>
      <w:spacing w:line="360" w:lineRule="auto"/>
    </w:pPr>
    <w:rPr>
      <w:sz w:val="20"/>
    </w:rPr>
  </w:style>
  <w:style w:type="paragraph" w:styleId="944" w:customStyle="1">
    <w:name w:val="普通正文"/>
    <w:basedOn w:val="677"/>
    <w:uiPriority w:val="0"/>
    <w:qFormat/>
    <w:pPr>
      <w:ind w:firstLine="480"/>
      <w:jc w:val="left"/>
      <w:spacing w:before="120" w:after="120" w:line="360" w:lineRule="auto"/>
    </w:pPr>
    <w:rPr>
      <w:rFonts w:ascii="Arial" w:hAnsi="Arial"/>
      <w:sz w:val="24"/>
    </w:rPr>
  </w:style>
  <w:style w:type="paragraph" w:styleId="945" w:customStyle="1">
    <w:name w:val="要点标题"/>
    <w:basedOn w:val="677"/>
    <w:uiPriority w:val="0"/>
    <w:qFormat/>
    <w:pPr>
      <w:numPr>
        <w:ilvl w:val="0"/>
        <w:numId w:val="1"/>
      </w:numPr>
      <w:jc w:val="left"/>
    </w:pPr>
    <w:rPr>
      <w:rFonts w:ascii="宋体" w:hAnsi="宋体"/>
      <w:b/>
      <w:sz w:val="24"/>
    </w:rPr>
  </w:style>
  <w:style w:type="paragraph" w:styleId="946" w:customStyle="1">
    <w:name w:val="文档正文"/>
    <w:basedOn w:val="677"/>
    <w:uiPriority w:val="0"/>
    <w:qFormat/>
    <w:pPr>
      <w:ind w:firstLine="567"/>
      <w:spacing w:line="480" w:lineRule="atLeast"/>
    </w:pPr>
    <w:rPr>
      <w:rFonts w:ascii="仿宋_GB2312"/>
      <w:szCs w:val="20"/>
    </w:rPr>
  </w:style>
  <w:style w:type="paragraph" w:styleId="947" w:customStyle="1">
    <w:name w:val="Char Char Char Char"/>
    <w:basedOn w:val="885"/>
    <w:uiPriority w:val="0"/>
    <w:qFormat/>
    <w:pPr>
      <w:spacing w:line="360" w:lineRule="auto"/>
    </w:pPr>
    <w:rPr>
      <w:rFonts w:ascii="Tahoma" w:hAnsi="Tahoma"/>
      <w:sz w:val="24"/>
    </w:rPr>
  </w:style>
  <w:style w:type="paragraph" w:styleId="948" w:customStyle="1">
    <w:name w:val=" Char"/>
    <w:basedOn w:val="677"/>
    <w:uiPriority w:val="0"/>
    <w:qFormat/>
    <w:pPr>
      <w:ind w:left="420" w:hanging="420"/>
      <w:jc w:val="left"/>
      <w:tabs>
        <w:tab w:val="left" w:pos="420" w:leader="none"/>
      </w:tabs>
    </w:pPr>
    <w:rPr>
      <w:szCs w:val="20"/>
    </w:rPr>
  </w:style>
  <w:style w:type="paragraph" w:styleId="949" w:customStyle="1">
    <w:name w:val="正文（无缩进）"/>
    <w:basedOn w:val="677"/>
    <w:uiPriority w:val="0"/>
    <w:qFormat/>
    <w:pPr>
      <w:spacing w:line="360" w:lineRule="auto"/>
    </w:pPr>
    <w:rPr>
      <w:rFonts w:ascii="Calibri" w:hAnsi="Calibri"/>
      <w:sz w:val="24"/>
      <w:szCs w:val="21"/>
    </w:rPr>
  </w:style>
  <w:style w:type="paragraph" w:styleId="950" w:customStyle="1">
    <w:name w:val="Style11"/>
    <w:basedOn w:val="677"/>
    <w:uiPriority w:val="0"/>
    <w:qFormat/>
    <w:pPr>
      <w:jc w:val="left"/>
      <w:spacing w:line="446" w:lineRule="exact"/>
    </w:pPr>
    <w:rPr>
      <w:rFonts w:ascii="宋体"/>
      <w:sz w:val="24"/>
    </w:rPr>
  </w:style>
  <w:style w:type="paragraph" w:styleId="951" w:customStyle="1">
    <w:name w:val="样式1"/>
    <w:basedOn w:val="677"/>
    <w:uiPriority w:val="0"/>
    <w:qFormat/>
    <w:pPr>
      <w:numPr>
        <w:ilvl w:val="0"/>
        <w:numId w:val="2"/>
      </w:numPr>
      <w:tabs>
        <w:tab w:val="left" w:pos="1110" w:leader="none"/>
      </w:tabs>
    </w:pPr>
    <w:rPr>
      <w:rFonts w:ascii="宋体" w:hAnsi="宋体"/>
      <w:szCs w:val="21"/>
    </w:rPr>
  </w:style>
  <w:style w:type="paragraph" w:styleId="952" w:customStyle="1">
    <w:name w:val="_Style 56"/>
    <w:basedOn w:val="885"/>
    <w:uiPriority w:val="0"/>
    <w:qFormat/>
    <w:pPr>
      <w:spacing w:line="436" w:lineRule="exact"/>
    </w:pPr>
    <w:rPr>
      <w:szCs w:val="20"/>
    </w:rPr>
  </w:style>
  <w:style w:type="paragraph" w:styleId="953" w:customStyle="1">
    <w:name w:val="Char Char1 Char Char Char Char Char Char"/>
    <w:basedOn w:val="677"/>
    <w:uiPriority w:val="0"/>
    <w:qFormat/>
    <w:pPr>
      <w:jc w:val="center"/>
      <w:widowControl/>
    </w:pPr>
    <w:rPr>
      <w:rFonts w:ascii="宋体" w:hAnsi="宋体"/>
      <w:b/>
      <w:sz w:val="24"/>
      <w:lang w:eastAsia="en-US"/>
    </w:rPr>
  </w:style>
  <w:style w:type="paragraph" w:styleId="954" w:customStyle="1">
    <w:name w:val="Char1"/>
    <w:basedOn w:val="677"/>
    <w:uiPriority w:val="0"/>
    <w:qFormat/>
    <w:pPr>
      <w:ind w:left="840" w:hanging="420"/>
      <w:tabs>
        <w:tab w:val="left" w:pos="840" w:leader="none"/>
      </w:tabs>
    </w:pPr>
    <w:rPr>
      <w:sz w:val="24"/>
    </w:rPr>
  </w:style>
  <w:style w:type="paragraph" w:styleId="955" w:customStyle="1">
    <w:name w:val="我的样式"/>
    <w:basedOn w:val="873"/>
    <w:next w:val="677"/>
    <w:uiPriority w:val="0"/>
    <w:qFormat/>
    <w:pPr>
      <w:numPr>
        <w:ilvl w:val="0"/>
        <w:numId w:val="3"/>
      </w:numPr>
      <w:spacing w:line="360" w:lineRule="auto"/>
    </w:pPr>
    <w:rPr>
      <w:rFonts w:ascii="仿宋_GB2312" w:eastAsia="仿宋_GB2312"/>
      <w:sz w:val="32"/>
      <w:szCs w:val="30"/>
    </w:rPr>
  </w:style>
  <w:style w:type="paragraph" w:styleId="956"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57" w:customStyle="1">
    <w:name w:val=" Char Char Char Char Char Char Char Char Char Char Char Char Char"/>
    <w:basedOn w:val="677"/>
    <w:uiPriority w:val="0"/>
    <w:qFormat/>
    <w:pPr>
      <w:jc w:val="left"/>
      <w:spacing w:after="160" w:line="240" w:lineRule="exact"/>
      <w:widowControl/>
    </w:pPr>
    <w:rPr>
      <w:rFonts w:ascii="Verdana" w:hAnsi="Verdana"/>
      <w:sz w:val="20"/>
      <w:szCs w:val="20"/>
      <w:lang w:eastAsia="en-US"/>
    </w:rPr>
  </w:style>
  <w:style w:type="paragraph" w:styleId="958" w:customStyle="1">
    <w:name w:val="标题1"/>
    <w:basedOn w:val="873"/>
    <w:next w:val="677"/>
    <w:uiPriority w:val="0"/>
    <w:qFormat/>
    <w:pPr>
      <w:numPr>
        <w:ilvl w:val="0"/>
        <w:numId w:val="2"/>
      </w:numPr>
      <w:jc w:val="left"/>
      <w:spacing w:line="578" w:lineRule="atLeast"/>
    </w:pPr>
  </w:style>
  <w:style w:type="paragraph" w:styleId="959" w:customStyle="1">
    <w:name w:val="正文（缩进） Char1"/>
    <w:basedOn w:val="677"/>
    <w:uiPriority w:val="0"/>
    <w:qFormat/>
    <w:pPr>
      <w:ind w:firstLine="480"/>
      <w:spacing w:before="156" w:after="156" w:line="360" w:lineRule="auto"/>
    </w:pPr>
    <w:rPr>
      <w:sz w:val="24"/>
    </w:rPr>
  </w:style>
  <w:style w:type="paragraph" w:styleId="960"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61" w:customStyle="1">
    <w:name w:val="Style12"/>
    <w:basedOn w:val="677"/>
    <w:uiPriority w:val="0"/>
    <w:qFormat/>
    <w:pPr>
      <w:jc w:val="left"/>
    </w:pPr>
    <w:rPr>
      <w:rFonts w:ascii="宋体"/>
      <w:sz w:val="24"/>
    </w:rPr>
  </w:style>
  <w:style w:type="paragraph" w:styleId="962" w:customStyle="1">
    <w:name w:val="纯文本111"/>
    <w:basedOn w:val="677"/>
    <w:uiPriority w:val="0"/>
    <w:qFormat/>
    <w:rPr>
      <w:rFonts w:ascii="宋体" w:hAnsi="Courier New"/>
      <w:szCs w:val="20"/>
    </w:rPr>
  </w:style>
  <w:style w:type="paragraph" w:styleId="963" w:customStyle="1">
    <w:name w:val="纯文本1"/>
    <w:basedOn w:val="677"/>
    <w:next w:val="937"/>
    <w:uiPriority w:val="0"/>
    <w:qFormat/>
    <w:rPr>
      <w:rFonts w:ascii="宋体" w:hAnsi="Courier New"/>
      <w:szCs w:val="20"/>
    </w:rPr>
  </w:style>
  <w:style w:type="paragraph" w:styleId="964" w:customStyle="1">
    <w:name w:val="纯文本11"/>
    <w:basedOn w:val="677"/>
    <w:uiPriority w:val="0"/>
    <w:qFormat/>
    <w:rPr>
      <w:rFonts w:ascii="宋体" w:hAnsi="Courier New"/>
      <w:szCs w:val="20"/>
    </w:rPr>
  </w:style>
  <w:style w:type="paragraph" w:styleId="965" w:customStyle="1">
    <w:name w:val="文本块1"/>
    <w:basedOn w:val="677"/>
    <w:uiPriority w:val="0"/>
    <w:qFormat/>
    <w:pPr>
      <w:ind w:left="420" w:right="33"/>
      <w:jc w:val="left"/>
    </w:pPr>
    <w:rPr>
      <w:sz w:val="24"/>
      <w:szCs w:val="20"/>
    </w:rPr>
  </w:style>
  <w:style w:type="character" w:styleId="966" w:customStyle="1">
    <w:name w:val="a_p_1"/>
    <w:basedOn w:val="687"/>
    <w:uiPriority w:val="0"/>
    <w:qFormat/>
    <w:rPr>
      <w:sz w:val="27"/>
      <w:szCs w:val="27"/>
    </w:rPr>
  </w:style>
  <w:style w:type="character" w:styleId="967" w:customStyle="1">
    <w:name w:val="a_p_3"/>
    <w:basedOn w:val="687"/>
    <w:uiPriority w:val="0"/>
    <w:qFormat/>
    <w:rPr>
      <w:sz w:val="27"/>
      <w:szCs w:val="27"/>
    </w:rPr>
  </w:style>
  <w:style w:type="character" w:styleId="968" w:customStyle="1">
    <w:name w:val="a_p_2"/>
    <w:basedOn w:val="687"/>
    <w:uiPriority w:val="0"/>
    <w:qFormat/>
    <w:rPr>
      <w:sz w:val="27"/>
      <w:szCs w:val="27"/>
    </w:rPr>
  </w:style>
  <w:style w:type="character" w:styleId="969" w:customStyle="1">
    <w:name w:val="a_p_21"/>
    <w:basedOn w:val="687"/>
    <w:uiPriority w:val="0"/>
    <w:qFormat/>
  </w:style>
  <w:style w:type="character" w:styleId="970" w:customStyle="1">
    <w:name w:val="exap"/>
    <w:basedOn w:val="687"/>
    <w:uiPriority w:val="0"/>
    <w:qFormat/>
    <w:rPr>
      <w:sz w:val="27"/>
      <w:szCs w:val="27"/>
    </w:rPr>
  </w:style>
  <w:style w:type="character" w:styleId="971" w:customStyle="1">
    <w:name w:val="ul_li_a_1"/>
    <w:basedOn w:val="687"/>
    <w:uiPriority w:val="0"/>
    <w:qFormat/>
    <w:rPr>
      <w:b/>
      <w:bCs/>
      <w:color w:val="ffffff"/>
    </w:rPr>
  </w:style>
  <w:style w:type="paragraph" w:styleId="972" w:customStyle="1">
    <w:name w:val="正文1"/>
    <w:basedOn w:val="951"/>
    <w:next w:val="677"/>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973" w:customStyle="1">
    <w:name w:val="font41"/>
    <w:basedOn w:val="687"/>
    <w:uiPriority w:val="0"/>
    <w:qFormat/>
    <w:rPr>
      <w:rFonts w:hint="eastAsia" w:ascii="仿宋" w:hAnsi="仿宋" w:eastAsia="仿宋" w:cs="仿宋"/>
      <w:color w:val="000000"/>
      <w:sz w:val="20"/>
      <w:szCs w:val="20"/>
      <w:u w:val="none"/>
    </w:rPr>
  </w:style>
  <w:style w:type="character" w:styleId="974" w:customStyle="1">
    <w:name w:val="font51"/>
    <w:basedOn w:val="687"/>
    <w:uiPriority w:val="0"/>
    <w:qFormat/>
    <w:rPr>
      <w:rFonts w:hint="eastAsia" w:ascii="仿宋" w:hAnsi="仿宋" w:eastAsia="仿宋" w:cs="仿宋"/>
      <w:b/>
      <w:bCs/>
      <w:color w:val="000000"/>
      <w:sz w:val="20"/>
      <w:szCs w:val="20"/>
      <w:u w:val="none"/>
    </w:rPr>
  </w:style>
  <w:style w:type="character" w:styleId="975" w:customStyle="1">
    <w:name w:val="font81"/>
    <w:basedOn w:val="687"/>
    <w:uiPriority w:val="0"/>
    <w:qFormat/>
    <w:rPr>
      <w:rFonts w:hint="eastAsia" w:ascii="宋体" w:hAnsi="宋体" w:eastAsia="宋体" w:cs="宋体"/>
      <w:b/>
      <w:bCs/>
      <w:color w:val="000000"/>
      <w:sz w:val="20"/>
      <w:szCs w:val="20"/>
      <w:u w:val="none"/>
    </w:rPr>
  </w:style>
  <w:style w:type="character" w:styleId="976" w:customStyle="1">
    <w:name w:val="font21"/>
    <w:basedOn w:val="687"/>
    <w:uiPriority w:val="0"/>
    <w:qFormat/>
    <w:rPr>
      <w:rFonts w:hint="eastAsia" w:ascii="宋体" w:hAnsi="宋体" w:eastAsia="宋体" w:cs="宋体"/>
      <w:color w:val="000000"/>
      <w:sz w:val="20"/>
      <w:szCs w:val="20"/>
      <w:u w:val="none"/>
    </w:rPr>
  </w:style>
  <w:style w:type="numbering" w:styleId="17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陈旭</cp:lastModifiedBy>
  <cp:revision>4</cp:revision>
  <dcterms:created xsi:type="dcterms:W3CDTF">2024-01-08T08:47:00Z</dcterms:created>
  <dcterms:modified xsi:type="dcterms:W3CDTF">2026-04-23T08:25:11Z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eyJoZGlkIjoiNzM1NWVmNzJiNTdkNDJmYzQ1ZGNiOWFjZjc3NGQyOTMiLCJ1c2VySWQiOiI0NjE3OTU5NTIifQ==</vt:lpwstr>
  </property>
  <property fmtid="{D5CDD505-2E9C-101B-9397-08002B2CF9AE}" pid="3" name="KSOProductBuildVer">
    <vt:lpwstr>2052-12.1.0.25865</vt:lpwstr>
  </property>
  <property fmtid="{D5CDD505-2E9C-101B-9397-08002B2CF9AE}" pid="4" name="ICV">
    <vt:lpwstr>206D3741B214415893817CF2E0613474_12</vt:lpwstr>
  </property>
</Properties>
</file>