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hint="default" w:ascii="黑体" w:hAnsi="Arial" w:eastAsia="宋体" w:cs="Times New Roman"/>
          <w:b/>
          <w:color w:val="000000"/>
          <w:sz w:val="44"/>
          <w:szCs w:val="21"/>
          <w:lang w:val="en-US"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连云渔港经济区智慧渔港项目提升改造项目</w:t>
      </w:r>
      <w:r/>
    </w:p>
    <w:p>
      <w:pPr>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项目编号：JSZC-320703-HTZJ-G2026-0002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both"/>
        <w:spacing w:line="480" w:lineRule="auto"/>
        <w:rPr>
          <w:rFonts w:hint="eastAsia" w:ascii="黑体" w:hAnsi="Arial" w:eastAsia="黑体" w:cs="Times New Roman"/>
          <w:b/>
          <w:color w:val="000000"/>
          <w:sz w:val="44"/>
          <w:szCs w:val="21"/>
          <w:lang w:eastAsia="zh-CN"/>
        </w:rPr>
      </w:pPr>
      <w:r>
        <w:rPr>
          <w:rFonts w:hint="eastAsia" w:ascii="黑体" w:hAnsi="Arial" w:eastAsia="黑体" w:cs="Times New Roman"/>
          <w:b/>
          <w:color w:val="000000"/>
          <w:sz w:val="44"/>
          <w:szCs w:val="21"/>
          <w:lang w:eastAsia="zh-CN"/>
        </w:rPr>
      </w:r>
      <w:r/>
    </w:p>
    <w:p>
      <w:pPr>
        <w:ind w:firstLine="2249"/>
        <w:spacing w:line="480" w:lineRule="auto"/>
        <w:rPr>
          <w:rFonts w:hint="eastAsia" w:ascii="Arial" w:hAnsi="Arial" w:eastAsia="宋体" w:cs="Times New Roman"/>
          <w:b/>
          <w:bCs/>
          <w:sz w:val="32"/>
          <w:szCs w:val="24"/>
          <w:lang w:val="en-US" w:eastAsia="zh-CN"/>
        </w:rPr>
      </w:pPr>
      <w:r>
        <w:rPr>
          <w:rFonts w:hint="eastAsia" w:ascii="Arial" w:hAnsi="Arial" w:eastAsia="宋体" w:cs="Times New Roman"/>
          <w:b/>
          <w:bCs/>
          <w:sz w:val="32"/>
          <w:szCs w:val="24"/>
          <w:lang w:val="en-US" w:eastAsia="zh-CN"/>
        </w:rPr>
        <w:t xml:space="preserve">鸿图造价咨询有限责任公司</w:t>
      </w:r>
      <w:r/>
    </w:p>
    <w:p>
      <w:pPr>
        <w:jc w:val="center"/>
        <w:spacing w:before="120" w:after="120" w:line="360" w:lineRule="auto"/>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4</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73"/>
      </w:pPr>
      <w:r>
        <w:rPr>
          <w:rFonts w:hint="eastAsia"/>
        </w:rPr>
        <w:t xml:space="preserve">目  录</w:t>
      </w:r>
      <w:r/>
    </w:p>
    <w:p>
      <w:pPr>
        <w:pStyle w:val="873"/>
        <w:rPr>
          <w:sz w:val="36"/>
          <w:szCs w:val="36"/>
        </w:rPr>
      </w:pPr>
      <w:r>
        <w:rPr>
          <w:rFonts w:hint="eastAsia"/>
          <w:sz w:val="36"/>
          <w:szCs w:val="36"/>
        </w:rPr>
        <w:t xml:space="preserve">第一章</w:t>
      </w:r>
      <w:r>
        <w:rPr>
          <w:sz w:val="36"/>
          <w:szCs w:val="36"/>
        </w:rPr>
        <w:t xml:space="preserve">  </w:t>
      </w:r>
      <w:r>
        <w:rPr>
          <w:rFonts w:hint="eastAsia"/>
          <w:sz w:val="36"/>
          <w:szCs w:val="36"/>
        </w:rPr>
        <w:t xml:space="preserve">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p>
    <w:p>
      <w:pPr>
        <w:pStyle w:val="873"/>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p>
    <w:p>
      <w:pPr>
        <w:pStyle w:val="873"/>
        <w:rPr>
          <w:sz w:val="36"/>
          <w:szCs w:val="36"/>
        </w:rPr>
      </w:pPr>
      <w:r>
        <w:rPr>
          <w:rFonts w:hint="eastAsia"/>
          <w:sz w:val="36"/>
          <w:szCs w:val="36"/>
        </w:rPr>
        <w:t xml:space="preserve">第三章</w:t>
      </w:r>
      <w:r>
        <w:rPr>
          <w:sz w:val="36"/>
          <w:szCs w:val="36"/>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p>
    <w:p>
      <w:pPr>
        <w:pStyle w:val="873"/>
        <w:rPr>
          <w:sz w:val="36"/>
          <w:szCs w:val="36"/>
        </w:rPr>
      </w:pPr>
      <w:r>
        <w:rPr>
          <w:rFonts w:hint="eastAsia"/>
          <w:sz w:val="36"/>
          <w:szCs w:val="36"/>
        </w:rPr>
        <w:t xml:space="preserve">第四章</w:t>
      </w:r>
      <w:r>
        <w:rPr>
          <w:sz w:val="36"/>
          <w:szCs w:val="36"/>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p>
    <w:p>
      <w:pPr>
        <w:pStyle w:val="873"/>
        <w:rPr>
          <w:rFonts w:hint="default" w:eastAsia="黑体"/>
          <w:sz w:val="36"/>
          <w:szCs w:val="36"/>
          <w:lang w:val="en-US" w:eastAsia="zh-CN"/>
        </w:rPr>
      </w:pPr>
      <w:r>
        <w:rPr>
          <w:rFonts w:hint="eastAsia"/>
          <w:sz w:val="36"/>
          <w:szCs w:val="36"/>
        </w:rPr>
        <w:t xml:space="preserve">第五章</w:t>
      </w:r>
      <w:r>
        <w:rPr>
          <w:sz w:val="36"/>
          <w:szCs w:val="36"/>
        </w:rPr>
        <w:t xml:space="preserve">  </w:t>
      </w:r>
      <w:r>
        <w:rPr>
          <w:rFonts w:hint="eastAsia"/>
          <w:sz w:val="36"/>
          <w:szCs w:val="36"/>
        </w:rPr>
        <w:t xml:space="preserve">评标方法与评标标准</w:t>
      </w:r>
      <w:r>
        <w:rPr>
          <w:sz w:val="36"/>
          <w:szCs w:val="36"/>
        </w:rPr>
        <w:tab/>
      </w:r>
      <w:r>
        <w:rPr>
          <w:rFonts w:hint="eastAsia"/>
          <w:sz w:val="36"/>
          <w:szCs w:val="36"/>
          <w:lang w:val="en-US" w:eastAsia="zh-CN"/>
        </w:rPr>
        <w:t xml:space="preserve">50</w:t>
      </w:r>
      <w:r/>
    </w:p>
    <w:p>
      <w:pPr>
        <w:pStyle w:val="873"/>
        <w:rPr>
          <w:rFonts w:hint="default" w:eastAsia="黑体"/>
          <w:sz w:val="36"/>
          <w:szCs w:val="36"/>
          <w:lang w:val="en-US" w:eastAsia="zh-CN"/>
        </w:rPr>
      </w:pPr>
      <w:r>
        <w:rPr>
          <w:rFonts w:hint="eastAsia"/>
          <w:sz w:val="36"/>
          <w:szCs w:val="36"/>
        </w:rPr>
        <w:t xml:space="preserve">第六章</w:t>
      </w:r>
      <w:r>
        <w:rPr>
          <w:sz w:val="36"/>
          <w:szCs w:val="36"/>
        </w:rPr>
        <w:t xml:space="preserve">  </w:t>
      </w:r>
      <w:r>
        <w:rPr>
          <w:rFonts w:hint="eastAsia"/>
          <w:sz w:val="36"/>
          <w:szCs w:val="36"/>
        </w:rPr>
        <w:t xml:space="preserve">投标文件格式</w:t>
      </w:r>
      <w:r>
        <w:rPr>
          <w:sz w:val="36"/>
          <w:szCs w:val="36"/>
        </w:rPr>
        <w:tab/>
      </w:r>
      <w:r>
        <w:rPr>
          <w:rFonts w:hint="eastAsia"/>
          <w:sz w:val="36"/>
          <w:szCs w:val="36"/>
          <w:lang w:val="en-US" w:eastAsia="zh-CN"/>
        </w:rPr>
        <w:t xml:space="preserve">53</w:t>
      </w:r>
      <w:r/>
    </w:p>
    <w:p>
      <w:pPr>
        <w:jc w:val="left"/>
        <w:widowControl/>
      </w:pPr>
      <w:r>
        <w:fldChar w:fldCharType="end"/>
      </w:r>
      <w:r>
        <w:br w:type="page" w:clear="all"/>
      </w:r>
      <w:r/>
    </w:p>
    <w:p>
      <w:pPr>
        <w:pStyle w:val="859"/>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59"/>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sz w:val="24"/>
          <w:szCs w:val="24"/>
          <w:highlight w:val="none"/>
          <w:lang w:val="en-US" w:eastAsia="zh-CN"/>
        </w:rPr>
        <w:t xml:space="preserve">连云港市连云区林业和海洋局</w:t>
      </w:r>
      <w:r>
        <w:rPr>
          <w:rFonts w:hint="eastAsia"/>
          <w:sz w:val="24"/>
          <w:szCs w:val="24"/>
          <w:highlight w:val="none"/>
        </w:rPr>
        <w:t xml:space="preserve">的委</w:t>
      </w:r>
      <w:r>
        <w:rPr>
          <w:rFonts w:hint="eastAsia"/>
          <w:sz w:val="24"/>
          <w:szCs w:val="24"/>
        </w:rPr>
        <w:t xml:space="preserve">托，</w:t>
      </w:r>
      <w:r>
        <w:rPr>
          <w:rFonts w:hint="eastAsia"/>
          <w:sz w:val="24"/>
          <w:szCs w:val="24"/>
          <w:lang w:eastAsia="zh-CN"/>
        </w:rPr>
        <w:t xml:space="preserve">鸿图造价咨询有限责任公司</w:t>
      </w:r>
      <w:r>
        <w:rPr>
          <w:rFonts w:hint="eastAsia"/>
          <w:sz w:val="24"/>
          <w:szCs w:val="24"/>
        </w:rPr>
        <w:t xml:space="preserve">就</w:t>
      </w:r>
      <w:r>
        <w:rPr>
          <w:rFonts w:hint="eastAsia"/>
          <w:sz w:val="24"/>
          <w:szCs w:val="24"/>
          <w:lang w:val="en-US" w:eastAsia="zh-CN"/>
        </w:rPr>
        <w:t xml:space="preserve">连云渔港经济区智慧渔港项目提升改造项目</w:t>
      </w:r>
      <w:r>
        <w:rPr>
          <w:rFonts w:hint="eastAsia"/>
          <w:sz w:val="24"/>
          <w:szCs w:val="24"/>
        </w:rPr>
        <w:t xml:space="preserve">（JSZC-320703-HTZJ-G2026-0002）进行公开招标采购，欢迎符合条件的供应商投标。</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highlight w:val="none"/>
                <w:lang w:val="en-US" w:eastAsia="zh-CN"/>
              </w:rPr>
              <w:t xml:space="preserve">连云渔港经济区智慧渔港项目提升改造项目</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5</w:t>
            </w:r>
            <w:r>
              <w:rPr>
                <w:rFonts w:hint="eastAsia"/>
                <w:sz w:val="24"/>
                <w:szCs w:val="24"/>
                <w:highlight w:val="none"/>
              </w:rPr>
              <w:t xml:space="preserve">月</w:t>
            </w:r>
            <w:r>
              <w:rPr>
                <w:rFonts w:hint="eastAsia"/>
                <w:sz w:val="24"/>
                <w:szCs w:val="24"/>
                <w:highlight w:val="none"/>
                <w:lang w:val="en-US" w:eastAsia="zh-CN"/>
              </w:rPr>
              <w:t xml:space="preserve">12</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:00:00（北京时间）前递交（上传）投标文件。</w:t>
            </w:r>
            <w:r/>
          </w:p>
        </w:tc>
      </w:tr>
    </w:tbl>
    <w:p>
      <w:pPr>
        <w:pStyle w:val="86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highlight w:val="none"/>
        </w:rPr>
        <w:t xml:space="preserve">项目编号</w:t>
      </w:r>
      <w:r>
        <w:rPr>
          <w:rFonts w:hint="eastAsia"/>
          <w:sz w:val="24"/>
          <w:szCs w:val="24"/>
        </w:rPr>
        <w:t xml:space="preserve">：JSZC-320703-HTZJ-G2026-0002</w:t>
      </w:r>
      <w:r/>
    </w:p>
    <w:p>
      <w:pPr>
        <w:ind w:firstLine="480"/>
        <w:jc w:val="left"/>
        <w:spacing w:line="500" w:lineRule="exact"/>
        <w:rPr>
          <w:sz w:val="24"/>
          <w:szCs w:val="24"/>
        </w:rPr>
      </w:pPr>
      <w:r>
        <w:rPr>
          <w:rFonts w:hint="eastAsia"/>
          <w:sz w:val="24"/>
          <w:szCs w:val="24"/>
        </w:rPr>
        <w:t xml:space="preserve">项目名称：</w:t>
      </w:r>
      <w:r>
        <w:rPr>
          <w:rFonts w:hint="eastAsia"/>
          <w:sz w:val="24"/>
          <w:szCs w:val="24"/>
          <w:lang w:val="en-US" w:eastAsia="zh-CN"/>
        </w:rPr>
        <w:t xml:space="preserve">连云渔港经济区智慧渔港项目提升改造项目</w:t>
      </w:r>
      <w:r/>
    </w:p>
    <w:p>
      <w:pPr>
        <w:ind w:firstLine="480"/>
        <w:jc w:val="left"/>
        <w:spacing w:line="500" w:lineRule="exact"/>
        <w:rPr>
          <w:rFonts w:hint="default"/>
          <w:sz w:val="24"/>
          <w:szCs w:val="24"/>
          <w:lang w:val="en-US"/>
        </w:rPr>
      </w:pPr>
      <w:r>
        <w:rPr>
          <w:rFonts w:hint="eastAsia"/>
          <w:sz w:val="24"/>
          <w:szCs w:val="24"/>
        </w:rPr>
        <w:t xml:space="preserve">预算金额：</w:t>
      </w:r>
      <w:r>
        <w:rPr>
          <w:rFonts w:hint="eastAsia"/>
          <w:sz w:val="24"/>
          <w:szCs w:val="24"/>
          <w:lang w:val="en-US" w:eastAsia="zh-CN"/>
        </w:rPr>
        <w:t xml:space="preserve">200万元</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最高限价：</w:t>
      </w:r>
      <w:r>
        <w:rPr>
          <w:rFonts w:hint="eastAsia"/>
          <w:sz w:val="24"/>
          <w:szCs w:val="24"/>
          <w:lang w:val="en-US" w:eastAsia="zh-CN"/>
        </w:rPr>
        <w:t xml:space="preserve">200万元，报价超过预算和最高限价的为无效投标，按照无效处理。</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sz w:val="24"/>
          <w:szCs w:val="24"/>
          <w:lang w:val="en-US" w:eastAsia="zh-CN"/>
        </w:rPr>
        <w:t xml:space="preserve">4座无人机自动机库及配套无人机、喊话终端、智能识别系统的采购安装；完成与智慧渔港平台对接；提供施工伴随服务。</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合同履行期限：</w:t>
      </w:r>
      <w:r>
        <w:rPr>
          <w:rFonts w:hint="eastAsia"/>
          <w:color w:val="auto"/>
          <w:sz w:val="24"/>
          <w:szCs w:val="24"/>
          <w:highlight w:val="none"/>
          <w:lang w:val="en-US" w:eastAsia="zh-CN"/>
        </w:rPr>
        <w:t xml:space="preserve">自合同签订之日起3年</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6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rFonts w:hint="eastAsia"/>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rPr>
      </w:pPr>
      <w:r>
        <w:rPr>
          <w:rFonts w:hint="eastAsia"/>
          <w:sz w:val="24"/>
          <w:szCs w:val="24"/>
        </w:rPr>
        <w:t xml:space="preserve">（三）本项目的特定资格要求：无。</w:t>
      </w:r>
      <w:r/>
    </w:p>
    <w:p>
      <w:pPr>
        <w:pStyle w:val="860"/>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lang w:val="en-US" w:eastAsia="zh-CN"/>
        </w:rPr>
        <w:t xml:space="preserve">自招标公告发布之日起5个工作日</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地点：</w:t>
      </w:r>
      <w:r>
        <w:rPr>
          <w:rFonts w:hint="eastAsia"/>
          <w:sz w:val="24"/>
          <w:szCs w:val="24"/>
          <w:lang w:val="en-US" w:eastAsia="zh-CN"/>
        </w:rPr>
        <w:t xml:space="preserve">在“</w:t>
      </w:r>
      <w:r>
        <w:rPr>
          <w:rFonts w:hint="eastAsia"/>
          <w:sz w:val="24"/>
          <w:szCs w:val="24"/>
        </w:rPr>
        <w:t xml:space="preserve">江苏政府采购网</w:t>
      </w:r>
      <w:r>
        <w:rPr>
          <w:rFonts w:hint="eastAsia"/>
          <w:sz w:val="24"/>
          <w:szCs w:val="24"/>
          <w:lang w:eastAsia="zh-CN"/>
        </w:rPr>
        <w:t xml:space="preserve">”</w:t>
      </w:r>
      <w:r>
        <w:rPr>
          <w:rFonts w:hint="eastAsia"/>
          <w:sz w:val="24"/>
          <w:szCs w:val="24"/>
          <w:lang w:val="en-US" w:eastAsia="zh-CN"/>
        </w:rPr>
        <w:t xml:space="preserve">免费下载招标文件</w:t>
      </w:r>
      <w:r/>
    </w:p>
    <w:p>
      <w:pPr>
        <w:ind w:firstLine="480"/>
        <w:jc w:val="left"/>
        <w:spacing w:line="500" w:lineRule="exact"/>
        <w:rPr>
          <w:sz w:val="24"/>
          <w:szCs w:val="24"/>
        </w:rPr>
      </w:pPr>
      <w:r>
        <w:rPr>
          <w:rFonts w:hint="eastAsia"/>
          <w:sz w:val="24"/>
          <w:szCs w:val="24"/>
        </w:rPr>
        <w:t xml:space="preserve">方式：登录“苏采云”政府采购交易系统，自行下载。</w:t>
      </w:r>
      <w:r/>
    </w:p>
    <w:p>
      <w:pPr>
        <w:ind w:firstLine="480"/>
        <w:jc w:val="left"/>
        <w:spacing w:line="500" w:lineRule="exact"/>
        <w:rPr>
          <w:sz w:val="24"/>
          <w:szCs w:val="24"/>
        </w:rPr>
      </w:pPr>
      <w:r>
        <w:rPr>
          <w:rFonts w:hint="eastAsia"/>
          <w:sz w:val="24"/>
          <w:szCs w:val="24"/>
        </w:rPr>
        <w:t xml:space="preserve">售价：0.00元</w:t>
      </w:r>
      <w:bookmarkStart w:id="27" w:name="_GoBack"/>
      <w:r/>
      <w:bookmarkEnd w:id="27"/>
      <w:r/>
      <w:r/>
    </w:p>
    <w:p>
      <w:pPr>
        <w:pStyle w:val="86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5</w:t>
      </w:r>
      <w:r>
        <w:rPr>
          <w:rFonts w:hint="eastAsia"/>
          <w:sz w:val="24"/>
          <w:szCs w:val="24"/>
          <w:highlight w:val="none"/>
        </w:rPr>
        <w:t xml:space="preserve">月</w:t>
      </w:r>
      <w:r>
        <w:rPr>
          <w:rFonts w:hint="eastAsia"/>
          <w:sz w:val="24"/>
          <w:szCs w:val="24"/>
          <w:highlight w:val="none"/>
          <w:lang w:val="en-US" w:eastAsia="zh-CN"/>
        </w:rPr>
        <w:t xml:space="preserve">12</w:t>
      </w:r>
      <w:r>
        <w:rPr>
          <w:rFonts w:hint="eastAsia"/>
          <w:sz w:val="24"/>
          <w:szCs w:val="24"/>
          <w:highlight w:val="none"/>
        </w:rPr>
        <w:t xml:space="preserve">日9:</w:t>
      </w:r>
      <w:r>
        <w:rPr>
          <w:rFonts w:hint="eastAsia"/>
          <w:sz w:val="24"/>
          <w:szCs w:val="24"/>
          <w:highlight w:val="none"/>
          <w:lang w:val="en-US" w:eastAsia="zh-CN"/>
        </w:rPr>
        <w:t xml:space="preserve">00</w:t>
      </w:r>
      <w:r>
        <w:rPr>
          <w:rFonts w:hint="eastAsia"/>
          <w:sz w:val="24"/>
          <w:szCs w:val="24"/>
          <w:highlight w:val="none"/>
        </w:rPr>
        <w:t xml:space="preserve">:00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6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lang w:val="en-US" w:eastAsia="zh-CN"/>
        </w:rPr>
        <w:t xml:space="preserve">5</w:t>
      </w:r>
      <w:r>
        <w:rPr>
          <w:rFonts w:hint="eastAsia"/>
          <w:sz w:val="24"/>
          <w:szCs w:val="24"/>
        </w:rPr>
        <w:t xml:space="preserve">个工作日。</w:t>
      </w:r>
      <w:r/>
    </w:p>
    <w:p>
      <w:pPr>
        <w:pStyle w:val="86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6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ascii="宋体" w:hAnsi="宋体" w:eastAsia="宋体" w:cs="Times New Roman"/>
          <w:sz w:val="24"/>
          <w:lang w:val="en-US" w:eastAsia="zh-CN"/>
        </w:rPr>
        <w:t xml:space="preserve">连云港市连云区林业和海洋局</w:t>
      </w:r>
      <w:r/>
    </w:p>
    <w:p>
      <w:pPr>
        <w:ind w:firstLine="480"/>
        <w:jc w:val="left"/>
        <w:spacing w:line="500" w:lineRule="exact"/>
        <w:rPr>
          <w:sz w:val="24"/>
          <w:szCs w:val="24"/>
        </w:rPr>
      </w:pPr>
      <w:r>
        <w:rPr>
          <w:rFonts w:hint="eastAsia"/>
          <w:sz w:val="24"/>
          <w:szCs w:val="24"/>
        </w:rPr>
        <w:t xml:space="preserve">地    址：</w:t>
      </w:r>
      <w:r>
        <w:rPr>
          <w:rFonts w:hint="eastAsia" w:ascii="宋体" w:hAnsi="宋体" w:cs="宋体"/>
          <w:sz w:val="24"/>
          <w:highlight w:val="none"/>
          <w:lang w:val="en-US" w:eastAsia="zh-CN"/>
        </w:rPr>
        <w:t xml:space="preserve">江苏省连云港市连云区西墅路1号</w:t>
      </w:r>
      <w:r/>
    </w:p>
    <w:p>
      <w:pPr>
        <w:ind w:firstLine="480"/>
        <w:jc w:val="left"/>
        <w:spacing w:line="500" w:lineRule="exact"/>
        <w:rPr>
          <w:sz w:val="24"/>
          <w:szCs w:val="24"/>
        </w:rPr>
      </w:pPr>
      <w:r>
        <w:rPr>
          <w:rFonts w:hint="eastAsia"/>
          <w:sz w:val="24"/>
          <w:szCs w:val="24"/>
        </w:rPr>
        <w:t xml:space="preserve">联 系 人：</w:t>
      </w:r>
      <w:r>
        <w:rPr>
          <w:rFonts w:hint="eastAsia" w:ascii="宋体" w:hAnsi="宋体" w:eastAsia="宋体" w:cs="Times New Roman"/>
          <w:sz w:val="24"/>
          <w:highlight w:val="none"/>
          <w:lang w:val="en-US" w:eastAsia="zh-CN"/>
        </w:rPr>
        <w:t xml:space="preserve">徐晶晶</w:t>
      </w:r>
      <w:r/>
    </w:p>
    <w:p>
      <w:pPr>
        <w:ind w:firstLine="480"/>
        <w:jc w:val="left"/>
        <w:spacing w:line="500" w:lineRule="exact"/>
        <w:rPr>
          <w:sz w:val="24"/>
          <w:szCs w:val="24"/>
        </w:rPr>
      </w:pPr>
      <w:r>
        <w:rPr>
          <w:rFonts w:hint="eastAsia"/>
          <w:sz w:val="24"/>
          <w:szCs w:val="24"/>
        </w:rPr>
        <w:t xml:space="preserve">联系电话：</w:t>
      </w:r>
      <w:r>
        <w:rPr>
          <w:rFonts w:hint="eastAsia" w:ascii="宋体" w:hAnsi="宋体" w:eastAsia="宋体" w:cs="Times New Roman"/>
          <w:sz w:val="24"/>
          <w:highlight w:val="none"/>
          <w:lang w:val="en-US" w:eastAsia="zh-CN"/>
        </w:rPr>
        <w:t xml:space="preserve">13812342688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w:t>
      </w:r>
      <w:r>
        <w:rPr>
          <w:rFonts w:hint="eastAsia" w:ascii="宋体" w:hAnsi="宋体" w:eastAsia="宋体" w:cs="Times New Roman"/>
          <w:sz w:val="24"/>
        </w:rPr>
        <w:t xml:space="preserve">鸿图造价咨询有限责任公司</w:t>
      </w:r>
      <w:r/>
    </w:p>
    <w:p>
      <w:pPr>
        <w:ind w:firstLine="480"/>
        <w:jc w:val="left"/>
        <w:spacing w:line="500" w:lineRule="exact"/>
        <w:rPr>
          <w:rFonts w:hint="eastAsia" w:ascii="宋体" w:hAnsi="宋体" w:eastAsia="宋体" w:cs="Times New Roman"/>
          <w:sz w:val="24"/>
        </w:rPr>
      </w:pPr>
      <w:r>
        <w:rPr>
          <w:rFonts w:hint="eastAsia"/>
          <w:sz w:val="24"/>
          <w:szCs w:val="24"/>
        </w:rPr>
        <w:t xml:space="preserve">地    址：</w:t>
      </w:r>
      <w:r>
        <w:rPr>
          <w:rFonts w:hint="eastAsia" w:ascii="宋体" w:hAnsi="宋体" w:eastAsia="宋体" w:cs="Times New Roman"/>
          <w:sz w:val="24"/>
        </w:rPr>
        <w:t xml:space="preserve">连云港市海州区南城街道凤凰商务花园2号楼503室</w:t>
      </w:r>
      <w:r/>
    </w:p>
    <w:p>
      <w:pPr>
        <w:ind w:firstLine="480"/>
        <w:jc w:val="left"/>
        <w:spacing w:line="500" w:lineRule="exact"/>
        <w:rPr>
          <w:sz w:val="24"/>
          <w:szCs w:val="24"/>
        </w:rPr>
      </w:pPr>
      <w:r>
        <w:rPr>
          <w:rFonts w:hint="eastAsia"/>
          <w:sz w:val="24"/>
          <w:szCs w:val="24"/>
        </w:rPr>
        <w:t xml:space="preserve">联 系 人：</w:t>
      </w:r>
      <w:r>
        <w:rPr>
          <w:rFonts w:hint="eastAsia" w:ascii="宋体" w:hAnsi="宋体" w:eastAsia="宋体" w:cs="Times New Roman"/>
          <w:sz w:val="24"/>
          <w:lang w:val="en-US" w:eastAsia="zh-CN"/>
        </w:rPr>
        <w:t xml:space="preserve">毛雪芹</w:t>
      </w:r>
      <w:r/>
    </w:p>
    <w:p>
      <w:pPr>
        <w:ind w:firstLine="480"/>
        <w:jc w:val="left"/>
        <w:spacing w:line="500" w:lineRule="exact"/>
        <w:rPr>
          <w:sz w:val="24"/>
          <w:szCs w:val="24"/>
        </w:rPr>
      </w:pPr>
      <w:r>
        <w:rPr>
          <w:rFonts w:hint="eastAsia"/>
          <w:sz w:val="24"/>
          <w:szCs w:val="24"/>
        </w:rPr>
        <w:t xml:space="preserve">联系电话：</w:t>
      </w:r>
      <w:r>
        <w:rPr>
          <w:rFonts w:hint="eastAsia" w:ascii="宋体" w:hAnsi="宋体" w:eastAsia="宋体" w:cs="Times New Roman"/>
          <w:sz w:val="24"/>
        </w:rPr>
        <w:t xml:space="preserve">13</w:t>
      </w:r>
      <w:r>
        <w:rPr>
          <w:rFonts w:hint="eastAsia" w:ascii="宋体" w:hAnsi="宋体" w:eastAsia="宋体" w:cs="Times New Roman"/>
          <w:sz w:val="24"/>
          <w:lang w:val="en-US" w:eastAsia="zh-CN"/>
        </w:rPr>
        <w:t xml:space="preserve">775591149</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w:t>
      </w:r>
      <w:r>
        <w:rPr>
          <w:rFonts w:hint="eastAsia" w:ascii="宋体" w:hAnsi="宋体" w:eastAsia="宋体" w:cs="Times New Roman"/>
          <w:sz w:val="24"/>
          <w:highlight w:val="none"/>
          <w:lang w:val="en-US" w:eastAsia="zh-CN"/>
        </w:rPr>
        <w:t xml:space="preserve">徐晶晶</w:t>
      </w:r>
      <w:r/>
    </w:p>
    <w:p>
      <w:pPr>
        <w:ind w:firstLine="480"/>
        <w:jc w:val="left"/>
        <w:spacing w:line="500" w:lineRule="exact"/>
        <w:rPr>
          <w:sz w:val="24"/>
          <w:szCs w:val="24"/>
        </w:rPr>
      </w:pPr>
      <w:r>
        <w:rPr>
          <w:rFonts w:hint="eastAsia"/>
          <w:sz w:val="24"/>
          <w:szCs w:val="24"/>
        </w:rPr>
        <w:t xml:space="preserve">电      话：</w:t>
      </w:r>
      <w:r>
        <w:rPr>
          <w:rFonts w:hint="eastAsia" w:ascii="宋体" w:hAnsi="宋体" w:eastAsia="宋体" w:cs="Times New Roman"/>
          <w:sz w:val="24"/>
          <w:highlight w:val="none"/>
          <w:lang w:val="en-US" w:eastAsia="zh-CN"/>
        </w:rPr>
        <w:t xml:space="preserve">13812342688</w:t>
      </w:r>
      <w:r/>
    </w:p>
    <w:p>
      <w:pPr>
        <w:jc w:val="left"/>
        <w:widowControl/>
        <w:rPr>
          <w:rFonts w:ascii="黑体" w:hAnsi="黑体" w:eastAsia="黑体"/>
          <w:bCs/>
          <w:sz w:val="44"/>
          <w:szCs w:val="44"/>
        </w:rPr>
      </w:pPr>
      <w:r>
        <w:rPr>
          <w:rFonts w:ascii="黑体" w:hAnsi="黑体" w:eastAsia="黑体"/>
          <w:b/>
        </w:rPr>
        <w:br w:type="page" w:clear="all"/>
      </w:r>
      <w:r/>
    </w:p>
    <w:p>
      <w:pPr>
        <w:pStyle w:val="859"/>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860"/>
        <w:spacing w:before="0" w:after="0" w:line="360" w:lineRule="auto"/>
        <w:rPr>
          <w:rFonts w:ascii="黑体" w:hAnsi="黑体" w:eastAsia="黑体"/>
          <w:b w:val="0"/>
        </w:rPr>
      </w:pPr>
      <w:r>
        <w:rPr>
          <w:rFonts w:hint="eastAsia" w:ascii="黑体" w:hAnsi="黑体" w:eastAsia="黑体"/>
          <w:b w:val="0"/>
        </w:rPr>
        <w:t xml:space="preserve">一、总则</w:t>
      </w:r>
      <w:r/>
    </w:p>
    <w:p>
      <w:pPr>
        <w:pStyle w:val="861"/>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61"/>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861"/>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61"/>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rFonts w:hint="eastAsia"/>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鸿图造价咨询有限责任公司</w:t>
      </w:r>
      <w:r>
        <w:rPr>
          <w:rFonts w:hint="eastAsia"/>
          <w:sz w:val="24"/>
          <w:szCs w:val="24"/>
        </w:rPr>
        <w:t xml:space="preserve">在任何情况下均无义务和责任承担这些费用。</w:t>
      </w:r>
      <w:r/>
    </w:p>
    <w:p>
      <w:pPr>
        <w:ind w:firstLine="480"/>
        <w:jc w:val="left"/>
        <w:spacing w:line="500" w:lineRule="exact"/>
        <w:rPr>
          <w:rFonts w:hint="default" w:eastAsiaTheme="minorEastAsia"/>
          <w:color w:val="auto"/>
          <w:sz w:val="24"/>
          <w:szCs w:val="24"/>
          <w:lang w:val="en-US" w:eastAsia="zh-CN"/>
        </w:rPr>
      </w:pPr>
      <w:r>
        <w:rPr>
          <w:rFonts w:hint="eastAsia"/>
          <w:sz w:val="24"/>
          <w:szCs w:val="24"/>
          <w:lang w:val="en-US" w:eastAsia="zh-CN"/>
        </w:rPr>
        <w:t xml:space="preserve">4.2代理服务费按苏招协[2022]002号文件标准收取。</w:t>
      </w:r>
      <w:r>
        <w:rPr>
          <w:rFonts w:hint="eastAsia"/>
          <w:color w:val="auto"/>
          <w:sz w:val="24"/>
          <w:szCs w:val="24"/>
          <w:lang w:val="en-US" w:eastAsia="zh-CN"/>
        </w:rPr>
        <w:t xml:space="preserve">包含在投标报价中，由中标人在领取中标通知书前一次性付清。</w:t>
      </w:r>
      <w:r/>
    </w:p>
    <w:p>
      <w:pPr>
        <w:pStyle w:val="861"/>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60"/>
        <w:spacing w:before="0" w:after="0" w:line="360" w:lineRule="auto"/>
        <w:rPr>
          <w:rFonts w:ascii="黑体" w:hAnsi="黑体" w:eastAsia="黑体"/>
          <w:b w:val="0"/>
        </w:rPr>
      </w:pPr>
      <w:r>
        <w:rPr>
          <w:rFonts w:hint="eastAsia" w:ascii="黑体" w:hAnsi="黑体" w:eastAsia="黑体"/>
          <w:b w:val="0"/>
        </w:rPr>
        <w:t xml:space="preserve">二、招标文件</w:t>
      </w:r>
      <w:r/>
    </w:p>
    <w:p>
      <w:pPr>
        <w:pStyle w:val="861"/>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代理机构</w:t>
      </w:r>
      <w:r>
        <w:rPr>
          <w:rFonts w:hint="eastAsia"/>
          <w:sz w:val="24"/>
          <w:szCs w:val="24"/>
        </w:rPr>
        <w:t xml:space="preserve">联系解决。</w:t>
      </w:r>
      <w:r/>
    </w:p>
    <w:p>
      <w:pPr>
        <w:pStyle w:val="861"/>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pStyle w:val="861"/>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代理机构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60"/>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61"/>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61"/>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61"/>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61"/>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61"/>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61"/>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61"/>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61"/>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61"/>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60"/>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61"/>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61"/>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61"/>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拒绝接收在招标文件规定的投标截止时间后递交（上传）的任何投标文件。</w:t>
      </w:r>
      <w:r/>
    </w:p>
    <w:p>
      <w:pPr>
        <w:pStyle w:val="861"/>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60"/>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61"/>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及评委会联系。</w:t>
      </w:r>
      <w:r/>
    </w:p>
    <w:p>
      <w:pPr>
        <w:pStyle w:val="861"/>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代理机构</w:t>
      </w:r>
      <w:r>
        <w:rPr>
          <w:rFonts w:hint="eastAsia"/>
          <w:sz w:val="24"/>
          <w:szCs w:val="24"/>
        </w:rPr>
        <w:t xml:space="preserve">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61"/>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代理机构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61"/>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61"/>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w:t>
      </w:r>
      <w:r>
        <w:rPr>
          <w:rFonts w:hint="eastAsia"/>
          <w:sz w:val="24"/>
          <w:szCs w:val="24"/>
          <w:lang w:eastAsia="zh-CN"/>
        </w:rPr>
        <w:t xml:space="preserve">、</w:t>
      </w:r>
      <w:r>
        <w:rPr>
          <w:rFonts w:hint="eastAsia"/>
          <w:sz w:val="24"/>
          <w:szCs w:val="24"/>
        </w:rPr>
        <w:t xml:space="preserve">符合性审查</w:t>
      </w:r>
      <w:r>
        <w:rPr>
          <w:rFonts w:hint="eastAsia"/>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政府采购异常低价审查</w:t>
      </w:r>
      <w:r>
        <w:rPr>
          <w:rFonts w:hint="eastAsia"/>
          <w:sz w:val="24"/>
          <w:szCs w:val="24"/>
          <w:highlight w:val="none"/>
        </w:rPr>
        <w:t xml:space="preserve">。</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numPr>
          <w:ilvl w:val="0"/>
          <w:numId w:val="0"/>
        </w:numPr>
        <w:ind w:firstLine="480"/>
        <w:keepLines w:val="0"/>
        <w:keepNext w:val="0"/>
        <w:pageBreakBefore w:val="0"/>
        <w:spacing w:line="360" w:lineRule="auto"/>
        <w:widowControl w:val="off"/>
        <w:rPr>
          <w:rFonts w:hint="eastAsia"/>
          <w:sz w:val="24"/>
          <w:szCs w:val="24"/>
        </w:rPr>
      </w:pPr>
      <w:r>
        <w:rPr>
          <w:rFonts w:hint="eastAsia"/>
          <w:sz w:val="24"/>
          <w:szCs w:val="24"/>
        </w:rPr>
        <w:t xml:space="preserve">26.1.2符合性审查：评委会依据招标文件的规定，从投标文件的有效性、完整性和对招标文件的响应程度进行审查，以确定其是否对招标文件的全部实质性要求作出响应。</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yellow"/>
        </w:rPr>
      </w:pPr>
      <w:r>
        <w:rPr>
          <w:rFonts w:hint="eastAsia"/>
          <w:sz w:val="24"/>
          <w:szCs w:val="24"/>
        </w:rPr>
        <w:t xml:space="preserve">26.1.</w:t>
      </w:r>
      <w:r>
        <w:rPr>
          <w:rFonts w:hint="eastAsia"/>
          <w:sz w:val="24"/>
          <w:szCs w:val="24"/>
          <w:lang w:val="en-US" w:eastAsia="zh-CN"/>
        </w:rPr>
        <w:t xml:space="preserve">3</w:t>
      </w:r>
      <w:r>
        <w:rPr>
          <w:rFonts w:hint="eastAsia" w:ascii="宋体" w:hAnsi="宋体" w:eastAsia="宋体" w:cs="宋体"/>
          <w:sz w:val="24"/>
          <w:szCs w:val="24"/>
          <w:highlight w:val="none"/>
        </w:rPr>
        <w:t xml:space="preserve">政府采购异常低价审查：</w:t>
      </w:r>
      <w:r/>
    </w:p>
    <w:p>
      <w:pPr>
        <w:ind w:firstLine="482"/>
        <w:jc w:val="both"/>
        <w:spacing w:line="499" w:lineRule="atLeast"/>
        <w:widowControl w:val="off"/>
        <w:rPr>
          <w:rFonts w:hint="default" w:ascii="Calibri" w:hAnsi="Calibri" w:eastAsia="宋体" w:cs="Times New Roman"/>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（一）评审过程中出现下列情形之一的，评委会应当启动异常低价投标（响应）审查程序：</w:t>
      </w:r>
      <w:r/>
    </w:p>
    <w:p>
      <w:pPr>
        <w:ind w:firstLine="482"/>
        <w:jc w:val="both"/>
        <w:spacing w:line="499"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ind w:firstLine="482"/>
        <w:jc w:val="both"/>
        <w:spacing w:line="499"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ind w:firstLine="482"/>
        <w:jc w:val="both"/>
        <w:spacing w:line="499"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3.投标(响应)报价低于采购项目最高限价65%的，即投标(响应)报价&lt;采购项目最高限价×65%；</w:t>
      </w:r>
      <w:r/>
    </w:p>
    <w:p>
      <w:pPr>
        <w:ind w:firstLine="482"/>
        <w:jc w:val="both"/>
        <w:spacing w:line="499" w:lineRule="atLeas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4.评委会基于专业判断，认为供应商报价过低，有可能影响产品质量或者不能诚信履约的其他情形。</w:t>
      </w:r>
      <w:r/>
    </w:p>
    <w:p>
      <w:pPr>
        <w:ind w:firstLine="640"/>
        <w:spacing w:line="480" w:lineRule="atLeast"/>
        <w:shd w:val="clear" w:color="auto" w:fill="ffffff"/>
        <w:widowControl/>
        <w:rPr>
          <w:rFonts w:hint="default" w:ascii="Calibri" w:hAnsi="Calibri" w:eastAsia="宋体" w:cs="Calibri"/>
          <w:color w:val="auto"/>
          <w:szCs w:val="21"/>
        </w:rPr>
      </w:pPr>
      <w:r>
        <w:rPr>
          <w:rFonts w:hint="eastAsia" w:ascii="宋体" w:hAnsi="宋体" w:eastAsia="宋体" w:cs="宋体"/>
          <w:color w:val="auto"/>
          <w:sz w:val="24"/>
          <w:szCs w:val="24"/>
        </w:rPr>
        <w:t xml:space="preserve">（二）</w:t>
      </w:r>
      <w:r>
        <w:rPr>
          <w:rFonts w:hint="eastAsia" w:ascii="宋体" w:hAnsi="宋体" w:eastAsia="宋体" w:cs="宋体"/>
          <w:color w:val="auto"/>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hint="default" w:ascii="Calibri" w:hAnsi="Calibri" w:eastAsia="宋体" w:cs="Calibri"/>
          <w:color w:val="auto"/>
          <w:szCs w:val="21"/>
        </w:rPr>
      </w:pPr>
      <w:r>
        <w:rPr>
          <w:rFonts w:hint="eastAsia" w:ascii="宋体" w:hAnsi="宋体" w:eastAsia="宋体" w:cs="宋体"/>
          <w:color w:val="auto"/>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hint="default" w:ascii="Calibri" w:hAnsi="Calibri" w:eastAsia="宋体" w:cs="Calibri"/>
          <w:color w:val="auto"/>
          <w:szCs w:val="21"/>
        </w:rPr>
      </w:pPr>
      <w:r>
        <w:rPr>
          <w:rFonts w:hint="eastAsia" w:ascii="宋体" w:hAnsi="宋体" w:eastAsia="宋体" w:cs="宋体"/>
          <w:color w:val="auto"/>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hint="default" w:ascii="Calibri" w:hAnsi="Calibri" w:eastAsia="宋体" w:cs="Calibri"/>
          <w:color w:val="auto"/>
          <w:szCs w:val="21"/>
        </w:rPr>
      </w:pPr>
      <w:r>
        <w:rPr>
          <w:rFonts w:hint="eastAsia" w:ascii="宋体" w:hAnsi="宋体" w:eastAsia="宋体" w:cs="宋体"/>
          <w:color w:val="auto"/>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both"/>
        <w:spacing w:line="499" w:lineRule="atLeast"/>
        <w:widowControl w:val="off"/>
        <w:rPr>
          <w:rFonts w:hint="default" w:ascii="Calibri" w:hAnsi="Calibri" w:eastAsia="宋体" w:cs="Times New Roman"/>
          <w:color w:val="auto"/>
          <w:sz w:val="24"/>
          <w:szCs w:val="22"/>
          <w:lang w:val="en-US" w:eastAsia="zh-CN" w:bidi="ar-SA"/>
        </w:rPr>
      </w:pPr>
      <w:r>
        <w:rPr>
          <w:rFonts w:hint="eastAsia" w:ascii="宋体" w:hAnsi="宋体" w:eastAsia="宋体" w:cs="宋体"/>
          <w:color w:val="auto"/>
          <w:sz w:val="24"/>
          <w:szCs w:val="24"/>
          <w:lang w:val="en-US" w:eastAsia="zh-CN" w:bidi="ar-SA"/>
        </w:rPr>
        <w:t xml:space="preserve">投标人可在投标（响应）文件中</w:t>
      </w:r>
      <w:r>
        <w:rPr>
          <w:rFonts w:hint="eastAsia" w:ascii="宋体" w:hAnsi="宋体" w:eastAsia="宋体" w:cs="宋体"/>
          <w:color w:val="auto"/>
          <w:sz w:val="24"/>
          <w:szCs w:val="24"/>
          <w:shd w:val="clear" w:color="auto" w:fill="ffffff"/>
          <w:lang w:val="en-US" w:eastAsia="zh-CN" w:bidi="ar"/>
        </w:rPr>
        <w:t xml:space="preserve">提供项目具体成本测算等与报价合理性相关的书面说明及必要的证明材料</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shd w:val="clear" w:color="auto" w:fill="ffffff"/>
          <w:lang w:val="en-US" w:eastAsia="zh-CN" w:bidi="ar"/>
        </w:rPr>
        <w:t xml:space="preserve">包括但不限于原材料成本、人工成本、制造费用等，</w:t>
      </w:r>
      <w:r>
        <w:rPr>
          <w:rFonts w:hint="eastAsia" w:ascii="宋体" w:hAnsi="宋体" w:eastAsia="宋体" w:cs="宋体"/>
          <w:color w:val="auto"/>
          <w:sz w:val="24"/>
          <w:szCs w:val="24"/>
          <w:lang w:val="en-US" w:eastAsia="zh-CN" w:bidi="ar-SA"/>
        </w:rPr>
        <w:t xml:space="preserve">对投标（响应）价格作出解释，便于评审。</w:t>
      </w:r>
      <w:r/>
    </w:p>
    <w:p>
      <w:pPr>
        <w:ind w:firstLine="480"/>
        <w:jc w:val="left"/>
        <w:spacing w:line="500" w:lineRule="exact"/>
        <w:rPr>
          <w:rFonts w:hint="default" w:ascii="Calibri" w:hAnsi="Calibri" w:eastAsia="宋体" w:cs="Times New Roman"/>
          <w:sz w:val="24"/>
          <w:szCs w:val="24"/>
        </w:rPr>
      </w:pPr>
      <w:r>
        <w:rPr>
          <w:rFonts w:hint="default" w:ascii="Calibri" w:hAnsi="Calibri" w:eastAsia="宋体" w:cs="Calibri"/>
          <w:color w:val="000000"/>
          <w:sz w:val="24"/>
          <w:szCs w:val="24"/>
        </w:rPr>
        <w:t xml:space="preserve">26.1.4未通过资格审查或符合性审查的投标人，将通过“苏采云”系统中告知其未通过的原因，评审结束后，将不再告知</w:t>
      </w:r>
      <w:r>
        <w:rPr>
          <w:rFonts w:hint="eastAsia" w:ascii="Calibri" w:hAnsi="Calibri" w:eastAsia="宋体" w:cs="Times New Roman"/>
          <w:sz w:val="24"/>
          <w:szCs w:val="24"/>
        </w:rPr>
        <w:t xml:space="preserve">。</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代理机构</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61"/>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60"/>
        <w:spacing w:before="0" w:after="0" w:line="360" w:lineRule="auto"/>
        <w:rPr>
          <w:rFonts w:ascii="黑体" w:hAnsi="黑体" w:eastAsia="黑体"/>
          <w:b w:val="0"/>
        </w:rPr>
      </w:pPr>
      <w:r>
        <w:rPr>
          <w:rFonts w:hint="eastAsia" w:ascii="黑体" w:hAnsi="黑体" w:eastAsia="黑体"/>
          <w:b w:val="0"/>
        </w:rPr>
        <w:t xml:space="preserve">六、定标</w:t>
      </w:r>
      <w:r/>
    </w:p>
    <w:p>
      <w:pPr>
        <w:pStyle w:val="861"/>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代理机构</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代理机构</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61"/>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w:t>
      </w:r>
      <w:r>
        <w:rPr>
          <w:rFonts w:hint="eastAsia"/>
          <w:sz w:val="24"/>
          <w:szCs w:val="24"/>
          <w:lang w:eastAsia="zh-CN"/>
        </w:rPr>
        <w:t xml:space="preserve">代理机构</w:t>
      </w:r>
      <w:r>
        <w:rPr>
          <w:rFonts w:hint="eastAsia"/>
          <w:sz w:val="24"/>
          <w:szCs w:val="24"/>
        </w:rPr>
        <w:t xml:space="preserve">各提供一份与电子投标文件一致的纸质打印胶装投标文件，封面、骑缝需加盖公章。</w:t>
      </w:r>
      <w:r/>
    </w:p>
    <w:p>
      <w:pPr>
        <w:pStyle w:val="860"/>
        <w:spacing w:before="0" w:after="0" w:line="360" w:lineRule="auto"/>
        <w:rPr>
          <w:rFonts w:ascii="黑体" w:hAnsi="黑体" w:eastAsia="黑体"/>
          <w:b w:val="0"/>
        </w:rPr>
      </w:pPr>
      <w:r>
        <w:rPr>
          <w:rFonts w:hint="eastAsia" w:ascii="黑体" w:hAnsi="黑体" w:eastAsia="黑体"/>
          <w:b w:val="0"/>
        </w:rPr>
        <w:t xml:space="preserve">七、授予合同</w:t>
      </w:r>
      <w:r/>
    </w:p>
    <w:p>
      <w:pPr>
        <w:pStyle w:val="861"/>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sz w:val="24"/>
          <w:szCs w:val="24"/>
        </w:rPr>
      </w:pPr>
      <w:r>
        <w:rPr>
          <w:rFonts w:hint="eastAsia"/>
          <w:sz w:val="24"/>
          <w:szCs w:val="24"/>
        </w:rPr>
        <w:t xml:space="preserve">30.4 采购人</w:t>
      </w:r>
      <w:r>
        <w:rPr>
          <w:sz w:val="24"/>
          <w:szCs w:val="24"/>
        </w:rPr>
        <w:t xml:space="preserve">应当在合同签订后</w:t>
      </w:r>
      <w:r>
        <w:rPr>
          <w:rFonts w:hint="eastAsia"/>
          <w:sz w:val="24"/>
          <w:szCs w:val="24"/>
        </w:rPr>
        <w:t xml:space="preserve">2日</w:t>
      </w:r>
      <w:r>
        <w:rPr>
          <w:sz w:val="24"/>
          <w:szCs w:val="24"/>
        </w:rPr>
        <w:t xml:space="preserve">内上传合同至苏采云</w:t>
      </w:r>
      <w:r>
        <w:rPr>
          <w:rFonts w:hint="eastAsia"/>
          <w:sz w:val="24"/>
          <w:szCs w:val="24"/>
        </w:rPr>
        <w:t xml:space="preserve">公示</w:t>
      </w:r>
      <w:r>
        <w:rPr>
          <w:sz w:val="24"/>
          <w:szCs w:val="24"/>
        </w:rPr>
        <w:t xml:space="preserve">。</w:t>
      </w:r>
      <w:r/>
    </w:p>
    <w:p>
      <w:pPr>
        <w:ind w:firstLine="480"/>
        <w:jc w:val="left"/>
        <w:spacing w:line="500" w:lineRule="exact"/>
        <w:rPr>
          <w:rFonts w:hint="eastAsia"/>
          <w:sz w:val="24"/>
          <w:szCs w:val="24"/>
        </w:rPr>
      </w:pPr>
      <w:r>
        <w:rPr>
          <w:rFonts w:hint="eastAsia"/>
          <w:sz w:val="24"/>
          <w:szCs w:val="24"/>
        </w:rPr>
        <w:t xml:space="preserve">30.5履约保证金</w:t>
      </w:r>
      <w:r/>
    </w:p>
    <w:p>
      <w:pPr>
        <w:ind w:firstLine="480"/>
        <w:jc w:val="left"/>
        <w:spacing w:line="500" w:lineRule="exact"/>
        <w:rPr>
          <w:rFonts w:hint="eastAsia" w:eastAsiaTheme="minorEastAsia"/>
          <w:sz w:val="24"/>
          <w:szCs w:val="24"/>
          <w:lang w:eastAsia="zh-CN"/>
        </w:rPr>
      </w:pPr>
      <w:r>
        <w:rPr>
          <w:rFonts w:hint="eastAsia"/>
          <w:sz w:val="24"/>
          <w:szCs w:val="24"/>
        </w:rPr>
        <w:t xml:space="preserve">30.5.1本项目</w:t>
      </w:r>
      <w:r>
        <w:rPr>
          <w:rFonts w:hint="eastAsia"/>
          <w:sz w:val="24"/>
          <w:szCs w:val="24"/>
          <w:lang w:val="en-US" w:eastAsia="zh-CN"/>
        </w:rPr>
        <w:t xml:space="preserve">不收取</w:t>
      </w:r>
      <w:r>
        <w:rPr>
          <w:rFonts w:hint="eastAsia"/>
          <w:sz w:val="24"/>
          <w:szCs w:val="24"/>
        </w:rPr>
        <w:t xml:space="preserve">履约保证金</w:t>
      </w:r>
      <w:r>
        <w:rPr>
          <w:rFonts w:hint="eastAsia"/>
          <w:sz w:val="24"/>
          <w:szCs w:val="24"/>
          <w:lang w:eastAsia="zh-CN"/>
        </w:rPr>
        <w:t xml:space="preserve">。</w:t>
      </w:r>
      <w:r/>
    </w:p>
    <w:p>
      <w:pPr>
        <w:pStyle w:val="861"/>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1"/>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860"/>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61"/>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pStyle w:val="861"/>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61"/>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35.2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35.4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pStyle w:val="861"/>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60"/>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61"/>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sz w:val="24"/>
          <w:szCs w:val="24"/>
          <w:highlight w:val="yellow"/>
        </w:rPr>
      </w:pPr>
      <w:r>
        <w:rPr>
          <w:rFonts w:hint="eastAsia"/>
          <w:sz w:val="24"/>
          <w:szCs w:val="24"/>
        </w:rPr>
        <w:t xml:space="preserve">37.5 享受扶持政策获得政府采购合同的，小微型企业不得将合同分包给大中型企业，中型企业不得将合同分包给大型企业。</w:t>
      </w:r>
      <w:r/>
    </w:p>
    <w:p>
      <w:pPr>
        <w:ind w:firstLine="482"/>
        <w:spacing w:line="500" w:lineRule="exact"/>
        <w:rPr>
          <w:rFonts w:hint="eastAsia" w:ascii="Calibri" w:hAnsi="Calibri" w:eastAsia="宋体" w:cs="Times New Roman"/>
          <w:b/>
          <w:bCs/>
          <w:color w:val="auto"/>
          <w:sz w:val="24"/>
          <w:szCs w:val="24"/>
        </w:rPr>
      </w:pPr>
      <w:r>
        <w:rPr>
          <w:rFonts w:hint="eastAsia" w:ascii="Calibri" w:hAnsi="Calibri" w:eastAsia="宋体" w:cs="Times New Roman"/>
          <w:b/>
          <w:bCs/>
          <w:color w:val="auto"/>
          <w:sz w:val="24"/>
          <w:szCs w:val="24"/>
        </w:rPr>
        <w:t xml:space="preserve">38、采购本国产品的支持政策</w:t>
      </w:r>
      <w:r/>
    </w:p>
    <w:p>
      <w:pPr>
        <w:ind w:firstLine="482"/>
        <w:spacing w:line="500" w:lineRule="exact"/>
        <w:rPr>
          <w:rFonts w:hint="eastAsia" w:ascii="Calibri" w:hAnsi="Calibri" w:eastAsia="宋体" w:cs="Times New Roman"/>
          <w:b/>
          <w:bCs/>
          <w:color w:val="auto"/>
          <w:sz w:val="24"/>
          <w:szCs w:val="24"/>
        </w:rPr>
      </w:pPr>
      <w:r>
        <w:rPr>
          <w:rFonts w:hint="eastAsia" w:ascii="Calibri" w:hAnsi="Calibri" w:eastAsia="宋体" w:cs="Times New Roman"/>
          <w:b/>
          <w:bCs/>
          <w:color w:val="auto"/>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38.3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both"/>
        <w:keepLines/>
        <w:keepNext/>
        <w:spacing w:before="0" w:after="0" w:line="360" w:lineRule="auto"/>
        <w:widowControl w:val="off"/>
        <w:rPr>
          <w:rFonts w:hint="eastAsia" w:ascii="宋体" w:hAnsi="宋体" w:eastAsia="宋体" w:cs="宋体"/>
          <w:b/>
          <w:bCs/>
          <w:color w:val="auto"/>
          <w:sz w:val="24"/>
          <w:szCs w:val="24"/>
          <w:lang w:val="en-US" w:eastAsia="zh-CN" w:bidi="ar-SA"/>
        </w:rPr>
        <w:outlineLvl w:val="2"/>
      </w:pPr>
      <w:r>
        <w:rPr>
          <w:rFonts w:hint="eastAsia" w:ascii="宋体" w:hAnsi="宋体" w:eastAsia="宋体" w:cs="宋体"/>
          <w:b/>
          <w:bCs/>
          <w:color w:val="auto"/>
          <w:sz w:val="24"/>
          <w:szCs w:val="24"/>
          <w:lang w:val="en-US" w:eastAsia="zh-CN" w:bidi="ar-SA"/>
        </w:rPr>
        <w:t xml:space="preserve">38.5政府采购中的本国产品标准及其他未尽事宜详见《国务院办公厅关于在政府采购中实施本国产品标准及相关政策的通知》（国办发〔2025〕34号）。  </w:t>
      </w:r>
      <w:r/>
    </w:p>
    <w:p>
      <w:pPr>
        <w:ind w:firstLine="482"/>
        <w:jc w:val="both"/>
        <w:keepLines/>
        <w:keepNext/>
        <w:spacing w:before="0" w:after="0" w:line="360" w:lineRule="auto"/>
        <w:widowControl w:val="off"/>
        <w:rPr>
          <w:rFonts w:hint="default"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562"/>
        <w:jc w:val="left"/>
        <w:keepLines/>
        <w:keepNext/>
        <w:spacing w:before="0" w:after="0" w:line="360" w:lineRule="auto"/>
        <w:widowControl w:val="off"/>
        <w:rPr>
          <w:rFonts w:hint="default"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rFonts w:hint="default" w:ascii="Calibri" w:hAnsi="Calibri" w:eastAsia="宋体" w:cs="Times New Roman"/>
          <w:sz w:val="24"/>
          <w:szCs w:val="24"/>
        </w:rPr>
      </w:pPr>
      <w:r>
        <w:rPr>
          <w:rFonts w:hint="default" w:ascii="Calibri" w:hAnsi="Calibri" w:eastAsia="宋体" w:cs="Times New Roman"/>
          <w:sz w:val="24"/>
          <w:szCs w:val="24"/>
        </w:rPr>
      </w:r>
      <w:r/>
    </w:p>
    <w:p>
      <w:pPr>
        <w:jc w:val="left"/>
        <w:widowControl/>
        <w:rPr>
          <w:sz w:val="24"/>
          <w:szCs w:val="24"/>
        </w:rPr>
      </w:pPr>
      <w:r>
        <w:rPr>
          <w:sz w:val="24"/>
          <w:szCs w:val="24"/>
        </w:rPr>
        <w:br w:type="page" w:clear="all"/>
      </w:r>
      <w:r/>
    </w:p>
    <w:p>
      <w:pPr>
        <w:pStyle w:val="859"/>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866"/>
        <w:jc w:val="center"/>
        <w:spacing w:after="0"/>
        <w:rPr>
          <w:rFonts w:ascii="宋体" w:hAnsi="宋体" w:cs="宋体"/>
          <w:b/>
          <w:bCs/>
          <w:spacing w:val="-20"/>
          <w:sz w:val="48"/>
          <w:szCs w:val="48"/>
        </w:rPr>
      </w:pPr>
      <w:r/>
      <w:bookmarkStart w:id="3" w:name="_Toc3995"/>
      <w:r/>
      <w:r/>
    </w:p>
    <w:p>
      <w:pPr>
        <w:pStyle w:val="866"/>
        <w:jc w:val="center"/>
        <w:spacing w:after="0"/>
        <w:rPr>
          <w:rFonts w:ascii="宋体" w:hAnsi="宋体" w:cs="宋体"/>
          <w:b/>
          <w:bCs/>
          <w:spacing w:val="-20"/>
          <w:sz w:val="48"/>
          <w:szCs w:val="48"/>
        </w:rPr>
      </w:pPr>
      <w:r>
        <w:rPr>
          <w:rFonts w:ascii="宋体" w:hAnsi="宋体" w:cs="宋体"/>
          <w:b/>
          <w:bCs/>
          <w:spacing w:val="-20"/>
          <w:sz w:val="48"/>
          <w:szCs w:val="48"/>
        </w:rPr>
      </w:r>
      <w:r/>
    </w:p>
    <w:p>
      <w:pPr>
        <w:pStyle w:val="866"/>
        <w:jc w:val="center"/>
        <w:spacing w:after="0"/>
        <w:rPr>
          <w:rFonts w:ascii="宋体" w:hAnsi="宋体" w:cs="宋体"/>
          <w:b/>
          <w:bCs/>
          <w:spacing w:val="-20"/>
          <w:sz w:val="48"/>
          <w:szCs w:val="48"/>
        </w:rPr>
      </w:pPr>
      <w:r>
        <w:rPr>
          <w:rFonts w:ascii="宋体" w:hAnsi="宋体" w:cs="宋体"/>
          <w:b/>
          <w:bCs/>
          <w:spacing w:val="-20"/>
          <w:sz w:val="48"/>
          <w:szCs w:val="48"/>
        </w:rPr>
      </w:r>
      <w:r/>
    </w:p>
    <w:p>
      <w:pPr>
        <w:pStyle w:val="866"/>
        <w:jc w:val="center"/>
        <w:spacing w:after="0"/>
        <w:rPr>
          <w:rFonts w:ascii="宋体" w:hAnsi="宋体" w:cs="宋体"/>
          <w:b/>
          <w:bCs/>
          <w:spacing w:val="-20"/>
          <w:sz w:val="48"/>
          <w:szCs w:val="48"/>
        </w:rPr>
      </w:pPr>
      <w:r>
        <w:rPr>
          <w:rFonts w:ascii="宋体" w:hAnsi="宋体" w:cs="宋体"/>
          <w:b/>
          <w:bCs/>
          <w:spacing w:val="-20"/>
          <w:sz w:val="48"/>
          <w:szCs w:val="48"/>
        </w:rPr>
      </w:r>
      <w:r/>
    </w:p>
    <w:p>
      <w:pPr>
        <w:pStyle w:val="866"/>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pStyle w:val="860"/>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乙方1（全称）：（供应商）</w:t>
      </w:r>
      <w:r/>
    </w:p>
    <w:p>
      <w:pPr>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p>
    <w:p>
      <w:pPr>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pStyle w:val="867"/>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p>
    <w:p>
      <w:pPr>
        <w:pStyle w:val="867"/>
        <w:jc w:val="left"/>
        <w:spacing w:after="0" w:line="400" w:lineRule="exact"/>
        <w:rPr>
          <w:rFonts w:ascii="宋体" w:hAnsi="宋体"/>
          <w:szCs w:val="21"/>
          <w:u w:val="single"/>
        </w:rPr>
      </w:pPr>
      <w:r>
        <w:rPr>
          <w:rFonts w:hint="eastAsia" w:ascii="宋体" w:hAnsi="宋体"/>
          <w:szCs w:val="21"/>
        </w:rPr>
        <w:t xml:space="preserve">（1）采购项目名称：</w:t>
      </w:r>
      <w:r/>
    </w:p>
    <w:p>
      <w:pPr>
        <w:pStyle w:val="867"/>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67"/>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87"/>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87"/>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887"/>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887"/>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887"/>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887"/>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887"/>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87"/>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887"/>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891"/>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945"/>
        <w:jc w:val="left"/>
        <w:spacing w:line="400" w:lineRule="exact"/>
        <w:rPr>
          <w:rFonts w:hint="eastAsia" w:ascii="宋体" w:hAnsi="宋体" w:eastAsia="宋体"/>
          <w:color w:val="auto"/>
          <w:szCs w:val="21"/>
        </w:rPr>
      </w:pPr>
      <w:r>
        <w:rPr>
          <w:rFonts w:ascii="Wingdings" w:hAnsi="Wingdings" w:eastAsia="Wingdings" w:cs="Wingdings"/>
          <w:color w:val="auto"/>
          <w:szCs w:val="21"/>
        </w:rPr>
        <w:t xml:space="preserve">þ</w:t>
      </w:r>
      <w:r>
        <w:rPr>
          <w:rFonts w:hint="eastAsia" w:ascii="宋体" w:hAnsi="宋体" w:eastAsia="宋体"/>
          <w:color w:val="auto"/>
          <w:szCs w:val="21"/>
        </w:rPr>
        <w:t xml:space="preserve">分期付款：</w:t>
      </w:r>
      <w:r>
        <w:rPr>
          <w:rFonts w:hint="eastAsia" w:ascii="宋体" w:hAnsi="宋体" w:eastAsia="宋体"/>
          <w:color w:val="auto"/>
          <w:szCs w:val="21"/>
          <w:lang w:eastAsia="zh-CN"/>
        </w:rPr>
        <w:t xml:space="preserve">合同签订后15个工作日内支付合同价款总额的40%；项目建成试运行后支付至合同价款总额的70%；验收合格后15个工作日支付至合同价款的100%</w:t>
      </w:r>
      <w:r>
        <w:rPr>
          <w:rFonts w:hint="eastAsia" w:ascii="宋体" w:hAnsi="宋体" w:eastAsia="宋体"/>
          <w:color w:val="auto"/>
          <w:szCs w:val="21"/>
        </w:rPr>
        <w:t xml:space="preserve">。</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þ</w:t>
      </w:r>
      <w:r>
        <w:rPr>
          <w:rFonts w:hint="eastAsia" w:ascii="宋体" w:hAnsi="宋体" w:eastAsia="宋体" w:cs="宋体"/>
          <w:szCs w:val="21"/>
        </w:rPr>
        <w:t xml:space="preserve">否</w:t>
      </w:r>
      <w:r/>
    </w:p>
    <w:p>
      <w:pPr>
        <w:pStyle w:val="887"/>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87"/>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88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88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pStyle w:val="891"/>
      </w:pPr>
      <w:r/>
      <w:r/>
    </w:p>
    <w:tbl>
      <w:tblPr>
        <w:tblStyle w:val="863"/>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86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60"/>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2"/>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 xml:space="preserve">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866"/>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866"/>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3"/>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87"/>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868"/>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8"/>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66"/>
        <w:spacing w:after="0" w:line="400" w:lineRule="exact"/>
        <w:rPr>
          <w:rFonts w:hint="eastAsia"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hint="default" w:ascii="宋体" w:hAnsi="宋体"/>
          <w:szCs w:val="21"/>
          <w:lang w:val="en-US" w:eastAsia="zh-CN"/>
        </w:rPr>
      </w:pPr>
      <w:r>
        <w:rPr>
          <w:rFonts w:hint="eastAsia" w:ascii="宋体" w:hAnsi="宋体"/>
          <w:szCs w:val="21"/>
          <w:lang w:val="en-US" w:eastAsia="zh-CN"/>
        </w:rPr>
        <w:t xml:space="preserve">本项目无履约保证金</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8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8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8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66"/>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8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88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7"/>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60"/>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863"/>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87"/>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59"/>
        <w:jc w:val="center"/>
        <w:spacing w:before="156" w:after="156" w:line="360" w:lineRule="auto"/>
        <w:rPr>
          <w:rFonts w:ascii="黑体" w:hAnsi="黑体" w:eastAsia="黑体"/>
          <w:b w:val="0"/>
        </w:rPr>
      </w:pPr>
      <w:r/>
      <w:bookmarkStart w:id="8" w:name="_Toc165205710"/>
      <w:r>
        <w:rPr>
          <w:rFonts w:hint="eastAsia" w:ascii="黑体" w:hAnsi="黑体" w:eastAsia="黑体"/>
          <w:b w:val="0"/>
        </w:rPr>
        <w:t xml:space="preserve">第四章  采购需求</w:t>
      </w:r>
      <w:bookmarkEnd w:id="8"/>
      <w:r/>
      <w:r/>
    </w:p>
    <w:p>
      <w:pPr>
        <w:ind w:firstLine="480"/>
        <w:jc w:val="left"/>
        <w:spacing w:line="500" w:lineRule="exact"/>
        <w:rPr>
          <w:rFonts w:hint="eastAsia"/>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本磋商文</w:t>
      </w:r>
      <w:r>
        <w:rPr>
          <w:rFonts w:hint="eastAsia"/>
          <w:b/>
          <w:color w:val="auto"/>
          <w:sz w:val="24"/>
          <w:szCs w:val="24"/>
        </w:rPr>
        <w:t xml:space="preserve">件中</w:t>
      </w:r>
      <w:r>
        <w:rPr>
          <w:rFonts w:hint="eastAsia"/>
          <w:b/>
          <w:i/>
          <w:color w:val="auto"/>
          <w:sz w:val="24"/>
          <w:szCs w:val="24"/>
          <w:u w:val="single"/>
        </w:rPr>
        <w:t xml:space="preserve">斜体且有下划线部分</w:t>
      </w:r>
      <w:r>
        <w:rPr>
          <w:rFonts w:hint="eastAsia"/>
          <w:b/>
          <w:color w:val="auto"/>
          <w:sz w:val="24"/>
          <w:szCs w:val="24"/>
        </w:rPr>
        <w:t xml:space="preserve">为</w:t>
      </w:r>
      <w:r>
        <w:rPr>
          <w:rFonts w:hint="eastAsia"/>
          <w:b/>
          <w:sz w:val="24"/>
          <w:szCs w:val="24"/>
        </w:rPr>
        <w:t xml:space="preserve">实质性要求和条件</w:t>
      </w:r>
      <w:r>
        <w:rPr>
          <w:rFonts w:hint="eastAsia"/>
          <w:sz w:val="24"/>
          <w:szCs w:val="24"/>
        </w:rPr>
        <w:t xml:space="preserve">，由采购人根据实际情况设置，供应商须逐条明确作出满足实质性要求和条件的响应，否则将按无效响应处理。</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0"/>
        <w:jc w:val="both"/>
        <w:keepLines w:val="0"/>
        <w:keepNext w:val="0"/>
        <w:pageBreakBefore w:val="0"/>
        <w:spacing w:line="360" w:lineRule="auto"/>
        <w:widowControl w:val="off"/>
        <w:rPr>
          <w:rFonts w:hint="eastAsia"/>
          <w:b w:val="0"/>
          <w:bCs w:val="0"/>
          <w:color w:val="auto"/>
          <w:sz w:val="24"/>
          <w:szCs w:val="24"/>
        </w:rPr>
      </w:pPr>
      <w:r>
        <w:rPr>
          <w:rFonts w:hint="eastAsia" w:ascii="宋体" w:hAnsi="宋体" w:eastAsia="宋体" w:cs="Times New Roman"/>
          <w:b w:val="0"/>
          <w:bCs w:val="0"/>
          <w:color w:val="auto"/>
          <w:sz w:val="24"/>
          <w:szCs w:val="24"/>
          <w:lang w:val="en-US" w:eastAsia="zh-CN"/>
        </w:rPr>
        <w:t xml:space="preserve">4.本项目核心产品：机库、无人机。</w:t>
      </w:r>
      <w:r/>
    </w:p>
    <w:tbl>
      <w:tblPr>
        <w:tblStyle w:val="87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jc w:val="left"/>
              <w:spacing w:line="360" w:lineRule="auto"/>
              <w:rPr>
                <w:sz w:val="24"/>
                <w:szCs w:val="24"/>
              </w:rPr>
            </w:pPr>
            <w:r>
              <w:rPr>
                <w:rFonts w:hint="eastAsia" w:ascii="宋体" w:hAnsi="宋体" w:eastAsia="宋体" w:cs="Times New Roman"/>
                <w:i/>
                <w:iCs/>
                <w:sz w:val="24"/>
                <w:szCs w:val="24"/>
                <w:highlight w:val="none"/>
                <w:u w:val="none"/>
              </w:rPr>
              <w:t xml:space="preserve">交货期：</w:t>
            </w:r>
            <w:r>
              <w:rPr>
                <w:rFonts w:hint="eastAsia"/>
                <w:i/>
                <w:iCs/>
                <w:sz w:val="24"/>
                <w:highlight w:val="none"/>
                <w:u w:val="none"/>
              </w:rPr>
              <w:t xml:space="preserve">签订合同后</w:t>
            </w:r>
            <w:r>
              <w:rPr>
                <w:rFonts w:hint="eastAsia" w:ascii="Times New Roman" w:eastAsia="宋体"/>
                <w:i/>
                <w:iCs/>
                <w:sz w:val="24"/>
                <w:highlight w:val="none"/>
                <w:u w:val="none"/>
                <w:lang w:val="en-US" w:eastAsia="zh-CN"/>
              </w:rPr>
              <w:t xml:space="preserve">9</w:t>
            </w:r>
            <w:r>
              <w:rPr>
                <w:rFonts w:hint="eastAsia"/>
                <w:i/>
                <w:iCs/>
                <w:sz w:val="24"/>
                <w:highlight w:val="none"/>
                <w:u w:val="none"/>
              </w:rPr>
              <w:t xml:space="preserve">0日内完成</w:t>
            </w:r>
            <w:r>
              <w:rPr>
                <w:rFonts w:hint="eastAsia" w:ascii="Times New Roman" w:eastAsia="宋体"/>
                <w:i/>
                <w:iCs/>
                <w:sz w:val="24"/>
                <w:highlight w:val="none"/>
                <w:u w:val="none"/>
                <w:lang w:val="en-US" w:eastAsia="zh-CN"/>
              </w:rPr>
              <w:t xml:space="preserve">设备采购、安装及与智慧渔港系统的对接工作</w:t>
            </w:r>
            <w:r>
              <w:rPr>
                <w:rFonts w:hint="eastAsia"/>
                <w:i/>
                <w:iCs/>
                <w:sz w:val="24"/>
                <w:highlight w:val="none"/>
                <w:u w:val="none"/>
              </w:rPr>
              <w:t xml:space="preserve">。</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jc w:val="left"/>
              <w:spacing w:line="360" w:lineRule="auto"/>
              <w:rPr>
                <w:rFonts w:ascii="宋体" w:hAnsi="宋体" w:eastAsia="宋体" w:cs="Times New Roman"/>
                <w:b/>
                <w:i/>
                <w:iCs/>
                <w:sz w:val="24"/>
                <w:szCs w:val="24"/>
              </w:rPr>
            </w:pPr>
            <w:r>
              <w:rPr>
                <w:rFonts w:hint="eastAsia" w:ascii="宋体" w:hAnsi="宋体" w:eastAsia="宋体" w:cs="Times New Roman"/>
                <w:b/>
                <w:i/>
                <w:iCs/>
                <w:sz w:val="24"/>
                <w:szCs w:val="24"/>
              </w:rPr>
              <w:t xml:space="preserve">付款方式</w:t>
            </w:r>
            <w:r/>
          </w:p>
          <w:p>
            <w:pPr>
              <w:jc w:val="left"/>
              <w:spacing w:line="360" w:lineRule="auto"/>
              <w:rPr>
                <w:sz w:val="24"/>
                <w:szCs w:val="24"/>
              </w:rPr>
            </w:pPr>
            <w:r>
              <w:rPr>
                <w:rFonts w:hint="eastAsia" w:ascii="Calibri" w:hAnsi="Calibri" w:eastAsia="宋体" w:cs="Times New Roman"/>
                <w:i/>
                <w:iCs/>
                <w:sz w:val="24"/>
                <w:szCs w:val="24"/>
                <w:highlight w:val="none"/>
                <w:u w:val="single"/>
                <w:lang w:eastAsia="zh-CN"/>
              </w:rPr>
              <w:t xml:space="preserve">合同签订后15个工作日内支付合同价款总额的40%；项目建成试运行后支付至合同价款总额的70%；验收合格后15个工作日支付至合同价款的100%</w:t>
            </w:r>
            <w:r>
              <w:rPr>
                <w:rFonts w:hint="eastAsia" w:ascii="宋体" w:hAnsi="宋体" w:eastAsia="宋体" w:cs="Times New Roman"/>
                <w:b w:val="0"/>
                <w:bCs/>
                <w:i/>
                <w:iCs/>
                <w:sz w:val="24"/>
                <w:szCs w:val="24"/>
                <w:highlight w:val="none"/>
                <w:u w:val="none"/>
              </w:rPr>
              <w:t xml:space="preserve">。</w:t>
            </w:r>
            <w:r/>
          </w:p>
        </w:tc>
      </w:tr>
    </w:tbl>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rPr>
          <w:rFonts w:hint="eastAsia" w:ascii="Times New Roman" w:hAnsi="Times New Roman" w:eastAsia="宋体" w:cs="Times New Roman"/>
          <w:b/>
          <w:sz w:val="28"/>
          <w:szCs w:val="28"/>
          <w:lang w:val="en-US" w:eastAsia="zh-CN"/>
        </w:rPr>
        <w:t xml:space="preserve">项目</w:t>
      </w:r>
      <w:r>
        <w:rPr>
          <w:rFonts w:hint="eastAsia" w:ascii="Times New Roman" w:hAnsi="Times New Roman" w:eastAsia="宋体" w:cs="Times New Roman"/>
          <w:b/>
          <w:sz w:val="28"/>
          <w:szCs w:val="28"/>
        </w:rPr>
        <w:t xml:space="preserve">建设内容）</w:t>
      </w:r>
      <w:r/>
    </w:p>
    <w:p>
      <w:pPr>
        <w:ind w:firstLine="400"/>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default" w:ascii="宋体" w:hAnsi="宋体" w:eastAsia="宋体" w:cs="宋体"/>
          <w:i w:val="0"/>
          <w:iCs w:val="0"/>
          <w:color w:val="000000"/>
          <w:sz w:val="20"/>
          <w:szCs w:val="20"/>
          <w:u w:val="none"/>
          <w:lang w:val="en-US" w:eastAsia="zh-CN" w:bidi="ar"/>
        </w:rPr>
        <w:t xml:space="preserve">为进一步提升连云区沿海区域安全监管能力，维护海域安全与秩序，本项目拟建设全域覆盖、无缝衔接的低空智能巡查体</w:t>
      </w:r>
      <w:r>
        <w:rPr>
          <w:rFonts w:hint="default" w:ascii="宋体" w:hAnsi="宋体" w:eastAsia="宋体" w:cs="宋体"/>
          <w:i w:val="0"/>
          <w:iCs w:val="0"/>
          <w:color w:val="000000"/>
          <w:sz w:val="20"/>
          <w:szCs w:val="20"/>
          <w:u w:val="none"/>
          <w:lang w:val="en-US" w:eastAsia="zh-CN" w:bidi="ar"/>
        </w:rPr>
        <w:t xml:space="preserve">系。项目依托已建成投用的27处渔港监控点位，通过"地面监控+空中巡查"融合组网，重点推进低空巡查能力建设，具体包括：新建4座无人机自动机库，结合既有摄像头布设点位，构建覆盖渔港及周边5公里半径区域的"空天地"一体化监测网络；为机库配套专业巡查无人机，部署高清喊话终端及智能识别分析系统，同步完成与智慧渔港平台的系统对接与数据融通；搭建"摄像头智能预警—无人机自动派飞—现场实时核实—工单精准派发—处置结果反馈"的全流程闭环管理机制，实现海上安全事件的早发现、早预警、早处置，全面提升海域监管效能与治理精细化水平。</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86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398"/>
        <w:gridCol w:w="901"/>
        <w:gridCol w:w="1193"/>
        <w:gridCol w:w="2117"/>
      </w:tblGrid>
      <w:tr>
        <w:trPr>
          <w:jc w:val="center"/>
        </w:trPr>
        <w:tc>
          <w:tcPr>
            <w:shd w:val="clear" w:color="auto" w:fill="auto"/>
            <w:tcW w:w="896"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3398"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货物（标的）名称</w:t>
            </w:r>
            <w:r/>
          </w:p>
        </w:tc>
        <w:tc>
          <w:tcPr>
            <w:shd w:val="clear" w:color="auto" w:fill="auto"/>
            <w:tcW w:w="901" w:type="dxa"/>
            <w:vAlign w:val="center"/>
            <w:textDirection w:val="lrTb"/>
            <w:noWrap w:val="false"/>
          </w:tcPr>
          <w:p>
            <w:pPr>
              <w:jc w:val="center"/>
              <w:spacing w:line="360" w:lineRule="auto"/>
              <w:widowControl/>
              <w:rPr>
                <w:rFonts w:ascii="宋体" w:hAnsi="Times New Roman" w:eastAsia="宋体" w:cs="Times New Roman"/>
                <w:sz w:val="18"/>
                <w:szCs w:val="15"/>
              </w:rPr>
            </w:pPr>
            <w:r>
              <w:rPr>
                <w:rFonts w:hint="eastAsia" w:ascii="Times New Roman" w:hAnsi="Times New Roman" w:eastAsia="宋体" w:cs="Times New Roman"/>
                <w:szCs w:val="24"/>
              </w:rPr>
              <w:t xml:space="preserve">数量</w:t>
            </w:r>
            <w:r/>
          </w:p>
        </w:tc>
        <w:tc>
          <w:tcPr>
            <w:shd w:val="clear" w:color="auto" w:fill="auto"/>
            <w:tcW w:w="1193" w:type="dxa"/>
            <w:vAlign w:val="center"/>
            <w:textDirection w:val="lrTb"/>
            <w:noWrap w:val="false"/>
          </w:tcPr>
          <w:p>
            <w:pPr>
              <w:jc w:val="center"/>
              <w:spacing w:line="360" w:lineRule="auto"/>
              <w:widowControl/>
              <w:rPr>
                <w:rFonts w:ascii="Times New Roman" w:hAnsi="Times New Roman" w:eastAsia="宋体" w:cs="Times New Roman"/>
                <w:szCs w:val="24"/>
              </w:rPr>
            </w:pPr>
            <w:r>
              <w:rPr>
                <w:rFonts w:hint="eastAsia" w:ascii="Times New Roman" w:hAnsi="Times New Roman" w:eastAsia="宋体" w:cs="Times New Roman"/>
                <w:szCs w:val="24"/>
              </w:rPr>
              <w:t xml:space="preserve">单位</w:t>
            </w:r>
            <w:r/>
          </w:p>
        </w:tc>
        <w:tc>
          <w:tcPr>
            <w:shd w:val="clear" w:color="auto" w:fill="auto"/>
            <w:tcW w:w="2117" w:type="dxa"/>
            <w:textDirection w:val="lrTb"/>
            <w:noWrap w:val="false"/>
          </w:tcPr>
          <w:p>
            <w:pPr>
              <w:jc w:val="center"/>
              <w:widowControl/>
              <w:rPr>
                <w:rFonts w:ascii="Times New Roman" w:hAnsi="Times New Roman" w:eastAsia="宋体" w:cs="Times New Roman"/>
                <w:szCs w:val="24"/>
              </w:rPr>
            </w:pPr>
            <w:r>
              <w:rPr>
                <w:rFonts w:hint="eastAsia" w:ascii="Times New Roman" w:hAnsi="Times New Roman" w:eastAsia="宋体" w:cs="Times New Roman"/>
                <w:szCs w:val="24"/>
              </w:rPr>
              <w:t xml:space="preserve">中小企业划分标准所属行业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3398"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宋体"/>
                <w:i w:val="0"/>
                <w:iCs w:val="0"/>
                <w:color w:val="000000"/>
                <w:sz w:val="20"/>
                <w:szCs w:val="20"/>
                <w:u w:val="none"/>
                <w:lang w:val="en-US" w:eastAsia="zh-CN" w:bidi="ar"/>
              </w:rPr>
              <w:t xml:space="preserve">机库</w:t>
            </w:r>
            <w:r/>
          </w:p>
        </w:tc>
        <w:tc>
          <w:tcPr>
            <w:shd w:val="clear" w:color="auto" w:fill="auto"/>
            <w:tcW w:w="901" w:type="dxa"/>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shd w:val="clear" w:color="auto" w:fill="auto"/>
            <w:tcW w:w="1193" w:type="dxa"/>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台</w:t>
            </w:r>
            <w:r/>
          </w:p>
        </w:tc>
        <w:tc>
          <w:tcPr>
            <w:shd w:val="clear" w:color="auto" w:fill="auto"/>
            <w:tcW w:w="2117"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w:t>
            </w:r>
            <w:r/>
          </w:p>
        </w:tc>
        <w:tc>
          <w:tcPr>
            <w:shd w:val="clear" w:color="auto" w:fill="auto"/>
            <w:tcW w:w="3398"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宋体"/>
                <w:i w:val="0"/>
                <w:iCs w:val="0"/>
                <w:color w:val="000000"/>
                <w:sz w:val="20"/>
                <w:szCs w:val="20"/>
                <w:u w:val="none"/>
                <w:lang w:val="en-US" w:eastAsia="zh-CN" w:bidi="ar"/>
              </w:rPr>
              <w:t xml:space="preserve">无人机</w:t>
            </w:r>
            <w:r/>
          </w:p>
        </w:tc>
        <w:tc>
          <w:tcPr>
            <w:shd w:val="clear" w:color="auto" w:fill="auto"/>
            <w:tcW w:w="901" w:type="dxa"/>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shd w:val="clear" w:color="auto" w:fill="auto"/>
            <w:tcW w:w="1193" w:type="dxa"/>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套</w:t>
            </w:r>
            <w:r/>
          </w:p>
        </w:tc>
        <w:tc>
          <w:tcPr>
            <w:shd w:val="clear" w:color="auto" w:fill="auto"/>
            <w:tcW w:w="2117"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w:t>
            </w:r>
            <w:r/>
          </w:p>
        </w:tc>
        <w:tc>
          <w:tcPr>
            <w:shd w:val="clear" w:color="auto" w:fill="auto"/>
            <w:tcW w:w="3398"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宋体"/>
                <w:i w:val="0"/>
                <w:iCs w:val="0"/>
                <w:color w:val="000000"/>
                <w:sz w:val="20"/>
                <w:szCs w:val="20"/>
                <w:u w:val="none"/>
                <w:lang w:val="en-US" w:eastAsia="zh-CN" w:bidi="ar"/>
              </w:rPr>
              <w:t xml:space="preserve">电池</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8</w:t>
            </w:r>
            <w:r/>
          </w:p>
        </w:tc>
        <w:tc>
          <w:tcPr>
            <w:shd w:val="clear" w:color="auto" w:fill="auto"/>
            <w:tcW w:w="1193" w:type="dxa"/>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块</w:t>
            </w:r>
            <w:r/>
          </w:p>
        </w:tc>
        <w:tc>
          <w:tcPr>
            <w:shd w:val="clear" w:color="auto" w:fill="auto"/>
            <w:tcW w:w="2117"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工业</w:t>
            </w:r>
            <w:r/>
          </w:p>
        </w:tc>
      </w:tr>
      <w:tr>
        <w:trPr>
          <w:jc w:val="center"/>
        </w:trPr>
        <w:tc>
          <w:tcPr>
            <w:shd w:val="clear" w:color="auto" w:fill="auto"/>
            <w:tcW w:w="896" w:type="dxa"/>
            <w:textDirection w:val="lrTb"/>
            <w:noWrap w:val="false"/>
          </w:tcPr>
          <w:p>
            <w:pPr>
              <w:jc w:val="center"/>
              <w:spacing w:line="360" w:lineRule="auto"/>
              <w:widowControl/>
              <w:rPr>
                <w:rFonts w:hint="eastAsia"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4</w:t>
            </w:r>
            <w:r/>
          </w:p>
        </w:tc>
        <w:tc>
          <w:tcPr>
            <w:shd w:val="clear" w:color="auto" w:fill="auto"/>
            <w:tcW w:w="3398"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宋体"/>
                <w:i w:val="0"/>
                <w:iCs w:val="0"/>
                <w:color w:val="000000"/>
                <w:sz w:val="20"/>
                <w:szCs w:val="20"/>
                <w:u w:val="none"/>
                <w:lang w:val="en-US" w:eastAsia="zh-CN" w:bidi="ar"/>
              </w:rPr>
              <w:t xml:space="preserve">四光云台</w:t>
            </w:r>
            <w:r/>
          </w:p>
        </w:tc>
        <w:tc>
          <w:tcPr>
            <w:shd w:val="clear" w:color="auto" w:fill="auto"/>
            <w:tcW w:w="901" w:type="dxa"/>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shd w:val="clear" w:color="auto" w:fill="auto"/>
            <w:tcW w:w="1193"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套</w:t>
            </w:r>
            <w:r/>
          </w:p>
        </w:tc>
        <w:tc>
          <w:tcPr>
            <w:shd w:val="clear" w:color="auto" w:fill="auto"/>
            <w:tcW w:w="2117"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工业</w:t>
            </w:r>
            <w:r/>
          </w:p>
        </w:tc>
      </w:tr>
      <w:tr>
        <w:trPr>
          <w:jc w:val="center"/>
        </w:trPr>
        <w:tc>
          <w:tcPr>
            <w:shd w:val="clear" w:color="auto" w:fill="auto"/>
            <w:tcW w:w="896" w:type="dxa"/>
            <w:textDirection w:val="lrTb"/>
            <w:noWrap w:val="false"/>
          </w:tcPr>
          <w:p>
            <w:pPr>
              <w:jc w:val="center"/>
              <w:spacing w:line="360" w:lineRule="auto"/>
              <w:widowControl/>
              <w:rPr>
                <w:rFonts w:hint="default" w:ascii="宋体" w:hAnsi="宋体" w:eastAsia="宋体" w:cs="Helvetica"/>
                <w:sz w:val="24"/>
                <w:szCs w:val="32"/>
                <w:lang w:val="en-US" w:eastAsia="zh-CN"/>
              </w:rPr>
            </w:pPr>
            <w:r/>
            <w:bookmarkStart w:id="9" w:name="_Toc139966432"/>
            <w:r/>
            <w:bookmarkStart w:id="10" w:name="_Toc139967216"/>
            <w:r>
              <w:rPr>
                <w:rFonts w:hint="eastAsia" w:ascii="宋体" w:hAnsi="宋体" w:eastAsia="宋体" w:cs="Helvetica"/>
                <w:sz w:val="24"/>
                <w:szCs w:val="32"/>
                <w:lang w:val="en-US" w:eastAsia="zh-CN"/>
              </w:rPr>
              <w:t xml:space="preserve">5</w:t>
            </w:r>
            <w:r/>
          </w:p>
        </w:tc>
        <w:tc>
          <w:tcPr>
            <w:shd w:val="clear" w:color="auto" w:fill="auto"/>
            <w:tcW w:w="3398" w:type="dxa"/>
            <w:textDirection w:val="lrTb"/>
            <w:noWrap w:val="false"/>
          </w:tcPr>
          <w:p>
            <w:pPr>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喊话器</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shd w:val="clear" w:color="auto" w:fill="auto"/>
            <w:tcW w:w="1193" w:type="dxa"/>
            <w:vAlign w:val="top"/>
            <w:textDirection w:val="lrTb"/>
            <w:noWrap w:val="false"/>
          </w:tcPr>
          <w:p>
            <w:pPr>
              <w:jc w:val="left"/>
              <w:spacing w:line="360" w:lineRule="auto"/>
              <w:widowControl/>
              <w:rPr>
                <w:rFonts w:hint="eastAsia" w:ascii="宋体" w:hAnsi="宋体" w:eastAsia="宋体" w:cs="Helvetica"/>
                <w:sz w:val="21"/>
                <w:szCs w:val="24"/>
                <w:lang w:val="en-US" w:eastAsia="zh-CN" w:bidi="ar-SA"/>
              </w:rPr>
            </w:pPr>
            <w:r>
              <w:rPr>
                <w:rFonts w:hint="eastAsia" w:ascii="宋体" w:hAnsi="宋体" w:eastAsia="宋体" w:cs="Helvetica"/>
                <w:szCs w:val="24"/>
                <w:lang w:val="en-US" w:eastAsia="zh-CN"/>
              </w:rPr>
              <w:t xml:space="preserve">套</w:t>
            </w:r>
            <w:r/>
          </w:p>
        </w:tc>
        <w:tc>
          <w:tcPr>
            <w:shd w:val="clear" w:color="auto" w:fill="auto"/>
            <w:tcW w:w="2117" w:type="dxa"/>
            <w:vAlign w:val="top"/>
            <w:textDirection w:val="lrTb"/>
            <w:noWrap w:val="false"/>
          </w:tcPr>
          <w:p>
            <w:pPr>
              <w:jc w:val="left"/>
              <w:spacing w:line="360" w:lineRule="auto"/>
              <w:widowControl/>
              <w:rPr>
                <w:rFonts w:ascii="宋体" w:hAnsi="宋体" w:eastAsia="宋体" w:cs="Helvetica"/>
                <w:sz w:val="21"/>
                <w:szCs w:val="24"/>
                <w:lang w:val="en-US" w:eastAsia="zh-CN" w:bidi="ar-SA"/>
              </w:rPr>
            </w:pPr>
            <w:r>
              <w:rPr>
                <w:rFonts w:hint="eastAsia" w:ascii="宋体" w:hAnsi="宋体" w:eastAsia="宋体" w:cs="Helvetica"/>
                <w:szCs w:val="24"/>
                <w:lang w:val="en-US" w:eastAsia="zh-CN"/>
              </w:rPr>
              <w:t xml:space="preserve">工业</w:t>
            </w:r>
            <w:r/>
          </w:p>
        </w:tc>
      </w:tr>
      <w:tr>
        <w:trPr>
          <w:jc w:val="center"/>
        </w:trPr>
        <w:tc>
          <w:tcPr>
            <w:shd w:val="clear" w:color="auto" w:fill="auto"/>
            <w:tcW w:w="896" w:type="dxa"/>
            <w:textDirection w:val="lrTb"/>
            <w:noWrap w:val="false"/>
          </w:tcPr>
          <w:p>
            <w:pPr>
              <w:jc w:val="center"/>
              <w:spacing w:line="360" w:lineRule="auto"/>
              <w:widowControl/>
              <w:rPr>
                <w:rFonts w:hint="default"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6</w:t>
            </w:r>
            <w:r/>
          </w:p>
        </w:tc>
        <w:tc>
          <w:tcPr>
            <w:shd w:val="clear" w:color="auto" w:fill="auto"/>
            <w:tcW w:w="3398" w:type="dxa"/>
            <w:textDirection w:val="lrTb"/>
            <w:noWrap w:val="false"/>
          </w:tcPr>
          <w:p>
            <w:pPr>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暖光全彩警戒枪</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shd w:val="clear" w:color="auto" w:fill="auto"/>
            <w:tcW w:w="1193"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个</w:t>
            </w:r>
            <w:r/>
          </w:p>
        </w:tc>
        <w:tc>
          <w:tcPr>
            <w:shd w:val="clear" w:color="auto" w:fill="auto"/>
            <w:tcW w:w="2117"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工业</w:t>
            </w:r>
            <w:r/>
          </w:p>
        </w:tc>
      </w:tr>
      <w:tr>
        <w:trPr>
          <w:jc w:val="center"/>
        </w:trPr>
        <w:tc>
          <w:tcPr>
            <w:shd w:val="clear" w:color="auto" w:fill="auto"/>
            <w:tcW w:w="896" w:type="dxa"/>
            <w:textDirection w:val="lrTb"/>
            <w:noWrap w:val="false"/>
          </w:tcPr>
          <w:p>
            <w:pPr>
              <w:jc w:val="center"/>
              <w:spacing w:line="360" w:lineRule="auto"/>
              <w:widowControl/>
              <w:rPr>
                <w:rFonts w:hint="default"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7</w:t>
            </w:r>
            <w:r/>
          </w:p>
        </w:tc>
        <w:tc>
          <w:tcPr>
            <w:shd w:val="clear" w:color="auto" w:fill="auto"/>
            <w:tcW w:w="3398" w:type="dxa"/>
            <w:textDirection w:val="lrTb"/>
            <w:noWrap w:val="false"/>
          </w:tcPr>
          <w:p>
            <w:pPr>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智能分析服务器</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1</w:t>
            </w:r>
            <w:r/>
          </w:p>
        </w:tc>
        <w:tc>
          <w:tcPr>
            <w:shd w:val="clear" w:color="auto" w:fill="auto"/>
            <w:tcW w:w="1193"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套</w:t>
            </w:r>
            <w:r/>
          </w:p>
        </w:tc>
        <w:tc>
          <w:tcPr>
            <w:shd w:val="clear" w:color="auto" w:fill="auto"/>
            <w:tcW w:w="2117"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工业</w:t>
            </w:r>
            <w:r/>
          </w:p>
        </w:tc>
      </w:tr>
      <w:tr>
        <w:trPr>
          <w:jc w:val="center"/>
        </w:trPr>
        <w:tc>
          <w:tcPr>
            <w:shd w:val="clear" w:color="auto" w:fill="auto"/>
            <w:tcW w:w="896" w:type="dxa"/>
            <w:textDirection w:val="lrTb"/>
            <w:noWrap w:val="false"/>
          </w:tcPr>
          <w:p>
            <w:pPr>
              <w:jc w:val="center"/>
              <w:spacing w:line="360" w:lineRule="auto"/>
              <w:widowControl/>
              <w:rPr>
                <w:rFonts w:hint="default"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8</w:t>
            </w:r>
            <w:r/>
          </w:p>
        </w:tc>
        <w:tc>
          <w:tcPr>
            <w:shd w:val="clear" w:color="auto" w:fill="auto"/>
            <w:tcW w:w="3398" w:type="dxa"/>
            <w:textDirection w:val="lrTb"/>
            <w:noWrap w:val="false"/>
          </w:tcPr>
          <w:p>
            <w:pPr>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无人机平台</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1</w:t>
            </w:r>
            <w:r/>
          </w:p>
        </w:tc>
        <w:tc>
          <w:tcPr>
            <w:shd w:val="clear" w:color="auto" w:fill="auto"/>
            <w:tcW w:w="1193"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套</w:t>
            </w:r>
            <w:r/>
          </w:p>
        </w:tc>
        <w:tc>
          <w:tcPr>
            <w:shd w:val="clear" w:color="auto" w:fill="auto"/>
            <w:tcW w:w="2117"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信息与技术服务</w:t>
            </w:r>
            <w:r/>
          </w:p>
        </w:tc>
      </w:tr>
      <w:tr>
        <w:trPr>
          <w:jc w:val="center"/>
        </w:trPr>
        <w:tc>
          <w:tcPr>
            <w:shd w:val="clear" w:color="auto" w:fill="auto"/>
            <w:tcW w:w="896" w:type="dxa"/>
            <w:textDirection w:val="lrTb"/>
            <w:noWrap w:val="false"/>
          </w:tcPr>
          <w:p>
            <w:pPr>
              <w:jc w:val="center"/>
              <w:spacing w:line="360" w:lineRule="auto"/>
              <w:widowControl/>
              <w:rPr>
                <w:rFonts w:hint="default"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9</w:t>
            </w:r>
            <w:r/>
          </w:p>
        </w:tc>
        <w:tc>
          <w:tcPr>
            <w:shd w:val="clear" w:color="auto" w:fill="auto"/>
            <w:tcW w:w="3398" w:type="dxa"/>
            <w:textDirection w:val="lrTb"/>
            <w:noWrap w:val="false"/>
          </w:tcPr>
          <w:p>
            <w:pPr>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系统对接</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1</w:t>
            </w:r>
            <w:r/>
          </w:p>
        </w:tc>
        <w:tc>
          <w:tcPr>
            <w:shd w:val="clear" w:color="auto" w:fill="auto"/>
            <w:tcW w:w="1193"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项</w:t>
            </w:r>
            <w:r/>
          </w:p>
        </w:tc>
        <w:tc>
          <w:tcPr>
            <w:shd w:val="clear" w:color="auto" w:fill="auto"/>
            <w:tcW w:w="2117"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信息与技术服务</w:t>
            </w:r>
            <w:r/>
          </w:p>
        </w:tc>
      </w:tr>
      <w:tr>
        <w:trPr>
          <w:jc w:val="center"/>
        </w:trPr>
        <w:tc>
          <w:tcPr>
            <w:shd w:val="clear" w:color="auto" w:fill="auto"/>
            <w:tcW w:w="896" w:type="dxa"/>
            <w:textDirection w:val="lrTb"/>
            <w:noWrap w:val="false"/>
          </w:tcPr>
          <w:p>
            <w:pPr>
              <w:jc w:val="center"/>
              <w:spacing w:line="360" w:lineRule="auto"/>
              <w:widowControl/>
              <w:rPr>
                <w:rFonts w:hint="default"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10</w:t>
            </w:r>
            <w:r/>
          </w:p>
        </w:tc>
        <w:tc>
          <w:tcPr>
            <w:shd w:val="clear" w:color="auto" w:fill="auto"/>
            <w:tcW w:w="3398" w:type="dxa"/>
            <w:textDirection w:val="lrTb"/>
            <w:noWrap w:val="false"/>
          </w:tcPr>
          <w:p>
            <w:pPr>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无人机保险（机损险）</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shd w:val="clear" w:color="auto" w:fill="auto"/>
            <w:tcW w:w="1193"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份/3年</w:t>
            </w:r>
            <w:r/>
          </w:p>
        </w:tc>
        <w:tc>
          <w:tcPr>
            <w:shd w:val="clear" w:color="auto" w:fill="auto"/>
            <w:tcW w:w="2117" w:type="dxa"/>
            <w:textDirection w:val="lrTb"/>
            <w:noWrap w:val="false"/>
          </w:tcPr>
          <w:p>
            <w:pPr>
              <w:jc w:val="left"/>
              <w:spacing w:line="360" w:lineRule="auto"/>
              <w:widowControl/>
              <w:rPr>
                <w:rFonts w:ascii="宋体" w:hAnsi="宋体" w:eastAsia="宋体" w:cs="Helvetica"/>
                <w:szCs w:val="24"/>
              </w:rPr>
            </w:pPr>
            <w:r>
              <w:rPr>
                <w:rFonts w:ascii="宋体" w:hAnsi="宋体" w:eastAsia="宋体" w:cs="Helvetica"/>
                <w:szCs w:val="24"/>
              </w:rPr>
            </w:r>
            <w:r/>
          </w:p>
        </w:tc>
      </w:tr>
      <w:tr>
        <w:trPr>
          <w:jc w:val="center"/>
        </w:trPr>
        <w:tc>
          <w:tcPr>
            <w:shd w:val="clear" w:color="auto" w:fill="auto"/>
            <w:tcW w:w="896" w:type="dxa"/>
            <w:textDirection w:val="lrTb"/>
            <w:noWrap w:val="false"/>
          </w:tcPr>
          <w:p>
            <w:pPr>
              <w:jc w:val="center"/>
              <w:spacing w:line="360" w:lineRule="auto"/>
              <w:widowControl/>
              <w:rPr>
                <w:rFonts w:hint="default"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11</w:t>
            </w:r>
            <w:r/>
          </w:p>
        </w:tc>
        <w:tc>
          <w:tcPr>
            <w:shd w:val="clear" w:color="auto" w:fill="auto"/>
            <w:tcW w:w="3398" w:type="dxa"/>
            <w:textDirection w:val="lrTb"/>
            <w:noWrap w:val="false"/>
          </w:tcPr>
          <w:p>
            <w:pPr>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无人机技术服务*50万三责险-TP</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shd w:val="clear" w:color="auto" w:fill="auto"/>
            <w:tcW w:w="1193" w:type="dxa"/>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份/3年</w:t>
            </w:r>
            <w:r/>
          </w:p>
        </w:tc>
        <w:tc>
          <w:tcPr>
            <w:shd w:val="clear" w:color="auto" w:fill="auto"/>
            <w:tcW w:w="2117" w:type="dxa"/>
            <w:textDirection w:val="lrTb"/>
            <w:noWrap w:val="false"/>
          </w:tcPr>
          <w:p>
            <w:pPr>
              <w:jc w:val="left"/>
              <w:spacing w:line="360" w:lineRule="auto"/>
              <w:widowControl/>
              <w:rPr>
                <w:rFonts w:ascii="宋体" w:hAnsi="宋体" w:eastAsia="宋体" w:cs="Helvetica"/>
                <w:szCs w:val="24"/>
              </w:rPr>
            </w:pPr>
            <w:r>
              <w:rPr>
                <w:rFonts w:ascii="宋体" w:hAnsi="宋体" w:eastAsia="宋体" w:cs="Helvetica"/>
                <w:szCs w:val="24"/>
              </w:rPr>
            </w:r>
            <w:r/>
          </w:p>
        </w:tc>
      </w:tr>
      <w:tr>
        <w:trPr>
          <w:jc w:val="center"/>
        </w:trPr>
        <w:tc>
          <w:tcPr>
            <w:shd w:val="clear" w:color="auto" w:fill="auto"/>
            <w:tcW w:w="896" w:type="dxa"/>
            <w:textDirection w:val="lrTb"/>
            <w:noWrap w:val="false"/>
          </w:tcPr>
          <w:p>
            <w:pPr>
              <w:jc w:val="center"/>
              <w:spacing w:line="360" w:lineRule="auto"/>
              <w:widowControl/>
              <w:rPr>
                <w:rFonts w:hint="default"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12</w:t>
            </w:r>
            <w:r/>
          </w:p>
        </w:tc>
        <w:tc>
          <w:tcPr>
            <w:shd w:val="clear" w:color="auto" w:fill="auto"/>
            <w:tcW w:w="3398" w:type="dxa"/>
            <w:textDirection w:val="lrTb"/>
            <w:noWrap w:val="false"/>
          </w:tcPr>
          <w:p>
            <w:pPr>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视距外驾驶员培训</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1</w:t>
            </w:r>
            <w:r/>
          </w:p>
        </w:tc>
        <w:tc>
          <w:tcPr>
            <w:shd w:val="clear" w:color="auto" w:fill="auto"/>
            <w:tcW w:w="1193"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人</w:t>
            </w:r>
            <w:r/>
          </w:p>
        </w:tc>
        <w:tc>
          <w:tcPr>
            <w:shd w:val="clear" w:color="auto" w:fill="auto"/>
            <w:tcW w:w="2117" w:type="dxa"/>
            <w:textDirection w:val="lrTb"/>
            <w:noWrap w:val="false"/>
          </w:tcPr>
          <w:p>
            <w:pPr>
              <w:jc w:val="left"/>
              <w:spacing w:line="360" w:lineRule="auto"/>
              <w:widowControl/>
              <w:rPr>
                <w:rFonts w:ascii="宋体" w:hAnsi="宋体" w:eastAsia="宋体" w:cs="Helvetica"/>
                <w:szCs w:val="24"/>
              </w:rPr>
            </w:pPr>
            <w:r>
              <w:rPr>
                <w:rFonts w:ascii="宋体" w:hAnsi="宋体" w:eastAsia="宋体" w:cs="Helvetica"/>
                <w:szCs w:val="24"/>
              </w:rPr>
            </w:r>
            <w:r/>
          </w:p>
        </w:tc>
      </w:tr>
      <w:tr>
        <w:trPr>
          <w:jc w:val="center"/>
        </w:trPr>
        <w:tc>
          <w:tcPr>
            <w:shd w:val="clear" w:color="auto" w:fill="auto"/>
            <w:tcW w:w="896" w:type="dxa"/>
            <w:textDirection w:val="lrTb"/>
            <w:noWrap w:val="false"/>
          </w:tcPr>
          <w:p>
            <w:pPr>
              <w:jc w:val="center"/>
              <w:spacing w:line="360" w:lineRule="auto"/>
              <w:widowControl/>
              <w:rPr>
                <w:rFonts w:hint="default"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13</w:t>
            </w:r>
            <w:r/>
          </w:p>
        </w:tc>
        <w:tc>
          <w:tcPr>
            <w:shd w:val="clear" w:color="auto" w:fill="auto"/>
            <w:tcW w:w="3398" w:type="dxa"/>
            <w:textDirection w:val="lrTb"/>
            <w:noWrap w:val="false"/>
          </w:tcPr>
          <w:p>
            <w:pPr>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数据专线</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shd w:val="clear" w:color="auto" w:fill="auto"/>
            <w:tcW w:w="1193" w:type="dxa"/>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宋体"/>
                <w:i w:val="0"/>
                <w:iCs w:val="0"/>
                <w:color w:val="000000"/>
                <w:sz w:val="20"/>
                <w:szCs w:val="20"/>
                <w:u w:val="none"/>
                <w:lang w:val="en-US" w:eastAsia="zh-CN" w:bidi="ar"/>
              </w:rPr>
              <w:t xml:space="preserve">条/3年</w:t>
            </w:r>
            <w:r/>
          </w:p>
        </w:tc>
        <w:tc>
          <w:tcPr>
            <w:shd w:val="clear" w:color="auto" w:fill="auto"/>
            <w:tcW w:w="2117" w:type="dxa"/>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r>
            <w:r/>
          </w:p>
        </w:tc>
      </w:tr>
      <w:tr>
        <w:trPr>
          <w:jc w:val="center"/>
        </w:trPr>
        <w:tc>
          <w:tcPr>
            <w:shd w:val="clear" w:color="auto" w:fill="auto"/>
            <w:tcW w:w="896" w:type="dxa"/>
            <w:textDirection w:val="lrTb"/>
            <w:noWrap w:val="false"/>
          </w:tcPr>
          <w:p>
            <w:pPr>
              <w:jc w:val="center"/>
              <w:spacing w:line="360" w:lineRule="auto"/>
              <w:widowControl/>
              <w:rPr>
                <w:rFonts w:hint="default"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14</w:t>
            </w:r>
            <w:r/>
          </w:p>
        </w:tc>
        <w:tc>
          <w:tcPr>
            <w:shd w:val="clear" w:color="auto" w:fill="auto"/>
            <w:tcW w:w="3398" w:type="dxa"/>
            <w:textDirection w:val="lrTb"/>
            <w:noWrap w:val="false"/>
          </w:tcPr>
          <w:p>
            <w:pPr>
              <w:jc w:val="left"/>
              <w:spacing w:line="360" w:lineRule="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无人机机库安装</w:t>
            </w:r>
            <w:r/>
          </w:p>
        </w:tc>
        <w:tc>
          <w:tcPr>
            <w:shd w:val="clear" w:color="auto" w:fill="auto"/>
            <w:tcW w:w="901"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4</w:t>
            </w:r>
            <w:r/>
          </w:p>
        </w:tc>
        <w:tc>
          <w:tcPr>
            <w:shd w:val="clear" w:color="auto" w:fill="auto"/>
            <w:tcW w:w="1193"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Helvetica"/>
                <w:szCs w:val="24"/>
                <w:lang w:val="en-US" w:eastAsia="zh-CN"/>
              </w:rPr>
              <w:t xml:space="preserve">项</w:t>
            </w:r>
            <w:r/>
          </w:p>
        </w:tc>
        <w:tc>
          <w:tcPr>
            <w:shd w:val="clear" w:color="auto" w:fill="auto"/>
            <w:tcW w:w="2117" w:type="dxa"/>
            <w:textDirection w:val="lrTb"/>
            <w:noWrap w:val="false"/>
          </w:tcPr>
          <w:p>
            <w:pPr>
              <w:jc w:val="left"/>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r>
            <w:r/>
          </w:p>
        </w:tc>
      </w:tr>
    </w:tbl>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核心产品：机库、无人机。</w:t>
      </w:r>
      <w:r/>
    </w:p>
    <w:p>
      <w:pPr>
        <w:numPr>
          <w:ilvl w:val="0"/>
          <w:numId w:val="6"/>
        </w:num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货物（标的）技术参数及功能指标</w:t>
      </w:r>
      <w:r/>
    </w:p>
    <w:p>
      <w:pPr>
        <w:numPr>
          <w:ilvl w:val="0"/>
          <w:numId w:val="0"/>
        </w:numPr>
        <w:jc w:val="left"/>
        <w:spacing w:line="360" w:lineRule="auto"/>
        <w:rPr>
          <w:rFonts w:hint="default" w:ascii="Times New Roman" w:hAnsi="Times New Roman" w:eastAsia="宋体" w:cs="Times New Roman"/>
          <w:b/>
          <w:sz w:val="28"/>
          <w:szCs w:val="28"/>
          <w:lang w:val="en-US" w:eastAsia="zh-CN"/>
        </w:rPr>
      </w:pPr>
      <w:r>
        <w:rPr>
          <w:rFonts w:hint="eastAsia" w:ascii="Times New Roman" w:hAnsi="Times New Roman" w:eastAsia="宋体" w:cs="Times New Roman"/>
          <w:b/>
          <w:bCs w:val="0"/>
          <w:sz w:val="24"/>
          <w:szCs w:val="24"/>
          <w:lang w:val="en-US" w:eastAsia="zh-CN"/>
        </w:rPr>
        <w:t xml:space="preserve">3.1 </w:t>
      </w:r>
      <w:r>
        <w:rPr>
          <w:rFonts w:hint="eastAsia" w:ascii="Times New Roman" w:hAnsi="Times New Roman" w:eastAsia="宋体" w:cs="Times New Roman"/>
          <w:b/>
          <w:bCs w:val="0"/>
          <w:sz w:val="24"/>
          <w:szCs w:val="24"/>
        </w:rPr>
        <w:t xml:space="preserve">货物（标的）技术参数及功能指标</w:t>
      </w:r>
      <w:r/>
    </w:p>
    <w:p>
      <w:pPr>
        <w:jc w:val="left"/>
        <w:pageBreakBefore w:val="0"/>
        <w:spacing w:line="360" w:lineRule="auto"/>
        <w:widowControl w:val="off"/>
        <w:rPr>
          <w:color w:val="auto"/>
        </w:rPr>
      </w:pPr>
      <w:r>
        <w:rPr>
          <w:rFonts w:hint="eastAsia" w:ascii="宋体" w:hAnsi="宋体" w:eastAsia="宋体" w:cs="宋体"/>
          <w:b/>
          <w:bCs/>
          <w:color w:val="auto"/>
          <w:sz w:val="21"/>
          <w:szCs w:val="21"/>
          <w:highlight w:val="none"/>
          <w:lang w:eastAsia="zh-CN"/>
        </w:rPr>
        <w:t xml:space="preserve">注：以下技术参数中“</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”项参数响应情况按要求提供证明材，非“</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”项参数响应情况：在技术偏离表中作出是否偏离，按实填写。</w:t>
      </w:r>
      <w:r/>
    </w:p>
    <w:tbl>
      <w:tblPr>
        <w:tblStyle w:val="86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5"/>
        <w:gridCol w:w="967"/>
        <w:gridCol w:w="7023"/>
      </w:tblGrid>
      <w:tr>
        <w:trPr>
          <w:jc w:val="center"/>
        </w:trPr>
        <w:tc>
          <w:tcPr>
            <w:shd w:val="clear" w:color="auto" w:fill="auto"/>
            <w:tcW w:w="51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W w:w="96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货物（标的）名称</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技术参数及功能指标</w:t>
            </w:r>
            <w:r/>
          </w:p>
        </w:tc>
      </w:tr>
      <w:tr>
        <w:trPr>
          <w:jc w:val="center"/>
        </w:trPr>
        <w:tc>
          <w:tcPr>
            <w:shd w:val="clear" w:color="auto" w:fill="auto"/>
            <w:tcW w:w="515" w:type="dxa"/>
            <w:vAlign w:val="top"/>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rPr>
              <w:t xml:space="preserve">1</w:t>
            </w:r>
            <w:r/>
          </w:p>
        </w:tc>
        <w:tc>
          <w:tcPr>
            <w:shd w:val="clear" w:color="auto" w:fill="auto"/>
            <w:tcW w:w="967" w:type="dxa"/>
            <w:vAlign w:val="center"/>
            <w:textDirection w:val="lrTb"/>
            <w:noWrap w:val="false"/>
          </w:tcPr>
          <w:p>
            <w:pPr>
              <w:jc w:val="center"/>
              <w:spacing w:line="360" w:lineRule="auto"/>
              <w:widowControl/>
              <w:rPr>
                <w:rFonts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机库</w:t>
            </w:r>
            <w:r/>
          </w:p>
        </w:tc>
        <w:tc>
          <w:tcPr>
            <w:shd w:val="clear" w:color="auto" w:fill="auto"/>
            <w:tcW w:w="7023"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无人机机库闭合状态下尺寸≤800mm×1100mm×1430mm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2、无人机机库展开状态下尺寸≤1900mm×1100mm×840mm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3、无人机机库总重量≤180kg；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图传与控制距离：≥8km（空旷无干扰最远距离）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无人机机库防护等级≥IP54</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检验设备飞行器电池电量从10%充至90%，无人机电池充电时间≤25min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检验设备应具备风速、雨量、温度、湿度、气压感知功能；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▲检验设备应具备链路中断返航、断点续飞、自动备降功能，无人机降落失败时可自动备降到预设地点并告警功能。（提供第三方检测机构出具的具有CMA或CNAS标识的检测报告复印件并加盖投标人公章）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机库自带监控设备，可见光分辨率≥1920X1080P</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无人机机库外部供电中断时，UPS维持机库稳定运行时间≥30min；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机库设备工作温度应满足-30℃至+50°℃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机库设备供电电压应符合100~240VAC，47~63Hz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无人机水平降落精度≤±0.1m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▲机库支持舱外显示屏，尺寸应≥21.5寸  （提供第三方检测机构出具的具有CMA或CNAS标识的检测报告复印件并加盖投标人公章）                                       </w:t>
            </w:r>
            <w:r/>
          </w:p>
          <w:p>
            <w:pPr>
              <w:numPr>
                <w:ilvl w:val="0"/>
                <w:numId w:val="0"/>
              </w:numPr>
              <w:jc w:val="left"/>
              <w:keepLines w:val="0"/>
              <w:keepNext w:val="0"/>
              <w:widowControl/>
              <w:rPr>
                <w:rFonts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▲支持单北斗功能（提供第三方检测机构出具的检测报告复印件并加盖投标人公章）</w:t>
            </w:r>
            <w:r/>
          </w:p>
        </w:tc>
      </w:tr>
      <w:tr>
        <w:trPr>
          <w:jc w:val="center"/>
        </w:trPr>
        <w:tc>
          <w:tcPr>
            <w:shd w:val="clear" w:color="auto" w:fill="auto"/>
            <w:tcW w:w="515" w:type="dxa"/>
            <w:vAlign w:val="top"/>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rPr>
              <w:t xml:space="preserve">2</w:t>
            </w:r>
            <w:r/>
          </w:p>
        </w:tc>
        <w:tc>
          <w:tcPr>
            <w:shd w:val="clear" w:color="auto" w:fill="auto"/>
            <w:tcW w:w="967" w:type="dxa"/>
            <w:vAlign w:val="center"/>
            <w:textDirection w:val="lrTb"/>
            <w:noWrap w:val="false"/>
          </w:tcPr>
          <w:p>
            <w:pPr>
              <w:jc w:val="center"/>
              <w:spacing w:line="360" w:lineRule="auto"/>
              <w:widowControl/>
              <w:rPr>
                <w:rFonts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无人机</w:t>
            </w:r>
            <w:r/>
          </w:p>
        </w:tc>
        <w:tc>
          <w:tcPr>
            <w:shd w:val="clear" w:color="auto" w:fill="auto"/>
            <w:tcW w:w="7023" w:type="dxa"/>
            <w:vAlign w:val="center"/>
            <w:textDirection w:val="lrTb"/>
            <w:noWrap w:val="false"/>
          </w:tcPr>
          <w:p>
            <w:pPr>
              <w:jc w:val="left"/>
              <w:keepLines w:val="0"/>
              <w:keepNext w:val="0"/>
              <w:widowControl/>
              <w:rPr>
                <w:rFonts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设备应是四旋翼无人机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对称电机轴距应≤1000mm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无人机最大起飞重量应≥10kg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▲无人机最大负载重量≥3kg（提供第三方检测机构出具的具有CMA或CNAS标识的检测报告复印件并加盖投标人公章）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在标准飞行工况下，最大飞行续航时间应≥55min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▲无人机起降和飞行抗风能力应能达到7级。（提供第三方检测机构出具的具有CMA或CNAS标识的检测报告复印件并加盖投标人公章）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无人机应支持全向视觉感知和TOF避障系统，TOF避障距离0.5m~10m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无人机应支持前视FPV，分辨率不小于1080P</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无人机防护等级应为≥IP55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无人机最大起飞海拔高度≥5000m;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▲多旋翼无人机平均无故障时间应≥50h（提供第三方检测机构出具的具有CMA或CNAS标识的检测报告复印件并加盖投标人公章）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设备应具备RTK定位功能、失控保护功能、低电量保护功能、航线飞行功能、自主起降功能、禁飞区设置功能、电子围栏功能、航向锁定功能、返航点、锁定功能、热点环绕功能、断桨保护、辅助定高功能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无人机最大水平飞行速度≥25m/s；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设备应支持无GPS精准返航，飞行高度500m内，返航点水平误差应≤30cm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设备应最大支持下置双云台+上置单云台，三云台挂载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▲设备应支持电池热插拔，当飞行器降落需要更换电池时可不关闭飞行器电源。（提供第三方检测机构出具的具有CMA或CNAS标识的检测报告复印件并加盖投标人公章）</w:t>
            </w:r>
            <w:r/>
          </w:p>
        </w:tc>
      </w:tr>
      <w:tr>
        <w:trPr>
          <w:jc w:val="center"/>
        </w:trPr>
        <w:tc>
          <w:tcPr>
            <w:shd w:val="clear" w:color="auto" w:fill="auto"/>
            <w:tcW w:w="515" w:type="dxa"/>
            <w:vAlign w:val="top"/>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rPr>
              <w:t xml:space="preserve">3</w:t>
            </w:r>
            <w:r/>
          </w:p>
        </w:tc>
        <w:tc>
          <w:tcPr>
            <w:shd w:val="clear" w:color="auto" w:fill="auto"/>
            <w:tcW w:w="967" w:type="dxa"/>
            <w:vAlign w:val="center"/>
            <w:textDirection w:val="lrTb"/>
            <w:noWrap w:val="false"/>
          </w:tcPr>
          <w:p>
            <w:pPr>
              <w:jc w:val="center"/>
              <w:spacing w:line="360" w:lineRule="auto"/>
              <w:widowControl/>
              <w:rPr>
                <w:rFonts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电池</w:t>
            </w:r>
            <w:r/>
          </w:p>
        </w:tc>
        <w:tc>
          <w:tcPr>
            <w:shd w:val="clear" w:color="auto" w:fill="auto"/>
            <w:tcW w:w="7023" w:type="dxa"/>
            <w:vAlign w:val="center"/>
            <w:textDirection w:val="lrTb"/>
            <w:noWrap w:val="false"/>
          </w:tcPr>
          <w:p>
            <w:pPr>
              <w:jc w:val="left"/>
              <w:keepLines w:val="0"/>
              <w:keepNext w:val="0"/>
              <w:widowControl/>
              <w:rPr>
                <w:rFonts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电池容量≥8000mAh</w:t>
            </w:r>
            <w:r/>
          </w:p>
        </w:tc>
      </w:tr>
      <w:tr>
        <w:trPr>
          <w:jc w:val="center"/>
        </w:trPr>
        <w:tc>
          <w:tcPr>
            <w:shd w:val="clear" w:color="auto" w:fill="auto"/>
            <w:tcW w:w="515" w:type="dxa"/>
            <w:vAlign w:val="top"/>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4</w:t>
            </w:r>
            <w:r/>
          </w:p>
        </w:tc>
        <w:tc>
          <w:tcPr>
            <w:shd w:val="clear" w:color="auto" w:fill="auto"/>
            <w:tcW w:w="967" w:type="dxa"/>
            <w:vAlign w:val="center"/>
            <w:textDirection w:val="lrTb"/>
            <w:noWrap w:val="false"/>
          </w:tcPr>
          <w:p>
            <w:pPr>
              <w:jc w:val="center"/>
              <w:spacing w:line="360" w:lineRule="auto"/>
              <w:widowControl/>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四光</w:t>
            </w:r>
            <w:r/>
          </w:p>
          <w:p>
            <w:pPr>
              <w:jc w:val="center"/>
              <w:spacing w:line="360" w:lineRule="auto"/>
              <w:widowControl/>
              <w:rPr>
                <w:rFonts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云台</w:t>
            </w:r>
            <w:r/>
          </w:p>
        </w:tc>
        <w:tc>
          <w:tcPr>
            <w:shd w:val="clear" w:color="auto" w:fill="auto"/>
            <w:tcW w:w="7023" w:type="dxa"/>
            <w:vAlign w:val="center"/>
            <w:textDirection w:val="lrTb"/>
            <w:noWrap w:val="false"/>
          </w:tcPr>
          <w:p>
            <w:pPr>
              <w:jc w:val="left"/>
              <w:keepLines w:val="0"/>
              <w:keepNext w:val="0"/>
              <w:widowControl/>
              <w:rPr>
                <w:rFonts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整机重量：≤800g；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长焦相机传感器≥1/2 " CMOS，有效像素≥4800 万，光学变焦≥25倍；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广角可见光相机传感器1/1.32 " CMOS，有效像素≥4800万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红外热成像分辨率：≥640×512；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测温方式应支持中心测温/指点测温/矩形框测温</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检验设备应支持低温模式：-20°C~+150°C(默认)，高温模式：0°C~+550°C</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激光测距仪测量范围≥1500m，测量精度＜400m 精度≤1米；&gt;400m距离，精度≤ ±0.4%</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长焦相机录像分辨率不小于7680*4320，最大图像分辨率应≥8000*6000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广角相机录像分辨率不小于3840*2160，最大图像分辨率应≥8000*6000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检验设备应符合工作温度为-20℃至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▲前智能算力：设备应支持前智能边缘计算能力功能，算力≥10.8T （提供第三方检测机构出具的具有CMA或CNAS标识的检测报告复印件并加盖投标人公章）                                                                  ▲前智能算法：设备应具备人脸比对、车牌识别、人车目标跟踪、烟火检测4种前智能算法（提供第三方检测机构出具的具有CMA或CNAS标识的检测报告复印件并加盖投标人公章）</w:t>
            </w:r>
            <w:r/>
          </w:p>
        </w:tc>
      </w:tr>
      <w:tr>
        <w:trPr>
          <w:jc w:val="center"/>
        </w:trPr>
        <w:tc>
          <w:tcPr>
            <w:shd w:val="clear" w:color="auto" w:fill="auto"/>
            <w:tcW w:w="515" w:type="dxa"/>
            <w:vAlign w:val="top"/>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5</w:t>
            </w:r>
            <w:r/>
          </w:p>
        </w:tc>
        <w:tc>
          <w:tcPr>
            <w:shd w:val="clear" w:color="auto" w:fill="auto"/>
            <w:tcW w:w="967" w:type="dxa"/>
            <w:vAlign w:val="center"/>
            <w:textDirection w:val="lrTb"/>
            <w:noWrap w:val="false"/>
          </w:tcPr>
          <w:p>
            <w:pPr>
              <w:jc w:val="center"/>
              <w:spacing w:line="360" w:lineRule="auto"/>
              <w:widowControl/>
              <w:rPr>
                <w:rFonts w:hint="eastAsia"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喊话器</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喊话器重量应≤600g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喊话器声压应≥130dB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▲喊话器有效广播距离应≥550米（提供第三方检测机构出具的具有CMA或CNAS标识的检测报告复印件并加盖投标人公章）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喊话器云台角度应可以通过遥控设备进行俯仰调节，调节角度范围不小于0~90°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喊话器应符合实时喊话，录音上传，音频文件播放，背景音乐(自动闪避),文字转语音(支持多方言);音频格式应支持MP3、wav、m4a、flac、aac。（提供第三方检测机构出具的具有CMA或CNAS标识的检测报告复印件并加盖投标人公章）</w:t>
            </w:r>
            <w:r/>
          </w:p>
        </w:tc>
      </w:tr>
      <w:tr>
        <w:trPr>
          <w:jc w:val="center"/>
        </w:trPr>
        <w:tc>
          <w:tcPr>
            <w:shd w:val="clear" w:color="auto" w:fill="auto"/>
            <w:tcW w:w="515" w:type="dxa"/>
            <w:vAlign w:val="top"/>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6</w:t>
            </w:r>
            <w:r/>
          </w:p>
        </w:tc>
        <w:tc>
          <w:tcPr>
            <w:shd w:val="clear" w:color="auto" w:fill="auto"/>
            <w:tcW w:w="967" w:type="dxa"/>
            <w:vAlign w:val="center"/>
            <w:textDirection w:val="lrTb"/>
            <w:noWrap w:val="false"/>
          </w:tcPr>
          <w:p>
            <w:pPr>
              <w:jc w:val="center"/>
              <w:spacing w:line="360" w:lineRule="auto"/>
              <w:widowControl/>
              <w:rPr>
                <w:rFonts w:hint="eastAsia"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暖光全彩警戒枪</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采用≥800万像素1/1.8英寸CMOS图像传感器，分辨率≥3840×2160，镜头光圈F1.0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镜头焦距3.6mm/6mm 可选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支持H.265编码，压缩比高，实现超低码流传输</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内置高效暖光补光灯，最大夜视距离≥40米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支持超感光技术，超低亮度的环境下，图像清晰度及图像效果好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支持复眼补光技术，减少光污染，补光均匀性好，提升夜晚补光通透性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支持星光级超低照度，彩色:≤0.0002lx，黑白:≤0.0001lx</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▲补光灯采用多层透镜结构,补光灯开启后,无明显波纹状、圆环状、麻点状、条纹状及不规则亮斑（提供第三方检测机构出具的具有CMA或CNAS标识的检测报告复印件并加盖投标人公章）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支持绊线入侵，区域入侵，快速移动，物品遗留，物品搬移，徘徊检测，人员聚集，停车检测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支持声光报警联动，当报警产生时，可触发联动声音警报和灯光闪烁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支持一键撤防，可在自定义设置的时间段内对报警输出，邮件，音频，灯光等事件联动项进行统一撤防控制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支持人员、机动车、非机动车区分检验,具备智能分析抗干扰功能,当小狗、树叶等非人或车辆目标经过检测区域时,不会触发报警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支持定时语音播报功能，最大可支持添加10个不同语音文件，可设置时间优先、次数优先，播放间隔可设置并单独配置播放时间计划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内置语音播放,不同智能行为分析可设置联动不同的声音;播放次数可设置为1~10次;白光可设置常亮与闪烁模式,闪烁频率、时长、周期可设（提供第三方检测机构出具的具有CMA或CNAS标识的检测报告复印件并加盖投标人公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▲支持镜头前盖玻璃呈倾斜状,侧视图中镜头前盖玻璃与垂面之间存在夹角,可改变沿镜头光轴方向入射光束的反射光方向（提供第三方检测机构出具的具有CMA或CNAS标识的检测报告复印件并加盖投标人公章）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支持报警输入接口≥2路，报警输出接口≥2路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支持音频输入接口≥1路，音频输出接口≥1路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支持1TB Micro SD卡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内置双麦克风和扬声器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▲设备可同时采用电源适配器与POE供电,当一路电源停止供电后,设备可正常工作（提供第三方检测机构出具的具有CMA或CNAS标识的检测报告复印件并加盖投标人公章）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支持DC12V/PoE供电方式，支持电源热备份，支持12V电源返送，最大电流165mA</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支持IP67防护等级</w:t>
            </w:r>
            <w:r/>
          </w:p>
        </w:tc>
      </w:tr>
      <w:tr>
        <w:trPr>
          <w:jc w:val="center"/>
        </w:trPr>
        <w:tc>
          <w:tcPr>
            <w:shd w:val="clear" w:color="auto" w:fill="auto"/>
            <w:tcW w:w="515" w:type="dxa"/>
            <w:vAlign w:val="top"/>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7</w:t>
            </w:r>
            <w:r/>
          </w:p>
        </w:tc>
        <w:tc>
          <w:tcPr>
            <w:shd w:val="clear" w:color="auto" w:fill="auto"/>
            <w:tcW w:w="967" w:type="dxa"/>
            <w:vAlign w:val="center"/>
            <w:textDirection w:val="lrTb"/>
            <w:noWrap w:val="false"/>
          </w:tcPr>
          <w:p>
            <w:pPr>
              <w:jc w:val="center"/>
              <w:spacing w:line="360" w:lineRule="auto"/>
              <w:widowControl/>
              <w:rPr>
                <w:rFonts w:hint="eastAsia"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智能分析服务器</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1. 支持网卡IP配置；支持TCP/HTTP(S)/RTSP/UDP端口配置；支持最大连接数配置；支持DNS配置；支持国标服务配置；各个网卡路由配置。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主处理器：2颗 Kunpeng 920 3210 CPU，24核/24线程，≥2.6GHz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操作系统: openEuler-22.03-LTS-aarch64</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供电方式: 100–240VAC，50/60Hz，10–5.5A</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功耗: ≤900W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产品尺寸:≤87.0mm×483.0mm×839.3mm（高×宽×深）</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算法模型需具备：火焰报警、烟雾报警、违建报警、垃圾检测报警、人体报警、车辆识别、非机动车报警、船只报警、工程车检测、应急车道占用、施工监测、人员闯入、拥堵检测、低速行驶检测、超速行驶检测、异常停车、流动摊贩检测、漂浮物检测、枯木及松材线虫检测、农作物识别检测、变化类检测</w:t>
            </w:r>
            <w:r/>
          </w:p>
        </w:tc>
      </w:tr>
      <w:tr>
        <w:trPr>
          <w:jc w:val="center"/>
        </w:trPr>
        <w:tc>
          <w:tcPr>
            <w:shd w:val="clear" w:color="auto" w:fill="auto"/>
            <w:tcW w:w="515" w:type="dxa"/>
            <w:vAlign w:val="top"/>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8</w:t>
            </w:r>
            <w:r/>
          </w:p>
        </w:tc>
        <w:tc>
          <w:tcPr>
            <w:shd w:val="clear" w:color="auto" w:fill="auto"/>
            <w:tcW w:w="967" w:type="dxa"/>
            <w:vAlign w:val="center"/>
            <w:textDirection w:val="lrTb"/>
            <w:noWrap w:val="false"/>
          </w:tcPr>
          <w:p>
            <w:pPr>
              <w:jc w:val="center"/>
              <w:spacing w:line="360" w:lineRule="auto"/>
              <w:widowControl/>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无人机</w:t>
            </w:r>
            <w:r/>
          </w:p>
          <w:p>
            <w:pPr>
              <w:jc w:val="center"/>
              <w:spacing w:line="360" w:lineRule="auto"/>
              <w:widowControl/>
              <w:rPr>
                <w:rFonts w:hint="eastAsia"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平台</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1.支持多种通用协议的接入方式，可通过IP，Onvif，主动注册，国标GB28181协议等方式接入平台。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2.系统支持多旋翼无人机接入，机库接入，可接入大疆、道通、普宙、华飞等主流无人机厂商设备，具备兼容第三方设备的能力。</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3.系统支持公有云，公安网，专网等系统网络下私有化部署。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4.系统应支持手动规划航点航线，支持预览、修正、删除已经规划的航点航线。并支持自定义多个航点根据用户需求任意设置飞行航线。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5.系统应支持配置航点航线的各项参数，包括：飞行速度、飞行高度、任务完成后执行动作、无信号时是否退出任务等。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6.系统应支持查看无人机设备实时飞行的详细信息，包括：飞行轨迹、实时视频、飞手信息、设备信息、组织信息、起飞时间、图传信号、遥控电量、飞机电量、电池温度、海拔高度、经度、维度等参数。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7.系统应支持远程调节无人机设备所搭载的云台的航向角、俯仰角以及镜头缩放，以达到更好的监控效果。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8.系统应支持同时监控多架无人机设备搭载的相机视频图像，视频播放过程中实时截图。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9.系统应支持航线检索功能，方便用户快速定位到已经规划的航线。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10.系统应支持查看过往单次飞行的详细信息，信息包括：起飞、降落、飞行轨迹（同时支持二维地图和三维地图）、飞行时拍摄的视频图像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11.系统应支持对飞行历史记录配置标签和备注，并提供检索功能，便于快速定位、查看每一条过往的飞行记录。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12.系统应支持展示设备名称、设备编号、设备状态、保险信息等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13.系统应支持展示分组信息、人员名称、联系方式等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14.系统应支持为用户授权，支持添加下级组织，为下级组织指定管理员，可以管理下级组织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15.系统须支持高德，天地图，百度等多种地图，并支持街区地图和卫星地图模式展示。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16.系统应支持电子地图2D模式和3D模式切换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17.系统应支持电子地图服务可提供、空域、路网、禁飞区等图层。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18.系统应支持用户接收系统展示提醒消息，包括：设备保险到期提醒、飞行成果处理结果提醒。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19.系统应支持任务发布，任务命名，任务执行时效性，并且和航线预设绑定。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20.AR全景低空融合：高空监测地空联动一图总览，预警联动，高空指挥语音喊话等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21.应支持平台远程控制喊话，支持文本转语音、支持导入音频文件等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22.通过算法模型识别到报警，无人机可自动执行飞行任务，自动喊话，喊话内容需根据识别报警类型自动调整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 支持VR云境在全景图上叠加标识、视频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24.支持事件管理网格化部署设备，可看到所属网格中发生的上报事件，逐级复核管理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25.APP：报警事件可同步上报APP中，可看到事件类型、报警图片、实时视频、处理事件流程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26.系统须支持≥4套机库接入</w:t>
            </w:r>
            <w:r/>
          </w:p>
        </w:tc>
      </w:tr>
      <w:tr>
        <w:trPr>
          <w:jc w:val="center"/>
        </w:trPr>
        <w:tc>
          <w:tcPr>
            <w:shd w:val="clear" w:color="auto" w:fill="auto"/>
            <w:tcW w:w="515" w:type="dxa"/>
            <w:vAlign w:val="top"/>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9</w:t>
            </w:r>
            <w:r/>
          </w:p>
        </w:tc>
        <w:tc>
          <w:tcPr>
            <w:shd w:val="clear" w:color="auto" w:fill="auto"/>
            <w:tcW w:w="967" w:type="dxa"/>
            <w:vAlign w:val="center"/>
            <w:textDirection w:val="lrTb"/>
            <w:noWrap w:val="false"/>
          </w:tcPr>
          <w:p>
            <w:pPr>
              <w:jc w:val="center"/>
              <w:spacing w:line="360" w:lineRule="auto"/>
              <w:widowControl/>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系统</w:t>
            </w:r>
            <w:r/>
          </w:p>
          <w:p>
            <w:pPr>
              <w:jc w:val="center"/>
              <w:spacing w:line="360" w:lineRule="auto"/>
              <w:widowControl/>
              <w:rPr>
                <w:rFonts w:hint="eastAsia"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对接</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系统在识别到船舶违规停泊、人员违规下海、烟火等情况时，通过API 接口实时向智慧渔港平台推送预警信息，同步附带事件位置、现场图片及视频片段。</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平台根据预警信息自动生成处置工单，完整记录事件时间、地理坐标、现场影像资料、预警类型等要素。</w:t>
            </w:r>
            <w:r/>
          </w:p>
          <w:p>
            <w:pPr>
              <w:jc w:val="left"/>
              <w:keepLines w:val="0"/>
              <w:keepNext w:val="0"/>
              <w:widowControl/>
              <w:rPr>
                <w:rFonts w:hint="eastAsia"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由渔港管理人员在平台端进行人工复核确认，复核通过后可按需派遣执法力量开展现场处置，形成智能识别、自动预警、工单闭环的全流程管理。</w:t>
            </w:r>
            <w:r/>
          </w:p>
        </w:tc>
      </w:tr>
      <w:tr>
        <w:trPr>
          <w:jc w:val="center"/>
        </w:trPr>
        <w:tc>
          <w:tcPr>
            <w:shd w:val="clear" w:color="auto" w:fill="auto"/>
            <w:tcW w:w="515" w:type="dxa"/>
            <w:vAlign w:val="top"/>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10</w:t>
            </w:r>
            <w:r/>
          </w:p>
        </w:tc>
        <w:tc>
          <w:tcPr>
            <w:shd w:val="clear" w:color="auto" w:fill="auto"/>
            <w:tcW w:w="967" w:type="dxa"/>
            <w:vAlign w:val="center"/>
            <w:textDirection w:val="lrTb"/>
            <w:noWrap w:val="false"/>
          </w:tcPr>
          <w:p>
            <w:pPr>
              <w:jc w:val="center"/>
              <w:spacing w:line="360" w:lineRule="auto"/>
              <w:widowControl/>
              <w:rPr>
                <w:rFonts w:hint="eastAsia"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无人机保险（机损险）</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意外损失或毁坏，包括被保险飞机失踪，具体以保单为准；</w:t>
            </w:r>
            <w:r/>
          </w:p>
        </w:tc>
      </w:tr>
      <w:tr>
        <w:trPr>
          <w:jc w:val="center"/>
        </w:trPr>
        <w:tc>
          <w:tcPr>
            <w:shd w:val="clear" w:color="auto" w:fill="auto"/>
            <w:tcW w:w="515" w:type="dxa"/>
            <w:vAlign w:val="top"/>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11</w:t>
            </w:r>
            <w:r/>
          </w:p>
        </w:tc>
        <w:tc>
          <w:tcPr>
            <w:shd w:val="clear" w:color="auto" w:fill="auto"/>
            <w:tcW w:w="967" w:type="dxa"/>
            <w:vAlign w:val="center"/>
            <w:textDirection w:val="lrTb"/>
            <w:noWrap w:val="false"/>
          </w:tcPr>
          <w:p>
            <w:pPr>
              <w:jc w:val="center"/>
              <w:spacing w:line="360" w:lineRule="auto"/>
              <w:widowControl/>
              <w:rPr>
                <w:rFonts w:hint="eastAsia"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无人机技术服务及50万第三者责任险</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总保额50万/年/架，具体以保单为准；</w:t>
            </w:r>
            <w:r/>
          </w:p>
        </w:tc>
      </w:tr>
      <w:tr>
        <w:trPr>
          <w:jc w:val="center"/>
        </w:trPr>
        <w:tc>
          <w:tcPr>
            <w:shd w:val="clear" w:color="auto" w:fill="auto"/>
            <w:tcW w:w="515" w:type="dxa"/>
            <w:vAlign w:val="top"/>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12</w:t>
            </w:r>
            <w:r/>
          </w:p>
        </w:tc>
        <w:tc>
          <w:tcPr>
            <w:shd w:val="clear" w:color="auto" w:fill="auto"/>
            <w:tcW w:w="967" w:type="dxa"/>
            <w:vAlign w:val="top"/>
            <w:textDirection w:val="lrTb"/>
            <w:noWrap w:val="false"/>
          </w:tcPr>
          <w:p>
            <w:pPr>
              <w:jc w:val="left"/>
              <w:spacing w:line="360" w:lineRule="auto"/>
              <w:widowControl/>
              <w:rPr>
                <w:rFonts w:hint="eastAsia"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视距外驾驶员培训</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视距外机长认证培训，培训时长：20~30天，不含食宿及来往交通费；</w:t>
            </w:r>
            <w:r/>
          </w:p>
        </w:tc>
      </w:tr>
      <w:tr>
        <w:trPr>
          <w:jc w:val="center"/>
        </w:trPr>
        <w:tc>
          <w:tcPr>
            <w:shd w:val="clear" w:color="auto" w:fill="auto"/>
            <w:tcW w:w="515" w:type="dxa"/>
            <w:vAlign w:val="top"/>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13</w:t>
            </w:r>
            <w:r/>
          </w:p>
        </w:tc>
        <w:tc>
          <w:tcPr>
            <w:shd w:val="clear" w:color="auto" w:fill="auto"/>
            <w:tcW w:w="967" w:type="dxa"/>
            <w:vAlign w:val="top"/>
            <w:textDirection w:val="lrTb"/>
            <w:noWrap w:val="false"/>
          </w:tcPr>
          <w:p>
            <w:pPr>
              <w:jc w:val="left"/>
              <w:spacing w:line="360" w:lineRule="auto"/>
              <w:widowControl/>
              <w:rPr>
                <w:rFonts w:hint="eastAsia" w:ascii="宋体" w:hAnsi="宋体" w:eastAsia="宋体" w:cs="Helvetica"/>
                <w:color w:val="auto"/>
                <w:szCs w:val="24"/>
              </w:rPr>
            </w:pPr>
            <w:r>
              <w:rPr>
                <w:rFonts w:hint="eastAsia" w:ascii="宋体" w:hAnsi="宋体" w:eastAsia="宋体" w:cs="宋体"/>
                <w:i w:val="0"/>
                <w:iCs w:val="0"/>
                <w:color w:val="auto"/>
                <w:sz w:val="20"/>
                <w:szCs w:val="20"/>
                <w:u w:val="none"/>
                <w:lang w:val="en-US" w:eastAsia="zh-CN" w:bidi="ar"/>
              </w:rPr>
              <w:t xml:space="preserve">数据专线</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无人机数据传输专线（100MB带宽）</w:t>
            </w:r>
            <w:r/>
          </w:p>
        </w:tc>
      </w:tr>
      <w:tr>
        <w:trPr>
          <w:jc w:val="center"/>
        </w:trPr>
        <w:tc>
          <w:tcPr>
            <w:shd w:val="clear" w:color="auto" w:fill="auto"/>
            <w:tcW w:w="515" w:type="dxa"/>
            <w:vAlign w:val="top"/>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val="en-US" w:eastAsia="zh-CN"/>
              </w:rPr>
              <w:t xml:space="preserve">14</w:t>
            </w:r>
            <w:r/>
          </w:p>
        </w:tc>
        <w:tc>
          <w:tcPr>
            <w:shd w:val="clear" w:color="auto" w:fill="auto"/>
            <w:tcW w:w="967" w:type="dxa"/>
            <w:vAlign w:val="top"/>
            <w:textDirection w:val="lrTb"/>
            <w:noWrap w:val="false"/>
          </w:tcPr>
          <w:p>
            <w:pPr>
              <w:jc w:val="left"/>
              <w:spacing w:line="360" w:lineRule="auto"/>
              <w:widowControl/>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无人机机库安装</w:t>
            </w:r>
            <w:r/>
          </w:p>
        </w:tc>
        <w:tc>
          <w:tcPr>
            <w:shd w:val="clear" w:color="auto" w:fill="auto"/>
            <w:tcW w:w="7023" w:type="dxa"/>
            <w:vAlign w:val="center"/>
            <w:textDirection w:val="lrTb"/>
            <w:noWrap w:val="false"/>
          </w:tcPr>
          <w:p>
            <w:pPr>
              <w:jc w:val="left"/>
              <w:keepLines w:val="0"/>
              <w:keepNext w:val="0"/>
              <w:widowControl/>
              <w:rPr>
                <w:rFonts w:hint="eastAsia" w:ascii="宋体" w:hAnsi="宋体" w:eastAsia="宋体" w:cs="Helvetica"/>
                <w:color w:val="auto"/>
                <w:szCs w:val="24"/>
              </w:rPr>
              <w:suppressLineNumbers w:val="0"/>
            </w:pPr>
            <w:r>
              <w:rPr>
                <w:rFonts w:hint="eastAsia" w:ascii="宋体" w:hAnsi="宋体" w:eastAsia="宋体" w:cs="宋体"/>
                <w:i w:val="0"/>
                <w:iCs w:val="0"/>
                <w:color w:val="auto"/>
                <w:sz w:val="20"/>
                <w:szCs w:val="20"/>
                <w:u w:val="none"/>
                <w:lang w:val="en-US" w:eastAsia="zh-CN" w:bidi="ar"/>
              </w:rPr>
              <w:t xml:space="preserve">无人机库安装、施工，及配套的辅材</w:t>
            </w:r>
            <w:r/>
          </w:p>
        </w:tc>
      </w:tr>
    </w:tbl>
    <w:p>
      <w:pPr>
        <w:jc w:val="left"/>
        <w:spacing w:line="360" w:lineRule="auto"/>
        <w:rPr>
          <w:rFonts w:hint="eastAsia" w:ascii="Times New Roman" w:hAnsi="Times New Roman" w:eastAsia="宋体" w:cs="Times New Roman"/>
          <w:b/>
          <w:sz w:val="28"/>
          <w:szCs w:val="28"/>
          <w:highlight w:val="none"/>
          <w:lang w:val="en-US" w:eastAsia="zh-CN"/>
        </w:rPr>
      </w:pPr>
      <w:r>
        <w:rPr>
          <w:rFonts w:hint="eastAsia" w:ascii="Times New Roman" w:hAnsi="Times New Roman" w:eastAsia="宋体" w:cs="Times New Roman"/>
          <w:b/>
          <w:sz w:val="28"/>
          <w:szCs w:val="28"/>
          <w:highlight w:val="none"/>
          <w:lang w:val="en-US" w:eastAsia="zh-CN"/>
        </w:rPr>
        <w:t xml:space="preserve">注：供应商使用同一品牌产品投标的规则说明</w:t>
      </w:r>
      <w:r/>
    </w:p>
    <w:p>
      <w:pPr>
        <w:ind w:firstLine="482"/>
        <w:jc w:val="left"/>
        <w:spacing w:line="360" w:lineRule="auto"/>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备注：</w:t>
      </w:r>
      <w:r/>
    </w:p>
    <w:p>
      <w:pPr>
        <w:ind w:firstLine="480"/>
        <w:jc w:val="left"/>
        <w:spacing w:line="360" w:lineRule="auto"/>
        <w:rPr>
          <w:rFonts w:hint="eastAsia" w:ascii="Times New Roman" w:hAnsi="Times New Roman" w:eastAsia="宋体" w:cs="Times New Roman"/>
          <w:b/>
          <w:color w:val="auto"/>
          <w:sz w:val="28"/>
          <w:szCs w:val="28"/>
          <w:highlight w:val="yellow"/>
          <w:lang w:val="en-US" w:eastAsia="zh-CN"/>
        </w:rPr>
      </w:pPr>
      <w:r>
        <w:rPr>
          <w:rFonts w:hint="eastAsia" w:ascii="宋体" w:hAnsi="宋体" w:eastAsia="宋体" w:cs="Times New Roman"/>
          <w:color w:val="auto"/>
          <w:sz w:val="24"/>
          <w:szCs w:val="24"/>
          <w:lang w:val="en-US" w:eastAsia="zh-CN" w:bidi="ar-SA"/>
        </w:rPr>
        <w:t xml:space="preserve">本项目机库、无人机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numPr>
          <w:ilvl w:val="0"/>
          <w:numId w:val="0"/>
        </w:numPr>
        <w:jc w:val="left"/>
        <w:spacing w:line="360" w:lineRule="auto"/>
        <w:rPr>
          <w:rFonts w:hint="eastAsia" w:ascii="Times New Roman" w:hAnsi="Times New Roman" w:eastAsia="宋体" w:cs="Times New Roman"/>
          <w:b/>
          <w:bCs w:val="0"/>
          <w:sz w:val="24"/>
          <w:szCs w:val="24"/>
          <w:lang w:val="en-US" w:eastAsia="zh-CN"/>
        </w:rPr>
      </w:pPr>
      <w:r>
        <w:rPr>
          <w:rFonts w:hint="eastAsia" w:ascii="Times New Roman" w:hAnsi="Times New Roman" w:eastAsia="宋体" w:cs="Times New Roman"/>
          <w:b/>
          <w:bCs w:val="0"/>
          <w:sz w:val="24"/>
          <w:szCs w:val="24"/>
          <w:lang w:val="en-US" w:eastAsia="zh-CN"/>
        </w:rPr>
        <w:t xml:space="preserve">3.2 无人机库点位明细表</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1528"/>
        <w:gridCol w:w="5972"/>
      </w:tblGrid>
      <w:tr>
        <w:trPr/>
        <w:tc>
          <w:tcPr>
            <w:tcW w:w="940" w:type="dxa"/>
            <w:textDirection w:val="lrTb"/>
            <w:noWrap w:val="false"/>
          </w:tcPr>
          <w:p>
            <w:pPr>
              <w:numPr>
                <w:ilvl w:val="0"/>
                <w:numId w:val="0"/>
              </w:numPr>
              <w:jc w:val="left"/>
              <w:spacing w:line="360" w:lineRule="auto"/>
              <w:rPr>
                <w:rFonts w:hint="default" w:ascii="Times New Roman" w:hAnsi="Times New Roman" w:eastAsia="宋体" w:cs="Times New Roman"/>
                <w:b/>
                <w:bCs w:val="0"/>
                <w:sz w:val="24"/>
                <w:szCs w:val="24"/>
                <w:vertAlign w:val="baseline"/>
                <w:lang w:val="en-US" w:eastAsia="zh-CN"/>
              </w:rPr>
            </w:pPr>
            <w:r>
              <w:rPr>
                <w:rFonts w:hint="eastAsia" w:ascii="Times New Roman" w:hAnsi="Times New Roman" w:eastAsia="宋体" w:cs="Times New Roman"/>
                <w:b/>
                <w:bCs w:val="0"/>
                <w:sz w:val="24"/>
                <w:szCs w:val="24"/>
                <w:vertAlign w:val="baseline"/>
                <w:lang w:val="en-US" w:eastAsia="zh-CN"/>
              </w:rPr>
              <w:t xml:space="preserve">序号</w:t>
            </w:r>
            <w:r/>
          </w:p>
        </w:tc>
        <w:tc>
          <w:tcPr>
            <w:tcW w:w="1528" w:type="dxa"/>
            <w:textDirection w:val="lrTb"/>
            <w:noWrap w:val="false"/>
          </w:tcPr>
          <w:p>
            <w:pPr>
              <w:numPr>
                <w:ilvl w:val="0"/>
                <w:numId w:val="0"/>
              </w:numPr>
              <w:jc w:val="left"/>
              <w:spacing w:line="360" w:lineRule="auto"/>
              <w:rPr>
                <w:rFonts w:hint="default" w:ascii="Times New Roman" w:hAnsi="Times New Roman" w:eastAsia="宋体" w:cs="Times New Roman"/>
                <w:b/>
                <w:bCs w:val="0"/>
                <w:sz w:val="24"/>
                <w:szCs w:val="24"/>
                <w:vertAlign w:val="baseline"/>
                <w:lang w:val="en-US" w:eastAsia="zh-CN"/>
              </w:rPr>
            </w:pPr>
            <w:r>
              <w:rPr>
                <w:rFonts w:hint="eastAsia" w:ascii="Times New Roman" w:hAnsi="Times New Roman" w:eastAsia="宋体" w:cs="Times New Roman"/>
                <w:b/>
                <w:bCs w:val="0"/>
                <w:sz w:val="24"/>
                <w:szCs w:val="24"/>
                <w:vertAlign w:val="baseline"/>
                <w:lang w:val="en-US" w:eastAsia="zh-CN"/>
              </w:rPr>
              <w:t xml:space="preserve">点位</w:t>
            </w:r>
            <w:r/>
          </w:p>
        </w:tc>
        <w:tc>
          <w:tcPr>
            <w:tcW w:w="5972" w:type="dxa"/>
            <w:textDirection w:val="lrTb"/>
            <w:noWrap w:val="false"/>
          </w:tcPr>
          <w:p>
            <w:pPr>
              <w:numPr>
                <w:ilvl w:val="0"/>
                <w:numId w:val="0"/>
              </w:numPr>
              <w:jc w:val="left"/>
              <w:spacing w:line="360" w:lineRule="auto"/>
              <w:rPr>
                <w:rFonts w:hint="default" w:ascii="Times New Roman" w:hAnsi="Times New Roman" w:eastAsia="宋体" w:cs="Times New Roman"/>
                <w:b/>
                <w:bCs w:val="0"/>
                <w:sz w:val="24"/>
                <w:szCs w:val="24"/>
                <w:vertAlign w:val="baseline"/>
                <w:lang w:val="en-US" w:eastAsia="zh-CN"/>
              </w:rPr>
            </w:pPr>
            <w:r>
              <w:rPr>
                <w:rFonts w:hint="eastAsia" w:ascii="Times New Roman" w:hAnsi="Times New Roman" w:eastAsia="宋体" w:cs="Times New Roman"/>
                <w:b/>
                <w:bCs w:val="0"/>
                <w:sz w:val="24"/>
                <w:szCs w:val="24"/>
                <w:vertAlign w:val="baseline"/>
                <w:lang w:val="en-US" w:eastAsia="zh-CN"/>
              </w:rPr>
              <w:t xml:space="preserve">地址</w:t>
            </w:r>
            <w:r/>
          </w:p>
        </w:tc>
      </w:tr>
      <w:tr>
        <w:trPr/>
        <w:tc>
          <w:tcPr>
            <w:tcW w:w="940"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1</w:t>
            </w:r>
            <w:r/>
          </w:p>
        </w:tc>
        <w:tc>
          <w:tcPr>
            <w:tcW w:w="1528"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点位1</w:t>
            </w:r>
            <w:r/>
          </w:p>
        </w:tc>
        <w:tc>
          <w:tcPr>
            <w:tcW w:w="5972"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default" w:ascii="Times New Roman" w:hAnsi="Times New Roman" w:eastAsia="宋体" w:cs="Times New Roman"/>
                <w:b w:val="0"/>
                <w:bCs/>
                <w:sz w:val="24"/>
                <w:szCs w:val="24"/>
                <w:vertAlign w:val="baseline"/>
                <w:lang w:val="en-US" w:eastAsia="zh-CN"/>
              </w:rPr>
              <w:t xml:space="preserve">三洋港挡潮闸管理所</w:t>
            </w:r>
            <w:r/>
          </w:p>
        </w:tc>
      </w:tr>
      <w:tr>
        <w:trPr/>
        <w:tc>
          <w:tcPr>
            <w:tcW w:w="940"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2</w:t>
            </w:r>
            <w:r/>
          </w:p>
        </w:tc>
        <w:tc>
          <w:tcPr>
            <w:tcW w:w="1528"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点位2</w:t>
            </w:r>
            <w:r/>
          </w:p>
        </w:tc>
        <w:tc>
          <w:tcPr>
            <w:tcW w:w="5972"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连云区人民政府</w:t>
            </w:r>
            <w:r/>
          </w:p>
        </w:tc>
      </w:tr>
      <w:tr>
        <w:trPr/>
        <w:tc>
          <w:tcPr>
            <w:tcW w:w="940"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3</w:t>
            </w:r>
            <w:r/>
          </w:p>
        </w:tc>
        <w:tc>
          <w:tcPr>
            <w:tcW w:w="1528"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点位3</w:t>
            </w:r>
            <w:r/>
          </w:p>
        </w:tc>
        <w:tc>
          <w:tcPr>
            <w:tcW w:w="5972"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连岛</w:t>
            </w:r>
            <w:r/>
          </w:p>
        </w:tc>
      </w:tr>
      <w:tr>
        <w:trPr/>
        <w:tc>
          <w:tcPr>
            <w:tcW w:w="940"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4</w:t>
            </w:r>
            <w:r/>
          </w:p>
        </w:tc>
        <w:tc>
          <w:tcPr>
            <w:tcW w:w="1528"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点位4</w:t>
            </w:r>
            <w:r/>
          </w:p>
        </w:tc>
        <w:tc>
          <w:tcPr>
            <w:tcW w:w="5972" w:type="dxa"/>
            <w:textDirection w:val="lrTb"/>
            <w:noWrap w:val="false"/>
          </w:tcPr>
          <w:p>
            <w:pPr>
              <w:numPr>
                <w:ilvl w:val="0"/>
                <w:numId w:val="0"/>
              </w:numPr>
              <w:jc w:val="left"/>
              <w:spacing w:line="360" w:lineRule="auto"/>
              <w:rPr>
                <w:rFonts w:hint="default" w:ascii="Times New Roman" w:hAnsi="Times New Roman" w:eastAsia="宋体" w:cs="Times New Roman"/>
                <w:b w:val="0"/>
                <w:bCs/>
                <w:sz w:val="24"/>
                <w:szCs w:val="24"/>
                <w:vertAlign w:val="baseline"/>
                <w:lang w:val="en-US" w:eastAsia="zh-CN"/>
              </w:rPr>
            </w:pPr>
            <w:r>
              <w:rPr>
                <w:rFonts w:hint="eastAsia" w:ascii="Times New Roman" w:hAnsi="Times New Roman" w:eastAsia="宋体" w:cs="Times New Roman"/>
                <w:b w:val="0"/>
                <w:bCs/>
                <w:sz w:val="24"/>
                <w:szCs w:val="24"/>
                <w:vertAlign w:val="baseline"/>
                <w:lang w:val="en-US" w:eastAsia="zh-CN"/>
              </w:rPr>
              <w:t xml:space="preserve">高公岛</w:t>
            </w:r>
            <w:r/>
          </w:p>
        </w:tc>
      </w:tr>
    </w:tbl>
    <w:p>
      <w:pPr>
        <w:numPr>
          <w:ilvl w:val="0"/>
          <w:numId w:val="0"/>
        </w:numPr>
        <w:jc w:val="left"/>
        <w:spacing w:line="360" w:lineRule="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备注：</w:t>
      </w:r>
      <w:r/>
    </w:p>
    <w:p>
      <w:pPr>
        <w:numPr>
          <w:ilvl w:val="0"/>
          <w:numId w:val="0"/>
        </w:numPr>
        <w:jc w:val="left"/>
        <w:spacing w:line="360" w:lineRule="auto"/>
        <w:rPr>
          <w:rFonts w:ascii="Times New Roman" w:hAnsi="Times New Roman" w:eastAsia="宋体" w:cs="Times New Roman"/>
          <w:b w:val="0"/>
          <w:bCs/>
          <w:sz w:val="28"/>
          <w:szCs w:val="28"/>
        </w:rPr>
      </w:pPr>
      <w:r>
        <w:rPr>
          <w:rFonts w:hint="eastAsia" w:ascii="Times New Roman" w:hAnsi="Times New Roman" w:eastAsia="宋体" w:cs="Times New Roman"/>
          <w:b w:val="0"/>
          <w:bCs/>
          <w:sz w:val="24"/>
          <w:szCs w:val="24"/>
          <w:lang w:val="en-US" w:eastAsia="zh-CN"/>
        </w:rPr>
        <w:t xml:space="preserve">无人机库建设点位尚未最终确定，具体安装位置由采购人根据现场实际情况、监管需求及规划条件另行指定。投标人在报价时应综合考虑点位调整、现场勘查、基础施工、辅材耗材、运输吊装、协调配合等所有相关费用，后期不因安装位置变化而调整合同价款。</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四、辅材、配件（如有）</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所需辅材及配件不逐一列明，均包含在本次采购范围内。投标人应根据项目需求、现场实际及行业规范，自行测算、配齐所有必需的辅材、配件及安装材料，相关费用综合计入投标报价，采购人不再另行支付任何费用。</w:t>
      </w:r>
      <w:r/>
    </w:p>
    <w:p>
      <w:pPr>
        <w:ind w:firstLine="562"/>
        <w:jc w:val="left"/>
        <w:spacing w:line="360" w:lineRule="auto"/>
        <w:rPr>
          <w:rFonts w:ascii="宋体" w:hAnsi="宋体" w:eastAsia="宋体" w:cs="Times New Roman"/>
          <w:sz w:val="24"/>
          <w:szCs w:val="24"/>
        </w:rPr>
      </w:pPr>
      <w:r>
        <w:rPr>
          <w:rFonts w:ascii="Times New Roman" w:hAnsi="Times New Roman" w:eastAsia="宋体" w:cs="Times New Roman"/>
          <w:b/>
          <w:sz w:val="28"/>
          <w:szCs w:val="28"/>
        </w:rPr>
        <w:t xml:space="preserve">五、供货要求</w:t>
      </w:r>
      <w:r/>
    </w:p>
    <w:p>
      <w:pPr>
        <w:ind w:firstLine="480"/>
        <w:jc w:val="left"/>
        <w:spacing w:line="360" w:lineRule="auto"/>
        <w:rPr>
          <w:rFonts w:hint="eastAsia" w:ascii="宋体" w:hAnsi="宋体" w:eastAsia="宋体" w:cs="Times New Roman"/>
          <w:i/>
          <w:iCs/>
          <w:sz w:val="24"/>
          <w:szCs w:val="24"/>
          <w:highlight w:val="none"/>
          <w:u w:val="none"/>
        </w:rPr>
      </w:pPr>
      <w:r>
        <w:rPr>
          <w:rFonts w:hint="eastAsia" w:ascii="宋体" w:hAnsi="宋体" w:eastAsia="宋体" w:cs="Times New Roman"/>
          <w:sz w:val="24"/>
          <w:szCs w:val="24"/>
          <w:highlight w:val="none"/>
        </w:rPr>
        <w:t xml:space="preserve">1.交货期：</w:t>
      </w:r>
      <w:r>
        <w:rPr>
          <w:rFonts w:hint="eastAsia"/>
          <w:i/>
          <w:iCs/>
          <w:sz w:val="24"/>
          <w:highlight w:val="none"/>
          <w:u w:val="single"/>
        </w:rPr>
        <w:t xml:space="preserve">签订合同后</w:t>
      </w:r>
      <w:r>
        <w:rPr>
          <w:rFonts w:hint="eastAsia" w:ascii="Times New Roman" w:eastAsia="宋体"/>
          <w:i/>
          <w:iCs/>
          <w:sz w:val="24"/>
          <w:highlight w:val="none"/>
          <w:u w:val="single"/>
          <w:lang w:val="en-US" w:eastAsia="zh-CN"/>
        </w:rPr>
        <w:t xml:space="preserve">9</w:t>
      </w:r>
      <w:r>
        <w:rPr>
          <w:rFonts w:hint="eastAsia"/>
          <w:i/>
          <w:iCs/>
          <w:sz w:val="24"/>
          <w:highlight w:val="none"/>
          <w:u w:val="single"/>
        </w:rPr>
        <w:t xml:space="preserve">0日内完成</w:t>
      </w:r>
      <w:r>
        <w:rPr>
          <w:rFonts w:hint="eastAsia" w:ascii="Times New Roman" w:eastAsia="宋体"/>
          <w:i/>
          <w:iCs/>
          <w:sz w:val="24"/>
          <w:highlight w:val="none"/>
          <w:u w:val="single"/>
          <w:lang w:val="en-US" w:eastAsia="zh-CN"/>
        </w:rPr>
        <w:t xml:space="preserve">设备采购、安装及与智慧渔港系统的对接工作</w:t>
      </w:r>
      <w:r>
        <w:rPr>
          <w:rFonts w:hint="eastAsia"/>
          <w:i/>
          <w:iCs/>
          <w:sz w:val="24"/>
          <w:highlight w:val="none"/>
          <w:u w:val="singl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2.交货方式：</w:t>
      </w:r>
      <w:r>
        <w:rPr>
          <w:rFonts w:hint="eastAsia" w:ascii="宋体" w:hAnsi="宋体" w:eastAsia="宋体" w:cs="Times New Roman"/>
          <w:sz w:val="24"/>
          <w:szCs w:val="24"/>
          <w:highlight w:val="none"/>
          <w:lang w:val="en-US" w:eastAsia="zh-CN"/>
        </w:rPr>
        <w:t xml:space="preserve">现场交货</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w:t>
      </w:r>
      <w:r>
        <w:rPr>
          <w:rFonts w:hint="eastAsia" w:ascii="宋体" w:hAnsi="宋体" w:eastAsia="宋体" w:cs="Times New Roman"/>
          <w:sz w:val="24"/>
          <w:szCs w:val="24"/>
          <w:highlight w:val="none"/>
          <w:lang w:val="en-US" w:eastAsia="zh-CN"/>
        </w:rPr>
        <w:t xml:space="preserve">连云港市连云区</w:t>
      </w:r>
      <w:r>
        <w:rPr>
          <w:rFonts w:hint="eastAsia" w:ascii="宋体" w:hAnsi="宋体" w:eastAsia="宋体" w:cs="Times New Roman"/>
          <w:sz w:val="24"/>
          <w:szCs w:val="24"/>
          <w:highlight w:val="none"/>
        </w:rPr>
        <w:t xml:space="preserve">。</w:t>
      </w:r>
      <w:r/>
    </w:p>
    <w:p>
      <w:pPr>
        <w:ind w:firstLine="562"/>
        <w:jc w:val="left"/>
        <w:spacing w:line="360" w:lineRule="auto"/>
        <w:rPr>
          <w:rFonts w:hint="eastAsia" w:ascii="仿宋_GB2312" w:hAnsi="Calibri" w:eastAsia="宋体" w:cs="Times New Roman"/>
          <w:b/>
          <w:sz w:val="28"/>
          <w:szCs w:val="28"/>
          <w:lang w:val="en-US" w:eastAsia="zh-CN" w:bidi="ar-SA"/>
        </w:rPr>
      </w:pPr>
      <w:r>
        <w:rPr>
          <w:rFonts w:ascii="Times New Roman" w:hAnsi="Times New Roman" w:eastAsia="宋体" w:cs="Times New Roman"/>
          <w:b/>
          <w:sz w:val="28"/>
          <w:szCs w:val="28"/>
        </w:rPr>
        <w:t xml:space="preserve">六、安装调试要</w:t>
      </w:r>
      <w:r>
        <w:rPr>
          <w:rFonts w:hint="eastAsia" w:ascii="Times New Roman" w:hAnsi="Times New Roman" w:eastAsia="宋体" w:cs="Times New Roman"/>
          <w:b/>
          <w:sz w:val="28"/>
          <w:szCs w:val="28"/>
          <w:lang w:val="en-US" w:eastAsia="zh-CN"/>
        </w:rPr>
        <w:t xml:space="preserve">求</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.所有安装施工材料质量必须严格按照国家规范的有关要求执行。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.设备在安装时，应根据生产厂家所提供的产品安装说明书施工，安装辅材必须采用优质产品。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应对安装施工质量全面负责，文明、安全施工，如</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原因造成质量事故、</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承担一切经济法律责任。中标单位在实施过程中，严格按照国家规范、施工图设计施工，加强安全管理工作，确保安全文明施工，所有该工程的安全文明施工措施费用均含在总报价中。</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.在安装施工期间，</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应无条件的遵守施工现场的各项规章制度。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.在安装施工期间，</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应无条件的接受采购方的质量监督，提出的质量问题要及时整改，整改完毕后通知采购方检查验收，合格后书面报送采购方备案。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必须按照工程设计和技术标准施工，不得擅自修改工程设计，不得偷工减料。</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必须建立健全质量检查制度，严格工序管理，隐蔽工程在隐蔽前应通知采购方检查验收；本着谁施工谁负责产品保护，谁破坏产品谁负责赔偿的原则，</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必须采取切实有效的产品保护措施，并编制相应的产品保护方案报采购单位批准同意后组织实施。</w:t>
      </w:r>
      <w:r/>
    </w:p>
    <w:p>
      <w:pPr>
        <w:ind w:firstLine="420"/>
        <w:spacing w:line="360" w:lineRule="auto"/>
        <w:rPr>
          <w:rFonts w:ascii="Times New Roman" w:hAnsi="Times New Roman" w:eastAsia="宋体" w:cs="Times New Roman"/>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必须负责安装过程中对采购单位原有装修的破坏进行修复，恢复原状，该费用包含于总投标报价中。</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、人员配备要求</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投标人应组建一支结构合理、专业齐全、经验丰富的项目团队，以确保项目高质量、高效率地实施。团队核心成员应至少包括：</w:t>
      </w:r>
      <w:r/>
    </w:p>
    <w:p>
      <w:pPr>
        <w:numPr>
          <w:ilvl w:val="0"/>
          <w:numId w:val="8"/>
        </w:numPr>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具备丰富项目管理经验和 PMP（项目管理专业人士）或同等资质认证的项目经理，负责项目整体规划、进度控制与资源协调；</w:t>
      </w:r>
      <w:r/>
    </w:p>
    <w:p>
      <w:pPr>
        <w:numPr>
          <w:ilvl w:val="0"/>
          <w:numId w:val="8"/>
        </w:numPr>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具备深厚技术功底和系统架构设计经验的技术负责人，负责技术方案制定、核心技术攻关与技术团队管理</w:t>
      </w:r>
      <w:r>
        <w:rPr>
          <w:rFonts w:hint="eastAsia" w:ascii="宋体" w:hAnsi="宋体" w:eastAsia="宋体" w:cs="Times New Roman"/>
          <w:sz w:val="24"/>
          <w:szCs w:val="24"/>
          <w:lang w:val="en-US" w:eastAsia="zh-CN"/>
        </w:rPr>
        <w:t xml:space="preserve"> ; </w:t>
      </w:r>
      <w:r/>
    </w:p>
    <w:p>
      <w:pPr>
        <w:numPr>
          <w:ilvl w:val="0"/>
          <w:numId w:val="8"/>
        </w:num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涵盖软件开发、系统测试、网络安全、运维支持等专业领域的工程师，确保项目各环节的专业执行。团队成员应具备良好的沟通协作能力、问题解决能力和强烈的责任心，能够紧密配合，共同完成项目目标。</w:t>
      </w:r>
      <w:r/>
    </w:p>
    <w:p>
      <w:pPr>
        <w:ind w:firstLine="482"/>
        <w:jc w:val="left"/>
        <w:spacing w:line="360" w:lineRule="auto"/>
        <w:rPr>
          <w:rFonts w:ascii="宋体" w:hAnsi="宋体" w:eastAsia="宋体" w:cs="Times New Roman"/>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sz w:val="24"/>
          <w:szCs w:val="24"/>
        </w:rPr>
        <w:t xml:space="preserve">投标人拟投入本项目的项目经理须具备信息系统项目管理师、ITSS IT 服务工程师、售后服务管理师证书之一；技术负责人须具备系统架构设计师、高级软件工程师、注册信息安全专业人员（CISP）证书之一；其他项目团队成员须具备软件设计师、电子信息类高级工程师职称、网络规划设计师、ITSS IT 服务工程师证书之一。所有人员均须提供有效证书扫描件（加盖单位公章）及单位为其缴纳的近 6 个月内至少 1 个月的社保缴纳证明材料。</w:t>
      </w:r>
      <w:r/>
    </w:p>
    <w:p>
      <w:pPr>
        <w:ind w:firstLine="562"/>
        <w:jc w:val="left"/>
        <w:spacing w:line="360" w:lineRule="auto"/>
        <w:rPr>
          <w:rFonts w:ascii="宋体" w:hAnsi="宋体" w:eastAsia="宋体" w:cs="Times New Roman"/>
          <w:sz w:val="24"/>
          <w:szCs w:val="24"/>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、履约验收要求</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建设期完成，</w:t>
      </w:r>
      <w:r>
        <w:rPr>
          <w:rFonts w:hint="eastAsia" w:ascii="宋体" w:hAnsi="宋体" w:eastAsia="宋体" w:cs="宋体"/>
          <w:sz w:val="24"/>
          <w:szCs w:val="24"/>
        </w:rPr>
        <w:t xml:space="preserve">采购人</w:t>
      </w:r>
      <w:r>
        <w:rPr>
          <w:rFonts w:ascii="宋体" w:hAnsi="宋体" w:eastAsia="宋体" w:cs="宋体"/>
          <w:sz w:val="24"/>
          <w:szCs w:val="24"/>
        </w:rPr>
        <w:t xml:space="preserve">对</w:t>
      </w:r>
      <w:r>
        <w:rPr>
          <w:rFonts w:hint="eastAsia" w:ascii="宋体" w:hAnsi="宋体" w:eastAsia="宋体" w:cs="宋体"/>
          <w:sz w:val="24"/>
          <w:szCs w:val="24"/>
        </w:rPr>
        <w:t xml:space="preserve">中标人</w:t>
      </w:r>
      <w:r>
        <w:rPr>
          <w:rFonts w:ascii="宋体" w:hAnsi="宋体" w:eastAsia="宋体" w:cs="宋体"/>
          <w:sz w:val="24"/>
          <w:szCs w:val="24"/>
        </w:rPr>
        <w:t xml:space="preserve">提交的产品或服务依据招标文件上的项目需求要求、</w:t>
      </w:r>
      <w:r>
        <w:rPr>
          <w:rFonts w:hint="eastAsia" w:ascii="宋体" w:hAnsi="宋体" w:eastAsia="宋体" w:cs="宋体"/>
          <w:sz w:val="24"/>
          <w:szCs w:val="24"/>
        </w:rPr>
        <w:t xml:space="preserve">中标人</w:t>
      </w:r>
      <w:r>
        <w:rPr>
          <w:rFonts w:ascii="宋体" w:hAnsi="宋体" w:eastAsia="宋体" w:cs="宋体"/>
          <w:sz w:val="24"/>
          <w:szCs w:val="24"/>
        </w:rPr>
        <w:t xml:space="preserve">响应文件及国家有关质量标准进行验收。</w:t>
      </w:r>
      <w:r/>
    </w:p>
    <w:p>
      <w:pPr>
        <w:ind w:firstLine="48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2</w:t>
      </w:r>
      <w:r>
        <w:rPr>
          <w:rFonts w:hint="eastAsia" w:ascii="宋体" w:hAnsi="宋体" w:eastAsia="宋体" w:cs="宋体"/>
          <w:sz w:val="24"/>
          <w:szCs w:val="24"/>
        </w:rPr>
        <w:t xml:space="preserve">.中标人</w:t>
      </w:r>
      <w:r>
        <w:rPr>
          <w:rFonts w:ascii="宋体" w:hAnsi="宋体" w:eastAsia="宋体" w:cs="宋体"/>
          <w:sz w:val="24"/>
          <w:szCs w:val="24"/>
        </w:rPr>
        <w:t xml:space="preserve">交付前应对产品或服务作出全面检查和对验收文件进行整理，并列出清单，作为</w:t>
      </w:r>
      <w:r>
        <w:rPr>
          <w:rFonts w:hint="eastAsia" w:ascii="宋体" w:hAnsi="宋体" w:eastAsia="宋体" w:cs="宋体"/>
          <w:sz w:val="24"/>
          <w:szCs w:val="24"/>
        </w:rPr>
        <w:t xml:space="preserve">采购人</w:t>
      </w:r>
      <w:r>
        <w:rPr>
          <w:rFonts w:ascii="宋体" w:hAnsi="宋体" w:eastAsia="宋体" w:cs="宋体"/>
          <w:sz w:val="24"/>
          <w:szCs w:val="24"/>
        </w:rPr>
        <w:t xml:space="preserve">验收和使用的技术条件依据</w:t>
      </w:r>
      <w:r>
        <w:rPr>
          <w:rFonts w:hint="eastAsia" w:ascii="宋体" w:hAnsi="宋体" w:eastAsia="宋体" w:cs="宋体"/>
          <w:sz w:val="24"/>
          <w:szCs w:val="24"/>
          <w:lang w:eastAsia="zh-CN"/>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.采购人</w:t>
      </w:r>
      <w:r>
        <w:rPr>
          <w:rFonts w:ascii="宋体" w:hAnsi="宋体" w:eastAsia="宋体" w:cs="宋体"/>
          <w:sz w:val="24"/>
          <w:szCs w:val="24"/>
        </w:rPr>
        <w:t xml:space="preserve">对</w:t>
      </w:r>
      <w:r>
        <w:rPr>
          <w:rFonts w:hint="eastAsia" w:ascii="宋体" w:hAnsi="宋体" w:eastAsia="宋体" w:cs="宋体"/>
          <w:sz w:val="24"/>
          <w:szCs w:val="24"/>
        </w:rPr>
        <w:t xml:space="preserve">中标人</w:t>
      </w:r>
      <w:r>
        <w:rPr>
          <w:rFonts w:ascii="宋体" w:hAnsi="宋体" w:eastAsia="宋体" w:cs="宋体"/>
          <w:sz w:val="24"/>
          <w:szCs w:val="24"/>
        </w:rPr>
        <w:t xml:space="preserve">提供的产品或服务在使用前，</w:t>
      </w:r>
      <w:r>
        <w:rPr>
          <w:rFonts w:hint="eastAsia" w:ascii="宋体" w:hAnsi="宋体" w:eastAsia="宋体" w:cs="宋体"/>
          <w:sz w:val="24"/>
          <w:szCs w:val="24"/>
        </w:rPr>
        <w:t xml:space="preserve">中标人</w:t>
      </w:r>
      <w:r>
        <w:rPr>
          <w:rFonts w:ascii="宋体" w:hAnsi="宋体" w:eastAsia="宋体" w:cs="宋体"/>
          <w:sz w:val="24"/>
          <w:szCs w:val="24"/>
        </w:rPr>
        <w:t xml:space="preserve">需负责培训</w:t>
      </w:r>
      <w:r>
        <w:rPr>
          <w:rFonts w:hint="eastAsia" w:ascii="宋体" w:hAnsi="宋体" w:eastAsia="宋体" w:cs="宋体"/>
          <w:sz w:val="24"/>
          <w:szCs w:val="24"/>
        </w:rPr>
        <w:t xml:space="preserve">采购人</w:t>
      </w:r>
      <w:r>
        <w:rPr>
          <w:rFonts w:ascii="宋体" w:hAnsi="宋体" w:eastAsia="宋体" w:cs="宋体"/>
          <w:sz w:val="24"/>
          <w:szCs w:val="24"/>
        </w:rPr>
        <w:t xml:space="preserve">的使用操作人员，并协助甲方一起试用，直到符合技术要求，</w:t>
      </w:r>
      <w:r>
        <w:rPr>
          <w:rFonts w:hint="eastAsia" w:ascii="宋体" w:hAnsi="宋体" w:eastAsia="宋体" w:cs="宋体"/>
          <w:sz w:val="24"/>
          <w:szCs w:val="24"/>
        </w:rPr>
        <w:t xml:space="preserve">采购人</w:t>
      </w:r>
      <w:r>
        <w:rPr>
          <w:rFonts w:ascii="宋体" w:hAnsi="宋体" w:eastAsia="宋体" w:cs="宋体"/>
          <w:sz w:val="24"/>
          <w:szCs w:val="24"/>
        </w:rPr>
        <w:t xml:space="preserve">才做最终验收。</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.采购人</w:t>
      </w:r>
      <w:r>
        <w:rPr>
          <w:rFonts w:ascii="宋体" w:hAnsi="宋体" w:eastAsia="宋体" w:cs="宋体"/>
          <w:sz w:val="24"/>
          <w:szCs w:val="24"/>
        </w:rPr>
        <w:t xml:space="preserve">可请系统使用人员或组织业内专家进行项目验收，并出具验收报告。</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ascii="宋体" w:hAnsi="宋体" w:eastAsia="宋体" w:cs="宋体"/>
          <w:sz w:val="24"/>
          <w:szCs w:val="24"/>
        </w:rPr>
        <w:t xml:space="preserve">验收时</w:t>
      </w:r>
      <w:r>
        <w:rPr>
          <w:rFonts w:hint="eastAsia" w:ascii="宋体" w:hAnsi="宋体" w:eastAsia="宋体" w:cs="宋体"/>
          <w:sz w:val="24"/>
          <w:szCs w:val="24"/>
        </w:rPr>
        <w:t xml:space="preserve">中标人</w:t>
      </w:r>
      <w:r>
        <w:rPr>
          <w:rFonts w:ascii="宋体" w:hAnsi="宋体" w:eastAsia="宋体" w:cs="宋体"/>
          <w:sz w:val="24"/>
          <w:szCs w:val="24"/>
        </w:rPr>
        <w:t xml:space="preserve">必须在现场，验收完毕后作出验收结果报告。</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、培训要求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针对不同层级用户（包括系统管理员、业务操作人员等）制定分层培训计划，培训内容需涵盖系统架构、功能模块操作、数据管理、日常维护、故障排查及安全规范等，并提供配套的中文培训教材、操作手册及演示视频。培训方式应结合集中授课、现场实操、在线辅导等多种形式，确保参训人员能够熟练掌握系统操作技能，具备独立处理常见问题的能力。</w:t>
      </w:r>
      <w:r/>
    </w:p>
    <w:p>
      <w:pPr>
        <w:ind w:firstLine="562"/>
        <w:jc w:val="left"/>
        <w:spacing w:line="360" w:lineRule="auto"/>
        <w:rPr>
          <w:rFonts w:hint="eastAsia" w:ascii="Times New Roman" w:hAnsi="Times New Roman" w:eastAsia="宋体" w:cs="Times New Roman"/>
          <w:sz w:val="24"/>
          <w:szCs w:val="24"/>
          <w:highlight w:val="yellow"/>
        </w:rPr>
      </w:pPr>
      <w:r>
        <w:rPr>
          <w:rFonts w:hint="eastAsia" w:ascii="Times New Roman" w:hAnsi="Times New Roman" w:eastAsia="宋体" w:cs="Times New Roman"/>
          <w:b/>
          <w:sz w:val="28"/>
          <w:szCs w:val="28"/>
        </w:rPr>
        <w:t xml:space="preserve">十、售后服务要求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投标人须</w:t>
      </w:r>
      <w:r>
        <w:rPr>
          <w:rFonts w:hint="eastAsia" w:ascii="宋体" w:hAnsi="宋体" w:eastAsia="宋体" w:cs="宋体"/>
          <w:sz w:val="24"/>
          <w:szCs w:val="24"/>
          <w:highlight w:val="none"/>
        </w:rPr>
        <w:t xml:space="preserve">提供不少于</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年（含）7*</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小时免费售后技术支持服务</w:t>
      </w:r>
      <w:r>
        <w:rPr>
          <w:rFonts w:hint="eastAsia" w:ascii="宋体" w:hAnsi="宋体" w:eastAsia="宋体" w:cs="宋体"/>
          <w:sz w:val="24"/>
          <w:szCs w:val="24"/>
        </w:rPr>
        <w:t xml:space="preserve">（包括升级、故障排除、性能调优、技术咨询等），质量保证期内，投标人有责任提供以下形式的技术支持服务：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（1）电话咨询：投标人必须为采购人提供技术援助电话，解答采购人在系统使用中遇到的问题，及时提出解决问题的建议和操作方法电话咨询。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（2）现场响应：若电话咨询服务形式不能解决问题，投标人应指派技术人员赶赴现场进行故障处理，承诺提供7×24小时技术支持服务，一般情况</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小时内到达现场并采取相应措施以确保系统的正常运行。如不能在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小时内解决，</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小时内必须采取一切措施保证系统正常运行。如在承诺时间内，因系统不能正常运行所造成的损失采购人有权向投标人提出索赔。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质保期内，中标人提供至少一年四次的定期检查保养服务，派技术人员到采购人单位对所购买的所有设备进行检测、调试、维护工作。如设备故障需要维修，中标人需一小时内到达现场进行故障排查并找出故障原因。</w:t>
      </w:r>
      <w:r/>
    </w:p>
    <w:p>
      <w:pPr>
        <w:ind w:firstLine="480"/>
        <w:spacing w:line="360" w:lineRule="auto"/>
        <w:rPr>
          <w:rFonts w:ascii="Times New Roman" w:hAnsi="Times New Roman" w:eastAsia="宋体" w:cs="Times New Roman"/>
          <w:sz w:val="24"/>
          <w:szCs w:val="24"/>
          <w:highlight w:val="yellow"/>
        </w:rPr>
      </w:pP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特别提示：采购人需求在开发期和试运行期内，仍有可能不断完善，投标人须承诺在采购需求或政策法规范围内，随着采购人需求的变动随时做出响应，修改应用软件。本项目所有数据内容保密，中标人需要签订保密协议，严格按照保密要求提供系统支撑服务。</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质保期间，成交供应商承担维修、保养、安检、调换等，相关费用包含在预算内，采购方不再支付任何费用；对于采购方人为原因造成的故障，成交供应商只收取维保成本费用。</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、响应报价要求</w:t>
      </w:r>
      <w:r/>
    </w:p>
    <w:p>
      <w:pPr>
        <w:ind w:firstLine="480"/>
        <w:spacing w:line="360" w:lineRule="auto"/>
        <w:rPr>
          <w:highlight w:val="yellow"/>
        </w:rPr>
      </w:pPr>
      <w:r>
        <w:rPr>
          <w:rFonts w:hint="eastAsia" w:ascii="宋体" w:hAnsi="宋体" w:eastAsia="宋体" w:cs="宋体"/>
          <w:b w:val="0"/>
          <w:bCs/>
          <w:i w:val="0"/>
          <w:iCs w:val="0"/>
          <w:sz w:val="24"/>
          <w:szCs w:val="24"/>
          <w:u w:val="none"/>
        </w:rPr>
        <w:t xml:space="preserve">投标报价须包含但不限于全部设备、材料备品备件、包装费、运杂费（运抵现场）、卸货费、现场保管费、运输保险费、成品保护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w:t>
      </w:r>
      <w:r>
        <w:rPr>
          <w:rFonts w:hint="eastAsia" w:ascii="宋体" w:hAnsi="宋体" w:eastAsia="宋体" w:cs="宋体"/>
          <w:b w:val="0"/>
          <w:bCs/>
          <w:i w:val="0"/>
          <w:iCs w:val="0"/>
          <w:sz w:val="24"/>
          <w:szCs w:val="24"/>
          <w:u w:val="none"/>
          <w:lang w:val="en-US" w:eastAsia="zh-CN"/>
        </w:rPr>
        <w:t xml:space="preserve">货物</w:t>
      </w:r>
      <w:r>
        <w:rPr>
          <w:rFonts w:hint="eastAsia" w:ascii="宋体" w:hAnsi="宋体" w:eastAsia="宋体" w:cs="宋体"/>
          <w:b w:val="0"/>
          <w:bCs/>
          <w:i w:val="0"/>
          <w:iCs w:val="0"/>
          <w:sz w:val="24"/>
          <w:szCs w:val="24"/>
          <w:u w:val="none"/>
        </w:rPr>
        <w:t xml:space="preserve">的单价和总价，详细分析各项费用组成。</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、付款方式与履约保证金</w:t>
      </w:r>
      <w:r/>
    </w:p>
    <w:p>
      <w:pPr>
        <w:ind w:firstLine="482"/>
        <w:jc w:val="left"/>
        <w:spacing w:line="360" w:lineRule="auto"/>
        <w:rPr>
          <w:rFonts w:ascii="宋体" w:hAnsi="宋体" w:eastAsia="宋体" w:cs="Times New Roman"/>
          <w:b/>
          <w:i/>
          <w:iCs/>
          <w:sz w:val="24"/>
          <w:szCs w:val="24"/>
        </w:rPr>
      </w:pPr>
      <w:r>
        <w:rPr>
          <w:rFonts w:hint="eastAsia" w:ascii="宋体" w:hAnsi="宋体" w:eastAsia="宋体" w:cs="Times New Roman"/>
          <w:b/>
          <w:i/>
          <w:iCs/>
          <w:sz w:val="24"/>
          <w:szCs w:val="24"/>
        </w:rPr>
        <w:t xml:space="preserve">1、付款方式</w:t>
      </w:r>
      <w:r/>
    </w:p>
    <w:p>
      <w:pPr>
        <w:ind w:firstLine="480"/>
        <w:jc w:val="left"/>
        <w:spacing w:line="360" w:lineRule="auto"/>
        <w:rPr>
          <w:rFonts w:ascii="宋体" w:hAnsi="宋体" w:eastAsia="宋体" w:cs="Times New Roman"/>
          <w:i/>
          <w:iCs/>
          <w:sz w:val="24"/>
          <w:szCs w:val="24"/>
          <w:highlight w:val="none"/>
          <w:u w:val="single"/>
        </w:rPr>
      </w:pPr>
      <w:r>
        <w:rPr>
          <w:rFonts w:hint="eastAsia" w:ascii="Calibri" w:hAnsi="Calibri" w:eastAsia="宋体" w:cs="Times New Roman"/>
          <w:i/>
          <w:iCs/>
          <w:sz w:val="24"/>
          <w:szCs w:val="24"/>
          <w:highlight w:val="none"/>
          <w:u w:val="single"/>
          <w:lang w:eastAsia="zh-CN"/>
        </w:rPr>
        <w:t xml:space="preserve">合同签订后15个工作日内支付合同价款总额的40%；项目建成试运行后支付至合同价款总额的70%；验收合格后15个工作日支付至合同价款的100%</w:t>
      </w:r>
      <w:r>
        <w:rPr>
          <w:rFonts w:hint="eastAsia" w:ascii="宋体" w:hAnsi="宋体" w:eastAsia="宋体" w:cs="Times New Roman"/>
          <w:b w:val="0"/>
          <w:bCs/>
          <w:i/>
          <w:iCs/>
          <w:sz w:val="24"/>
          <w:szCs w:val="24"/>
          <w:highlight w:val="none"/>
          <w:u w:val="none"/>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2、履约保证金</w:t>
      </w:r>
      <w:r/>
    </w:p>
    <w:p>
      <w:pPr>
        <w:ind w:firstLine="480"/>
        <w:jc w:val="left"/>
        <w:spacing w:line="360" w:lineRule="auto"/>
        <w:rPr>
          <w:rFonts w:ascii="Times New Roman" w:hAnsi="Times New Roman" w:eastAsia="宋体" w:cs="Times New Roman"/>
          <w:szCs w:val="24"/>
        </w:rPr>
      </w:pPr>
      <w:r>
        <w:rPr>
          <w:rFonts w:hint="eastAsia" w:ascii="宋体" w:hAnsi="宋体" w:eastAsia="宋体" w:cs="Times New Roman"/>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、其他</w:t>
      </w:r>
      <w:bookmarkEnd w:id="9"/>
      <w:r/>
      <w:bookmarkEnd w:id="10"/>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sz w:val="24"/>
          <w:szCs w:val="24"/>
        </w:rPr>
      </w:pPr>
      <w:r>
        <w:rPr>
          <w:rFonts w:hint="eastAsia" w:ascii="宋体" w:hAnsi="宋体" w:eastAsia="宋体" w:cs="Times New Roman"/>
          <w:sz w:val="24"/>
          <w:szCs w:val="24"/>
        </w:rPr>
        <w:t xml:space="preserve">工作中涉及的敏感资料、电子数据等相关信息，成交供应商应严格执行保密的相关规定，不得以任何方式向任何第三人披露、泄露或许可第三人使用，否则追究其相应法律责任。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59"/>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olor w:val="auto"/>
          <w:sz w:val="24"/>
          <w:szCs w:val="24"/>
          <w:highlight w:val="none"/>
        </w:rPr>
        <w:t xml:space="preserve">本项目选取</w:t>
      </w:r>
      <w:r>
        <w:rPr>
          <w:rFonts w:hint="eastAsia"/>
          <w:color w:val="auto"/>
          <w:sz w:val="24"/>
          <w:szCs w:val="24"/>
          <w:highlight w:val="none"/>
          <w:lang w:val="en-US" w:eastAsia="zh-CN"/>
        </w:rPr>
        <w:t xml:space="preserve">1</w:t>
      </w:r>
      <w:r>
        <w:rPr>
          <w:rFonts w:hint="eastAsia"/>
          <w:color w:val="auto"/>
          <w:sz w:val="24"/>
          <w:szCs w:val="24"/>
          <w:highlight w:val="none"/>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40</w:t>
      </w:r>
      <w:r>
        <w:rPr>
          <w:rFonts w:hint="eastAsia"/>
          <w:sz w:val="24"/>
          <w:szCs w:val="24"/>
        </w:rPr>
        <w:t xml:space="preserve">分）</w:t>
      </w:r>
      <w:r/>
    </w:p>
    <w:tbl>
      <w:tblPr>
        <w:tblStyle w:val="8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评审因素</w:t>
            </w:r>
            <w:r/>
          </w:p>
        </w:tc>
        <w:tc>
          <w:tcPr>
            <w:tcW w:w="6845"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rPr>
                <w:rStyle w:val="877"/>
                <w:rFonts w:hint="eastAsia" w:ascii="宋体" w:hAnsi="宋体" w:eastAsia="宋体"/>
                <w:sz w:val="21"/>
                <w:szCs w:val="21"/>
              </w:rPr>
            </w:pPr>
            <w:r>
              <w:rPr>
                <w:rFonts w:hint="eastAsia" w:ascii="宋体" w:hAnsi="宋体" w:eastAsia="宋体" w:cs="宋体"/>
                <w:color w:val="000000" w:themeColor="text1"/>
                <w:sz w:val="21"/>
                <w:szCs w:val="21"/>
                <w14:textFill>
                  <w14:solidFill>
                    <w14:schemeClr w14:val="tx1"/>
                  </w14:solidFill>
                </w14:textFill>
              </w:rPr>
              <w:t xml:space="preserve">技术响应</w:t>
            </w:r>
            <w:r/>
          </w:p>
          <w:p>
            <w:pPr>
              <w:jc w:val="center"/>
              <w:spacing w:line="360" w:lineRule="auto"/>
            </w:pPr>
            <w:r>
              <w:rPr>
                <w:rStyle w:val="877"/>
                <w:rFonts w:hint="eastAsia" w:ascii="宋体" w:hAnsi="宋体" w:eastAsia="宋体"/>
                <w:sz w:val="21"/>
                <w:szCs w:val="21"/>
              </w:rPr>
              <w:t xml:space="preserve">（</w:t>
            </w:r>
            <w:r>
              <w:rPr>
                <w:rStyle w:val="877"/>
                <w:rFonts w:hint="eastAsia" w:ascii="宋体" w:hAnsi="宋体" w:eastAsia="宋体"/>
                <w:sz w:val="21"/>
                <w:szCs w:val="21"/>
                <w:lang w:val="en-US" w:eastAsia="zh-CN"/>
              </w:rPr>
              <w:t xml:space="preserve">15</w:t>
            </w:r>
            <w:r>
              <w:rPr>
                <w:rStyle w:val="877"/>
                <w:rFonts w:hint="eastAsia" w:ascii="宋体" w:hAnsi="宋体" w:eastAsia="宋体"/>
                <w:sz w:val="21"/>
                <w:szCs w:val="21"/>
              </w:rPr>
              <w:t xml:space="preserve">分）</w:t>
            </w:r>
            <w:r/>
          </w:p>
        </w:tc>
        <w:tc>
          <w:tcPr>
            <w:tcW w:w="6845"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设备技术参数全部满足招标文件要求的得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1"/>
                <w:szCs w:val="21"/>
                <w:highlight w:val="none"/>
                <w14:textFill>
                  <w14:solidFill>
                    <w14:schemeClr w14:val="tx1"/>
                  </w14:solidFill>
                </w14:textFill>
              </w:rPr>
              <w:t xml:space="preserve">分；标有▲的参数每有一项负偏离扣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分，其他负偏离每一项扣0.5分，扣完为止。本项最高得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分，最低得0分</w:t>
            </w:r>
            <w:r/>
          </w:p>
          <w:p>
            <w:pPr>
              <w:jc w:val="left"/>
              <w:spacing w:line="360" w:lineRule="auto"/>
            </w:pPr>
            <w:r>
              <w:rPr>
                <w:rFonts w:hint="eastAsia" w:ascii="宋体" w:hAnsi="宋体" w:eastAsia="宋体" w:cs="宋体"/>
                <w:b/>
                <w:bCs/>
                <w:color w:val="000000" w:themeColor="text1"/>
                <w:sz w:val="21"/>
                <w:szCs w:val="21"/>
                <w:highlight w:val="none"/>
                <w14:textFill>
                  <w14:solidFill>
                    <w14:schemeClr w14:val="tx1"/>
                  </w14:solidFill>
                </w14:textFill>
              </w:rPr>
              <w:t xml:space="preserve">注：要求提供证明材料的参数，未提供证明材料或所提供材料与招标文件要求不一致的视为负偏离。如内容表述不完全一致但功能相同的，由评标委员会现场认定。投标人可在证明材料中做明显标识及说明，便于评审。</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项目</w:t>
            </w:r>
            <w:r>
              <w:rPr>
                <w:rFonts w:hint="eastAsia" w:ascii="宋体" w:hAnsi="宋体" w:eastAsia="宋体"/>
                <w:sz w:val="21"/>
                <w:szCs w:val="21"/>
              </w:rPr>
              <w:t xml:space="preserve">实施方案</w:t>
            </w:r>
            <w:r/>
          </w:p>
          <w:p>
            <w:pPr>
              <w:jc w:val="center"/>
              <w:spacing w:line="360" w:lineRule="auto"/>
            </w:pPr>
            <w:r>
              <w:rPr>
                <w:rFonts w:hint="eastAsia" w:ascii="宋体" w:hAnsi="宋体" w:eastAsia="宋体"/>
                <w:sz w:val="21"/>
                <w:szCs w:val="21"/>
              </w:rPr>
              <w:t xml:space="preserve">（</w:t>
            </w:r>
            <w:r>
              <w:rPr>
                <w:rFonts w:hint="eastAsia" w:ascii="宋体" w:hAnsi="宋体" w:eastAsia="宋体"/>
                <w:sz w:val="21"/>
                <w:szCs w:val="21"/>
                <w:lang w:val="en-US" w:eastAsia="zh-CN"/>
              </w:rPr>
              <w:t xml:space="preserve">10</w:t>
            </w:r>
            <w:r>
              <w:rPr>
                <w:rFonts w:hint="eastAsia" w:ascii="宋体" w:hAnsi="宋体" w:eastAsia="宋体"/>
                <w:sz w:val="21"/>
                <w:szCs w:val="21"/>
              </w:rPr>
              <w:t xml:space="preserve">分）</w:t>
            </w:r>
            <w:r/>
          </w:p>
        </w:tc>
        <w:tc>
          <w:tcPr>
            <w:tcW w:w="6845" w:type="dxa"/>
            <w:vAlign w:val="center"/>
            <w:textDirection w:val="lrTb"/>
            <w:noWrap w:val="false"/>
          </w:tcPr>
          <w:p>
            <w:pPr>
              <w:jc w:val="left"/>
              <w:spacing w:line="360" w:lineRule="auto"/>
            </w:pPr>
            <w:r>
              <w:rPr>
                <w:rFonts w:hint="eastAsia" w:ascii="宋体" w:hAnsi="宋体" w:eastAsia="宋体" w:cs="宋体"/>
                <w:color w:val="000000" w:themeColor="text1"/>
                <w:sz w:val="21"/>
                <w:szCs w:val="21"/>
                <w14:textFill>
                  <w14:solidFill>
                    <w14:schemeClr w14:val="tx1"/>
                  </w14:solidFill>
                </w14:textFill>
              </w:rPr>
              <w:t xml:space="preserve">投标人提供</w:t>
            </w:r>
            <w:r>
              <w:rPr>
                <w:rFonts w:hint="eastAsia"/>
                <w:sz w:val="21"/>
                <w:szCs w:val="21"/>
              </w:rPr>
              <w:t xml:space="preserve">实施方案，</w:t>
            </w:r>
            <w:r>
              <w:rPr>
                <w:rFonts w:hint="eastAsia" w:ascii="宋体" w:hAnsi="宋体" w:eastAsia="宋体" w:cs="宋体"/>
                <w:color w:val="000000" w:themeColor="text1"/>
                <w:sz w:val="21"/>
                <w:szCs w:val="21"/>
                <w14:textFill>
                  <w14:solidFill>
                    <w14:schemeClr w14:val="tx1"/>
                  </w14:solidFill>
                </w14:textFill>
              </w:rPr>
              <w:t xml:space="preserve">包括但不限于对项目所需系统现状了解程度、关于本项目的人员安排、</w:t>
            </w:r>
            <w:r>
              <w:rPr>
                <w:rFonts w:hint="eastAsia" w:ascii="宋体" w:hAnsi="宋体" w:eastAsia="宋体" w:cs="宋体"/>
                <w:color w:val="000000" w:themeColor="text1"/>
                <w:sz w:val="21"/>
                <w:szCs w:val="21"/>
                <w:lang w:val="en-US" w:eastAsia="zh-CN"/>
                <w14:textFill>
                  <w14:solidFill>
                    <w14:schemeClr w14:val="tx1"/>
                  </w14:solidFill>
                </w14:textFill>
              </w:rPr>
              <w:t xml:space="preserve">施工</w:t>
            </w:r>
            <w:r>
              <w:rPr>
                <w:rFonts w:hint="eastAsia" w:ascii="宋体" w:hAnsi="宋体" w:eastAsia="宋体" w:cs="宋体"/>
                <w:color w:val="000000" w:themeColor="text1"/>
                <w:sz w:val="21"/>
                <w:szCs w:val="21"/>
                <w14:textFill>
                  <w14:solidFill>
                    <w14:schemeClr w14:val="tx1"/>
                  </w14:solidFill>
                </w14:textFill>
              </w:rPr>
              <w:t xml:space="preserve">组织设计、紧急预案及时间进度</w:t>
            </w:r>
            <w:r>
              <w:rPr>
                <w:rFonts w:hint="eastAsia" w:ascii="宋体" w:hAnsi="宋体" w:eastAsia="宋体" w:cs="宋体"/>
                <w:color w:val="000000" w:themeColor="text1"/>
                <w:sz w:val="21"/>
                <w:szCs w:val="21"/>
                <w:lang w:val="en-US" w:eastAsia="zh-CN"/>
                <w14:textFill>
                  <w14:solidFill>
                    <w14:schemeClr w14:val="tx1"/>
                  </w14:solidFill>
                </w14:textFill>
              </w:rPr>
              <w:t xml:space="preserve">安排</w:t>
            </w:r>
            <w:r>
              <w:rPr>
                <w:rFonts w:hint="eastAsia" w:ascii="宋体" w:hAnsi="宋体" w:eastAsia="宋体" w:cs="宋体"/>
                <w:color w:val="000000" w:themeColor="text1"/>
                <w:sz w:val="21"/>
                <w:szCs w:val="21"/>
                <w14:textFill>
                  <w14:solidFill>
                    <w14:schemeClr w14:val="tx1"/>
                  </w14:solidFill>
                </w14:textFill>
              </w:rPr>
              <w:t xml:space="preserve">等。</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内容完整、针对性强，切实可行，得</w:t>
            </w: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default" w:ascii="宋体" w:hAnsi="宋体" w:eastAsia="宋体" w:cs="宋体"/>
                <w:color w:val="000000" w:themeColor="text1"/>
                <w:sz w:val="21"/>
                <w:szCs w:val="21"/>
                <w14:textFill>
                  <w14:solidFill>
                    <w14:schemeClr w14:val="tx1"/>
                  </w14:solidFill>
                </w14:textFill>
              </w:rPr>
              <w:t xml:space="preserve">分；</w:t>
            </w:r>
            <w:r>
              <w:rPr>
                <w:rFonts w:hint="default" w:ascii="宋体" w:hAnsi="宋体" w:eastAsia="宋体" w:cs="宋体"/>
                <w:color w:val="000000" w:themeColor="text1"/>
                <w:sz w:val="21"/>
                <w:szCs w:val="21"/>
                <w14:textFill>
                  <w14:solidFill>
                    <w14:schemeClr w14:val="tx1"/>
                  </w14:solidFill>
                </w14:textFill>
              </w:rPr>
              <w:br/>
            </w:r>
            <w:r>
              <w:rPr>
                <w:rFonts w:hint="default" w:ascii="宋体" w:hAnsi="宋体" w:eastAsia="宋体" w:cs="宋体"/>
                <w:color w:val="000000" w:themeColor="text1"/>
                <w:sz w:val="21"/>
                <w:szCs w:val="21"/>
                <w14:textFill>
                  <w14:solidFill>
                    <w14:schemeClr w14:val="tx1"/>
                  </w14:solidFill>
                </w14:textFill>
              </w:rPr>
              <w:t xml:space="preserve">方案较合理、针对性较强，可行性较强，得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default" w:ascii="宋体" w:hAnsi="宋体" w:eastAsia="宋体" w:cs="宋体"/>
                <w:color w:val="000000" w:themeColor="text1"/>
                <w:sz w:val="21"/>
                <w:szCs w:val="21"/>
                <w14:textFill>
                  <w14:solidFill>
                    <w14:schemeClr w14:val="tx1"/>
                  </w14:solidFill>
                </w14:textFill>
              </w:rPr>
              <w:t xml:space="preserve">分；</w:t>
            </w:r>
            <w:r>
              <w:rPr>
                <w:rFonts w:hint="default" w:ascii="宋体" w:hAnsi="宋体" w:eastAsia="宋体" w:cs="宋体"/>
                <w:color w:val="000000" w:themeColor="text1"/>
                <w:sz w:val="21"/>
                <w:szCs w:val="21"/>
                <w14:textFill>
                  <w14:solidFill>
                    <w14:schemeClr w14:val="tx1"/>
                  </w14:solidFill>
                </w14:textFill>
              </w:rPr>
              <w:br/>
            </w:r>
            <w:r>
              <w:rPr>
                <w:rFonts w:hint="default" w:ascii="宋体" w:hAnsi="宋体" w:eastAsia="宋体" w:cs="宋体"/>
                <w:color w:val="000000" w:themeColor="text1"/>
                <w:sz w:val="21"/>
                <w:szCs w:val="21"/>
                <w14:textFill>
                  <w14:solidFill>
                    <w14:schemeClr w14:val="tx1"/>
                  </w14:solidFill>
                </w14:textFill>
              </w:rPr>
              <w:t xml:space="preserve">方案简单、可行性一般，得</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default" w:ascii="宋体" w:hAnsi="宋体" w:eastAsia="宋体" w:cs="宋体"/>
                <w:color w:val="000000" w:themeColor="text1"/>
                <w:sz w:val="21"/>
                <w:szCs w:val="21"/>
                <w14:textFill>
                  <w14:solidFill>
                    <w14:schemeClr w14:val="tx1"/>
                  </w14:solidFill>
                </w14:textFill>
              </w:rPr>
              <w:t xml:space="preserve">分；</w:t>
            </w:r>
            <w:r>
              <w:rPr>
                <w:rFonts w:hint="default" w:ascii="宋体" w:hAnsi="宋体" w:eastAsia="宋体" w:cs="宋体"/>
                <w:color w:val="000000" w:themeColor="text1"/>
                <w:sz w:val="21"/>
                <w:szCs w:val="21"/>
                <w14:textFill>
                  <w14:solidFill>
                    <w14:schemeClr w14:val="tx1"/>
                  </w14:solidFill>
                </w14:textFill>
              </w:rPr>
              <w:br/>
            </w:r>
            <w:r>
              <w:rPr>
                <w:rFonts w:hint="default" w:ascii="宋体" w:hAnsi="宋体" w:eastAsia="宋体" w:cs="宋体"/>
                <w:color w:val="000000" w:themeColor="text1"/>
                <w:sz w:val="21"/>
                <w:szCs w:val="21"/>
                <w14:textFill>
                  <w14:solidFill>
                    <w14:schemeClr w14:val="tx1"/>
                  </w14:solidFill>
                </w14:textFill>
              </w:rPr>
              <w:t xml:space="preserve">未提供不得分。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售后服务方案</w:t>
            </w:r>
            <w:r/>
          </w:p>
          <w:p>
            <w:pPr>
              <w:jc w:val="center"/>
              <w:spacing w:line="360" w:lineRule="auto"/>
            </w:pPr>
            <w:r>
              <w:rPr>
                <w:rFonts w:hint="eastAsia" w:ascii="宋体" w:hAnsi="宋体" w:eastAsia="宋体"/>
                <w:sz w:val="21"/>
                <w:szCs w:val="21"/>
              </w:rPr>
              <w:t xml:space="preserve">（</w:t>
            </w:r>
            <w:r>
              <w:rPr>
                <w:rFonts w:hint="eastAsia" w:ascii="宋体" w:hAnsi="宋体" w:eastAsia="宋体"/>
                <w:sz w:val="21"/>
                <w:szCs w:val="21"/>
                <w:lang w:val="en-US" w:eastAsia="zh-CN"/>
              </w:rPr>
              <w:t xml:space="preserve">5</w:t>
            </w:r>
            <w:r>
              <w:rPr>
                <w:rFonts w:hint="eastAsia" w:ascii="宋体" w:hAnsi="宋体" w:eastAsia="宋体"/>
                <w:sz w:val="21"/>
                <w:szCs w:val="21"/>
              </w:rPr>
              <w:t xml:space="preserve">分）</w:t>
            </w:r>
            <w:r/>
          </w:p>
        </w:tc>
        <w:tc>
          <w:tcPr>
            <w:tcW w:w="6845" w:type="dxa"/>
            <w:vAlign w:val="center"/>
            <w:textDirection w:val="lrTb"/>
            <w:noWrap w:val="false"/>
          </w:tcPr>
          <w:p>
            <w:pPr>
              <w:jc w:val="left"/>
              <w:spacing w:line="360" w:lineRule="auto"/>
            </w:pPr>
            <w:r>
              <w:rPr>
                <w:rFonts w:hint="eastAsia" w:ascii="宋体" w:hAnsi="宋体" w:eastAsia="宋体" w:cs="宋体"/>
                <w:color w:val="000000" w:themeColor="text1"/>
                <w:sz w:val="21"/>
                <w:szCs w:val="21"/>
                <w14:textFill>
                  <w14:solidFill>
                    <w14:schemeClr w14:val="tx1"/>
                  </w14:solidFill>
                </w14:textFill>
              </w:rPr>
              <w:t xml:space="preserve">投标人提供售后服务方案，内容包括但不限于</w:t>
            </w:r>
            <w:r>
              <w:rPr>
                <w:rFonts w:hint="eastAsia"/>
                <w:sz w:val="21"/>
                <w:szCs w:val="21"/>
              </w:rPr>
              <w:t xml:space="preserve">服务内容、响应时间、故障处理、恢复时效、人员力量、支撑保障、服务保障体系</w:t>
            </w:r>
            <w:r>
              <w:rPr>
                <w:rFonts w:hint="eastAsia" w:ascii="宋体" w:hAnsi="宋体" w:eastAsia="宋体" w:cs="宋体"/>
                <w:color w:val="000000" w:themeColor="text1"/>
                <w:sz w:val="21"/>
                <w:szCs w:val="21"/>
                <w14:textFill>
                  <w14:solidFill>
                    <w14:schemeClr w14:val="tx1"/>
                  </w14:solidFill>
                </w14:textFill>
              </w:rPr>
              <w:t xml:space="preserve">等。 </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方案阐述详细，响应时间及故障处理及时，人员配备合理，支撑保障措施完善，具备完善的服务保障体系的得</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方案阐述较详细，响应时间及故障处理较及时，人员配备较合理，支撑保障措施较完善，具有一定的服务保障体系的得</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方案内容简单粗糙，上述内容有缺项，可实施性一般的得</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r>
            <w:r>
              <w:rPr>
                <w:rFonts w:hint="default" w:ascii="宋体" w:hAnsi="宋体" w:eastAsia="宋体" w:cs="宋体"/>
                <w:color w:val="000000" w:themeColor="text1"/>
                <w:sz w:val="21"/>
                <w:szCs w:val="21"/>
                <w14:textFill>
                  <w14:solidFill>
                    <w14:schemeClr w14:val="tx1"/>
                  </w14:solidFill>
                </w14:textFill>
              </w:rPr>
              <w:t xml:space="preserve">未提供</w:t>
            </w:r>
            <w:r>
              <w:rPr>
                <w:rFonts w:hint="eastAsia" w:ascii="宋体" w:hAnsi="宋体" w:eastAsia="宋体" w:cs="宋体"/>
                <w:color w:val="000000" w:themeColor="text1"/>
                <w:sz w:val="21"/>
                <w:szCs w:val="21"/>
                <w14:textFill>
                  <w14:solidFill>
                    <w14:schemeClr w14:val="tx1"/>
                  </w14:solidFill>
                </w14:textFill>
              </w:rPr>
              <w:t xml:space="preserve">不得分。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与智慧渔港系统对接方案</w:t>
            </w:r>
            <w:r/>
          </w:p>
          <w:p>
            <w:pPr>
              <w:pStyle w:val="892"/>
              <w:jc w:val="center"/>
              <w:rPr>
                <w:rFonts w:hint="eastAsia"/>
              </w:rPr>
            </w:pPr>
            <w:r>
              <w:rPr>
                <w:rFonts w:hint="eastAsia" w:ascii="宋体" w:hAnsi="宋体"/>
                <w:sz w:val="21"/>
                <w:szCs w:val="21"/>
                <w:lang w:val="en-US" w:eastAsia="zh-CN"/>
              </w:rPr>
              <w:t xml:space="preserve">（10分）</w:t>
            </w:r>
            <w:r/>
          </w:p>
        </w:tc>
        <w:tc>
          <w:tcPr>
            <w:tcW w:w="6845" w:type="dxa"/>
            <w:vAlign w:val="center"/>
            <w:textDirection w:val="lrTb"/>
            <w:noWrap w:val="false"/>
          </w:tcPr>
          <w:p>
            <w:pPr>
              <w:jc w:val="left"/>
              <w:spacing w:line="276"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投标人根据采购需求，提供对接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智慧渔港系统</w:t>
            </w:r>
            <w:r>
              <w:rPr>
                <w:rFonts w:hint="eastAsia" w:ascii="宋体" w:hAnsi="宋体" w:eastAsia="宋体" w:cs="宋体"/>
                <w:color w:val="000000" w:themeColor="text1"/>
                <w:sz w:val="21"/>
                <w:szCs w:val="21"/>
                <w:highlight w:val="none"/>
                <w14:textFill>
                  <w14:solidFill>
                    <w14:schemeClr w14:val="tx1"/>
                  </w14:solidFill>
                </w14:textFill>
              </w:rPr>
              <w:t xml:space="preserve">，制定接口对接逻辑、数据交互、字段设计等方案。</w:t>
            </w:r>
            <w:r/>
          </w:p>
          <w:p>
            <w:pPr>
              <w:jc w:val="left"/>
              <w:spacing w:line="276"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方案内容全面，对接逻辑关系合理，数据交互方式科学，字段设计合理，得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spacing w:line="276"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方案内容较全面，对接逻辑关系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1"/>
                <w:szCs w:val="21"/>
                <w:highlight w:val="none"/>
                <w14:textFill>
                  <w14:solidFill>
                    <w14:schemeClr w14:val="tx1"/>
                  </w14:solidFill>
                </w14:textFill>
              </w:rPr>
              <w:t xml:space="preserve">合理，数据交互方式较科学，字段设计较合理，得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spacing w:line="276"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方案内容不全面，对接逻辑关系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1"/>
                <w:szCs w:val="21"/>
                <w:highlight w:val="none"/>
                <w14:textFill>
                  <w14:solidFill>
                    <w14:schemeClr w14:val="tx1"/>
                  </w14:solidFill>
                </w14:textFill>
              </w:rPr>
              <w:t xml:space="preserve">合理，数据交互方式不科学，字段设计不合理，得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spacing w:line="360" w:lineRule="auto"/>
              <w:rPr>
                <w:rFonts w:hint="eastAsia"/>
              </w:rPr>
            </w:pPr>
            <w:r>
              <w:rPr>
                <w:rFonts w:hint="default" w:ascii="宋体" w:hAnsi="宋体" w:eastAsia="宋体" w:cs="宋体"/>
                <w:color w:val="000000" w:themeColor="text1"/>
                <w:sz w:val="21"/>
                <w:szCs w:val="21"/>
                <w:highlight w:val="none"/>
                <w14:textFill>
                  <w14:solidFill>
                    <w14:schemeClr w14:val="tx1"/>
                  </w14:solidFill>
                </w14:textFill>
              </w:rPr>
              <w:t xml:space="preserve">未提供</w:t>
            </w:r>
            <w:r>
              <w:rPr>
                <w:rFonts w:hint="eastAsia" w:ascii="宋体" w:hAnsi="宋体" w:eastAsia="宋体" w:cs="宋体"/>
                <w:color w:val="000000" w:themeColor="text1"/>
                <w:sz w:val="21"/>
                <w:szCs w:val="21"/>
                <w:highlight w:val="none"/>
                <w14:textFill>
                  <w14:solidFill>
                    <w14:schemeClr w14:val="tx1"/>
                  </w14:solidFill>
                </w14:textFill>
              </w:rPr>
              <w:t xml:space="preserve">不得分。</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30</w:t>
      </w:r>
      <w:r>
        <w:rPr>
          <w:rFonts w:hint="eastAsia"/>
          <w:sz w:val="24"/>
          <w:szCs w:val="24"/>
        </w:rPr>
        <w:t xml:space="preserve">分）</w:t>
      </w:r>
      <w:r/>
    </w:p>
    <w:tbl>
      <w:tblPr>
        <w:tblStyle w:val="8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keepLines w:val="0"/>
              <w:keepNext w:val="0"/>
              <w:widowControl/>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管理体系与服务能力（15）</w:t>
            </w:r>
            <w:r/>
          </w:p>
        </w:tc>
        <w:tc>
          <w:tcPr>
            <w:tcW w:w="6845" w:type="dxa"/>
            <w:vAlign w:val="center"/>
            <w:textDirection w:val="lrTb"/>
            <w:noWrap w:val="false"/>
          </w:tcPr>
          <w:p>
            <w:pPr>
              <w:numPr>
                <w:ilvl w:val="0"/>
                <w:numId w:val="0"/>
              </w:numPr>
              <w:jc w:val="left"/>
              <w:keepLines w:val="0"/>
              <w:keepNext w:val="0"/>
              <w:widowControl/>
              <w:rPr>
                <w:rFonts w:hint="eastAsia" w:ascii="宋体" w:hAnsi="宋体" w:eastAsia="宋体" w:cs="宋体"/>
                <w:color w:val="000000" w:themeColor="text1"/>
                <w:sz w:val="21"/>
                <w:szCs w:val="21"/>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1、投标人具有有效期内的质量管理体系认证得 3分。</w:t>
            </w:r>
            <w:r/>
          </w:p>
          <w:p>
            <w:pPr>
              <w:numPr>
                <w:ilvl w:val="0"/>
                <w:numId w:val="0"/>
              </w:numPr>
              <w:jc w:val="left"/>
              <w:keepLines w:val="0"/>
              <w:keepNext w:val="0"/>
              <w:widowControl/>
              <w:rPr>
                <w:rFonts w:hint="eastAsia" w:ascii="宋体" w:hAnsi="宋体" w:eastAsia="宋体" w:cs="宋体"/>
                <w:color w:val="000000" w:themeColor="text1"/>
                <w:sz w:val="21"/>
                <w:szCs w:val="21"/>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2、投标人具有有效期内的职业健康安全管理体系认证得 3分。</w:t>
            </w:r>
            <w:r/>
          </w:p>
          <w:p>
            <w:pPr>
              <w:numPr>
                <w:ilvl w:val="0"/>
                <w:numId w:val="0"/>
              </w:numPr>
              <w:jc w:val="left"/>
              <w:keepLines w:val="0"/>
              <w:keepNext w:val="0"/>
              <w:widowControl/>
              <w:rPr>
                <w:rFonts w:hint="eastAsia" w:ascii="宋体" w:hAnsi="宋体" w:eastAsia="宋体" w:cs="宋体"/>
                <w:color w:val="000000" w:themeColor="text1"/>
                <w:sz w:val="21"/>
                <w:szCs w:val="21"/>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3、投标人具有有效期内的信息安全管理体系认证得 3分。</w:t>
            </w:r>
            <w:r>
              <w:rPr>
                <w:rFonts w:hint="eastAsia" w:ascii="宋体" w:hAnsi="宋体" w:eastAsia="宋体" w:cs="宋体"/>
                <w:color w:val="000000" w:themeColor="text1"/>
                <w:sz w:val="21"/>
                <w:szCs w:val="21"/>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4、投标人具有人工智能管理体系认证证书的，得3分。</w:t>
            </w:r>
            <w:r/>
          </w:p>
          <w:p>
            <w:pPr>
              <w:numPr>
                <w:ilvl w:val="0"/>
                <w:numId w:val="0"/>
              </w:numPr>
              <w:jc w:val="left"/>
              <w:keepLines w:val="0"/>
              <w:keepNext w:val="0"/>
              <w:widowControl/>
              <w:rPr>
                <w:rFonts w:hint="eastAsia" w:ascii="宋体" w:hAnsi="宋体" w:eastAsia="宋体" w:cs="宋体"/>
                <w:color w:val="000000" w:themeColor="text1"/>
                <w:sz w:val="21"/>
                <w:szCs w:val="21"/>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5、投标人具有ITSS信息技术服务（运行维护）标准符合性证书的得3分。</w:t>
            </w:r>
            <w:r/>
          </w:p>
          <w:p>
            <w:pPr>
              <w:numPr>
                <w:ilvl w:val="0"/>
                <w:numId w:val="0"/>
              </w:numPr>
              <w:jc w:val="left"/>
              <w:keepLines w:val="0"/>
              <w:keepNext w:val="0"/>
              <w:widowControl/>
              <w:rPr>
                <w:rFonts w:hint="eastAsia" w:ascii="宋体" w:hAnsi="宋体" w:eastAsia="宋体" w:cs="宋体"/>
                <w:color w:val="000000" w:themeColor="text1"/>
                <w:sz w:val="21"/>
                <w:szCs w:val="21"/>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注：提供证书复印件及认证机构在线查询完整截图，扫描件并加盖投标人公章上传至投标文件中。（必须包含完整网址）</w:t>
            </w:r>
            <w:r>
              <w:rPr>
                <w:rFonts w:hint="eastAsia" w:ascii="宋体" w:hAnsi="宋体" w:cs="宋体"/>
                <w:b/>
                <w:szCs w:val="21"/>
              </w:rPr>
              <w:t xml:space="preserve">否则不得分</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w:t>
            </w:r>
            <w:r/>
          </w:p>
        </w:tc>
      </w:tr>
      <w:tr>
        <w:trPr>
          <w:jc w:val="center"/>
          <w:trHeight w:val="621"/>
        </w:trPr>
        <w:tc>
          <w:tcPr>
            <w:tcW w:w="1660" w:type="dxa"/>
            <w:vAlign w:val="center"/>
            <w:textDirection w:val="lrTb"/>
            <w:noWrap w:val="false"/>
          </w:tcPr>
          <w:p>
            <w:pPr>
              <w:jc w:val="center"/>
              <w:keepLines w:val="0"/>
              <w:keepNext w:val="0"/>
              <w:widowControl/>
              <w:rPr>
                <w:rFonts w:hint="eastAsia" w:ascii="宋体" w:hAnsi="宋体" w:cs="宋体"/>
                <w:color w:val="000000" w:themeColor="text1"/>
                <w:sz w:val="21"/>
                <w:szCs w:val="21"/>
                <w:lang w:bidi="ar"/>
                <w14:textFill>
                  <w14:solidFill>
                    <w14:schemeClr w14:val="tx1"/>
                  </w14:solidFill>
                </w14:textFill>
              </w:rPr>
              <w:suppressLineNumbers w:val="0"/>
            </w:pPr>
            <w:r>
              <w:rPr>
                <w:rFonts w:hint="eastAsia" w:ascii="宋体" w:hAnsi="宋体" w:cs="宋体"/>
                <w:color w:val="000000" w:themeColor="text1"/>
                <w:sz w:val="21"/>
                <w:szCs w:val="21"/>
                <w:lang w:bidi="ar"/>
                <w14:textFill>
                  <w14:solidFill>
                    <w14:schemeClr w14:val="tx1"/>
                  </w14:solidFill>
                </w14:textFill>
              </w:rPr>
              <w:t xml:space="preserve">项目组成员能力</w:t>
            </w:r>
            <w:r/>
          </w:p>
          <w:p>
            <w:pPr>
              <w:jc w:val="center"/>
              <w:keepLines w:val="0"/>
              <w:keepNext w:val="0"/>
              <w:widowControl/>
              <w:suppressLineNumbers w:val="0"/>
            </w:pPr>
            <w:r>
              <w:rPr>
                <w:rFonts w:hint="eastAsia" w:ascii="宋体" w:hAnsi="宋体" w:cs="宋体"/>
                <w:color w:val="000000" w:themeColor="text1"/>
                <w:sz w:val="21"/>
                <w:szCs w:val="21"/>
                <w:lang w:bidi="ar"/>
                <w14:textFill>
                  <w14:solidFill>
                    <w14:schemeClr w14:val="tx1"/>
                  </w14:solidFill>
                </w14:textFill>
              </w:rPr>
              <w:t xml:space="preserve">（</w:t>
            </w:r>
            <w:r>
              <w:rPr>
                <w:rFonts w:hint="eastAsia" w:ascii="宋体" w:hAnsi="宋体" w:cs="宋体"/>
                <w:color w:val="000000" w:themeColor="text1"/>
                <w:sz w:val="21"/>
                <w:szCs w:val="21"/>
                <w:lang w:val="en-US" w:eastAsia="zh-CN" w:bidi="ar"/>
                <w14:textFill>
                  <w14:solidFill>
                    <w14:schemeClr w14:val="tx1"/>
                  </w14:solidFill>
                </w14:textFill>
              </w:rPr>
              <w:t xml:space="preserve">9</w:t>
            </w:r>
            <w:r>
              <w:rPr>
                <w:rFonts w:hint="eastAsia" w:ascii="宋体" w:hAnsi="宋体" w:cs="宋体"/>
                <w:color w:val="000000" w:themeColor="text1"/>
                <w:sz w:val="21"/>
                <w:szCs w:val="21"/>
                <w:lang w:bidi="ar"/>
                <w14:textFill>
                  <w14:solidFill>
                    <w14:schemeClr w14:val="tx1"/>
                  </w14:solidFill>
                </w14:textFill>
              </w:rPr>
              <w:t xml:space="preserve">分）</w:t>
            </w:r>
            <w:r/>
          </w:p>
        </w:tc>
        <w:tc>
          <w:tcPr>
            <w:tcW w:w="6845" w:type="dxa"/>
            <w:vAlign w:val="center"/>
            <w:textDirection w:val="lrTb"/>
            <w:noWrap w:val="false"/>
          </w:tcPr>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1、投标人拟投入项目经理具有信息系统项目管理师证书、ITSS IT服务工程师、售后服务管理师证书的，每有一项得1分，最高得3分。未提供证书不得分。</w:t>
            </w:r>
            <w:r/>
          </w:p>
          <w:p>
            <w:pPr>
              <w:numPr>
                <w:ilvl w:val="0"/>
                <w:numId w:val="0"/>
              </w:numPr>
              <w:ind w:left="0" w:firstLine="0"/>
              <w:jc w:val="left"/>
              <w:keepLines w:val="0"/>
              <w:keepNext w:val="0"/>
              <w:widowControl/>
              <w:rPr>
                <w:rFonts w:hint="eastAsia"/>
                <w:lang w:val="en-US" w:eastAsia="zh-CN"/>
              </w:rPr>
              <w:suppressLineNumbers w:val="0"/>
            </w:pPr>
            <w:r>
              <w:rPr>
                <w:rFonts w:hint="eastAsia"/>
                <w:lang w:val="en-US" w:eastAsia="zh-CN"/>
              </w:rPr>
              <w:t xml:space="preserve">2、投标人拟投入本项目的技术负责人具有系统架构设计师证书、高级软件工程师、注册信息安全专业人员（CISP）证书，每提供一项证书得1分，最高得3分。未提供证书不得分。</w:t>
            </w:r>
            <w:r/>
          </w:p>
          <w:p>
            <w:pPr>
              <w:numPr>
                <w:ilvl w:val="0"/>
                <w:numId w:val="0"/>
              </w:numPr>
              <w:ind w:left="0" w:firstLine="0"/>
              <w:jc w:val="left"/>
              <w:keepLines w:val="0"/>
              <w:keepNext w:val="0"/>
              <w:widowControl/>
              <w:rPr>
                <w:rFonts w:hint="eastAsia"/>
                <w:lang w:val="en-US" w:eastAsia="zh-CN"/>
              </w:rPr>
              <w:suppressLineNumbers w:val="0"/>
            </w:pPr>
            <w:r>
              <w:rPr>
                <w:rFonts w:hint="eastAsia"/>
                <w:lang w:val="en-US" w:eastAsia="zh-CN"/>
              </w:rPr>
              <w:t xml:space="preserve">3、投标人投入本项目的项目团队（除项目负责人和技术负责人外）具有软件设计师证书、电子信息类高级工程师职称证书、网络规划设计师证书、ITSS IT服务工程师，每提供1个证书得1分，最高得3分，未提供证书不得分，同一人证书不重复计算、同一类型证书不重复计算。</w:t>
            </w:r>
            <w:r/>
          </w:p>
          <w:p>
            <w:pPr>
              <w:numPr>
                <w:ilvl w:val="0"/>
                <w:numId w:val="0"/>
              </w:numPr>
              <w:ind w:left="0" w:firstLine="0"/>
              <w:jc w:val="left"/>
              <w:keepLines w:val="0"/>
              <w:keepNext w:val="0"/>
              <w:widowControl/>
              <w:suppressLineNumbers w:val="0"/>
            </w:pPr>
            <w:r>
              <w:rPr>
                <w:rFonts w:hint="eastAsia" w:ascii="宋体" w:hAnsi="宋体" w:cs="宋体"/>
                <w:b/>
                <w:szCs w:val="21"/>
              </w:rPr>
              <w:t xml:space="preserve">注：提供有效相关证书扫描件加盖</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投标人</w:t>
            </w:r>
            <w:r>
              <w:rPr>
                <w:rFonts w:hint="eastAsia" w:ascii="宋体" w:hAnsi="宋体" w:cs="宋体"/>
                <w:b/>
                <w:szCs w:val="21"/>
              </w:rPr>
              <w:t xml:space="preserve">公章，并提供单位为其缴纳的近6个月内至少1个月的社保缴纳证明材料，否则不得分。</w:t>
            </w:r>
            <w:r/>
          </w:p>
        </w:tc>
      </w:tr>
      <w:tr>
        <w:trPr>
          <w:jc w:val="center"/>
          <w:trHeight w:val="621"/>
        </w:trPr>
        <w:tc>
          <w:tcPr>
            <w:tcW w:w="1660"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1"/>
                <w:szCs w:val="21"/>
                <w:u w:val="none"/>
                <w:lang w:val="en-US" w:eastAsia="zh-CN" w:bidi="ar"/>
              </w:rPr>
              <w:t xml:space="preserve">业绩案例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（6分）</w:t>
            </w:r>
            <w:r/>
          </w:p>
        </w:tc>
        <w:tc>
          <w:tcPr>
            <w:tcW w:w="6845" w:type="dxa"/>
            <w:vAlign w:val="center"/>
            <w:textDirection w:val="lrTb"/>
            <w:noWrap w:val="false"/>
          </w:tcPr>
          <w:p>
            <w:pPr>
              <w:jc w:val="left"/>
              <w:keepLines w:val="0"/>
              <w:keepNext w:val="0"/>
              <w:widowControl/>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投标人提供</w:t>
            </w:r>
            <w:r>
              <w:rPr>
                <w:rFonts w:hint="eastAsia" w:ascii="宋体" w:hAnsi="宋体" w:eastAsia="宋体" w:cs="宋体"/>
                <w:color w:val="auto"/>
                <w:sz w:val="21"/>
                <w:szCs w:val="21"/>
                <w:lang w:val="en-US" w:eastAsia="zh-CN"/>
              </w:rPr>
              <w:t xml:space="preserve">自2023年1</w:t>
            </w:r>
            <w:r>
              <w:rPr>
                <w:rFonts w:hint="eastAsia" w:ascii="宋体" w:hAnsi="宋体" w:eastAsia="宋体" w:cs="宋体"/>
                <w:color w:val="000000" w:themeColor="text1"/>
                <w:sz w:val="21"/>
                <w:szCs w:val="21"/>
                <w:lang w:val="en-US" w:eastAsia="zh-CN"/>
                <w14:textFill>
                  <w14:solidFill>
                    <w14:schemeClr w14:val="tx1"/>
                  </w14:solidFill>
                </w14:textFill>
              </w:rPr>
              <w:t xml:space="preserve">月1日（以签订合同时间为准）至今具有的类似项目业绩的，每提供一个得3分，最高得6分。</w:t>
            </w:r>
            <w:r>
              <w:rPr>
                <w:rFonts w:hint="eastAsia" w:ascii="宋体" w:hAnsi="宋体" w:eastAsia="宋体" w:cs="宋体"/>
                <w:color w:val="000000" w:themeColor="text1"/>
                <w:sz w:val="21"/>
                <w:szCs w:val="21"/>
                <w:lang w:val="en-US" w:eastAsia="zh-CN"/>
                <w14:textFill>
                  <w14:solidFill>
                    <w14:schemeClr w14:val="tx1"/>
                  </w14:solidFill>
                </w14:textFill>
              </w:rPr>
              <w:br/>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投标文件中提供合同扫描件并加盖投标人公章，否则不得分。时间、服务内容以合同为准。</w:t>
            </w:r>
            <w:r/>
          </w:p>
        </w:tc>
      </w:tr>
    </w:tbl>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59"/>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rPr>
          <w:rFonts w:hint="eastAsia" w:ascii="黑体" w:hAnsi="黑体" w:eastAsia="黑体" w:cs="宋体"/>
          <w:bCs/>
          <w:sz w:val="36"/>
          <w:szCs w:val="28"/>
        </w:rPr>
      </w:pPr>
      <w:r>
        <w:rPr>
          <w:rFonts w:hint="eastAsia" w:ascii="黑体" w:hAnsi="黑体" w:eastAsia="黑体" w:cs="宋体"/>
          <w:bCs/>
          <w:sz w:val="36"/>
          <w:szCs w:val="28"/>
        </w:rPr>
        <w:br w:type="page" w:clear="all"/>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br w:type="page" w:clear="all"/>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br w:type="page" w:clear="all"/>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宋体" w:hAnsi="宋体" w:eastAsia="宋体" w:cs="Times New Roman"/>
          <w:color w:val="000000"/>
          <w:sz w:val="24"/>
          <w:szCs w:val="20"/>
        </w:rPr>
      </w:pPr>
      <w:r>
        <w:rPr>
          <w:rFonts w:hint="eastAsia" w:ascii="Calibri" w:hAnsi="Calibri" w:eastAsia="宋体" w:cs="Times New Roman"/>
          <w:sz w:val="24"/>
          <w:szCs w:val="24"/>
        </w:rPr>
        <w:t xml:space="preserve">日期：    年     月     日</w:t>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6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br w:type="page" w:clear="all"/>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2"/>
          <w:szCs w:val="22"/>
          <w:highlight w:val="none"/>
        </w:rPr>
      </w:pPr>
      <w:r>
        <w:rPr>
          <w:rFonts w:hint="eastAsia" w:ascii="黑体" w:hAnsi="黑体" w:eastAsia="黑体" w:cs="宋体"/>
          <w:bCs/>
          <w:sz w:val="32"/>
          <w:szCs w:val="24"/>
          <w:highlight w:val="none"/>
        </w:rPr>
        <w:t xml:space="preserve">投标函</w:t>
      </w:r>
      <w:r/>
    </w:p>
    <w:p>
      <w:pPr>
        <w:jc w:val="left"/>
        <w:spacing w:line="500" w:lineRule="exact"/>
        <w:rPr>
          <w:rFonts w:hint="eastAsia" w:ascii="宋体" w:hAnsi="宋体" w:eastAsia="宋体" w:cs="Times New Roman"/>
          <w:color w:val="000000"/>
          <w:sz w:val="21"/>
          <w:szCs w:val="18"/>
          <w:lang w:eastAsia="zh-CN"/>
        </w:rPr>
      </w:pPr>
      <w:r>
        <w:rPr>
          <w:rFonts w:hint="eastAsia" w:ascii="宋体" w:hAnsi="宋体" w:eastAsia="宋体" w:cs="Times New Roman"/>
          <w:color w:val="000000"/>
          <w:sz w:val="21"/>
          <w:szCs w:val="18"/>
        </w:rPr>
        <w:t xml:space="preserve">致：</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根据贵方的JSZC-_________________号招标文件，正式授权下述签字人_________________(姓名)代表我方______________（投标人的名称），全权处理本次项目投标的有关事宜。</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据此函，__________签字人兹宣布同意如下：</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1.按招标文件规定的各项要求，向买方提供所需货物（包含与货物相关的工程、服务）。</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2.我们完全理解贵方不一定将合同授予最低报价的投标人。</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3.我们已详细审核全部招标文件及其有效补充文件，我们知道必须放弃提出含糊不清或误解问题的权利。</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4.我们同意从规定的开标日期起遵循本投标文件，并在规定的投标有效期期满之前均具有约束力。</w:t>
      </w:r>
      <w:r/>
    </w:p>
    <w:p>
      <w:pPr>
        <w:ind w:firstLine="420"/>
        <w:jc w:val="left"/>
        <w:spacing w:line="500" w:lineRule="exact"/>
        <w:rPr>
          <w:rFonts w:ascii="宋体" w:hAnsi="宋体" w:eastAsia="宋体" w:cs="Times New Roman"/>
          <w:color w:val="000000"/>
          <w:sz w:val="21"/>
          <w:szCs w:val="18"/>
        </w:rPr>
      </w:pPr>
      <w:r>
        <w:rPr>
          <w:rFonts w:ascii="宋体" w:hAnsi="宋体" w:eastAsia="宋体" w:cs="Times New Roman"/>
          <w:color w:val="000000"/>
          <w:sz w:val="21"/>
          <w:szCs w:val="18"/>
        </w:rPr>
        <w:t xml:space="preserve">5</w:t>
      </w:r>
      <w:r>
        <w:rPr>
          <w:rFonts w:hint="eastAsia" w:ascii="宋体" w:hAnsi="宋体" w:eastAsia="宋体" w:cs="Times New Roman"/>
          <w:color w:val="000000"/>
          <w:sz w:val="21"/>
          <w:szCs w:val="18"/>
        </w:rPr>
        <w:t xml:space="preserve">.同意向贵方提供贵方可能另外要求的与投标有关的任何证据或资料，并保证我方已提供和将要提供的文件是真实的、准确的。</w:t>
      </w:r>
      <w:r/>
    </w:p>
    <w:p>
      <w:pPr>
        <w:ind w:firstLine="420"/>
        <w:jc w:val="left"/>
        <w:spacing w:line="500" w:lineRule="exact"/>
        <w:rPr>
          <w:rFonts w:ascii="宋体" w:hAnsi="宋体" w:eastAsia="宋体" w:cs="Times New Roman"/>
          <w:color w:val="000000"/>
          <w:sz w:val="21"/>
          <w:szCs w:val="18"/>
        </w:rPr>
      </w:pPr>
      <w:r>
        <w:rPr>
          <w:rFonts w:ascii="宋体" w:hAnsi="宋体" w:eastAsia="宋体" w:cs="Times New Roman"/>
          <w:color w:val="000000"/>
          <w:sz w:val="21"/>
          <w:szCs w:val="18"/>
        </w:rPr>
        <w:t xml:space="preserve">6</w:t>
      </w:r>
      <w:r>
        <w:rPr>
          <w:rFonts w:hint="eastAsia" w:ascii="宋体" w:hAnsi="宋体" w:eastAsia="宋体" w:cs="Times New Roman"/>
          <w:color w:val="000000"/>
          <w:sz w:val="21"/>
          <w:szCs w:val="18"/>
        </w:rPr>
        <w:t xml:space="preserve">.一旦我方中标,我方将根据招标文件的规定，严格履行合同的责任和义务,并保证在招标文件规定的时间完成项目，交付买方验收、使用。</w:t>
      </w:r>
      <w:r/>
    </w:p>
    <w:p>
      <w:pPr>
        <w:ind w:firstLine="420"/>
        <w:jc w:val="left"/>
        <w:spacing w:line="500" w:lineRule="exact"/>
        <w:rPr>
          <w:rFonts w:ascii="宋体" w:hAnsi="宋体" w:eastAsia="宋体" w:cs="Times New Roman"/>
          <w:color w:val="000000"/>
          <w:sz w:val="21"/>
          <w:szCs w:val="18"/>
        </w:rPr>
      </w:pPr>
      <w:r>
        <w:rPr>
          <w:rFonts w:ascii="宋体" w:hAnsi="宋体" w:eastAsia="宋体" w:cs="Times New Roman"/>
          <w:color w:val="000000"/>
          <w:sz w:val="21"/>
          <w:szCs w:val="18"/>
        </w:rPr>
        <w:t xml:space="preserve">7</w:t>
      </w:r>
      <w:r>
        <w:rPr>
          <w:rFonts w:hint="eastAsia" w:ascii="宋体" w:hAnsi="宋体" w:eastAsia="宋体" w:cs="Times New Roman"/>
          <w:color w:val="000000"/>
          <w:sz w:val="21"/>
          <w:szCs w:val="18"/>
        </w:rPr>
        <w:t xml:space="preserve">.与本投标有关的正式通讯地址为：</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地        址：</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邮        编：</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电        话：</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传        真：</w:t>
      </w:r>
      <w:r/>
    </w:p>
    <w:p>
      <w:pPr>
        <w:ind w:firstLine="420"/>
        <w:jc w:val="left"/>
        <w:spacing w:line="500" w:lineRule="exact"/>
        <w:rPr>
          <w:rFonts w:ascii="宋体" w:hAnsi="宋体" w:eastAsia="宋体" w:cs="Times New Roman"/>
          <w:color w:val="000000"/>
          <w:sz w:val="21"/>
          <w:szCs w:val="18"/>
        </w:rPr>
      </w:pPr>
      <w:r>
        <w:rPr>
          <w:rFonts w:hint="eastAsia" w:ascii="宋体" w:hAnsi="宋体" w:eastAsia="宋体" w:cs="Times New Roman"/>
          <w:color w:val="000000"/>
          <w:sz w:val="21"/>
          <w:szCs w:val="18"/>
        </w:rPr>
        <w:t xml:space="preserve">投标人开户行：</w:t>
      </w:r>
      <w:r/>
    </w:p>
    <w:p>
      <w:pPr>
        <w:ind w:firstLine="420"/>
        <w:jc w:val="left"/>
        <w:spacing w:line="500" w:lineRule="exact"/>
        <w:rPr>
          <w:sz w:val="18"/>
          <w:szCs w:val="20"/>
        </w:rPr>
      </w:pPr>
      <w:r>
        <w:rPr>
          <w:rFonts w:hint="eastAsia" w:ascii="宋体" w:hAnsi="宋体" w:eastAsia="宋体" w:cs="Times New Roman"/>
          <w:color w:val="000000"/>
          <w:sz w:val="21"/>
          <w:szCs w:val="18"/>
        </w:rPr>
        <w:t xml:space="preserve">账        号： </w:t>
      </w:r>
      <w:r/>
    </w:p>
    <w:p>
      <w:pPr>
        <w:ind w:firstLine="420"/>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投标人（盖章）：</w:t>
      </w:r>
      <w:r/>
    </w:p>
    <w:p>
      <w:pPr>
        <w:ind w:firstLine="420"/>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法定代表人</w:t>
      </w:r>
      <w:r>
        <w:rPr>
          <w:rFonts w:ascii="Calibri" w:hAnsi="Calibri" w:eastAsia="宋体" w:cs="Times New Roman"/>
          <w:sz w:val="21"/>
          <w:szCs w:val="21"/>
        </w:rPr>
        <w:t xml:space="preserve">（单位负责人）</w:t>
      </w:r>
      <w:r>
        <w:rPr>
          <w:rFonts w:hint="eastAsia" w:ascii="Times New Roman" w:hAnsi="Times New Roman" w:eastAsia="宋体" w:cs="Times New Roman"/>
          <w:color w:val="000000"/>
          <w:sz w:val="21"/>
          <w:szCs w:val="21"/>
        </w:rPr>
        <w:t xml:space="preserve">或委托代理人（签字或盖章）：</w:t>
      </w:r>
      <w:r/>
    </w:p>
    <w:p>
      <w:pPr>
        <w:ind w:firstLine="420"/>
        <w:spacing w:line="500" w:lineRule="exact"/>
      </w:pPr>
      <w:r>
        <w:rPr>
          <w:rFonts w:hint="eastAsia" w:ascii="Times New Roman" w:hAnsi="Times New Roman" w:eastAsia="宋体" w:cs="Times New Roman"/>
          <w:color w:val="000000"/>
          <w:sz w:val="21"/>
          <w:szCs w:val="21"/>
        </w:rPr>
        <w:t xml:space="preserve">日期：    年     月     日</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2、请供应商如实填写，所填内容须与投标分项报价表一致，如填写不完整或不一致或填写有误，将不享受扶持政策。</w:t>
      </w:r>
      <w:r/>
    </w:p>
    <w:p>
      <w:pPr>
        <w:ind w:firstLine="480"/>
        <w:jc w:val="left"/>
        <w:spacing w:line="360" w:lineRule="auto"/>
      </w:pPr>
      <w:r>
        <w:rPr>
          <w:rFonts w:hint="eastAsia" w:ascii="宋体" w:hAnsi="宋体" w:eastAsia="宋体" w:cs="Times New Roman"/>
          <w:sz w:val="24"/>
          <w:szCs w:val="24"/>
        </w:rPr>
        <w:t xml:space="preserve">3、中标人的《中小企业声明函》随中标结果公开，接受社会监督。</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86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四</w:t>
      </w:r>
      <w:r>
        <w:rPr>
          <w:rFonts w:hint="eastAsia" w:ascii="Arial" w:hAnsi="Arial" w:eastAsia="宋体"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rFonts w:hint="eastAsia" w:ascii="Arial" w:hAnsi="Arial" w:eastAsia="宋体" w:cs="Arial"/>
          <w:i/>
          <w:iCs/>
          <w:sz w:val="36"/>
          <w:highlight w:val="none"/>
          <w:u w:val="single"/>
        </w:rPr>
      </w:pPr>
      <w:r/>
      <w:bookmarkStart w:id="13" w:name="_Hlt26955054"/>
      <w:r/>
      <w:bookmarkEnd w:id="13"/>
      <w:r>
        <w:rPr>
          <w:rFonts w:hint="eastAsia" w:ascii="Arial" w:hAnsi="Arial" w:eastAsia="宋体" w:cs="Arial"/>
          <w:i/>
          <w:iCs/>
          <w:sz w:val="36"/>
          <w:highlight w:val="none"/>
          <w:u w:val="single"/>
        </w:rPr>
        <w:br w:type="page" w:clear="all"/>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w:t>
      </w:r>
      <w:r>
        <w:rPr>
          <w:rFonts w:hint="eastAsia" w:ascii="Arial" w:hAnsi="Arial" w:eastAsia="宋体" w:cs="Arial"/>
          <w:i/>
          <w:iCs/>
          <w:sz w:val="36"/>
          <w:highlight w:val="none"/>
          <w:u w:val="single"/>
          <w:lang w:val="en-US" w:eastAsia="zh-CN"/>
        </w:rPr>
        <w:t xml:space="preserve">五</w:t>
      </w:r>
      <w:r>
        <w:rPr>
          <w:rFonts w:hint="eastAsia" w:ascii="Arial" w:hAnsi="Arial" w:eastAsia="宋体" w:cs="Arial"/>
          <w:i/>
          <w:iCs/>
          <w:sz w:val="36"/>
          <w:highlight w:val="none"/>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4" w:name="_Hlt26671372"/>
            <w:r/>
            <w:bookmarkEnd w:id="14"/>
            <w:r/>
            <w:bookmarkStart w:id="15" w:name="_Hlt26609391"/>
            <w:r/>
            <w:bookmarkEnd w:id="15"/>
            <w:r/>
            <w:bookmarkStart w:id="16" w:name="_Hlt26580838"/>
            <w:r/>
            <w:bookmarkEnd w:id="16"/>
            <w:r/>
            <w:bookmarkStart w:id="17" w:name="_Hlt26671343"/>
            <w:r/>
            <w:bookmarkEnd w:id="17"/>
            <w:r/>
            <w:bookmarkStart w:id="18" w:name="_Hlt24879081"/>
            <w:r/>
            <w:bookmarkEnd w:id="18"/>
            <w:r/>
            <w:bookmarkStart w:id="19" w:name="_Hlt26955056"/>
            <w:r/>
            <w:bookmarkEnd w:id="19"/>
            <w:r/>
            <w:bookmarkStart w:id="20" w:name="_Hlt26782999"/>
            <w:r/>
            <w:bookmarkEnd w:id="20"/>
            <w:r/>
            <w:bookmarkStart w:id="21" w:name="_Hlt26955064"/>
            <w:r/>
            <w:bookmarkEnd w:id="21"/>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2" w:name="_Hlt26955066"/>
      <w:r/>
      <w:bookmarkEnd w:id="22"/>
      <w:r/>
      <w:bookmarkStart w:id="23" w:name="_格式2__法定代表人授权书"/>
      <w:r/>
      <w:bookmarkEnd w:id="23"/>
      <w:r/>
      <w:bookmarkStart w:id="24" w:name="_Hlt26609389"/>
      <w:r/>
      <w:bookmarkEnd w:id="24"/>
      <w:r/>
      <w:bookmarkStart w:id="25" w:name="_Hlt26671374"/>
      <w:r/>
      <w:bookmarkEnd w:id="25"/>
      <w:r/>
      <w:r/>
    </w:p>
    <w:p>
      <w: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六</w:t>
      </w:r>
      <w:r>
        <w:rPr>
          <w:rFonts w:hint="eastAsia" w:ascii="Arial" w:hAnsi="Arial" w:eastAsia="宋体"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七</w:t>
      </w:r>
      <w:r>
        <w:rPr>
          <w:rFonts w:hint="eastAsia" w:ascii="Arial" w:hAnsi="Arial" w:eastAsia="宋体"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br w:type="page" w:clear="all"/>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ascii="Times New Roman" w:hAnsi="Times New Roman" w:eastAsia="仿宋_GB2312" w:cs="Times New Roman"/>
          <w:color w:val="000000"/>
          <w:sz w:val="24"/>
          <w:szCs w:val="20"/>
          <w:highlight w:val="none"/>
        </w:rPr>
      </w:pPr>
      <w:r>
        <w:rPr>
          <w:rFonts w:hint="eastAsia" w:ascii="宋体" w:hAnsi="宋体" w:eastAsia="宋体" w:cs="宋体"/>
          <w:bCs/>
          <w:i/>
          <w:color w:val="000000"/>
          <w:sz w:val="36"/>
          <w:szCs w:val="36"/>
          <w:highlight w:val="none"/>
          <w:u w:val="single"/>
        </w:rPr>
        <w:t xml:space="preserve">十</w:t>
      </w:r>
      <w:r>
        <w:rPr>
          <w:rFonts w:hint="eastAsia" w:ascii="宋体" w:hAnsi="宋体" w:eastAsia="宋体" w:cs="宋体"/>
          <w:bCs/>
          <w:i/>
          <w:color w:val="000000"/>
          <w:sz w:val="36"/>
          <w:szCs w:val="36"/>
          <w:highlight w:val="none"/>
          <w:u w:val="single"/>
          <w:lang w:val="en-US" w:eastAsia="zh-CN"/>
        </w:rPr>
        <w:t xml:space="preserve">八</w:t>
      </w:r>
      <w:r>
        <w:rPr>
          <w:rFonts w:hint="eastAsia" w:ascii="宋体" w:hAnsi="宋体" w:eastAsia="宋体" w:cs="宋体"/>
          <w:bCs/>
          <w:i/>
          <w:color w:val="000000"/>
          <w:sz w:val="36"/>
          <w:szCs w:val="36"/>
          <w:highlight w:val="none"/>
          <w:u w:val="single"/>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875"/>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元</w:t>
            </w:r>
            <w:r/>
          </w:p>
        </w:tc>
      </w:tr>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（备注：总报价有核心产品时选用，确定后该备注删除。）</w:t>
      </w:r>
      <w:r/>
    </w:p>
    <w:p>
      <w:pPr>
        <w:jc w:val="left"/>
        <w:widowControl/>
        <w:rPr>
          <w:rFonts w:ascii="黑体" w:hAnsi="黑体" w:eastAsia="黑体" w:cs="仿宋"/>
          <w:bCs/>
          <w:color w:val="000000"/>
          <w:sz w:val="40"/>
          <w:szCs w:val="32"/>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ascii="黑体" w:hAnsi="黑体" w:eastAsia="黑体" w:cs="仿宋"/>
          <w:bCs/>
          <w:color w:val="000000"/>
          <w:sz w:val="40"/>
          <w:szCs w:val="32"/>
        </w:rPr>
        <w:br w:type="page" w:clear="all"/>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lang w:val="en-US" w:eastAsia="zh-CN"/>
        </w:rPr>
        <w:t xml:space="preserve">十九、</w:t>
      </w:r>
      <w:r>
        <w:rPr>
          <w:rFonts w:hint="eastAsia" w:ascii="Arial" w:hAnsi="Arial" w:eastAsia="宋体" w:cs="Arial"/>
          <w:iCs/>
          <w:sz w:val="36"/>
        </w:rPr>
        <w:t xml:space="preserve">关于符合本国产品标准的声明函</w:t>
      </w:r>
      <w:r/>
    </w:p>
    <w:p>
      <w:pPr>
        <w:pStyle w:val="874"/>
        <w:ind w:left="0" w:right="0"/>
        <w:jc w:val="center"/>
        <w:keepLines w:val="0"/>
        <w:keepNext w:val="0"/>
        <w:spacing w:before="15" w:beforeAutospacing="0" w:after="15" w:afterAutospacing="0"/>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rPr>
        <w:t xml:space="preserve">关于符合本国产品标准的声明函</w:t>
      </w:r>
      <w:r/>
    </w:p>
    <w:p>
      <w:pPr>
        <w:pStyle w:val="874"/>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4"/>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26"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7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7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7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7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7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4"/>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74"/>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7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7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7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7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7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7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26"/>
      <w:r/>
      <w:r/>
    </w:p>
    <w:p>
      <w:pPr>
        <w:jc w:val="lef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color w:val="auto"/>
          <w:sz w:val="24"/>
          <w:szCs w:val="24"/>
        </w:rPr>
      </w:pPr>
      <w:r>
        <w:rPr>
          <w:rFonts w:hint="eastAsia" w:ascii="宋体" w:hAnsi="宋体" w:eastAsia="宋体" w:cs="Times New Roman"/>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汉仪书宋二S">
    <w:panose1 w:val="020B0503020202020204"/>
  </w:font>
  <w:font w:name="MS Mincho">
    <w:panose1 w:val="02020603050405090304"/>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71"/>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0"/>
  </w:num>
  <w:num w:numId="5">
    <w:abstractNumId w:val="4"/>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2"/>
    <w:link w:val="859"/>
    <w:uiPriority w:val="9"/>
    <w:rPr>
      <w:rFonts w:ascii="Arial" w:hAnsi="Arial" w:eastAsia="Arial" w:cs="Arial"/>
      <w:sz w:val="40"/>
      <w:szCs w:val="40"/>
    </w:rPr>
  </w:style>
  <w:style w:type="character" w:styleId="689">
    <w:name w:val="Heading 2 Char"/>
    <w:basedOn w:val="862"/>
    <w:link w:val="860"/>
    <w:uiPriority w:val="9"/>
    <w:rPr>
      <w:rFonts w:ascii="Arial" w:hAnsi="Arial" w:eastAsia="Arial" w:cs="Arial"/>
      <w:sz w:val="34"/>
    </w:rPr>
  </w:style>
  <w:style w:type="character" w:styleId="690">
    <w:name w:val="Heading 3 Char"/>
    <w:basedOn w:val="862"/>
    <w:link w:val="861"/>
    <w:uiPriority w:val="9"/>
    <w:rPr>
      <w:rFonts w:ascii="Arial" w:hAnsi="Arial" w:eastAsia="Arial" w:cs="Arial"/>
      <w:sz w:val="30"/>
      <w:szCs w:val="30"/>
    </w:rPr>
  </w:style>
  <w:style w:type="paragraph" w:styleId="691">
    <w:name w:val="Heading 4"/>
    <w:basedOn w:val="858"/>
    <w:next w:val="858"/>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basedOn w:val="862"/>
    <w:link w:val="691"/>
    <w:uiPriority w:val="9"/>
    <w:rPr>
      <w:rFonts w:ascii="Arial" w:hAnsi="Arial" w:eastAsia="Arial" w:cs="Arial"/>
      <w:b/>
      <w:bCs/>
      <w:sz w:val="26"/>
      <w:szCs w:val="26"/>
    </w:rPr>
  </w:style>
  <w:style w:type="paragraph" w:styleId="693">
    <w:name w:val="Heading 5"/>
    <w:basedOn w:val="858"/>
    <w:next w:val="858"/>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basedOn w:val="862"/>
    <w:link w:val="693"/>
    <w:uiPriority w:val="9"/>
    <w:rPr>
      <w:rFonts w:ascii="Arial" w:hAnsi="Arial" w:eastAsia="Arial" w:cs="Arial"/>
      <w:b/>
      <w:bCs/>
      <w:sz w:val="24"/>
      <w:szCs w:val="24"/>
    </w:rPr>
  </w:style>
  <w:style w:type="paragraph" w:styleId="695">
    <w:name w:val="Heading 6"/>
    <w:basedOn w:val="858"/>
    <w:next w:val="858"/>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62"/>
    <w:link w:val="695"/>
    <w:uiPriority w:val="9"/>
    <w:rPr>
      <w:rFonts w:ascii="Arial" w:hAnsi="Arial" w:eastAsia="Arial" w:cs="Arial"/>
      <w:b/>
      <w:bCs/>
      <w:sz w:val="22"/>
      <w:szCs w:val="22"/>
    </w:rPr>
  </w:style>
  <w:style w:type="paragraph" w:styleId="697">
    <w:name w:val="Heading 7"/>
    <w:basedOn w:val="858"/>
    <w:next w:val="858"/>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62"/>
    <w:link w:val="697"/>
    <w:uiPriority w:val="9"/>
    <w:rPr>
      <w:rFonts w:ascii="Arial" w:hAnsi="Arial" w:eastAsia="Arial" w:cs="Arial"/>
      <w:b/>
      <w:bCs/>
      <w:i/>
      <w:iCs/>
      <w:sz w:val="22"/>
      <w:szCs w:val="22"/>
    </w:rPr>
  </w:style>
  <w:style w:type="paragraph" w:styleId="699">
    <w:name w:val="Heading 8"/>
    <w:basedOn w:val="858"/>
    <w:next w:val="858"/>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62"/>
    <w:link w:val="699"/>
    <w:uiPriority w:val="9"/>
    <w:rPr>
      <w:rFonts w:ascii="Arial" w:hAnsi="Arial" w:eastAsia="Arial" w:cs="Arial"/>
      <w:i/>
      <w:iCs/>
      <w:sz w:val="22"/>
      <w:szCs w:val="22"/>
    </w:rPr>
  </w:style>
  <w:style w:type="paragraph" w:styleId="701">
    <w:name w:val="Heading 9"/>
    <w:basedOn w:val="858"/>
    <w:next w:val="858"/>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62"/>
    <w:link w:val="701"/>
    <w:uiPriority w:val="9"/>
    <w:rPr>
      <w:rFonts w:ascii="Arial" w:hAnsi="Arial" w:eastAsia="Arial" w:cs="Arial"/>
      <w:i/>
      <w:iCs/>
      <w:sz w:val="21"/>
      <w:szCs w:val="21"/>
    </w:rPr>
  </w:style>
  <w:style w:type="paragraph" w:styleId="703">
    <w:name w:val="List Paragraph"/>
    <w:basedOn w:val="858"/>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58"/>
    <w:next w:val="858"/>
    <w:link w:val="706"/>
    <w:uiPriority w:val="10"/>
    <w:qFormat/>
    <w:pPr>
      <w:contextualSpacing/>
      <w:spacing w:before="300" w:after="200"/>
    </w:pPr>
    <w:rPr>
      <w:sz w:val="48"/>
      <w:szCs w:val="48"/>
    </w:rPr>
  </w:style>
  <w:style w:type="character" w:styleId="706">
    <w:name w:val="Title Char"/>
    <w:basedOn w:val="862"/>
    <w:link w:val="705"/>
    <w:uiPriority w:val="10"/>
    <w:rPr>
      <w:sz w:val="48"/>
      <w:szCs w:val="48"/>
    </w:rPr>
  </w:style>
  <w:style w:type="paragraph" w:styleId="707">
    <w:name w:val="Subtitle"/>
    <w:basedOn w:val="858"/>
    <w:next w:val="858"/>
    <w:link w:val="708"/>
    <w:uiPriority w:val="11"/>
    <w:qFormat/>
    <w:pPr>
      <w:spacing w:before="200" w:after="200"/>
    </w:pPr>
    <w:rPr>
      <w:sz w:val="24"/>
      <w:szCs w:val="24"/>
    </w:rPr>
  </w:style>
  <w:style w:type="character" w:styleId="708">
    <w:name w:val="Subtitle Char"/>
    <w:basedOn w:val="862"/>
    <w:link w:val="707"/>
    <w:uiPriority w:val="11"/>
    <w:rPr>
      <w:sz w:val="24"/>
      <w:szCs w:val="24"/>
    </w:rPr>
  </w:style>
  <w:style w:type="paragraph" w:styleId="709">
    <w:name w:val="Quote"/>
    <w:basedOn w:val="858"/>
    <w:next w:val="858"/>
    <w:link w:val="710"/>
    <w:uiPriority w:val="29"/>
    <w:qFormat/>
    <w:pPr>
      <w:ind w:left="720" w:right="720"/>
    </w:pPr>
    <w:rPr>
      <w:i/>
    </w:rPr>
  </w:style>
  <w:style w:type="character" w:styleId="710">
    <w:name w:val="Quote Char"/>
    <w:link w:val="709"/>
    <w:uiPriority w:val="29"/>
    <w:rPr>
      <w:i/>
    </w:rPr>
  </w:style>
  <w:style w:type="paragraph" w:styleId="711">
    <w:name w:val="Intense Quote"/>
    <w:basedOn w:val="858"/>
    <w:next w:val="858"/>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62"/>
    <w:link w:val="872"/>
    <w:uiPriority w:val="99"/>
  </w:style>
  <w:style w:type="character" w:styleId="714">
    <w:name w:val="Footer Char"/>
    <w:basedOn w:val="862"/>
    <w:link w:val="871"/>
    <w:uiPriority w:val="99"/>
  </w:style>
  <w:style w:type="paragraph" w:styleId="715">
    <w:name w:val="Caption"/>
    <w:basedOn w:val="858"/>
    <w:next w:val="858"/>
    <w:uiPriority w:val="35"/>
    <w:semiHidden/>
    <w:unhideWhenUsed/>
    <w:qFormat/>
    <w:pPr>
      <w:spacing w:line="276" w:lineRule="auto"/>
    </w:pPr>
    <w:rPr>
      <w:b/>
      <w:bCs/>
      <w:color w:val="4f81bd" w:themeColor="accent1"/>
      <w:sz w:val="18"/>
      <w:szCs w:val="18"/>
    </w:rPr>
  </w:style>
  <w:style w:type="character" w:styleId="716">
    <w:name w:val="Caption Char"/>
    <w:basedOn w:val="715"/>
    <w:link w:val="871"/>
    <w:uiPriority w:val="99"/>
  </w:style>
  <w:style w:type="table" w:styleId="717">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8"/>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2"/>
    <w:uiPriority w:val="99"/>
    <w:unhideWhenUsed/>
    <w:rPr>
      <w:vertAlign w:val="superscript"/>
    </w:rPr>
  </w:style>
  <w:style w:type="paragraph" w:styleId="845">
    <w:name w:val="endnote text"/>
    <w:basedOn w:val="858"/>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2"/>
    <w:uiPriority w:val="99"/>
    <w:semiHidden/>
    <w:unhideWhenUsed/>
    <w:rPr>
      <w:vertAlign w:val="superscript"/>
    </w:r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9">
    <w:name w:val="Heading 1"/>
    <w:basedOn w:val="858"/>
    <w:next w:val="858"/>
    <w:link w:val="880"/>
    <w:uiPriority w:val="9"/>
    <w:qFormat/>
    <w:pPr>
      <w:keepLines/>
      <w:keepNext/>
      <w:spacing w:before="340" w:after="330" w:line="578" w:lineRule="auto"/>
      <w:outlineLvl w:val="0"/>
    </w:pPr>
    <w:rPr>
      <w:b/>
      <w:bCs/>
      <w:sz w:val="44"/>
      <w:szCs w:val="44"/>
    </w:rPr>
  </w:style>
  <w:style w:type="paragraph" w:styleId="860">
    <w:name w:val="Heading 2"/>
    <w:basedOn w:val="858"/>
    <w:next w:val="858"/>
    <w:link w:val="88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1">
    <w:name w:val="Heading 3"/>
    <w:basedOn w:val="858"/>
    <w:next w:val="858"/>
    <w:link w:val="883"/>
    <w:uiPriority w:val="9"/>
    <w:unhideWhenUsed/>
    <w:qFormat/>
    <w:pPr>
      <w:keepLines/>
      <w:keepNext/>
      <w:spacing w:before="260" w:after="260" w:line="416" w:lineRule="auto"/>
      <w:outlineLvl w:val="2"/>
    </w:pPr>
    <w:rPr>
      <w:b/>
      <w:bCs/>
      <w:sz w:val="32"/>
      <w:szCs w:val="32"/>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Document Map"/>
    <w:basedOn w:val="858"/>
    <w:link w:val="881"/>
    <w:uiPriority w:val="99"/>
    <w:semiHidden/>
    <w:unhideWhenUsed/>
    <w:qFormat/>
    <w:rPr>
      <w:rFonts w:ascii="宋体" w:eastAsia="宋体"/>
      <w:sz w:val="18"/>
      <w:szCs w:val="18"/>
    </w:rPr>
  </w:style>
  <w:style w:type="paragraph" w:styleId="865">
    <w:name w:val="annotation text"/>
    <w:basedOn w:val="858"/>
    <w:link w:val="885"/>
    <w:uiPriority w:val="0"/>
    <w:qFormat/>
    <w:pPr>
      <w:ind w:firstLine="922"/>
      <w:jc w:val="left"/>
      <w:spacing w:line="360" w:lineRule="auto"/>
    </w:pPr>
    <w:rPr>
      <w:rFonts w:ascii="Times New Roman" w:hAnsi="Times New Roman" w:eastAsia="宋体" w:cs="Times New Roman"/>
      <w:szCs w:val="24"/>
    </w:rPr>
  </w:style>
  <w:style w:type="paragraph" w:styleId="866">
    <w:name w:val="Body Text"/>
    <w:basedOn w:val="858"/>
    <w:next w:val="858"/>
    <w:link w:val="888"/>
    <w:uiPriority w:val="0"/>
    <w:unhideWhenUsed/>
    <w:qFormat/>
    <w:pPr>
      <w:spacing w:after="120"/>
    </w:pPr>
    <w:rPr>
      <w:rFonts w:ascii="Calibri" w:hAnsi="Calibri" w:eastAsia="宋体" w:cs="Times New Roman"/>
    </w:rPr>
  </w:style>
  <w:style w:type="paragraph" w:styleId="867">
    <w:name w:val="Body Text Indent"/>
    <w:basedOn w:val="858"/>
    <w:link w:val="889"/>
    <w:uiPriority w:val="0"/>
    <w:qFormat/>
    <w:pPr>
      <w:ind w:left="420"/>
      <w:spacing w:after="120"/>
    </w:pPr>
    <w:rPr>
      <w:rFonts w:ascii="Times New Roman" w:hAnsi="Times New Roman" w:eastAsia="宋体" w:cs="Times New Roman"/>
      <w:szCs w:val="24"/>
    </w:rPr>
  </w:style>
  <w:style w:type="paragraph" w:styleId="868">
    <w:name w:val="Plain Text"/>
    <w:basedOn w:val="858"/>
    <w:link w:val="890"/>
    <w:uiPriority w:val="0"/>
    <w:qFormat/>
    <w:rPr>
      <w:rFonts w:ascii="宋体" w:hAnsi="Courier New" w:eastAsia="宋体" w:cs="Courier New"/>
      <w:szCs w:val="21"/>
    </w:rPr>
  </w:style>
  <w:style w:type="paragraph" w:styleId="869">
    <w:name w:val="Date"/>
    <w:basedOn w:val="858"/>
    <w:next w:val="858"/>
    <w:link w:val="884"/>
    <w:uiPriority w:val="99"/>
    <w:semiHidden/>
    <w:unhideWhenUsed/>
    <w:qFormat/>
    <w:pPr>
      <w:ind w:left="100"/>
    </w:pPr>
  </w:style>
  <w:style w:type="paragraph" w:styleId="870">
    <w:name w:val="Balloon Text"/>
    <w:basedOn w:val="858"/>
    <w:link w:val="886"/>
    <w:uiPriority w:val="99"/>
    <w:semiHidden/>
    <w:unhideWhenUsed/>
    <w:qFormat/>
    <w:rPr>
      <w:sz w:val="18"/>
      <w:szCs w:val="18"/>
    </w:rPr>
  </w:style>
  <w:style w:type="paragraph" w:styleId="871">
    <w:name w:val="Footer"/>
    <w:basedOn w:val="858"/>
    <w:link w:val="879"/>
    <w:uiPriority w:val="99"/>
    <w:unhideWhenUsed/>
    <w:qFormat/>
    <w:pPr>
      <w:jc w:val="left"/>
      <w:tabs>
        <w:tab w:val="center" w:pos="4153" w:leader="none"/>
        <w:tab w:val="right" w:pos="8306" w:leader="none"/>
      </w:tabs>
    </w:pPr>
    <w:rPr>
      <w:sz w:val="18"/>
      <w:szCs w:val="18"/>
    </w:rPr>
  </w:style>
  <w:style w:type="paragraph" w:styleId="872">
    <w:name w:val="Header"/>
    <w:basedOn w:val="858"/>
    <w:link w:val="8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58"/>
    <w:next w:val="858"/>
    <w:uiPriority w:val="39"/>
    <w:unhideWhenUsed/>
    <w:qFormat/>
    <w:pPr>
      <w:jc w:val="center"/>
      <w:tabs>
        <w:tab w:val="right" w:pos="8296" w:leader="dot"/>
      </w:tabs>
    </w:pPr>
    <w:rPr>
      <w:rFonts w:ascii="黑体" w:hAnsi="黑体" w:eastAsia="黑体"/>
      <w:sz w:val="44"/>
      <w:szCs w:val="44"/>
    </w:rPr>
  </w:style>
  <w:style w:type="paragraph" w:styleId="874">
    <w:name w:val="Normal (Web)"/>
    <w:basedOn w:val="858"/>
    <w:uiPriority w:val="99"/>
    <w:semiHidden/>
    <w:unhideWhenUsed/>
    <w:pPr>
      <w:ind w:left="0" w:right="0"/>
      <w:jc w:val="left"/>
      <w:spacing w:before="0" w:beforeAutospacing="1" w:after="0" w:afterAutospacing="1"/>
    </w:pPr>
    <w:rPr>
      <w:sz w:val="24"/>
      <w:lang w:val="en-US" w:eastAsia="zh-CN" w:bidi="ar"/>
    </w:rPr>
  </w:style>
  <w:style w:type="table" w:styleId="875">
    <w:name w:val="Table Grid"/>
    <w:basedOn w:val="8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Hyperlink"/>
    <w:uiPriority w:val="99"/>
    <w:qFormat/>
    <w:rPr>
      <w:color w:val="0000ff"/>
      <w:u w:val="none"/>
    </w:rPr>
  </w:style>
  <w:style w:type="character" w:styleId="877">
    <w:name w:val="annotation reference"/>
    <w:uiPriority w:val="0"/>
    <w:qFormat/>
    <w:rPr>
      <w:sz w:val="21"/>
      <w:szCs w:val="21"/>
    </w:rPr>
  </w:style>
  <w:style w:type="character" w:styleId="878" w:customStyle="1">
    <w:name w:val="页眉 字符"/>
    <w:basedOn w:val="862"/>
    <w:link w:val="872"/>
    <w:uiPriority w:val="99"/>
    <w:qFormat/>
    <w:rPr>
      <w:sz w:val="18"/>
      <w:szCs w:val="18"/>
    </w:rPr>
  </w:style>
  <w:style w:type="character" w:styleId="879" w:customStyle="1">
    <w:name w:val="页脚 字符"/>
    <w:basedOn w:val="862"/>
    <w:link w:val="871"/>
    <w:uiPriority w:val="99"/>
    <w:qFormat/>
    <w:rPr>
      <w:sz w:val="18"/>
      <w:szCs w:val="18"/>
    </w:rPr>
  </w:style>
  <w:style w:type="character" w:styleId="880" w:customStyle="1">
    <w:name w:val="标题 1 字符"/>
    <w:basedOn w:val="862"/>
    <w:link w:val="859"/>
    <w:uiPriority w:val="9"/>
    <w:qFormat/>
    <w:rPr>
      <w:b/>
      <w:bCs/>
      <w:sz w:val="44"/>
      <w:szCs w:val="44"/>
    </w:rPr>
  </w:style>
  <w:style w:type="character" w:styleId="881" w:customStyle="1">
    <w:name w:val="文档结构图 字符"/>
    <w:basedOn w:val="862"/>
    <w:link w:val="864"/>
    <w:uiPriority w:val="99"/>
    <w:semiHidden/>
    <w:qFormat/>
    <w:rPr>
      <w:rFonts w:ascii="宋体" w:eastAsia="宋体"/>
      <w:sz w:val="18"/>
      <w:szCs w:val="18"/>
    </w:rPr>
  </w:style>
  <w:style w:type="character" w:styleId="882" w:customStyle="1">
    <w:name w:val="标题 2 字符"/>
    <w:basedOn w:val="862"/>
    <w:link w:val="860"/>
    <w:uiPriority w:val="9"/>
    <w:qFormat/>
    <w:rPr>
      <w:rFonts w:asciiTheme="majorHAnsi" w:hAnsiTheme="majorHAnsi" w:eastAsiaTheme="majorEastAsia" w:cstheme="majorBidi"/>
      <w:b/>
      <w:bCs/>
      <w:sz w:val="32"/>
      <w:szCs w:val="32"/>
    </w:rPr>
  </w:style>
  <w:style w:type="character" w:styleId="883" w:customStyle="1">
    <w:name w:val="标题 3 字符"/>
    <w:basedOn w:val="862"/>
    <w:link w:val="861"/>
    <w:uiPriority w:val="9"/>
    <w:qFormat/>
    <w:rPr>
      <w:b/>
      <w:bCs/>
      <w:sz w:val="32"/>
      <w:szCs w:val="32"/>
    </w:rPr>
  </w:style>
  <w:style w:type="character" w:styleId="884" w:customStyle="1">
    <w:name w:val="日期 字符"/>
    <w:basedOn w:val="862"/>
    <w:link w:val="869"/>
    <w:uiPriority w:val="99"/>
    <w:semiHidden/>
    <w:qFormat/>
  </w:style>
  <w:style w:type="character" w:styleId="885" w:customStyle="1">
    <w:name w:val="批注文字 字符"/>
    <w:basedOn w:val="862"/>
    <w:link w:val="865"/>
    <w:uiPriority w:val="0"/>
    <w:qFormat/>
    <w:rPr>
      <w:rFonts w:ascii="Times New Roman" w:hAnsi="Times New Roman" w:eastAsia="宋体" w:cs="Times New Roman"/>
      <w:szCs w:val="24"/>
    </w:rPr>
  </w:style>
  <w:style w:type="character" w:styleId="886" w:customStyle="1">
    <w:name w:val="批注框文本 字符"/>
    <w:basedOn w:val="862"/>
    <w:link w:val="870"/>
    <w:uiPriority w:val="99"/>
    <w:semiHidden/>
    <w:qFormat/>
    <w:rPr>
      <w:sz w:val="18"/>
      <w:szCs w:val="18"/>
    </w:rPr>
  </w:style>
  <w:style w:type="paragraph" w:styleId="88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88" w:customStyle="1">
    <w:name w:val="正文文本 字符"/>
    <w:basedOn w:val="862"/>
    <w:link w:val="866"/>
    <w:uiPriority w:val="0"/>
    <w:qFormat/>
    <w:rPr>
      <w:rFonts w:ascii="Calibri" w:hAnsi="Calibri" w:eastAsia="宋体" w:cs="Times New Roman"/>
    </w:rPr>
  </w:style>
  <w:style w:type="character" w:styleId="889" w:customStyle="1">
    <w:name w:val="正文文本缩进 字符"/>
    <w:basedOn w:val="862"/>
    <w:link w:val="867"/>
    <w:uiPriority w:val="0"/>
    <w:qFormat/>
    <w:rPr>
      <w:rFonts w:ascii="Times New Roman" w:hAnsi="Times New Roman" w:eastAsia="宋体" w:cs="Times New Roman"/>
      <w:szCs w:val="24"/>
    </w:rPr>
  </w:style>
  <w:style w:type="character" w:styleId="890" w:customStyle="1">
    <w:name w:val="纯文本 字符"/>
    <w:basedOn w:val="862"/>
    <w:link w:val="868"/>
    <w:uiPriority w:val="0"/>
    <w:qFormat/>
    <w:rPr>
      <w:rFonts w:ascii="宋体" w:hAnsi="Courier New" w:eastAsia="宋体" w:cs="Courier New"/>
      <w:szCs w:val="21"/>
    </w:rPr>
  </w:style>
  <w:style w:type="paragraph" w:styleId="891" w:customStyle="1">
    <w:name w:val="列出段落1"/>
    <w:basedOn w:val="858"/>
    <w:uiPriority w:val="0"/>
    <w:qFormat/>
    <w:pPr>
      <w:ind w:firstLine="420"/>
    </w:pPr>
    <w:rPr>
      <w:rFonts w:ascii="Times New Roman" w:hAnsi="Times New Roman" w:eastAsia="宋体" w:cs="Times New Roman"/>
      <w:szCs w:val="21"/>
    </w:rPr>
  </w:style>
  <w:style w:type="paragraph" w:styleId="892" w:customStyle="1">
    <w:name w:val="Default"/>
    <w:uiPriority w:val="99"/>
    <w:qFormat/>
    <w:pPr>
      <w:widowControl w:val="off"/>
    </w:pPr>
    <w:rPr>
      <w:rFonts w:ascii="MS Mincho" w:hAnsi="Calibri" w:eastAsia="宋体" w:cs="Times New Roman"/>
      <w:color w:val="000000"/>
      <w:sz w:val="21"/>
      <w:szCs w:val="24"/>
      <w:lang w:val="en-US" w:eastAsia="zh-CN" w:bidi="ar-SA"/>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C3E99A-AED2-469B-A295-C16091B109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毛雪芹</cp:lastModifiedBy>
  <cp:revision>8</cp:revision>
  <dcterms:created xsi:type="dcterms:W3CDTF">2024-01-04T03:50:00Z</dcterms:created>
  <dcterms:modified xsi:type="dcterms:W3CDTF">2026-04-21T07:05:54Z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eyJoZGlkIjoiM2Y4MDBjZThkOTM5YTFiNDM4YmY3YTRhODM3MmQxYjAiLCJ1c2VySWQiOiIxMDM2ODg0NDAyIn0=</vt:lpwstr>
  </property>
  <property fmtid="{D5CDD505-2E9C-101B-9397-08002B2CF9AE}" pid="3" name="KSOProductBuildVer">
    <vt:lpwstr>2052-12.1.0.25865</vt:lpwstr>
  </property>
  <property fmtid="{D5CDD505-2E9C-101B-9397-08002B2CF9AE}" pid="4" name="ICV">
    <vt:lpwstr>E865229C8FB7498E89C070C7B6166625_13</vt:lpwstr>
  </property>
</Properties>
</file>