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9DFB17">
      <w:pPr>
        <w:pStyle w:val="85"/>
        <w:spacing w:before="120" w:beforeAutospacing="0" w:after="120" w:afterAutospacing="0" w:line="360" w:lineRule="auto"/>
        <w:rPr>
          <w:color w:val="000000"/>
          <w:highlight w:val="none"/>
        </w:rPr>
      </w:pPr>
      <w:r>
        <w:rPr>
          <w:color w:val="000000"/>
          <w:highlight w:val="none"/>
        </w:rPr>
        <w:t> </w:t>
      </w:r>
    </w:p>
    <w:p w14:paraId="189F0624">
      <w:pPr>
        <w:pStyle w:val="85"/>
        <w:spacing w:before="120" w:beforeAutospacing="0" w:after="120" w:afterAutospacing="0" w:line="360" w:lineRule="auto"/>
        <w:jc w:val="center"/>
        <w:rPr>
          <w:color w:val="000000"/>
          <w:highlight w:val="none"/>
        </w:rPr>
      </w:pPr>
      <w:r>
        <w:rPr>
          <w:rFonts w:ascii="Arial" w:hAnsi="Arial" w:cs="Arial"/>
          <w:b/>
          <w:color w:val="000000"/>
          <w:sz w:val="84"/>
          <w:szCs w:val="84"/>
          <w:highlight w:val="none"/>
        </w:rPr>
        <w:t>招 标 文 件</w:t>
      </w:r>
    </w:p>
    <w:p w14:paraId="669DE9D4">
      <w:pPr>
        <w:pStyle w:val="85"/>
        <w:spacing w:before="120" w:beforeAutospacing="0" w:after="120" w:afterAutospacing="0" w:line="360" w:lineRule="auto"/>
        <w:ind w:firstLine="964"/>
        <w:jc w:val="both"/>
        <w:rPr>
          <w:rFonts w:ascii="Arial" w:hAnsi="Arial" w:cs="Arial"/>
          <w:b/>
          <w:color w:val="000000"/>
          <w:sz w:val="32"/>
          <w:szCs w:val="32"/>
          <w:highlight w:val="none"/>
        </w:rPr>
      </w:pPr>
    </w:p>
    <w:p w14:paraId="3B4FAA66">
      <w:pPr>
        <w:pStyle w:val="85"/>
        <w:spacing w:before="120" w:beforeAutospacing="0" w:after="120" w:afterAutospacing="0" w:line="360" w:lineRule="auto"/>
        <w:ind w:firstLine="964"/>
        <w:jc w:val="both"/>
        <w:rPr>
          <w:rFonts w:ascii="Arial" w:hAnsi="Arial" w:cs="Arial"/>
          <w:b/>
          <w:color w:val="000000"/>
          <w:sz w:val="32"/>
          <w:szCs w:val="32"/>
          <w:highlight w:val="none"/>
        </w:rPr>
      </w:pPr>
    </w:p>
    <w:p w14:paraId="6FD35EB4">
      <w:pPr>
        <w:pStyle w:val="85"/>
        <w:spacing w:before="120" w:beforeAutospacing="0" w:after="120" w:afterAutospacing="0" w:line="360" w:lineRule="auto"/>
        <w:ind w:firstLine="964"/>
        <w:jc w:val="both"/>
        <w:rPr>
          <w:rFonts w:hint="eastAsia" w:eastAsia="宋体"/>
          <w:color w:val="000000"/>
          <w:highlight w:val="none"/>
          <w:lang w:eastAsia="zh-CN"/>
        </w:rPr>
      </w:pPr>
      <w:r>
        <w:rPr>
          <w:rFonts w:ascii="Arial" w:hAnsi="Arial" w:cs="Arial"/>
          <w:b/>
          <w:color w:val="000000"/>
          <w:sz w:val="32"/>
          <w:szCs w:val="32"/>
          <w:highlight w:val="none"/>
        </w:rPr>
        <w:t>项目名称：</w:t>
      </w:r>
      <w:r>
        <w:rPr>
          <w:rFonts w:hint="eastAsia" w:ascii="Arial" w:hAnsi="Arial" w:eastAsia="宋体" w:cs="Arial"/>
          <w:b/>
          <w:color w:val="000000"/>
          <w:sz w:val="28"/>
          <w:szCs w:val="28"/>
          <w:highlight w:val="none"/>
          <w:shd w:val="clear" w:color="auto" w:fill="auto"/>
          <w:lang w:eastAsia="zh-CN"/>
        </w:rPr>
        <w:t>盐城市亭湖区人民法院审判执行辅助事务外包服务项目</w:t>
      </w:r>
    </w:p>
    <w:p w14:paraId="437835DA">
      <w:pPr>
        <w:pStyle w:val="85"/>
        <w:spacing w:beforeAutospacing="0" w:afterAutospacing="0"/>
        <w:ind w:firstLine="964"/>
        <w:jc w:val="both"/>
        <w:rPr>
          <w:rFonts w:hint="eastAsia" w:eastAsia="宋体"/>
          <w:color w:val="000000"/>
          <w:highlight w:val="none"/>
          <w:lang w:eastAsia="zh-CN"/>
        </w:rPr>
      </w:pPr>
      <w:r>
        <w:rPr>
          <w:rFonts w:ascii="Times New Roman" w:hAnsi="Times New Roman"/>
          <w:b/>
          <w:color w:val="000000"/>
          <w:sz w:val="32"/>
          <w:szCs w:val="32"/>
          <w:highlight w:val="none"/>
        </w:rPr>
        <w:t>项目编号：</w:t>
      </w:r>
      <w:r>
        <w:rPr>
          <w:rFonts w:hint="eastAsia" w:ascii="Arial" w:hAnsi="Arial" w:eastAsia="宋体" w:cs="Arial"/>
          <w:b/>
          <w:color w:val="000000"/>
          <w:sz w:val="28"/>
          <w:szCs w:val="28"/>
          <w:highlight w:val="none"/>
          <w:shd w:val="clear" w:color="auto" w:fill="auto"/>
          <w:lang w:eastAsia="zh-CN"/>
        </w:rPr>
        <w:t>JSZC-320902-</w:t>
      </w:r>
      <w:r>
        <w:rPr>
          <w:rFonts w:hint="eastAsia" w:ascii="Arial" w:hAnsi="Arial" w:eastAsia="宋体" w:cs="Arial"/>
          <w:b/>
          <w:color w:val="000000"/>
          <w:sz w:val="28"/>
          <w:szCs w:val="28"/>
          <w:highlight w:val="none"/>
          <w:shd w:val="clear" w:color="auto" w:fill="auto"/>
          <w:lang w:val="en-US" w:eastAsia="zh-CN"/>
        </w:rPr>
        <w:t>YDZJ</w:t>
      </w:r>
      <w:r>
        <w:rPr>
          <w:rFonts w:hint="eastAsia" w:ascii="Arial" w:hAnsi="Arial" w:eastAsia="宋体" w:cs="Arial"/>
          <w:b/>
          <w:color w:val="000000"/>
          <w:sz w:val="28"/>
          <w:szCs w:val="28"/>
          <w:highlight w:val="none"/>
          <w:shd w:val="clear" w:color="auto" w:fill="auto"/>
          <w:lang w:eastAsia="zh-CN"/>
        </w:rPr>
        <w:t>-G2026-000</w:t>
      </w:r>
      <w:r>
        <w:rPr>
          <w:rFonts w:hint="eastAsia" w:ascii="Arial" w:hAnsi="Arial" w:eastAsia="宋体" w:cs="Arial"/>
          <w:b/>
          <w:color w:val="000000"/>
          <w:sz w:val="28"/>
          <w:szCs w:val="28"/>
          <w:highlight w:val="none"/>
          <w:shd w:val="clear" w:color="auto" w:fill="auto"/>
          <w:lang w:val="en-US" w:eastAsia="zh-CN"/>
        </w:rPr>
        <w:t>3</w:t>
      </w:r>
    </w:p>
    <w:p w14:paraId="25B3A1CA">
      <w:pPr>
        <w:pStyle w:val="85"/>
        <w:spacing w:beforeAutospacing="0" w:afterAutospacing="0" w:line="360" w:lineRule="auto"/>
        <w:rPr>
          <w:color w:val="000000"/>
          <w:highlight w:val="none"/>
        </w:rPr>
      </w:pPr>
      <w:r>
        <w:rPr>
          <w:color w:val="000000"/>
          <w:highlight w:val="none"/>
        </w:rPr>
        <w:t> </w:t>
      </w:r>
    </w:p>
    <w:p w14:paraId="225A1D15">
      <w:pPr>
        <w:pStyle w:val="85"/>
        <w:spacing w:beforeAutospacing="0" w:afterAutospacing="0" w:line="360" w:lineRule="auto"/>
        <w:rPr>
          <w:color w:val="000000"/>
          <w:highlight w:val="none"/>
        </w:rPr>
      </w:pPr>
      <w:r>
        <w:rPr>
          <w:color w:val="000000"/>
          <w:highlight w:val="none"/>
        </w:rPr>
        <w:t> </w:t>
      </w:r>
    </w:p>
    <w:p w14:paraId="0375B513">
      <w:pPr>
        <w:pStyle w:val="85"/>
        <w:spacing w:beforeAutospacing="0" w:afterAutospacing="0" w:line="360" w:lineRule="auto"/>
        <w:rPr>
          <w:color w:val="000000"/>
          <w:highlight w:val="none"/>
        </w:rPr>
      </w:pPr>
      <w:r>
        <w:rPr>
          <w:color w:val="000000"/>
          <w:highlight w:val="none"/>
        </w:rPr>
        <w:t> </w:t>
      </w:r>
    </w:p>
    <w:p w14:paraId="3BF14875">
      <w:pPr>
        <w:pStyle w:val="85"/>
        <w:spacing w:beforeAutospacing="0" w:afterAutospacing="0" w:line="360" w:lineRule="auto"/>
        <w:rPr>
          <w:color w:val="000000"/>
          <w:highlight w:val="none"/>
        </w:rPr>
      </w:pPr>
      <w:r>
        <w:rPr>
          <w:color w:val="000000"/>
          <w:highlight w:val="none"/>
        </w:rPr>
        <w:t> </w:t>
      </w:r>
    </w:p>
    <w:p w14:paraId="1D2733BB">
      <w:pPr>
        <w:pStyle w:val="85"/>
        <w:spacing w:beforeAutospacing="0" w:afterAutospacing="0" w:line="360" w:lineRule="auto"/>
        <w:rPr>
          <w:color w:val="000000"/>
          <w:highlight w:val="none"/>
        </w:rPr>
      </w:pPr>
      <w:r>
        <w:rPr>
          <w:color w:val="000000"/>
          <w:highlight w:val="none"/>
        </w:rPr>
        <w:t> </w:t>
      </w:r>
    </w:p>
    <w:p w14:paraId="5F435496">
      <w:pPr>
        <w:pStyle w:val="85"/>
        <w:spacing w:beforeAutospacing="0" w:afterAutospacing="0" w:line="360" w:lineRule="auto"/>
        <w:rPr>
          <w:color w:val="000000"/>
          <w:highlight w:val="none"/>
        </w:rPr>
      </w:pPr>
      <w:r>
        <w:rPr>
          <w:color w:val="000000"/>
          <w:highlight w:val="none"/>
        </w:rPr>
        <w:t> </w:t>
      </w:r>
    </w:p>
    <w:p w14:paraId="00541FF5">
      <w:pPr>
        <w:pStyle w:val="85"/>
        <w:spacing w:beforeAutospacing="0" w:afterAutospacing="0" w:line="360" w:lineRule="auto"/>
        <w:rPr>
          <w:color w:val="000000"/>
          <w:highlight w:val="none"/>
        </w:rPr>
      </w:pPr>
      <w:r>
        <w:rPr>
          <w:color w:val="000000"/>
          <w:highlight w:val="none"/>
        </w:rPr>
        <w:t> </w:t>
      </w:r>
    </w:p>
    <w:p w14:paraId="24F37105">
      <w:pPr>
        <w:pStyle w:val="85"/>
        <w:spacing w:before="120" w:beforeAutospacing="0" w:after="120" w:afterAutospacing="0" w:line="360" w:lineRule="auto"/>
        <w:jc w:val="center"/>
        <w:rPr>
          <w:rFonts w:hint="eastAsia" w:ascii="Arial" w:hAnsi="Arial" w:cs="Arial"/>
          <w:b/>
          <w:color w:val="000000"/>
          <w:sz w:val="32"/>
          <w:szCs w:val="32"/>
          <w:highlight w:val="none"/>
          <w:shd w:val="clear" w:color="auto" w:fill="auto"/>
          <w:lang w:val="en-US" w:eastAsia="zh-CN"/>
        </w:rPr>
      </w:pPr>
    </w:p>
    <w:p w14:paraId="0D6DB9F4">
      <w:pPr>
        <w:pStyle w:val="85"/>
        <w:spacing w:before="120" w:beforeAutospacing="0" w:after="120" w:afterAutospacing="0" w:line="360" w:lineRule="auto"/>
        <w:jc w:val="center"/>
        <w:rPr>
          <w:rFonts w:hint="eastAsia" w:ascii="Arial" w:hAnsi="Arial" w:cs="Arial"/>
          <w:b/>
          <w:color w:val="000000"/>
          <w:sz w:val="32"/>
          <w:szCs w:val="32"/>
          <w:highlight w:val="none"/>
          <w:shd w:val="clear" w:color="auto" w:fill="auto"/>
          <w:lang w:val="en-US" w:eastAsia="zh-CN"/>
        </w:rPr>
      </w:pPr>
    </w:p>
    <w:p w14:paraId="5294B3EE">
      <w:pPr>
        <w:pStyle w:val="85"/>
        <w:spacing w:before="120" w:beforeAutospacing="0" w:after="120" w:afterAutospacing="0" w:line="360" w:lineRule="auto"/>
        <w:jc w:val="center"/>
        <w:rPr>
          <w:rFonts w:hint="eastAsia" w:ascii="Arial" w:hAnsi="Arial" w:cs="Arial"/>
          <w:b/>
          <w:color w:val="000000"/>
          <w:sz w:val="32"/>
          <w:szCs w:val="32"/>
          <w:highlight w:val="none"/>
          <w:shd w:val="clear" w:color="auto" w:fill="auto"/>
          <w:lang w:val="en-US" w:eastAsia="zh-CN"/>
        </w:rPr>
      </w:pPr>
    </w:p>
    <w:p w14:paraId="18FAB640">
      <w:pPr>
        <w:pStyle w:val="85"/>
        <w:spacing w:before="120" w:beforeAutospacing="0" w:after="120" w:afterAutospacing="0" w:line="360" w:lineRule="auto"/>
        <w:jc w:val="center"/>
        <w:rPr>
          <w:rFonts w:hint="eastAsia" w:ascii="Arial" w:hAnsi="Arial" w:cs="Arial"/>
          <w:b/>
          <w:color w:val="000000"/>
          <w:sz w:val="32"/>
          <w:szCs w:val="32"/>
          <w:highlight w:val="none"/>
          <w:shd w:val="clear" w:color="auto" w:fill="auto"/>
          <w:lang w:val="en-US" w:eastAsia="zh-CN"/>
        </w:rPr>
      </w:pPr>
      <w:r>
        <w:rPr>
          <w:rFonts w:hint="eastAsia" w:ascii="Arial" w:hAnsi="Arial" w:cs="Arial"/>
          <w:b/>
          <w:color w:val="000000"/>
          <w:sz w:val="32"/>
          <w:szCs w:val="32"/>
          <w:highlight w:val="none"/>
          <w:shd w:val="clear" w:color="auto" w:fill="auto"/>
          <w:lang w:val="en-US" w:eastAsia="zh-CN"/>
        </w:rPr>
        <w:t xml:space="preserve"> </w:t>
      </w:r>
      <w:r>
        <w:rPr>
          <w:rFonts w:hint="eastAsia" w:ascii="Arial" w:hAnsi="Arial" w:cs="Arial"/>
          <w:b/>
          <w:color w:val="000000"/>
          <w:sz w:val="32"/>
          <w:szCs w:val="32"/>
          <w:highlight w:val="none"/>
          <w:shd w:val="clear" w:color="auto" w:fill="auto"/>
        </w:rPr>
        <w:t>采购单位</w:t>
      </w:r>
      <w:r>
        <w:rPr>
          <w:rFonts w:hint="eastAsia" w:ascii="Arial" w:hAnsi="Arial" w:cs="Arial"/>
          <w:b/>
          <w:color w:val="000000"/>
          <w:sz w:val="32"/>
          <w:szCs w:val="32"/>
          <w:highlight w:val="none"/>
          <w:shd w:val="clear" w:color="auto" w:fill="auto"/>
          <w:lang w:eastAsia="zh-CN"/>
        </w:rPr>
        <w:t>：</w:t>
      </w:r>
      <w:r>
        <w:rPr>
          <w:rFonts w:hint="eastAsia" w:ascii="Arial" w:hAnsi="Arial" w:cs="Arial"/>
          <w:b/>
          <w:color w:val="000000"/>
          <w:sz w:val="32"/>
          <w:szCs w:val="32"/>
          <w:highlight w:val="none"/>
          <w:shd w:val="clear" w:color="auto" w:fill="auto"/>
          <w:lang w:val="en-US" w:eastAsia="zh-CN"/>
        </w:rPr>
        <w:t>盐城市亭湖区人民法院</w:t>
      </w:r>
    </w:p>
    <w:p w14:paraId="3034084E">
      <w:pPr>
        <w:pStyle w:val="85"/>
        <w:spacing w:before="120" w:beforeAutospacing="0" w:after="120" w:afterAutospacing="0" w:line="360" w:lineRule="auto"/>
        <w:jc w:val="center"/>
        <w:rPr>
          <w:rFonts w:ascii="Arial" w:hAnsi="Arial" w:cs="Arial"/>
          <w:b/>
          <w:color w:val="000000"/>
          <w:sz w:val="32"/>
          <w:szCs w:val="32"/>
          <w:highlight w:val="none"/>
          <w:shd w:val="clear" w:color="auto" w:fill="auto"/>
          <w:lang w:val="en-US" w:eastAsia="zh-CN"/>
        </w:rPr>
      </w:pPr>
      <w:r>
        <w:rPr>
          <w:rFonts w:hint="eastAsia" w:ascii="宋体" w:hAnsi="宋体" w:eastAsia="宋体" w:cs="宋体"/>
          <w:b/>
          <w:sz w:val="32"/>
          <w:szCs w:val="32"/>
        </w:rPr>
        <w:t>代理机构：江苏</w:t>
      </w:r>
      <w:r>
        <w:rPr>
          <w:rFonts w:hint="eastAsia" w:ascii="宋体" w:hAnsi="宋体" w:eastAsia="宋体" w:cs="宋体"/>
          <w:b/>
          <w:sz w:val="32"/>
          <w:szCs w:val="32"/>
          <w:lang w:val="en-US" w:eastAsia="zh-CN"/>
        </w:rPr>
        <w:t>盐渎工程</w:t>
      </w:r>
      <w:r>
        <w:rPr>
          <w:rFonts w:hint="eastAsia" w:ascii="宋体" w:hAnsi="宋体" w:eastAsia="宋体" w:cs="宋体"/>
          <w:b/>
          <w:sz w:val="32"/>
          <w:szCs w:val="32"/>
        </w:rPr>
        <w:t>咨询有限公司</w:t>
      </w:r>
    </w:p>
    <w:p w14:paraId="3AC25FEE">
      <w:pPr>
        <w:pStyle w:val="85"/>
        <w:spacing w:before="120" w:beforeAutospacing="0" w:after="120" w:afterAutospacing="0" w:line="360" w:lineRule="auto"/>
        <w:ind w:firstLine="4176"/>
        <w:rPr>
          <w:color w:val="000000"/>
          <w:highlight w:val="none"/>
        </w:rPr>
      </w:pPr>
      <w:r>
        <w:rPr>
          <w:rFonts w:hint="eastAsia" w:ascii="Arial" w:hAnsi="Arial" w:cs="Arial"/>
          <w:b/>
          <w:color w:val="000000"/>
          <w:sz w:val="32"/>
          <w:szCs w:val="32"/>
          <w:highlight w:val="none"/>
          <w:shd w:val="clear" w:color="auto" w:fill="auto"/>
          <w:lang w:val="en-US" w:eastAsia="zh-CN"/>
        </w:rPr>
        <w:t>2026年4月</w:t>
      </w:r>
      <w:r>
        <w:rPr>
          <w:rFonts w:ascii="Arial" w:hAnsi="Arial" w:cs="Arial"/>
          <w:color w:val="000000"/>
          <w:highlight w:val="none"/>
        </w:rPr>
        <w:t xml:space="preserve">                        </w:t>
      </w:r>
    </w:p>
    <w:p w14:paraId="618AF55B">
      <w:pPr>
        <w:pStyle w:val="85"/>
        <w:spacing w:before="120" w:beforeAutospacing="0" w:after="120" w:afterAutospacing="0" w:line="360" w:lineRule="auto"/>
        <w:jc w:val="center"/>
        <w:rPr>
          <w:color w:val="000000"/>
          <w:highlight w:val="none"/>
        </w:rPr>
      </w:pPr>
      <w:r>
        <w:rPr>
          <w:color w:val="000000"/>
          <w:highlight w:val="none"/>
        </w:rPr>
        <w:t> </w:t>
      </w:r>
    </w:p>
    <w:p w14:paraId="36600405">
      <w:pPr>
        <w:pStyle w:val="85"/>
        <w:spacing w:beforeAutospacing="0" w:afterAutospacing="0" w:line="480" w:lineRule="auto"/>
        <w:jc w:val="center"/>
        <w:rPr>
          <w:rFonts w:ascii="Times New Roman" w:hAnsi="Times New Roman"/>
          <w:color w:val="000000"/>
          <w:sz w:val="21"/>
          <w:szCs w:val="21"/>
          <w:highlight w:val="none"/>
        </w:rPr>
        <w:sectPr>
          <w:pgSz w:w="11906" w:h="16838"/>
          <w:pgMar w:top="1134" w:right="1134" w:bottom="1134" w:left="1134" w:header="851" w:footer="992" w:gutter="0"/>
          <w:cols w:space="1701" w:num="1"/>
          <w:docGrid w:linePitch="360" w:charSpace="0"/>
        </w:sectPr>
      </w:pPr>
    </w:p>
    <w:p w14:paraId="0C655A77">
      <w:pPr>
        <w:pStyle w:val="85"/>
        <w:spacing w:beforeAutospacing="0" w:afterAutospacing="0" w:line="480" w:lineRule="auto"/>
        <w:jc w:val="center"/>
        <w:rPr>
          <w:color w:val="000000"/>
          <w:highlight w:val="none"/>
        </w:rPr>
      </w:pPr>
      <w:r>
        <w:rPr>
          <w:rFonts w:ascii="Times New Roman" w:hAnsi="Times New Roman"/>
          <w:color w:val="000000"/>
          <w:sz w:val="21"/>
          <w:szCs w:val="21"/>
          <w:highlight w:val="none"/>
        </w:rPr>
        <w:t> </w:t>
      </w:r>
      <w:bookmarkStart w:id="0" w:name="_Toc513029200"/>
      <w:bookmarkStart w:id="1" w:name="_Toc20823272"/>
      <w:bookmarkStart w:id="2" w:name="_Toc120614210"/>
      <w:bookmarkStart w:id="3" w:name="_Toc479757206"/>
      <w:bookmarkStart w:id="4" w:name="_Toc16938516"/>
      <w:bookmarkStart w:id="5" w:name="_Toc523127445"/>
      <w:r>
        <w:rPr>
          <w:rFonts w:ascii="Times New Roman" w:hAnsi="Times New Roman"/>
          <w:color w:val="000000"/>
          <w:sz w:val="21"/>
          <w:szCs w:val="21"/>
          <w:highlight w:val="none"/>
        </w:rPr>
        <w:t> </w:t>
      </w:r>
      <w:r>
        <w:rPr>
          <w:rFonts w:ascii="黑体" w:hAnsi="宋体" w:eastAsia="黑体" w:cs="黑体"/>
          <w:b/>
          <w:color w:val="000000"/>
          <w:sz w:val="44"/>
          <w:szCs w:val="44"/>
          <w:highlight w:val="none"/>
        </w:rPr>
        <w:t>总  目  录</w:t>
      </w:r>
      <w:bookmarkEnd w:id="0"/>
      <w:bookmarkEnd w:id="1"/>
      <w:bookmarkEnd w:id="2"/>
      <w:bookmarkEnd w:id="3"/>
      <w:bookmarkEnd w:id="4"/>
      <w:bookmarkEnd w:id="5"/>
    </w:p>
    <w:p w14:paraId="3C098E9B">
      <w:pPr>
        <w:pStyle w:val="85"/>
        <w:spacing w:beforeAutospacing="0" w:afterAutospacing="0" w:line="480" w:lineRule="auto"/>
        <w:jc w:val="both"/>
        <w:rPr>
          <w:color w:val="000000"/>
          <w:highlight w:val="none"/>
        </w:rPr>
      </w:pPr>
      <w:r>
        <w:rPr>
          <w:color w:val="000000"/>
          <w:highlight w:val="none"/>
        </w:rPr>
        <w:t> </w:t>
      </w:r>
    </w:p>
    <w:p w14:paraId="4F037BDF">
      <w:pPr>
        <w:pStyle w:val="85"/>
        <w:tabs>
          <w:tab w:val="left" w:pos="1441"/>
        </w:tabs>
        <w:spacing w:beforeAutospacing="0" w:afterAutospacing="0" w:line="600" w:lineRule="auto"/>
        <w:ind w:left="2160" w:hanging="1440"/>
        <w:jc w:val="both"/>
        <w:rPr>
          <w:rFonts w:hint="eastAsia" w:eastAsia="黑体"/>
          <w:color w:val="000000"/>
          <w:highlight w:val="none"/>
          <w:lang w:val="en-US" w:eastAsia="zh-CN"/>
        </w:rPr>
      </w:pPr>
      <w:r>
        <w:rPr>
          <w:rFonts w:hint="eastAsia" w:ascii="黑体" w:hAnsi="宋体" w:eastAsia="黑体" w:cs="黑体"/>
          <w:color w:val="000000"/>
          <w:sz w:val="36"/>
          <w:szCs w:val="36"/>
          <w:highlight w:val="none"/>
          <w:lang w:val="en-US" w:eastAsia="zh-CN"/>
        </w:rPr>
        <w:t>招标公告</w:t>
      </w:r>
      <w:r>
        <w:rPr>
          <w:rFonts w:hint="eastAsia" w:ascii="黑体" w:hAnsi="宋体" w:eastAsia="黑体" w:cs="黑体"/>
          <w:color w:val="000000"/>
          <w:sz w:val="36"/>
          <w:szCs w:val="36"/>
          <w:highlight w:val="none"/>
        </w:rPr>
        <w:t xml:space="preserve">…………………………………… </w:t>
      </w:r>
      <w:r>
        <w:rPr>
          <w:rFonts w:hint="eastAsia" w:ascii="黑体" w:hAnsi="宋体" w:eastAsia="黑体" w:cs="黑体"/>
          <w:color w:val="000000"/>
          <w:sz w:val="36"/>
          <w:szCs w:val="36"/>
          <w:highlight w:val="none"/>
          <w:lang w:val="en-US" w:eastAsia="zh-CN"/>
        </w:rPr>
        <w:t>1</w:t>
      </w:r>
    </w:p>
    <w:p w14:paraId="68AB84AF">
      <w:pPr>
        <w:pStyle w:val="85"/>
        <w:tabs>
          <w:tab w:val="left" w:pos="1441"/>
        </w:tabs>
        <w:spacing w:beforeAutospacing="0" w:afterAutospacing="0" w:line="600" w:lineRule="auto"/>
        <w:ind w:left="2160" w:hanging="1440"/>
        <w:jc w:val="both"/>
        <w:rPr>
          <w:color w:val="000000"/>
          <w:highlight w:val="none"/>
        </w:rPr>
      </w:pPr>
      <w:r>
        <w:rPr>
          <w:rFonts w:hint="eastAsia" w:ascii="黑体" w:hAnsi="宋体" w:eastAsia="黑体" w:cs="黑体"/>
          <w:color w:val="000000"/>
          <w:sz w:val="36"/>
          <w:szCs w:val="36"/>
          <w:highlight w:val="none"/>
        </w:rPr>
        <w:t>投标人须知…………………………………</w:t>
      </w:r>
      <w:r>
        <w:rPr>
          <w:rFonts w:hint="eastAsia" w:ascii="黑体" w:hAnsi="宋体" w:eastAsia="黑体" w:cs="黑体"/>
          <w:color w:val="000000"/>
          <w:sz w:val="36"/>
          <w:szCs w:val="36"/>
          <w:highlight w:val="none"/>
          <w:lang w:val="en-US" w:eastAsia="zh-CN"/>
        </w:rPr>
        <w:t xml:space="preserve"> 5</w:t>
      </w:r>
      <w:r>
        <w:rPr>
          <w:rFonts w:hint="eastAsia" w:ascii="黑体" w:hAnsi="宋体" w:eastAsia="黑体" w:cs="黑体"/>
          <w:color w:val="000000"/>
          <w:sz w:val="36"/>
          <w:szCs w:val="36"/>
          <w:highlight w:val="none"/>
        </w:rPr>
        <w:t xml:space="preserve"> </w:t>
      </w:r>
    </w:p>
    <w:p w14:paraId="16F40FFA">
      <w:pPr>
        <w:pStyle w:val="85"/>
        <w:tabs>
          <w:tab w:val="left" w:pos="1441"/>
        </w:tabs>
        <w:spacing w:beforeAutospacing="0" w:afterAutospacing="0" w:line="600" w:lineRule="auto"/>
        <w:ind w:left="2160" w:hanging="1440"/>
        <w:jc w:val="both"/>
        <w:rPr>
          <w:rFonts w:eastAsia="黑体"/>
          <w:color w:val="000000"/>
          <w:highlight w:val="none"/>
          <w:lang w:val="en-US" w:eastAsia="zh-CN"/>
        </w:rPr>
      </w:pPr>
      <w:r>
        <w:rPr>
          <w:rFonts w:hint="eastAsia" w:ascii="黑体" w:hAnsi="宋体" w:eastAsia="黑体" w:cs="黑体"/>
          <w:color w:val="000000"/>
          <w:sz w:val="36"/>
          <w:szCs w:val="36"/>
          <w:highlight w:val="none"/>
        </w:rPr>
        <w:t>合同文本……………………………………</w:t>
      </w:r>
      <w:r>
        <w:rPr>
          <w:rFonts w:hint="eastAsia" w:ascii="黑体" w:hAnsi="宋体" w:eastAsia="黑体" w:cs="黑体"/>
          <w:color w:val="000000"/>
          <w:sz w:val="36"/>
          <w:szCs w:val="36"/>
          <w:highlight w:val="none"/>
          <w:lang w:val="en-US" w:eastAsia="zh-CN"/>
        </w:rPr>
        <w:t xml:space="preserve"> 19</w:t>
      </w:r>
    </w:p>
    <w:p w14:paraId="24E0AD0C">
      <w:pPr>
        <w:pStyle w:val="85"/>
        <w:tabs>
          <w:tab w:val="left" w:pos="1441"/>
        </w:tabs>
        <w:spacing w:beforeAutospacing="0" w:afterAutospacing="0" w:line="600" w:lineRule="auto"/>
        <w:ind w:left="2160" w:hanging="1440"/>
        <w:jc w:val="both"/>
        <w:rPr>
          <w:rFonts w:eastAsia="黑体"/>
          <w:color w:val="000000"/>
          <w:highlight w:val="none"/>
          <w:lang w:val="en-US" w:eastAsia="zh-CN"/>
        </w:rPr>
      </w:pPr>
      <w:r>
        <w:rPr>
          <w:rFonts w:hint="eastAsia" w:ascii="黑体" w:hAnsi="宋体" w:eastAsia="黑体" w:cs="黑体"/>
          <w:color w:val="000000"/>
          <w:sz w:val="36"/>
          <w:szCs w:val="36"/>
          <w:highlight w:val="none"/>
        </w:rPr>
        <w:t>采购需求……………………………………</w:t>
      </w:r>
      <w:r>
        <w:rPr>
          <w:rFonts w:hint="eastAsia" w:ascii="黑体" w:hAnsi="宋体" w:eastAsia="黑体" w:cs="黑体"/>
          <w:color w:val="000000"/>
          <w:sz w:val="36"/>
          <w:szCs w:val="36"/>
          <w:highlight w:val="none"/>
          <w:lang w:val="en-US" w:eastAsia="zh-CN"/>
        </w:rPr>
        <w:t xml:space="preserve"> 27</w:t>
      </w:r>
    </w:p>
    <w:p w14:paraId="505EF0B0">
      <w:pPr>
        <w:pStyle w:val="85"/>
        <w:tabs>
          <w:tab w:val="left" w:pos="1441"/>
        </w:tabs>
        <w:spacing w:beforeAutospacing="0" w:afterAutospacing="0" w:line="600" w:lineRule="auto"/>
        <w:ind w:left="2160" w:hanging="1440"/>
        <w:jc w:val="both"/>
        <w:rPr>
          <w:rFonts w:eastAsia="黑体"/>
          <w:color w:val="000000"/>
          <w:highlight w:val="none"/>
          <w:lang w:val="en-US" w:eastAsia="zh-CN"/>
        </w:rPr>
      </w:pPr>
      <w:r>
        <w:rPr>
          <w:rFonts w:hint="eastAsia" w:ascii="黑体" w:hAnsi="宋体" w:eastAsia="黑体" w:cs="黑体"/>
          <w:color w:val="000000"/>
          <w:sz w:val="36"/>
          <w:szCs w:val="36"/>
          <w:highlight w:val="none"/>
        </w:rPr>
        <w:t>评标方法与评标标准………………………</w:t>
      </w:r>
      <w:r>
        <w:rPr>
          <w:rFonts w:hint="eastAsia" w:ascii="黑体" w:hAnsi="宋体" w:eastAsia="黑体" w:cs="黑体"/>
          <w:color w:val="000000"/>
          <w:sz w:val="36"/>
          <w:szCs w:val="36"/>
          <w:highlight w:val="none"/>
          <w:lang w:val="en-US" w:eastAsia="zh-CN"/>
        </w:rPr>
        <w:t xml:space="preserve"> 33</w:t>
      </w:r>
    </w:p>
    <w:p w14:paraId="6EDAB4B3">
      <w:pPr>
        <w:pStyle w:val="85"/>
        <w:tabs>
          <w:tab w:val="left" w:pos="1441"/>
        </w:tabs>
        <w:spacing w:beforeAutospacing="0" w:afterAutospacing="0" w:line="600" w:lineRule="auto"/>
        <w:ind w:left="2160" w:hanging="1440"/>
        <w:jc w:val="both"/>
        <w:rPr>
          <w:rFonts w:eastAsia="黑体"/>
          <w:color w:val="000000"/>
          <w:highlight w:val="none"/>
          <w:lang w:val="en-US" w:eastAsia="zh-CN"/>
        </w:rPr>
      </w:pPr>
      <w:r>
        <w:rPr>
          <w:rFonts w:hint="eastAsia" w:ascii="黑体" w:hAnsi="宋体" w:eastAsia="黑体" w:cs="黑体"/>
          <w:color w:val="000000"/>
          <w:sz w:val="36"/>
          <w:szCs w:val="36"/>
          <w:highlight w:val="none"/>
        </w:rPr>
        <w:t>投标文件格式………………………………</w:t>
      </w:r>
      <w:r>
        <w:rPr>
          <w:rFonts w:hint="eastAsia" w:ascii="黑体" w:hAnsi="宋体" w:eastAsia="黑体" w:cs="黑体"/>
          <w:color w:val="000000"/>
          <w:sz w:val="36"/>
          <w:szCs w:val="36"/>
          <w:highlight w:val="none"/>
          <w:lang w:val="en-US" w:eastAsia="zh-CN"/>
        </w:rPr>
        <w:t xml:space="preserve"> 38</w:t>
      </w:r>
    </w:p>
    <w:p w14:paraId="2FBD57C5">
      <w:pPr>
        <w:pStyle w:val="85"/>
        <w:spacing w:beforeAutospacing="0" w:afterAutospacing="0"/>
        <w:jc w:val="both"/>
        <w:rPr>
          <w:color w:val="000000"/>
          <w:highlight w:val="none"/>
        </w:rPr>
      </w:pPr>
      <w:r>
        <w:rPr>
          <w:color w:val="000000"/>
          <w:highlight w:val="none"/>
        </w:rPr>
        <w:t> </w:t>
      </w:r>
    </w:p>
    <w:p w14:paraId="36B53065">
      <w:pPr>
        <w:pStyle w:val="85"/>
        <w:spacing w:beforeAutospacing="0" w:afterAutospacing="0"/>
        <w:jc w:val="both"/>
        <w:rPr>
          <w:color w:val="000000"/>
          <w:highlight w:val="none"/>
        </w:rPr>
      </w:pPr>
      <w:r>
        <w:rPr>
          <w:color w:val="000000"/>
          <w:highlight w:val="none"/>
        </w:rPr>
        <w:t> </w:t>
      </w:r>
    </w:p>
    <w:p w14:paraId="30114D16">
      <w:pPr>
        <w:pStyle w:val="85"/>
        <w:spacing w:beforeAutospacing="0" w:afterAutospacing="0"/>
        <w:jc w:val="both"/>
        <w:rPr>
          <w:color w:val="000000"/>
          <w:highlight w:val="none"/>
        </w:rPr>
      </w:pPr>
      <w:r>
        <w:rPr>
          <w:color w:val="000000"/>
          <w:highlight w:val="none"/>
        </w:rPr>
        <w:t> </w:t>
      </w:r>
    </w:p>
    <w:p w14:paraId="1951D3D5">
      <w:pPr>
        <w:pStyle w:val="85"/>
        <w:spacing w:beforeAutospacing="0" w:afterAutospacing="0"/>
        <w:jc w:val="both"/>
        <w:rPr>
          <w:color w:val="000000"/>
          <w:highlight w:val="none"/>
        </w:rPr>
      </w:pPr>
      <w:r>
        <w:rPr>
          <w:color w:val="000000"/>
          <w:highlight w:val="none"/>
        </w:rPr>
        <w:t> </w:t>
      </w:r>
    </w:p>
    <w:p w14:paraId="4849E2B7">
      <w:pPr>
        <w:pStyle w:val="85"/>
        <w:spacing w:beforeAutospacing="0" w:afterAutospacing="0"/>
        <w:jc w:val="both"/>
        <w:rPr>
          <w:color w:val="000000"/>
          <w:highlight w:val="none"/>
        </w:rPr>
      </w:pPr>
      <w:r>
        <w:rPr>
          <w:color w:val="000000"/>
          <w:highlight w:val="none"/>
        </w:rPr>
        <w:t> </w:t>
      </w:r>
    </w:p>
    <w:p w14:paraId="04A46A2B">
      <w:pPr>
        <w:pStyle w:val="85"/>
        <w:spacing w:beforeAutospacing="0" w:afterAutospacing="0"/>
        <w:jc w:val="both"/>
        <w:rPr>
          <w:color w:val="000000"/>
          <w:highlight w:val="none"/>
        </w:rPr>
      </w:pPr>
      <w:r>
        <w:rPr>
          <w:color w:val="000000"/>
          <w:highlight w:val="none"/>
        </w:rPr>
        <w:t> </w:t>
      </w:r>
    </w:p>
    <w:p w14:paraId="1B0538B3">
      <w:pPr>
        <w:pStyle w:val="85"/>
        <w:spacing w:beforeAutospacing="0" w:afterAutospacing="0"/>
        <w:jc w:val="both"/>
        <w:rPr>
          <w:color w:val="000000"/>
          <w:highlight w:val="none"/>
        </w:rPr>
      </w:pPr>
      <w:r>
        <w:rPr>
          <w:color w:val="000000"/>
          <w:highlight w:val="none"/>
        </w:rPr>
        <w:t> </w:t>
      </w:r>
    </w:p>
    <w:p w14:paraId="2C61324E">
      <w:pPr>
        <w:pStyle w:val="85"/>
        <w:spacing w:beforeAutospacing="0" w:afterAutospacing="0"/>
        <w:jc w:val="both"/>
        <w:rPr>
          <w:color w:val="000000"/>
          <w:highlight w:val="none"/>
        </w:rPr>
      </w:pPr>
      <w:r>
        <w:rPr>
          <w:color w:val="000000"/>
          <w:highlight w:val="none"/>
        </w:rPr>
        <w:t> </w:t>
      </w:r>
    </w:p>
    <w:p w14:paraId="59B20371">
      <w:pPr>
        <w:pStyle w:val="85"/>
        <w:spacing w:beforeAutospacing="0" w:afterAutospacing="0"/>
        <w:jc w:val="both"/>
        <w:rPr>
          <w:color w:val="000000"/>
          <w:highlight w:val="none"/>
        </w:rPr>
      </w:pPr>
      <w:r>
        <w:rPr>
          <w:color w:val="000000"/>
          <w:highlight w:val="none"/>
        </w:rPr>
        <w:t> </w:t>
      </w:r>
    </w:p>
    <w:p w14:paraId="360B771B">
      <w:pPr>
        <w:pStyle w:val="85"/>
        <w:spacing w:beforeAutospacing="0" w:afterAutospacing="0"/>
        <w:jc w:val="both"/>
        <w:rPr>
          <w:color w:val="000000"/>
          <w:highlight w:val="none"/>
        </w:rPr>
      </w:pPr>
      <w:r>
        <w:rPr>
          <w:color w:val="000000"/>
          <w:highlight w:val="none"/>
        </w:rPr>
        <w:t> </w:t>
      </w:r>
    </w:p>
    <w:p w14:paraId="4AD254CC">
      <w:pPr>
        <w:pStyle w:val="85"/>
        <w:spacing w:beforeAutospacing="0" w:afterAutospacing="0"/>
        <w:jc w:val="both"/>
        <w:rPr>
          <w:color w:val="000000"/>
          <w:highlight w:val="none"/>
        </w:rPr>
      </w:pPr>
      <w:r>
        <w:rPr>
          <w:color w:val="000000"/>
          <w:highlight w:val="none"/>
        </w:rPr>
        <w:t> </w:t>
      </w:r>
    </w:p>
    <w:p w14:paraId="4488E4F1">
      <w:pPr>
        <w:pStyle w:val="85"/>
        <w:spacing w:beforeAutospacing="0" w:afterAutospacing="0"/>
        <w:jc w:val="both"/>
        <w:rPr>
          <w:color w:val="000000"/>
          <w:highlight w:val="none"/>
        </w:rPr>
      </w:pPr>
      <w:r>
        <w:rPr>
          <w:color w:val="000000"/>
          <w:highlight w:val="none"/>
        </w:rPr>
        <w:t> </w:t>
      </w:r>
    </w:p>
    <w:p w14:paraId="44E8937A">
      <w:pPr>
        <w:pStyle w:val="85"/>
        <w:spacing w:beforeAutospacing="0" w:afterAutospacing="0"/>
        <w:jc w:val="both"/>
        <w:rPr>
          <w:color w:val="000000"/>
          <w:highlight w:val="none"/>
        </w:rPr>
      </w:pPr>
      <w:r>
        <w:rPr>
          <w:color w:val="000000"/>
          <w:highlight w:val="none"/>
        </w:rPr>
        <w:t> </w:t>
      </w:r>
    </w:p>
    <w:p w14:paraId="49CF202B">
      <w:pPr>
        <w:pStyle w:val="85"/>
        <w:spacing w:beforeAutospacing="0" w:afterAutospacing="0"/>
        <w:jc w:val="both"/>
        <w:rPr>
          <w:color w:val="000000"/>
          <w:highlight w:val="none"/>
        </w:rPr>
      </w:pPr>
      <w:r>
        <w:rPr>
          <w:color w:val="000000"/>
          <w:highlight w:val="none"/>
        </w:rPr>
        <w:t> </w:t>
      </w:r>
    </w:p>
    <w:p w14:paraId="154EF12F">
      <w:pPr>
        <w:pStyle w:val="85"/>
        <w:spacing w:beforeAutospacing="0" w:afterAutospacing="0"/>
        <w:jc w:val="both"/>
        <w:rPr>
          <w:color w:val="000000"/>
          <w:highlight w:val="none"/>
        </w:rPr>
      </w:pPr>
      <w:r>
        <w:rPr>
          <w:color w:val="000000"/>
          <w:highlight w:val="none"/>
        </w:rPr>
        <w:t> </w:t>
      </w:r>
    </w:p>
    <w:p w14:paraId="1D218959">
      <w:pPr>
        <w:pStyle w:val="85"/>
        <w:spacing w:beforeAutospacing="0" w:afterAutospacing="0"/>
        <w:jc w:val="both"/>
        <w:rPr>
          <w:color w:val="000000"/>
          <w:highlight w:val="none"/>
        </w:rPr>
      </w:pPr>
    </w:p>
    <w:p w14:paraId="18DB6916">
      <w:pPr>
        <w:pStyle w:val="85"/>
        <w:spacing w:beforeAutospacing="0" w:afterAutospacing="0"/>
        <w:jc w:val="both"/>
        <w:rPr>
          <w:color w:val="000000"/>
          <w:highlight w:val="none"/>
        </w:rPr>
      </w:pPr>
    </w:p>
    <w:p w14:paraId="49274891">
      <w:pPr>
        <w:pStyle w:val="85"/>
        <w:keepNext/>
        <w:spacing w:beforeAutospacing="0" w:afterAutospacing="0"/>
        <w:jc w:val="center"/>
        <w:rPr>
          <w:rFonts w:eastAsia="黑体"/>
          <w:color w:val="000000"/>
          <w:highlight w:val="none"/>
          <w:lang w:val="en-US" w:eastAsia="zh-CN"/>
        </w:rPr>
      </w:pPr>
      <w:bookmarkStart w:id="6" w:name="_Toc28359009"/>
      <w:r>
        <w:rPr>
          <w:rFonts w:hint="eastAsia" w:ascii="黑体" w:hAnsi="宋体" w:eastAsia="黑体" w:cs="黑体"/>
          <w:color w:val="000000"/>
          <w:sz w:val="44"/>
          <w:szCs w:val="44"/>
          <w:highlight w:val="none"/>
        </w:rPr>
        <w:t>第一章 </w:t>
      </w:r>
      <w:r>
        <w:rPr>
          <w:rFonts w:hint="eastAsia" w:ascii="黑体" w:hAnsi="宋体" w:eastAsia="黑体" w:cs="黑体"/>
          <w:color w:val="000000"/>
          <w:sz w:val="44"/>
          <w:szCs w:val="44"/>
          <w:highlight w:val="none"/>
          <w:lang w:val="en-US" w:eastAsia="zh-CN"/>
        </w:rPr>
        <w:t>招标公告</w:t>
      </w:r>
    </w:p>
    <w:p w14:paraId="7276D5FC">
      <w:pPr>
        <w:pStyle w:val="85"/>
        <w:pageBreakBefore w:val="0"/>
        <w:pBdr>
          <w:top w:val="single" w:color="000000" w:sz="4" w:space="0"/>
          <w:left w:val="single" w:color="000000" w:sz="4" w:space="0"/>
          <w:bottom w:val="single" w:color="000000" w:sz="4" w:space="0"/>
          <w:right w:val="single" w:color="000000" w:sz="4" w:space="0"/>
        </w:pBdr>
        <w:spacing w:beforeAutospacing="0" w:afterAutospacing="0" w:line="360" w:lineRule="auto"/>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项目概况</w:t>
      </w:r>
    </w:p>
    <w:p w14:paraId="1F48E7CF">
      <w:pPr>
        <w:pStyle w:val="85"/>
        <w:pageBreakBefore w:val="0"/>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shd w:val="clear" w:color="auto" w:fill="auto"/>
          <w:lang w:eastAsia="zh-CN"/>
        </w:rPr>
        <w:t>盐城市亭湖区人民法院审判执行辅助事务外包服务项目</w:t>
      </w:r>
      <w:r>
        <w:rPr>
          <w:rFonts w:hint="eastAsia" w:ascii="宋体" w:hAnsi="宋体" w:eastAsia="宋体" w:cs="宋体"/>
          <w:color w:val="000000"/>
          <w:sz w:val="24"/>
          <w:szCs w:val="24"/>
          <w:highlight w:val="none"/>
        </w:rPr>
        <w:t>招标项目的潜在投标人可在</w:t>
      </w:r>
      <w:r>
        <w:rPr>
          <w:rFonts w:hint="eastAsia" w:ascii="宋体" w:hAnsi="宋体" w:eastAsia="宋体" w:cs="宋体"/>
          <w:i w:val="0"/>
          <w:iCs w:val="0"/>
          <w:caps w:val="0"/>
          <w:color w:val="000000"/>
          <w:spacing w:val="0"/>
          <w:sz w:val="24"/>
          <w:szCs w:val="24"/>
          <w:highlight w:val="none"/>
          <w:shd w:val="clear" w:color="auto" w:fill="FFFFFF"/>
        </w:rPr>
        <w:t>“苏采云”系统内免费下载（投标人必须在苏采云系统中获取采购文件，方能参与政府采购项目）</w:t>
      </w:r>
      <w:r>
        <w:rPr>
          <w:rFonts w:hint="eastAsia" w:ascii="宋体" w:hAnsi="宋体" w:eastAsia="宋体" w:cs="宋体"/>
          <w:color w:val="000000"/>
          <w:sz w:val="24"/>
          <w:szCs w:val="24"/>
          <w:highlight w:val="none"/>
        </w:rPr>
        <w:t>，并于</w:t>
      </w:r>
      <w:r>
        <w:rPr>
          <w:rFonts w:hint="eastAsia" w:ascii="宋体" w:hAnsi="宋体" w:eastAsia="宋体" w:cs="宋体"/>
          <w:color w:val="000000"/>
          <w:sz w:val="24"/>
          <w:szCs w:val="24"/>
          <w:highlight w:val="none"/>
          <w:u w:val="single"/>
          <w:lang w:val="en-US" w:eastAsia="zh-CN"/>
        </w:rPr>
        <w:t>2026</w:t>
      </w:r>
      <w:r>
        <w:rPr>
          <w:rFonts w:hint="eastAsia" w:ascii="宋体" w:hAnsi="宋体" w:eastAsia="宋体" w:cs="宋体"/>
          <w:color w:val="000000"/>
          <w:sz w:val="24"/>
          <w:szCs w:val="24"/>
          <w:highlight w:val="none"/>
          <w:u w:val="single"/>
        </w:rPr>
        <w:t>年</w:t>
      </w:r>
      <w:r>
        <w:rPr>
          <w:rFonts w:hint="eastAsia" w:ascii="宋体" w:hAnsi="宋体" w:eastAsia="宋体" w:cs="宋体"/>
          <w:color w:val="000000"/>
          <w:sz w:val="24"/>
          <w:szCs w:val="24"/>
          <w:highlight w:val="none"/>
          <w:u w:val="single"/>
          <w:lang w:val="en-US" w:eastAsia="zh-CN"/>
        </w:rPr>
        <w:t>05</w:t>
      </w:r>
      <w:r>
        <w:rPr>
          <w:rFonts w:hint="eastAsia" w:ascii="宋体" w:hAnsi="宋体" w:eastAsia="宋体" w:cs="宋体"/>
          <w:color w:val="000000"/>
          <w:sz w:val="24"/>
          <w:szCs w:val="24"/>
          <w:highlight w:val="none"/>
          <w:u w:val="single"/>
        </w:rPr>
        <w:t>月</w:t>
      </w:r>
      <w:r>
        <w:rPr>
          <w:rFonts w:hint="eastAsia" w:ascii="宋体" w:hAnsi="宋体" w:eastAsia="宋体" w:cs="宋体"/>
          <w:color w:val="000000"/>
          <w:sz w:val="24"/>
          <w:szCs w:val="24"/>
          <w:highlight w:val="none"/>
          <w:u w:val="single"/>
          <w:lang w:val="en-US" w:eastAsia="zh-CN"/>
        </w:rPr>
        <w:t>06</w:t>
      </w:r>
      <w:r>
        <w:rPr>
          <w:rFonts w:hint="eastAsia" w:ascii="宋体" w:hAnsi="宋体" w:eastAsia="宋体" w:cs="宋体"/>
          <w:color w:val="000000"/>
          <w:sz w:val="24"/>
          <w:szCs w:val="24"/>
          <w:highlight w:val="none"/>
          <w:u w:val="single"/>
        </w:rPr>
        <w:t>日</w:t>
      </w:r>
      <w:r>
        <w:rPr>
          <w:rFonts w:hint="eastAsia" w:ascii="宋体" w:hAnsi="宋体" w:eastAsia="宋体" w:cs="宋体"/>
          <w:color w:val="000000"/>
          <w:sz w:val="24"/>
          <w:szCs w:val="24"/>
          <w:highlight w:val="none"/>
          <w:u w:val="single"/>
          <w:lang w:val="en-US" w:eastAsia="zh-CN"/>
        </w:rPr>
        <w:t>9</w:t>
      </w:r>
      <w:r>
        <w:rPr>
          <w:rFonts w:hint="eastAsia" w:ascii="宋体" w:hAnsi="宋体" w:eastAsia="宋体" w:cs="宋体"/>
          <w:color w:val="000000"/>
          <w:sz w:val="24"/>
          <w:szCs w:val="24"/>
          <w:highlight w:val="none"/>
          <w:u w:val="single"/>
        </w:rPr>
        <w:t>点</w:t>
      </w:r>
      <w:r>
        <w:rPr>
          <w:rFonts w:hint="eastAsia" w:ascii="宋体" w:hAnsi="宋体" w:eastAsia="宋体" w:cs="宋体"/>
          <w:color w:val="000000"/>
          <w:sz w:val="24"/>
          <w:szCs w:val="24"/>
          <w:highlight w:val="none"/>
          <w:u w:val="single"/>
          <w:lang w:val="en-US" w:eastAsia="zh-CN"/>
        </w:rPr>
        <w:t>00</w:t>
      </w:r>
      <w:r>
        <w:rPr>
          <w:rFonts w:hint="eastAsia" w:ascii="宋体" w:hAnsi="宋体" w:eastAsia="宋体" w:cs="宋体"/>
          <w:color w:val="000000"/>
          <w:sz w:val="24"/>
          <w:szCs w:val="24"/>
          <w:highlight w:val="none"/>
          <w:u w:val="single"/>
        </w:rPr>
        <w:t>分（</w:t>
      </w:r>
      <w:r>
        <w:rPr>
          <w:rFonts w:hint="eastAsia" w:ascii="宋体" w:hAnsi="宋体" w:eastAsia="宋体" w:cs="宋体"/>
          <w:color w:val="000000"/>
          <w:sz w:val="24"/>
          <w:szCs w:val="24"/>
          <w:highlight w:val="none"/>
        </w:rPr>
        <w:t>北京时间）前递交投标文件。</w:t>
      </w:r>
    </w:p>
    <w:p w14:paraId="6996322E">
      <w:pPr>
        <w:pStyle w:val="85"/>
        <w:keepNext/>
        <w:keepLines/>
        <w:pageBreakBefore w:val="0"/>
        <w:spacing w:before="145" w:beforeAutospacing="0" w:after="145" w:afterAutospacing="0" w:line="460" w:lineRule="exact"/>
        <w:ind w:firstLine="498"/>
        <w:jc w:val="both"/>
        <w:rPr>
          <w:rFonts w:hint="eastAsia" w:ascii="宋体" w:hAnsi="宋体" w:eastAsia="宋体" w:cs="宋体"/>
          <w:color w:val="000000"/>
          <w:sz w:val="24"/>
          <w:szCs w:val="24"/>
          <w:highlight w:val="none"/>
        </w:rPr>
      </w:pPr>
      <w:bookmarkStart w:id="7" w:name="_Toc28359002"/>
      <w:bookmarkStart w:id="8" w:name="_Hlk24379207"/>
      <w:bookmarkStart w:id="9" w:name="_Toc35393621"/>
      <w:bookmarkStart w:id="10" w:name="_Toc35393790"/>
      <w:bookmarkStart w:id="11" w:name="_Toc38985263"/>
      <w:bookmarkStart w:id="12" w:name="_Toc28359079"/>
      <w:r>
        <w:rPr>
          <w:rFonts w:hint="eastAsia" w:ascii="宋体" w:hAnsi="宋体" w:eastAsia="宋体" w:cs="宋体"/>
          <w:b/>
          <w:color w:val="000000"/>
          <w:sz w:val="24"/>
          <w:szCs w:val="24"/>
          <w:highlight w:val="none"/>
        </w:rPr>
        <w:t>一、项目基本情况</w:t>
      </w:r>
      <w:bookmarkEnd w:id="7"/>
      <w:bookmarkEnd w:id="8"/>
      <w:bookmarkEnd w:id="9"/>
      <w:bookmarkEnd w:id="10"/>
      <w:bookmarkEnd w:id="11"/>
      <w:bookmarkEnd w:id="12"/>
    </w:p>
    <w:p w14:paraId="2E0303C2">
      <w:pPr>
        <w:pStyle w:val="85"/>
        <w:pageBreakBefore w:val="0"/>
        <w:spacing w:beforeAutospacing="0" w:afterAutospacing="0" w:line="460" w:lineRule="exact"/>
        <w:ind w:firstLine="48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1.项目编号：</w:t>
      </w:r>
      <w:r>
        <w:rPr>
          <w:rFonts w:hint="eastAsia" w:ascii="宋体" w:hAnsi="宋体" w:eastAsia="宋体" w:cs="宋体"/>
          <w:color w:val="000000"/>
          <w:sz w:val="24"/>
          <w:szCs w:val="24"/>
          <w:highlight w:val="none"/>
          <w:lang w:eastAsia="zh-CN"/>
        </w:rPr>
        <w:t>JSZC-320902-YD</w:t>
      </w:r>
      <w:r>
        <w:rPr>
          <w:rFonts w:hint="eastAsia" w:ascii="宋体" w:hAnsi="宋体" w:eastAsia="宋体" w:cs="宋体"/>
          <w:color w:val="000000"/>
          <w:sz w:val="24"/>
          <w:szCs w:val="24"/>
          <w:highlight w:val="none"/>
          <w:lang w:val="en-US" w:eastAsia="zh-CN"/>
        </w:rPr>
        <w:t>ZJ</w:t>
      </w:r>
      <w:r>
        <w:rPr>
          <w:rFonts w:hint="eastAsia" w:ascii="宋体" w:hAnsi="宋体" w:eastAsia="宋体" w:cs="宋体"/>
          <w:color w:val="000000"/>
          <w:sz w:val="24"/>
          <w:szCs w:val="24"/>
          <w:highlight w:val="none"/>
          <w:lang w:eastAsia="zh-CN"/>
        </w:rPr>
        <w:t>-G2026-000</w:t>
      </w:r>
      <w:r>
        <w:rPr>
          <w:rFonts w:hint="eastAsia" w:ascii="宋体" w:hAnsi="宋体" w:eastAsia="宋体" w:cs="宋体"/>
          <w:color w:val="000000"/>
          <w:sz w:val="24"/>
          <w:szCs w:val="24"/>
          <w:highlight w:val="none"/>
          <w:lang w:val="en-US" w:eastAsia="zh-CN"/>
        </w:rPr>
        <w:t>3</w:t>
      </w:r>
    </w:p>
    <w:p w14:paraId="45F3891C">
      <w:pPr>
        <w:pStyle w:val="85"/>
        <w:pageBreakBefore w:val="0"/>
        <w:spacing w:beforeAutospacing="0" w:afterAutospacing="0" w:line="460" w:lineRule="exact"/>
        <w:ind w:firstLine="48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2.项目名称：</w:t>
      </w:r>
      <w:r>
        <w:rPr>
          <w:rFonts w:hint="eastAsia" w:ascii="宋体" w:hAnsi="宋体" w:eastAsia="宋体" w:cs="宋体"/>
          <w:color w:val="000000"/>
          <w:sz w:val="24"/>
          <w:szCs w:val="24"/>
          <w:highlight w:val="none"/>
          <w:lang w:eastAsia="zh-CN"/>
        </w:rPr>
        <w:t>盐城市亭湖区人民法院审判执行辅助事务外包服务项目</w:t>
      </w:r>
    </w:p>
    <w:p w14:paraId="26E5EA63">
      <w:pPr>
        <w:pStyle w:val="85"/>
        <w:pageBreakBefore w:val="0"/>
        <w:spacing w:beforeAutospacing="0" w:afterAutospacing="0" w:line="460" w:lineRule="exac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3.</w:t>
      </w:r>
      <w:r>
        <w:rPr>
          <w:rFonts w:hint="eastAsia" w:ascii="宋体" w:hAnsi="宋体" w:eastAsia="宋体" w:cs="宋体"/>
          <w:i w:val="0"/>
          <w:iCs w:val="0"/>
          <w:caps w:val="0"/>
          <w:color w:val="000000"/>
          <w:spacing w:val="0"/>
          <w:sz w:val="24"/>
          <w:szCs w:val="24"/>
          <w:highlight w:val="none"/>
          <w:shd w:val="clear" w:color="auto" w:fill="FFFFFF"/>
        </w:rPr>
        <w:t>采购方式：</w:t>
      </w:r>
      <w:r>
        <w:rPr>
          <w:rFonts w:hint="eastAsia" w:ascii="宋体" w:hAnsi="宋体" w:eastAsia="宋体" w:cs="宋体"/>
          <w:i w:val="0"/>
          <w:iCs w:val="0"/>
          <w:caps w:val="0"/>
          <w:color w:val="000000"/>
          <w:spacing w:val="0"/>
          <w:sz w:val="24"/>
          <w:szCs w:val="24"/>
          <w:highlight w:val="none"/>
          <w:shd w:val="clear" w:color="auto" w:fill="FFFFFF"/>
          <w:lang w:val="en-US" w:eastAsia="zh-CN"/>
        </w:rPr>
        <w:t>公开招标</w:t>
      </w:r>
    </w:p>
    <w:p w14:paraId="37A91AAD">
      <w:pPr>
        <w:pStyle w:val="85"/>
        <w:pageBreakBefore w:val="0"/>
        <w:spacing w:beforeAutospacing="0" w:afterAutospacing="0" w:line="460" w:lineRule="exact"/>
        <w:ind w:firstLine="480"/>
        <w:jc w:val="both"/>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.预算金额：</w:t>
      </w:r>
      <w:r>
        <w:rPr>
          <w:rFonts w:hint="eastAsia" w:ascii="宋体" w:hAnsi="宋体" w:eastAsia="宋体" w:cs="宋体"/>
          <w:lang w:val="en-US" w:eastAsia="zh-CN"/>
        </w:rPr>
        <w:t>360</w:t>
      </w:r>
      <w:r>
        <w:rPr>
          <w:rFonts w:hint="eastAsia" w:ascii="宋体" w:hAnsi="宋体" w:eastAsia="宋体" w:cs="宋体"/>
          <w:color w:val="000000"/>
          <w:sz w:val="24"/>
          <w:szCs w:val="24"/>
          <w:highlight w:val="none"/>
          <w:lang w:val="en-US" w:eastAsia="zh-CN"/>
        </w:rPr>
        <w:t>万</w:t>
      </w:r>
      <w:r>
        <w:rPr>
          <w:rFonts w:hint="eastAsia" w:ascii="宋体" w:hAnsi="宋体" w:eastAsia="宋体" w:cs="宋体"/>
          <w:color w:val="000000"/>
          <w:sz w:val="24"/>
          <w:szCs w:val="24"/>
          <w:highlight w:val="none"/>
        </w:rPr>
        <w:t>元</w:t>
      </w:r>
      <w:r>
        <w:rPr>
          <w:rFonts w:hint="eastAsia" w:ascii="宋体" w:hAnsi="宋体" w:eastAsia="宋体" w:cs="宋体"/>
          <w:color w:val="000000"/>
          <w:sz w:val="24"/>
          <w:szCs w:val="24"/>
          <w:highlight w:val="none"/>
          <w:lang w:val="en-US" w:eastAsia="zh-CN"/>
        </w:rPr>
        <w:t>/三年</w:t>
      </w:r>
    </w:p>
    <w:p w14:paraId="2C255E6B">
      <w:pPr>
        <w:pStyle w:val="85"/>
        <w:keepNext w:val="0"/>
        <w:keepLines w:val="0"/>
        <w:pageBreakBefore w:val="0"/>
        <w:widowControl w:val="0"/>
        <w:spacing w:beforeAutospacing="0" w:afterAutospacing="0" w:line="500" w:lineRule="exact"/>
        <w:ind w:firstLine="482"/>
        <w:jc w:val="both"/>
        <w:rPr>
          <w:rFonts w:hint="eastAsia" w:ascii="宋体" w:hAnsi="宋体" w:eastAsia="宋体" w:cs="宋体"/>
          <w:color w:val="000000"/>
          <w:sz w:val="24"/>
          <w:szCs w:val="24"/>
          <w:highlight w:val="none"/>
          <w:shd w:val="clear" w:color="auto" w:fill="FFFF00"/>
        </w:rPr>
      </w:pPr>
      <w:r>
        <w:rPr>
          <w:rFonts w:hint="eastAsia" w:ascii="宋体" w:hAnsi="宋体" w:eastAsia="宋体" w:cs="宋体"/>
          <w:i w:val="0"/>
          <w:iCs w:val="0"/>
          <w:caps w:val="0"/>
          <w:color w:val="000000"/>
          <w:spacing w:val="0"/>
          <w:sz w:val="24"/>
          <w:szCs w:val="24"/>
          <w:highlight w:val="none"/>
          <w:shd w:val="clear" w:color="auto" w:fill="FFFFFF"/>
          <w:lang w:val="en-US" w:eastAsia="zh-CN"/>
        </w:rPr>
        <w:t>5.</w:t>
      </w:r>
      <w:r>
        <w:rPr>
          <w:rFonts w:hint="eastAsia" w:ascii="宋体" w:hAnsi="宋体" w:eastAsia="宋体" w:cs="宋体"/>
          <w:i w:val="0"/>
          <w:iCs w:val="0"/>
          <w:caps w:val="0"/>
          <w:color w:val="000000"/>
          <w:spacing w:val="0"/>
          <w:sz w:val="24"/>
          <w:szCs w:val="24"/>
          <w:highlight w:val="none"/>
          <w:shd w:val="clear" w:color="auto" w:fill="FFFFFF"/>
        </w:rPr>
        <w:t>最高限价：</w:t>
      </w:r>
      <w:r>
        <w:rPr>
          <w:rFonts w:hint="eastAsia" w:ascii="宋体" w:hAnsi="宋体" w:eastAsia="宋体" w:cs="宋体"/>
          <w:lang w:val="en-US" w:eastAsia="zh-CN"/>
        </w:rPr>
        <w:t>360</w:t>
      </w:r>
      <w:r>
        <w:rPr>
          <w:rFonts w:hint="eastAsia" w:ascii="宋体" w:hAnsi="宋体" w:eastAsia="宋体" w:cs="宋体"/>
          <w:i w:val="0"/>
          <w:iCs w:val="0"/>
          <w:caps w:val="0"/>
          <w:color w:val="000000"/>
          <w:spacing w:val="0"/>
          <w:sz w:val="24"/>
          <w:szCs w:val="24"/>
          <w:highlight w:val="none"/>
          <w:shd w:val="clear" w:color="auto" w:fill="auto"/>
          <w:lang w:val="en-US" w:eastAsia="zh-CN"/>
        </w:rPr>
        <w:t>万元</w:t>
      </w:r>
      <w:r>
        <w:rPr>
          <w:rFonts w:hint="eastAsia" w:ascii="宋体" w:hAnsi="宋体" w:eastAsia="宋体" w:cs="宋体"/>
          <w:color w:val="000000"/>
          <w:sz w:val="24"/>
          <w:szCs w:val="24"/>
          <w:highlight w:val="none"/>
          <w:lang w:val="en-US" w:eastAsia="zh-CN"/>
        </w:rPr>
        <w:t>，投标报价高于最高限价的，采购人将不予接受，视为无效标书。</w:t>
      </w:r>
    </w:p>
    <w:p w14:paraId="49BB114B">
      <w:pPr>
        <w:pStyle w:val="85"/>
        <w:pageBreakBefore w:val="0"/>
        <w:spacing w:beforeAutospacing="0" w:afterAutospacing="0" w:line="460" w:lineRule="exac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.采购需求（简介）：</w:t>
      </w:r>
      <w:r>
        <w:rPr>
          <w:rFonts w:hint="eastAsia" w:ascii="宋体" w:hAnsi="宋体" w:eastAsia="宋体" w:cs="宋体"/>
          <w:color w:val="000000"/>
          <w:sz w:val="24"/>
          <w:szCs w:val="24"/>
          <w:highlight w:val="none"/>
          <w:lang w:eastAsia="zh-CN"/>
        </w:rPr>
        <w:t>盐城市亭湖区人民法院</w:t>
      </w:r>
      <w:r>
        <w:rPr>
          <w:rFonts w:hint="eastAsia" w:ascii="宋体" w:hAnsi="宋体" w:cs="宋体"/>
        </w:rPr>
        <w:t>按实际需求定制辅助事务社会化服务，将有限的审执资源从繁忙的辅助事务中解放出来，提高质效，方便群众，破解难题，全方位地服务法院审判和执行、加大诉讼服务平台建设应用力度。采购内容为诉调对接服务、诉服流转服务、来电来访服务、</w:t>
      </w:r>
      <w:r>
        <w:rPr>
          <w:rFonts w:hint="eastAsia" w:ascii="宋体" w:hAnsi="宋体" w:eastAsia="宋体" w:cs="宋体"/>
          <w:lang w:val="en-US" w:eastAsia="zh-CN"/>
        </w:rPr>
        <w:t>文印宣传服务、</w:t>
      </w:r>
      <w:r>
        <w:rPr>
          <w:rFonts w:hint="eastAsia" w:ascii="宋体" w:hAnsi="宋体" w:cs="宋体"/>
        </w:rPr>
        <w:t>执行辅助服务等审判执行辅助事务服务及服务系统平台搭建，具体内容详见招标文件项目需求部分</w:t>
      </w:r>
      <w:r>
        <w:rPr>
          <w:rFonts w:hint="eastAsia" w:ascii="宋体" w:hAnsi="宋体" w:eastAsia="宋体" w:cs="宋体"/>
          <w:color w:val="000000"/>
          <w:sz w:val="24"/>
          <w:szCs w:val="24"/>
          <w:highlight w:val="none"/>
          <w:shd w:val="clear" w:color="auto" w:fill="auto"/>
        </w:rPr>
        <w:t>。（详细内容见</w:t>
      </w:r>
      <w:r>
        <w:rPr>
          <w:rFonts w:hint="eastAsia" w:ascii="宋体" w:hAnsi="宋体" w:eastAsia="宋体" w:cs="宋体"/>
          <w:color w:val="000000"/>
          <w:sz w:val="24"/>
          <w:szCs w:val="24"/>
          <w:highlight w:val="none"/>
          <w:shd w:val="clear" w:color="auto" w:fill="auto"/>
          <w:lang w:val="en-US" w:eastAsia="zh-CN"/>
        </w:rPr>
        <w:t>采购</w:t>
      </w:r>
      <w:r>
        <w:rPr>
          <w:rFonts w:hint="eastAsia" w:ascii="宋体" w:hAnsi="宋体" w:eastAsia="宋体" w:cs="宋体"/>
          <w:color w:val="000000"/>
          <w:sz w:val="24"/>
          <w:szCs w:val="24"/>
          <w:highlight w:val="none"/>
          <w:shd w:val="clear" w:color="auto" w:fill="auto"/>
        </w:rPr>
        <w:t>文件第四章）</w:t>
      </w:r>
    </w:p>
    <w:p w14:paraId="4CCBC5FC">
      <w:pPr>
        <w:pStyle w:val="85"/>
        <w:keepNext w:val="0"/>
        <w:keepLines w:val="0"/>
        <w:pageBreakBefore w:val="0"/>
        <w:widowControl w:val="0"/>
        <w:spacing w:beforeAutospacing="0" w:afterAutospacing="0" w:line="500" w:lineRule="exact"/>
        <w:ind w:firstLine="482"/>
        <w:jc w:val="both"/>
        <w:rPr>
          <w:rFonts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.合同履行期限：</w:t>
      </w:r>
      <w:r>
        <w:rPr>
          <w:rFonts w:hint="eastAsia" w:ascii="宋体" w:hAnsi="宋体" w:eastAsia="宋体" w:cs="宋体"/>
          <w:color w:val="000000"/>
          <w:sz w:val="24"/>
          <w:szCs w:val="24"/>
          <w:highlight w:val="none"/>
          <w:lang w:val="en-US" w:eastAsia="zh-CN"/>
        </w:rPr>
        <w:t>3年，合同按年签订，一年服务合同结束后，如履约能力强、服务质量优，经考核合格，可以续签下一年服务合同，如考核不合格，采购人有权终止合同，重新申请招标。</w:t>
      </w:r>
    </w:p>
    <w:p w14:paraId="28BDB98F">
      <w:pPr>
        <w:pStyle w:val="85"/>
        <w:pageBreakBefore w:val="0"/>
        <w:spacing w:beforeAutospacing="0" w:afterAutospacing="0" w:line="460" w:lineRule="exact"/>
        <w:ind w:firstLine="480"/>
        <w:jc w:val="both"/>
        <w:rPr>
          <w:rFonts w:hint="eastAsia" w:ascii="宋体" w:hAnsi="宋体" w:eastAsia="宋体" w:cs="宋体"/>
          <w:color w:val="00000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lang w:val="en-US" w:eastAsia="zh-CN"/>
        </w:rPr>
        <w:t>8.</w:t>
      </w:r>
      <w:r>
        <w:rPr>
          <w:rFonts w:hint="eastAsia" w:ascii="宋体" w:hAnsi="宋体" w:eastAsia="宋体" w:cs="宋体"/>
          <w:i w:val="0"/>
          <w:iCs w:val="0"/>
          <w:caps w:val="0"/>
          <w:color w:val="000000"/>
          <w:spacing w:val="0"/>
          <w:sz w:val="24"/>
          <w:szCs w:val="24"/>
          <w:highlight w:val="none"/>
          <w:shd w:val="clear" w:color="auto" w:fill="auto"/>
          <w:lang w:val="en-US" w:eastAsia="zh-CN"/>
        </w:rPr>
        <w:t>本项目不接受联合体参与</w:t>
      </w:r>
      <w:r>
        <w:rPr>
          <w:rFonts w:hint="eastAsia" w:ascii="宋体" w:hAnsi="宋体" w:eastAsia="宋体" w:cs="宋体"/>
          <w:color w:val="000000"/>
          <w:sz w:val="24"/>
          <w:szCs w:val="24"/>
          <w:highlight w:val="none"/>
          <w:lang w:val="en-US" w:eastAsia="zh-CN"/>
        </w:rPr>
        <w:t>招标</w:t>
      </w:r>
      <w:r>
        <w:rPr>
          <w:rFonts w:hint="eastAsia" w:ascii="宋体" w:hAnsi="宋体" w:eastAsia="宋体" w:cs="宋体"/>
          <w:color w:val="000000"/>
          <w:sz w:val="24"/>
          <w:szCs w:val="24"/>
          <w:highlight w:val="none"/>
          <w:shd w:val="clear" w:color="auto" w:fill="auto"/>
        </w:rPr>
        <w:t>。</w:t>
      </w:r>
    </w:p>
    <w:p w14:paraId="7D8AAA9E">
      <w:pPr>
        <w:pStyle w:val="85"/>
        <w:keepNext/>
        <w:keepLines/>
        <w:pageBreakBefore w:val="0"/>
        <w:spacing w:before="145" w:beforeAutospacing="0" w:after="145" w:afterAutospacing="0" w:line="460" w:lineRule="exact"/>
        <w:ind w:firstLine="498"/>
        <w:jc w:val="both"/>
        <w:rPr>
          <w:rFonts w:hint="eastAsia" w:ascii="宋体" w:hAnsi="宋体" w:eastAsia="宋体" w:cs="宋体"/>
          <w:color w:val="000000"/>
          <w:sz w:val="24"/>
          <w:szCs w:val="24"/>
          <w:highlight w:val="none"/>
        </w:rPr>
      </w:pPr>
      <w:bookmarkStart w:id="13" w:name="_Toc28359003"/>
      <w:bookmarkStart w:id="14" w:name="_Toc28359080"/>
      <w:bookmarkStart w:id="15" w:name="_Toc38985264"/>
      <w:bookmarkStart w:id="16" w:name="_Toc35393791"/>
      <w:bookmarkStart w:id="17" w:name="_Toc35393622"/>
      <w:r>
        <w:rPr>
          <w:rFonts w:hint="eastAsia" w:ascii="宋体" w:hAnsi="宋体" w:eastAsia="宋体" w:cs="宋体"/>
          <w:b/>
          <w:color w:val="000000"/>
          <w:sz w:val="24"/>
          <w:szCs w:val="24"/>
          <w:highlight w:val="none"/>
        </w:rPr>
        <w:t>二、申请人的资格要求：</w:t>
      </w:r>
      <w:bookmarkEnd w:id="13"/>
      <w:bookmarkEnd w:id="14"/>
      <w:bookmarkEnd w:id="15"/>
      <w:bookmarkEnd w:id="16"/>
      <w:bookmarkEnd w:id="17"/>
    </w:p>
    <w:p w14:paraId="6214F15F">
      <w:pPr>
        <w:pStyle w:val="85"/>
        <w:pageBreakBefore w:val="0"/>
        <w:spacing w:beforeAutospacing="0" w:afterAutospacing="0" w:line="460" w:lineRule="exac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1.满足《中华人民共和国政府采购法》第二十二条规定，并提供下列材料：</w:t>
      </w:r>
    </w:p>
    <w:p w14:paraId="4F77CD35">
      <w:pPr>
        <w:pStyle w:val="85"/>
        <w:pageBreakBefore w:val="0"/>
        <w:spacing w:beforeAutospacing="0" w:afterAutospacing="0" w:line="460" w:lineRule="exac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 法人或者其他组织的营业执照等证明文件</w:t>
      </w:r>
      <w:r>
        <w:rPr>
          <w:rFonts w:hint="eastAsia" w:ascii="宋体" w:hAnsi="宋体" w:eastAsia="宋体" w:cs="宋体"/>
          <w:color w:val="000000"/>
          <w:sz w:val="24"/>
          <w:szCs w:val="24"/>
          <w:highlight w:val="none"/>
          <w:lang w:val="en-US" w:eastAsia="zh-CN"/>
        </w:rPr>
        <w:t>或</w:t>
      </w:r>
      <w:r>
        <w:rPr>
          <w:rFonts w:hint="eastAsia" w:ascii="宋体" w:hAnsi="宋体" w:eastAsia="宋体" w:cs="宋体"/>
          <w:color w:val="000000"/>
          <w:sz w:val="24"/>
          <w:szCs w:val="24"/>
          <w:highlight w:val="none"/>
        </w:rPr>
        <w:t>自然人的身份证明；</w:t>
      </w:r>
    </w:p>
    <w:p w14:paraId="74F57080">
      <w:pPr>
        <w:pStyle w:val="85"/>
        <w:pageBreakBefore w:val="0"/>
        <w:spacing w:beforeAutospacing="0" w:afterAutospacing="0" w:line="460" w:lineRule="exac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1.2上一年度的财务状况报</w:t>
      </w:r>
      <w:r>
        <w:rPr>
          <w:rFonts w:hint="eastAsia" w:ascii="宋体" w:hAnsi="宋体" w:eastAsia="宋体" w:cs="宋体"/>
          <w:color w:val="000000"/>
          <w:sz w:val="24"/>
          <w:szCs w:val="24"/>
          <w:highlight w:val="none"/>
          <w:lang w:val="en-US" w:eastAsia="zh-CN"/>
        </w:rPr>
        <w:t>告</w:t>
      </w:r>
      <w:r>
        <w:rPr>
          <w:rFonts w:hint="eastAsia" w:ascii="宋体" w:hAnsi="宋体" w:eastAsia="宋体" w:cs="宋体"/>
          <w:color w:val="000000"/>
          <w:sz w:val="24"/>
          <w:szCs w:val="24"/>
          <w:highlight w:val="none"/>
        </w:rPr>
        <w:t>（成立不满一年无需提供）；</w:t>
      </w:r>
    </w:p>
    <w:p w14:paraId="1A07B0B8">
      <w:pPr>
        <w:pStyle w:val="85"/>
        <w:pageBreakBefore w:val="0"/>
        <w:spacing w:beforeAutospacing="0" w:afterAutospacing="0" w:line="460" w:lineRule="exac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1.3</w:t>
      </w:r>
      <w:r>
        <w:rPr>
          <w:rFonts w:hint="eastAsia" w:ascii="宋体" w:hAnsi="宋体" w:eastAsia="宋体" w:cs="宋体"/>
          <w:color w:val="000000"/>
          <w:sz w:val="24"/>
          <w:szCs w:val="24"/>
          <w:highlight w:val="none"/>
        </w:rPr>
        <w:t>具备履行合同所必需的设备和专业技术能力的书面声明；</w:t>
      </w:r>
    </w:p>
    <w:p w14:paraId="233FE9D6">
      <w:pPr>
        <w:pStyle w:val="85"/>
        <w:pageBreakBefore w:val="0"/>
        <w:spacing w:beforeAutospacing="0" w:afterAutospacing="0" w:line="460" w:lineRule="exac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633F64AE">
      <w:pPr>
        <w:pStyle w:val="85"/>
        <w:pageBreakBefore w:val="0"/>
        <w:spacing w:beforeAutospacing="0" w:afterAutospacing="0" w:line="460" w:lineRule="exac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.5参加政府采购活动前3年内在经营活动中没有重大违法记录的书面声明。</w:t>
      </w:r>
    </w:p>
    <w:p w14:paraId="6054383E">
      <w:pPr>
        <w:pStyle w:val="85"/>
        <w:pageBreakBefore w:val="0"/>
        <w:spacing w:beforeAutospacing="0" w:afterAutospacing="0" w:line="460" w:lineRule="exac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1.6法律、行政法规规定的其他条件。</w:t>
      </w:r>
    </w:p>
    <w:p w14:paraId="7E8605F7">
      <w:pPr>
        <w:pStyle w:val="85"/>
        <w:pageBreakBefore w:val="0"/>
        <w:spacing w:beforeAutospacing="0" w:afterAutospacing="0" w:line="460" w:lineRule="exac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1.7</w:t>
      </w:r>
      <w:r>
        <w:rPr>
          <w:rFonts w:hint="eastAsia" w:ascii="宋体" w:hAnsi="宋体" w:eastAsia="宋体" w:cs="宋体"/>
          <w:color w:val="000000"/>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9718F6E">
      <w:pPr>
        <w:pStyle w:val="85"/>
        <w:pageBreakBefore w:val="0"/>
        <w:spacing w:beforeAutospacing="0" w:afterAutospacing="0" w:line="460" w:lineRule="exac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1.8</w:t>
      </w:r>
      <w:r>
        <w:rPr>
          <w:rFonts w:hint="eastAsia" w:ascii="宋体" w:hAnsi="宋体" w:eastAsia="宋体" w:cs="宋体"/>
          <w:color w:val="000000"/>
          <w:sz w:val="24"/>
          <w:szCs w:val="24"/>
          <w:highlight w:val="none"/>
        </w:rPr>
        <w:t>单位负责人为同一人或者存在直接控股、</w:t>
      </w:r>
      <w:r>
        <w:rPr>
          <w:rFonts w:hint="eastAsia" w:ascii="宋体" w:hAnsi="宋体" w:eastAsia="宋体" w:cs="宋体"/>
          <w:color w:val="000000"/>
          <w:sz w:val="24"/>
          <w:szCs w:val="24"/>
          <w:highlight w:val="none"/>
          <w:lang w:val="en-US" w:eastAsia="zh-CN"/>
        </w:rPr>
        <w:t>管理</w:t>
      </w:r>
      <w:r>
        <w:rPr>
          <w:rFonts w:hint="eastAsia" w:ascii="宋体" w:hAnsi="宋体" w:eastAsia="宋体" w:cs="宋体"/>
          <w:color w:val="000000"/>
          <w:sz w:val="24"/>
          <w:szCs w:val="24"/>
          <w:highlight w:val="none"/>
        </w:rPr>
        <w:t>关系的不同供应商，不得参加同一合同项下的政府采购活动。</w:t>
      </w:r>
    </w:p>
    <w:p w14:paraId="535A958A">
      <w:pPr>
        <w:pStyle w:val="85"/>
        <w:pageBreakBefore w:val="0"/>
        <w:spacing w:beforeAutospacing="0" w:afterAutospacing="0" w:line="500" w:lineRule="exac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落实政府采购政策需满足的资格要求：</w:t>
      </w:r>
      <w:r>
        <w:rPr>
          <w:rFonts w:ascii="宋体" w:hAnsi="宋体" w:eastAsia="宋体" w:cs="宋体"/>
          <w:color w:val="000000"/>
          <w:sz w:val="24"/>
        </w:rPr>
        <w:t>本项目不专门面向中小企业采购，对符合规定的小型和微型企业报价给予20%的扣除价格，用扣除后的价格参与评审</w:t>
      </w:r>
      <w:r>
        <w:rPr>
          <w:rFonts w:hint="eastAsia" w:ascii="宋体" w:hAnsi="宋体" w:eastAsia="宋体" w:cs="宋体"/>
          <w:b/>
          <w:bCs/>
          <w:color w:val="000000"/>
          <w:sz w:val="24"/>
          <w:szCs w:val="24"/>
          <w:highlight w:val="none"/>
        </w:rPr>
        <w:t>。</w:t>
      </w:r>
    </w:p>
    <w:p w14:paraId="1C178F58">
      <w:pPr>
        <w:pStyle w:val="85"/>
        <w:pageBreakBefore w:val="0"/>
        <w:spacing w:beforeAutospacing="0" w:afterAutospacing="0" w:line="500" w:lineRule="exac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本项目的特定资格要求</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无</w:t>
      </w:r>
    </w:p>
    <w:p w14:paraId="3EF3C0DC">
      <w:pPr>
        <w:pStyle w:val="85"/>
        <w:keepNext/>
        <w:keepLines/>
        <w:pageBreakBefore w:val="0"/>
        <w:spacing w:before="145" w:beforeAutospacing="0" w:after="145" w:afterAutospacing="0" w:line="460" w:lineRule="exact"/>
        <w:ind w:firstLine="498"/>
        <w:jc w:val="both"/>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三、获取招标文件</w:t>
      </w:r>
    </w:p>
    <w:p w14:paraId="07B680F9">
      <w:pPr>
        <w:pageBreakBefore w:val="0"/>
        <w:pBdr>
          <w:top w:val="none" w:color="000000" w:sz="0" w:space="0"/>
          <w:left w:val="none" w:color="000000" w:sz="0" w:space="0"/>
          <w:bottom w:val="none" w:color="000000" w:sz="0" w:space="0"/>
          <w:right w:val="none" w:color="000000" w:sz="0" w:space="0"/>
        </w:pBdr>
        <w:spacing w:before="0" w:after="0" w:line="460" w:lineRule="exact"/>
        <w:ind w:left="0" w:right="0" w:firstLine="540"/>
        <w:jc w:val="both"/>
        <w:rPr>
          <w:rFonts w:hint="eastAsia" w:ascii="宋体" w:hAnsi="宋体" w:eastAsia="宋体" w:cs="宋体"/>
          <w:color w:val="000000"/>
          <w:sz w:val="24"/>
          <w:szCs w:val="24"/>
          <w:highlight w:val="none"/>
          <w:lang w:val="en-US" w:eastAsia="zh-CN" w:bidi="ar-SA"/>
        </w:rPr>
      </w:pPr>
      <w:bookmarkStart w:id="18" w:name="_Toc38985266"/>
      <w:bookmarkStart w:id="19" w:name="_Toc35393624"/>
      <w:bookmarkStart w:id="20" w:name="_Toc35393793"/>
      <w:bookmarkStart w:id="21" w:name="_Toc28359005"/>
      <w:bookmarkStart w:id="22" w:name="_Toc28359082"/>
      <w:r>
        <w:rPr>
          <w:rFonts w:hint="eastAsia" w:ascii="宋体" w:hAnsi="宋体" w:eastAsia="宋体" w:cs="宋体"/>
          <w:color w:val="000000"/>
          <w:sz w:val="24"/>
          <w:szCs w:val="24"/>
          <w:highlight w:val="none"/>
        </w:rPr>
        <w:t>1.时间：</w:t>
      </w:r>
      <w:bookmarkEnd w:id="18"/>
      <w:bookmarkEnd w:id="19"/>
      <w:bookmarkEnd w:id="20"/>
      <w:bookmarkEnd w:id="21"/>
      <w:bookmarkEnd w:id="22"/>
      <w:r>
        <w:rPr>
          <w:rFonts w:hint="eastAsia" w:ascii="宋体" w:hAnsi="宋体" w:eastAsia="宋体" w:cs="宋体"/>
          <w:color w:val="000000"/>
          <w:sz w:val="24"/>
          <w:szCs w:val="24"/>
          <w:highlight w:val="none"/>
          <w:lang w:val="en-US" w:eastAsia="zh-CN" w:bidi="ar-SA"/>
        </w:rPr>
        <w:t>自招标文件公告发布之日起5个工作日。</w:t>
      </w:r>
    </w:p>
    <w:p w14:paraId="23E534B3">
      <w:pPr>
        <w:keepNext w:val="0"/>
        <w:keepLines w:val="0"/>
        <w:pageBreakBefore w:val="0"/>
        <w:widowControl/>
        <w:suppressLineNumbers w:val="0"/>
        <w:spacing w:line="460" w:lineRule="exact"/>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2.地点：“苏采云”系统内免费下载（投标人必须在苏采云系统中获取采购文件，方能参与政府采购项目）；</w:t>
      </w:r>
    </w:p>
    <w:p w14:paraId="218540A8">
      <w:pPr>
        <w:keepNext w:val="0"/>
        <w:keepLines w:val="0"/>
        <w:pageBreakBefore w:val="0"/>
        <w:widowControl/>
        <w:suppressLineNumbers w:val="0"/>
        <w:spacing w:line="460" w:lineRule="exact"/>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3.方式：本项目采用网上注册登记方式。 </w:t>
      </w:r>
    </w:p>
    <w:p w14:paraId="5C7E7325">
      <w:pPr>
        <w:pageBreakBefore w:val="0"/>
        <w:widowControl/>
        <w:spacing w:line="46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4.售价：0元</w:t>
      </w:r>
    </w:p>
    <w:p w14:paraId="26C351C9">
      <w:pPr>
        <w:pStyle w:val="85"/>
        <w:keepNext/>
        <w:keepLines/>
        <w:pageBreakBefore w:val="0"/>
        <w:spacing w:before="145" w:beforeAutospacing="0" w:after="145" w:afterAutospacing="0" w:line="460" w:lineRule="exact"/>
        <w:ind w:firstLine="498"/>
        <w:jc w:val="both"/>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四、提交投标文件截止时间、开标时间和地点</w:t>
      </w:r>
    </w:p>
    <w:p w14:paraId="5A8712B3">
      <w:pPr>
        <w:keepNext w:val="0"/>
        <w:keepLines w:val="0"/>
        <w:pageBreakBefore w:val="0"/>
        <w:widowControl/>
        <w:suppressLineNumbers w:val="0"/>
        <w:spacing w:line="460" w:lineRule="exact"/>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1.时间：</w:t>
      </w:r>
      <w:r>
        <w:rPr>
          <w:rFonts w:hint="eastAsia" w:ascii="宋体" w:hAnsi="宋体" w:eastAsia="宋体" w:cs="宋体"/>
          <w:color w:val="000000"/>
          <w:sz w:val="24"/>
          <w:szCs w:val="24"/>
          <w:highlight w:val="none"/>
          <w:u w:val="single"/>
          <w:lang w:val="en-US" w:eastAsia="zh-CN"/>
        </w:rPr>
        <w:t>2026</w:t>
      </w:r>
      <w:r>
        <w:rPr>
          <w:rFonts w:hint="eastAsia" w:ascii="宋体" w:hAnsi="宋体" w:eastAsia="宋体" w:cs="宋体"/>
          <w:color w:val="000000"/>
          <w:sz w:val="24"/>
          <w:szCs w:val="24"/>
          <w:highlight w:val="none"/>
          <w:u w:val="single"/>
        </w:rPr>
        <w:t>年</w:t>
      </w:r>
      <w:r>
        <w:rPr>
          <w:rFonts w:hint="eastAsia" w:ascii="宋体" w:hAnsi="宋体" w:eastAsia="宋体" w:cs="宋体"/>
          <w:color w:val="000000"/>
          <w:sz w:val="24"/>
          <w:szCs w:val="24"/>
          <w:highlight w:val="none"/>
          <w:u w:val="single"/>
          <w:lang w:val="en-US" w:eastAsia="zh-CN"/>
        </w:rPr>
        <w:t>05</w:t>
      </w:r>
      <w:r>
        <w:rPr>
          <w:rFonts w:hint="eastAsia" w:ascii="宋体" w:hAnsi="宋体" w:eastAsia="宋体" w:cs="宋体"/>
          <w:color w:val="000000"/>
          <w:sz w:val="24"/>
          <w:szCs w:val="24"/>
          <w:highlight w:val="none"/>
          <w:u w:val="single"/>
        </w:rPr>
        <w:t>月</w:t>
      </w:r>
      <w:r>
        <w:rPr>
          <w:rFonts w:hint="eastAsia" w:ascii="宋体" w:hAnsi="宋体" w:eastAsia="宋体" w:cs="宋体"/>
          <w:color w:val="000000"/>
          <w:sz w:val="24"/>
          <w:szCs w:val="24"/>
          <w:highlight w:val="none"/>
          <w:u w:val="single"/>
          <w:lang w:val="en-US" w:eastAsia="zh-CN"/>
        </w:rPr>
        <w:t>06</w:t>
      </w:r>
      <w:r>
        <w:rPr>
          <w:rFonts w:hint="eastAsia" w:ascii="宋体" w:hAnsi="宋体" w:eastAsia="宋体" w:cs="宋体"/>
          <w:color w:val="000000"/>
          <w:sz w:val="24"/>
          <w:szCs w:val="24"/>
          <w:highlight w:val="none"/>
          <w:u w:val="single"/>
        </w:rPr>
        <w:t>日</w:t>
      </w:r>
      <w:r>
        <w:rPr>
          <w:rFonts w:hint="eastAsia" w:ascii="宋体" w:hAnsi="宋体" w:eastAsia="宋体" w:cs="宋体"/>
          <w:color w:val="000000"/>
          <w:sz w:val="24"/>
          <w:szCs w:val="24"/>
          <w:highlight w:val="none"/>
          <w:u w:val="single"/>
          <w:lang w:val="en-US" w:eastAsia="zh-CN"/>
        </w:rPr>
        <w:t>9</w:t>
      </w:r>
      <w:r>
        <w:rPr>
          <w:rFonts w:hint="eastAsia" w:ascii="宋体" w:hAnsi="宋体" w:eastAsia="宋体" w:cs="宋体"/>
          <w:color w:val="000000"/>
          <w:sz w:val="24"/>
          <w:szCs w:val="24"/>
          <w:highlight w:val="none"/>
          <w:u w:val="single"/>
        </w:rPr>
        <w:t>点</w:t>
      </w:r>
      <w:r>
        <w:rPr>
          <w:rFonts w:hint="eastAsia" w:ascii="宋体" w:hAnsi="宋体" w:eastAsia="宋体" w:cs="宋体"/>
          <w:color w:val="000000"/>
          <w:sz w:val="24"/>
          <w:szCs w:val="24"/>
          <w:highlight w:val="none"/>
          <w:u w:val="single"/>
          <w:lang w:val="en-US" w:eastAsia="zh-CN"/>
        </w:rPr>
        <w:t>00</w:t>
      </w:r>
      <w:r>
        <w:rPr>
          <w:rFonts w:hint="eastAsia" w:ascii="宋体" w:hAnsi="宋体" w:eastAsia="宋体" w:cs="宋体"/>
          <w:color w:val="000000"/>
          <w:sz w:val="24"/>
          <w:szCs w:val="24"/>
          <w:highlight w:val="none"/>
          <w:u w:val="single"/>
        </w:rPr>
        <w:t>分</w:t>
      </w:r>
      <w:r>
        <w:rPr>
          <w:rFonts w:hint="eastAsia" w:ascii="宋体" w:hAnsi="宋体" w:eastAsia="宋体" w:cs="宋体"/>
          <w:color w:val="000000"/>
          <w:sz w:val="24"/>
          <w:szCs w:val="24"/>
          <w:highlight w:val="none"/>
          <w:lang w:val="en-US" w:eastAsia="zh-CN" w:bidi="ar-SA"/>
        </w:rPr>
        <w:t>（北京时间）。</w:t>
      </w:r>
    </w:p>
    <w:p w14:paraId="7639F7D2">
      <w:pPr>
        <w:pStyle w:val="85"/>
        <w:pageBreakBefore w:val="0"/>
        <w:spacing w:beforeAutospacing="0" w:afterAutospacing="0" w:line="460" w:lineRule="exac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2.地点：苏采云“不见面”开标大厅 </w:t>
      </w:r>
      <w:r>
        <w:rPr>
          <w:rFonts w:hint="eastAsia" w:ascii="宋体" w:hAnsi="宋体" w:eastAsia="宋体" w:cs="宋体"/>
          <w:color w:val="000000"/>
          <w:sz w:val="24"/>
          <w:szCs w:val="24"/>
          <w:highlight w:val="none"/>
          <w:lang w:eastAsia="zh-CN"/>
        </w:rPr>
        <w:t>。</w:t>
      </w:r>
    </w:p>
    <w:p w14:paraId="0216E511">
      <w:pPr>
        <w:pStyle w:val="85"/>
        <w:keepNext/>
        <w:keepLines/>
        <w:pageBreakBefore w:val="0"/>
        <w:spacing w:before="145" w:beforeAutospacing="0" w:after="145" w:afterAutospacing="0" w:line="460" w:lineRule="exact"/>
        <w:ind w:firstLine="498"/>
        <w:jc w:val="both"/>
        <w:rPr>
          <w:rFonts w:hint="eastAsia" w:ascii="宋体" w:hAnsi="宋体" w:eastAsia="宋体" w:cs="宋体"/>
          <w:color w:val="000000"/>
          <w:sz w:val="24"/>
          <w:szCs w:val="24"/>
          <w:highlight w:val="none"/>
        </w:rPr>
      </w:pPr>
      <w:bookmarkStart w:id="23" w:name="_Toc28359084"/>
      <w:bookmarkStart w:id="24" w:name="_Toc35393794"/>
      <w:bookmarkStart w:id="25" w:name="_Toc28359007"/>
      <w:bookmarkStart w:id="26" w:name="_Toc38985267"/>
      <w:bookmarkStart w:id="27" w:name="_Toc35393625"/>
      <w:r>
        <w:rPr>
          <w:rFonts w:hint="eastAsia" w:ascii="宋体" w:hAnsi="宋体" w:eastAsia="宋体" w:cs="宋体"/>
          <w:b/>
          <w:color w:val="000000"/>
          <w:sz w:val="24"/>
          <w:szCs w:val="24"/>
          <w:highlight w:val="none"/>
        </w:rPr>
        <w:t>五、公告期限</w:t>
      </w:r>
      <w:bookmarkEnd w:id="23"/>
      <w:bookmarkEnd w:id="24"/>
      <w:bookmarkEnd w:id="25"/>
      <w:bookmarkEnd w:id="26"/>
      <w:bookmarkEnd w:id="27"/>
    </w:p>
    <w:p w14:paraId="3D5F8F47">
      <w:pPr>
        <w:keepNext w:val="0"/>
        <w:keepLines w:val="0"/>
        <w:pageBreakBefore w:val="0"/>
        <w:widowControl/>
        <w:suppressLineNumbers w:val="0"/>
        <w:spacing w:line="460" w:lineRule="exact"/>
        <w:ind w:firstLine="480"/>
        <w:jc w:val="left"/>
        <w:rPr>
          <w:rFonts w:hint="eastAsia" w:ascii="宋体" w:hAnsi="宋体" w:eastAsia="宋体" w:cs="宋体"/>
          <w:color w:val="000000"/>
          <w:sz w:val="24"/>
          <w:szCs w:val="24"/>
          <w:highlight w:val="none"/>
          <w:lang w:val="en-US" w:eastAsia="zh-CN" w:bidi="ar-SA"/>
        </w:rPr>
      </w:pPr>
      <w:bookmarkStart w:id="28" w:name="_Toc35393626"/>
      <w:bookmarkStart w:id="29" w:name="_Toc35393795"/>
      <w:bookmarkStart w:id="30" w:name="_Toc38985268"/>
      <w:r>
        <w:rPr>
          <w:rFonts w:hint="eastAsia" w:ascii="宋体" w:hAnsi="宋体" w:eastAsia="宋体" w:cs="宋体"/>
          <w:color w:val="000000"/>
          <w:sz w:val="24"/>
          <w:szCs w:val="24"/>
          <w:highlight w:val="none"/>
          <w:lang w:val="en-US" w:eastAsia="zh-CN" w:bidi="ar-SA"/>
        </w:rPr>
        <w:t>自本公告发布之日起5个工作日。</w:t>
      </w:r>
      <w:bookmarkEnd w:id="28"/>
      <w:bookmarkEnd w:id="29"/>
      <w:bookmarkEnd w:id="30"/>
    </w:p>
    <w:p w14:paraId="18EC0F39">
      <w:pPr>
        <w:pStyle w:val="85"/>
        <w:keepNext/>
        <w:keepLines/>
        <w:pageBreakBefore w:val="0"/>
        <w:spacing w:before="145" w:beforeAutospacing="0" w:after="145" w:afterAutospacing="0" w:line="460" w:lineRule="exact"/>
        <w:ind w:firstLine="498"/>
        <w:jc w:val="both"/>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六、其他补充事宜</w:t>
      </w:r>
    </w:p>
    <w:p w14:paraId="281E9BCD">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540"/>
        <w:jc w:val="both"/>
        <w:rPr>
          <w:rFonts w:hint="eastAsia" w:ascii="宋体" w:hAnsi="宋体" w:eastAsia="宋体" w:cs="宋体"/>
          <w:color w:val="000000"/>
          <w:sz w:val="24"/>
          <w:szCs w:val="24"/>
          <w:highlight w:val="none"/>
          <w:lang w:val="en-US" w:eastAsia="zh-CN" w:bidi="ar-SA"/>
        </w:rPr>
      </w:pPr>
      <w:bookmarkStart w:id="31" w:name="_Toc28359018"/>
      <w:r>
        <w:rPr>
          <w:rFonts w:hint="eastAsia" w:ascii="宋体" w:hAnsi="宋体" w:eastAsia="宋体" w:cs="宋体"/>
          <w:color w:val="000000"/>
          <w:sz w:val="24"/>
          <w:szCs w:val="24"/>
          <w:highlight w:val="none"/>
          <w:lang w:val="en-US" w:eastAsia="zh-CN" w:bidi="ar-SA"/>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38FB7890">
      <w:pPr>
        <w:numPr>
          <w:ilvl w:val="0"/>
          <w:numId w:val="0"/>
        </w:numPr>
        <w:spacing w:line="360" w:lineRule="auto"/>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领取CA和办理电子签章（请至</w:t>
      </w:r>
      <w:r>
        <w:rPr>
          <w:rFonts w:hint="eastAsia" w:ascii="宋体" w:hAnsi="宋体" w:eastAsia="宋体" w:cs="宋体"/>
          <w:i w:val="0"/>
          <w:iCs w:val="0"/>
          <w:caps w:val="0"/>
          <w:color w:val="FF0000"/>
          <w:spacing w:val="0"/>
          <w:sz w:val="24"/>
          <w:szCs w:val="24"/>
          <w:highlight w:val="none"/>
          <w:shd w:val="clear" w:color="auto" w:fill="auto"/>
          <w:lang w:val="en-US" w:eastAsia="zh-CN"/>
        </w:rPr>
        <w:t>盐城市府西路1号盐城市公共资源交易中心四楼大厅</w:t>
      </w:r>
      <w:r>
        <w:rPr>
          <w:rFonts w:hint="eastAsia" w:ascii="宋体" w:hAnsi="宋体" w:eastAsia="宋体" w:cs="宋体"/>
          <w:i w:val="0"/>
          <w:iCs w:val="0"/>
          <w:caps w:val="0"/>
          <w:color w:val="000000"/>
          <w:spacing w:val="0"/>
          <w:sz w:val="24"/>
          <w:szCs w:val="24"/>
          <w:highlight w:val="none"/>
          <w:shd w:val="clear" w:color="auto" w:fill="FFFFFF"/>
          <w:lang w:val="en-US" w:eastAsia="zh-CN"/>
        </w:rPr>
        <w:t>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1E21F774">
      <w:pPr>
        <w:keepNext w:val="0"/>
        <w:keepLines w:val="0"/>
        <w:pageBreakBefore w:val="0"/>
        <w:widowControl/>
        <w:suppressLineNumbers w:val="0"/>
        <w:spacing w:line="360" w:lineRule="auto"/>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2.潜在供应商访问电子招标响应交易平台的网络地址和方法： </w:t>
      </w:r>
    </w:p>
    <w:p w14:paraId="68CECA6D">
      <w:pPr>
        <w:keepNext w:val="0"/>
        <w:keepLines w:val="0"/>
        <w:pageBreakBefore w:val="0"/>
        <w:widowControl/>
        <w:suppressLineNumbers w:val="0"/>
        <w:spacing w:line="460" w:lineRule="exact"/>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3BD90F61">
      <w:pPr>
        <w:keepNext w:val="0"/>
        <w:keepLines w:val="0"/>
        <w:pageBreakBefore w:val="0"/>
        <w:widowControl/>
        <w:suppressLineNumbers w:val="0"/>
        <w:spacing w:line="460" w:lineRule="exact"/>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p>
    <w:p w14:paraId="716B971C">
      <w:pPr>
        <w:keepNext w:val="0"/>
        <w:keepLines w:val="0"/>
        <w:pageBreakBefore w:val="0"/>
        <w:widowControl/>
        <w:suppressLineNumbers w:val="0"/>
        <w:spacing w:line="460" w:lineRule="exact"/>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p>
    <w:p w14:paraId="108E8F2B">
      <w:pPr>
        <w:keepNext w:val="0"/>
        <w:keepLines w:val="0"/>
        <w:pageBreakBefore w:val="0"/>
        <w:widowControl/>
        <w:suppressLineNumbers w:val="0"/>
        <w:spacing w:line="460" w:lineRule="exact"/>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p>
    <w:p w14:paraId="73925DA8">
      <w:pPr>
        <w:keepNext w:val="0"/>
        <w:keepLines w:val="0"/>
        <w:pageBreakBefore w:val="0"/>
        <w:widowControl/>
        <w:suppressLineNumbers w:val="0"/>
        <w:spacing w:line="460" w:lineRule="exact"/>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p>
    <w:p w14:paraId="50B70F65">
      <w:pPr>
        <w:keepNext w:val="0"/>
        <w:keepLines w:val="0"/>
        <w:pageBreakBefore w:val="0"/>
        <w:widowControl/>
        <w:suppressLineNumbers w:val="0"/>
        <w:spacing w:line="460" w:lineRule="exact"/>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如潜在投标人未按上述要求操作，将自行承担所产生的风险。</w:t>
      </w:r>
    </w:p>
    <w:p w14:paraId="0BD0F176">
      <w:pPr>
        <w:keepNext w:val="0"/>
        <w:keepLines w:val="0"/>
        <w:pageBreakBefore w:val="0"/>
        <w:widowControl/>
        <w:suppressLineNumbers w:val="0"/>
        <w:spacing w:line="460" w:lineRule="exact"/>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3.有关本次招标的事项若存在变动或修改，敬请及时关注盐城市政府采购中心在“中国政府采购网”、“江苏政府采购网”“盐城市政府采购网”发布的更正公告。</w:t>
      </w:r>
    </w:p>
    <w:p w14:paraId="7494FDF0">
      <w:pPr>
        <w:keepNext w:val="0"/>
        <w:keepLines w:val="0"/>
        <w:pageBreakBefore w:val="0"/>
        <w:widowControl/>
        <w:suppressLineNumbers w:val="0"/>
        <w:spacing w:line="460" w:lineRule="exact"/>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w:t>
      </w:r>
      <w:r>
        <w:rPr>
          <w:rFonts w:hint="eastAsia" w:ascii="宋体" w:hAnsi="宋体" w:eastAsia="宋体" w:cs="宋体"/>
          <w:b/>
          <w:bCs/>
          <w:color w:val="000000"/>
          <w:sz w:val="24"/>
          <w:szCs w:val="24"/>
          <w:highlight w:val="none"/>
          <w:lang w:val="en-US" w:eastAsia="zh-CN" w:bidi="ar-SA"/>
        </w:rPr>
        <w:t>本次招标不收取投标保证金，不收取质量保证金。</w:t>
      </w:r>
    </w:p>
    <w:p w14:paraId="196AFF5C">
      <w:pPr>
        <w:keepNext w:val="0"/>
        <w:keepLines w:val="0"/>
        <w:pageBreakBefore w:val="0"/>
        <w:widowControl/>
        <w:suppressLineNumbers w:val="0"/>
        <w:spacing w:line="460" w:lineRule="exact"/>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七、对本次招标提出询问，请按以下方式联系。</w:t>
      </w:r>
      <w:bookmarkEnd w:id="31"/>
    </w:p>
    <w:p w14:paraId="1B929663">
      <w:pPr>
        <w:keepNext w:val="0"/>
        <w:keepLines w:val="0"/>
        <w:pageBreakBefore w:val="0"/>
        <w:widowControl/>
        <w:suppressLineNumbers w:val="0"/>
        <w:spacing w:line="460" w:lineRule="exact"/>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1.采购人信息</w:t>
      </w:r>
    </w:p>
    <w:p w14:paraId="2764046E">
      <w:pPr>
        <w:pStyle w:val="85"/>
        <w:pageBreakBefore w:val="0"/>
        <w:widowControl w:val="0"/>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名 称：</w:t>
      </w:r>
      <w:r>
        <w:rPr>
          <w:rFonts w:hint="eastAsia" w:ascii="宋体" w:hAnsi="宋体" w:eastAsia="宋体" w:cs="宋体"/>
          <w:lang w:eastAsia="zh-CN"/>
        </w:rPr>
        <w:t>盐城市亭湖区人民法院</w:t>
      </w:r>
      <w:r>
        <w:rPr>
          <w:rFonts w:hint="eastAsia" w:ascii="宋体" w:hAnsi="宋体" w:eastAsia="宋体" w:cs="宋体"/>
        </w:rPr>
        <w:t xml:space="preserve">  </w:t>
      </w:r>
    </w:p>
    <w:p w14:paraId="74C66439">
      <w:pPr>
        <w:pStyle w:val="85"/>
        <w:pageBreakBefore w:val="0"/>
        <w:widowControl w:val="0"/>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地址：盐城市亭湖区青年东路53号</w:t>
      </w:r>
    </w:p>
    <w:p w14:paraId="5CEE078B">
      <w:pPr>
        <w:pStyle w:val="85"/>
        <w:pageBreakBefore w:val="0"/>
        <w:widowControl w:val="0"/>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联系人：</w:t>
      </w:r>
      <w:r>
        <w:rPr>
          <w:rFonts w:hint="eastAsia" w:ascii="宋体" w:hAnsi="宋体" w:eastAsia="宋体" w:cs="宋体"/>
          <w:lang w:val="en-US" w:eastAsia="zh-CN"/>
        </w:rPr>
        <w:t>马</w:t>
      </w:r>
      <w:r>
        <w:rPr>
          <w:rFonts w:hint="eastAsia" w:ascii="宋体" w:hAnsi="宋体" w:eastAsia="宋体" w:cs="宋体"/>
        </w:rPr>
        <w:t xml:space="preserve">先生              </w:t>
      </w:r>
    </w:p>
    <w:p w14:paraId="56E2CE20">
      <w:pPr>
        <w:pStyle w:val="85"/>
        <w:pageBreakBefore w:val="0"/>
        <w:widowControl w:val="0"/>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 xml:space="preserve">联系方式：0515-68558113            </w:t>
      </w:r>
    </w:p>
    <w:p w14:paraId="5C8F9CBD">
      <w:pPr>
        <w:pStyle w:val="85"/>
        <w:pageBreakBefore w:val="0"/>
        <w:widowControl w:val="0"/>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2.采购代理机构信息</w:t>
      </w:r>
    </w:p>
    <w:p w14:paraId="5429C2F5">
      <w:pPr>
        <w:pStyle w:val="85"/>
        <w:pageBreakBefore w:val="0"/>
        <w:widowControl w:val="0"/>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名 称：江苏</w:t>
      </w:r>
      <w:r>
        <w:rPr>
          <w:rFonts w:hint="eastAsia" w:ascii="宋体" w:hAnsi="宋体" w:eastAsia="宋体" w:cs="宋体"/>
          <w:lang w:val="en-US" w:eastAsia="zh-CN"/>
        </w:rPr>
        <w:t>盐渎工程</w:t>
      </w:r>
      <w:r>
        <w:rPr>
          <w:rFonts w:hint="eastAsia" w:ascii="宋体" w:hAnsi="宋体" w:eastAsia="宋体" w:cs="宋体"/>
        </w:rPr>
        <w:t xml:space="preserve">咨询有限公司  </w:t>
      </w:r>
    </w:p>
    <w:p w14:paraId="6C30E037">
      <w:pPr>
        <w:pStyle w:val="85"/>
        <w:pageBreakBefore w:val="0"/>
        <w:widowControl w:val="0"/>
        <w:spacing w:beforeAutospacing="0" w:afterAutospacing="0" w:line="500" w:lineRule="exact"/>
        <w:ind w:firstLine="480"/>
        <w:jc w:val="both"/>
        <w:rPr>
          <w:rFonts w:ascii="宋体" w:hAnsi="宋体" w:eastAsia="宋体" w:cs="宋体"/>
          <w:lang w:val="en-US" w:eastAsia="zh-CN"/>
        </w:rPr>
      </w:pPr>
      <w:r>
        <w:rPr>
          <w:rFonts w:hint="eastAsia" w:ascii="宋体" w:hAnsi="宋体" w:eastAsia="宋体" w:cs="宋体"/>
        </w:rPr>
        <w:t>地 址： 盐城市</w:t>
      </w:r>
      <w:r>
        <w:rPr>
          <w:rFonts w:hint="eastAsia" w:ascii="宋体" w:hAnsi="宋体" w:eastAsia="宋体" w:cs="宋体"/>
          <w:lang w:val="en-US" w:eastAsia="zh-CN"/>
        </w:rPr>
        <w:t>盐南高新区钱江财富广场东区B座21楼</w:t>
      </w:r>
    </w:p>
    <w:p w14:paraId="371591E7">
      <w:pPr>
        <w:pStyle w:val="85"/>
        <w:pageBreakBefore w:val="0"/>
        <w:widowControl w:val="0"/>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联系人：</w:t>
      </w:r>
      <w:r>
        <w:rPr>
          <w:rFonts w:hint="eastAsia" w:ascii="宋体" w:hAnsi="宋体" w:eastAsia="宋体" w:cs="宋体"/>
          <w:lang w:val="en-US" w:eastAsia="zh-CN"/>
        </w:rPr>
        <w:t>熊先生</w:t>
      </w:r>
      <w:r>
        <w:rPr>
          <w:rFonts w:hint="eastAsia" w:ascii="宋体" w:hAnsi="宋体" w:eastAsia="宋体" w:cs="宋体"/>
        </w:rPr>
        <w:t xml:space="preserve">                     </w:t>
      </w:r>
    </w:p>
    <w:p w14:paraId="2BC7E411">
      <w:pPr>
        <w:pStyle w:val="85"/>
        <w:pageBreakBefore w:val="0"/>
        <w:widowControl w:val="0"/>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联系方式：</w:t>
      </w:r>
      <w:bookmarkStart w:id="32" w:name="_Toc28359010"/>
      <w:bookmarkStart w:id="33" w:name="_Toc28359087"/>
      <w:r>
        <w:rPr>
          <w:rFonts w:hint="eastAsia" w:ascii="宋体" w:hAnsi="宋体" w:eastAsia="宋体" w:cs="宋体"/>
          <w:lang w:val="en-US" w:eastAsia="zh-CN"/>
        </w:rPr>
        <w:t>18905109016</w:t>
      </w:r>
      <w:r>
        <w:rPr>
          <w:rFonts w:hint="eastAsia" w:ascii="宋体" w:hAnsi="宋体" w:eastAsia="宋体" w:cs="宋体"/>
        </w:rPr>
        <w:t>       </w:t>
      </w:r>
      <w:bookmarkEnd w:id="32"/>
      <w:bookmarkEnd w:id="33"/>
      <w:r>
        <w:rPr>
          <w:rFonts w:hint="eastAsia" w:ascii="宋体" w:hAnsi="宋体" w:eastAsia="宋体" w:cs="宋体"/>
        </w:rPr>
        <w:t xml:space="preserve">            </w:t>
      </w:r>
    </w:p>
    <w:p w14:paraId="02CA1F38">
      <w:pPr>
        <w:pStyle w:val="85"/>
        <w:pageBreakBefore w:val="0"/>
        <w:widowControl w:val="0"/>
        <w:spacing w:beforeAutospacing="0" w:afterAutospacing="0" w:line="500" w:lineRule="exact"/>
        <w:ind w:firstLine="480"/>
        <w:jc w:val="both"/>
        <w:rPr>
          <w:rFonts w:hint="eastAsia" w:ascii="宋体" w:hAnsi="宋体" w:eastAsia="宋体" w:cs="宋体"/>
        </w:rPr>
      </w:pPr>
      <w:bookmarkStart w:id="34" w:name="_Toc28359021"/>
      <w:r>
        <w:rPr>
          <w:rFonts w:hint="eastAsia" w:ascii="宋体" w:hAnsi="宋体" w:eastAsia="宋体" w:cs="宋体"/>
        </w:rPr>
        <w:t>3.</w:t>
      </w:r>
      <w:bookmarkEnd w:id="34"/>
      <w:r>
        <w:rPr>
          <w:rFonts w:hint="eastAsia" w:ascii="宋体" w:hAnsi="宋体" w:eastAsia="宋体" w:cs="宋体"/>
        </w:rPr>
        <w:t>项目联系方式</w:t>
      </w:r>
    </w:p>
    <w:p w14:paraId="176BA41C">
      <w:pPr>
        <w:pStyle w:val="85"/>
        <w:pageBreakBefore w:val="0"/>
        <w:widowControl w:val="0"/>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联系人：</w:t>
      </w:r>
      <w:r>
        <w:rPr>
          <w:rFonts w:hint="eastAsia" w:ascii="宋体" w:hAnsi="宋体" w:eastAsia="宋体" w:cs="宋体"/>
          <w:lang w:val="en-US" w:eastAsia="zh-CN"/>
        </w:rPr>
        <w:t>马</w:t>
      </w:r>
      <w:r>
        <w:rPr>
          <w:rFonts w:hint="eastAsia" w:ascii="宋体" w:hAnsi="宋体" w:eastAsia="宋体" w:cs="宋体"/>
        </w:rPr>
        <w:t xml:space="preserve">先生              </w:t>
      </w:r>
    </w:p>
    <w:p w14:paraId="2B082230">
      <w:pPr>
        <w:pStyle w:val="85"/>
        <w:keepNext w:val="0"/>
        <w:keepLines w:val="0"/>
        <w:pageBreakBefore w:val="0"/>
        <w:spacing w:beforeAutospacing="0" w:afterAutospacing="0" w:line="500" w:lineRule="exact"/>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rPr>
        <w:t>联系方式：0515-68558113</w:t>
      </w:r>
      <w:r>
        <w:rPr>
          <w:rFonts w:hint="eastAsia" w:ascii="宋体" w:hAnsi="宋体" w:eastAsia="宋体" w:cs="宋体"/>
          <w:color w:val="000000"/>
          <w:sz w:val="24"/>
          <w:szCs w:val="24"/>
          <w:highlight w:val="none"/>
          <w:lang w:val="en-US" w:eastAsia="zh-CN" w:bidi="ar-SA"/>
        </w:rPr>
        <w:t>　　　　　　　　  </w:t>
      </w:r>
    </w:p>
    <w:p w14:paraId="433F75CF">
      <w:pPr>
        <w:jc w:val="center"/>
        <w:rPr>
          <w:color w:val="000000"/>
          <w:highlight w:val="none"/>
        </w:rPr>
      </w:pPr>
      <w:bookmarkStart w:id="35" w:name="_Toc120614211"/>
      <w:r>
        <w:rPr>
          <w:rFonts w:hint="eastAsia" w:ascii="宋体" w:hAnsi="宋体" w:eastAsia="宋体" w:cs="宋体"/>
          <w:b/>
          <w:color w:val="000000"/>
          <w:sz w:val="24"/>
          <w:szCs w:val="24"/>
          <w:highlight w:val="none"/>
        </w:rPr>
        <w:br w:type="page" w:clear="all"/>
      </w:r>
      <w:r>
        <w:rPr>
          <w:rFonts w:hint="eastAsia" w:ascii="黑体" w:hAnsi="宋体" w:eastAsia="黑体" w:cs="黑体"/>
          <w:b/>
          <w:color w:val="000000"/>
          <w:sz w:val="44"/>
          <w:szCs w:val="44"/>
          <w:highlight w:val="none"/>
        </w:rPr>
        <w:t xml:space="preserve">第二章  </w:t>
      </w:r>
      <w:bookmarkEnd w:id="35"/>
      <w:bookmarkStart w:id="36" w:name="_Toc513029202"/>
      <w:bookmarkStart w:id="37" w:name="_Toc20823274"/>
      <w:bookmarkStart w:id="38" w:name="_Toc16938518"/>
      <w:bookmarkStart w:id="39" w:name="_Toc120614213"/>
      <w:r>
        <w:rPr>
          <w:rFonts w:hint="eastAsia" w:ascii="黑体" w:hAnsi="宋体" w:eastAsia="黑体" w:cs="黑体"/>
          <w:b/>
          <w:color w:val="000000"/>
          <w:sz w:val="44"/>
          <w:szCs w:val="44"/>
          <w:highlight w:val="none"/>
        </w:rPr>
        <w:t>投标人须知</w:t>
      </w:r>
      <w:bookmarkEnd w:id="36"/>
      <w:bookmarkEnd w:id="37"/>
      <w:bookmarkEnd w:id="38"/>
      <w:bookmarkEnd w:id="39"/>
    </w:p>
    <w:p w14:paraId="502EED41">
      <w:pPr>
        <w:pStyle w:val="85"/>
        <w:keepNext/>
        <w:keepLines/>
        <w:spacing w:before="145" w:beforeAutospacing="0" w:after="145" w:afterAutospacing="0" w:line="360" w:lineRule="auto"/>
        <w:ind w:firstLine="498"/>
        <w:jc w:val="both"/>
        <w:rPr>
          <w:rFonts w:hint="eastAsia" w:ascii="宋体" w:hAnsi="宋体" w:eastAsia="宋体" w:cs="宋体"/>
          <w:color w:val="000000"/>
          <w:sz w:val="24"/>
          <w:szCs w:val="24"/>
          <w:highlight w:val="none"/>
        </w:rPr>
      </w:pPr>
      <w:bookmarkStart w:id="40" w:name="_Toc120614214"/>
      <w:bookmarkStart w:id="41" w:name="_Toc16938519"/>
      <w:bookmarkStart w:id="42" w:name="_Toc513029203"/>
      <w:bookmarkStart w:id="43" w:name="_Toc20823275"/>
      <w:r>
        <w:rPr>
          <w:rFonts w:hint="eastAsia" w:ascii="宋体" w:hAnsi="宋体" w:eastAsia="宋体" w:cs="宋体"/>
          <w:b/>
          <w:color w:val="000000"/>
          <w:sz w:val="24"/>
          <w:szCs w:val="24"/>
          <w:highlight w:val="none"/>
        </w:rPr>
        <w:t>一、总则</w:t>
      </w:r>
      <w:bookmarkEnd w:id="40"/>
      <w:bookmarkEnd w:id="41"/>
      <w:bookmarkEnd w:id="42"/>
      <w:bookmarkEnd w:id="43"/>
    </w:p>
    <w:p w14:paraId="77D37D9B">
      <w:pPr>
        <w:pStyle w:val="85"/>
        <w:keepNext/>
        <w:keepLines/>
        <w:spacing w:beforeAutospacing="0" w:afterAutospacing="0" w:line="360" w:lineRule="auto"/>
        <w:ind w:firstLine="420"/>
        <w:jc w:val="both"/>
        <w:rPr>
          <w:rFonts w:hint="eastAsia" w:ascii="宋体" w:hAnsi="宋体" w:eastAsia="宋体" w:cs="宋体"/>
          <w:color w:val="000000"/>
          <w:sz w:val="24"/>
          <w:szCs w:val="24"/>
          <w:highlight w:val="none"/>
        </w:rPr>
      </w:pPr>
      <w:bookmarkStart w:id="44" w:name="_Toc16938520"/>
      <w:bookmarkStart w:id="45" w:name="_Toc458694821"/>
      <w:bookmarkStart w:id="46" w:name="_Toc20823276"/>
      <w:bookmarkStart w:id="47" w:name="_Toc513029204"/>
      <w:bookmarkStart w:id="48" w:name="_Hlt16619475"/>
      <w:r>
        <w:rPr>
          <w:rFonts w:hint="eastAsia" w:ascii="宋体" w:hAnsi="宋体" w:eastAsia="宋体" w:cs="宋体"/>
          <w:color w:val="000000"/>
          <w:sz w:val="24"/>
          <w:szCs w:val="24"/>
          <w:highlight w:val="none"/>
        </w:rPr>
        <w:t>1</w:t>
      </w:r>
      <w:bookmarkEnd w:id="44"/>
      <w:r>
        <w:rPr>
          <w:rFonts w:hint="eastAsia" w:ascii="宋体" w:hAnsi="宋体" w:eastAsia="宋体" w:cs="宋体"/>
          <w:color w:val="000000"/>
          <w:sz w:val="24"/>
          <w:szCs w:val="24"/>
          <w:highlight w:val="none"/>
        </w:rPr>
        <w:t>、招标方式</w:t>
      </w:r>
      <w:bookmarkEnd w:id="45"/>
      <w:bookmarkEnd w:id="46"/>
      <w:bookmarkEnd w:id="47"/>
    </w:p>
    <w:p w14:paraId="1A9B21B9">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1.1本次招标采取公开招标方式，本招标文件仅适用于招标公告中所述项目。</w:t>
      </w:r>
    </w:p>
    <w:p w14:paraId="76B554AD">
      <w:pPr>
        <w:pStyle w:val="85"/>
        <w:keepNext/>
        <w:keepLines/>
        <w:spacing w:beforeAutospacing="0" w:afterAutospacing="0" w:line="360" w:lineRule="auto"/>
        <w:ind w:firstLine="420"/>
        <w:jc w:val="both"/>
        <w:rPr>
          <w:rFonts w:hint="eastAsia" w:ascii="宋体" w:hAnsi="宋体" w:eastAsia="宋体" w:cs="宋体"/>
          <w:color w:val="000000"/>
          <w:sz w:val="24"/>
          <w:szCs w:val="24"/>
          <w:highlight w:val="none"/>
        </w:rPr>
      </w:pPr>
      <w:bookmarkStart w:id="49" w:name="_Toc16938521"/>
      <w:bookmarkStart w:id="50" w:name="_Toc20823277"/>
      <w:bookmarkStart w:id="51" w:name="_Toc513029205"/>
      <w:r>
        <w:rPr>
          <w:rFonts w:hint="eastAsia" w:ascii="宋体" w:hAnsi="宋体" w:eastAsia="宋体" w:cs="宋体"/>
          <w:color w:val="000000"/>
          <w:sz w:val="24"/>
          <w:szCs w:val="24"/>
          <w:highlight w:val="none"/>
        </w:rPr>
        <w:t>2、合格的投标人</w:t>
      </w:r>
      <w:bookmarkEnd w:id="49"/>
      <w:bookmarkEnd w:id="50"/>
      <w:bookmarkEnd w:id="51"/>
    </w:p>
    <w:p w14:paraId="6FAF4CD4">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2.1满足招标公告中供应商的资格要求的规定。</w:t>
      </w:r>
    </w:p>
    <w:p w14:paraId="1B3DC57B">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2.2满足本文件实质性要求和条件的规定。</w:t>
      </w:r>
    </w:p>
    <w:p w14:paraId="09917277">
      <w:pPr>
        <w:spacing w:line="360" w:lineRule="auto"/>
        <w:ind w:firstLine="420"/>
        <w:rPr>
          <w:rFonts w:hint="eastAsia" w:ascii="方正魏碑_GBK" w:hAnsi="方正魏碑_GBK" w:eastAsia="方正魏碑_GBK" w:cs="方正魏碑_GBK"/>
          <w:color w:val="000000"/>
          <w:sz w:val="24"/>
          <w:szCs w:val="21"/>
        </w:rPr>
      </w:pPr>
      <w:bookmarkStart w:id="52" w:name="_Toc513029206"/>
      <w:bookmarkStart w:id="53" w:name="_Toc20823278"/>
      <w:bookmarkStart w:id="54" w:name="_Toc16938522"/>
      <w:bookmarkStart w:id="55" w:name="_Toc462564067"/>
      <w:bookmarkStart w:id="56" w:name="_Toc513029207"/>
      <w:bookmarkStart w:id="57" w:name="_Toc20823279"/>
      <w:bookmarkStart w:id="58" w:name="_Toc16938523"/>
      <w:r>
        <w:rPr>
          <w:rFonts w:hint="eastAsia" w:ascii="方正魏碑_GBK" w:hAnsi="方正魏碑_GBK" w:eastAsia="方正魏碑_GBK" w:cs="方正魏碑_GBK"/>
          <w:color w:val="000000"/>
          <w:sz w:val="24"/>
          <w:szCs w:val="21"/>
        </w:rPr>
        <w:t>3、适用法律</w:t>
      </w:r>
      <w:bookmarkEnd w:id="52"/>
      <w:bookmarkEnd w:id="53"/>
      <w:bookmarkEnd w:id="54"/>
      <w:r>
        <w:rPr>
          <w:rFonts w:hint="eastAsia" w:ascii="方正魏碑_GBK" w:hAnsi="方正魏碑_GBK" w:eastAsia="方正魏碑_GBK" w:cs="方正魏碑_GBK"/>
          <w:color w:val="000000"/>
          <w:sz w:val="24"/>
          <w:szCs w:val="21"/>
        </w:rPr>
        <w:t>和标准</w:t>
      </w:r>
    </w:p>
    <w:p w14:paraId="14842E03">
      <w:pPr>
        <w:pStyle w:val="85"/>
        <w:spacing w:beforeAutospacing="0" w:afterAutospacing="0" w:line="360" w:lineRule="auto"/>
        <w:ind w:firstLine="4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3.1 本次招标及由此产生的合同受中华人民共和国有关的法律法规制约和保护。</w:t>
      </w:r>
    </w:p>
    <w:p w14:paraId="68B898E1">
      <w:pPr>
        <w:spacing w:line="360" w:lineRule="auto"/>
        <w:ind w:firstLine="420"/>
        <w:rPr>
          <w:rFonts w:hint="eastAsia" w:ascii="宋体" w:hAnsi="宋体" w:eastAsia="宋体" w:cs="宋体"/>
          <w:color w:val="000000"/>
          <w:sz w:val="24"/>
          <w:szCs w:val="24"/>
          <w:highlight w:val="none"/>
        </w:rPr>
      </w:pPr>
      <w:r>
        <w:rPr>
          <w:rFonts w:hint="eastAsia" w:ascii="方正魏碑_GBK" w:hAnsi="方正魏碑_GBK" w:eastAsia="方正魏碑_GBK" w:cs="方正魏碑_GBK"/>
          <w:color w:val="000000"/>
          <w:sz w:val="24"/>
          <w:szCs w:val="21"/>
        </w:rPr>
        <w:t>3.2 在本项目政府采购活动过程中，如果所执行的标准有更新的，按照最新标准执行。</w:t>
      </w:r>
    </w:p>
    <w:p w14:paraId="0EC7687C">
      <w:pPr>
        <w:pStyle w:val="85"/>
        <w:keepNext/>
        <w:keepLines/>
        <w:spacing w:beforeAutospacing="0" w:afterAutospacing="0" w:line="360" w:lineRule="auto"/>
        <w:ind w:firstLine="4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4、投标费用</w:t>
      </w:r>
      <w:bookmarkEnd w:id="55"/>
      <w:bookmarkEnd w:id="56"/>
      <w:bookmarkEnd w:id="57"/>
      <w:bookmarkEnd w:id="58"/>
    </w:p>
    <w:p w14:paraId="5738BC1D">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4.1投标人应自行承担所有与参加投标有关的费用，无论投标过程中的做法和结果如何，采购人和代理机构在任何情况下均无义务和责任承担这些费用。</w:t>
      </w:r>
    </w:p>
    <w:p w14:paraId="2B2D41E7">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4.2本项目的招标代理费由中标人承担，招标代理费</w:t>
      </w:r>
      <w:r>
        <w:rPr>
          <w:rFonts w:hint="eastAsia" w:ascii="宋体" w:hAnsi="宋体" w:eastAsia="宋体" w:cs="宋体"/>
          <w:color w:val="000000"/>
          <w:sz w:val="24"/>
          <w:szCs w:val="24"/>
          <w:highlight w:val="none"/>
          <w:lang w:val="en-US" w:eastAsia="zh-CN"/>
        </w:rPr>
        <w:t>按苏政采协[2024]20号</w:t>
      </w:r>
      <w:r>
        <w:rPr>
          <w:rFonts w:hint="eastAsia" w:ascii="宋体" w:hAnsi="宋体" w:eastAsia="宋体" w:cs="宋体"/>
          <w:color w:val="000000"/>
          <w:sz w:val="24"/>
          <w:szCs w:val="24"/>
          <w:highlight w:val="none"/>
        </w:rPr>
        <w:t>计取。投标供应商投标时应将此费用自行考虑在投标报价中，不单列，中标后由中标单位直接支付给招标代理单位。。</w:t>
      </w:r>
    </w:p>
    <w:p w14:paraId="57E0E2BC">
      <w:pPr>
        <w:pStyle w:val="85"/>
        <w:keepNext/>
        <w:keepLines/>
        <w:spacing w:beforeAutospacing="0" w:afterAutospacing="0" w:line="360" w:lineRule="auto"/>
        <w:ind w:firstLine="482"/>
        <w:jc w:val="both"/>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5、</w:t>
      </w:r>
      <w:r>
        <w:rPr>
          <w:rFonts w:hint="eastAsia" w:ascii="宋体" w:hAnsi="宋体" w:eastAsia="宋体" w:cs="宋体"/>
          <w:color w:val="000000"/>
          <w:sz w:val="24"/>
          <w:szCs w:val="24"/>
          <w:highlight w:val="none"/>
        </w:rPr>
        <w:t>招标文件的约束力</w:t>
      </w:r>
    </w:p>
    <w:p w14:paraId="00BCF0E6">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5.1投标人一旦参加本项目采购活动，即被认为接受了本招标文件的规定和约束。</w:t>
      </w:r>
    </w:p>
    <w:p w14:paraId="03EAB2EB">
      <w:pPr>
        <w:pStyle w:val="85"/>
        <w:keepNext/>
        <w:keepLines/>
        <w:spacing w:before="145" w:beforeAutospacing="0" w:after="145" w:afterAutospacing="0" w:line="360" w:lineRule="auto"/>
        <w:ind w:firstLine="321"/>
        <w:jc w:val="both"/>
        <w:rPr>
          <w:rFonts w:hint="eastAsia" w:ascii="宋体" w:hAnsi="宋体" w:eastAsia="宋体" w:cs="宋体"/>
          <w:color w:val="000000"/>
          <w:sz w:val="24"/>
          <w:szCs w:val="24"/>
          <w:highlight w:val="none"/>
        </w:rPr>
      </w:pPr>
      <w:bookmarkStart w:id="59" w:name="_Toc120614215"/>
      <w:bookmarkStart w:id="60" w:name="_Toc20823281"/>
      <w:bookmarkStart w:id="61" w:name="_Toc513029209"/>
      <w:bookmarkStart w:id="62" w:name="_Toc16938525"/>
      <w:r>
        <w:rPr>
          <w:rFonts w:hint="eastAsia" w:ascii="宋体" w:hAnsi="宋体" w:eastAsia="宋体" w:cs="宋体"/>
          <w:b/>
          <w:color w:val="000000"/>
          <w:sz w:val="24"/>
          <w:szCs w:val="24"/>
          <w:highlight w:val="none"/>
        </w:rPr>
        <w:t>二、招标文件</w:t>
      </w:r>
      <w:bookmarkEnd w:id="59"/>
      <w:bookmarkEnd w:id="60"/>
      <w:bookmarkEnd w:id="61"/>
      <w:bookmarkEnd w:id="62"/>
    </w:p>
    <w:p w14:paraId="7928FDA7">
      <w:pPr>
        <w:pStyle w:val="85"/>
        <w:keepNext/>
        <w:keepLines/>
        <w:spacing w:beforeAutospacing="0" w:afterAutospacing="0" w:line="360" w:lineRule="auto"/>
        <w:ind w:firstLine="420"/>
        <w:jc w:val="both"/>
        <w:rPr>
          <w:rFonts w:hint="eastAsia" w:ascii="宋体" w:hAnsi="宋体" w:eastAsia="宋体" w:cs="宋体"/>
          <w:color w:val="000000"/>
          <w:sz w:val="24"/>
          <w:szCs w:val="24"/>
          <w:highlight w:val="none"/>
        </w:rPr>
      </w:pPr>
      <w:bookmarkStart w:id="63" w:name="_Toc20823282"/>
      <w:bookmarkStart w:id="64" w:name="_Toc513029210"/>
      <w:bookmarkStart w:id="65" w:name="_Toc16938526"/>
      <w:r>
        <w:rPr>
          <w:rFonts w:hint="eastAsia" w:ascii="宋体" w:hAnsi="宋体" w:eastAsia="宋体" w:cs="宋体"/>
          <w:color w:val="000000"/>
          <w:sz w:val="24"/>
          <w:szCs w:val="24"/>
          <w:highlight w:val="none"/>
        </w:rPr>
        <w:t>6、招标文件构成</w:t>
      </w:r>
      <w:bookmarkEnd w:id="63"/>
      <w:bookmarkEnd w:id="64"/>
      <w:bookmarkEnd w:id="65"/>
    </w:p>
    <w:p w14:paraId="3D593ACA">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6.1 招标文件由以下部分组成：</w:t>
      </w:r>
    </w:p>
    <w:p w14:paraId="2CC5B00B">
      <w:pPr>
        <w:pStyle w:val="85"/>
        <w:spacing w:beforeAutospacing="0" w:afterAutospacing="0" w:line="360" w:lineRule="auto"/>
        <w:ind w:firstLine="36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招标公告</w:t>
      </w:r>
    </w:p>
    <w:p w14:paraId="5AECD155">
      <w:pPr>
        <w:pStyle w:val="85"/>
        <w:spacing w:beforeAutospacing="0" w:afterAutospacing="0" w:line="360" w:lineRule="auto"/>
        <w:ind w:firstLine="36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（2）投标人须知</w:t>
      </w:r>
    </w:p>
    <w:p w14:paraId="77A3BD0A">
      <w:pPr>
        <w:pStyle w:val="85"/>
        <w:spacing w:beforeAutospacing="0" w:afterAutospacing="0" w:line="360" w:lineRule="auto"/>
        <w:ind w:firstLine="36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（3）合同文本</w:t>
      </w:r>
    </w:p>
    <w:p w14:paraId="66C348BC">
      <w:pPr>
        <w:pStyle w:val="85"/>
        <w:spacing w:beforeAutospacing="0" w:afterAutospacing="0" w:line="360" w:lineRule="auto"/>
        <w:ind w:firstLine="36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（4）采购需求</w:t>
      </w:r>
    </w:p>
    <w:p w14:paraId="35FEE5A5">
      <w:pPr>
        <w:pStyle w:val="85"/>
        <w:spacing w:beforeAutospacing="0" w:afterAutospacing="0" w:line="360" w:lineRule="auto"/>
        <w:ind w:firstLine="36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（5）评标方法与评标标准</w:t>
      </w:r>
    </w:p>
    <w:p w14:paraId="7BCFABE3">
      <w:pPr>
        <w:pStyle w:val="85"/>
        <w:spacing w:beforeAutospacing="0" w:afterAutospacing="0" w:line="360" w:lineRule="auto"/>
        <w:ind w:firstLine="36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（6）投标文件格式</w:t>
      </w:r>
    </w:p>
    <w:p w14:paraId="07E6CE07">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请仔细检查招标文件是否齐全，如有缺漏请立即与采购中心联系解决。</w:t>
      </w:r>
    </w:p>
    <w:p w14:paraId="71231625">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93EB781">
      <w:pPr>
        <w:pStyle w:val="85"/>
        <w:keepNext/>
        <w:keepLines/>
        <w:spacing w:beforeAutospacing="0" w:afterAutospacing="0" w:line="360" w:lineRule="auto"/>
        <w:ind w:firstLine="560"/>
        <w:jc w:val="both"/>
        <w:rPr>
          <w:rFonts w:hint="eastAsia" w:ascii="宋体" w:hAnsi="宋体" w:eastAsia="宋体" w:cs="宋体"/>
          <w:color w:val="000000"/>
          <w:sz w:val="24"/>
          <w:szCs w:val="24"/>
          <w:highlight w:val="none"/>
        </w:rPr>
      </w:pPr>
      <w:bookmarkStart w:id="66" w:name="_Toc20823283"/>
      <w:bookmarkStart w:id="67" w:name="_Toc462564070"/>
      <w:bookmarkStart w:id="68" w:name="_Toc513029211"/>
      <w:bookmarkStart w:id="69" w:name="_Toc16938527"/>
      <w:r>
        <w:rPr>
          <w:rFonts w:hint="eastAsia" w:ascii="宋体" w:hAnsi="宋体" w:eastAsia="宋体" w:cs="宋体"/>
          <w:color w:val="000000"/>
          <w:sz w:val="24"/>
          <w:szCs w:val="24"/>
          <w:highlight w:val="none"/>
        </w:rPr>
        <w:t>7、招标文件的澄清</w:t>
      </w:r>
      <w:bookmarkEnd w:id="66"/>
      <w:bookmarkEnd w:id="67"/>
      <w:bookmarkEnd w:id="68"/>
      <w:bookmarkEnd w:id="69"/>
    </w:p>
    <w:p w14:paraId="4A7348C8">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7.1任何要求对招标文件进行澄清的投标人，应在投标截止期</w:t>
      </w:r>
      <w:r>
        <w:rPr>
          <w:rFonts w:hint="eastAsia" w:ascii="宋体" w:hAnsi="宋体" w:eastAsia="宋体" w:cs="宋体"/>
          <w:b/>
          <w:color w:val="000000"/>
          <w:sz w:val="24"/>
          <w:szCs w:val="24"/>
          <w:highlight w:val="none"/>
        </w:rPr>
        <w:t>十日</w:t>
      </w:r>
      <w:r>
        <w:rPr>
          <w:rFonts w:hint="eastAsia" w:ascii="宋体" w:hAnsi="宋体" w:eastAsia="宋体" w:cs="宋体"/>
          <w:color w:val="000000"/>
          <w:sz w:val="24"/>
          <w:szCs w:val="24"/>
          <w:highlight w:val="none"/>
        </w:rPr>
        <w:t>前按招标公告中的通讯地址，以书面形式通知采购中心。</w:t>
      </w:r>
    </w:p>
    <w:p w14:paraId="0E2B3EDE">
      <w:pPr>
        <w:pStyle w:val="85"/>
        <w:keepNext/>
        <w:keepLines/>
        <w:spacing w:beforeAutospacing="0" w:afterAutospacing="0" w:line="360" w:lineRule="auto"/>
        <w:ind w:firstLine="560"/>
        <w:jc w:val="both"/>
        <w:rPr>
          <w:rFonts w:hint="eastAsia" w:ascii="宋体" w:hAnsi="宋体" w:eastAsia="宋体" w:cs="宋体"/>
          <w:color w:val="000000"/>
          <w:sz w:val="24"/>
          <w:szCs w:val="24"/>
          <w:highlight w:val="none"/>
        </w:rPr>
      </w:pPr>
      <w:bookmarkStart w:id="70" w:name="_Toc20823284"/>
      <w:bookmarkStart w:id="71" w:name="_Toc462564071"/>
      <w:bookmarkStart w:id="72" w:name="_Toc513029212"/>
      <w:bookmarkStart w:id="73" w:name="_Toc16938528"/>
      <w:r>
        <w:rPr>
          <w:rFonts w:hint="eastAsia" w:ascii="宋体" w:hAnsi="宋体" w:eastAsia="宋体" w:cs="宋体"/>
          <w:color w:val="000000"/>
          <w:sz w:val="24"/>
          <w:szCs w:val="24"/>
          <w:highlight w:val="none"/>
        </w:rPr>
        <w:t>8、招标文件的修改</w:t>
      </w:r>
      <w:bookmarkEnd w:id="70"/>
      <w:bookmarkEnd w:id="71"/>
      <w:bookmarkEnd w:id="72"/>
      <w:bookmarkEnd w:id="73"/>
    </w:p>
    <w:p w14:paraId="41A96788">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8.1在投标截止时间前，采购中心可以对招标文件进行修改。</w:t>
      </w:r>
    </w:p>
    <w:p w14:paraId="3F2327AA">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8.2采购中心有权按照法定的要求推迟投标截止日期和开标日期。</w:t>
      </w:r>
    </w:p>
    <w:p w14:paraId="4188A917">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8.3招标文件的修改将在</w:t>
      </w:r>
      <w:r>
        <w:rPr>
          <w:rFonts w:hint="eastAsia" w:ascii="宋体" w:hAnsi="宋体" w:eastAsia="宋体" w:cs="宋体"/>
          <w:i w:val="0"/>
          <w:iCs w:val="0"/>
          <w:caps w:val="0"/>
          <w:color w:val="000000"/>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i w:val="0"/>
          <w:iCs w:val="0"/>
          <w:caps w:val="0"/>
          <w:color w:val="000000"/>
          <w:spacing w:val="0"/>
          <w:sz w:val="24"/>
          <w:szCs w:val="24"/>
          <w:highlight w:val="none"/>
          <w:shd w:val="clear" w:color="auto" w:fill="FFFFFF"/>
          <w:lang w:val="en-US" w:eastAsia="zh-CN"/>
        </w:rPr>
        <w:t>江苏政府采购网”“盐城市政府采购网”</w:t>
      </w:r>
      <w:r>
        <w:rPr>
          <w:rFonts w:hint="eastAsia" w:ascii="宋体" w:hAnsi="宋体" w:eastAsia="宋体" w:cs="宋体"/>
          <w:color w:val="000000"/>
          <w:sz w:val="24"/>
          <w:szCs w:val="24"/>
          <w:highlight w:val="none"/>
        </w:rPr>
        <w:t>公布，补充文件将作为招标文件的组成部分，并对投标人具有约束力。</w:t>
      </w:r>
    </w:p>
    <w:p w14:paraId="6159B0E3">
      <w:pPr>
        <w:pStyle w:val="85"/>
        <w:keepNext/>
        <w:keepLines/>
        <w:spacing w:before="145" w:beforeAutospacing="0" w:after="145" w:afterAutospacing="0" w:line="360" w:lineRule="auto"/>
        <w:ind w:firstLine="482"/>
        <w:jc w:val="both"/>
        <w:rPr>
          <w:rFonts w:hint="eastAsia" w:ascii="宋体" w:hAnsi="宋体" w:eastAsia="宋体" w:cs="宋体"/>
          <w:color w:val="000000"/>
          <w:sz w:val="24"/>
          <w:szCs w:val="24"/>
          <w:highlight w:val="none"/>
        </w:rPr>
      </w:pPr>
      <w:bookmarkStart w:id="74" w:name="_Toc16938529"/>
      <w:bookmarkStart w:id="75" w:name="_Toc20823285"/>
      <w:bookmarkStart w:id="76" w:name="_Toc462564072"/>
      <w:bookmarkStart w:id="77" w:name="_Toc120614216"/>
      <w:bookmarkStart w:id="78" w:name="_Toc513029213"/>
      <w:r>
        <w:rPr>
          <w:rFonts w:hint="eastAsia" w:ascii="宋体" w:hAnsi="宋体" w:eastAsia="宋体" w:cs="宋体"/>
          <w:b/>
          <w:color w:val="000000"/>
          <w:sz w:val="24"/>
          <w:szCs w:val="24"/>
          <w:highlight w:val="none"/>
        </w:rPr>
        <w:t>三、投标文件的编制</w:t>
      </w:r>
      <w:bookmarkEnd w:id="74"/>
      <w:bookmarkEnd w:id="75"/>
      <w:bookmarkEnd w:id="76"/>
      <w:bookmarkEnd w:id="77"/>
      <w:bookmarkEnd w:id="78"/>
    </w:p>
    <w:p w14:paraId="4CEF28B7">
      <w:pPr>
        <w:pStyle w:val="85"/>
        <w:keepNext/>
        <w:keepLines/>
        <w:spacing w:beforeAutospacing="0" w:afterAutospacing="0" w:line="360" w:lineRule="auto"/>
        <w:ind w:firstLine="560"/>
        <w:jc w:val="both"/>
        <w:rPr>
          <w:rFonts w:hint="eastAsia" w:ascii="宋体" w:hAnsi="宋体" w:eastAsia="宋体" w:cs="宋体"/>
          <w:color w:val="000000"/>
          <w:sz w:val="24"/>
          <w:szCs w:val="24"/>
          <w:highlight w:val="none"/>
        </w:rPr>
      </w:pPr>
      <w:bookmarkStart w:id="79" w:name="_Toc513029214"/>
      <w:bookmarkStart w:id="80" w:name="_Toc462564073"/>
      <w:bookmarkStart w:id="81" w:name="_Toc16938530"/>
      <w:bookmarkStart w:id="82" w:name="_Toc20823286"/>
      <w:r>
        <w:rPr>
          <w:rFonts w:hint="eastAsia" w:ascii="宋体" w:hAnsi="宋体" w:eastAsia="宋体" w:cs="宋体"/>
          <w:color w:val="000000"/>
          <w:sz w:val="24"/>
          <w:szCs w:val="24"/>
          <w:highlight w:val="none"/>
        </w:rPr>
        <w:t>9、投标文件的语言及度量衡单位</w:t>
      </w:r>
      <w:bookmarkEnd w:id="79"/>
      <w:bookmarkEnd w:id="80"/>
      <w:bookmarkEnd w:id="81"/>
      <w:bookmarkEnd w:id="82"/>
    </w:p>
    <w:p w14:paraId="58226192">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9.1投标人提交的投标文件以及投标人与采购中心就有关投标的所有来往通知、函件和文件均应使用</w:t>
      </w:r>
      <w:r>
        <w:rPr>
          <w:rFonts w:hint="eastAsia" w:ascii="宋体" w:hAnsi="宋体" w:eastAsia="宋体" w:cs="宋体"/>
          <w:b/>
          <w:color w:val="000000"/>
          <w:sz w:val="24"/>
          <w:szCs w:val="24"/>
          <w:highlight w:val="none"/>
        </w:rPr>
        <w:t>简体中文</w:t>
      </w:r>
      <w:r>
        <w:rPr>
          <w:rFonts w:hint="eastAsia" w:ascii="宋体" w:hAnsi="宋体" w:eastAsia="宋体" w:cs="宋体"/>
          <w:color w:val="000000"/>
          <w:sz w:val="24"/>
          <w:szCs w:val="24"/>
          <w:highlight w:val="none"/>
        </w:rPr>
        <w:t>。</w:t>
      </w:r>
    </w:p>
    <w:p w14:paraId="0779D7ED">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9.2除技术性能另有规定外，投标文件所使用的度量衡单位，均须采用国家法定计量单位。</w:t>
      </w:r>
    </w:p>
    <w:p w14:paraId="73EF0AD6">
      <w:pPr>
        <w:pStyle w:val="85"/>
        <w:keepNext/>
        <w:keepLines/>
        <w:spacing w:beforeAutospacing="0" w:afterAutospacing="0" w:line="360" w:lineRule="auto"/>
        <w:ind w:firstLine="420"/>
        <w:jc w:val="both"/>
        <w:rPr>
          <w:rFonts w:hint="eastAsia" w:ascii="宋体" w:hAnsi="宋体" w:eastAsia="宋体" w:cs="宋体"/>
          <w:color w:val="000000"/>
          <w:sz w:val="24"/>
          <w:szCs w:val="24"/>
          <w:highlight w:val="none"/>
        </w:rPr>
      </w:pPr>
      <w:bookmarkStart w:id="83" w:name="_Toc513029215"/>
      <w:bookmarkStart w:id="84" w:name="_Toc20823287"/>
      <w:bookmarkStart w:id="85" w:name="_Toc462564074"/>
      <w:bookmarkStart w:id="86" w:name="_Toc16938531"/>
      <w:r>
        <w:rPr>
          <w:rFonts w:hint="eastAsia" w:ascii="宋体" w:hAnsi="宋体" w:eastAsia="宋体" w:cs="宋体"/>
          <w:color w:val="000000"/>
          <w:sz w:val="24"/>
          <w:szCs w:val="24"/>
          <w:highlight w:val="none"/>
        </w:rPr>
        <w:t>10、投标文件构成</w:t>
      </w:r>
      <w:bookmarkEnd w:id="83"/>
      <w:bookmarkEnd w:id="84"/>
      <w:bookmarkEnd w:id="85"/>
      <w:bookmarkEnd w:id="86"/>
    </w:p>
    <w:p w14:paraId="7C64EE38">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10.1投标人编写的投标文件应包括资格证明文件、符合性证明文件、投标分项报价表、技术要求响应及偏离表、商务要求响应及偏离表、其他证明文件、投标函、开标一览表等部分。</w:t>
      </w:r>
    </w:p>
    <w:p w14:paraId="074E111E">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10.2如标书制作工具中格式和内容与</w:t>
      </w:r>
      <w:r>
        <w:rPr>
          <w:rFonts w:hint="eastAsia" w:ascii="宋体" w:hAnsi="宋体" w:eastAsia="宋体" w:cs="宋体"/>
          <w:i w:val="0"/>
          <w:iCs w:val="0"/>
          <w:caps w:val="0"/>
          <w:color w:val="000000"/>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i w:val="0"/>
          <w:iCs w:val="0"/>
          <w:caps w:val="0"/>
          <w:color w:val="000000"/>
          <w:spacing w:val="0"/>
          <w:sz w:val="24"/>
          <w:szCs w:val="24"/>
          <w:highlight w:val="none"/>
          <w:shd w:val="clear" w:color="auto" w:fill="FFFFFF"/>
          <w:lang w:val="en-US" w:eastAsia="zh-CN"/>
        </w:rPr>
        <w:t>江苏政府采购网”“盐城市政府采购网”</w:t>
      </w:r>
      <w:r>
        <w:rPr>
          <w:rFonts w:hint="eastAsia" w:ascii="宋体" w:hAnsi="宋体" w:eastAsia="宋体" w:cs="宋体"/>
          <w:color w:val="000000"/>
          <w:sz w:val="24"/>
          <w:szCs w:val="24"/>
          <w:highlight w:val="none"/>
        </w:rPr>
        <w:t>发布的招标文件不一致，请以</w:t>
      </w:r>
      <w:r>
        <w:rPr>
          <w:rFonts w:hint="eastAsia" w:ascii="宋体" w:hAnsi="宋体" w:eastAsia="宋体" w:cs="宋体"/>
          <w:i w:val="0"/>
          <w:iCs w:val="0"/>
          <w:caps w:val="0"/>
          <w:color w:val="000000"/>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i w:val="0"/>
          <w:iCs w:val="0"/>
          <w:caps w:val="0"/>
          <w:color w:val="000000"/>
          <w:spacing w:val="0"/>
          <w:sz w:val="24"/>
          <w:szCs w:val="24"/>
          <w:highlight w:val="none"/>
          <w:shd w:val="clear" w:color="auto" w:fill="FFFFFF"/>
          <w:lang w:val="en-US" w:eastAsia="zh-CN"/>
        </w:rPr>
        <w:t>江苏政府采购网”“盐城市政府采购网”</w:t>
      </w:r>
      <w:r>
        <w:rPr>
          <w:rFonts w:hint="eastAsia" w:ascii="宋体" w:hAnsi="宋体" w:eastAsia="宋体" w:cs="宋体"/>
          <w:color w:val="000000"/>
          <w:sz w:val="24"/>
          <w:szCs w:val="24"/>
          <w:highlight w:val="none"/>
        </w:rPr>
        <w:t>发布的招标文件为准。</w:t>
      </w:r>
    </w:p>
    <w:p w14:paraId="03647079">
      <w:pPr>
        <w:pStyle w:val="85"/>
        <w:keepNext/>
        <w:keepLines/>
        <w:spacing w:beforeAutospacing="0" w:afterAutospacing="0" w:line="360" w:lineRule="auto"/>
        <w:ind w:firstLine="420"/>
        <w:jc w:val="both"/>
        <w:rPr>
          <w:rFonts w:hint="eastAsia" w:ascii="宋体" w:hAnsi="宋体" w:eastAsia="宋体" w:cs="宋体"/>
          <w:color w:val="000000"/>
          <w:sz w:val="24"/>
          <w:szCs w:val="24"/>
          <w:highlight w:val="none"/>
        </w:rPr>
      </w:pPr>
      <w:bookmarkStart w:id="87" w:name="_Toc14577354"/>
      <w:bookmarkStart w:id="88" w:name="_Toc49090509"/>
      <w:bookmarkStart w:id="89" w:name="_Toc513029216"/>
      <w:bookmarkStart w:id="90" w:name="_Toc14577357"/>
      <w:bookmarkStart w:id="91" w:name="_Toc513029219"/>
      <w:bookmarkStart w:id="92" w:name="_Toc49090507"/>
      <w:bookmarkStart w:id="93" w:name="_Hlt26954838"/>
      <w:bookmarkStart w:id="94" w:name="_Hlt26668975"/>
      <w:bookmarkStart w:id="95" w:name="_Hlt26670360"/>
      <w:r>
        <w:rPr>
          <w:rFonts w:hint="eastAsia" w:ascii="宋体" w:hAnsi="宋体" w:eastAsia="宋体" w:cs="宋体"/>
          <w:color w:val="000000"/>
          <w:sz w:val="24"/>
          <w:szCs w:val="24"/>
          <w:highlight w:val="none"/>
        </w:rPr>
        <w:t>11、证明投标人及投标标的符合招标文件规定的文件</w:t>
      </w:r>
      <w:bookmarkEnd w:id="87"/>
      <w:bookmarkEnd w:id="88"/>
      <w:bookmarkEnd w:id="89"/>
      <w:bookmarkEnd w:id="90"/>
      <w:bookmarkEnd w:id="91"/>
      <w:bookmarkEnd w:id="92"/>
    </w:p>
    <w:p w14:paraId="61729453">
      <w:pPr>
        <w:pStyle w:val="85"/>
        <w:spacing w:beforeAutospacing="0" w:afterAutospacing="0" w:line="360" w:lineRule="auto"/>
        <w:jc w:val="both"/>
        <w:rPr>
          <w:rFonts w:hint="eastAsia" w:ascii="宋体" w:hAnsi="宋体" w:eastAsia="宋体" w:cs="宋体"/>
          <w:color w:val="000000"/>
          <w:sz w:val="24"/>
          <w:szCs w:val="24"/>
          <w:highlight w:val="none"/>
        </w:rPr>
      </w:pPr>
      <w:bookmarkStart w:id="96" w:name="_Toc49090508"/>
      <w:bookmarkStart w:id="97" w:name="_Toc14577355"/>
      <w:r>
        <w:rPr>
          <w:rFonts w:hint="eastAsia" w:ascii="宋体" w:hAnsi="宋体" w:eastAsia="宋体" w:cs="宋体"/>
          <w:color w:val="000000"/>
          <w:sz w:val="24"/>
          <w:szCs w:val="24"/>
          <w:highlight w:val="none"/>
        </w:rPr>
        <w:t>  11.1投标人应按照法律、法规、规章和规范性文件以及招标文件要求提交证明文件，证明其及投标标的符合招标文件规定。</w:t>
      </w:r>
      <w:bookmarkEnd w:id="96"/>
      <w:bookmarkEnd w:id="97"/>
    </w:p>
    <w:p w14:paraId="2C2D3CB5">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11.2招标文件对证明文件无明确形式要求的，证明文件可以以文字资料、图纸和数据等形式提交。</w:t>
      </w:r>
    </w:p>
    <w:p w14:paraId="3724EC3E">
      <w:pPr>
        <w:pStyle w:val="85"/>
        <w:keepNext/>
        <w:keepLines/>
        <w:spacing w:beforeAutospacing="0" w:afterAutospacing="0" w:line="360" w:lineRule="auto"/>
        <w:ind w:firstLine="4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12、投标分项报价</w:t>
      </w:r>
      <w:bookmarkStart w:id="98" w:name="_Hlt26670373"/>
      <w:r>
        <w:rPr>
          <w:rFonts w:hint="eastAsia" w:ascii="宋体" w:hAnsi="宋体" w:eastAsia="宋体" w:cs="宋体"/>
          <w:color w:val="000000"/>
          <w:sz w:val="24"/>
          <w:szCs w:val="24"/>
          <w:highlight w:val="none"/>
        </w:rPr>
        <w:t>表</w:t>
      </w:r>
    </w:p>
    <w:p w14:paraId="1165AB5A">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12.1投</w:t>
      </w:r>
      <w:bookmarkStart w:id="99" w:name="_Hlt26954840"/>
      <w:r>
        <w:rPr>
          <w:rFonts w:hint="eastAsia" w:ascii="宋体" w:hAnsi="宋体" w:eastAsia="宋体" w:cs="宋体"/>
          <w:color w:val="000000"/>
          <w:sz w:val="24"/>
          <w:szCs w:val="24"/>
          <w:highlight w:val="none"/>
        </w:rPr>
        <w:t>标人应按照招标文件规定格式填报投标分项报价表</w:t>
      </w:r>
      <w:bookmarkStart w:id="100" w:name="_Hlt26670399"/>
      <w:r>
        <w:rPr>
          <w:rFonts w:hint="eastAsia" w:ascii="宋体" w:hAnsi="宋体" w:eastAsia="宋体" w:cs="宋体"/>
          <w:color w:val="000000"/>
          <w:sz w:val="24"/>
          <w:szCs w:val="24"/>
          <w:highlight w:val="none"/>
        </w:rPr>
        <w:t>。</w:t>
      </w:r>
    </w:p>
    <w:p w14:paraId="5EA9FB39">
      <w:pPr>
        <w:pStyle w:val="85"/>
        <w:spacing w:beforeAutospacing="0" w:afterAutospacing="0" w:line="360" w:lineRule="auto"/>
        <w:ind w:firstLine="480"/>
        <w:jc w:val="both"/>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12.2投标货币。投标文件中的单价和总价无特殊规定的采用人民币报价，以元为单位标注。招标文件中另有规定的按规定执行。</w:t>
      </w:r>
      <w:bookmarkStart w:id="101" w:name="_Hlt26954731"/>
      <w:bookmarkStart w:id="102" w:name="_Hlt26670482"/>
      <w:bookmarkStart w:id="103" w:name="_Hlt26954842"/>
      <w:bookmarkStart w:id="104" w:name="_Hlt26954844"/>
      <w:bookmarkStart w:id="105" w:name="_Hlt26668983"/>
      <w:bookmarkStart w:id="106" w:name="_Hlt26670486"/>
      <w:bookmarkStart w:id="107" w:name="_Hlt26670403"/>
      <w:bookmarkStart w:id="108" w:name="_Hlt26670425"/>
      <w:bookmarkStart w:id="109" w:name="_Hlt26954848"/>
      <w:bookmarkStart w:id="110" w:name="_Hlt26954846"/>
    </w:p>
    <w:p w14:paraId="4089323A">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 xml:space="preserve">  投标人根据招标内容的要求准确报价，一经报出，不得更改。</w:t>
      </w:r>
    </w:p>
    <w:p w14:paraId="3A514C6A">
      <w:pPr>
        <w:pStyle w:val="85"/>
        <w:keepNext/>
        <w:keepLines/>
        <w:spacing w:beforeAutospacing="0" w:afterAutospacing="0" w:line="360" w:lineRule="auto"/>
        <w:ind w:firstLine="4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13、技术要求响应及偏离表、商务要求响应及偏离表</w:t>
      </w:r>
    </w:p>
    <w:p w14:paraId="69D48617">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13.1投标人需对招标文件中的技术要求与商务要求逐项作出响应或偏离，并说明原因。</w:t>
      </w:r>
    </w:p>
    <w:p w14:paraId="0F47E873">
      <w:pPr>
        <w:pStyle w:val="85"/>
        <w:tabs>
          <w:tab w:val="left" w:pos="1036"/>
        </w:tabs>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13.2投标人可在投标文件中提供认为需要的其他技术文件或说明。</w:t>
      </w:r>
    </w:p>
    <w:p w14:paraId="4FDE8740">
      <w:pPr>
        <w:pStyle w:val="85"/>
        <w:keepNext/>
        <w:keepLines/>
        <w:spacing w:beforeAutospacing="0" w:afterAutospacing="0" w:line="360" w:lineRule="auto"/>
        <w:ind w:firstLine="420"/>
        <w:jc w:val="both"/>
        <w:rPr>
          <w:rFonts w:hint="eastAsia" w:ascii="宋体" w:hAnsi="宋体" w:eastAsia="宋体" w:cs="宋体"/>
          <w:color w:val="000000"/>
          <w:sz w:val="24"/>
          <w:szCs w:val="24"/>
          <w:highlight w:val="none"/>
        </w:rPr>
      </w:pPr>
      <w:bookmarkStart w:id="111" w:name="_Toc49090510"/>
      <w:bookmarkStart w:id="112" w:name="_Toc14577359"/>
      <w:r>
        <w:rPr>
          <w:rFonts w:hint="eastAsia" w:ascii="宋体" w:hAnsi="宋体" w:eastAsia="宋体" w:cs="宋体"/>
          <w:color w:val="000000"/>
          <w:sz w:val="24"/>
          <w:szCs w:val="24"/>
          <w:highlight w:val="none"/>
        </w:rPr>
        <w:t>14、投标函和开标一览表</w:t>
      </w:r>
      <w:bookmarkEnd w:id="111"/>
      <w:bookmarkEnd w:id="112"/>
    </w:p>
    <w:p w14:paraId="38BF1612">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14.1投标人应按照招标文件中提供的格式完整、正确填写投标函、开标一览表。</w:t>
      </w:r>
    </w:p>
    <w:p w14:paraId="6866D170">
      <w:pPr>
        <w:pStyle w:val="85"/>
        <w:spacing w:beforeAutospacing="0" w:afterAutospacing="0" w:line="360" w:lineRule="auto"/>
        <w:ind w:firstLine="480"/>
        <w:jc w:val="both"/>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w:t>
      </w:r>
    </w:p>
    <w:p w14:paraId="0A9C5734">
      <w:pPr>
        <w:spacing w:line="360" w:lineRule="auto"/>
        <w:ind w:firstLine="470"/>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14.3投标文件的大写金额和小写金额不一致的，以大写金额为准；对不同文字文本投标的解释发生异议的，以中文文本为准。</w:t>
      </w:r>
    </w:p>
    <w:p w14:paraId="6AE747D0">
      <w:pPr>
        <w:pStyle w:val="85"/>
        <w:keepNext/>
        <w:keepLines/>
        <w:spacing w:beforeAutospacing="0" w:afterAutospacing="0" w:line="360" w:lineRule="auto"/>
        <w:ind w:firstLine="420"/>
        <w:jc w:val="both"/>
        <w:rPr>
          <w:rFonts w:hint="eastAsia" w:ascii="宋体" w:hAnsi="宋体" w:eastAsia="宋体" w:cs="宋体"/>
          <w:color w:val="000000"/>
          <w:sz w:val="24"/>
          <w:szCs w:val="24"/>
          <w:highlight w:val="none"/>
        </w:rPr>
      </w:pPr>
      <w:bookmarkStart w:id="113" w:name="_Toc49090511"/>
      <w:bookmarkStart w:id="114" w:name="_Toc14577360"/>
      <w:bookmarkStart w:id="115" w:name="_Hlt26954734"/>
      <w:bookmarkStart w:id="116" w:name="_Hlt26954850"/>
      <w:bookmarkStart w:id="117" w:name="_Hlt26670489"/>
      <w:r>
        <w:rPr>
          <w:rFonts w:hint="eastAsia" w:ascii="宋体" w:hAnsi="宋体" w:eastAsia="宋体" w:cs="宋体"/>
          <w:color w:val="000000"/>
          <w:sz w:val="24"/>
          <w:szCs w:val="24"/>
          <w:highlight w:val="none"/>
        </w:rPr>
        <w:t>15、投标有效期</w:t>
      </w:r>
      <w:bookmarkEnd w:id="113"/>
      <w:bookmarkEnd w:id="114"/>
    </w:p>
    <w:p w14:paraId="499E6762">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15.1投标有效期为采购中心规定的开标之日后</w:t>
      </w:r>
      <w:r>
        <w:rPr>
          <w:rFonts w:hint="eastAsia" w:ascii="宋体" w:hAnsi="宋体" w:eastAsia="宋体" w:cs="宋体"/>
          <w:b/>
          <w:color w:val="000000"/>
          <w:sz w:val="24"/>
          <w:szCs w:val="24"/>
          <w:highlight w:val="none"/>
          <w:u w:val="single"/>
          <w:lang w:val="en-US" w:eastAsia="zh-CN"/>
        </w:rPr>
        <w:t>九</w:t>
      </w:r>
      <w:r>
        <w:rPr>
          <w:rFonts w:hint="eastAsia" w:ascii="宋体" w:hAnsi="宋体" w:eastAsia="宋体" w:cs="宋体"/>
          <w:b/>
          <w:color w:val="000000"/>
          <w:sz w:val="24"/>
          <w:szCs w:val="24"/>
          <w:highlight w:val="none"/>
          <w:u w:val="single"/>
        </w:rPr>
        <w:t>十（</w:t>
      </w:r>
      <w:r>
        <w:rPr>
          <w:rFonts w:hint="eastAsia" w:ascii="宋体" w:hAnsi="宋体" w:eastAsia="宋体" w:cs="宋体"/>
          <w:b/>
          <w:color w:val="000000"/>
          <w:sz w:val="24"/>
          <w:szCs w:val="24"/>
          <w:highlight w:val="none"/>
          <w:u w:val="single"/>
          <w:lang w:val="en-US" w:eastAsia="zh-CN"/>
        </w:rPr>
        <w:t>9</w:t>
      </w:r>
      <w:r>
        <w:rPr>
          <w:rFonts w:hint="eastAsia" w:ascii="宋体" w:hAnsi="宋体" w:eastAsia="宋体" w:cs="宋体"/>
          <w:b/>
          <w:color w:val="000000"/>
          <w:sz w:val="24"/>
          <w:szCs w:val="24"/>
          <w:highlight w:val="none"/>
          <w:u w:val="single"/>
        </w:rPr>
        <w:t>0）天</w:t>
      </w:r>
      <w:r>
        <w:rPr>
          <w:rFonts w:hint="eastAsia" w:ascii="宋体" w:hAnsi="宋体" w:eastAsia="宋体" w:cs="宋体"/>
          <w:color w:val="000000"/>
          <w:sz w:val="24"/>
          <w:szCs w:val="24"/>
          <w:highlight w:val="none"/>
        </w:rPr>
        <w:t>。投标有效期比规定短的将被视为未实质性响应招标文件而予以拒绝。</w:t>
      </w:r>
    </w:p>
    <w:p w14:paraId="08C3FE17">
      <w:pPr>
        <w:pStyle w:val="85"/>
        <w:keepNext/>
        <w:keepLines/>
        <w:spacing w:beforeAutospacing="0" w:afterAutospacing="0" w:line="360" w:lineRule="auto"/>
        <w:ind w:firstLine="4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16、投标有效期的延长</w:t>
      </w:r>
    </w:p>
    <w:p w14:paraId="47C75925">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p>
    <w:p w14:paraId="71AB95BB">
      <w:pPr>
        <w:pStyle w:val="85"/>
        <w:keepNext/>
        <w:keepLines/>
        <w:spacing w:before="145" w:beforeAutospacing="0" w:after="145" w:afterAutospacing="0" w:line="360" w:lineRule="auto"/>
        <w:ind w:firstLine="482"/>
        <w:jc w:val="both"/>
        <w:rPr>
          <w:rFonts w:hint="eastAsia" w:ascii="宋体" w:hAnsi="宋体" w:eastAsia="宋体" w:cs="宋体"/>
          <w:color w:val="000000"/>
          <w:sz w:val="24"/>
          <w:szCs w:val="24"/>
          <w:highlight w:val="none"/>
        </w:rPr>
      </w:pPr>
      <w:bookmarkStart w:id="118" w:name="_Toc16938540"/>
      <w:bookmarkStart w:id="119" w:name="_Toc513029224"/>
      <w:bookmarkStart w:id="120" w:name="_Toc120614217"/>
      <w:bookmarkStart w:id="121" w:name="_Toc20823296"/>
      <w:bookmarkStart w:id="122" w:name="_Hlt26954739"/>
      <w:bookmarkStart w:id="123" w:name="_Hlt26954852"/>
      <w:r>
        <w:rPr>
          <w:rFonts w:hint="eastAsia" w:ascii="宋体" w:hAnsi="宋体" w:eastAsia="宋体" w:cs="宋体"/>
          <w:b/>
          <w:color w:val="000000"/>
          <w:sz w:val="24"/>
          <w:szCs w:val="24"/>
          <w:highlight w:val="none"/>
        </w:rPr>
        <w:t>四、投标文件的递交</w:t>
      </w:r>
      <w:bookmarkEnd w:id="118"/>
      <w:bookmarkEnd w:id="119"/>
      <w:bookmarkEnd w:id="120"/>
      <w:bookmarkEnd w:id="121"/>
    </w:p>
    <w:p w14:paraId="7EA077C3">
      <w:pPr>
        <w:pStyle w:val="85"/>
        <w:spacing w:beforeAutospacing="0" w:afterAutospacing="0" w:line="360" w:lineRule="auto"/>
        <w:ind w:firstLine="480"/>
        <w:jc w:val="both"/>
        <w:rPr>
          <w:rFonts w:hint="eastAsia" w:ascii="宋体" w:hAnsi="宋体" w:eastAsia="宋体" w:cs="宋体"/>
          <w:color w:val="000000"/>
          <w:sz w:val="24"/>
          <w:szCs w:val="24"/>
          <w:highlight w:val="none"/>
        </w:rPr>
      </w:pPr>
      <w:bookmarkStart w:id="124" w:name="_Toc16938541"/>
      <w:bookmarkStart w:id="125" w:name="_Toc462564084"/>
      <w:bookmarkStart w:id="126" w:name="_Toc20823297"/>
      <w:bookmarkStart w:id="127" w:name="_Toc513029225"/>
      <w:r>
        <w:rPr>
          <w:rFonts w:hint="eastAsia" w:ascii="宋体" w:hAnsi="宋体" w:eastAsia="宋体" w:cs="宋体"/>
          <w:color w:val="000000"/>
          <w:sz w:val="24"/>
          <w:szCs w:val="24"/>
          <w:highlight w:val="none"/>
        </w:rPr>
        <w:t>17、投标文件</w:t>
      </w:r>
      <w:bookmarkEnd w:id="124"/>
      <w:bookmarkEnd w:id="125"/>
      <w:bookmarkEnd w:id="126"/>
      <w:bookmarkEnd w:id="127"/>
      <w:r>
        <w:rPr>
          <w:rFonts w:hint="eastAsia" w:ascii="宋体" w:hAnsi="宋体" w:eastAsia="宋体" w:cs="宋体"/>
          <w:color w:val="000000"/>
          <w:sz w:val="24"/>
          <w:szCs w:val="24"/>
          <w:highlight w:val="none"/>
        </w:rPr>
        <w:t>的递交</w:t>
      </w:r>
    </w:p>
    <w:p w14:paraId="0347E809">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17.1 电子投标文件的递交</w:t>
      </w:r>
    </w:p>
    <w:p w14:paraId="4E5D74F7">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投标人应当按照《操作手册》规定，在投标截止时间前制作并上传电子投标文件。</w:t>
      </w:r>
      <w:bookmarkStart w:id="128" w:name="_Toc20823298"/>
      <w:bookmarkEnd w:id="128"/>
      <w:bookmarkStart w:id="129" w:name="_Toc16938542"/>
      <w:bookmarkEnd w:id="129"/>
      <w:bookmarkStart w:id="130" w:name="_Toc513029226"/>
    </w:p>
    <w:p w14:paraId="1AB94550">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18、投标截止时间</w:t>
      </w:r>
    </w:p>
    <w:p w14:paraId="47F36ACB">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i/>
          <w:color w:val="000000"/>
          <w:sz w:val="24"/>
          <w:szCs w:val="24"/>
          <w:highlight w:val="none"/>
          <w:u w:val="single"/>
        </w:rPr>
        <w:t>18.1投标人上传电子投标文件的时间不得迟于招标公告中规定的投标截止时间。</w:t>
      </w:r>
    </w:p>
    <w:p w14:paraId="6951FCA9">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投标人应充分考虑到网络环境、网络带宽等风险因素，如因投标人自身原因造成的电子投标文件上传不成功的按照本招标文件第二章第26.1.2条 规定做无效投标处理。</w:t>
      </w:r>
    </w:p>
    <w:p w14:paraId="401695A7">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18.2采购中心可以按照规定，通过修改招标文件酌情延长投标截止时间，在此情况下，投标人的所有权利和义务以及投标人受制的截止时间均应以延长后新的截止时间为准。</w:t>
      </w:r>
    </w:p>
    <w:p w14:paraId="21925140">
      <w:pPr>
        <w:pStyle w:val="85"/>
        <w:keepNext/>
        <w:keepLines/>
        <w:spacing w:beforeAutospacing="0" w:afterAutospacing="0" w:line="360" w:lineRule="auto"/>
        <w:ind w:firstLine="420"/>
        <w:jc w:val="both"/>
        <w:rPr>
          <w:rFonts w:hint="eastAsia" w:ascii="宋体" w:hAnsi="宋体" w:eastAsia="宋体" w:cs="宋体"/>
          <w:color w:val="000000"/>
          <w:sz w:val="24"/>
          <w:szCs w:val="24"/>
          <w:highlight w:val="none"/>
        </w:rPr>
      </w:pPr>
      <w:bookmarkStart w:id="131" w:name="_Toc513029227"/>
      <w:bookmarkStart w:id="132" w:name="_Toc20823299"/>
      <w:bookmarkStart w:id="133" w:name="_Toc16938543"/>
      <w:r>
        <w:rPr>
          <w:rFonts w:hint="eastAsia" w:ascii="宋体" w:hAnsi="宋体" w:eastAsia="宋体" w:cs="宋体"/>
          <w:color w:val="000000"/>
          <w:sz w:val="24"/>
          <w:szCs w:val="24"/>
          <w:highlight w:val="none"/>
        </w:rPr>
        <w:t>19、投标文件</w:t>
      </w:r>
      <w:bookmarkEnd w:id="131"/>
      <w:bookmarkEnd w:id="132"/>
      <w:bookmarkEnd w:id="133"/>
      <w:r>
        <w:rPr>
          <w:rFonts w:hint="eastAsia" w:ascii="宋体" w:hAnsi="宋体" w:eastAsia="宋体" w:cs="宋体"/>
          <w:color w:val="000000"/>
          <w:sz w:val="24"/>
          <w:szCs w:val="24"/>
          <w:highlight w:val="none"/>
        </w:rPr>
        <w:t>的拒收</w:t>
      </w:r>
    </w:p>
    <w:p w14:paraId="441E12DE">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19.1采购中心拒绝接收在其规定的投标截止时间后上传的任何投标文件。</w:t>
      </w:r>
    </w:p>
    <w:p w14:paraId="306823A5">
      <w:pPr>
        <w:pStyle w:val="85"/>
        <w:keepNext/>
        <w:keepLines/>
        <w:spacing w:beforeAutospacing="0" w:afterAutospacing="0" w:line="360" w:lineRule="auto"/>
        <w:ind w:firstLine="420"/>
        <w:jc w:val="both"/>
        <w:rPr>
          <w:rFonts w:hint="eastAsia" w:ascii="宋体" w:hAnsi="宋体" w:eastAsia="宋体" w:cs="宋体"/>
          <w:color w:val="000000"/>
          <w:sz w:val="24"/>
          <w:szCs w:val="24"/>
          <w:highlight w:val="none"/>
        </w:rPr>
      </w:pPr>
      <w:bookmarkStart w:id="134" w:name="_Toc20823300"/>
      <w:bookmarkStart w:id="135" w:name="_Toc16938544"/>
      <w:bookmarkStart w:id="136" w:name="_Toc513029228"/>
      <w:r>
        <w:rPr>
          <w:rFonts w:hint="eastAsia" w:ascii="宋体" w:hAnsi="宋体" w:eastAsia="宋体" w:cs="宋体"/>
          <w:color w:val="000000"/>
          <w:sz w:val="24"/>
          <w:szCs w:val="24"/>
          <w:highlight w:val="none"/>
        </w:rPr>
        <w:t>20、投标文件的撤回和修改</w:t>
      </w:r>
      <w:bookmarkEnd w:id="134"/>
      <w:bookmarkEnd w:id="135"/>
      <w:bookmarkEnd w:id="136"/>
    </w:p>
    <w:p w14:paraId="2FE9952A">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20.1投标文件的撤回</w:t>
      </w:r>
    </w:p>
    <w:p w14:paraId="7A401D84">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.1.1电子投标文件的撤回</w:t>
      </w:r>
    </w:p>
    <w:p w14:paraId="6F5739E6">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投标人可在投标截止时间前，撤回其电子投标文件，具体操作方法见《操作手册》。</w:t>
      </w:r>
    </w:p>
    <w:p w14:paraId="0FDF3858">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.1.2投标人撤回电子投标文件，则认为其不再参与本项目投标活动。</w:t>
      </w:r>
    </w:p>
    <w:p w14:paraId="25AD0125">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20.2 投标文件的修改</w:t>
      </w:r>
    </w:p>
    <w:p w14:paraId="22CB3067">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20.2.1投标人可在投标截止时间前，对其电子投标文件进行修改，具体操作方法见《操作手册》。</w:t>
      </w:r>
    </w:p>
    <w:p w14:paraId="4C6FDF5D">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20.2.2在投标截止时间之后，投标人不得对其电子投标文件作任何修改。</w:t>
      </w:r>
    </w:p>
    <w:p w14:paraId="4618DC79">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20.3在投标截止时间至招标文件中规定的投标有效期满之间的这段时间内，投标人不得撤回其投标。</w:t>
      </w:r>
    </w:p>
    <w:p w14:paraId="74209E1C">
      <w:pPr>
        <w:pStyle w:val="85"/>
        <w:keepNext/>
        <w:keepLines/>
        <w:spacing w:before="145" w:beforeAutospacing="0" w:after="145" w:afterAutospacing="0" w:line="360" w:lineRule="auto"/>
        <w:ind w:firstLine="482"/>
        <w:jc w:val="both"/>
        <w:rPr>
          <w:rFonts w:hint="eastAsia" w:ascii="宋体" w:hAnsi="宋体" w:eastAsia="宋体" w:cs="宋体"/>
          <w:color w:val="000000"/>
          <w:sz w:val="24"/>
          <w:szCs w:val="24"/>
          <w:highlight w:val="none"/>
        </w:rPr>
      </w:pPr>
      <w:bookmarkStart w:id="137" w:name="_Toc120614218"/>
      <w:bookmarkStart w:id="138" w:name="_Toc20823301"/>
      <w:bookmarkStart w:id="139" w:name="_Toc513029229"/>
      <w:bookmarkStart w:id="140" w:name="_Toc16938545"/>
      <w:r>
        <w:rPr>
          <w:rFonts w:hint="eastAsia" w:ascii="宋体" w:hAnsi="宋体" w:eastAsia="宋体" w:cs="宋体"/>
          <w:b/>
          <w:color w:val="000000"/>
          <w:sz w:val="24"/>
          <w:szCs w:val="24"/>
          <w:highlight w:val="none"/>
        </w:rPr>
        <w:t>五、开标与评标</w:t>
      </w:r>
      <w:bookmarkEnd w:id="137"/>
      <w:bookmarkEnd w:id="138"/>
      <w:bookmarkEnd w:id="139"/>
      <w:bookmarkEnd w:id="140"/>
    </w:p>
    <w:p w14:paraId="63084F15">
      <w:pPr>
        <w:pStyle w:val="85"/>
        <w:keepNext/>
        <w:keepLines/>
        <w:spacing w:beforeAutospacing="0" w:afterAutospacing="0" w:line="360" w:lineRule="auto"/>
        <w:ind w:firstLine="420"/>
        <w:jc w:val="both"/>
        <w:rPr>
          <w:rFonts w:hint="eastAsia" w:ascii="宋体" w:hAnsi="宋体" w:eastAsia="宋体" w:cs="宋体"/>
          <w:color w:val="000000"/>
          <w:sz w:val="24"/>
          <w:szCs w:val="24"/>
          <w:highlight w:val="none"/>
        </w:rPr>
      </w:pPr>
      <w:bookmarkStart w:id="141" w:name="_Toc513029230"/>
      <w:bookmarkStart w:id="142" w:name="_Toc20823302"/>
      <w:bookmarkStart w:id="143" w:name="_Toc16938546"/>
      <w:r>
        <w:rPr>
          <w:rFonts w:hint="eastAsia" w:ascii="宋体" w:hAnsi="宋体" w:eastAsia="宋体" w:cs="宋体"/>
          <w:color w:val="000000"/>
          <w:sz w:val="24"/>
          <w:szCs w:val="24"/>
          <w:highlight w:val="none"/>
        </w:rPr>
        <w:t>21、开标</w:t>
      </w:r>
      <w:bookmarkEnd w:id="141"/>
      <w:bookmarkEnd w:id="142"/>
      <w:bookmarkEnd w:id="143"/>
    </w:p>
    <w:p w14:paraId="7CD317DD">
      <w:pPr>
        <w:pStyle w:val="85"/>
        <w:spacing w:beforeAutospacing="0" w:afterAutospacing="0" w:line="360" w:lineRule="auto"/>
        <w:ind w:firstLine="36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21.1采购中心将在招标公告中规定的时间和地点组织公开开标。投标人应当按照《操作手册》规定，参加开标活动和在苏采云系统规定的时间内对投标文件进行解密。</w:t>
      </w:r>
    </w:p>
    <w:p w14:paraId="0468AFF0">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21.2开标仪式由采购中心组织。苏采云系统将自动对项目进行开标，并宣布各投标人名称和投标价格。</w:t>
      </w:r>
    </w:p>
    <w:p w14:paraId="7007648D">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21.3投标人在开标过程中涉及到的投标文件解密、开标结果确认等工作，应按照《操作手册》规定执行。</w:t>
      </w:r>
    </w:p>
    <w:p w14:paraId="5E185CC9">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21.4投标人如果对开标过程和开标记录有疑义，应当根据《操作手册》规定提出，如苏采云系统中《开标记录表》宣布后5分钟内未提出的，视同认可开标结果。</w:t>
      </w:r>
    </w:p>
    <w:p w14:paraId="62DA938E">
      <w:pPr>
        <w:pStyle w:val="85"/>
        <w:keepNext/>
        <w:keepLines/>
        <w:spacing w:beforeAutospacing="0" w:afterAutospacing="0" w:line="360" w:lineRule="auto"/>
        <w:ind w:firstLine="420"/>
        <w:jc w:val="both"/>
        <w:rPr>
          <w:rFonts w:hint="eastAsia" w:ascii="宋体" w:hAnsi="宋体" w:eastAsia="宋体" w:cs="宋体"/>
          <w:color w:val="000000"/>
          <w:sz w:val="24"/>
          <w:szCs w:val="24"/>
          <w:highlight w:val="none"/>
        </w:rPr>
      </w:pPr>
      <w:bookmarkStart w:id="144" w:name="_Toc20823303"/>
      <w:bookmarkStart w:id="145" w:name="_Toc16938547"/>
      <w:bookmarkStart w:id="146" w:name="_Toc513029231"/>
      <w:r>
        <w:rPr>
          <w:rFonts w:hint="eastAsia" w:ascii="宋体" w:hAnsi="宋体" w:eastAsia="宋体" w:cs="宋体"/>
          <w:color w:val="000000"/>
          <w:sz w:val="24"/>
          <w:szCs w:val="24"/>
          <w:highlight w:val="none"/>
        </w:rPr>
        <w:t>22、评标委员会</w:t>
      </w:r>
      <w:bookmarkEnd w:id="144"/>
      <w:bookmarkEnd w:id="145"/>
      <w:bookmarkEnd w:id="146"/>
    </w:p>
    <w:p w14:paraId="338002FA">
      <w:pPr>
        <w:pStyle w:val="85"/>
        <w:spacing w:beforeAutospacing="0" w:afterAutospacing="0" w:line="360" w:lineRule="auto"/>
        <w:jc w:val="both"/>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22.1开标后，采购中心将立即组织评标委员会（以下简称评委会）进行评标。</w:t>
      </w:r>
    </w:p>
    <w:p w14:paraId="2D3E337B">
      <w:pPr>
        <w:pStyle w:val="85"/>
        <w:spacing w:beforeAutospacing="0" w:afterAutospacing="0" w:line="360" w:lineRule="auto"/>
        <w:jc w:val="both"/>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22.2评委会由采购人代表和有关技术、经济等方面的专家组成，且人员构成符合政府采购有关规定。</w:t>
      </w:r>
    </w:p>
    <w:p w14:paraId="19B005F0">
      <w:pPr>
        <w:pStyle w:val="85"/>
        <w:spacing w:beforeAutospacing="0" w:afterAutospacing="0" w:line="360" w:lineRule="auto"/>
        <w:jc w:val="both"/>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22.3评委会独立工作，负责评审所有投标文件并确定中标</w:t>
      </w:r>
      <w:r>
        <w:rPr>
          <w:rFonts w:hint="eastAsia" w:ascii="宋体" w:hAnsi="宋体" w:eastAsia="宋体" w:cs="宋体"/>
          <w:color w:val="000000"/>
          <w:sz w:val="24"/>
          <w:szCs w:val="24"/>
          <w:highlight w:val="none"/>
          <w:lang w:eastAsia="zh-CN"/>
        </w:rPr>
        <w:t>候选人</w:t>
      </w:r>
      <w:r>
        <w:rPr>
          <w:rFonts w:hint="eastAsia" w:ascii="宋体" w:hAnsi="宋体" w:eastAsia="宋体" w:cs="宋体"/>
          <w:color w:val="000000"/>
          <w:sz w:val="24"/>
          <w:szCs w:val="24"/>
          <w:highlight w:val="none"/>
        </w:rPr>
        <w:t>。</w:t>
      </w:r>
    </w:p>
    <w:p w14:paraId="272C062E">
      <w:pPr>
        <w:pStyle w:val="85"/>
        <w:keepNext/>
        <w:keepLines/>
        <w:spacing w:beforeAutospacing="0" w:afterAutospacing="0" w:line="360" w:lineRule="auto"/>
        <w:ind w:firstLine="4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23、评标过程的保密与公正</w:t>
      </w:r>
    </w:p>
    <w:p w14:paraId="0195FBD7">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23.1凡是与审查、澄清、评价和比较投标的有关资料以及授标建议等，采购人、评委、采购中心均不得向投标人或与评标无关的其他人员透露。</w:t>
      </w:r>
    </w:p>
    <w:p w14:paraId="4314A84A">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23.2在评标过程中，投标人不得以任何行为影响评标过程，否则其投标文件将被作为无效投标文件。</w:t>
      </w:r>
    </w:p>
    <w:p w14:paraId="44A78055">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23.3采购中心和评标委员会不向未中标的投标人解释未中标原因，也不公布评标过程中的相关细节。</w:t>
      </w:r>
    </w:p>
    <w:p w14:paraId="221C06CA">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23.4采用综合评分法的项目，未中标的投标人可于中标结果公告期限届满之日起通过苏采云系统查看自己的评审得分及排序情况。</w:t>
      </w:r>
    </w:p>
    <w:p w14:paraId="237197E8">
      <w:pPr>
        <w:pStyle w:val="85"/>
        <w:keepNext/>
        <w:keepLines/>
        <w:spacing w:beforeAutospacing="0" w:afterAutospacing="0" w:line="360" w:lineRule="auto"/>
        <w:ind w:firstLine="420"/>
        <w:jc w:val="both"/>
        <w:rPr>
          <w:rFonts w:hint="eastAsia" w:ascii="宋体" w:hAnsi="宋体" w:eastAsia="宋体" w:cs="宋体"/>
          <w:color w:val="000000"/>
          <w:sz w:val="24"/>
          <w:szCs w:val="24"/>
          <w:highlight w:val="none"/>
        </w:rPr>
      </w:pPr>
      <w:bookmarkStart w:id="147" w:name="_Toc513029232"/>
      <w:bookmarkStart w:id="148" w:name="_Toc16938548"/>
      <w:bookmarkStart w:id="149" w:name="_Toc20823304"/>
      <w:r>
        <w:rPr>
          <w:rFonts w:hint="eastAsia" w:ascii="宋体" w:hAnsi="宋体" w:eastAsia="宋体" w:cs="宋体"/>
          <w:color w:val="000000"/>
          <w:sz w:val="24"/>
          <w:szCs w:val="24"/>
          <w:highlight w:val="none"/>
        </w:rPr>
        <w:t>24、投标文件的澄清</w:t>
      </w:r>
      <w:bookmarkEnd w:id="147"/>
      <w:bookmarkEnd w:id="148"/>
      <w:bookmarkEnd w:id="149"/>
    </w:p>
    <w:p w14:paraId="0DE63A40">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24.1评标期间，评委会对投标文件中含义不明确、同类问题表述不一致或者有明显文字和计算错误的内容</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有权要求投标人作出必要的澄清、说明或者补正。</w:t>
      </w:r>
    </w:p>
    <w:p w14:paraId="4A7F6B37">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投标人的澄清、说明或者补正不得超出投标文件的范围或者改变投标文件的实质性内容。</w:t>
      </w:r>
    </w:p>
    <w:p w14:paraId="18D28346">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评标委员会并非对每个投标人都做澄清要求。</w:t>
      </w:r>
    </w:p>
    <w:p w14:paraId="3995298D">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477798F">
      <w:pPr>
        <w:pStyle w:val="85"/>
        <w:spacing w:beforeAutospacing="0" w:afterAutospacing="0" w:line="360" w:lineRule="auto"/>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24.3接到评委会澄清、说明和补正要求的投标人如未按规定做出澄清、说明和补正，其风险由投标人自行承担。</w:t>
      </w:r>
    </w:p>
    <w:p w14:paraId="3BF37F30">
      <w:pPr>
        <w:pStyle w:val="85"/>
        <w:keepNext/>
        <w:keepLines/>
        <w:spacing w:beforeAutospacing="0" w:afterAutospacing="0" w:line="360" w:lineRule="auto"/>
        <w:ind w:firstLine="420"/>
        <w:jc w:val="both"/>
        <w:rPr>
          <w:rFonts w:hint="eastAsia" w:ascii="宋体" w:hAnsi="宋体" w:eastAsia="宋体" w:cs="宋体"/>
          <w:color w:val="000000"/>
          <w:sz w:val="24"/>
          <w:szCs w:val="24"/>
          <w:highlight w:val="none"/>
        </w:rPr>
      </w:pPr>
      <w:bookmarkStart w:id="150" w:name="_Toc20823305"/>
      <w:bookmarkStart w:id="151" w:name="_Toc16938549"/>
      <w:bookmarkStart w:id="152" w:name="_Toc513029233"/>
      <w:r>
        <w:rPr>
          <w:rFonts w:hint="eastAsia" w:ascii="宋体" w:hAnsi="宋体" w:eastAsia="宋体" w:cs="宋体"/>
          <w:color w:val="000000"/>
          <w:sz w:val="24"/>
          <w:szCs w:val="24"/>
          <w:highlight w:val="none"/>
        </w:rPr>
        <w:t>25、对投标文件的初审</w:t>
      </w:r>
      <w:bookmarkEnd w:id="150"/>
      <w:bookmarkEnd w:id="151"/>
      <w:bookmarkEnd w:id="152"/>
    </w:p>
    <w:p w14:paraId="0AED9C64">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25.1投标文件初审分为资格审查和符合性审查。</w:t>
      </w:r>
    </w:p>
    <w:p w14:paraId="378E0C98">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25.1.1资格审查：依据法律法规和招标文件的规定，由采购人对投标文件中的资格证明文件进行审查。资格审查的结论，采购人以书面形式向评委会进行反馈。</w:t>
      </w:r>
    </w:p>
    <w:p w14:paraId="4F8574B3">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采购人在进行资格性审查的同时，将在“信用中国”网站（www.creditchina.gov.cn）查询投标人的信用记录，以确定投标人是否具备投标资格,查询结果留存并归档。</w:t>
      </w:r>
    </w:p>
    <w:p w14:paraId="288BE9E3">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6AB369AD">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25.1.2符合性审查：依据招标文件的规定，由评委会从投标文件的有效性、完整性和对招标文件的响应程度进行审查，以确定是否对招标文件的实质性要求作出响应。</w:t>
      </w:r>
    </w:p>
    <w:p w14:paraId="03BCE8A2">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25.1.3未通过资格审查或符合性审查的投标人，采购中心将在苏采云系统中告知未通过资格审查或符合性审查的原因，评标结束后，采购中心将不再告知未通过资格审查和符合性审查的原因。</w:t>
      </w:r>
    </w:p>
    <w:p w14:paraId="4B43E797">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20E58CBC">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495B3EC">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25.3如果投标文件实质上没有响应招标文件的要求，评委会将予以拒绝，投标人不得通过修改或撤销</w:t>
      </w:r>
      <w:r>
        <w:rPr>
          <w:rFonts w:hint="eastAsia" w:ascii="宋体" w:hAnsi="宋体" w:eastAsia="宋体" w:cs="宋体"/>
          <w:color w:val="000000"/>
          <w:sz w:val="24"/>
          <w:szCs w:val="24"/>
          <w:highlight w:val="none"/>
          <w:lang w:eastAsia="zh-CN"/>
        </w:rPr>
        <w:t>不符</w:t>
      </w:r>
      <w:r>
        <w:rPr>
          <w:rFonts w:hint="eastAsia" w:ascii="宋体" w:hAnsi="宋体" w:eastAsia="宋体" w:cs="宋体"/>
          <w:color w:val="000000"/>
          <w:sz w:val="24"/>
          <w:szCs w:val="24"/>
          <w:highlight w:val="none"/>
        </w:rPr>
        <w:t>合要求的偏离或保留而使其投标成为实质性响应的投标。</w:t>
      </w:r>
    </w:p>
    <w:p w14:paraId="6B7013D9">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25.4评委会将对确定为实质性响应的投标进行进一步审核，确定其是否有计算上或累加上的算术错误，修正错误的原则如下：</w:t>
      </w:r>
    </w:p>
    <w:p w14:paraId="7EAFC98A">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（1）投标文件中开标一览表内容与投标文件中相应内容不一致的，以开标一览表为准。</w:t>
      </w:r>
    </w:p>
    <w:p w14:paraId="61D9F6FF">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（2）大写金额和小写金额不一致的，以大写金额为准。</w:t>
      </w:r>
    </w:p>
    <w:p w14:paraId="7D779DCE">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（3）单价金额小数点或者百分比有明显错位的，以开标一览表的总价为准，并修改单价。</w:t>
      </w:r>
    </w:p>
    <w:p w14:paraId="1D40801F">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（4）总价金额与按单价汇总金额不一致的，以单价金额计算结果为准。</w:t>
      </w:r>
    </w:p>
    <w:p w14:paraId="66FC35A5">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同时出现两种以上错误的，按照前款规定的顺序修正。</w:t>
      </w:r>
    </w:p>
    <w:p w14:paraId="395157BA">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4A895966">
      <w:pPr>
        <w:pStyle w:val="85"/>
        <w:spacing w:beforeAutospacing="0" w:afterAutospacing="0" w:line="360" w:lineRule="auto"/>
        <w:ind w:firstLine="420"/>
        <w:jc w:val="both"/>
        <w:rPr>
          <w:rFonts w:hint="eastAsia" w:ascii="宋体" w:hAnsi="宋体" w:eastAsia="宋体" w:cs="宋体"/>
          <w:color w:val="000000"/>
          <w:sz w:val="24"/>
          <w:szCs w:val="24"/>
          <w:highlight w:val="none"/>
        </w:rPr>
      </w:pPr>
      <w:bookmarkStart w:id="153" w:name="_Toc20823306"/>
      <w:bookmarkStart w:id="154" w:name="_Toc513029234"/>
      <w:bookmarkStart w:id="155" w:name="_Toc16938550"/>
      <w:r>
        <w:rPr>
          <w:rFonts w:hint="eastAsia" w:ascii="宋体" w:hAnsi="宋体" w:eastAsia="宋体" w:cs="宋体"/>
          <w:color w:val="000000"/>
          <w:sz w:val="24"/>
          <w:szCs w:val="24"/>
          <w:highlight w:val="none"/>
        </w:rPr>
        <w:t>25.6投标人在开、评标全过程中应</w:t>
      </w:r>
      <w:r>
        <w:rPr>
          <w:rFonts w:hint="eastAsia" w:ascii="宋体" w:hAnsi="宋体" w:eastAsia="宋体" w:cs="宋体"/>
          <w:color w:val="000000"/>
          <w:sz w:val="24"/>
          <w:szCs w:val="24"/>
          <w:highlight w:val="none"/>
          <w:lang w:eastAsia="zh-CN"/>
        </w:rPr>
        <w:t>保持通信畅通</w:t>
      </w:r>
      <w:r>
        <w:rPr>
          <w:rFonts w:hint="eastAsia" w:ascii="宋体" w:hAnsi="宋体" w:eastAsia="宋体" w:cs="宋体"/>
          <w:color w:val="000000"/>
          <w:sz w:val="24"/>
          <w:szCs w:val="24"/>
          <w:highlight w:val="none"/>
        </w:rPr>
        <w:t>，及时登录苏采云系统查阅、答复相关信息，并安排专人与采购中心及评标委员会联系。</w:t>
      </w:r>
      <w:bookmarkEnd w:id="153"/>
      <w:bookmarkEnd w:id="154"/>
      <w:bookmarkEnd w:id="155"/>
    </w:p>
    <w:p w14:paraId="03F83133">
      <w:pPr>
        <w:pStyle w:val="85"/>
        <w:keepNext/>
        <w:keepLines/>
        <w:spacing w:beforeAutospacing="0" w:afterAutospacing="0" w:line="360" w:lineRule="auto"/>
        <w:ind w:firstLine="4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26、无效投标条款和废标条款</w:t>
      </w:r>
    </w:p>
    <w:p w14:paraId="50D8A8FF">
      <w:pPr>
        <w:pStyle w:val="85"/>
        <w:spacing w:beforeAutospacing="0" w:afterAutospacing="0" w:line="360" w:lineRule="auto"/>
        <w:ind w:left="479"/>
        <w:jc w:val="both"/>
        <w:rPr>
          <w:rFonts w:hint="eastAsia" w:ascii="宋体" w:hAnsi="宋体" w:eastAsia="宋体" w:cs="宋体"/>
          <w:color w:val="000000"/>
          <w:sz w:val="24"/>
          <w:szCs w:val="24"/>
          <w:highlight w:val="none"/>
        </w:rPr>
      </w:pPr>
      <w:bookmarkStart w:id="156" w:name="_Toc513029235"/>
      <w:bookmarkStart w:id="157" w:name="_Toc16938551"/>
      <w:bookmarkStart w:id="158" w:name="_Toc20823307"/>
      <w:r>
        <w:rPr>
          <w:rFonts w:hint="eastAsia" w:ascii="宋体" w:hAnsi="宋体" w:eastAsia="宋体" w:cs="宋体"/>
          <w:color w:val="000000"/>
          <w:sz w:val="24"/>
          <w:szCs w:val="24"/>
          <w:highlight w:val="none"/>
        </w:rPr>
        <w:t>26.1无效投标条款</w:t>
      </w:r>
      <w:bookmarkEnd w:id="156"/>
      <w:bookmarkEnd w:id="157"/>
      <w:bookmarkEnd w:id="158"/>
    </w:p>
    <w:p w14:paraId="411796D6">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26.1.1投标人在苏采云系统规定的时间内未成功解密电子投标文件的。</w:t>
      </w:r>
    </w:p>
    <w:p w14:paraId="323A3106">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26.1.2投标人未按照招标文件要求上传电子投标文件的。</w:t>
      </w:r>
    </w:p>
    <w:p w14:paraId="37E265C4">
      <w:pPr>
        <w:pStyle w:val="85"/>
        <w:spacing w:beforeAutospacing="0" w:afterAutospacing="0" w:line="360" w:lineRule="auto"/>
        <w:ind w:left="47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26.1.3同一投标人提交两个（含两个）以上不同的投标报价的。</w:t>
      </w:r>
    </w:p>
    <w:p w14:paraId="65ED41BE">
      <w:pPr>
        <w:pStyle w:val="85"/>
        <w:spacing w:beforeAutospacing="0" w:afterAutospacing="0" w:line="360" w:lineRule="auto"/>
        <w:ind w:left="47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26.1.4投标人不具备招标文件中规定资格要求的。</w:t>
      </w:r>
    </w:p>
    <w:p w14:paraId="20E3FA22">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26.1.5投标人的报价超过了采购预算或最高限价的。</w:t>
      </w:r>
    </w:p>
    <w:p w14:paraId="072F9435">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26.1.6未通过符合性审查的。</w:t>
      </w:r>
    </w:p>
    <w:p w14:paraId="7D218287">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26.1.7不符合招标文件中规定的实质性要求和条件的（</w:t>
      </w:r>
      <w:r>
        <w:rPr>
          <w:rFonts w:hint="eastAsia" w:ascii="宋体" w:hAnsi="宋体" w:eastAsia="宋体" w:cs="宋体"/>
          <w:i/>
          <w:color w:val="000000"/>
          <w:sz w:val="24"/>
          <w:szCs w:val="24"/>
          <w:highlight w:val="none"/>
          <w:u w:val="single"/>
        </w:rPr>
        <w:t>本招标文件中斜体且有下划线部分为实质性要求和条件）。</w:t>
      </w:r>
    </w:p>
    <w:p w14:paraId="096D1F1B">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2A9288C">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26.1.9投标文件含有采购人不能接受的附加条件的。</w:t>
      </w:r>
    </w:p>
    <w:p w14:paraId="1C9076A5">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26.1.10投标人不能证明其报价合理性的，评</w:t>
      </w:r>
      <w:r>
        <w:rPr>
          <w:rFonts w:hint="eastAsia" w:ascii="宋体" w:hAnsi="宋体" w:eastAsia="宋体" w:cs="宋体"/>
          <w:color w:val="000000"/>
          <w:sz w:val="24"/>
          <w:szCs w:val="24"/>
          <w:highlight w:val="none"/>
          <w:lang w:val="en-US" w:eastAsia="zh-CN"/>
        </w:rPr>
        <w:t>标</w:t>
      </w:r>
      <w:r>
        <w:rPr>
          <w:rFonts w:hint="eastAsia" w:ascii="宋体" w:hAnsi="宋体" w:eastAsia="宋体" w:cs="宋体"/>
          <w:color w:val="000000"/>
          <w:sz w:val="24"/>
          <w:szCs w:val="24"/>
          <w:highlight w:val="none"/>
        </w:rPr>
        <w:t>委员会应当将其作为无效投标处理。</w:t>
      </w:r>
    </w:p>
    <w:p w14:paraId="64866FD0">
      <w:pPr>
        <w:pStyle w:val="85"/>
        <w:spacing w:before="0" w:beforeAutospacing="0" w:after="0" w:afterAutospacing="0" w:line="360" w:lineRule="auto"/>
        <w:ind w:left="0" w:right="0" w:firstLine="48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2CE96CB2">
      <w:pPr>
        <w:pStyle w:val="85"/>
        <w:spacing w:before="0" w:beforeAutospacing="0" w:after="0" w:afterAutospacing="0" w:line="360" w:lineRule="auto"/>
        <w:ind w:left="0" w:right="0" w:firstLine="48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0EDB043">
      <w:pPr>
        <w:pStyle w:val="85"/>
        <w:spacing w:before="0" w:beforeAutospacing="0" w:after="0" w:afterAutospacing="0" w:line="360" w:lineRule="auto"/>
        <w:ind w:left="0" w:right="0" w:firstLine="48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3.投标（响应）报价低于采购项目最高限价45%的，即投标（响应）报价&lt;采购项目最高限价×45%；</w:t>
      </w:r>
    </w:p>
    <w:p w14:paraId="1DFDDA96">
      <w:pPr>
        <w:pStyle w:val="85"/>
        <w:spacing w:before="0" w:beforeAutospacing="0" w:after="0" w:afterAutospacing="0" w:line="360" w:lineRule="auto"/>
        <w:ind w:left="0" w:right="0" w:firstLine="48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4.评审委员会基于专业判断，认为供应商报价过低，有可能影响产品质量或者不能诚信履约的其他情形。</w:t>
      </w:r>
    </w:p>
    <w:p w14:paraId="5882A06C">
      <w:pPr>
        <w:pStyle w:val="85"/>
        <w:spacing w:before="0" w:beforeAutospacing="0" w:after="0" w:afterAutospacing="0" w:line="360" w:lineRule="auto"/>
        <w:ind w:left="0" w:right="0" w:firstLine="48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采购人可以结合具体项目实际情况，提高上述第1项至第3项中启动异常低价投标（响应）审查的数值标准，但是最高不得超过65%。</w:t>
      </w:r>
    </w:p>
    <w:p w14:paraId="434FC7CD">
      <w:pPr>
        <w:pStyle w:val="85"/>
        <w:spacing w:before="0" w:beforeAutospacing="0" w:after="0" w:afterAutospacing="0" w:line="360" w:lineRule="auto"/>
        <w:ind w:left="0" w:right="0" w:firstLine="48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相关法律法规对供应商报价有规定的，从其规定。</w:t>
      </w:r>
    </w:p>
    <w:p w14:paraId="6DFCF363">
      <w:pPr>
        <w:pStyle w:val="85"/>
        <w:spacing w:before="0" w:beforeAutospacing="0" w:after="0" w:afterAutospacing="0" w:line="360" w:lineRule="auto"/>
        <w:ind w:left="0" w:right="0" w:firstLine="48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996AA56">
      <w:pPr>
        <w:pStyle w:val="85"/>
        <w:spacing w:before="0" w:beforeAutospacing="0" w:after="0" w:afterAutospacing="0" w:line="360" w:lineRule="auto"/>
        <w:ind w:left="0" w:right="0" w:firstLine="48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1099F8B">
      <w:pPr>
        <w:pStyle w:val="85"/>
        <w:spacing w:before="0" w:beforeAutospacing="0" w:after="0" w:afterAutospacing="0" w:line="360" w:lineRule="auto"/>
        <w:ind w:left="0" w:right="0" w:firstLine="48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0A288C9">
      <w:pPr>
        <w:pStyle w:val="85"/>
        <w:spacing w:before="0" w:beforeAutospacing="0" w:after="0" w:afterAutospacing="0" w:line="360" w:lineRule="auto"/>
        <w:ind w:left="0" w:right="0" w:firstLine="48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3060784F">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26.1.11投标文件未按照招标文件要求加盖CA电子公章的。</w:t>
      </w:r>
    </w:p>
    <w:p w14:paraId="7CBDFCA4">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26.1.12其他法律、法规及本招标文件规定的属无效投标的情形。</w:t>
      </w:r>
    </w:p>
    <w:p w14:paraId="0672DAD4">
      <w:pPr>
        <w:pStyle w:val="85"/>
        <w:spacing w:beforeAutospacing="0" w:afterAutospacing="0" w:line="360" w:lineRule="auto"/>
        <w:ind w:left="47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26.2废标条款</w:t>
      </w:r>
    </w:p>
    <w:p w14:paraId="73FDC589">
      <w:pPr>
        <w:pStyle w:val="85"/>
        <w:spacing w:beforeAutospacing="0" w:afterAutospacing="0" w:line="360" w:lineRule="auto"/>
        <w:ind w:left="47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26.2.1符合专业条件的供应商或者对招标文件作实质响应的供应商不足三家的。</w:t>
      </w:r>
    </w:p>
    <w:p w14:paraId="403243D8">
      <w:pPr>
        <w:pStyle w:val="85"/>
        <w:spacing w:beforeAutospacing="0" w:afterAutospacing="0" w:line="360" w:lineRule="auto"/>
        <w:ind w:left="47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26.2.2出现影响采购公正的违法、违规行为的。</w:t>
      </w:r>
    </w:p>
    <w:p w14:paraId="3F80179A">
      <w:pPr>
        <w:pStyle w:val="85"/>
        <w:spacing w:beforeAutospacing="0" w:afterAutospacing="0" w:line="360" w:lineRule="auto"/>
        <w:ind w:left="47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26.2.3因重大变故，采购任务取消的。</w:t>
      </w:r>
    </w:p>
    <w:p w14:paraId="4EE8A42B">
      <w:pPr>
        <w:pStyle w:val="85"/>
        <w:spacing w:beforeAutospacing="0" w:afterAutospacing="0" w:line="360" w:lineRule="auto"/>
        <w:ind w:left="47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26.2.4评标委员会认定招标文件存在歧义、重大缺陷导致评审工作无法进行。</w:t>
      </w:r>
    </w:p>
    <w:p w14:paraId="4053D734">
      <w:pPr>
        <w:pStyle w:val="85"/>
        <w:spacing w:beforeAutospacing="0" w:afterAutospacing="0" w:line="360" w:lineRule="auto"/>
        <w:ind w:left="47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26.2.5因苏采云系统系统故障原因造成开标不成功的。</w:t>
      </w:r>
    </w:p>
    <w:p w14:paraId="6CAB522A">
      <w:pPr>
        <w:pStyle w:val="85"/>
        <w:spacing w:beforeAutospacing="0" w:afterAutospacing="0" w:line="360" w:lineRule="auto"/>
        <w:ind w:left="47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26.3 投标截止时间结束后参加投标的供应商不足三家的处理：</w:t>
      </w:r>
    </w:p>
    <w:p w14:paraId="5D477489">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26.3.1如出现投标截止时间结束后参加投标的供应商或者在评标期间对招标文件做出实质响应的供应商不足三家情况，按政府采购相关规定执行。</w:t>
      </w:r>
    </w:p>
    <w:p w14:paraId="0B9563C6">
      <w:pPr>
        <w:pStyle w:val="85"/>
        <w:keepNext/>
        <w:keepLines/>
        <w:spacing w:before="145" w:beforeAutospacing="0" w:after="145" w:afterAutospacing="0" w:line="360" w:lineRule="auto"/>
        <w:ind w:firstLine="482"/>
        <w:jc w:val="both"/>
        <w:rPr>
          <w:rFonts w:hint="eastAsia" w:ascii="宋体" w:hAnsi="宋体" w:eastAsia="宋体" w:cs="宋体"/>
          <w:color w:val="000000"/>
          <w:sz w:val="24"/>
          <w:szCs w:val="24"/>
          <w:highlight w:val="none"/>
        </w:rPr>
      </w:pPr>
      <w:bookmarkStart w:id="159" w:name="_Toc120614219"/>
      <w:r>
        <w:rPr>
          <w:rFonts w:hint="eastAsia" w:ascii="宋体" w:hAnsi="宋体" w:eastAsia="宋体" w:cs="宋体"/>
          <w:b/>
          <w:color w:val="000000"/>
          <w:sz w:val="24"/>
          <w:szCs w:val="24"/>
          <w:highlight w:val="none"/>
        </w:rPr>
        <w:t>六、定标</w:t>
      </w:r>
      <w:bookmarkEnd w:id="159"/>
    </w:p>
    <w:p w14:paraId="0D9F1B13">
      <w:pPr>
        <w:pStyle w:val="85"/>
        <w:keepNext/>
        <w:keepLines/>
        <w:spacing w:beforeAutospacing="0" w:afterAutospacing="0" w:line="360" w:lineRule="auto"/>
        <w:ind w:firstLine="600"/>
        <w:jc w:val="both"/>
        <w:rPr>
          <w:rFonts w:hint="eastAsia" w:ascii="宋体" w:hAnsi="宋体" w:eastAsia="宋体" w:cs="宋体"/>
          <w:color w:val="000000"/>
          <w:sz w:val="24"/>
          <w:szCs w:val="24"/>
          <w:highlight w:val="none"/>
        </w:rPr>
      </w:pPr>
      <w:bookmarkStart w:id="160" w:name="_Toc20823310"/>
      <w:bookmarkStart w:id="161" w:name="_Toc16938554"/>
      <w:bookmarkStart w:id="162" w:name="_Toc513029238"/>
      <w:r>
        <w:rPr>
          <w:rFonts w:hint="eastAsia" w:ascii="宋体" w:hAnsi="宋体" w:eastAsia="宋体" w:cs="宋体"/>
          <w:color w:val="000000"/>
          <w:sz w:val="24"/>
          <w:szCs w:val="24"/>
          <w:highlight w:val="none"/>
        </w:rPr>
        <w:t>27、</w:t>
      </w:r>
      <w:bookmarkEnd w:id="160"/>
      <w:r>
        <w:rPr>
          <w:rFonts w:hint="eastAsia" w:ascii="宋体" w:hAnsi="宋体" w:eastAsia="宋体" w:cs="宋体"/>
          <w:color w:val="000000"/>
          <w:sz w:val="24"/>
          <w:szCs w:val="24"/>
          <w:highlight w:val="none"/>
        </w:rPr>
        <w:t>确定</w:t>
      </w:r>
      <w:bookmarkEnd w:id="161"/>
      <w:bookmarkEnd w:id="162"/>
      <w:r>
        <w:rPr>
          <w:rFonts w:hint="eastAsia" w:ascii="宋体" w:hAnsi="宋体" w:eastAsia="宋体" w:cs="宋体"/>
          <w:color w:val="000000"/>
          <w:sz w:val="24"/>
          <w:szCs w:val="24"/>
          <w:highlight w:val="none"/>
        </w:rPr>
        <w:t>中标单位</w:t>
      </w:r>
    </w:p>
    <w:p w14:paraId="74DB4660">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p>
    <w:p w14:paraId="17909198">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27.2采购人应根据评委会推荐的中标候选人确定中标人。</w:t>
      </w:r>
    </w:p>
    <w:p w14:paraId="3799219E">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27.3采购中心将在</w:t>
      </w:r>
      <w:r>
        <w:rPr>
          <w:rFonts w:hint="eastAsia" w:ascii="宋体" w:hAnsi="宋体" w:eastAsia="宋体" w:cs="宋体"/>
          <w:i w:val="0"/>
          <w:iCs w:val="0"/>
          <w:caps w:val="0"/>
          <w:color w:val="000000"/>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i w:val="0"/>
          <w:iCs w:val="0"/>
          <w:caps w:val="0"/>
          <w:color w:val="000000"/>
          <w:spacing w:val="0"/>
          <w:sz w:val="24"/>
          <w:szCs w:val="24"/>
          <w:highlight w:val="none"/>
          <w:shd w:val="clear" w:color="auto" w:fill="FFFFFF"/>
          <w:lang w:val="en-US" w:eastAsia="zh-CN"/>
        </w:rPr>
        <w:t>”、“江苏政府采购网”、“盐城市政府采购网”</w:t>
      </w:r>
      <w:r>
        <w:rPr>
          <w:rFonts w:hint="eastAsia" w:ascii="宋体" w:hAnsi="宋体" w:eastAsia="宋体" w:cs="宋体"/>
          <w:color w:val="000000"/>
          <w:sz w:val="24"/>
          <w:szCs w:val="24"/>
          <w:highlight w:val="none"/>
        </w:rPr>
        <w:t>发布中标公告，公告期限为1个工作日。</w:t>
      </w:r>
    </w:p>
    <w:p w14:paraId="69B4D0E8">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27.4若有充分证据证明，中标人出现下列情况之一的，一经查实，将被取消中标资格：</w:t>
      </w:r>
    </w:p>
    <w:p w14:paraId="7372A99A">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27.4.1提供虚假材料谋取中标的。</w:t>
      </w:r>
    </w:p>
    <w:p w14:paraId="76D9E4CA">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27.4.2向采购人、采购中心行贿或者提供其他不正当利益的。</w:t>
      </w:r>
    </w:p>
    <w:p w14:paraId="28A80793">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27.4.3属于本文件规定的无效条件，但在评标过程中又未被评委会发现的。</w:t>
      </w:r>
    </w:p>
    <w:p w14:paraId="5C5F0C5A">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27.4.4与采购人或者其他供应商恶意串通的。</w:t>
      </w:r>
    </w:p>
    <w:p w14:paraId="2F6A1FD2">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27.4.5采取不正当手段诋毁、排挤其他供应商的。</w:t>
      </w:r>
    </w:p>
    <w:p w14:paraId="5C117CA1">
      <w:pPr>
        <w:pStyle w:val="85"/>
        <w:spacing w:beforeAutospacing="0" w:afterAutospacing="0" w:line="360" w:lineRule="auto"/>
        <w:ind w:firstLine="480"/>
        <w:jc w:val="both"/>
        <w:rPr>
          <w:rFonts w:hint="eastAsia" w:ascii="宋体" w:hAnsi="宋体" w:eastAsia="宋体" w:cs="宋体"/>
          <w:color w:val="000000"/>
          <w:sz w:val="24"/>
          <w:szCs w:val="24"/>
          <w:highlight w:val="none"/>
        </w:rPr>
      </w:pPr>
      <w:bookmarkStart w:id="163" w:name="_Toc200451960"/>
      <w:r>
        <w:rPr>
          <w:rFonts w:hint="eastAsia" w:ascii="宋体" w:hAnsi="宋体" w:eastAsia="宋体" w:cs="宋体"/>
          <w:color w:val="000000"/>
          <w:sz w:val="24"/>
          <w:szCs w:val="24"/>
          <w:highlight w:val="none"/>
        </w:rPr>
        <w:t>27.5 有下列情形之一的，视为投标人串通投标，投标无效：</w:t>
      </w:r>
      <w:bookmarkEnd w:id="163"/>
    </w:p>
    <w:p w14:paraId="73536E6E">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27.5.1不同投标人的投标文件由同一单位或者个人编制。</w:t>
      </w:r>
    </w:p>
    <w:p w14:paraId="3767EE42">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27.5.2不同投标人委托同一单位或者个人办理投标事宜。</w:t>
      </w:r>
    </w:p>
    <w:p w14:paraId="19D4F3A8">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27.5.3不同投标人的投标文件载明的项目管理成员或者联系人员为同一人。</w:t>
      </w:r>
    </w:p>
    <w:p w14:paraId="5538A92A">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27.5.4不同投标人的投标文件异常一致或者投标报价呈规律性差异。</w:t>
      </w:r>
    </w:p>
    <w:p w14:paraId="64090BB9">
      <w:pPr>
        <w:pStyle w:val="85"/>
        <w:keepNext/>
        <w:keepLines/>
        <w:spacing w:beforeAutospacing="0" w:afterAutospacing="0" w:line="360" w:lineRule="auto"/>
        <w:ind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28、质疑处理</w:t>
      </w:r>
    </w:p>
    <w:p w14:paraId="21F2E834">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28.1提出质疑的供应商应当是参与所质疑项目采购活动的供应商。潜在供应商依法获取其可质疑的采购文件的，可以对采购文件提出质疑。</w:t>
      </w:r>
    </w:p>
    <w:p w14:paraId="2B73FB78">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5AF4D7CA">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28.2.1对可以质疑的采购文件提出质疑的，为收到采购文件之日或者采购文件公告期限届满之日；</w:t>
      </w:r>
    </w:p>
    <w:p w14:paraId="7AE7ACD9">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28.2.2对采购过程提出质疑的，为各采购程序环节结束之日；</w:t>
      </w:r>
    </w:p>
    <w:p w14:paraId="41C76C7C">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28.2.3对中标或者成交结果提出质疑的，为中标或者成交结果公告期限届满之日。</w:t>
      </w:r>
    </w:p>
    <w:p w14:paraId="3A8849F4">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供应商应当在法定质疑期内一次性提出针对同一采购程序环节的质疑。供应商如在法定期限内对同一采购程序环节提出多次质疑的，采购中心、采购人将只对供应商第一次质疑作出答复。</w:t>
      </w:r>
    </w:p>
    <w:p w14:paraId="76073A1D">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0070D835">
      <w:pPr>
        <w:pStyle w:val="85"/>
        <w:spacing w:beforeAutospacing="0" w:afterAutospacing="0" w:line="360" w:lineRule="auto"/>
        <w:ind w:firstLine="482"/>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p>
    <w:p w14:paraId="5A851C66">
      <w:pPr>
        <w:spacing w:line="360" w:lineRule="auto"/>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采购中心及采购人只接收以纸质原件形式送达的质疑,采购人和采购中心不接受未填写快递运单的快件。</w:t>
      </w:r>
      <w:r>
        <w:rPr>
          <w:rFonts w:hint="eastAsia" w:ascii="宋体" w:hAnsi="宋体" w:eastAsia="宋体" w:cs="宋体"/>
          <w:b/>
          <w:bCs/>
          <w:color w:val="000000"/>
          <w:sz w:val="24"/>
          <w:szCs w:val="24"/>
          <w:highlight w:val="none"/>
          <w:shd w:val="clear" w:color="auto" w:fill="auto"/>
          <w:lang w:val="en-US" w:eastAsia="zh-CN"/>
        </w:rPr>
        <w:t>质疑接收部门为江苏盐渎工程咨询有限公司，联系地址：盐城市盐南高新区钱江财富广场东区B座21楼招标代理部，联系电话：18905109016</w:t>
      </w:r>
      <w:r>
        <w:rPr>
          <w:rFonts w:hint="eastAsia" w:ascii="Arial" w:hAnsi="Arial" w:eastAsia="Arial" w:cs="Arial"/>
          <w:b/>
          <w:bCs/>
          <w:color w:val="000000"/>
          <w:sz w:val="24"/>
          <w:szCs w:val="24"/>
          <w:highlight w:val="none"/>
          <w:lang w:val="en-US" w:eastAsia="zh-CN" w:bidi="ar-SA"/>
        </w:rPr>
        <w:t>。</w:t>
      </w:r>
    </w:p>
    <w:p w14:paraId="43A452A4">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28.5 以下情形的质疑不予受理</w:t>
      </w:r>
    </w:p>
    <w:p w14:paraId="3AD16D90">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28.5.1内容不符合《政府采购质疑和投诉办法》第十二条规定的质疑。</w:t>
      </w:r>
    </w:p>
    <w:p w14:paraId="702497FA">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28.5.2超出政府采购法定期限的质疑。</w:t>
      </w:r>
    </w:p>
    <w:p w14:paraId="4D63DDEF">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28.5.3以传真、电子邮件等方式递交的非原件形式的质疑。</w:t>
      </w:r>
    </w:p>
    <w:p w14:paraId="0089B8FA">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28.5.4未参加投标活动的供应商或在投标活动中自身权益未受到损害的供应商所提出的质疑。</w:t>
      </w:r>
    </w:p>
    <w:p w14:paraId="48D95D46">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28.5.5供应商组成联合体参加投标，联合体中任何一方或多方未按要求签字、盖章、加盖公章的质疑。</w:t>
      </w:r>
    </w:p>
    <w:p w14:paraId="3DD1105B">
      <w:pPr>
        <w:pStyle w:val="85"/>
        <w:spacing w:beforeAutospacing="0" w:afterAutospacing="0" w:line="360" w:lineRule="auto"/>
        <w:ind w:firstLine="468"/>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1598F09C">
      <w:pPr>
        <w:pStyle w:val="85"/>
        <w:keepNext/>
        <w:keepLines/>
        <w:spacing w:beforeAutospacing="0" w:afterAutospacing="0" w:line="360" w:lineRule="auto"/>
        <w:ind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29、中标通知书</w:t>
      </w:r>
    </w:p>
    <w:p w14:paraId="09ECBE93">
      <w:pPr>
        <w:pStyle w:val="85"/>
        <w:spacing w:beforeAutospacing="0" w:afterAutospacing="0" w:line="360" w:lineRule="auto"/>
        <w:ind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84E4DEF">
      <w:pPr>
        <w:pStyle w:val="85"/>
        <w:spacing w:beforeAutospacing="0" w:afterAutospacing="0" w:line="360" w:lineRule="auto"/>
        <w:ind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560C317C">
      <w:pPr>
        <w:pStyle w:val="85"/>
        <w:keepNext/>
        <w:keepLines/>
        <w:spacing w:before="145" w:beforeAutospacing="0" w:after="145" w:afterAutospacing="0" w:line="360" w:lineRule="auto"/>
        <w:ind w:firstLine="482"/>
        <w:jc w:val="both"/>
        <w:rPr>
          <w:rFonts w:hint="eastAsia" w:ascii="宋体" w:hAnsi="宋体" w:eastAsia="宋体" w:cs="宋体"/>
          <w:color w:val="000000"/>
          <w:sz w:val="24"/>
          <w:szCs w:val="24"/>
          <w:highlight w:val="none"/>
        </w:rPr>
      </w:pPr>
      <w:bookmarkStart w:id="164" w:name="_Toc16938552"/>
      <w:bookmarkStart w:id="165" w:name="_Toc20823308"/>
      <w:bookmarkStart w:id="166" w:name="_Toc120614220"/>
      <w:bookmarkStart w:id="167" w:name="_Toc513029236"/>
      <w:r>
        <w:rPr>
          <w:rFonts w:hint="eastAsia" w:ascii="宋体" w:hAnsi="宋体" w:eastAsia="宋体" w:cs="宋体"/>
          <w:b/>
          <w:color w:val="000000"/>
          <w:sz w:val="24"/>
          <w:szCs w:val="24"/>
          <w:highlight w:val="none"/>
        </w:rPr>
        <w:t>七、授予合同</w:t>
      </w:r>
      <w:bookmarkEnd w:id="164"/>
      <w:bookmarkEnd w:id="165"/>
      <w:bookmarkEnd w:id="166"/>
      <w:bookmarkEnd w:id="167"/>
    </w:p>
    <w:p w14:paraId="42C81109">
      <w:pPr>
        <w:pStyle w:val="85"/>
        <w:keepNext/>
        <w:keepLines/>
        <w:spacing w:beforeAutospacing="0" w:afterAutospacing="0" w:line="360" w:lineRule="auto"/>
        <w:ind w:firstLine="600"/>
        <w:jc w:val="both"/>
        <w:rPr>
          <w:rFonts w:hint="eastAsia" w:ascii="宋体" w:hAnsi="宋体" w:eastAsia="宋体" w:cs="宋体"/>
          <w:color w:val="000000"/>
          <w:sz w:val="24"/>
          <w:szCs w:val="24"/>
          <w:highlight w:val="none"/>
        </w:rPr>
      </w:pPr>
      <w:bookmarkStart w:id="168" w:name="_Toc513029237"/>
      <w:bookmarkStart w:id="169" w:name="_Toc20823309"/>
      <w:bookmarkStart w:id="170" w:name="_Toc16938553"/>
      <w:r>
        <w:rPr>
          <w:rFonts w:hint="eastAsia" w:ascii="宋体" w:hAnsi="宋体" w:eastAsia="宋体" w:cs="宋体"/>
          <w:color w:val="000000"/>
          <w:sz w:val="24"/>
          <w:szCs w:val="24"/>
          <w:highlight w:val="none"/>
        </w:rPr>
        <w:t>30.签订合同</w:t>
      </w:r>
      <w:bookmarkEnd w:id="168"/>
      <w:bookmarkEnd w:id="169"/>
      <w:bookmarkEnd w:id="170"/>
    </w:p>
    <w:p w14:paraId="236656C5">
      <w:pPr>
        <w:pStyle w:val="85"/>
        <w:spacing w:beforeAutospacing="0" w:afterAutospacing="0" w:line="360" w:lineRule="auto"/>
        <w:ind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30.l中标人应当在中标通知书发出之日起三十日内，按照招标文件确定的事项与采购人签订政府采购合同。</w:t>
      </w:r>
    </w:p>
    <w:p w14:paraId="40E5EA91">
      <w:pPr>
        <w:pStyle w:val="85"/>
        <w:spacing w:beforeAutospacing="0" w:afterAutospacing="0" w:line="360" w:lineRule="auto"/>
        <w:ind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30.2招标文件、中标人的投标文件及招标过程中有关澄清、承诺文件均应作为合同附件。</w:t>
      </w:r>
    </w:p>
    <w:p w14:paraId="1BA8FFB1">
      <w:pPr>
        <w:pStyle w:val="85"/>
        <w:spacing w:beforeAutospacing="0" w:afterAutospacing="0" w:line="360" w:lineRule="auto"/>
        <w:ind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30.3签订合同后，</w:t>
      </w:r>
      <w:r>
        <w:rPr>
          <w:rFonts w:hint="eastAsia" w:ascii="宋体" w:hAnsi="宋体" w:eastAsia="宋体" w:cs="宋体"/>
          <w:i/>
          <w:color w:val="000000"/>
          <w:sz w:val="24"/>
          <w:szCs w:val="24"/>
          <w:highlight w:val="none"/>
          <w:u w:val="single"/>
        </w:rPr>
        <w:t>中标人不得将合同标的进行转包</w:t>
      </w:r>
      <w:r>
        <w:rPr>
          <w:rFonts w:hint="eastAsia" w:ascii="宋体" w:hAnsi="宋体" w:eastAsia="宋体" w:cs="宋体"/>
          <w:color w:val="000000"/>
          <w:sz w:val="24"/>
          <w:szCs w:val="24"/>
          <w:highlight w:val="none"/>
        </w:rPr>
        <w:t>。未经采购人同意，中标人也不得采用分包的形式履行合同，否则采购人有权终止合同。转包或分包造成采购人损失的，中标人应承担相应赔偿责任。</w:t>
      </w:r>
    </w:p>
    <w:p w14:paraId="7835979E">
      <w:pPr>
        <w:pStyle w:val="85"/>
        <w:keepNext/>
        <w:keepLines/>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31</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服务（包含与服务相关的货物）的追加</w:t>
      </w:r>
    </w:p>
    <w:p w14:paraId="410952CE">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5744931E">
      <w:pPr>
        <w:pStyle w:val="85"/>
        <w:numPr>
          <w:ilvl w:val="0"/>
          <w:numId w:val="0"/>
        </w:numPr>
        <w:spacing w:beforeAutospacing="0" w:afterAutospacing="0" w:line="360" w:lineRule="auto"/>
        <w:ind w:left="474"/>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32.政府采购政策功能落实</w:t>
      </w:r>
    </w:p>
    <w:p w14:paraId="3BB199B7">
      <w:pPr>
        <w:pStyle w:val="85"/>
        <w:keepNext/>
        <w:keepLines/>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32.1</w:t>
      </w:r>
      <w:r>
        <w:rPr>
          <w:rFonts w:hint="eastAsia" w:ascii="宋体" w:hAnsi="宋体" w:eastAsia="宋体" w:cs="宋体"/>
          <w:color w:val="000000"/>
          <w:sz w:val="24"/>
          <w:szCs w:val="24"/>
          <w:highlight w:val="none"/>
        </w:rPr>
        <w:t>政府采购</w:t>
      </w:r>
      <w:r>
        <w:rPr>
          <w:rFonts w:hint="eastAsia" w:ascii="宋体" w:hAnsi="宋体" w:eastAsia="宋体" w:cs="宋体"/>
          <w:color w:val="000000"/>
          <w:sz w:val="24"/>
          <w:szCs w:val="24"/>
          <w:highlight w:val="none"/>
          <w:lang w:eastAsia="zh-CN"/>
        </w:rPr>
        <w:t>线上合同信用融资</w:t>
      </w:r>
      <w:r>
        <w:rPr>
          <w:rFonts w:hint="eastAsia" w:ascii="宋体" w:hAnsi="宋体" w:eastAsia="宋体" w:cs="宋体"/>
          <w:color w:val="000000"/>
          <w:sz w:val="24"/>
          <w:szCs w:val="24"/>
          <w:highlight w:val="none"/>
        </w:rPr>
        <w:t>政策</w:t>
      </w:r>
    </w:p>
    <w:p w14:paraId="2EB4ACB4">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江苏省政</w:t>
      </w:r>
      <w:r>
        <w:rPr>
          <w:rFonts w:hint="eastAsia" w:ascii="宋体" w:hAnsi="宋体" w:eastAsia="宋体" w:cs="宋体"/>
          <w:color w:val="000000"/>
          <w:sz w:val="24"/>
          <w:szCs w:val="24"/>
          <w:highlight w:val="none"/>
        </w:rPr>
        <w:t>府采购网“政采贷”栏目）申请贷款，相关金融机构按照双方自愿的原则提供便捷、优惠的贷款服务；具体操作流程请参考苏采云系统中操作手册。 </w:t>
      </w:r>
    </w:p>
    <w:p w14:paraId="0CEEBA88">
      <w:pPr>
        <w:tabs>
          <w:tab w:val="left" w:pos="1381"/>
        </w:tabs>
        <w:spacing w:line="360" w:lineRule="auto"/>
        <w:ind w:firstLine="482"/>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32.2进口产品</w:t>
      </w:r>
    </w:p>
    <w:p w14:paraId="3D700B81">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进口产品</w:t>
      </w:r>
      <w:r>
        <w:rPr>
          <w:rFonts w:hint="eastAsia" w:ascii="宋体" w:hAnsi="宋体" w:eastAsia="宋体" w:cs="宋体"/>
          <w:color w:val="000000"/>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B248582">
      <w:pPr>
        <w:tabs>
          <w:tab w:val="left" w:pos="1381"/>
        </w:tabs>
        <w:spacing w:line="360" w:lineRule="auto"/>
        <w:ind w:firstLine="482"/>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32.3中小企业、监狱企业及残疾人福利性单位</w:t>
      </w:r>
    </w:p>
    <w:p w14:paraId="530AB4AD">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.3.1中小企业定义：</w:t>
      </w:r>
    </w:p>
    <w:p w14:paraId="0444CF34">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592126E">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.3.2供应商提供的货物、工程或者服务符合下列情形的，享受中小企业扶持政策：</w:t>
      </w:r>
    </w:p>
    <w:p w14:paraId="616745E5">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.3.2.1在货物采购项目中，货物由中小企业制造，即货物由中小企业生产且使用该中小企业商号或者注册商标；</w:t>
      </w:r>
    </w:p>
    <w:p w14:paraId="356188F7">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.3.2.2在工程采购项目中，工程由中小企业承建，即工程施工单位为中小企业；</w:t>
      </w:r>
    </w:p>
    <w:p w14:paraId="60F70441">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.3.2.3在服务采购项目中，服务由中小企业承接，即提供服务的人员为中小企业依照《中华人民共和国劳动合同法》订立劳动合同的从业人员。</w:t>
      </w:r>
    </w:p>
    <w:p w14:paraId="51F6D3D7">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.3.3在货物采购项目中，供应商提供的货物既有中小企业制造货物，也有大型企业制造货物的，不享受中小企业扶持政策。</w:t>
      </w:r>
    </w:p>
    <w:p w14:paraId="6976FC40">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.3.4以联合体形式参加政府采购活动，联合体各方均为中小企业的，联合体视同中小企业。其中，联合体各方均为小微企业的，联合体视同小微企业。</w:t>
      </w:r>
    </w:p>
    <w:p w14:paraId="51E1DC0E">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9AFE1D7">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.3.6残疾人福利单位定义：享受政府采购支持政策的残疾人福利性单位应当同时满足以下条件：</w:t>
      </w:r>
    </w:p>
    <w:p w14:paraId="15BA6DEE">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.3.6.1安置的残疾人占本单位在职职工人数的比例不低于25%（含25%），并且安置的残疾人人数不少于10 人（含10 人）；</w:t>
      </w:r>
    </w:p>
    <w:p w14:paraId="23A14C25">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.3.6.2依法与安置的每位残疾人签订了一年以上（含一年）的劳动合同或服务协议；</w:t>
      </w:r>
    </w:p>
    <w:p w14:paraId="51798335">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.3.6.3为安置的每位残疾人按月足额缴纳了基本养老保险、基本医疗保险、失业保险、工伤保险和生育保险等社会保险费；</w:t>
      </w:r>
    </w:p>
    <w:p w14:paraId="14ED0D6A">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.3.6.4通过银行等金融机构向安置的每位残疾人，按月支付了不低于单位所在区县适用的经省级人民政府批准的月最低工资标准的工资；</w:t>
      </w:r>
    </w:p>
    <w:p w14:paraId="2D29405D">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.3.6.5提供本单位制造的货物、承担的工程或者服务（以下简称产品），或者提供其他残疾人福利性单位制造的货物（不包括使用非残疾人福利性单位注册商标的货物）；</w:t>
      </w:r>
    </w:p>
    <w:p w14:paraId="5124F4D8">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2EFE2E0">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.3.7本项目是否专门面向中小企业预留采购份额见第一章《</w:t>
      </w:r>
      <w:r>
        <w:rPr>
          <w:rFonts w:hint="eastAsia" w:ascii="宋体" w:hAnsi="宋体" w:eastAsia="宋体" w:cs="宋体"/>
          <w:color w:val="000000"/>
          <w:sz w:val="24"/>
          <w:szCs w:val="24"/>
          <w:highlight w:val="none"/>
          <w:lang w:val="en-US" w:eastAsia="zh-CN"/>
        </w:rPr>
        <w:t>招标公告</w:t>
      </w:r>
      <w:r>
        <w:rPr>
          <w:rFonts w:hint="eastAsia" w:ascii="宋体" w:hAnsi="宋体" w:eastAsia="宋体" w:cs="宋体"/>
          <w:color w:val="000000"/>
          <w:sz w:val="24"/>
          <w:szCs w:val="24"/>
          <w:highlight w:val="none"/>
        </w:rPr>
        <w:t>》。</w:t>
      </w:r>
    </w:p>
    <w:p w14:paraId="5B4B9D20">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32</w:t>
      </w:r>
      <w:r>
        <w:rPr>
          <w:rFonts w:hint="eastAsia" w:ascii="宋体" w:hAnsi="宋体" w:eastAsia="宋体" w:cs="宋体"/>
          <w:color w:val="000000"/>
          <w:sz w:val="24"/>
          <w:szCs w:val="24"/>
          <w:highlight w:val="none"/>
        </w:rPr>
        <w:t>.3.8采购标的对应的中小企业划分标准所属行业见第四章《采购需求》。</w:t>
      </w:r>
    </w:p>
    <w:p w14:paraId="323D939B">
      <w:pPr>
        <w:pStyle w:val="85"/>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.3.9小微企业价格评审优惠的政策：见第五章《评标方法和评标标准》。</w:t>
      </w:r>
    </w:p>
    <w:p w14:paraId="6A5893B1">
      <w:pPr>
        <w:tabs>
          <w:tab w:val="left" w:pos="1381"/>
        </w:tabs>
        <w:spacing w:line="360" w:lineRule="auto"/>
        <w:ind w:firstLine="482"/>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32.4政府采购节能产品、环境标志产品</w:t>
      </w:r>
    </w:p>
    <w:p w14:paraId="0F4C39C9">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w:t>
      </w:r>
      <w:r>
        <w:rPr>
          <w:rFonts w:hint="eastAsia" w:ascii="宋体" w:hAnsi="宋体" w:eastAsia="宋体" w:cs="宋体"/>
          <w:color w:val="000000"/>
          <w:sz w:val="24"/>
          <w:szCs w:val="24"/>
          <w:highlight w:val="none"/>
        </w:rPr>
        <w:t>其他条件相同情况下，应当优先采购节能产品、环境标志产品。</w:t>
      </w:r>
    </w:p>
    <w:p w14:paraId="5572E0EF">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FFEC898">
      <w:pPr>
        <w:tabs>
          <w:tab w:val="left" w:pos="1381"/>
        </w:tabs>
        <w:spacing w:line="360" w:lineRule="auto"/>
        <w:ind w:firstLine="482"/>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32.5绿色包装</w:t>
      </w:r>
    </w:p>
    <w:p w14:paraId="07914120">
      <w:pPr>
        <w:spacing w:line="360" w:lineRule="auto"/>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3E2835A">
      <w:pPr>
        <w:tabs>
          <w:tab w:val="left" w:pos="1381"/>
        </w:tabs>
        <w:spacing w:line="360" w:lineRule="auto"/>
        <w:ind w:firstLine="482"/>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32.6政府采购创新产品</w:t>
      </w:r>
    </w:p>
    <w:p w14:paraId="5369B44D">
      <w:pPr>
        <w:pBdr>
          <w:top w:val="none" w:color="000000" w:sz="0" w:space="0"/>
          <w:left w:val="none" w:color="000000" w:sz="0" w:space="0"/>
          <w:bottom w:val="none" w:color="000000" w:sz="0" w:space="0"/>
          <w:right w:val="none" w:color="000000" w:sz="0" w:space="0"/>
        </w:pBdr>
        <w:spacing w:before="0" w:after="0" w:line="360" w:lineRule="auto"/>
        <w:ind w:left="0" w:right="0" w:firstLine="478"/>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w:t>
      </w:r>
    </w:p>
    <w:p w14:paraId="66FEDAAC">
      <w:pPr>
        <w:tabs>
          <w:tab w:val="left" w:pos="1381"/>
        </w:tabs>
        <w:spacing w:line="360" w:lineRule="auto"/>
        <w:ind w:firstLine="482"/>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p>
    <w:p w14:paraId="0ADC13AF">
      <w:pPr>
        <w:spacing w:line="360" w:lineRule="auto"/>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74E0D84">
      <w:pPr>
        <w:tabs>
          <w:tab w:val="left" w:pos="1381"/>
        </w:tabs>
        <w:spacing w:line="360" w:lineRule="auto"/>
        <w:ind w:firstLine="482"/>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32.8履约保证金政策</w:t>
      </w:r>
    </w:p>
    <w:p w14:paraId="4C9B9919">
      <w:pPr>
        <w:pStyle w:val="234"/>
        <w:spacing w:after="0" w:line="360" w:lineRule="auto"/>
        <w:ind w:left="0" w:firstLine="56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确需收取履约保证金的，履约保证金的缴纳形式：</w:t>
      </w:r>
    </w:p>
    <w:p w14:paraId="5D5C848D">
      <w:pPr>
        <w:spacing w:line="360" w:lineRule="auto"/>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CE8F7C6">
      <w:pPr>
        <w:spacing w:line="360" w:lineRule="auto"/>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如以履约保函（保险）形式缴纳履约保证金，供应商可通过政府采购电子履约保函（保险）平台（www.jsdzbh.com）在线申请履约保函（保险）。</w:t>
      </w:r>
    </w:p>
    <w:p w14:paraId="799B9373">
      <w:pPr>
        <w:spacing w:line="360" w:lineRule="auto"/>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p>
    <w:p w14:paraId="7C365B2E">
      <w:pPr>
        <w:tabs>
          <w:tab w:val="left" w:pos="1381"/>
        </w:tabs>
        <w:spacing w:line="360" w:lineRule="auto"/>
        <w:ind w:firstLine="482"/>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33. 预付款制度</w:t>
      </w:r>
    </w:p>
    <w:p w14:paraId="3BEED047">
      <w:pPr>
        <w:spacing w:line="360" w:lineRule="auto"/>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本项目落实预付款制度，预付款比例为</w:t>
      </w:r>
      <w:r>
        <w:rPr>
          <w:rFonts w:hint="eastAsia" w:ascii="宋体" w:hAnsi="宋体" w:eastAsia="宋体" w:cs="宋体"/>
          <w:b/>
          <w:bCs/>
          <w:color w:val="000000"/>
          <w:sz w:val="24"/>
          <w:szCs w:val="24"/>
          <w:highlight w:val="none"/>
          <w:u w:val="single"/>
          <w:shd w:val="clear" w:color="auto" w:fill="auto"/>
          <w:lang w:val="en-US" w:eastAsia="zh-CN" w:bidi="ar-SA"/>
        </w:rPr>
        <w:t xml:space="preserve">30% </w:t>
      </w:r>
      <w:r>
        <w:rPr>
          <w:rFonts w:hint="eastAsia" w:ascii="宋体" w:hAnsi="宋体" w:eastAsia="宋体" w:cs="宋体"/>
          <w:color w:val="000000"/>
          <w:sz w:val="24"/>
          <w:szCs w:val="24"/>
          <w:highlight w:val="none"/>
          <w:lang w:val="en-US" w:eastAsia="zh-CN" w:bidi="ar-SA"/>
        </w:rPr>
        <w:t>。在签订合同时，中标、成交供应商明确书面表示无需预付款或者主动要求降低预付款比例的，采购人可就预付款比例作相应调整。</w:t>
      </w:r>
    </w:p>
    <w:p w14:paraId="3EBBEFBB">
      <w:pPr>
        <w:pStyle w:val="234"/>
        <w:spacing w:after="0" w:line="520" w:lineRule="exact"/>
        <w:ind w:left="0" w:firstLine="560"/>
        <w:rPr>
          <w:rFonts w:hint="eastAsia" w:ascii="宋体" w:hAnsi="宋体" w:eastAsia="宋体" w:cs="宋体"/>
          <w:color w:val="000000"/>
          <w:sz w:val="24"/>
          <w:szCs w:val="24"/>
          <w:highlight w:val="none"/>
          <w:lang w:val="en-US" w:eastAsia="zh-CN" w:bidi="ar-SA"/>
        </w:rPr>
      </w:pPr>
    </w:p>
    <w:p w14:paraId="672A25A6">
      <w:pPr>
        <w:pStyle w:val="85"/>
        <w:spacing w:beforeAutospacing="0" w:afterAutospacing="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p w14:paraId="560B1105">
      <w:pPr>
        <w:pStyle w:val="85"/>
        <w:spacing w:beforeAutospacing="0" w:afterAutospacing="0"/>
        <w:jc w:val="both"/>
        <w:rPr>
          <w:rFonts w:hint="eastAsia" w:ascii="宋体" w:hAnsi="宋体" w:eastAsia="宋体" w:cs="宋体"/>
          <w:color w:val="000000"/>
          <w:sz w:val="24"/>
          <w:szCs w:val="24"/>
          <w:highlight w:val="none"/>
        </w:rPr>
      </w:pPr>
    </w:p>
    <w:p w14:paraId="6EB71ABB">
      <w:pPr>
        <w:pStyle w:val="85"/>
        <w:spacing w:beforeAutospacing="0" w:afterAutospacing="0"/>
        <w:jc w:val="both"/>
        <w:rPr>
          <w:rFonts w:hint="eastAsia" w:ascii="宋体" w:hAnsi="宋体" w:eastAsia="宋体" w:cs="宋体"/>
          <w:color w:val="000000"/>
          <w:sz w:val="24"/>
          <w:szCs w:val="24"/>
          <w:highlight w:val="none"/>
        </w:rPr>
      </w:pPr>
    </w:p>
    <w:p w14:paraId="5248979D">
      <w:pPr>
        <w:pStyle w:val="85"/>
        <w:spacing w:beforeAutospacing="0" w:afterAutospacing="0"/>
        <w:jc w:val="both"/>
        <w:rPr>
          <w:rFonts w:hint="eastAsia" w:ascii="宋体" w:hAnsi="宋体" w:eastAsia="宋体" w:cs="宋体"/>
          <w:color w:val="000000"/>
          <w:sz w:val="24"/>
          <w:szCs w:val="24"/>
          <w:highlight w:val="none"/>
        </w:rPr>
      </w:pPr>
    </w:p>
    <w:p w14:paraId="695A6DEC">
      <w:pPr>
        <w:pStyle w:val="85"/>
        <w:spacing w:beforeAutospacing="0" w:afterAutospacing="0"/>
        <w:jc w:val="both"/>
        <w:rPr>
          <w:rFonts w:hint="eastAsia" w:ascii="宋体" w:hAnsi="宋体" w:eastAsia="宋体" w:cs="宋体"/>
          <w:color w:val="000000"/>
          <w:sz w:val="24"/>
          <w:szCs w:val="24"/>
          <w:highlight w:val="none"/>
        </w:rPr>
      </w:pPr>
    </w:p>
    <w:p w14:paraId="030C6EFE">
      <w:pPr>
        <w:pStyle w:val="85"/>
        <w:spacing w:beforeAutospacing="0" w:afterAutospacing="0"/>
        <w:jc w:val="both"/>
        <w:rPr>
          <w:rFonts w:hint="eastAsia" w:ascii="宋体" w:hAnsi="宋体" w:eastAsia="宋体" w:cs="宋体"/>
          <w:color w:val="000000"/>
          <w:sz w:val="24"/>
          <w:szCs w:val="24"/>
          <w:highlight w:val="none"/>
        </w:rPr>
      </w:pPr>
    </w:p>
    <w:p w14:paraId="5EC36473">
      <w:pPr>
        <w:pStyle w:val="85"/>
        <w:spacing w:beforeAutospacing="0" w:afterAutospacing="0"/>
        <w:jc w:val="both"/>
        <w:rPr>
          <w:rFonts w:hint="eastAsia" w:ascii="宋体" w:hAnsi="宋体" w:eastAsia="宋体" w:cs="宋体"/>
          <w:color w:val="000000"/>
          <w:sz w:val="24"/>
          <w:szCs w:val="24"/>
          <w:highlight w:val="none"/>
        </w:rPr>
      </w:pPr>
    </w:p>
    <w:p w14:paraId="32E3149A">
      <w:pPr>
        <w:pStyle w:val="85"/>
        <w:spacing w:beforeAutospacing="0" w:afterAutospacing="0"/>
        <w:jc w:val="both"/>
        <w:rPr>
          <w:rFonts w:hint="eastAsia" w:ascii="宋体" w:hAnsi="宋体" w:eastAsia="宋体" w:cs="宋体"/>
          <w:color w:val="000000"/>
          <w:sz w:val="24"/>
          <w:szCs w:val="24"/>
          <w:highlight w:val="none"/>
        </w:rPr>
      </w:pPr>
    </w:p>
    <w:p w14:paraId="14E48F38">
      <w:pPr>
        <w:pStyle w:val="85"/>
        <w:spacing w:beforeAutospacing="0" w:afterAutospacing="0"/>
        <w:jc w:val="both"/>
        <w:rPr>
          <w:rFonts w:hint="eastAsia" w:ascii="宋体" w:hAnsi="宋体" w:eastAsia="宋体" w:cs="宋体"/>
          <w:color w:val="000000"/>
          <w:sz w:val="24"/>
          <w:szCs w:val="24"/>
          <w:highlight w:val="none"/>
        </w:rPr>
      </w:pPr>
    </w:p>
    <w:p w14:paraId="3FA94486">
      <w:pPr>
        <w:pStyle w:val="85"/>
        <w:spacing w:beforeAutospacing="0" w:afterAutospacing="0"/>
        <w:jc w:val="both"/>
        <w:rPr>
          <w:rFonts w:hint="eastAsia" w:ascii="宋体" w:hAnsi="宋体" w:eastAsia="宋体" w:cs="宋体"/>
          <w:color w:val="000000"/>
          <w:sz w:val="24"/>
          <w:szCs w:val="24"/>
          <w:highlight w:val="none"/>
        </w:rPr>
      </w:pPr>
    </w:p>
    <w:p w14:paraId="67B75DD0">
      <w:pPr>
        <w:pStyle w:val="85"/>
        <w:spacing w:beforeAutospacing="0" w:afterAutospacing="0"/>
        <w:jc w:val="both"/>
        <w:rPr>
          <w:rFonts w:hint="eastAsia" w:ascii="宋体" w:hAnsi="宋体" w:eastAsia="宋体" w:cs="宋体"/>
          <w:color w:val="000000"/>
          <w:sz w:val="24"/>
          <w:szCs w:val="24"/>
          <w:highlight w:val="none"/>
        </w:rPr>
      </w:pPr>
    </w:p>
    <w:p w14:paraId="48026043">
      <w:pPr>
        <w:pStyle w:val="85"/>
        <w:spacing w:beforeAutospacing="0" w:afterAutospacing="0"/>
        <w:jc w:val="both"/>
        <w:rPr>
          <w:rFonts w:hint="eastAsia" w:ascii="宋体" w:hAnsi="宋体" w:eastAsia="宋体" w:cs="宋体"/>
          <w:color w:val="000000"/>
          <w:sz w:val="24"/>
          <w:szCs w:val="24"/>
          <w:highlight w:val="none"/>
        </w:rPr>
      </w:pPr>
    </w:p>
    <w:p w14:paraId="77514FC7">
      <w:pPr>
        <w:pStyle w:val="85"/>
        <w:spacing w:beforeAutospacing="0" w:afterAutospacing="0"/>
        <w:jc w:val="both"/>
        <w:rPr>
          <w:rFonts w:hint="eastAsia" w:ascii="宋体" w:hAnsi="宋体" w:eastAsia="宋体" w:cs="宋体"/>
          <w:color w:val="000000"/>
          <w:sz w:val="24"/>
          <w:szCs w:val="24"/>
          <w:highlight w:val="none"/>
        </w:rPr>
      </w:pPr>
    </w:p>
    <w:p w14:paraId="70473A75">
      <w:pPr>
        <w:pStyle w:val="85"/>
        <w:spacing w:beforeAutospacing="0" w:afterAutospacing="0"/>
        <w:jc w:val="both"/>
        <w:rPr>
          <w:rFonts w:hint="eastAsia" w:ascii="宋体" w:hAnsi="宋体" w:eastAsia="宋体" w:cs="宋体"/>
          <w:color w:val="000000"/>
          <w:sz w:val="24"/>
          <w:szCs w:val="24"/>
          <w:highlight w:val="none"/>
        </w:rPr>
      </w:pPr>
    </w:p>
    <w:p w14:paraId="48636810">
      <w:pPr>
        <w:pStyle w:val="85"/>
        <w:spacing w:beforeAutospacing="0" w:afterAutospacing="0"/>
        <w:jc w:val="both"/>
        <w:rPr>
          <w:rFonts w:hint="eastAsia" w:ascii="宋体" w:hAnsi="宋体" w:eastAsia="宋体" w:cs="宋体"/>
          <w:color w:val="000000"/>
          <w:sz w:val="24"/>
          <w:szCs w:val="24"/>
          <w:highlight w:val="none"/>
        </w:rPr>
      </w:pPr>
    </w:p>
    <w:p w14:paraId="64138FA6">
      <w:pPr>
        <w:pStyle w:val="85"/>
        <w:spacing w:beforeAutospacing="0" w:afterAutospacing="0"/>
        <w:jc w:val="both"/>
        <w:rPr>
          <w:rFonts w:hint="eastAsia" w:ascii="宋体" w:hAnsi="宋体" w:eastAsia="宋体" w:cs="宋体"/>
          <w:color w:val="000000"/>
          <w:sz w:val="24"/>
          <w:szCs w:val="24"/>
          <w:highlight w:val="none"/>
        </w:rPr>
      </w:pPr>
    </w:p>
    <w:p w14:paraId="44ED1647">
      <w:pPr>
        <w:pStyle w:val="85"/>
        <w:spacing w:beforeAutospacing="0" w:afterAutospacing="0"/>
        <w:jc w:val="both"/>
        <w:rPr>
          <w:rFonts w:hint="eastAsia" w:ascii="宋体" w:hAnsi="宋体" w:eastAsia="宋体" w:cs="宋体"/>
          <w:color w:val="000000"/>
          <w:sz w:val="24"/>
          <w:szCs w:val="24"/>
          <w:highlight w:val="none"/>
        </w:rPr>
      </w:pPr>
    </w:p>
    <w:p w14:paraId="288E08B1">
      <w:pPr>
        <w:pStyle w:val="85"/>
        <w:spacing w:beforeAutospacing="0" w:afterAutospacing="0"/>
        <w:jc w:val="both"/>
        <w:rPr>
          <w:rFonts w:hint="eastAsia" w:ascii="宋体" w:hAnsi="宋体" w:eastAsia="宋体" w:cs="宋体"/>
          <w:color w:val="000000"/>
          <w:sz w:val="24"/>
          <w:szCs w:val="24"/>
          <w:highlight w:val="none"/>
        </w:rPr>
      </w:pPr>
    </w:p>
    <w:p w14:paraId="1576F37E">
      <w:pPr>
        <w:pStyle w:val="85"/>
        <w:spacing w:beforeAutospacing="0" w:afterAutospacing="0"/>
        <w:jc w:val="both"/>
        <w:rPr>
          <w:rFonts w:hint="eastAsia" w:ascii="宋体" w:hAnsi="宋体" w:eastAsia="宋体" w:cs="宋体"/>
          <w:color w:val="000000"/>
          <w:sz w:val="24"/>
          <w:szCs w:val="24"/>
          <w:highlight w:val="none"/>
        </w:rPr>
      </w:pPr>
    </w:p>
    <w:p w14:paraId="3D031ECA">
      <w:pPr>
        <w:pStyle w:val="85"/>
        <w:spacing w:beforeAutospacing="0" w:afterAutospacing="0"/>
        <w:jc w:val="both"/>
        <w:rPr>
          <w:rFonts w:hint="eastAsia" w:ascii="宋体" w:hAnsi="宋体" w:eastAsia="宋体" w:cs="宋体"/>
          <w:color w:val="000000"/>
          <w:sz w:val="24"/>
          <w:szCs w:val="24"/>
          <w:highlight w:val="none"/>
        </w:rPr>
      </w:pPr>
    </w:p>
    <w:p w14:paraId="3CA6F80A">
      <w:pPr>
        <w:pStyle w:val="85"/>
        <w:spacing w:beforeAutospacing="0" w:afterAutospacing="0"/>
        <w:jc w:val="both"/>
        <w:rPr>
          <w:rFonts w:hint="eastAsia" w:ascii="宋体" w:hAnsi="宋体" w:eastAsia="宋体" w:cs="宋体"/>
          <w:color w:val="000000"/>
          <w:sz w:val="24"/>
          <w:szCs w:val="24"/>
          <w:highlight w:val="none"/>
        </w:rPr>
      </w:pPr>
    </w:p>
    <w:p w14:paraId="2B35FAA8">
      <w:pPr>
        <w:pStyle w:val="85"/>
        <w:spacing w:beforeAutospacing="0" w:afterAutospacing="0"/>
        <w:jc w:val="both"/>
        <w:rPr>
          <w:rFonts w:hint="eastAsia" w:ascii="宋体" w:hAnsi="宋体" w:eastAsia="宋体" w:cs="宋体"/>
          <w:color w:val="000000"/>
          <w:sz w:val="24"/>
          <w:szCs w:val="24"/>
          <w:highlight w:val="none"/>
        </w:rPr>
      </w:pPr>
    </w:p>
    <w:p w14:paraId="52BF39A3">
      <w:pPr>
        <w:pStyle w:val="85"/>
        <w:spacing w:beforeAutospacing="0" w:afterAutospacing="0"/>
        <w:jc w:val="both"/>
        <w:rPr>
          <w:rFonts w:hint="eastAsia" w:ascii="宋体" w:hAnsi="宋体" w:eastAsia="宋体" w:cs="宋体"/>
          <w:color w:val="000000"/>
          <w:sz w:val="24"/>
          <w:szCs w:val="24"/>
          <w:highlight w:val="none"/>
        </w:rPr>
      </w:pPr>
    </w:p>
    <w:p w14:paraId="781C6C66">
      <w:pPr>
        <w:pStyle w:val="85"/>
        <w:spacing w:beforeAutospacing="0" w:afterAutospacing="0"/>
        <w:jc w:val="both"/>
        <w:rPr>
          <w:rFonts w:hint="eastAsia" w:ascii="宋体" w:hAnsi="宋体" w:eastAsia="宋体" w:cs="宋体"/>
          <w:color w:val="000000"/>
          <w:sz w:val="24"/>
          <w:szCs w:val="24"/>
          <w:highlight w:val="none"/>
        </w:rPr>
      </w:pPr>
    </w:p>
    <w:p w14:paraId="1CD45DB0">
      <w:pPr>
        <w:pStyle w:val="85"/>
        <w:spacing w:beforeAutospacing="0" w:afterAutospacing="0"/>
        <w:jc w:val="both"/>
        <w:rPr>
          <w:rFonts w:hint="eastAsia" w:ascii="宋体" w:hAnsi="宋体" w:eastAsia="宋体" w:cs="宋体"/>
          <w:color w:val="000000"/>
          <w:sz w:val="24"/>
          <w:szCs w:val="24"/>
          <w:highlight w:val="none"/>
        </w:rPr>
      </w:pPr>
    </w:p>
    <w:p w14:paraId="2C42BF90">
      <w:pPr>
        <w:pStyle w:val="85"/>
        <w:spacing w:beforeAutospacing="0" w:afterAutospacing="0"/>
        <w:jc w:val="both"/>
        <w:rPr>
          <w:rFonts w:hint="eastAsia" w:ascii="宋体" w:hAnsi="宋体" w:eastAsia="宋体" w:cs="宋体"/>
          <w:color w:val="000000"/>
          <w:sz w:val="24"/>
          <w:szCs w:val="24"/>
          <w:highlight w:val="none"/>
        </w:rPr>
      </w:pPr>
    </w:p>
    <w:p w14:paraId="6797BEB3">
      <w:pPr>
        <w:pStyle w:val="85"/>
        <w:spacing w:beforeAutospacing="0" w:afterAutospacing="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p w14:paraId="03ABAB25">
      <w:pPr>
        <w:rPr>
          <w:rFonts w:hint="eastAsia" w:ascii="黑体" w:hAnsi="宋体" w:eastAsia="黑体" w:cs="黑体"/>
          <w:color w:val="000000"/>
          <w:sz w:val="44"/>
          <w:szCs w:val="44"/>
          <w:highlight w:val="none"/>
        </w:rPr>
      </w:pPr>
      <w:r>
        <w:rPr>
          <w:rFonts w:hint="eastAsia" w:ascii="宋体" w:hAnsi="宋体" w:eastAsia="宋体" w:cs="宋体"/>
          <w:color w:val="000000"/>
          <w:sz w:val="24"/>
          <w:szCs w:val="24"/>
          <w:highlight w:val="none"/>
        </w:rPr>
        <w:t> </w:t>
      </w:r>
    </w:p>
    <w:p w14:paraId="29288B9C">
      <w:pPr>
        <w:pStyle w:val="85"/>
        <w:keepNext/>
        <w:spacing w:beforeAutospacing="0" w:afterAutospacing="0" w:line="360" w:lineRule="auto"/>
        <w:jc w:val="center"/>
        <w:rPr>
          <w:color w:val="000000"/>
          <w:highlight w:val="none"/>
        </w:rPr>
      </w:pPr>
      <w:r>
        <w:rPr>
          <w:rFonts w:hint="eastAsia" w:ascii="黑体" w:hAnsi="宋体" w:eastAsia="黑体" w:cs="黑体"/>
          <w:color w:val="000000"/>
          <w:sz w:val="44"/>
          <w:szCs w:val="44"/>
          <w:highlight w:val="none"/>
        </w:rPr>
        <w:t>第三章  合同文本</w:t>
      </w:r>
    </w:p>
    <w:p w14:paraId="0781F1BD">
      <w:pPr>
        <w:pStyle w:val="85"/>
        <w:spacing w:beforeAutospacing="0" w:afterAutospacing="0" w:line="360" w:lineRule="auto"/>
        <w:ind w:firstLine="480"/>
        <w:jc w:val="both"/>
        <w:rPr>
          <w:color w:val="000000"/>
          <w:highlight w:val="none"/>
        </w:rPr>
      </w:pPr>
      <w:bookmarkStart w:id="171" w:name="_Toc20823315"/>
      <w:bookmarkStart w:id="172" w:name="_Toc16938559"/>
      <w:bookmarkStart w:id="173" w:name="_Toc513029243"/>
      <w:r>
        <w:rPr>
          <w:rFonts w:hint="eastAsia" w:ascii="宋体" w:hAnsi="宋体" w:eastAsia="宋体" w:cs="宋体"/>
          <w:color w:val="000000"/>
          <w:highlight w:val="none"/>
        </w:rPr>
        <w:t>以下为中标后</w:t>
      </w:r>
      <w:r>
        <w:rPr>
          <w:rFonts w:hint="eastAsia" w:ascii="宋体" w:hAnsi="宋体" w:eastAsia="宋体" w:cs="宋体"/>
          <w:color w:val="000000"/>
          <w:highlight w:val="none"/>
          <w:lang w:eastAsia="zh-CN"/>
        </w:rPr>
        <w:t>签订</w:t>
      </w:r>
      <w:r>
        <w:rPr>
          <w:rFonts w:hint="eastAsia" w:ascii="宋体" w:hAnsi="宋体" w:eastAsia="宋体" w:cs="宋体"/>
          <w:color w:val="000000"/>
          <w:highlight w:val="none"/>
        </w:rPr>
        <w:t>本项目合同的通用条款，中标人不得提出实质性的修改。</w:t>
      </w:r>
      <w:bookmarkEnd w:id="171"/>
      <w:bookmarkEnd w:id="172"/>
      <w:bookmarkEnd w:id="173"/>
    </w:p>
    <w:p w14:paraId="3E21255B">
      <w:pPr>
        <w:pStyle w:val="85"/>
        <w:spacing w:before="145" w:beforeAutospacing="0" w:after="145" w:afterAutospacing="0" w:line="360" w:lineRule="auto"/>
        <w:jc w:val="center"/>
        <w:rPr>
          <w:color w:val="000000"/>
          <w:highlight w:val="none"/>
        </w:rPr>
      </w:pPr>
      <w:r>
        <w:rPr>
          <w:rFonts w:hint="eastAsia" w:ascii="宋体" w:hAnsi="宋体" w:eastAsia="宋体" w:cs="宋体"/>
          <w:b/>
          <w:color w:val="000000"/>
          <w:sz w:val="30"/>
          <w:szCs w:val="30"/>
          <w:highlight w:val="none"/>
        </w:rPr>
        <w:t>盐城市政府采购合同（服务）（合同编号）</w:t>
      </w:r>
    </w:p>
    <w:p w14:paraId="1DCDB3CC">
      <w:pPr>
        <w:pStyle w:val="85"/>
        <w:spacing w:before="120" w:beforeAutospacing="0" w:after="120" w:afterAutospacing="0"/>
        <w:jc w:val="both"/>
        <w:rPr>
          <w:rFonts w:hint="eastAsia" w:ascii="宋体" w:hAnsi="宋体" w:eastAsia="宋体" w:cs="宋体"/>
          <w:color w:val="000000"/>
          <w:highlight w:val="none"/>
          <w:lang w:val="en-US" w:eastAsia="zh-CN"/>
        </w:rPr>
      </w:pPr>
    </w:p>
    <w:p w14:paraId="29098111">
      <w:pPr>
        <w:pStyle w:val="85"/>
        <w:spacing w:before="120" w:beforeAutospacing="0" w:after="120" w:afterAutospacing="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项目名称：</w:t>
      </w:r>
    </w:p>
    <w:p w14:paraId="721A3FB8">
      <w:pPr>
        <w:pStyle w:val="85"/>
        <w:spacing w:before="120" w:beforeAutospacing="0" w:after="120" w:afterAutospacing="0"/>
        <w:jc w:val="both"/>
        <w:rPr>
          <w:color w:val="000000"/>
          <w:highlight w:val="none"/>
        </w:rPr>
      </w:pPr>
      <w:r>
        <w:rPr>
          <w:rFonts w:hint="eastAsia" w:ascii="宋体" w:hAnsi="宋体" w:eastAsia="宋体" w:cs="宋体"/>
          <w:color w:val="000000"/>
          <w:highlight w:val="none"/>
          <w:lang w:val="en-US" w:eastAsia="zh-CN"/>
        </w:rPr>
        <w:t>项目编号：</w:t>
      </w:r>
      <w:r>
        <w:rPr>
          <w:rFonts w:hint="eastAsia" w:ascii="宋体" w:hAnsi="宋体" w:eastAsia="宋体" w:cs="宋体"/>
          <w:color w:val="000000"/>
          <w:highlight w:val="none"/>
        </w:rPr>
        <w:t>                             </w:t>
      </w:r>
    </w:p>
    <w:p w14:paraId="7AAC542D">
      <w:pPr>
        <w:pStyle w:val="85"/>
        <w:spacing w:before="120" w:beforeAutospacing="0" w:after="120" w:afterAutospacing="0" w:line="360" w:lineRule="auto"/>
        <w:jc w:val="both"/>
        <w:rPr>
          <w:color w:val="000000"/>
          <w:highlight w:val="none"/>
        </w:rPr>
      </w:pPr>
      <w:r>
        <w:rPr>
          <w:rFonts w:hint="eastAsia" w:ascii="宋体" w:hAnsi="宋体" w:eastAsia="宋体" w:cs="宋体"/>
          <w:color w:val="000000"/>
          <w:highlight w:val="none"/>
        </w:rPr>
        <w:t>甲方：（买方）_________</w:t>
      </w:r>
    </w:p>
    <w:p w14:paraId="5069C779">
      <w:pPr>
        <w:pStyle w:val="85"/>
        <w:spacing w:before="120" w:beforeAutospacing="0" w:after="120" w:afterAutospacing="0" w:line="360" w:lineRule="auto"/>
        <w:jc w:val="both"/>
        <w:rPr>
          <w:color w:val="000000"/>
          <w:highlight w:val="none"/>
        </w:rPr>
      </w:pPr>
      <w:r>
        <w:rPr>
          <w:rFonts w:hint="eastAsia" w:ascii="宋体" w:hAnsi="宋体" w:eastAsia="宋体" w:cs="宋体"/>
          <w:color w:val="000000"/>
          <w:highlight w:val="none"/>
        </w:rPr>
        <w:t>乙方：（卖方）_________</w:t>
      </w:r>
    </w:p>
    <w:p w14:paraId="35B3ED17">
      <w:pPr>
        <w:pStyle w:val="238"/>
        <w:keepNext w:val="0"/>
        <w:keepLines w:val="0"/>
        <w:pageBreakBefore w:val="0"/>
        <w:widowControl/>
        <w:spacing w:beforeAutospacing="0" w:afterAutospacing="0" w:line="500" w:lineRule="exact"/>
        <w:ind w:firstLine="422"/>
        <w:rPr>
          <w:rStyle w:val="236"/>
          <w:rFonts w:hint="eastAsia" w:ascii="宋体" w:hAnsi="宋体" w:eastAsia="宋体" w:cs="宋体"/>
          <w:b/>
          <w:color w:val="000000"/>
          <w:sz w:val="24"/>
          <w:szCs w:val="24"/>
          <w:highlight w:val="none"/>
        </w:rPr>
      </w:pPr>
      <w:r>
        <w:rPr>
          <w:rFonts w:hint="eastAsia" w:ascii="宋体" w:hAnsi="宋体" w:eastAsia="宋体" w:cs="宋体"/>
          <w:b/>
          <w:color w:val="000000"/>
          <w:highlight w:val="none"/>
        </w:rPr>
        <w:t xml:space="preserve">   </w:t>
      </w:r>
      <w:bookmarkStart w:id="174" w:name="_Toc479757211"/>
      <w:bookmarkStart w:id="175" w:name="_Toc120614244"/>
      <w:bookmarkStart w:id="176" w:name="_Toc20823346"/>
      <w:bookmarkStart w:id="177" w:name="_Toc462564139"/>
      <w:bookmarkStart w:id="178" w:name="_Hlt16619350"/>
      <w:bookmarkStart w:id="179" w:name="_Toc16938590"/>
      <w:bookmarkStart w:id="180" w:name="_Hlt16619369"/>
      <w:r>
        <w:rPr>
          <w:rStyle w:val="236"/>
          <w:rFonts w:hint="eastAsia" w:ascii="宋体" w:hAnsi="宋体" w:eastAsia="宋体" w:cs="宋体"/>
          <w:color w:val="000000"/>
          <w:sz w:val="24"/>
          <w:szCs w:val="24"/>
          <w:highlight w:val="none"/>
        </w:rPr>
        <w:t>根据《中华人民共和国民法典》、《中华人民共和国政府采购法》等相关法律，甲、乙双方根据</w:t>
      </w:r>
      <w:r>
        <w:rPr>
          <w:rStyle w:val="236"/>
          <w:rFonts w:hint="eastAsia" w:ascii="宋体" w:hAnsi="宋体" w:eastAsia="宋体" w:cs="宋体"/>
          <w:color w:val="000000"/>
          <w:sz w:val="24"/>
          <w:szCs w:val="24"/>
          <w:highlight w:val="none"/>
          <w:u w:val="single"/>
        </w:rPr>
        <w:t>盐城市</w:t>
      </w:r>
      <w:r>
        <w:rPr>
          <w:rStyle w:val="236"/>
          <w:rFonts w:hint="eastAsia" w:hAnsi="宋体" w:eastAsia="宋体" w:cs="宋体"/>
          <w:color w:val="000000"/>
          <w:sz w:val="24"/>
          <w:szCs w:val="24"/>
          <w:highlight w:val="none"/>
          <w:u w:val="single"/>
          <w:lang w:eastAsia="zh-CN"/>
        </w:rPr>
        <w:t>亭湖区</w:t>
      </w:r>
      <w:r>
        <w:rPr>
          <w:rStyle w:val="236"/>
          <w:rFonts w:hint="eastAsia" w:ascii="宋体" w:hAnsi="宋体" w:eastAsia="宋体" w:cs="宋体"/>
          <w:color w:val="000000"/>
          <w:sz w:val="24"/>
          <w:szCs w:val="24"/>
          <w:highlight w:val="none"/>
          <w:u w:val="single"/>
        </w:rPr>
        <w:t>人民法院</w:t>
      </w:r>
      <w:r>
        <w:rPr>
          <w:rStyle w:val="236"/>
          <w:rFonts w:hint="eastAsia" w:hAnsi="宋体" w:eastAsia="宋体" w:cs="宋体"/>
          <w:color w:val="000000"/>
          <w:sz w:val="24"/>
          <w:szCs w:val="24"/>
          <w:highlight w:val="none"/>
          <w:u w:val="single"/>
          <w:lang w:eastAsia="zh-CN"/>
        </w:rPr>
        <w:t>审判执行辅助事务外包服务</w:t>
      </w:r>
      <w:r>
        <w:rPr>
          <w:rStyle w:val="236"/>
          <w:rFonts w:hint="eastAsia" w:ascii="宋体" w:hAnsi="宋体" w:eastAsia="宋体" w:cs="宋体"/>
          <w:color w:val="000000"/>
          <w:sz w:val="24"/>
          <w:szCs w:val="24"/>
          <w:highlight w:val="none"/>
          <w:u w:val="single"/>
        </w:rPr>
        <w:t>项目</w:t>
      </w:r>
      <w:r>
        <w:rPr>
          <w:rStyle w:val="236"/>
          <w:rFonts w:hint="eastAsia" w:ascii="宋体" w:hAnsi="宋体" w:eastAsia="宋体" w:cs="宋体"/>
          <w:color w:val="000000"/>
          <w:sz w:val="24"/>
          <w:szCs w:val="24"/>
          <w:highlight w:val="none"/>
        </w:rPr>
        <w:t>项目公开招标的结果，签署本合同。</w:t>
      </w:r>
    </w:p>
    <w:p w14:paraId="329EDCD4">
      <w:pPr>
        <w:keepNext w:val="0"/>
        <w:keepLines w:val="0"/>
        <w:pageBreakBefore w:val="0"/>
        <w:widowControl/>
        <w:spacing w:beforeAutospacing="0" w:afterAutospacing="0" w:line="500" w:lineRule="exact"/>
        <w:ind w:firstLine="482"/>
        <w:rPr>
          <w:rStyle w:val="236"/>
          <w:rFonts w:hint="eastAsia" w:ascii="宋体" w:hAnsi="宋体" w:eastAsia="宋体" w:cs="宋体"/>
          <w:b/>
          <w:bCs/>
          <w:color w:val="000000"/>
          <w:sz w:val="24"/>
          <w:highlight w:val="none"/>
        </w:rPr>
      </w:pPr>
      <w:r>
        <w:rPr>
          <w:rStyle w:val="236"/>
          <w:rFonts w:hint="eastAsia" w:ascii="宋体" w:hAnsi="宋体" w:eastAsia="宋体" w:cs="宋体"/>
          <w:b/>
          <w:bCs/>
          <w:color w:val="000000"/>
          <w:sz w:val="24"/>
          <w:highlight w:val="none"/>
        </w:rPr>
        <w:t>一、合同文件</w:t>
      </w:r>
    </w:p>
    <w:p w14:paraId="750951C7">
      <w:pPr>
        <w:pStyle w:val="238"/>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rPr>
      </w:pPr>
      <w:r>
        <w:rPr>
          <w:rStyle w:val="236"/>
          <w:rFonts w:hint="eastAsia" w:ascii="宋体" w:hAnsi="宋体" w:eastAsia="宋体" w:cs="宋体"/>
          <w:color w:val="000000"/>
          <w:sz w:val="24"/>
          <w:szCs w:val="24"/>
          <w:highlight w:val="none"/>
        </w:rPr>
        <w:t>本合同所附下列文件是构成本合同不可分割的部分，组成合同的各项文件应互相解释，互为说明，解释合同文件的优先顺序如下：</w:t>
      </w:r>
    </w:p>
    <w:p w14:paraId="092C752D">
      <w:pPr>
        <w:pStyle w:val="238"/>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rPr>
      </w:pPr>
      <w:r>
        <w:rPr>
          <w:rStyle w:val="236"/>
          <w:rFonts w:hint="eastAsia" w:ascii="宋体" w:hAnsi="宋体" w:eastAsia="宋体" w:cs="宋体"/>
          <w:color w:val="000000"/>
          <w:sz w:val="24"/>
          <w:szCs w:val="24"/>
          <w:highlight w:val="none"/>
        </w:rPr>
        <w:t>（一）合同格式以及合同条款</w:t>
      </w:r>
    </w:p>
    <w:p w14:paraId="12E2DABD">
      <w:pPr>
        <w:pStyle w:val="238"/>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rPr>
      </w:pPr>
      <w:r>
        <w:rPr>
          <w:rStyle w:val="236"/>
          <w:rFonts w:hint="eastAsia" w:ascii="宋体" w:hAnsi="宋体" w:eastAsia="宋体" w:cs="宋体"/>
          <w:color w:val="000000"/>
          <w:sz w:val="24"/>
          <w:szCs w:val="24"/>
          <w:highlight w:val="none"/>
        </w:rPr>
        <w:t>（二）中标通知书</w:t>
      </w:r>
    </w:p>
    <w:p w14:paraId="60511958">
      <w:pPr>
        <w:pStyle w:val="238"/>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rPr>
      </w:pPr>
      <w:r>
        <w:rPr>
          <w:rStyle w:val="236"/>
          <w:rFonts w:hint="eastAsia" w:ascii="宋体" w:hAnsi="宋体" w:eastAsia="宋体" w:cs="宋体"/>
          <w:color w:val="000000"/>
          <w:sz w:val="24"/>
          <w:szCs w:val="24"/>
          <w:highlight w:val="none"/>
        </w:rPr>
        <w:t>（三）中标人在招投标过程中做出的有关澄清、说明、承诺或者补正文件</w:t>
      </w:r>
    </w:p>
    <w:p w14:paraId="79276704">
      <w:pPr>
        <w:pStyle w:val="238"/>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rPr>
      </w:pPr>
      <w:r>
        <w:rPr>
          <w:rStyle w:val="236"/>
          <w:rFonts w:hint="eastAsia" w:ascii="宋体" w:hAnsi="宋体" w:eastAsia="宋体" w:cs="宋体"/>
          <w:color w:val="000000"/>
          <w:sz w:val="24"/>
          <w:szCs w:val="24"/>
          <w:highlight w:val="none"/>
        </w:rPr>
        <w:t>（四）中标人的投标文件</w:t>
      </w:r>
    </w:p>
    <w:p w14:paraId="0C48AB8A">
      <w:pPr>
        <w:pStyle w:val="238"/>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rPr>
      </w:pPr>
      <w:r>
        <w:rPr>
          <w:rStyle w:val="236"/>
          <w:rFonts w:hint="eastAsia" w:ascii="宋体" w:hAnsi="宋体" w:eastAsia="宋体" w:cs="宋体"/>
          <w:color w:val="000000"/>
          <w:sz w:val="24"/>
          <w:szCs w:val="24"/>
          <w:highlight w:val="none"/>
        </w:rPr>
        <w:t>（五）本合同附件</w:t>
      </w:r>
    </w:p>
    <w:p w14:paraId="5DDF9229">
      <w:pPr>
        <w:pStyle w:val="238"/>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rPr>
      </w:pPr>
      <w:r>
        <w:rPr>
          <w:rStyle w:val="236"/>
          <w:rFonts w:hint="eastAsia" w:ascii="宋体" w:hAnsi="宋体" w:eastAsia="宋体" w:cs="宋体"/>
          <w:color w:val="000000"/>
          <w:sz w:val="24"/>
          <w:szCs w:val="24"/>
          <w:highlight w:val="none"/>
        </w:rPr>
        <w:t>同一层次的合同文件规定有矛盾的以较后时间制定的为准。</w:t>
      </w:r>
    </w:p>
    <w:p w14:paraId="7E878CC7">
      <w:pPr>
        <w:keepNext w:val="0"/>
        <w:keepLines w:val="0"/>
        <w:pageBreakBefore w:val="0"/>
        <w:widowControl/>
        <w:spacing w:beforeAutospacing="0" w:afterAutospacing="0" w:line="500" w:lineRule="exact"/>
        <w:ind w:firstLine="482"/>
        <w:rPr>
          <w:rStyle w:val="236"/>
          <w:rFonts w:hint="eastAsia" w:ascii="宋体" w:hAnsi="宋体" w:eastAsia="宋体" w:cs="宋体"/>
          <w:b/>
          <w:bCs/>
          <w:color w:val="000000"/>
          <w:sz w:val="24"/>
          <w:highlight w:val="none"/>
        </w:rPr>
      </w:pPr>
      <w:r>
        <w:rPr>
          <w:rStyle w:val="236"/>
          <w:rFonts w:hint="eastAsia" w:ascii="宋体" w:hAnsi="宋体" w:eastAsia="宋体" w:cs="宋体"/>
          <w:b/>
          <w:bCs/>
          <w:color w:val="000000"/>
          <w:sz w:val="24"/>
          <w:highlight w:val="none"/>
        </w:rPr>
        <w:t>二、合同的范围和条件</w:t>
      </w:r>
    </w:p>
    <w:p w14:paraId="64B86C94">
      <w:pPr>
        <w:pStyle w:val="238"/>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rPr>
      </w:pPr>
      <w:r>
        <w:rPr>
          <w:rStyle w:val="236"/>
          <w:rFonts w:hint="eastAsia" w:ascii="宋体" w:hAnsi="宋体" w:eastAsia="宋体" w:cs="宋体"/>
          <w:color w:val="000000"/>
          <w:sz w:val="24"/>
          <w:szCs w:val="24"/>
          <w:highlight w:val="none"/>
        </w:rPr>
        <w:t>本合同的范围和条件应与上述合同文件的规定相一致。</w:t>
      </w:r>
    </w:p>
    <w:p w14:paraId="1315964D">
      <w:pPr>
        <w:keepNext w:val="0"/>
        <w:keepLines w:val="0"/>
        <w:pageBreakBefore w:val="0"/>
        <w:widowControl/>
        <w:spacing w:beforeAutospacing="0" w:afterAutospacing="0" w:line="500" w:lineRule="exact"/>
        <w:ind w:firstLine="482"/>
        <w:rPr>
          <w:rStyle w:val="236"/>
          <w:rFonts w:hint="eastAsia" w:ascii="宋体" w:hAnsi="宋体" w:eastAsia="宋体" w:cs="宋体"/>
          <w:b/>
          <w:bCs/>
          <w:color w:val="000000"/>
          <w:sz w:val="24"/>
          <w:highlight w:val="none"/>
        </w:rPr>
      </w:pPr>
      <w:r>
        <w:rPr>
          <w:rStyle w:val="236"/>
          <w:rFonts w:hint="eastAsia" w:ascii="宋体" w:hAnsi="宋体" w:eastAsia="宋体" w:cs="宋体"/>
          <w:b/>
          <w:bCs/>
          <w:color w:val="000000"/>
          <w:sz w:val="24"/>
          <w:highlight w:val="none"/>
        </w:rPr>
        <w:t>三、服务期限与服务地点</w:t>
      </w:r>
    </w:p>
    <w:p w14:paraId="3C8D019D">
      <w:pPr>
        <w:keepNext w:val="0"/>
        <w:keepLines w:val="0"/>
        <w:pageBreakBefore w:val="0"/>
        <w:widowControl/>
        <w:spacing w:beforeAutospacing="0" w:afterAutospacing="0" w:line="500" w:lineRule="exact"/>
        <w:ind w:firstLine="480"/>
        <w:rPr>
          <w:rFonts w:hint="eastAsia" w:ascii="宋体" w:hAnsi="宋体" w:eastAsia="宋体" w:cs="宋体"/>
          <w:color w:val="000000"/>
          <w:sz w:val="24"/>
        </w:rPr>
      </w:pPr>
      <w:r>
        <w:rPr>
          <w:rStyle w:val="236"/>
          <w:rFonts w:hint="eastAsia" w:ascii="宋体" w:hAnsi="宋体" w:eastAsia="宋体" w:cs="宋体"/>
          <w:color w:val="000000"/>
          <w:sz w:val="24"/>
          <w:szCs w:val="24"/>
          <w:highlight w:val="none"/>
        </w:rPr>
        <w:t>1</w:t>
      </w:r>
      <w:r>
        <w:rPr>
          <w:rStyle w:val="236"/>
          <w:rFonts w:hint="eastAsia" w:ascii="宋体" w:hAnsi="宋体" w:eastAsia="宋体" w:cs="宋体"/>
          <w:color w:val="000000"/>
          <w:sz w:val="24"/>
          <w:szCs w:val="24"/>
          <w:highlight w:val="none"/>
          <w:lang w:eastAsia="zh-CN"/>
        </w:rPr>
        <w:t>、</w:t>
      </w:r>
      <w:r>
        <w:rPr>
          <w:rStyle w:val="236"/>
          <w:rFonts w:hint="eastAsia" w:ascii="宋体" w:hAnsi="宋体" w:eastAsia="宋体" w:cs="宋体"/>
          <w:color w:val="000000"/>
          <w:sz w:val="24"/>
          <w:szCs w:val="24"/>
          <w:highlight w:val="none"/>
        </w:rPr>
        <w:t>服务期限</w:t>
      </w:r>
    </w:p>
    <w:p w14:paraId="733E3636">
      <w:pPr>
        <w:keepNext w:val="0"/>
        <w:keepLines w:val="0"/>
        <w:pageBreakBefore w:val="0"/>
        <w:widowControl/>
        <w:spacing w:beforeAutospacing="0" w:afterAutospacing="0" w:line="500" w:lineRule="exact"/>
        <w:ind w:firstLine="480"/>
        <w:rPr>
          <w:rFonts w:hint="eastAsia" w:ascii="宋体" w:hAnsi="宋体" w:eastAsia="宋体" w:cs="宋体"/>
          <w:color w:val="000000"/>
          <w:sz w:val="24"/>
          <w:lang w:eastAsia="zh-CN"/>
        </w:rPr>
      </w:pPr>
      <w:r>
        <w:rPr>
          <w:rFonts w:hint="eastAsia" w:ascii="宋体" w:hAnsi="宋体" w:eastAsia="宋体" w:cs="宋体"/>
          <w:color w:val="000000"/>
          <w:sz w:val="24"/>
        </w:rPr>
        <w:t>本合同约定服务期限为</w:t>
      </w:r>
      <w:r>
        <w:rPr>
          <w:rFonts w:hint="eastAsia" w:ascii="宋体" w:hAnsi="宋体" w:eastAsia="宋体" w:cs="宋体"/>
          <w:color w:val="000000"/>
          <w:sz w:val="24"/>
          <w:lang w:val="en-US" w:eastAsia="zh-CN"/>
        </w:rPr>
        <w:t>1</w:t>
      </w:r>
      <w:r>
        <w:rPr>
          <w:rFonts w:hint="eastAsia" w:ascii="宋体" w:hAnsi="宋体" w:eastAsia="宋体" w:cs="宋体"/>
          <w:color w:val="000000"/>
          <w:sz w:val="24"/>
        </w:rPr>
        <w:t>年，自  年    月    日起到    年    月     日止</w:t>
      </w:r>
      <w:r>
        <w:rPr>
          <w:rFonts w:hint="eastAsia" w:ascii="宋体" w:hAnsi="宋体" w:eastAsia="宋体" w:cs="宋体"/>
          <w:color w:val="000000"/>
          <w:sz w:val="24"/>
          <w:lang w:val="en-US" w:eastAsia="zh-CN"/>
        </w:rPr>
        <w:t>，一年服务合同结束后，如履约能力强、服务质量优，经考核合格，可以续签下一年服务合同，如考核不合格，采购人有权终止合同，重新申请招标</w:t>
      </w:r>
      <w:r>
        <w:rPr>
          <w:rFonts w:hint="eastAsia" w:ascii="宋体" w:hAnsi="宋体" w:eastAsia="宋体" w:cs="宋体"/>
          <w:color w:val="000000"/>
          <w:sz w:val="24"/>
          <w:lang w:eastAsia="zh-CN"/>
        </w:rPr>
        <w:t>。</w:t>
      </w:r>
    </w:p>
    <w:p w14:paraId="59BCB0F4">
      <w:pPr>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rPr>
      </w:pPr>
      <w:r>
        <w:rPr>
          <w:rStyle w:val="236"/>
          <w:rFonts w:hint="eastAsia" w:ascii="宋体" w:hAnsi="宋体" w:eastAsia="宋体" w:cs="宋体"/>
          <w:color w:val="000000"/>
          <w:sz w:val="24"/>
          <w:szCs w:val="24"/>
          <w:highlight w:val="none"/>
        </w:rPr>
        <w:t>2</w:t>
      </w:r>
      <w:r>
        <w:rPr>
          <w:rStyle w:val="236"/>
          <w:rFonts w:hint="eastAsia" w:ascii="宋体" w:hAnsi="宋体" w:eastAsia="宋体" w:cs="宋体"/>
          <w:color w:val="000000"/>
          <w:sz w:val="24"/>
          <w:szCs w:val="24"/>
          <w:highlight w:val="none"/>
          <w:lang w:eastAsia="zh-CN"/>
        </w:rPr>
        <w:t>、</w:t>
      </w:r>
      <w:r>
        <w:rPr>
          <w:rStyle w:val="236"/>
          <w:rFonts w:hint="eastAsia" w:ascii="宋体" w:hAnsi="宋体" w:eastAsia="宋体" w:cs="宋体"/>
          <w:color w:val="000000"/>
          <w:sz w:val="24"/>
          <w:szCs w:val="24"/>
          <w:highlight w:val="none"/>
        </w:rPr>
        <w:t>服务地点</w:t>
      </w:r>
    </w:p>
    <w:p w14:paraId="3EC1F409">
      <w:pPr>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rPr>
      </w:pPr>
      <w:r>
        <w:rPr>
          <w:rStyle w:val="236"/>
          <w:rFonts w:hint="eastAsia" w:ascii="宋体" w:hAnsi="宋体" w:eastAsia="宋体" w:cs="宋体"/>
          <w:color w:val="000000"/>
          <w:sz w:val="24"/>
          <w:szCs w:val="24"/>
          <w:highlight w:val="none"/>
        </w:rPr>
        <w:t>本合同约定的服务地点为：盐城市</w:t>
      </w:r>
      <w:r>
        <w:rPr>
          <w:rStyle w:val="236"/>
          <w:rFonts w:hint="eastAsia" w:ascii="宋体" w:hAnsi="宋体" w:eastAsia="宋体" w:cs="宋体"/>
          <w:color w:val="000000"/>
          <w:sz w:val="24"/>
          <w:szCs w:val="24"/>
          <w:highlight w:val="none"/>
          <w:lang w:eastAsia="zh-CN"/>
        </w:rPr>
        <w:t>亭湖区</w:t>
      </w:r>
      <w:r>
        <w:rPr>
          <w:rStyle w:val="236"/>
          <w:rFonts w:hint="eastAsia" w:ascii="宋体" w:hAnsi="宋体" w:eastAsia="宋体" w:cs="宋体"/>
          <w:color w:val="000000"/>
          <w:sz w:val="24"/>
          <w:szCs w:val="24"/>
          <w:highlight w:val="none"/>
        </w:rPr>
        <w:t>人民法院。</w:t>
      </w:r>
    </w:p>
    <w:p w14:paraId="0A3AE16D">
      <w:pPr>
        <w:keepNext w:val="0"/>
        <w:keepLines w:val="0"/>
        <w:pageBreakBefore w:val="0"/>
        <w:widowControl/>
        <w:spacing w:beforeAutospacing="0" w:afterAutospacing="0" w:line="500" w:lineRule="exact"/>
        <w:ind w:firstLine="482"/>
        <w:rPr>
          <w:rStyle w:val="236"/>
          <w:rFonts w:hint="eastAsia" w:ascii="宋体" w:hAnsi="宋体" w:eastAsia="宋体" w:cs="宋体"/>
          <w:b/>
          <w:bCs/>
          <w:color w:val="000000"/>
          <w:sz w:val="24"/>
          <w:highlight w:val="none"/>
        </w:rPr>
      </w:pPr>
      <w:r>
        <w:rPr>
          <w:rStyle w:val="236"/>
          <w:rFonts w:hint="eastAsia" w:ascii="宋体" w:hAnsi="宋体" w:eastAsia="宋体" w:cs="宋体"/>
          <w:b/>
          <w:bCs/>
          <w:color w:val="000000"/>
          <w:sz w:val="24"/>
          <w:highlight w:val="none"/>
        </w:rPr>
        <w:t>四、服务内容、方式和要求</w:t>
      </w:r>
    </w:p>
    <w:p w14:paraId="74031EB9">
      <w:pPr>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rPr>
      </w:pPr>
      <w:r>
        <w:rPr>
          <w:rStyle w:val="236"/>
          <w:rFonts w:hint="eastAsia" w:ascii="宋体" w:hAnsi="宋体" w:eastAsia="宋体" w:cs="宋体"/>
          <w:color w:val="000000"/>
          <w:sz w:val="24"/>
          <w:szCs w:val="24"/>
          <w:highlight w:val="none"/>
        </w:rPr>
        <w:t>1、提供驻场服务人员及技术服务</w:t>
      </w:r>
      <w:r>
        <w:rPr>
          <w:rStyle w:val="236"/>
          <w:rFonts w:hint="eastAsia" w:ascii="宋体" w:hAnsi="宋体" w:eastAsia="宋体" w:cs="宋体"/>
          <w:color w:val="000000"/>
          <w:sz w:val="24"/>
          <w:szCs w:val="24"/>
          <w:highlight w:val="none"/>
          <w:lang w:val="en-US" w:eastAsia="zh-CN"/>
        </w:rPr>
        <w:t>（</w:t>
      </w:r>
      <w:r>
        <w:rPr>
          <w:rStyle w:val="236"/>
          <w:rFonts w:hint="eastAsia" w:ascii="宋体" w:hAnsi="宋体" w:eastAsia="宋体" w:cs="宋体"/>
          <w:color w:val="000000"/>
          <w:sz w:val="24"/>
          <w:szCs w:val="24"/>
          <w:highlight w:val="none"/>
        </w:rPr>
        <w:t>具体详见招标文件</w:t>
      </w:r>
      <w:r>
        <w:rPr>
          <w:rStyle w:val="236"/>
          <w:rFonts w:hint="eastAsia" w:ascii="宋体" w:hAnsi="宋体" w:eastAsia="宋体" w:cs="宋体"/>
          <w:color w:val="000000"/>
          <w:sz w:val="24"/>
          <w:szCs w:val="24"/>
          <w:highlight w:val="none"/>
          <w:lang w:val="en-US" w:eastAsia="zh-CN"/>
        </w:rPr>
        <w:t>）；</w:t>
      </w:r>
    </w:p>
    <w:p w14:paraId="2333C6B5">
      <w:pPr>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rPr>
      </w:pPr>
      <w:r>
        <w:rPr>
          <w:rStyle w:val="236"/>
          <w:rFonts w:hint="eastAsia" w:ascii="宋体" w:hAnsi="宋体" w:eastAsia="宋体" w:cs="宋体"/>
          <w:color w:val="000000"/>
          <w:sz w:val="24"/>
          <w:szCs w:val="24"/>
          <w:highlight w:val="none"/>
        </w:rPr>
        <w:t>2、服务考核办法</w:t>
      </w:r>
      <w:r>
        <w:rPr>
          <w:rStyle w:val="236"/>
          <w:rFonts w:hint="eastAsia" w:ascii="宋体" w:hAnsi="宋体" w:eastAsia="宋体" w:cs="宋体"/>
          <w:color w:val="000000"/>
          <w:sz w:val="24"/>
          <w:szCs w:val="24"/>
          <w:highlight w:val="none"/>
          <w:lang w:val="en-US" w:eastAsia="zh-CN"/>
        </w:rPr>
        <w:t>（</w:t>
      </w:r>
      <w:r>
        <w:rPr>
          <w:rStyle w:val="236"/>
          <w:rFonts w:hint="eastAsia" w:ascii="宋体" w:hAnsi="宋体" w:eastAsia="宋体" w:cs="宋体"/>
          <w:color w:val="000000"/>
          <w:sz w:val="24"/>
          <w:szCs w:val="24"/>
          <w:highlight w:val="none"/>
        </w:rPr>
        <w:t>具体详见招标文件</w:t>
      </w:r>
      <w:r>
        <w:rPr>
          <w:rStyle w:val="236"/>
          <w:rFonts w:hint="eastAsia" w:ascii="宋体" w:hAnsi="宋体" w:eastAsia="宋体" w:cs="宋体"/>
          <w:color w:val="000000"/>
          <w:sz w:val="24"/>
          <w:szCs w:val="24"/>
          <w:highlight w:val="none"/>
          <w:lang w:val="en-US" w:eastAsia="zh-CN"/>
        </w:rPr>
        <w:t>）</w:t>
      </w:r>
      <w:r>
        <w:rPr>
          <w:rStyle w:val="236"/>
          <w:rFonts w:hint="eastAsia" w:ascii="宋体" w:hAnsi="宋体" w:eastAsia="宋体" w:cs="宋体"/>
          <w:color w:val="000000"/>
          <w:sz w:val="24"/>
          <w:szCs w:val="24"/>
          <w:highlight w:val="none"/>
        </w:rPr>
        <w:t>。</w:t>
      </w:r>
    </w:p>
    <w:p w14:paraId="3009FA37">
      <w:pPr>
        <w:keepNext w:val="0"/>
        <w:keepLines w:val="0"/>
        <w:pageBreakBefore w:val="0"/>
        <w:widowControl/>
        <w:numPr>
          <w:ilvl w:val="0"/>
          <w:numId w:val="1"/>
        </w:numPr>
        <w:spacing w:beforeAutospacing="0" w:afterAutospacing="0" w:line="500" w:lineRule="exact"/>
        <w:ind w:firstLine="482"/>
        <w:jc w:val="left"/>
        <w:rPr>
          <w:rFonts w:hint="eastAsia" w:ascii="宋体" w:hAnsi="宋体" w:eastAsia="宋体" w:cs="宋体"/>
          <w:b/>
          <w:color w:val="000000"/>
          <w:sz w:val="24"/>
        </w:rPr>
      </w:pPr>
      <w:r>
        <w:rPr>
          <w:rFonts w:hint="eastAsia" w:ascii="宋体" w:hAnsi="宋体" w:eastAsia="宋体" w:cs="宋体"/>
          <w:b/>
          <w:color w:val="000000"/>
          <w:sz w:val="24"/>
        </w:rPr>
        <w:t>服务人员</w:t>
      </w:r>
    </w:p>
    <w:p w14:paraId="6D5E7975">
      <w:pPr>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rPr>
      </w:pPr>
      <w:r>
        <w:rPr>
          <w:rStyle w:val="236"/>
          <w:rFonts w:hint="eastAsia" w:ascii="宋体" w:hAnsi="宋体" w:eastAsia="宋体" w:cs="宋体"/>
          <w:color w:val="000000"/>
          <w:sz w:val="24"/>
          <w:szCs w:val="24"/>
          <w:highlight w:val="none"/>
        </w:rPr>
        <w:t>甲乙双方指派专人组成本合同服务项目的管理小组，管理和实施本项目。管理小组成员名单和通讯方式见附件。双方可以根据具体情况更换本方管理小组的成员，但应当以书面方式通知另一方；如乙方重新指定的小组成员涉及到本项目的重要方面，应当事先征得甲方的同意。双方应当在合理和维护双方利益的基础上讨论人员更换事宜。参与项目的所有人员都应当受本合同第八条各条款的约束。</w:t>
      </w:r>
    </w:p>
    <w:p w14:paraId="4542347F">
      <w:pPr>
        <w:keepNext w:val="0"/>
        <w:keepLines w:val="0"/>
        <w:pageBreakBefore w:val="0"/>
        <w:widowControl/>
        <w:spacing w:beforeAutospacing="0" w:afterAutospacing="0" w:line="500" w:lineRule="exact"/>
        <w:ind w:firstLine="482"/>
        <w:rPr>
          <w:rStyle w:val="236"/>
          <w:rFonts w:hint="eastAsia" w:ascii="宋体" w:hAnsi="宋体" w:eastAsia="宋体" w:cs="宋体"/>
          <w:b/>
          <w:bCs/>
          <w:color w:val="000000"/>
          <w:sz w:val="24"/>
          <w:highlight w:val="none"/>
        </w:rPr>
      </w:pPr>
      <w:r>
        <w:rPr>
          <w:rStyle w:val="236"/>
          <w:rFonts w:hint="eastAsia" w:ascii="宋体" w:hAnsi="宋体" w:eastAsia="宋体" w:cs="宋体"/>
          <w:b/>
          <w:bCs/>
          <w:color w:val="000000"/>
          <w:sz w:val="24"/>
          <w:highlight w:val="none"/>
          <w:lang w:eastAsia="zh-CN"/>
        </w:rPr>
        <w:t>六</w:t>
      </w:r>
      <w:r>
        <w:rPr>
          <w:rStyle w:val="236"/>
          <w:rFonts w:hint="eastAsia" w:ascii="宋体" w:hAnsi="宋体" w:eastAsia="宋体" w:cs="宋体"/>
          <w:b/>
          <w:bCs/>
          <w:color w:val="000000"/>
          <w:sz w:val="24"/>
          <w:highlight w:val="none"/>
        </w:rPr>
        <w:t>、合同金额</w:t>
      </w:r>
    </w:p>
    <w:p w14:paraId="019187BB">
      <w:pPr>
        <w:pStyle w:val="238"/>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rPr>
      </w:pPr>
      <w:r>
        <w:rPr>
          <w:rStyle w:val="236"/>
          <w:rFonts w:hint="eastAsia" w:ascii="宋体" w:hAnsi="宋体" w:eastAsia="宋体" w:cs="宋体"/>
          <w:color w:val="000000"/>
          <w:sz w:val="24"/>
          <w:szCs w:val="24"/>
          <w:highlight w:val="none"/>
          <w:lang w:val="en-US" w:eastAsia="zh-CN"/>
        </w:rPr>
        <w:t>1、</w:t>
      </w:r>
      <w:r>
        <w:rPr>
          <w:rStyle w:val="236"/>
          <w:rFonts w:hint="eastAsia" w:ascii="宋体" w:hAnsi="宋体" w:eastAsia="宋体" w:cs="宋体"/>
          <w:color w:val="000000"/>
          <w:sz w:val="24"/>
          <w:szCs w:val="24"/>
          <w:highlight w:val="none"/>
        </w:rPr>
        <w:t>价格</w:t>
      </w:r>
    </w:p>
    <w:p w14:paraId="431AF2F9">
      <w:pPr>
        <w:pStyle w:val="238"/>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rPr>
      </w:pPr>
      <w:r>
        <w:rPr>
          <w:rStyle w:val="236"/>
          <w:rFonts w:hint="eastAsia" w:ascii="宋体" w:hAnsi="宋体" w:eastAsia="宋体" w:cs="宋体"/>
          <w:color w:val="000000"/>
          <w:sz w:val="24"/>
          <w:szCs w:val="24"/>
          <w:highlight w:val="none"/>
        </w:rPr>
        <w:t>本服务项目的总价为</w:t>
      </w:r>
      <w:r>
        <w:rPr>
          <w:rStyle w:val="236"/>
          <w:rFonts w:hint="eastAsia" w:ascii="宋体" w:hAnsi="宋体" w:eastAsia="宋体" w:cs="宋体"/>
          <w:color w:val="000000"/>
          <w:sz w:val="24"/>
          <w:szCs w:val="24"/>
          <w:highlight w:val="none"/>
          <w:u w:val="single"/>
        </w:rPr>
        <w:t xml:space="preserve">      </w:t>
      </w:r>
      <w:r>
        <w:rPr>
          <w:rStyle w:val="236"/>
          <w:rFonts w:hint="eastAsia" w:ascii="宋体" w:hAnsi="宋体" w:eastAsia="宋体" w:cs="宋体"/>
          <w:color w:val="000000"/>
          <w:sz w:val="24"/>
          <w:szCs w:val="24"/>
          <w:highlight w:val="none"/>
          <w:u w:val="single"/>
          <w:lang w:val="en-US" w:eastAsia="zh-CN"/>
        </w:rPr>
        <w:t xml:space="preserve">  </w:t>
      </w:r>
      <w:r>
        <w:rPr>
          <w:rStyle w:val="236"/>
          <w:rFonts w:hint="eastAsia" w:ascii="宋体" w:hAnsi="宋体" w:eastAsia="宋体" w:cs="宋体"/>
          <w:color w:val="000000"/>
          <w:sz w:val="24"/>
          <w:szCs w:val="24"/>
          <w:highlight w:val="none"/>
          <w:u w:val="single"/>
        </w:rPr>
        <w:t xml:space="preserve">     </w:t>
      </w:r>
      <w:r>
        <w:rPr>
          <w:rStyle w:val="236"/>
          <w:rFonts w:hint="eastAsia" w:ascii="宋体" w:hAnsi="宋体" w:eastAsia="宋体" w:cs="宋体"/>
          <w:color w:val="000000"/>
          <w:sz w:val="24"/>
          <w:szCs w:val="24"/>
          <w:highlight w:val="none"/>
        </w:rPr>
        <w:t>元</w:t>
      </w:r>
      <w:r>
        <w:rPr>
          <w:rStyle w:val="236"/>
          <w:rFonts w:hint="eastAsia" w:ascii="宋体" w:hAnsi="宋体" w:eastAsia="宋体" w:cs="宋体"/>
          <w:color w:val="000000"/>
          <w:sz w:val="24"/>
          <w:szCs w:val="24"/>
          <w:highlight w:val="none"/>
          <w:lang w:val="en-US" w:eastAsia="zh-CN"/>
        </w:rPr>
        <w:t>/年</w:t>
      </w:r>
      <w:r>
        <w:rPr>
          <w:rStyle w:val="236"/>
          <w:rFonts w:hint="eastAsia" w:ascii="宋体" w:hAnsi="宋体" w:eastAsia="宋体" w:cs="宋体"/>
          <w:color w:val="000000"/>
          <w:sz w:val="24"/>
          <w:szCs w:val="24"/>
          <w:highlight w:val="none"/>
        </w:rPr>
        <w:t>。</w:t>
      </w:r>
    </w:p>
    <w:p w14:paraId="4A987533">
      <w:pPr>
        <w:pStyle w:val="238"/>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rPr>
      </w:pPr>
      <w:r>
        <w:rPr>
          <w:rStyle w:val="236"/>
          <w:rFonts w:hint="eastAsia" w:ascii="宋体" w:hAnsi="宋体" w:eastAsia="宋体" w:cs="宋体"/>
          <w:color w:val="000000"/>
          <w:sz w:val="24"/>
          <w:szCs w:val="24"/>
          <w:highlight w:val="none"/>
          <w:lang w:val="en-US" w:eastAsia="zh-CN"/>
        </w:rPr>
        <w:t>2、</w:t>
      </w:r>
      <w:r>
        <w:rPr>
          <w:rStyle w:val="236"/>
          <w:rFonts w:hint="eastAsia" w:ascii="宋体" w:hAnsi="宋体" w:eastAsia="宋体" w:cs="宋体"/>
          <w:color w:val="000000"/>
          <w:sz w:val="24"/>
          <w:szCs w:val="24"/>
          <w:highlight w:val="none"/>
        </w:rPr>
        <w:t>付款方式</w:t>
      </w:r>
    </w:p>
    <w:p w14:paraId="2E5AFF81">
      <w:pPr>
        <w:pStyle w:val="238"/>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rPr>
      </w:pPr>
      <w:r>
        <w:rPr>
          <w:rStyle w:val="236"/>
          <w:rFonts w:hint="eastAsia" w:ascii="宋体" w:hAnsi="宋体" w:eastAsia="宋体" w:cs="宋体"/>
          <w:color w:val="000000"/>
          <w:sz w:val="24"/>
          <w:szCs w:val="24"/>
          <w:highlight w:val="none"/>
        </w:rPr>
        <w:t>本</w:t>
      </w:r>
      <w:r>
        <w:rPr>
          <w:rStyle w:val="236"/>
          <w:rFonts w:hint="eastAsia" w:ascii="宋体" w:hAnsi="宋体" w:eastAsia="宋体" w:cs="宋体"/>
          <w:color w:val="000000"/>
          <w:sz w:val="24"/>
          <w:szCs w:val="24"/>
          <w:highlight w:val="none"/>
          <w:lang w:val="en-US" w:eastAsia="zh-CN"/>
        </w:rPr>
        <w:t>项目</w:t>
      </w:r>
      <w:r>
        <w:rPr>
          <w:rStyle w:val="236"/>
          <w:rFonts w:hint="eastAsia" w:ascii="宋体" w:hAnsi="宋体" w:eastAsia="宋体" w:cs="宋体"/>
          <w:color w:val="000000"/>
          <w:sz w:val="24"/>
          <w:szCs w:val="24"/>
          <w:highlight w:val="none"/>
        </w:rPr>
        <w:t>服务费用支付时，乙方应提供税务发票。</w:t>
      </w:r>
    </w:p>
    <w:p w14:paraId="471DFDAE">
      <w:pPr>
        <w:pStyle w:val="238"/>
        <w:keepNext w:val="0"/>
        <w:keepLines w:val="0"/>
        <w:pageBreakBefore w:val="0"/>
        <w:widowControl/>
        <w:spacing w:beforeAutospacing="0" w:afterAutospacing="0" w:line="500" w:lineRule="exact"/>
        <w:ind w:firstLine="482"/>
        <w:rPr>
          <w:rStyle w:val="236"/>
          <w:rFonts w:hint="eastAsia" w:ascii="宋体" w:hAnsi="宋体" w:eastAsia="宋体" w:cs="宋体"/>
          <w:b/>
          <w:bCs/>
          <w:color w:val="000000"/>
          <w:sz w:val="24"/>
          <w:szCs w:val="24"/>
          <w:highlight w:val="none"/>
        </w:rPr>
      </w:pPr>
      <w:r>
        <w:rPr>
          <w:rStyle w:val="236"/>
          <w:rFonts w:hint="eastAsia" w:ascii="宋体" w:hAnsi="宋体" w:eastAsia="宋体" w:cs="宋体"/>
          <w:b/>
          <w:bCs/>
          <w:color w:val="000000"/>
          <w:sz w:val="24"/>
          <w:szCs w:val="24"/>
          <w:highlight w:val="none"/>
          <w:lang w:val="en-US" w:eastAsia="zh-CN"/>
        </w:rPr>
        <w:t>合同签订后支付合同价的30%作为预付款，</w:t>
      </w:r>
      <w:r>
        <w:rPr>
          <w:rStyle w:val="236"/>
          <w:rFonts w:hint="eastAsia" w:ascii="宋体" w:hAnsi="宋体" w:eastAsia="宋体" w:cs="宋体"/>
          <w:b/>
          <w:bCs/>
          <w:color w:val="000000"/>
          <w:sz w:val="24"/>
          <w:szCs w:val="24"/>
          <w:highlight w:val="none"/>
        </w:rPr>
        <w:t>服务费按每季度支付一次</w:t>
      </w:r>
      <w:r>
        <w:rPr>
          <w:rStyle w:val="236"/>
          <w:rFonts w:hint="eastAsia" w:ascii="宋体" w:hAnsi="宋体" w:eastAsia="宋体" w:cs="宋体"/>
          <w:b/>
          <w:bCs/>
          <w:color w:val="000000"/>
          <w:sz w:val="24"/>
          <w:szCs w:val="24"/>
          <w:highlight w:val="none"/>
          <w:lang w:eastAsia="zh-CN"/>
        </w:rPr>
        <w:t>（</w:t>
      </w:r>
      <w:r>
        <w:rPr>
          <w:rStyle w:val="236"/>
          <w:rFonts w:hint="eastAsia" w:ascii="宋体" w:hAnsi="宋体" w:eastAsia="宋体" w:cs="宋体"/>
          <w:b/>
          <w:bCs/>
          <w:color w:val="000000"/>
          <w:sz w:val="24"/>
          <w:szCs w:val="24"/>
          <w:highlight w:val="none"/>
          <w:lang w:val="en-US" w:eastAsia="zh-CN"/>
        </w:rPr>
        <w:t>每次支付时扣除预付款*25%</w:t>
      </w:r>
      <w:r>
        <w:rPr>
          <w:rStyle w:val="236"/>
          <w:rFonts w:hint="eastAsia" w:ascii="宋体" w:hAnsi="宋体" w:eastAsia="宋体" w:cs="宋体"/>
          <w:b/>
          <w:bCs/>
          <w:color w:val="000000"/>
          <w:sz w:val="24"/>
          <w:szCs w:val="24"/>
          <w:highlight w:val="none"/>
          <w:lang w:eastAsia="zh-CN"/>
        </w:rPr>
        <w:t>）</w:t>
      </w:r>
      <w:r>
        <w:rPr>
          <w:rStyle w:val="236"/>
          <w:rFonts w:hint="eastAsia" w:ascii="宋体" w:hAnsi="宋体" w:eastAsia="宋体" w:cs="宋体"/>
          <w:b/>
          <w:bCs/>
          <w:color w:val="000000"/>
          <w:sz w:val="24"/>
          <w:szCs w:val="24"/>
          <w:highlight w:val="none"/>
        </w:rPr>
        <w:t>。(以上付款均汇至中标人的基本账户,无息)</w:t>
      </w:r>
    </w:p>
    <w:p w14:paraId="5D83F811">
      <w:pPr>
        <w:pStyle w:val="238"/>
        <w:keepNext w:val="0"/>
        <w:keepLines w:val="0"/>
        <w:pageBreakBefore w:val="0"/>
        <w:widowControl/>
        <w:numPr>
          <w:ilvl w:val="0"/>
          <w:numId w:val="0"/>
        </w:numPr>
        <w:spacing w:beforeAutospacing="0" w:afterAutospacing="0" w:line="500" w:lineRule="exact"/>
        <w:ind w:firstLine="482"/>
        <w:rPr>
          <w:rStyle w:val="236"/>
          <w:rFonts w:hint="eastAsia" w:ascii="宋体" w:hAnsi="宋体" w:eastAsia="宋体" w:cs="宋体"/>
          <w:color w:val="000000"/>
          <w:sz w:val="24"/>
          <w:szCs w:val="24"/>
          <w:highlight w:val="none"/>
        </w:rPr>
      </w:pPr>
      <w:r>
        <w:rPr>
          <w:rStyle w:val="236"/>
          <w:rFonts w:hint="eastAsia" w:ascii="宋体" w:hAnsi="宋体" w:eastAsia="宋体" w:cs="宋体"/>
          <w:b/>
          <w:bCs/>
          <w:color w:val="000000"/>
          <w:sz w:val="24"/>
          <w:szCs w:val="24"/>
          <w:highlight w:val="none"/>
          <w:lang w:val="en-US" w:eastAsia="zh-CN"/>
        </w:rPr>
        <w:t>七、</w:t>
      </w:r>
      <w:r>
        <w:rPr>
          <w:rStyle w:val="236"/>
          <w:rFonts w:hint="eastAsia" w:ascii="宋体" w:hAnsi="宋体" w:eastAsia="宋体" w:cs="宋体"/>
          <w:b/>
          <w:bCs/>
          <w:color w:val="000000"/>
          <w:sz w:val="24"/>
          <w:szCs w:val="24"/>
          <w:highlight w:val="none"/>
          <w:lang w:eastAsia="zh-CN"/>
        </w:rPr>
        <w:t>履约保证金</w:t>
      </w:r>
    </w:p>
    <w:p w14:paraId="6E3F945C">
      <w:pPr>
        <w:pStyle w:val="238"/>
        <w:keepNext w:val="0"/>
        <w:keepLines w:val="0"/>
        <w:pageBreakBefore w:val="0"/>
        <w:widowControl/>
        <w:numPr>
          <w:ilvl w:val="0"/>
          <w:numId w:val="0"/>
        </w:numPr>
        <w:spacing w:beforeAutospacing="0" w:afterAutospacing="0" w:line="500" w:lineRule="exact"/>
        <w:ind w:firstLine="480"/>
        <w:rPr>
          <w:rStyle w:val="236"/>
          <w:rFonts w:hint="eastAsia" w:ascii="宋体" w:hAnsi="宋体" w:eastAsia="宋体" w:cs="宋体"/>
          <w:color w:val="000000"/>
          <w:sz w:val="24"/>
          <w:szCs w:val="24"/>
          <w:highlight w:val="none"/>
        </w:rPr>
      </w:pPr>
      <w:r>
        <w:rPr>
          <w:rFonts w:hint="eastAsia" w:ascii="宋体" w:hAnsi="宋体" w:eastAsia="宋体" w:cs="宋体"/>
          <w:strike w:val="0"/>
          <w:color w:val="000000"/>
          <w:sz w:val="24"/>
          <w:szCs w:val="24"/>
          <w:highlight w:val="none"/>
        </w:rPr>
        <w:t>在签订合同时，乙方须向甲方交纳履约保证金，履约保证金金额为合同总价的5%（去尾法，到百元），交纳形式为转账或者银行保函、保证保险以及法律法规允许的其他形式，具体形式由乙方自行选择。乙方在收到中标通知书后，须在合同签订时，向甲方足额提交履约保证金，否则甲方可以取消中标资格。履约保证金在乙方完成全部工作经甲方验收合格后15个工作日内无息退还。履约保证金用以约束成交供应商在合同履行中的行为，弥补合同执行中由于自身行为可能给甲方带来的各种损失。甲方对AA评级及以上政府采购供应商（需提供信用管理部门备案的第三方信用报告，且信用报告概述页等内容通过“信用盐城”网站可查实），免收履约保证金</w:t>
      </w:r>
      <w:r>
        <w:rPr>
          <w:rStyle w:val="236"/>
          <w:rFonts w:hint="eastAsia" w:ascii="宋体" w:hAnsi="宋体" w:eastAsia="宋体" w:cs="宋体"/>
          <w:color w:val="000000"/>
          <w:sz w:val="24"/>
          <w:szCs w:val="24"/>
          <w:highlight w:val="none"/>
        </w:rPr>
        <w:t>。</w:t>
      </w:r>
    </w:p>
    <w:p w14:paraId="71432423">
      <w:pPr>
        <w:keepNext w:val="0"/>
        <w:keepLines w:val="0"/>
        <w:pageBreakBefore w:val="0"/>
        <w:widowControl/>
        <w:spacing w:beforeAutospacing="0" w:afterAutospacing="0" w:line="500" w:lineRule="exact"/>
        <w:ind w:firstLine="482"/>
        <w:rPr>
          <w:rStyle w:val="236"/>
          <w:rFonts w:hint="eastAsia" w:ascii="宋体" w:hAnsi="宋体" w:eastAsia="宋体" w:cs="宋体"/>
          <w:b/>
          <w:bCs/>
          <w:color w:val="000000"/>
          <w:sz w:val="24"/>
          <w:highlight w:val="none"/>
        </w:rPr>
      </w:pPr>
      <w:r>
        <w:rPr>
          <w:rStyle w:val="236"/>
          <w:rFonts w:hint="eastAsia" w:ascii="宋体" w:hAnsi="宋体" w:eastAsia="宋体" w:cs="宋体"/>
          <w:b/>
          <w:bCs/>
          <w:color w:val="000000"/>
          <w:sz w:val="24"/>
          <w:highlight w:val="none"/>
          <w:lang w:eastAsia="zh-CN"/>
        </w:rPr>
        <w:t>八</w:t>
      </w:r>
      <w:r>
        <w:rPr>
          <w:rStyle w:val="236"/>
          <w:rFonts w:hint="eastAsia" w:ascii="宋体" w:hAnsi="宋体" w:eastAsia="宋体" w:cs="宋体"/>
          <w:b/>
          <w:bCs/>
          <w:color w:val="000000"/>
          <w:sz w:val="24"/>
          <w:highlight w:val="none"/>
        </w:rPr>
        <w:t>、义务与责任</w:t>
      </w:r>
    </w:p>
    <w:p w14:paraId="71798822">
      <w:pPr>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lang w:val="en-US" w:eastAsia="zh-CN"/>
        </w:rPr>
      </w:pPr>
      <w:r>
        <w:rPr>
          <w:rStyle w:val="236"/>
          <w:rFonts w:hint="eastAsia" w:ascii="宋体" w:hAnsi="宋体" w:eastAsia="宋体" w:cs="宋体"/>
          <w:color w:val="000000"/>
          <w:sz w:val="24"/>
          <w:szCs w:val="24"/>
          <w:highlight w:val="none"/>
          <w:lang w:val="en-US" w:eastAsia="zh-CN"/>
        </w:rPr>
        <w:t>1、甲方</w:t>
      </w:r>
    </w:p>
    <w:p w14:paraId="429330B9">
      <w:pPr>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lang w:val="en-US" w:eastAsia="zh-CN"/>
        </w:rPr>
      </w:pPr>
      <w:r>
        <w:rPr>
          <w:rStyle w:val="236"/>
          <w:rFonts w:hint="eastAsia" w:ascii="宋体" w:hAnsi="宋体" w:eastAsia="宋体" w:cs="宋体"/>
          <w:color w:val="000000"/>
          <w:sz w:val="24"/>
          <w:szCs w:val="24"/>
          <w:highlight w:val="none"/>
          <w:lang w:val="en-US" w:eastAsia="zh-CN"/>
        </w:rPr>
        <w:t>（1）甲方应当向乙方提供必要的工作条件，包括必要的技术资料、技术准备，协助乙方做好服务。</w:t>
      </w:r>
    </w:p>
    <w:p w14:paraId="555F6BD3">
      <w:pPr>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lang w:val="en-US" w:eastAsia="zh-CN"/>
        </w:rPr>
      </w:pPr>
      <w:r>
        <w:rPr>
          <w:rStyle w:val="236"/>
          <w:rFonts w:hint="eastAsia" w:ascii="宋体" w:hAnsi="宋体" w:eastAsia="宋体" w:cs="宋体"/>
          <w:color w:val="000000"/>
          <w:sz w:val="24"/>
          <w:szCs w:val="24"/>
          <w:highlight w:val="none"/>
          <w:lang w:val="en-US" w:eastAsia="zh-CN"/>
        </w:rPr>
        <w:t>（2）甲方应当保证其要求乙方服务的软件、硬件以及相关的文档未侵犯第三方知识产权。</w:t>
      </w:r>
    </w:p>
    <w:p w14:paraId="32037907">
      <w:pPr>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lang w:val="en-US" w:eastAsia="zh-CN"/>
        </w:rPr>
      </w:pPr>
      <w:r>
        <w:rPr>
          <w:rStyle w:val="236"/>
          <w:rFonts w:hint="eastAsia" w:ascii="宋体" w:hAnsi="宋体" w:eastAsia="宋体" w:cs="宋体"/>
          <w:color w:val="000000"/>
          <w:sz w:val="24"/>
          <w:szCs w:val="24"/>
          <w:highlight w:val="none"/>
          <w:lang w:val="en-US" w:eastAsia="zh-CN"/>
        </w:rPr>
        <w:t>（3）甲方有权对乙方的服务工作和投标书、承诺书、考核标准、合同履行情况进行监督检查，考核、监督乙方管理工作的实施及相关制度和《投标文件》执行情况，对发现的问题，乙方应及时整改，针对乙方未达标或考核不合格的情况提出整改要求并扣除相应的服务费用；甲方下达整改通知后，乙方逾期仍达不到承诺目标，甲方有权视情节对乙方实施处罚，直至终止合同；</w:t>
      </w:r>
    </w:p>
    <w:p w14:paraId="2D03A4FC">
      <w:pPr>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lang w:val="en-US" w:eastAsia="zh-CN"/>
        </w:rPr>
      </w:pPr>
      <w:r>
        <w:rPr>
          <w:rStyle w:val="236"/>
          <w:rFonts w:hint="eastAsia" w:ascii="宋体" w:hAnsi="宋体" w:eastAsia="宋体" w:cs="宋体"/>
          <w:color w:val="000000"/>
          <w:sz w:val="24"/>
          <w:szCs w:val="24"/>
          <w:highlight w:val="none"/>
          <w:lang w:val="en-US" w:eastAsia="zh-CN"/>
        </w:rPr>
        <w:t>（4）在合同履行期间，如乙方中途退出或发生责任事故，给甲方带来不良影响的，或者因乙方工作不力，影响甲方正常工作秩序的，甲方有权终止本合同，没收履约保证金，并要求乙方给予违约经济赔偿；</w:t>
      </w:r>
    </w:p>
    <w:p w14:paraId="2C171D72">
      <w:pPr>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lang w:val="en-US" w:eastAsia="zh-CN"/>
        </w:rPr>
      </w:pPr>
      <w:r>
        <w:rPr>
          <w:rStyle w:val="236"/>
          <w:rFonts w:hint="eastAsia" w:ascii="宋体" w:hAnsi="宋体" w:eastAsia="宋体" w:cs="宋体"/>
          <w:color w:val="000000"/>
          <w:sz w:val="24"/>
          <w:szCs w:val="24"/>
          <w:highlight w:val="none"/>
          <w:lang w:val="en-US" w:eastAsia="zh-CN"/>
        </w:rPr>
        <w:t>（5）依据相关法律、法规规定享有的其他权利和义务。</w:t>
      </w:r>
    </w:p>
    <w:p w14:paraId="720A9CC6">
      <w:pPr>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lang w:val="en-US" w:eastAsia="zh-CN"/>
        </w:rPr>
      </w:pPr>
      <w:r>
        <w:rPr>
          <w:rStyle w:val="236"/>
          <w:rFonts w:hint="eastAsia" w:ascii="宋体" w:hAnsi="宋体" w:eastAsia="宋体" w:cs="宋体"/>
          <w:color w:val="000000"/>
          <w:sz w:val="24"/>
          <w:szCs w:val="24"/>
          <w:highlight w:val="none"/>
          <w:lang w:val="en-US" w:eastAsia="zh-CN"/>
        </w:rPr>
        <w:t>2、乙方</w:t>
      </w:r>
    </w:p>
    <w:p w14:paraId="6EFADC06">
      <w:pPr>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lang w:val="en-US" w:eastAsia="zh-CN"/>
        </w:rPr>
      </w:pPr>
      <w:r>
        <w:rPr>
          <w:rStyle w:val="236"/>
          <w:rFonts w:hint="eastAsia" w:ascii="宋体" w:hAnsi="宋体" w:eastAsia="宋体" w:cs="宋体"/>
          <w:color w:val="000000"/>
          <w:sz w:val="24"/>
          <w:szCs w:val="24"/>
          <w:highlight w:val="none"/>
          <w:lang w:val="en-US" w:eastAsia="zh-CN"/>
        </w:rPr>
        <w:t>（1）乙方保证服务工作的过程未侵犯第三方合法权益。</w:t>
      </w:r>
    </w:p>
    <w:p w14:paraId="527838F9">
      <w:pPr>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lang w:val="en-US" w:eastAsia="zh-CN"/>
        </w:rPr>
      </w:pPr>
      <w:r>
        <w:rPr>
          <w:rStyle w:val="236"/>
          <w:rFonts w:hint="eastAsia" w:ascii="宋体" w:hAnsi="宋体" w:eastAsia="宋体" w:cs="宋体"/>
          <w:color w:val="000000"/>
          <w:sz w:val="24"/>
          <w:szCs w:val="24"/>
          <w:highlight w:val="none"/>
          <w:lang w:val="en-US" w:eastAsia="zh-CN"/>
        </w:rPr>
        <w:t xml:space="preserve">（2）经乙方的服务，其任何部分如被依法认定为侵犯第三方合法权利，或者任何由乙方授予的权利被认定为侵权，乙方应当承担相应的责任，并尽力用相等人员或设备及软件进行替换，或者取得相关授权，以使甲方能够继续享有本合同所规定的各项权利，并且乙方应当赔偿甲方由此而造成的损失。 </w:t>
      </w:r>
    </w:p>
    <w:p w14:paraId="05FC902B">
      <w:pPr>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lang w:val="en-US" w:eastAsia="zh-CN"/>
        </w:rPr>
      </w:pPr>
      <w:r>
        <w:rPr>
          <w:rStyle w:val="236"/>
          <w:rFonts w:hint="eastAsia" w:ascii="宋体" w:hAnsi="宋体" w:eastAsia="宋体" w:cs="宋体"/>
          <w:color w:val="000000"/>
          <w:sz w:val="24"/>
          <w:szCs w:val="24"/>
          <w:highlight w:val="none"/>
          <w:lang w:val="en-US" w:eastAsia="zh-CN"/>
        </w:rPr>
        <w:t>（3）乙方所承担的服务项目的质量标准应当符合国家标准、行业标准、招标文件要求或投标文件承诺的要求。并接受甲方的检查、考核和监督。</w:t>
      </w:r>
    </w:p>
    <w:p w14:paraId="4AC99492">
      <w:pPr>
        <w:keepNext w:val="0"/>
        <w:keepLines w:val="0"/>
        <w:pageBreakBefore w:val="0"/>
        <w:widowControl/>
        <w:spacing w:beforeAutospacing="0" w:afterAutospacing="0" w:line="500" w:lineRule="exact"/>
        <w:ind w:firstLine="482"/>
        <w:rPr>
          <w:rStyle w:val="236"/>
          <w:rFonts w:hint="eastAsia" w:ascii="宋体" w:hAnsi="宋体" w:eastAsia="宋体" w:cs="宋体"/>
          <w:b/>
          <w:bCs/>
          <w:color w:val="000000"/>
          <w:sz w:val="24"/>
          <w:highlight w:val="none"/>
        </w:rPr>
      </w:pPr>
      <w:r>
        <w:rPr>
          <w:rStyle w:val="236"/>
          <w:rFonts w:hint="eastAsia" w:ascii="宋体" w:hAnsi="宋体" w:eastAsia="宋体" w:cs="宋体"/>
          <w:b/>
          <w:bCs/>
          <w:color w:val="000000"/>
          <w:sz w:val="24"/>
          <w:highlight w:val="none"/>
          <w:lang w:eastAsia="zh-CN"/>
        </w:rPr>
        <w:t>九</w:t>
      </w:r>
      <w:r>
        <w:rPr>
          <w:rStyle w:val="236"/>
          <w:rFonts w:hint="eastAsia" w:ascii="宋体" w:hAnsi="宋体" w:eastAsia="宋体" w:cs="宋体"/>
          <w:b/>
          <w:bCs/>
          <w:color w:val="000000"/>
          <w:sz w:val="24"/>
          <w:highlight w:val="none"/>
        </w:rPr>
        <w:t>、知识产权</w:t>
      </w:r>
    </w:p>
    <w:p w14:paraId="06BD63D6">
      <w:pPr>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highlight w:val="none"/>
        </w:rPr>
      </w:pPr>
      <w:r>
        <w:rPr>
          <w:rStyle w:val="236"/>
          <w:rFonts w:hint="eastAsia" w:ascii="宋体" w:hAnsi="宋体" w:eastAsia="宋体" w:cs="宋体"/>
          <w:color w:val="000000"/>
          <w:sz w:val="24"/>
          <w:highlight w:val="none"/>
        </w:rPr>
        <w:t>合同中所列应用服务的知识产权归</w:t>
      </w:r>
      <w:r>
        <w:rPr>
          <w:rStyle w:val="236"/>
          <w:rFonts w:hint="eastAsia" w:ascii="宋体" w:hAnsi="宋体" w:eastAsia="宋体" w:cs="宋体"/>
          <w:color w:val="000000"/>
          <w:sz w:val="24"/>
          <w:highlight w:val="none"/>
          <w:u w:val="single"/>
          <w:lang w:val="en-US" w:eastAsia="zh-CN"/>
        </w:rPr>
        <w:t>甲</w:t>
      </w:r>
      <w:r>
        <w:rPr>
          <w:rStyle w:val="236"/>
          <w:rFonts w:hint="eastAsia" w:ascii="宋体" w:hAnsi="宋体" w:eastAsia="宋体" w:cs="宋体"/>
          <w:color w:val="000000"/>
          <w:sz w:val="24"/>
          <w:highlight w:val="none"/>
        </w:rPr>
        <w:t>方所有，另一方非经对方同意，不得以任何方式向第三方披露、转让，除本项目服务需要外，不得以任何方式进行商业性利用。</w:t>
      </w:r>
    </w:p>
    <w:p w14:paraId="181491FE">
      <w:pPr>
        <w:keepNext w:val="0"/>
        <w:keepLines w:val="0"/>
        <w:pageBreakBefore w:val="0"/>
        <w:widowControl/>
        <w:spacing w:beforeAutospacing="0" w:afterAutospacing="0" w:line="500" w:lineRule="exact"/>
        <w:ind w:firstLine="482"/>
        <w:rPr>
          <w:rStyle w:val="236"/>
          <w:rFonts w:hint="eastAsia" w:ascii="宋体" w:hAnsi="宋体" w:eastAsia="宋体" w:cs="宋体"/>
          <w:b/>
          <w:bCs/>
          <w:color w:val="000000"/>
          <w:sz w:val="24"/>
          <w:highlight w:val="none"/>
        </w:rPr>
      </w:pPr>
      <w:r>
        <w:rPr>
          <w:rStyle w:val="236"/>
          <w:rFonts w:hint="eastAsia" w:ascii="宋体" w:hAnsi="宋体" w:eastAsia="宋体" w:cs="宋体"/>
          <w:b/>
          <w:bCs/>
          <w:color w:val="000000"/>
          <w:sz w:val="24"/>
          <w:highlight w:val="none"/>
          <w:lang w:eastAsia="zh-CN"/>
        </w:rPr>
        <w:t>十</w:t>
      </w:r>
      <w:r>
        <w:rPr>
          <w:rStyle w:val="236"/>
          <w:rFonts w:hint="eastAsia" w:ascii="宋体" w:hAnsi="宋体" w:eastAsia="宋体" w:cs="宋体"/>
          <w:b/>
          <w:bCs/>
          <w:color w:val="000000"/>
          <w:sz w:val="24"/>
          <w:highlight w:val="none"/>
        </w:rPr>
        <w:t>、产权担保</w:t>
      </w:r>
    </w:p>
    <w:p w14:paraId="35750D85">
      <w:pPr>
        <w:pStyle w:val="238"/>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rPr>
      </w:pPr>
      <w:r>
        <w:rPr>
          <w:rStyle w:val="236"/>
          <w:rFonts w:hint="eastAsia" w:ascii="宋体" w:hAnsi="宋体" w:eastAsia="宋体" w:cs="宋体"/>
          <w:color w:val="000000"/>
          <w:sz w:val="24"/>
          <w:szCs w:val="24"/>
          <w:highlight w:val="none"/>
        </w:rPr>
        <w:t>乙方保证所交付的服务的所有权完全属于乙方且无任何抵押、查封等产权瑕疵。</w:t>
      </w:r>
    </w:p>
    <w:p w14:paraId="31F561C0">
      <w:pPr>
        <w:keepNext w:val="0"/>
        <w:keepLines w:val="0"/>
        <w:pageBreakBefore w:val="0"/>
        <w:widowControl/>
        <w:numPr>
          <w:ilvl w:val="0"/>
          <w:numId w:val="0"/>
        </w:numPr>
        <w:spacing w:beforeAutospacing="0" w:afterAutospacing="0" w:line="500" w:lineRule="exact"/>
        <w:ind w:firstLine="482"/>
        <w:rPr>
          <w:rStyle w:val="236"/>
          <w:rFonts w:hint="eastAsia" w:ascii="宋体" w:hAnsi="宋体" w:eastAsia="宋体" w:cs="宋体"/>
          <w:b/>
          <w:bCs/>
          <w:color w:val="000000"/>
          <w:sz w:val="24"/>
          <w:highlight w:val="none"/>
        </w:rPr>
      </w:pPr>
      <w:r>
        <w:rPr>
          <w:rStyle w:val="236"/>
          <w:rFonts w:hint="eastAsia" w:ascii="宋体" w:hAnsi="宋体" w:eastAsia="宋体" w:cs="宋体"/>
          <w:b/>
          <w:bCs/>
          <w:color w:val="000000"/>
          <w:sz w:val="24"/>
          <w:highlight w:val="none"/>
          <w:lang w:eastAsia="zh-CN"/>
        </w:rPr>
        <w:t>十一、</w:t>
      </w:r>
      <w:r>
        <w:rPr>
          <w:rStyle w:val="236"/>
          <w:rFonts w:hint="eastAsia" w:ascii="宋体" w:hAnsi="宋体" w:eastAsia="宋体" w:cs="宋体"/>
          <w:b/>
          <w:bCs/>
          <w:color w:val="000000"/>
          <w:sz w:val="24"/>
          <w:highlight w:val="none"/>
        </w:rPr>
        <w:t>项目培训与服务</w:t>
      </w:r>
    </w:p>
    <w:p w14:paraId="2DC8D140">
      <w:pPr>
        <w:pStyle w:val="238"/>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rPr>
      </w:pPr>
      <w:r>
        <w:rPr>
          <w:rStyle w:val="236"/>
          <w:rFonts w:hint="eastAsia" w:ascii="宋体" w:hAnsi="宋体" w:eastAsia="宋体" w:cs="宋体"/>
          <w:color w:val="000000"/>
          <w:sz w:val="24"/>
          <w:szCs w:val="24"/>
          <w:highlight w:val="none"/>
        </w:rPr>
        <w:t>乙方应根据项目实施的计划、进度和需要与客户的合理要求，及时安排对甲方的相关人员进行培训，培训目标为受训者能够完成其操作对象，实现依据本合同所规定的服务的目标和要求。</w:t>
      </w:r>
    </w:p>
    <w:p w14:paraId="39A52D75">
      <w:pPr>
        <w:pStyle w:val="238"/>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rPr>
      </w:pPr>
      <w:r>
        <w:rPr>
          <w:rStyle w:val="236"/>
          <w:rFonts w:hint="eastAsia" w:ascii="宋体" w:hAnsi="宋体" w:eastAsia="宋体" w:cs="宋体"/>
          <w:color w:val="000000"/>
          <w:sz w:val="24"/>
          <w:szCs w:val="24"/>
          <w:highlight w:val="none"/>
        </w:rPr>
        <w:t>客户培训分为: 面向甲方管理人员的培训、咨询 。</w:t>
      </w:r>
    </w:p>
    <w:p w14:paraId="1FEBFAFB">
      <w:pPr>
        <w:keepNext w:val="0"/>
        <w:keepLines w:val="0"/>
        <w:pageBreakBefore w:val="0"/>
        <w:widowControl/>
        <w:numPr>
          <w:ilvl w:val="0"/>
          <w:numId w:val="0"/>
        </w:numPr>
        <w:spacing w:beforeAutospacing="0" w:afterAutospacing="0" w:line="500" w:lineRule="exact"/>
        <w:ind w:firstLine="482"/>
        <w:rPr>
          <w:rFonts w:hint="eastAsia" w:ascii="宋体" w:hAnsi="宋体" w:eastAsia="宋体" w:cs="宋体"/>
          <w:b/>
          <w:color w:val="000000"/>
          <w:sz w:val="24"/>
        </w:rPr>
      </w:pPr>
      <w:r>
        <w:rPr>
          <w:rFonts w:hint="eastAsia" w:ascii="宋体" w:hAnsi="宋体" w:eastAsia="宋体" w:cs="宋体"/>
          <w:b/>
          <w:color w:val="000000"/>
          <w:sz w:val="24"/>
          <w:lang w:eastAsia="zh-CN"/>
        </w:rPr>
        <w:t>十二、</w:t>
      </w:r>
      <w:r>
        <w:rPr>
          <w:rFonts w:hint="eastAsia" w:ascii="宋体" w:hAnsi="宋体" w:eastAsia="宋体" w:cs="宋体"/>
          <w:b/>
          <w:color w:val="000000"/>
          <w:sz w:val="24"/>
        </w:rPr>
        <w:t>保密</w:t>
      </w:r>
    </w:p>
    <w:p w14:paraId="1058E0EB">
      <w:pPr>
        <w:keepNext w:val="0"/>
        <w:keepLines w:val="0"/>
        <w:pageBreakBefore w:val="0"/>
        <w:widowControl/>
        <w:spacing w:beforeAutospacing="0" w:afterAutospacing="0"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eastAsia="zh-CN"/>
        </w:rPr>
        <w:t>、</w:t>
      </w:r>
      <w:r>
        <w:rPr>
          <w:rFonts w:hint="eastAsia" w:ascii="宋体" w:hAnsi="宋体" w:eastAsia="宋体" w:cs="宋体"/>
          <w:color w:val="000000"/>
          <w:sz w:val="24"/>
        </w:rPr>
        <w:t>信息传递</w:t>
      </w:r>
    </w:p>
    <w:p w14:paraId="058F9D38">
      <w:pPr>
        <w:keepNext w:val="0"/>
        <w:keepLines w:val="0"/>
        <w:pageBreakBefore w:val="0"/>
        <w:widowControl/>
        <w:spacing w:beforeAutospacing="0" w:afterAutospacing="0"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在本合同的履行期内，任何一方可以获得与本项目相关的对方的保密信息，对此双方皆应谨慎接受并不得向第三方披露。</w:t>
      </w:r>
    </w:p>
    <w:p w14:paraId="4640C4B9">
      <w:pPr>
        <w:keepNext w:val="0"/>
        <w:keepLines w:val="0"/>
        <w:pageBreakBefore w:val="0"/>
        <w:widowControl/>
        <w:spacing w:beforeAutospacing="0" w:afterAutospacing="0"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eastAsia="zh-CN"/>
        </w:rPr>
        <w:t>、</w:t>
      </w:r>
      <w:r>
        <w:rPr>
          <w:rFonts w:hint="eastAsia" w:ascii="宋体" w:hAnsi="宋体" w:eastAsia="宋体" w:cs="宋体"/>
          <w:color w:val="000000"/>
          <w:sz w:val="24"/>
        </w:rPr>
        <w:t>信息披露</w:t>
      </w:r>
    </w:p>
    <w:p w14:paraId="57A9048B">
      <w:pPr>
        <w:keepNext w:val="0"/>
        <w:keepLines w:val="0"/>
        <w:pageBreakBefore w:val="0"/>
        <w:widowControl/>
        <w:spacing w:beforeAutospacing="0" w:afterAutospacing="0"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获取对方保密信息的一方仅可将该信息用于履行其在本合同项下的义务，且只能由相关的技术人员使用。获取对方保密信息的一方应当采取适当有效的方式保护所获取的信息，未经授权不得使用、传播或者公开。除非有对方的书面许可，或者该信息已被拥有方认为不再是保密信息，或者已在社会上公开，该信息在</w:t>
      </w:r>
      <w:r>
        <w:rPr>
          <w:rFonts w:hint="eastAsia" w:ascii="宋体" w:hAnsi="宋体" w:eastAsia="宋体" w:cs="宋体"/>
          <w:color w:val="000000"/>
          <w:sz w:val="24"/>
          <w:u w:val="single"/>
        </w:rPr>
        <w:t xml:space="preserve">  五  </w:t>
      </w:r>
      <w:r>
        <w:rPr>
          <w:rFonts w:hint="eastAsia" w:ascii="宋体" w:hAnsi="宋体" w:eastAsia="宋体" w:cs="宋体"/>
          <w:color w:val="000000"/>
          <w:sz w:val="24"/>
        </w:rPr>
        <w:t xml:space="preserve">年内不得对外披露。 </w:t>
      </w:r>
    </w:p>
    <w:p w14:paraId="1A338554">
      <w:pPr>
        <w:keepNext w:val="0"/>
        <w:keepLines w:val="0"/>
        <w:pageBreakBefore w:val="0"/>
        <w:widowControl/>
        <w:spacing w:beforeAutospacing="0" w:afterAutospacing="0"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eastAsia="zh-CN"/>
        </w:rPr>
        <w:t>、</w:t>
      </w:r>
      <w:r>
        <w:rPr>
          <w:rFonts w:hint="eastAsia" w:ascii="宋体" w:hAnsi="宋体" w:eastAsia="宋体" w:cs="宋体"/>
          <w:color w:val="000000"/>
          <w:sz w:val="24"/>
        </w:rPr>
        <w:t>保密措施</w:t>
      </w:r>
    </w:p>
    <w:p w14:paraId="691C7F29">
      <w:pPr>
        <w:keepNext w:val="0"/>
        <w:keepLines w:val="0"/>
        <w:pageBreakBefore w:val="0"/>
        <w:widowControl/>
        <w:spacing w:beforeAutospacing="0" w:afterAutospacing="0"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甲乙双方同意采取相应的安全措施，遵守和履行上述约定。经双方协商，一方可以检查对方所采取的安全措施是否符合上述约定。</w:t>
      </w:r>
    </w:p>
    <w:p w14:paraId="4DF70834">
      <w:pPr>
        <w:keepNext w:val="0"/>
        <w:keepLines w:val="0"/>
        <w:pageBreakBefore w:val="0"/>
        <w:widowControl/>
        <w:spacing w:beforeAutospacing="0" w:afterAutospacing="0"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4</w:t>
      </w:r>
      <w:r>
        <w:rPr>
          <w:rFonts w:hint="eastAsia" w:ascii="宋体" w:hAnsi="宋体" w:eastAsia="宋体" w:cs="宋体"/>
          <w:color w:val="000000"/>
          <w:sz w:val="24"/>
          <w:lang w:eastAsia="zh-CN"/>
        </w:rPr>
        <w:t>、</w:t>
      </w:r>
      <w:r>
        <w:rPr>
          <w:rFonts w:hint="eastAsia" w:ascii="宋体" w:hAnsi="宋体" w:eastAsia="宋体" w:cs="宋体"/>
          <w:color w:val="000000"/>
          <w:sz w:val="24"/>
        </w:rPr>
        <w:t>竞争限制</w:t>
      </w:r>
    </w:p>
    <w:p w14:paraId="26238E46">
      <w:pPr>
        <w:keepNext w:val="0"/>
        <w:keepLines w:val="0"/>
        <w:pageBreakBefore w:val="0"/>
        <w:widowControl/>
        <w:spacing w:beforeAutospacing="0" w:afterAutospacing="0"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甲乙双方承诺，在本合同履行过程中以及本合同履行完毕后的当年内，双方均不得使用在履行本项目过程中得到的对方保密信息，从事与对方有竞争性的业务，也不得采取任何方式聘用本项目中的对方相关技术或者管理人员。</w:t>
      </w:r>
    </w:p>
    <w:p w14:paraId="4A542498">
      <w:pPr>
        <w:keepNext w:val="0"/>
        <w:keepLines w:val="0"/>
        <w:pageBreakBefore w:val="0"/>
        <w:widowControl/>
        <w:numPr>
          <w:ilvl w:val="0"/>
          <w:numId w:val="0"/>
        </w:numPr>
        <w:spacing w:beforeAutospacing="0" w:afterAutospacing="0" w:line="500" w:lineRule="exact"/>
        <w:ind w:firstLine="482"/>
        <w:jc w:val="left"/>
        <w:rPr>
          <w:rStyle w:val="236"/>
          <w:rFonts w:hint="eastAsia" w:ascii="宋体" w:hAnsi="宋体" w:eastAsia="宋体" w:cs="宋体"/>
          <w:b/>
          <w:bCs/>
          <w:color w:val="000000"/>
          <w:sz w:val="24"/>
          <w:highlight w:val="none"/>
        </w:rPr>
      </w:pPr>
      <w:r>
        <w:rPr>
          <w:rStyle w:val="236"/>
          <w:rFonts w:hint="eastAsia" w:ascii="宋体" w:hAnsi="宋体" w:eastAsia="宋体" w:cs="宋体"/>
          <w:b/>
          <w:bCs/>
          <w:color w:val="000000"/>
          <w:sz w:val="24"/>
          <w:highlight w:val="none"/>
          <w:lang w:eastAsia="zh-CN"/>
        </w:rPr>
        <w:t>十三、</w:t>
      </w:r>
      <w:r>
        <w:rPr>
          <w:rStyle w:val="236"/>
          <w:rFonts w:hint="eastAsia" w:ascii="宋体" w:hAnsi="宋体" w:eastAsia="宋体" w:cs="宋体"/>
          <w:b/>
          <w:bCs/>
          <w:color w:val="000000"/>
          <w:sz w:val="24"/>
          <w:highlight w:val="none"/>
        </w:rPr>
        <w:t>服务变更</w:t>
      </w:r>
    </w:p>
    <w:p w14:paraId="0C1B0B6D">
      <w:pPr>
        <w:keepNext w:val="0"/>
        <w:keepLines w:val="0"/>
        <w:pageBreakBefore w:val="0"/>
        <w:widowControl/>
        <w:spacing w:beforeAutospacing="0" w:afterAutospacing="0"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eastAsia="zh-CN"/>
        </w:rPr>
        <w:t>、</w:t>
      </w:r>
      <w:r>
        <w:rPr>
          <w:rFonts w:hint="eastAsia" w:ascii="宋体" w:hAnsi="宋体" w:eastAsia="宋体" w:cs="宋体"/>
          <w:color w:val="000000"/>
          <w:sz w:val="24"/>
        </w:rPr>
        <w:t>甲方如提出部分服务项目的变更建议，应当以书面形式提交给乙方。乙方应当在</w:t>
      </w:r>
      <w:r>
        <w:rPr>
          <w:rFonts w:hint="eastAsia" w:ascii="宋体" w:hAnsi="宋体" w:eastAsia="宋体" w:cs="宋体"/>
          <w:color w:val="000000"/>
          <w:sz w:val="24"/>
          <w:u w:val="single"/>
        </w:rPr>
        <w:t xml:space="preserve">  7 </w:t>
      </w:r>
      <w:r>
        <w:rPr>
          <w:rFonts w:hint="eastAsia" w:ascii="宋体" w:hAnsi="宋体" w:eastAsia="宋体" w:cs="宋体"/>
          <w:color w:val="000000"/>
          <w:sz w:val="24"/>
        </w:rPr>
        <w:t>个工作日内，对该变更后合同价格、服务内容、技术参数等可能发生的变化作出预估，并书面回复甲方。</w:t>
      </w:r>
    </w:p>
    <w:p w14:paraId="7BC01686">
      <w:pPr>
        <w:keepNext w:val="0"/>
        <w:keepLines w:val="0"/>
        <w:pageBreakBefore w:val="0"/>
        <w:widowControl/>
        <w:spacing w:beforeAutospacing="0" w:afterAutospacing="0"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eastAsia="zh-CN"/>
        </w:rPr>
        <w:t>、</w:t>
      </w:r>
      <w:r>
        <w:rPr>
          <w:rFonts w:hint="eastAsia" w:ascii="宋体" w:hAnsi="宋体" w:eastAsia="宋体" w:cs="宋体"/>
          <w:color w:val="000000"/>
          <w:sz w:val="24"/>
        </w:rPr>
        <w:t>甲方在收到乙方回复后，应当在</w:t>
      </w:r>
      <w:r>
        <w:rPr>
          <w:rFonts w:hint="eastAsia" w:ascii="宋体" w:hAnsi="宋体" w:eastAsia="宋体" w:cs="宋体"/>
          <w:color w:val="000000"/>
          <w:sz w:val="24"/>
          <w:u w:val="single"/>
        </w:rPr>
        <w:t xml:space="preserve"> 7 </w:t>
      </w:r>
      <w:r>
        <w:rPr>
          <w:rFonts w:hint="eastAsia" w:ascii="宋体" w:hAnsi="宋体" w:eastAsia="宋体" w:cs="宋体"/>
          <w:color w:val="000000"/>
          <w:sz w:val="24"/>
        </w:rPr>
        <w:t>个工作日内，以书面方式通知乙方是否接受乙方回复。如甲方接受乙方回复，则双方可对该变更以书面形式予以确认，并按变更后的约定继续履行本合同。</w:t>
      </w:r>
    </w:p>
    <w:p w14:paraId="1B74FAB7">
      <w:pPr>
        <w:keepNext w:val="0"/>
        <w:keepLines w:val="0"/>
        <w:pageBreakBefore w:val="0"/>
        <w:widowControl/>
        <w:spacing w:beforeAutospacing="0" w:afterAutospacing="0"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eastAsia="zh-CN"/>
        </w:rPr>
        <w:t>、</w:t>
      </w:r>
      <w:r>
        <w:rPr>
          <w:rFonts w:hint="eastAsia" w:ascii="宋体" w:hAnsi="宋体" w:eastAsia="宋体" w:cs="宋体"/>
          <w:color w:val="000000"/>
          <w:sz w:val="24"/>
        </w:rPr>
        <w:t>乙方如提出部分服务项目的变更建议，应当对该变更后合同价格、服务内容、技术参数等可能发生的变化作出预估，并以书面形式提交给甲方。</w:t>
      </w:r>
    </w:p>
    <w:p w14:paraId="1CAB50B8">
      <w:pPr>
        <w:keepNext w:val="0"/>
        <w:keepLines w:val="0"/>
        <w:pageBreakBefore w:val="0"/>
        <w:widowControl/>
        <w:spacing w:beforeAutospacing="0" w:afterAutospacing="0" w:line="500" w:lineRule="exact"/>
        <w:ind w:firstLine="480"/>
        <w:rPr>
          <w:rFonts w:hint="eastAsia" w:ascii="宋体" w:hAnsi="宋体" w:eastAsia="宋体" w:cs="宋体"/>
          <w:color w:val="000000"/>
          <w:sz w:val="24"/>
        </w:rPr>
      </w:pPr>
      <w:r>
        <w:rPr>
          <w:rFonts w:hint="eastAsia" w:ascii="宋体" w:hAnsi="宋体" w:eastAsia="宋体" w:cs="宋体"/>
          <w:color w:val="000000"/>
          <w:sz w:val="24"/>
        </w:rPr>
        <w:t>4</w:t>
      </w:r>
      <w:r>
        <w:rPr>
          <w:rFonts w:hint="eastAsia" w:ascii="宋体" w:hAnsi="宋体" w:eastAsia="宋体" w:cs="宋体"/>
          <w:color w:val="000000"/>
          <w:sz w:val="24"/>
          <w:lang w:eastAsia="zh-CN"/>
        </w:rPr>
        <w:t>、</w:t>
      </w:r>
      <w:r>
        <w:rPr>
          <w:rFonts w:hint="eastAsia" w:ascii="宋体" w:hAnsi="宋体" w:eastAsia="宋体" w:cs="宋体"/>
          <w:color w:val="000000"/>
          <w:sz w:val="24"/>
        </w:rPr>
        <w:t>甲方在收到乙方的变更建议后，应当在</w:t>
      </w:r>
      <w:r>
        <w:rPr>
          <w:rFonts w:hint="eastAsia" w:ascii="宋体" w:hAnsi="宋体" w:eastAsia="宋体" w:cs="宋体"/>
          <w:color w:val="000000"/>
          <w:sz w:val="24"/>
          <w:u w:val="single"/>
        </w:rPr>
        <w:t xml:space="preserve">  7 </w:t>
      </w:r>
      <w:r>
        <w:rPr>
          <w:rFonts w:hint="eastAsia" w:ascii="宋体" w:hAnsi="宋体" w:eastAsia="宋体" w:cs="宋体"/>
          <w:color w:val="000000"/>
          <w:sz w:val="24"/>
        </w:rPr>
        <w:t xml:space="preserve">个工作日内，以书面方式通知乙方是否接受乙方的变更建议。如甲方接受乙方的变更建议，则双方可对该变更以书面形式予以确认，并按变更后的约定继续履行本合同。如甲方不同意乙方的变更建议，则乙方应当按原合同执行，但由此产生的风险以及其他相关风险由甲方承担。 </w:t>
      </w:r>
    </w:p>
    <w:p w14:paraId="4BDCABE4">
      <w:pPr>
        <w:keepNext w:val="0"/>
        <w:keepLines w:val="0"/>
        <w:pageBreakBefore w:val="0"/>
        <w:widowControl/>
        <w:spacing w:beforeAutospacing="0" w:afterAutospacing="0" w:line="500" w:lineRule="exact"/>
        <w:ind w:firstLine="482"/>
        <w:rPr>
          <w:rStyle w:val="236"/>
          <w:rFonts w:hint="eastAsia" w:ascii="宋体" w:hAnsi="宋体" w:eastAsia="宋体" w:cs="宋体"/>
          <w:b/>
          <w:bCs/>
          <w:color w:val="000000"/>
          <w:sz w:val="24"/>
          <w:highlight w:val="none"/>
        </w:rPr>
      </w:pPr>
      <w:r>
        <w:rPr>
          <w:rStyle w:val="236"/>
          <w:rFonts w:hint="eastAsia" w:ascii="宋体" w:hAnsi="宋体" w:eastAsia="宋体" w:cs="宋体"/>
          <w:b/>
          <w:bCs/>
          <w:color w:val="000000"/>
          <w:sz w:val="24"/>
          <w:highlight w:val="none"/>
          <w:lang w:eastAsia="zh-CN"/>
        </w:rPr>
        <w:t>十四、</w:t>
      </w:r>
      <w:r>
        <w:rPr>
          <w:rStyle w:val="236"/>
          <w:rFonts w:hint="eastAsia" w:ascii="宋体" w:hAnsi="宋体" w:eastAsia="宋体" w:cs="宋体"/>
          <w:b/>
          <w:bCs/>
          <w:color w:val="000000"/>
          <w:sz w:val="24"/>
          <w:highlight w:val="none"/>
        </w:rPr>
        <w:t>不可抗力</w:t>
      </w:r>
    </w:p>
    <w:p w14:paraId="3A1648A5">
      <w:pPr>
        <w:keepNext w:val="0"/>
        <w:keepLines w:val="0"/>
        <w:pageBreakBefore w:val="0"/>
        <w:widowControl/>
        <w:spacing w:beforeAutospacing="0" w:afterAutospacing="0"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eastAsia="zh-CN"/>
        </w:rPr>
        <w:t>、</w:t>
      </w:r>
      <w:r>
        <w:rPr>
          <w:rFonts w:hint="eastAsia" w:ascii="宋体" w:hAnsi="宋体" w:eastAsia="宋体" w:cs="宋体"/>
          <w:color w:val="000000"/>
          <w:sz w:val="24"/>
        </w:rPr>
        <w:t>由于台风、水灾、火灾、地震等不可抗力因素，直接影响本合同的履行或者不能按照合同的约定履行时，可以免除遇有不可抗力的一方的相关合同责任。但遇有不可抗力的一方应当及时通知对方，并在 7  日之内提供不可抗力的详细情况及合同不能履行或者部分不能履行或者需要延期履行的理由和有效的证明文件。甲乙双方根据不可抗力因素对合同履行的影响程度，协商决定是否解除合同，或者部分免除履行合同的义务，或者延期履行合同。</w:t>
      </w:r>
    </w:p>
    <w:p w14:paraId="3F0E5B02">
      <w:pPr>
        <w:keepNext w:val="0"/>
        <w:keepLines w:val="0"/>
        <w:pageBreakBefore w:val="0"/>
        <w:widowControl/>
        <w:spacing w:beforeAutospacing="0" w:afterAutospacing="0"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eastAsia="zh-CN"/>
        </w:rPr>
        <w:t>、</w:t>
      </w:r>
      <w:r>
        <w:rPr>
          <w:rFonts w:hint="eastAsia" w:ascii="宋体" w:hAnsi="宋体" w:eastAsia="宋体" w:cs="宋体"/>
          <w:color w:val="000000"/>
          <w:sz w:val="24"/>
        </w:rPr>
        <w:t>遇有不可抗力的一方，应当尽可能地采取必要的措施减轻不可抗力对本合同的履行所造成的影响。由于未采取适当措施致使另一方损失扩大的，不得就扩大损失的部分要求免除本方责任；由于未采取适当措施致使本方损失扩大的，也不得向对方要求赔偿。</w:t>
      </w:r>
    </w:p>
    <w:p w14:paraId="27DA595D">
      <w:pPr>
        <w:keepNext w:val="0"/>
        <w:keepLines w:val="0"/>
        <w:pageBreakBefore w:val="0"/>
        <w:widowControl/>
        <w:spacing w:beforeAutospacing="0" w:afterAutospacing="0" w:line="500" w:lineRule="exact"/>
        <w:ind w:firstLine="482"/>
        <w:jc w:val="left"/>
        <w:rPr>
          <w:rFonts w:hint="eastAsia" w:ascii="宋体" w:hAnsi="宋体" w:eastAsia="宋体" w:cs="宋体"/>
          <w:b/>
          <w:color w:val="000000"/>
          <w:sz w:val="24"/>
        </w:rPr>
      </w:pPr>
      <w:r>
        <w:rPr>
          <w:rFonts w:hint="eastAsia" w:ascii="宋体" w:hAnsi="宋体" w:eastAsia="宋体" w:cs="宋体"/>
          <w:b/>
          <w:color w:val="000000"/>
          <w:sz w:val="24"/>
        </w:rPr>
        <w:t>十</w:t>
      </w:r>
      <w:r>
        <w:rPr>
          <w:rFonts w:hint="eastAsia" w:ascii="宋体" w:hAnsi="宋体" w:eastAsia="宋体" w:cs="宋体"/>
          <w:b/>
          <w:color w:val="000000"/>
          <w:sz w:val="24"/>
          <w:lang w:eastAsia="zh-CN"/>
        </w:rPr>
        <w:t>五</w:t>
      </w:r>
      <w:r>
        <w:rPr>
          <w:rFonts w:hint="eastAsia" w:ascii="宋体" w:hAnsi="宋体" w:eastAsia="宋体" w:cs="宋体"/>
          <w:b/>
          <w:color w:val="000000"/>
          <w:sz w:val="24"/>
        </w:rPr>
        <w:t xml:space="preserve">、违约责任                                                                                                                                                                                                                                                                       </w:t>
      </w:r>
    </w:p>
    <w:p w14:paraId="76169C86">
      <w:pPr>
        <w:keepNext w:val="0"/>
        <w:keepLines w:val="0"/>
        <w:pageBreakBefore w:val="0"/>
        <w:widowControl/>
        <w:spacing w:beforeAutospacing="0" w:afterAutospacing="0"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eastAsia="zh-CN"/>
        </w:rPr>
        <w:t>、</w:t>
      </w:r>
      <w:r>
        <w:rPr>
          <w:rFonts w:hint="eastAsia" w:ascii="宋体" w:hAnsi="宋体" w:eastAsia="宋体" w:cs="宋体"/>
          <w:color w:val="000000"/>
          <w:sz w:val="24"/>
        </w:rPr>
        <w:t>乙方提供的服务不符合采购文件、投标文件或本合同规定的，甲方有权终止合同，并且乙方须向甲方支付本合同总价</w:t>
      </w:r>
      <w:r>
        <w:rPr>
          <w:rFonts w:hint="eastAsia" w:ascii="宋体" w:hAnsi="宋体" w:eastAsia="宋体" w:cs="宋体"/>
          <w:color w:val="000000"/>
          <w:sz w:val="24"/>
          <w:u w:val="single"/>
        </w:rPr>
        <w:t xml:space="preserve">5 </w:t>
      </w:r>
      <w:r>
        <w:rPr>
          <w:rFonts w:hint="eastAsia" w:ascii="宋体" w:hAnsi="宋体" w:eastAsia="宋体" w:cs="宋体"/>
          <w:color w:val="000000"/>
          <w:sz w:val="24"/>
        </w:rPr>
        <w:t>%的违约金。</w:t>
      </w:r>
    </w:p>
    <w:p w14:paraId="49C2BA3F">
      <w:pPr>
        <w:keepNext w:val="0"/>
        <w:keepLines w:val="0"/>
        <w:pageBreakBefore w:val="0"/>
        <w:widowControl/>
        <w:spacing w:beforeAutospacing="0" w:afterAutospacing="0"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eastAsia="zh-CN"/>
        </w:rPr>
        <w:t>、</w:t>
      </w:r>
      <w:r>
        <w:rPr>
          <w:rFonts w:hint="eastAsia" w:ascii="宋体" w:hAnsi="宋体" w:eastAsia="宋体" w:cs="宋体"/>
          <w:color w:val="000000"/>
          <w:sz w:val="24"/>
        </w:rPr>
        <w:t>乙方未能按本合同规定的交货时间提供服务，从逾期之日起每日按本合同总价</w:t>
      </w:r>
      <w:r>
        <w:rPr>
          <w:rFonts w:hint="eastAsia" w:ascii="宋体" w:hAnsi="宋体" w:eastAsia="宋体" w:cs="宋体"/>
          <w:color w:val="000000"/>
          <w:sz w:val="24"/>
          <w:u w:val="single"/>
        </w:rPr>
        <w:t xml:space="preserve"> 3 </w:t>
      </w:r>
      <w:r>
        <w:rPr>
          <w:rFonts w:hint="eastAsia" w:ascii="宋体" w:hAnsi="宋体" w:eastAsia="宋体" w:cs="宋体"/>
          <w:color w:val="000000"/>
          <w:sz w:val="24"/>
        </w:rPr>
        <w:t>‰的数额向甲方支付违约金；逾期半个月以上的，甲方有权终止合同，由此造成的甲方经济损失由乙方承担。</w:t>
      </w:r>
    </w:p>
    <w:p w14:paraId="7D8C05A5">
      <w:pPr>
        <w:keepNext w:val="0"/>
        <w:keepLines w:val="0"/>
        <w:pageBreakBefore w:val="0"/>
        <w:widowControl/>
        <w:spacing w:beforeAutospacing="0" w:afterAutospacing="0"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eastAsia="zh-CN"/>
        </w:rPr>
        <w:t>、</w:t>
      </w:r>
      <w:r>
        <w:rPr>
          <w:rFonts w:hint="eastAsia" w:ascii="宋体" w:hAnsi="宋体" w:eastAsia="宋体" w:cs="宋体"/>
          <w:color w:val="000000"/>
          <w:sz w:val="24"/>
        </w:rPr>
        <w:t>任何一方违反合同约定的保密义务，违约方应当支付合同总价</w:t>
      </w:r>
      <w:r>
        <w:rPr>
          <w:rFonts w:hint="eastAsia" w:ascii="宋体" w:hAnsi="宋体" w:eastAsia="宋体" w:cs="宋体"/>
          <w:color w:val="000000"/>
          <w:sz w:val="24"/>
          <w:u w:val="single"/>
        </w:rPr>
        <w:t xml:space="preserve"> 10  </w:t>
      </w:r>
      <w:r>
        <w:rPr>
          <w:rFonts w:hint="eastAsia" w:ascii="宋体" w:hAnsi="宋体" w:eastAsia="宋体" w:cs="宋体"/>
          <w:color w:val="000000"/>
          <w:sz w:val="24"/>
        </w:rPr>
        <w:t>%的违约金。如包括利润在内的实际损失超过违约金的，受损失一方有权要求对方赔偿超过部分。</w:t>
      </w:r>
    </w:p>
    <w:p w14:paraId="2100E952">
      <w:pPr>
        <w:keepNext w:val="0"/>
        <w:keepLines w:val="0"/>
        <w:pageBreakBefore w:val="0"/>
        <w:widowControl/>
        <w:spacing w:beforeAutospacing="0" w:afterAutospacing="0"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4</w:t>
      </w:r>
      <w:r>
        <w:rPr>
          <w:rFonts w:hint="eastAsia" w:ascii="宋体" w:hAnsi="宋体" w:eastAsia="宋体" w:cs="宋体"/>
          <w:color w:val="000000"/>
          <w:sz w:val="24"/>
          <w:lang w:eastAsia="zh-CN"/>
        </w:rPr>
        <w:t>、</w:t>
      </w:r>
      <w:r>
        <w:rPr>
          <w:rFonts w:hint="eastAsia" w:ascii="宋体" w:hAnsi="宋体" w:eastAsia="宋体" w:cs="宋体"/>
          <w:color w:val="000000"/>
          <w:sz w:val="24"/>
        </w:rPr>
        <w:t>任何一方违反合同约定的知识产权保护条款，除立即停止违约行为外，还应当支付违约金</w:t>
      </w:r>
      <w:r>
        <w:rPr>
          <w:rFonts w:hint="eastAsia" w:ascii="宋体" w:hAnsi="宋体" w:eastAsia="宋体" w:cs="宋体"/>
          <w:color w:val="000000"/>
          <w:sz w:val="24"/>
          <w:u w:val="single"/>
        </w:rPr>
        <w:t xml:space="preserve">  5000  </w:t>
      </w:r>
      <w:r>
        <w:rPr>
          <w:rFonts w:hint="eastAsia" w:ascii="宋体" w:hAnsi="宋体" w:eastAsia="宋体" w:cs="宋体"/>
          <w:color w:val="000000"/>
          <w:sz w:val="24"/>
        </w:rPr>
        <w:t>元。</w:t>
      </w:r>
    </w:p>
    <w:p w14:paraId="702F4239">
      <w:pPr>
        <w:keepNext w:val="0"/>
        <w:keepLines w:val="0"/>
        <w:pageBreakBefore w:val="0"/>
        <w:widowControl/>
        <w:spacing w:beforeAutospacing="0" w:afterAutospacing="0"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5</w:t>
      </w:r>
      <w:r>
        <w:rPr>
          <w:rFonts w:hint="eastAsia" w:ascii="宋体" w:hAnsi="宋体" w:eastAsia="宋体" w:cs="宋体"/>
          <w:color w:val="000000"/>
          <w:sz w:val="24"/>
          <w:lang w:eastAsia="zh-CN"/>
        </w:rPr>
        <w:t>、</w:t>
      </w:r>
      <w:r>
        <w:rPr>
          <w:rFonts w:hint="eastAsia" w:ascii="宋体" w:hAnsi="宋体" w:eastAsia="宋体" w:cs="宋体"/>
          <w:color w:val="000000"/>
          <w:sz w:val="24"/>
        </w:rPr>
        <w:t>如发生违约事件，履约方要求违约方支付违约金时，应当以书面方式通知违约方，内容包括违约事件、违约金、支付时间和方式等。违约方在收到上述通知后，应当于</w:t>
      </w:r>
      <w:r>
        <w:rPr>
          <w:rFonts w:hint="eastAsia" w:ascii="宋体" w:hAnsi="宋体" w:eastAsia="宋体" w:cs="宋体"/>
          <w:color w:val="000000"/>
          <w:sz w:val="24"/>
          <w:u w:val="single"/>
        </w:rPr>
        <w:t xml:space="preserve"> 3 </w:t>
      </w:r>
      <w:r>
        <w:rPr>
          <w:rFonts w:hint="eastAsia" w:ascii="宋体" w:hAnsi="宋体" w:eastAsia="宋体" w:cs="宋体"/>
          <w:color w:val="000000"/>
          <w:sz w:val="24"/>
        </w:rPr>
        <w:t>日内答复对方，并支付违约金。</w:t>
      </w:r>
    </w:p>
    <w:p w14:paraId="041874E6">
      <w:pPr>
        <w:keepNext w:val="0"/>
        <w:keepLines w:val="0"/>
        <w:pageBreakBefore w:val="0"/>
        <w:widowControl/>
        <w:spacing w:beforeAutospacing="0" w:afterAutospacing="0" w:line="500" w:lineRule="exact"/>
        <w:ind w:firstLine="482"/>
        <w:jc w:val="left"/>
        <w:rPr>
          <w:rFonts w:hint="eastAsia" w:ascii="宋体" w:hAnsi="宋体" w:eastAsia="宋体" w:cs="宋体"/>
          <w:b/>
          <w:color w:val="000000"/>
          <w:sz w:val="24"/>
        </w:rPr>
      </w:pPr>
      <w:r>
        <w:rPr>
          <w:rFonts w:hint="eastAsia" w:ascii="宋体" w:hAnsi="宋体" w:eastAsia="宋体" w:cs="宋体"/>
          <w:b/>
          <w:color w:val="000000"/>
          <w:sz w:val="24"/>
        </w:rPr>
        <w:t>十</w:t>
      </w:r>
      <w:r>
        <w:rPr>
          <w:rFonts w:hint="eastAsia" w:ascii="宋体" w:hAnsi="宋体" w:eastAsia="宋体" w:cs="宋体"/>
          <w:b/>
          <w:color w:val="000000"/>
          <w:sz w:val="24"/>
          <w:lang w:eastAsia="zh-CN"/>
        </w:rPr>
        <w:t>六</w:t>
      </w:r>
      <w:r>
        <w:rPr>
          <w:rFonts w:hint="eastAsia" w:ascii="宋体" w:hAnsi="宋体" w:eastAsia="宋体" w:cs="宋体"/>
          <w:b/>
          <w:color w:val="000000"/>
          <w:sz w:val="24"/>
        </w:rPr>
        <w:t>、合同争议的解决</w:t>
      </w:r>
    </w:p>
    <w:p w14:paraId="11194C7D">
      <w:pPr>
        <w:keepNext w:val="0"/>
        <w:keepLines w:val="0"/>
        <w:pageBreakBefore w:val="0"/>
        <w:widowControl/>
        <w:spacing w:beforeAutospacing="0" w:afterAutospacing="0"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eastAsia="zh-CN"/>
        </w:rPr>
        <w:t>、</w:t>
      </w:r>
      <w:r>
        <w:rPr>
          <w:rFonts w:hint="eastAsia" w:ascii="宋体" w:hAnsi="宋体" w:eastAsia="宋体" w:cs="宋体"/>
          <w:color w:val="000000"/>
          <w:sz w:val="24"/>
        </w:rPr>
        <w:t>因合同履行中发生的争议，合同当事人双方可通过协商解决。协商不成的，可向人民法院提起诉讼。</w:t>
      </w:r>
    </w:p>
    <w:p w14:paraId="664821B1">
      <w:pPr>
        <w:keepNext w:val="0"/>
        <w:keepLines w:val="0"/>
        <w:pageBreakBefore w:val="0"/>
        <w:widowControl/>
        <w:spacing w:beforeAutospacing="0" w:afterAutospacing="0"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eastAsia="zh-CN"/>
        </w:rPr>
        <w:t>、</w:t>
      </w:r>
      <w:r>
        <w:rPr>
          <w:rFonts w:hint="eastAsia" w:ascii="宋体" w:hAnsi="宋体" w:eastAsia="宋体" w:cs="宋体"/>
          <w:color w:val="000000"/>
          <w:sz w:val="24"/>
        </w:rPr>
        <w:t>诉讼费用应由败诉方负担。</w:t>
      </w:r>
    </w:p>
    <w:p w14:paraId="149D084A">
      <w:pPr>
        <w:keepNext w:val="0"/>
        <w:keepLines w:val="0"/>
        <w:pageBreakBefore w:val="0"/>
        <w:widowControl/>
        <w:spacing w:beforeAutospacing="0" w:afterAutospacing="0" w:line="500" w:lineRule="exact"/>
        <w:ind w:firstLine="482"/>
        <w:jc w:val="left"/>
        <w:rPr>
          <w:rFonts w:hint="eastAsia" w:ascii="宋体" w:hAnsi="宋体" w:eastAsia="宋体" w:cs="宋体"/>
          <w:b/>
          <w:color w:val="000000"/>
          <w:sz w:val="24"/>
        </w:rPr>
      </w:pPr>
      <w:r>
        <w:rPr>
          <w:rFonts w:hint="eastAsia" w:ascii="宋体" w:hAnsi="宋体" w:eastAsia="宋体" w:cs="宋体"/>
          <w:b/>
          <w:color w:val="000000"/>
          <w:sz w:val="24"/>
        </w:rPr>
        <w:t>十</w:t>
      </w:r>
      <w:r>
        <w:rPr>
          <w:rFonts w:hint="eastAsia" w:ascii="宋体" w:hAnsi="宋体" w:eastAsia="宋体" w:cs="宋体"/>
          <w:b/>
          <w:color w:val="000000"/>
          <w:sz w:val="24"/>
          <w:lang w:eastAsia="zh-CN"/>
        </w:rPr>
        <w:t>七</w:t>
      </w:r>
      <w:r>
        <w:rPr>
          <w:rFonts w:hint="eastAsia" w:ascii="宋体" w:hAnsi="宋体" w:eastAsia="宋体" w:cs="宋体"/>
          <w:b/>
          <w:color w:val="000000"/>
          <w:sz w:val="24"/>
        </w:rPr>
        <w:t>、名词解释</w:t>
      </w:r>
    </w:p>
    <w:p w14:paraId="6C3B8F56">
      <w:pPr>
        <w:keepNext w:val="0"/>
        <w:keepLines w:val="0"/>
        <w:pageBreakBefore w:val="0"/>
        <w:widowControl/>
        <w:spacing w:beforeAutospacing="0" w:afterAutospacing="0"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lang w:val="en-US" w:eastAsia="zh-CN"/>
        </w:rPr>
        <w:t>1</w:t>
      </w:r>
      <w:r>
        <w:rPr>
          <w:rFonts w:hint="eastAsia" w:ascii="宋体" w:hAnsi="宋体" w:eastAsia="宋体" w:cs="宋体"/>
          <w:color w:val="000000"/>
          <w:sz w:val="24"/>
          <w:lang w:eastAsia="zh-CN"/>
        </w:rPr>
        <w:t>、</w:t>
      </w:r>
      <w:r>
        <w:rPr>
          <w:rFonts w:hint="eastAsia" w:ascii="宋体" w:hAnsi="宋体" w:eastAsia="宋体" w:cs="宋体"/>
          <w:color w:val="000000"/>
          <w:sz w:val="24"/>
        </w:rPr>
        <w:t>服务确认</w:t>
      </w:r>
    </w:p>
    <w:p w14:paraId="742AA446">
      <w:pPr>
        <w:keepNext w:val="0"/>
        <w:keepLines w:val="0"/>
        <w:pageBreakBefore w:val="0"/>
        <w:widowControl/>
        <w:spacing w:beforeAutospacing="0" w:afterAutospacing="0"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服务确认是指甲方对乙方依照合同对服务工作内容进行确认的行为。</w:t>
      </w:r>
    </w:p>
    <w:p w14:paraId="037DFEBF">
      <w:pPr>
        <w:keepNext w:val="0"/>
        <w:keepLines w:val="0"/>
        <w:pageBreakBefore w:val="0"/>
        <w:widowControl/>
        <w:spacing w:beforeAutospacing="0" w:afterAutospacing="0"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eastAsia="zh-CN"/>
        </w:rPr>
        <w:t>、</w:t>
      </w:r>
      <w:r>
        <w:rPr>
          <w:rFonts w:hint="eastAsia" w:ascii="宋体" w:hAnsi="宋体" w:eastAsia="宋体" w:cs="宋体"/>
          <w:color w:val="000000"/>
          <w:sz w:val="24"/>
        </w:rPr>
        <w:t>保密信息</w:t>
      </w:r>
    </w:p>
    <w:p w14:paraId="0156C337">
      <w:pPr>
        <w:keepNext w:val="0"/>
        <w:keepLines w:val="0"/>
        <w:pageBreakBefore w:val="0"/>
        <w:widowControl/>
        <w:spacing w:beforeAutospacing="0" w:afterAutospacing="0"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保密信息是指甲乙双方各自所拥有的不为公众所知的管理信息、方式方法、产品信息、计算机源代码、技术文档和技术资料等，或者由甲乙双方在履行本合同过程中明确指明为保密的合法信息。</w:t>
      </w:r>
    </w:p>
    <w:p w14:paraId="200CED17">
      <w:pPr>
        <w:keepNext w:val="0"/>
        <w:keepLines w:val="0"/>
        <w:pageBreakBefore w:val="0"/>
        <w:widowControl/>
        <w:spacing w:beforeAutospacing="0" w:afterAutospacing="0" w:line="500" w:lineRule="exact"/>
        <w:ind w:firstLine="482"/>
        <w:rPr>
          <w:rStyle w:val="236"/>
          <w:rFonts w:hint="eastAsia" w:ascii="宋体" w:hAnsi="宋体" w:eastAsia="宋体" w:cs="宋体"/>
          <w:b/>
          <w:bCs/>
          <w:color w:val="000000"/>
          <w:sz w:val="24"/>
          <w:highlight w:val="none"/>
        </w:rPr>
      </w:pPr>
      <w:r>
        <w:rPr>
          <w:rStyle w:val="236"/>
          <w:rFonts w:hint="eastAsia" w:ascii="宋体" w:hAnsi="宋体" w:eastAsia="宋体" w:cs="宋体"/>
          <w:b/>
          <w:bCs/>
          <w:color w:val="000000"/>
          <w:sz w:val="24"/>
          <w:highlight w:val="none"/>
          <w:lang w:eastAsia="zh-CN"/>
        </w:rPr>
        <w:t>十八</w:t>
      </w:r>
      <w:r>
        <w:rPr>
          <w:rStyle w:val="236"/>
          <w:rFonts w:hint="eastAsia" w:ascii="宋体" w:hAnsi="宋体" w:eastAsia="宋体" w:cs="宋体"/>
          <w:b/>
          <w:bCs/>
          <w:color w:val="000000"/>
          <w:sz w:val="24"/>
          <w:highlight w:val="none"/>
        </w:rPr>
        <w:t>、合同生效及其它</w:t>
      </w:r>
    </w:p>
    <w:p w14:paraId="34E014DE">
      <w:pPr>
        <w:pStyle w:val="238"/>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rPr>
      </w:pPr>
      <w:r>
        <w:rPr>
          <w:rStyle w:val="236"/>
          <w:rFonts w:hint="eastAsia" w:ascii="宋体" w:hAnsi="宋体" w:eastAsia="宋体" w:cs="宋体"/>
          <w:color w:val="000000"/>
          <w:sz w:val="24"/>
          <w:szCs w:val="24"/>
          <w:highlight w:val="none"/>
          <w:lang w:val="en-US" w:eastAsia="zh-CN"/>
        </w:rPr>
        <w:t>1、</w:t>
      </w:r>
      <w:r>
        <w:rPr>
          <w:rStyle w:val="236"/>
          <w:rFonts w:hint="eastAsia" w:ascii="宋体" w:hAnsi="宋体" w:eastAsia="宋体" w:cs="宋体"/>
          <w:color w:val="000000"/>
          <w:sz w:val="24"/>
          <w:szCs w:val="24"/>
          <w:highlight w:val="none"/>
        </w:rPr>
        <w:t>合同经双方法定代表人或授权委托代表人签字并加盖单位公章后生效。</w:t>
      </w:r>
    </w:p>
    <w:p w14:paraId="0D73CD3D">
      <w:pPr>
        <w:pStyle w:val="238"/>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rPr>
      </w:pPr>
      <w:r>
        <w:rPr>
          <w:rStyle w:val="236"/>
          <w:rFonts w:hint="eastAsia" w:ascii="宋体" w:hAnsi="宋体" w:eastAsia="宋体" w:cs="宋体"/>
          <w:color w:val="000000"/>
          <w:sz w:val="24"/>
          <w:szCs w:val="24"/>
          <w:highlight w:val="none"/>
          <w:lang w:val="en-US" w:eastAsia="zh-CN"/>
        </w:rPr>
        <w:t>2、</w:t>
      </w:r>
      <w:r>
        <w:rPr>
          <w:rStyle w:val="236"/>
          <w:rFonts w:hint="eastAsia" w:ascii="宋体" w:hAnsi="宋体" w:eastAsia="宋体" w:cs="宋体"/>
          <w:color w:val="000000"/>
          <w:sz w:val="24"/>
          <w:szCs w:val="24"/>
          <w:highlight w:val="none"/>
        </w:rPr>
        <w:t>本合同未尽事宜，遵照《民法典》有关条文执行。</w:t>
      </w:r>
    </w:p>
    <w:p w14:paraId="674C0305">
      <w:pPr>
        <w:pStyle w:val="238"/>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rPr>
      </w:pPr>
      <w:r>
        <w:rPr>
          <w:rStyle w:val="236"/>
          <w:rFonts w:hint="eastAsia" w:ascii="宋体" w:hAnsi="宋体" w:eastAsia="宋体" w:cs="宋体"/>
          <w:color w:val="000000"/>
          <w:sz w:val="24"/>
          <w:szCs w:val="24"/>
          <w:highlight w:val="none"/>
          <w:lang w:val="en-US" w:eastAsia="zh-CN"/>
        </w:rPr>
        <w:t>3、</w:t>
      </w:r>
      <w:r>
        <w:rPr>
          <w:rStyle w:val="236"/>
          <w:rFonts w:hint="eastAsia" w:ascii="宋体" w:hAnsi="宋体" w:eastAsia="宋体" w:cs="宋体"/>
          <w:color w:val="000000"/>
          <w:sz w:val="24"/>
          <w:szCs w:val="24"/>
          <w:highlight w:val="none"/>
        </w:rPr>
        <w:t>本合同正本一式</w:t>
      </w:r>
      <w:r>
        <w:rPr>
          <w:rStyle w:val="236"/>
          <w:rFonts w:hint="eastAsia" w:ascii="宋体" w:hAnsi="宋体" w:eastAsia="宋体" w:cs="宋体"/>
          <w:color w:val="000000"/>
          <w:sz w:val="24"/>
          <w:szCs w:val="24"/>
          <w:highlight w:val="none"/>
          <w:lang w:val="en-US" w:eastAsia="zh-CN"/>
        </w:rPr>
        <w:t>四</w:t>
      </w:r>
      <w:r>
        <w:rPr>
          <w:rStyle w:val="236"/>
          <w:rFonts w:hint="eastAsia" w:ascii="宋体" w:hAnsi="宋体" w:eastAsia="宋体" w:cs="宋体"/>
          <w:color w:val="000000"/>
          <w:sz w:val="24"/>
          <w:szCs w:val="24"/>
          <w:highlight w:val="none"/>
        </w:rPr>
        <w:t>份，具有同等法律效力，甲方、乙方各执</w:t>
      </w:r>
      <w:r>
        <w:rPr>
          <w:rStyle w:val="236"/>
          <w:rFonts w:hint="eastAsia" w:ascii="宋体" w:hAnsi="宋体" w:eastAsia="宋体" w:cs="宋体"/>
          <w:color w:val="000000"/>
          <w:sz w:val="24"/>
          <w:szCs w:val="24"/>
          <w:highlight w:val="none"/>
          <w:lang w:val="en-US" w:eastAsia="zh-CN"/>
        </w:rPr>
        <w:t>二</w:t>
      </w:r>
      <w:r>
        <w:rPr>
          <w:rStyle w:val="236"/>
          <w:rFonts w:hint="eastAsia" w:ascii="宋体" w:hAnsi="宋体" w:eastAsia="宋体" w:cs="宋体"/>
          <w:color w:val="000000"/>
          <w:sz w:val="24"/>
          <w:szCs w:val="24"/>
          <w:highlight w:val="none"/>
        </w:rPr>
        <w:t>份。</w:t>
      </w:r>
    </w:p>
    <w:p w14:paraId="773EAA0D">
      <w:pPr>
        <w:pStyle w:val="238"/>
        <w:keepNext w:val="0"/>
        <w:keepLines w:val="0"/>
        <w:pageBreakBefore w:val="0"/>
        <w:widowControl/>
        <w:spacing w:beforeAutospacing="0" w:afterAutospacing="0" w:line="500" w:lineRule="exact"/>
        <w:ind w:firstLine="482"/>
        <w:rPr>
          <w:rStyle w:val="236"/>
          <w:rFonts w:hint="eastAsia" w:ascii="宋体" w:hAnsi="宋体" w:eastAsia="宋体" w:cs="宋体"/>
          <w:b/>
          <w:color w:val="000000"/>
          <w:sz w:val="24"/>
          <w:szCs w:val="24"/>
          <w:highlight w:val="none"/>
        </w:rPr>
      </w:pPr>
    </w:p>
    <w:p w14:paraId="37DAC4C8">
      <w:pPr>
        <w:pStyle w:val="238"/>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rPr>
      </w:pPr>
      <w:r>
        <w:rPr>
          <w:rStyle w:val="236"/>
          <w:rFonts w:hint="eastAsia" w:ascii="宋体" w:hAnsi="宋体" w:eastAsia="宋体" w:cs="宋体"/>
          <w:color w:val="000000"/>
          <w:sz w:val="24"/>
          <w:szCs w:val="24"/>
          <w:highlight w:val="none"/>
        </w:rPr>
        <w:t>甲方：                              乙方：</w:t>
      </w:r>
    </w:p>
    <w:p w14:paraId="5CB1779A">
      <w:pPr>
        <w:pStyle w:val="238"/>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rPr>
      </w:pPr>
      <w:r>
        <w:rPr>
          <w:rStyle w:val="236"/>
          <w:rFonts w:hint="eastAsia" w:ascii="宋体" w:hAnsi="宋体" w:eastAsia="宋体" w:cs="宋体"/>
          <w:color w:val="000000"/>
          <w:sz w:val="24"/>
          <w:szCs w:val="24"/>
          <w:highlight w:val="none"/>
        </w:rPr>
        <w:t>地址：                              地址：</w:t>
      </w:r>
    </w:p>
    <w:p w14:paraId="7EACBE58">
      <w:pPr>
        <w:pStyle w:val="238"/>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szCs w:val="24"/>
          <w:highlight w:val="none"/>
        </w:rPr>
      </w:pPr>
      <w:r>
        <w:rPr>
          <w:rStyle w:val="236"/>
          <w:rFonts w:hint="eastAsia" w:ascii="宋体" w:hAnsi="宋体" w:eastAsia="宋体" w:cs="宋体"/>
          <w:color w:val="000000"/>
          <w:sz w:val="24"/>
          <w:szCs w:val="24"/>
          <w:highlight w:val="none"/>
        </w:rPr>
        <w:t>法定代表人或授权代表：              法定代表人或授权代表：</w:t>
      </w:r>
    </w:p>
    <w:p w14:paraId="49C01737">
      <w:pPr>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highlight w:val="none"/>
        </w:rPr>
      </w:pPr>
      <w:r>
        <w:rPr>
          <w:rStyle w:val="236"/>
          <w:rFonts w:hint="eastAsia" w:ascii="宋体" w:hAnsi="宋体" w:eastAsia="宋体" w:cs="宋体"/>
          <w:color w:val="000000"/>
          <w:sz w:val="24"/>
          <w:highlight w:val="none"/>
        </w:rPr>
        <w:t>联系电话：                          联系电话：</w:t>
      </w:r>
    </w:p>
    <w:p w14:paraId="031044C4">
      <w:pPr>
        <w:keepNext w:val="0"/>
        <w:keepLines w:val="0"/>
        <w:pageBreakBefore w:val="0"/>
        <w:widowControl/>
        <w:spacing w:beforeAutospacing="0" w:afterAutospacing="0" w:line="500" w:lineRule="exact"/>
        <w:ind w:firstLine="480"/>
        <w:rPr>
          <w:rStyle w:val="236"/>
          <w:rFonts w:hint="eastAsia" w:ascii="宋体" w:hAnsi="宋体" w:eastAsia="宋体" w:cs="宋体"/>
          <w:color w:val="000000"/>
          <w:sz w:val="24"/>
          <w:highlight w:val="none"/>
        </w:rPr>
      </w:pPr>
    </w:p>
    <w:p w14:paraId="2201EF57">
      <w:pPr>
        <w:pStyle w:val="66"/>
        <w:keepNext w:val="0"/>
        <w:keepLines w:val="0"/>
        <w:pageBreakBefore w:val="0"/>
        <w:spacing w:line="500" w:lineRule="exact"/>
        <w:ind w:firstLine="4560"/>
        <w:rPr>
          <w:rFonts w:hint="eastAsia" w:ascii="宋体" w:hAnsi="宋体" w:eastAsia="宋体" w:cs="宋体"/>
          <w:color w:val="000000"/>
          <w:sz w:val="24"/>
          <w:szCs w:val="24"/>
          <w:highlight w:val="none"/>
        </w:rPr>
      </w:pPr>
      <w:r>
        <w:rPr>
          <w:rStyle w:val="236"/>
          <w:rFonts w:hint="eastAsia" w:ascii="宋体" w:hAnsi="宋体" w:eastAsia="宋体" w:cs="宋体"/>
          <w:color w:val="000000"/>
          <w:sz w:val="24"/>
          <w:highlight w:val="none"/>
        </w:rPr>
        <w:t xml:space="preserve">签订日期：      年    月    </w:t>
      </w:r>
      <w:r>
        <w:rPr>
          <w:rFonts w:hint="eastAsia" w:ascii="宋体" w:hAnsi="宋体" w:eastAsia="宋体" w:cs="宋体"/>
          <w:color w:val="000000"/>
          <w:sz w:val="24"/>
          <w:szCs w:val="24"/>
          <w:highlight w:val="none"/>
        </w:rPr>
        <w:t>日</w:t>
      </w:r>
    </w:p>
    <w:p w14:paraId="53CF45AC">
      <w:pPr>
        <w:pStyle w:val="85"/>
        <w:spacing w:beforeAutospacing="0" w:afterAutospacing="0" w:line="0" w:lineRule="atLeast"/>
        <w:ind w:left="479" w:firstLine="0"/>
        <w:jc w:val="both"/>
        <w:rPr>
          <w:rFonts w:hint="eastAsia" w:ascii="黑体" w:hAnsi="宋体" w:eastAsia="黑体" w:cs="黑体"/>
          <w:color w:val="000000"/>
          <w:sz w:val="44"/>
          <w:szCs w:val="44"/>
          <w:highlight w:val="none"/>
        </w:rPr>
      </w:pPr>
    </w:p>
    <w:p w14:paraId="00B4DE3D">
      <w:pPr>
        <w:pStyle w:val="85"/>
        <w:spacing w:before="120" w:beforeAutospacing="0" w:after="120" w:afterAutospacing="0" w:line="0" w:lineRule="atLeast"/>
        <w:jc w:val="center"/>
        <w:rPr>
          <w:rFonts w:hint="eastAsia" w:ascii="黑体" w:hAnsi="宋体" w:eastAsia="黑体" w:cs="黑体"/>
          <w:color w:val="000000"/>
          <w:sz w:val="44"/>
          <w:szCs w:val="44"/>
          <w:highlight w:val="none"/>
        </w:rPr>
      </w:pPr>
    </w:p>
    <w:p w14:paraId="7584FC8D">
      <w:pPr>
        <w:pStyle w:val="85"/>
        <w:spacing w:before="120" w:beforeAutospacing="0" w:after="120" w:afterAutospacing="0" w:line="0" w:lineRule="atLeast"/>
        <w:jc w:val="center"/>
        <w:rPr>
          <w:rFonts w:hint="eastAsia" w:ascii="黑体" w:hAnsi="宋体" w:eastAsia="黑体" w:cs="黑体"/>
          <w:color w:val="000000"/>
          <w:sz w:val="44"/>
          <w:szCs w:val="44"/>
          <w:highlight w:val="none"/>
        </w:rPr>
      </w:pPr>
    </w:p>
    <w:p w14:paraId="44058698">
      <w:pPr>
        <w:pStyle w:val="85"/>
        <w:spacing w:before="120" w:beforeAutospacing="0" w:after="120" w:afterAutospacing="0" w:line="0" w:lineRule="atLeast"/>
        <w:jc w:val="center"/>
        <w:rPr>
          <w:rFonts w:hint="eastAsia" w:ascii="黑体" w:hAnsi="宋体" w:eastAsia="黑体" w:cs="黑体"/>
          <w:color w:val="000000"/>
          <w:sz w:val="44"/>
          <w:szCs w:val="44"/>
          <w:highlight w:val="none"/>
        </w:rPr>
      </w:pPr>
    </w:p>
    <w:p w14:paraId="335A0FA1">
      <w:pPr>
        <w:pStyle w:val="85"/>
        <w:spacing w:before="120" w:beforeAutospacing="0" w:after="120" w:afterAutospacing="0" w:line="0" w:lineRule="atLeast"/>
        <w:jc w:val="center"/>
        <w:rPr>
          <w:rFonts w:hint="eastAsia" w:ascii="黑体" w:hAnsi="宋体" w:eastAsia="黑体" w:cs="黑体"/>
          <w:color w:val="000000"/>
          <w:sz w:val="44"/>
          <w:szCs w:val="44"/>
          <w:highlight w:val="none"/>
        </w:rPr>
      </w:pPr>
    </w:p>
    <w:p w14:paraId="0B031516">
      <w:pPr>
        <w:pStyle w:val="85"/>
        <w:spacing w:before="120" w:beforeAutospacing="0" w:after="120" w:afterAutospacing="0" w:line="0" w:lineRule="atLeast"/>
        <w:jc w:val="center"/>
        <w:rPr>
          <w:rFonts w:hint="eastAsia" w:ascii="黑体" w:hAnsi="宋体" w:eastAsia="黑体" w:cs="黑体"/>
          <w:color w:val="000000"/>
          <w:sz w:val="44"/>
          <w:szCs w:val="44"/>
          <w:highlight w:val="none"/>
        </w:rPr>
      </w:pPr>
    </w:p>
    <w:p w14:paraId="6EFD0904">
      <w:pPr>
        <w:pStyle w:val="85"/>
        <w:spacing w:before="120" w:beforeAutospacing="0" w:after="120" w:afterAutospacing="0" w:line="0" w:lineRule="atLeast"/>
        <w:jc w:val="center"/>
        <w:rPr>
          <w:rFonts w:hint="eastAsia" w:ascii="黑体" w:hAnsi="宋体" w:eastAsia="黑体" w:cs="黑体"/>
          <w:color w:val="000000"/>
          <w:sz w:val="44"/>
          <w:szCs w:val="44"/>
          <w:highlight w:val="none"/>
        </w:rPr>
      </w:pPr>
    </w:p>
    <w:p w14:paraId="13CCE428">
      <w:pPr>
        <w:pStyle w:val="85"/>
        <w:spacing w:before="120" w:beforeAutospacing="0" w:after="120" w:afterAutospacing="0" w:line="0" w:lineRule="atLeast"/>
        <w:jc w:val="center"/>
        <w:rPr>
          <w:rFonts w:hint="eastAsia" w:ascii="黑体" w:hAnsi="宋体" w:eastAsia="黑体" w:cs="黑体"/>
          <w:color w:val="000000"/>
          <w:sz w:val="44"/>
          <w:szCs w:val="44"/>
          <w:highlight w:val="none"/>
        </w:rPr>
      </w:pPr>
    </w:p>
    <w:p w14:paraId="43DBFFF9">
      <w:pPr>
        <w:pStyle w:val="85"/>
        <w:spacing w:before="120" w:beforeAutospacing="0" w:after="120" w:afterAutospacing="0" w:line="0" w:lineRule="atLeast"/>
        <w:jc w:val="center"/>
        <w:rPr>
          <w:rFonts w:hint="eastAsia" w:ascii="黑体" w:hAnsi="宋体" w:eastAsia="黑体" w:cs="黑体"/>
          <w:color w:val="000000"/>
          <w:sz w:val="44"/>
          <w:szCs w:val="44"/>
          <w:highlight w:val="none"/>
        </w:rPr>
      </w:pPr>
    </w:p>
    <w:p w14:paraId="7467A906">
      <w:pPr>
        <w:pStyle w:val="85"/>
        <w:spacing w:before="120" w:beforeAutospacing="0" w:after="120" w:afterAutospacing="0" w:line="0" w:lineRule="atLeast"/>
        <w:jc w:val="center"/>
        <w:rPr>
          <w:rFonts w:hint="eastAsia" w:ascii="黑体" w:hAnsi="宋体" w:eastAsia="黑体" w:cs="黑体"/>
          <w:color w:val="000000"/>
          <w:sz w:val="44"/>
          <w:szCs w:val="44"/>
          <w:highlight w:val="none"/>
        </w:rPr>
      </w:pPr>
    </w:p>
    <w:p w14:paraId="6827561D">
      <w:pPr>
        <w:pStyle w:val="85"/>
        <w:spacing w:before="120" w:beforeAutospacing="0" w:after="120" w:afterAutospacing="0" w:line="0" w:lineRule="atLeast"/>
        <w:jc w:val="center"/>
        <w:rPr>
          <w:rFonts w:hint="eastAsia" w:ascii="黑体" w:hAnsi="宋体" w:eastAsia="黑体" w:cs="黑体"/>
          <w:color w:val="000000"/>
          <w:sz w:val="44"/>
          <w:szCs w:val="44"/>
          <w:highlight w:val="none"/>
        </w:rPr>
      </w:pPr>
    </w:p>
    <w:p w14:paraId="4CE58AEC">
      <w:pPr>
        <w:pStyle w:val="85"/>
        <w:spacing w:before="120" w:beforeAutospacing="0" w:after="120" w:afterAutospacing="0" w:line="0" w:lineRule="atLeast"/>
        <w:jc w:val="center"/>
        <w:rPr>
          <w:rFonts w:hint="eastAsia" w:ascii="黑体" w:hAnsi="宋体" w:eastAsia="黑体" w:cs="黑体"/>
          <w:color w:val="000000"/>
          <w:sz w:val="44"/>
          <w:szCs w:val="44"/>
          <w:highlight w:val="none"/>
        </w:rPr>
      </w:pPr>
    </w:p>
    <w:p w14:paraId="0F79DA81">
      <w:pPr>
        <w:pStyle w:val="85"/>
        <w:spacing w:before="120" w:beforeAutospacing="0" w:after="120" w:afterAutospacing="0" w:line="0" w:lineRule="atLeast"/>
        <w:jc w:val="center"/>
        <w:rPr>
          <w:color w:val="000000"/>
          <w:highlight w:val="none"/>
        </w:rPr>
      </w:pPr>
      <w:r>
        <w:rPr>
          <w:rFonts w:hint="eastAsia" w:ascii="黑体" w:hAnsi="宋体" w:eastAsia="黑体" w:cs="黑体"/>
          <w:color w:val="000000"/>
          <w:sz w:val="44"/>
          <w:szCs w:val="44"/>
          <w:highlight w:val="none"/>
        </w:rPr>
        <w:t> 第</w:t>
      </w:r>
      <w:bookmarkEnd w:id="174"/>
      <w:r>
        <w:rPr>
          <w:rFonts w:hint="eastAsia" w:ascii="黑体" w:hAnsi="宋体" w:eastAsia="黑体" w:cs="黑体"/>
          <w:color w:val="000000"/>
          <w:sz w:val="44"/>
          <w:szCs w:val="44"/>
          <w:highlight w:val="none"/>
        </w:rPr>
        <w:t>四章 采购需求</w:t>
      </w:r>
      <w:bookmarkEnd w:id="175"/>
      <w:bookmarkEnd w:id="176"/>
      <w:bookmarkEnd w:id="177"/>
      <w:bookmarkEnd w:id="178"/>
      <w:bookmarkEnd w:id="179"/>
    </w:p>
    <w:p w14:paraId="17D2E569">
      <w:pPr>
        <w:pStyle w:val="85"/>
        <w:spacing w:before="120" w:beforeAutospacing="0" w:after="120" w:afterAutospacing="0" w:line="0" w:lineRule="atLeast"/>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项目属性：服务类项目</w:t>
      </w:r>
    </w:p>
    <w:p w14:paraId="02B89AEE">
      <w:pPr>
        <w:spacing w:line="4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一、采购需求</w:t>
      </w:r>
    </w:p>
    <w:tbl>
      <w:tblPr>
        <w:tblStyle w:val="30"/>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3"/>
        <w:gridCol w:w="2082"/>
        <w:gridCol w:w="1143"/>
        <w:gridCol w:w="3253"/>
      </w:tblGrid>
      <w:tr w14:paraId="028FE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2431" w:type="dxa"/>
            <w:noWrap w:val="0"/>
            <w:vAlign w:val="center"/>
          </w:tcPr>
          <w:p w14:paraId="49ECAD6D">
            <w:pPr>
              <w:widowControl/>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内容</w:t>
            </w:r>
          </w:p>
        </w:tc>
        <w:tc>
          <w:tcPr>
            <w:tcW w:w="1952" w:type="dxa"/>
            <w:noWrap w:val="0"/>
            <w:vAlign w:val="center"/>
          </w:tcPr>
          <w:p w14:paraId="2F07260D">
            <w:pPr>
              <w:widowControl/>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投标限价(万元)</w:t>
            </w:r>
          </w:p>
        </w:tc>
        <w:tc>
          <w:tcPr>
            <w:tcW w:w="1072" w:type="dxa"/>
            <w:noWrap w:val="0"/>
            <w:vAlign w:val="center"/>
          </w:tcPr>
          <w:p w14:paraId="28BDC70F">
            <w:pPr>
              <w:widowControl/>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数量</w:t>
            </w:r>
          </w:p>
        </w:tc>
        <w:tc>
          <w:tcPr>
            <w:tcW w:w="3049" w:type="dxa"/>
            <w:noWrap w:val="0"/>
            <w:vAlign w:val="center"/>
          </w:tcPr>
          <w:p w14:paraId="71A030FB">
            <w:pPr>
              <w:widowControl/>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简要服务要求</w:t>
            </w:r>
          </w:p>
        </w:tc>
      </w:tr>
      <w:tr w14:paraId="26BFD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7" w:hRule="atLeast"/>
          <w:jc w:val="center"/>
        </w:trPr>
        <w:tc>
          <w:tcPr>
            <w:tcW w:w="2431" w:type="dxa"/>
            <w:noWrap w:val="0"/>
            <w:vAlign w:val="center"/>
          </w:tcPr>
          <w:p w14:paraId="5B7B4472">
            <w:pPr>
              <w:widowControl/>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审判执行辅助事务外包服务</w:t>
            </w:r>
          </w:p>
        </w:tc>
        <w:tc>
          <w:tcPr>
            <w:tcW w:w="1952" w:type="dxa"/>
            <w:noWrap w:val="0"/>
            <w:vAlign w:val="center"/>
          </w:tcPr>
          <w:p w14:paraId="4B6399D5">
            <w:pPr>
              <w:widowControl/>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360万</w:t>
            </w:r>
          </w:p>
        </w:tc>
        <w:tc>
          <w:tcPr>
            <w:tcW w:w="1072" w:type="dxa"/>
            <w:noWrap w:val="0"/>
            <w:vAlign w:val="center"/>
          </w:tcPr>
          <w:p w14:paraId="318BEB42">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1项</w:t>
            </w:r>
          </w:p>
        </w:tc>
        <w:tc>
          <w:tcPr>
            <w:tcW w:w="3049" w:type="dxa"/>
            <w:noWrap w:val="0"/>
            <w:vAlign w:val="center"/>
          </w:tcPr>
          <w:p w14:paraId="3B31EE82">
            <w:pPr>
              <w:rPr>
                <w:rFonts w:hint="eastAsia" w:ascii="宋体" w:hAnsi="宋体" w:eastAsia="宋体" w:cs="宋体"/>
                <w:color w:val="000000"/>
                <w:sz w:val="24"/>
                <w:szCs w:val="24"/>
              </w:rPr>
            </w:pPr>
            <w:r>
              <w:rPr>
                <w:rFonts w:hint="eastAsia" w:ascii="宋体" w:hAnsi="宋体" w:eastAsia="宋体" w:cs="宋体"/>
                <w:color w:val="000000"/>
                <w:sz w:val="24"/>
                <w:szCs w:val="24"/>
              </w:rPr>
              <w:t>本项目</w:t>
            </w:r>
            <w:r>
              <w:rPr>
                <w:rFonts w:hint="eastAsia" w:ascii="宋体" w:hAnsi="宋体" w:eastAsia="宋体" w:cs="宋体"/>
                <w:color w:val="000000"/>
                <w:sz w:val="24"/>
                <w:szCs w:val="24"/>
                <w:lang w:val="en-US" w:eastAsia="zh-CN"/>
              </w:rPr>
              <w:t>包含</w:t>
            </w:r>
            <w:r>
              <w:rPr>
                <w:rFonts w:hint="eastAsia" w:ascii="宋体" w:hAnsi="宋体" w:eastAsia="宋体" w:cs="宋体"/>
                <w:color w:val="000000"/>
                <w:sz w:val="24"/>
                <w:szCs w:val="24"/>
              </w:rPr>
              <w:t>审判执行辅助事务社会化服务</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中间库管理、文印</w:t>
            </w:r>
            <w:r>
              <w:rPr>
                <w:rFonts w:hint="eastAsia" w:ascii="宋体" w:hAnsi="宋体" w:eastAsia="宋体" w:cs="宋体"/>
                <w:color w:val="000000"/>
                <w:sz w:val="24"/>
                <w:szCs w:val="24"/>
                <w:lang w:val="en-US" w:eastAsia="zh-CN"/>
              </w:rPr>
              <w:t>宣传</w:t>
            </w:r>
            <w:r>
              <w:rPr>
                <w:rFonts w:hint="eastAsia" w:ascii="宋体" w:hAnsi="宋体" w:eastAsia="宋体" w:cs="宋体"/>
                <w:color w:val="000000"/>
                <w:sz w:val="24"/>
                <w:szCs w:val="24"/>
              </w:rPr>
              <w:t>服务、执行</w:t>
            </w:r>
            <w:r>
              <w:rPr>
                <w:rFonts w:hint="eastAsia" w:ascii="宋体" w:hAnsi="宋体" w:eastAsia="宋体" w:cs="宋体"/>
                <w:color w:val="000000"/>
                <w:sz w:val="24"/>
                <w:szCs w:val="24"/>
                <w:lang w:val="en-US" w:eastAsia="zh-CN"/>
              </w:rPr>
              <w:t>诉求</w:t>
            </w:r>
            <w:r>
              <w:rPr>
                <w:rFonts w:hint="eastAsia" w:ascii="宋体" w:hAnsi="宋体" w:eastAsia="宋体" w:cs="宋体"/>
                <w:color w:val="000000"/>
                <w:sz w:val="24"/>
                <w:szCs w:val="24"/>
              </w:rPr>
              <w:t>"一站式</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通办</w:t>
            </w:r>
            <w:r>
              <w:rPr>
                <w:rFonts w:hint="eastAsia" w:ascii="宋体" w:hAnsi="宋体" w:eastAsia="宋体" w:cs="宋体"/>
                <w:color w:val="000000"/>
                <w:sz w:val="24"/>
                <w:szCs w:val="24"/>
                <w:lang w:val="en-US" w:eastAsia="zh-CN"/>
              </w:rPr>
              <w:t>服务</w:t>
            </w:r>
            <w:r>
              <w:rPr>
                <w:rFonts w:hint="eastAsia" w:ascii="宋体" w:hAnsi="宋体" w:eastAsia="宋体" w:cs="宋体"/>
                <w:color w:val="000000"/>
                <w:sz w:val="24"/>
                <w:szCs w:val="24"/>
              </w:rPr>
              <w:t>及管理平台等内容。</w:t>
            </w:r>
            <w:r>
              <w:rPr>
                <w:rFonts w:hint="eastAsia" w:ascii="宋体" w:hAnsi="宋体" w:eastAsia="宋体" w:cs="宋体"/>
                <w:color w:val="000000"/>
                <w:sz w:val="24"/>
                <w:szCs w:val="24"/>
                <w:lang w:val="en-US" w:eastAsia="zh-CN"/>
              </w:rPr>
              <w:t>执行辅助事务</w:t>
            </w:r>
            <w:r>
              <w:rPr>
                <w:rFonts w:hint="eastAsia" w:ascii="宋体" w:hAnsi="宋体" w:eastAsia="宋体" w:cs="宋体"/>
                <w:color w:val="000000"/>
                <w:sz w:val="24"/>
                <w:szCs w:val="24"/>
              </w:rPr>
              <w:t>平台软件包含在服务费内，不另行报价。</w:t>
            </w:r>
          </w:p>
        </w:tc>
      </w:tr>
    </w:tbl>
    <w:p w14:paraId="6534DF09">
      <w:pPr>
        <w:spacing w:line="440" w:lineRule="exact"/>
        <w:rPr>
          <w:rFonts w:ascii="宋体" w:hAnsi="宋体" w:cs="宋体"/>
          <w:b/>
          <w:bCs/>
          <w:sz w:val="24"/>
        </w:rPr>
      </w:pPr>
      <w:r>
        <w:rPr>
          <w:rFonts w:hint="eastAsia" w:ascii="宋体" w:hAnsi="宋体" w:cs="宋体"/>
          <w:b/>
          <w:bCs/>
          <w:sz w:val="24"/>
        </w:rPr>
        <w:t>二、审判执行辅助事务社会化服务要求</w:t>
      </w:r>
    </w:p>
    <w:p w14:paraId="2CEE0C85">
      <w:pPr>
        <w:spacing w:line="440" w:lineRule="exact"/>
        <w:rPr>
          <w:rFonts w:ascii="宋体" w:hAnsi="宋体" w:cs="宋体"/>
          <w:b/>
          <w:bCs/>
          <w:sz w:val="24"/>
        </w:rPr>
      </w:pPr>
      <w:r>
        <w:rPr>
          <w:rFonts w:hint="eastAsia" w:ascii="宋体" w:hAnsi="宋体" w:cs="宋体"/>
          <w:b/>
          <w:bCs/>
          <w:sz w:val="24"/>
        </w:rPr>
        <w:t>1、人员配置</w:t>
      </w:r>
    </w:p>
    <w:p w14:paraId="62131E33">
      <w:pPr>
        <w:spacing w:line="440" w:lineRule="exact"/>
        <w:rPr>
          <w:rFonts w:hint="eastAsia" w:ascii="宋体" w:hAnsi="宋体" w:eastAsia="宋体" w:cs="宋体"/>
          <w:b/>
          <w:sz w:val="24"/>
          <w:lang w:eastAsia="zh-CN"/>
        </w:rPr>
      </w:pPr>
      <w:r>
        <w:rPr>
          <w:rFonts w:hint="eastAsia" w:ascii="宋体" w:hAnsi="宋体" w:cs="宋体"/>
          <w:b/>
          <w:sz w:val="24"/>
        </w:rPr>
        <w:t>1.1拟人员配置最低不低于12人：</w:t>
      </w:r>
    </w:p>
    <w:tbl>
      <w:tblPr>
        <w:tblStyle w:val="30"/>
        <w:tblpPr w:leftFromText="180" w:rightFromText="180" w:vertAnchor="text" w:horzAnchor="page" w:tblpX="2161" w:tblpY="260"/>
        <w:tblW w:w="8219" w:type="dxa"/>
        <w:tblInd w:w="-108" w:type="dxa"/>
        <w:tblLayout w:type="fixed"/>
        <w:tblCellMar>
          <w:top w:w="0" w:type="dxa"/>
          <w:left w:w="108" w:type="dxa"/>
          <w:bottom w:w="0" w:type="dxa"/>
          <w:right w:w="108" w:type="dxa"/>
        </w:tblCellMar>
      </w:tblPr>
      <w:tblGrid>
        <w:gridCol w:w="694"/>
        <w:gridCol w:w="1308"/>
        <w:gridCol w:w="4465"/>
        <w:gridCol w:w="1752"/>
      </w:tblGrid>
      <w:tr w14:paraId="114845D3">
        <w:tblPrEx>
          <w:tblCellMar>
            <w:top w:w="0" w:type="dxa"/>
            <w:left w:w="108" w:type="dxa"/>
            <w:bottom w:w="0" w:type="dxa"/>
            <w:right w:w="108" w:type="dxa"/>
          </w:tblCellMar>
        </w:tblPrEx>
        <w:trPr>
          <w:trHeight w:val="656" w:hRule="atLeast"/>
        </w:trPr>
        <w:tc>
          <w:tcPr>
            <w:tcW w:w="694" w:type="dxa"/>
            <w:tcBorders>
              <w:top w:val="single" w:color="000000" w:sz="4" w:space="0"/>
              <w:left w:val="single" w:color="000000" w:sz="4" w:space="0"/>
              <w:bottom w:val="single" w:color="000000" w:sz="4" w:space="0"/>
              <w:right w:val="single" w:color="000000" w:sz="4" w:space="0"/>
            </w:tcBorders>
            <w:noWrap/>
            <w:vAlign w:val="center"/>
          </w:tcPr>
          <w:p w14:paraId="493D13B5">
            <w:pPr>
              <w:widowControl/>
              <w:jc w:val="center"/>
              <w:rPr>
                <w:rFonts w:ascii="宋体" w:hAnsi="宋体" w:cs="宋体"/>
                <w:color w:val="000000"/>
                <w:sz w:val="24"/>
              </w:rPr>
            </w:pPr>
            <w:r>
              <w:rPr>
                <w:rFonts w:hint="eastAsia" w:ascii="宋体" w:hAnsi="宋体" w:cs="宋体"/>
                <w:color w:val="000000"/>
                <w:sz w:val="24"/>
              </w:rPr>
              <w:t>序号</w:t>
            </w:r>
          </w:p>
        </w:tc>
        <w:tc>
          <w:tcPr>
            <w:tcW w:w="1308" w:type="dxa"/>
            <w:tcBorders>
              <w:top w:val="single" w:color="000000" w:sz="4" w:space="0"/>
              <w:left w:val="single" w:color="000000" w:sz="4" w:space="0"/>
              <w:bottom w:val="single" w:color="000000" w:sz="4" w:space="0"/>
              <w:right w:val="single" w:color="000000" w:sz="4" w:space="0"/>
            </w:tcBorders>
            <w:noWrap/>
            <w:vAlign w:val="center"/>
          </w:tcPr>
          <w:p w14:paraId="67E10720">
            <w:pPr>
              <w:widowControl/>
              <w:jc w:val="center"/>
              <w:rPr>
                <w:rFonts w:ascii="宋体" w:hAnsi="宋体" w:cs="宋体"/>
                <w:color w:val="000000"/>
                <w:sz w:val="24"/>
              </w:rPr>
            </w:pPr>
            <w:r>
              <w:rPr>
                <w:rFonts w:hint="eastAsia" w:ascii="宋体" w:hAnsi="宋体" w:cs="宋体"/>
                <w:color w:val="000000"/>
                <w:sz w:val="24"/>
              </w:rPr>
              <w:t>服务模块</w:t>
            </w:r>
          </w:p>
        </w:tc>
        <w:tc>
          <w:tcPr>
            <w:tcW w:w="4465" w:type="dxa"/>
            <w:tcBorders>
              <w:top w:val="single" w:color="000000" w:sz="4" w:space="0"/>
              <w:left w:val="single" w:color="000000" w:sz="4" w:space="0"/>
              <w:bottom w:val="single" w:color="000000" w:sz="4" w:space="0"/>
              <w:right w:val="single" w:color="000000" w:sz="4" w:space="0"/>
            </w:tcBorders>
            <w:noWrap/>
            <w:vAlign w:val="center"/>
          </w:tcPr>
          <w:p w14:paraId="434BE492">
            <w:pPr>
              <w:widowControl/>
              <w:jc w:val="center"/>
              <w:rPr>
                <w:rFonts w:ascii="宋体" w:hAnsi="宋体" w:cs="宋体"/>
                <w:color w:val="000000"/>
                <w:sz w:val="24"/>
              </w:rPr>
            </w:pPr>
            <w:r>
              <w:rPr>
                <w:rFonts w:hint="eastAsia" w:ascii="宋体" w:hAnsi="宋体" w:cs="宋体"/>
                <w:color w:val="000000"/>
                <w:sz w:val="24"/>
              </w:rPr>
              <w:t>服务内容</w:t>
            </w:r>
          </w:p>
        </w:tc>
        <w:tc>
          <w:tcPr>
            <w:tcW w:w="1752" w:type="dxa"/>
            <w:tcBorders>
              <w:top w:val="single" w:color="000000" w:sz="4" w:space="0"/>
              <w:left w:val="single" w:color="000000" w:sz="4" w:space="0"/>
              <w:bottom w:val="single" w:color="000000" w:sz="4" w:space="0"/>
              <w:right w:val="single" w:color="000000" w:sz="4" w:space="0"/>
            </w:tcBorders>
            <w:noWrap/>
            <w:vAlign w:val="center"/>
          </w:tcPr>
          <w:p w14:paraId="71D65FCC">
            <w:pPr>
              <w:widowControl/>
              <w:jc w:val="center"/>
              <w:rPr>
                <w:rFonts w:ascii="宋体" w:hAnsi="宋体" w:cs="宋体"/>
                <w:color w:val="000000"/>
                <w:sz w:val="24"/>
              </w:rPr>
            </w:pPr>
            <w:r>
              <w:rPr>
                <w:rFonts w:hint="eastAsia" w:ascii="宋体" w:hAnsi="宋体" w:cs="宋体"/>
                <w:color w:val="000000"/>
                <w:sz w:val="24"/>
              </w:rPr>
              <w:t>人员配备</w:t>
            </w:r>
          </w:p>
        </w:tc>
      </w:tr>
      <w:tr w14:paraId="1E7BE0EF">
        <w:tblPrEx>
          <w:tblCellMar>
            <w:top w:w="0" w:type="dxa"/>
            <w:left w:w="108" w:type="dxa"/>
            <w:bottom w:w="0" w:type="dxa"/>
            <w:right w:w="108" w:type="dxa"/>
          </w:tblCellMar>
        </w:tblPrEx>
        <w:trPr>
          <w:trHeight w:val="637" w:hRule="atLeast"/>
        </w:trPr>
        <w:tc>
          <w:tcPr>
            <w:tcW w:w="694" w:type="dxa"/>
            <w:vMerge w:val="restart"/>
            <w:tcBorders>
              <w:top w:val="single" w:color="000000" w:sz="4" w:space="0"/>
              <w:left w:val="single" w:color="000000" w:sz="4" w:space="0"/>
              <w:bottom w:val="nil"/>
              <w:right w:val="single" w:color="000000" w:sz="4" w:space="0"/>
            </w:tcBorders>
            <w:noWrap/>
            <w:vAlign w:val="center"/>
          </w:tcPr>
          <w:p w14:paraId="4E2A964A">
            <w:pPr>
              <w:widowControl/>
              <w:jc w:val="center"/>
              <w:rPr>
                <w:rFonts w:ascii="宋体" w:hAnsi="宋体" w:cs="宋体"/>
                <w:color w:val="000000"/>
                <w:sz w:val="24"/>
              </w:rPr>
            </w:pPr>
            <w:r>
              <w:rPr>
                <w:rFonts w:hint="eastAsia" w:ascii="宋体" w:hAnsi="宋体" w:cs="宋体"/>
                <w:color w:val="000000"/>
                <w:sz w:val="24"/>
              </w:rPr>
              <w:t>1</w:t>
            </w:r>
          </w:p>
        </w:tc>
        <w:tc>
          <w:tcPr>
            <w:tcW w:w="1308" w:type="dxa"/>
            <w:vMerge w:val="restart"/>
            <w:tcBorders>
              <w:top w:val="single" w:color="000000" w:sz="4" w:space="0"/>
              <w:left w:val="single" w:color="000000" w:sz="4" w:space="0"/>
              <w:bottom w:val="nil"/>
              <w:right w:val="single" w:color="000000" w:sz="4" w:space="0"/>
            </w:tcBorders>
            <w:noWrap/>
            <w:vAlign w:val="center"/>
          </w:tcPr>
          <w:p w14:paraId="67B192E2">
            <w:pPr>
              <w:widowControl/>
              <w:jc w:val="center"/>
              <w:rPr>
                <w:rFonts w:ascii="宋体" w:hAnsi="宋体" w:cs="宋体"/>
                <w:color w:val="000000"/>
                <w:sz w:val="24"/>
              </w:rPr>
            </w:pPr>
            <w:r>
              <w:rPr>
                <w:rFonts w:hint="eastAsia" w:ascii="宋体" w:hAnsi="宋体" w:cs="宋体"/>
                <w:color w:val="000000"/>
                <w:szCs w:val="21"/>
              </w:rPr>
              <w:t>审判辅助事务</w:t>
            </w:r>
          </w:p>
        </w:tc>
        <w:tc>
          <w:tcPr>
            <w:tcW w:w="4465" w:type="dxa"/>
            <w:tcBorders>
              <w:top w:val="single" w:color="000000" w:sz="4" w:space="0"/>
              <w:left w:val="single" w:color="000000" w:sz="4" w:space="0"/>
              <w:bottom w:val="single" w:color="000000" w:sz="4" w:space="0"/>
              <w:right w:val="single" w:color="000000" w:sz="4" w:space="0"/>
            </w:tcBorders>
            <w:noWrap/>
            <w:vAlign w:val="center"/>
          </w:tcPr>
          <w:p w14:paraId="28F141B1">
            <w:pPr>
              <w:widowControl/>
              <w:rPr>
                <w:rFonts w:ascii="宋体" w:hAnsi="宋体" w:cs="宋体"/>
                <w:color w:val="000000"/>
                <w:sz w:val="24"/>
              </w:rPr>
            </w:pPr>
            <w:r>
              <w:rPr>
                <w:rFonts w:hint="eastAsia" w:ascii="宋体" w:hAnsi="宋体" w:cs="宋体"/>
                <w:color w:val="000000"/>
                <w:sz w:val="24"/>
              </w:rPr>
              <w:t>【诉讼引导】【复印服务】</w:t>
            </w:r>
          </w:p>
        </w:tc>
        <w:tc>
          <w:tcPr>
            <w:tcW w:w="1752" w:type="dxa"/>
            <w:tcBorders>
              <w:top w:val="single" w:color="000000" w:sz="4" w:space="0"/>
              <w:left w:val="single" w:color="000000" w:sz="4" w:space="0"/>
              <w:bottom w:val="single" w:color="000000" w:sz="4" w:space="0"/>
              <w:right w:val="single" w:color="000000" w:sz="4" w:space="0"/>
            </w:tcBorders>
            <w:noWrap/>
            <w:vAlign w:val="center"/>
          </w:tcPr>
          <w:p w14:paraId="78B8B402">
            <w:pPr>
              <w:widowControl/>
              <w:jc w:val="center"/>
              <w:rPr>
                <w:rFonts w:ascii="宋体" w:hAnsi="宋体" w:cs="宋体"/>
                <w:color w:val="000000"/>
                <w:sz w:val="24"/>
              </w:rPr>
            </w:pPr>
            <w:r>
              <w:rPr>
                <w:rFonts w:hint="eastAsia" w:ascii="宋体" w:hAnsi="宋体" w:cs="宋体"/>
                <w:color w:val="000000"/>
                <w:sz w:val="24"/>
              </w:rPr>
              <w:t>1人</w:t>
            </w:r>
          </w:p>
        </w:tc>
      </w:tr>
      <w:tr w14:paraId="511A02DB">
        <w:tblPrEx>
          <w:tblCellMar>
            <w:top w:w="0" w:type="dxa"/>
            <w:left w:w="108" w:type="dxa"/>
            <w:bottom w:w="0" w:type="dxa"/>
            <w:right w:w="108" w:type="dxa"/>
          </w:tblCellMar>
        </w:tblPrEx>
        <w:trPr>
          <w:trHeight w:val="637" w:hRule="atLeast"/>
        </w:trPr>
        <w:tc>
          <w:tcPr>
            <w:tcW w:w="694" w:type="dxa"/>
            <w:vMerge w:val="continue"/>
            <w:tcBorders>
              <w:top w:val="single" w:color="000000" w:sz="4" w:space="0"/>
              <w:left w:val="single" w:color="000000" w:sz="4" w:space="0"/>
              <w:bottom w:val="nil"/>
              <w:right w:val="single" w:color="000000" w:sz="4" w:space="0"/>
            </w:tcBorders>
            <w:noWrap/>
            <w:vAlign w:val="center"/>
          </w:tcPr>
          <w:p w14:paraId="4C8BB55E">
            <w:pPr>
              <w:jc w:val="center"/>
              <w:rPr>
                <w:rFonts w:ascii="宋体" w:hAnsi="宋体" w:cs="宋体"/>
                <w:color w:val="000000"/>
                <w:sz w:val="24"/>
              </w:rPr>
            </w:pPr>
          </w:p>
        </w:tc>
        <w:tc>
          <w:tcPr>
            <w:tcW w:w="1308" w:type="dxa"/>
            <w:vMerge w:val="continue"/>
            <w:tcBorders>
              <w:top w:val="single" w:color="000000" w:sz="4" w:space="0"/>
              <w:left w:val="single" w:color="000000" w:sz="4" w:space="0"/>
              <w:bottom w:val="nil"/>
              <w:right w:val="single" w:color="000000" w:sz="4" w:space="0"/>
            </w:tcBorders>
            <w:noWrap/>
            <w:vAlign w:val="center"/>
          </w:tcPr>
          <w:p w14:paraId="2A48E449">
            <w:pPr>
              <w:jc w:val="center"/>
              <w:rPr>
                <w:rFonts w:ascii="宋体" w:hAnsi="宋体" w:cs="宋体"/>
                <w:color w:val="000000"/>
                <w:sz w:val="24"/>
              </w:rPr>
            </w:pPr>
          </w:p>
        </w:tc>
        <w:tc>
          <w:tcPr>
            <w:tcW w:w="4465" w:type="dxa"/>
            <w:tcBorders>
              <w:top w:val="single" w:color="000000" w:sz="4" w:space="0"/>
              <w:left w:val="single" w:color="000000" w:sz="4" w:space="0"/>
              <w:bottom w:val="single" w:color="000000" w:sz="4" w:space="0"/>
              <w:right w:val="single" w:color="000000" w:sz="4" w:space="0"/>
            </w:tcBorders>
            <w:noWrap/>
            <w:vAlign w:val="center"/>
          </w:tcPr>
          <w:p w14:paraId="099A3625">
            <w:pPr>
              <w:widowControl/>
              <w:rPr>
                <w:rFonts w:ascii="宋体" w:hAnsi="宋体" w:cs="宋体"/>
                <w:color w:val="000000"/>
                <w:sz w:val="24"/>
              </w:rPr>
            </w:pPr>
            <w:r>
              <w:rPr>
                <w:rFonts w:hint="eastAsia" w:ascii="宋体" w:hAnsi="宋体" w:cs="宋体"/>
                <w:color w:val="000000"/>
                <w:sz w:val="24"/>
              </w:rPr>
              <w:t>【民商事、执行案件立案登记信息录入】</w:t>
            </w:r>
          </w:p>
        </w:tc>
        <w:tc>
          <w:tcPr>
            <w:tcW w:w="1752" w:type="dxa"/>
            <w:tcBorders>
              <w:top w:val="single" w:color="000000" w:sz="4" w:space="0"/>
              <w:left w:val="single" w:color="000000" w:sz="4" w:space="0"/>
              <w:bottom w:val="single" w:color="000000" w:sz="4" w:space="0"/>
              <w:right w:val="single" w:color="000000" w:sz="4" w:space="0"/>
            </w:tcBorders>
            <w:noWrap/>
            <w:vAlign w:val="center"/>
          </w:tcPr>
          <w:p w14:paraId="321F487D">
            <w:pPr>
              <w:widowControl/>
              <w:jc w:val="center"/>
              <w:rPr>
                <w:rFonts w:ascii="宋体" w:hAnsi="宋体" w:cs="宋体"/>
                <w:color w:val="000000"/>
                <w:sz w:val="24"/>
              </w:rPr>
            </w:pPr>
            <w:r>
              <w:rPr>
                <w:rFonts w:hint="eastAsia" w:ascii="宋体" w:hAnsi="宋体" w:cs="宋体"/>
                <w:color w:val="000000"/>
                <w:sz w:val="24"/>
              </w:rPr>
              <w:t>1人</w:t>
            </w:r>
          </w:p>
        </w:tc>
      </w:tr>
      <w:tr w14:paraId="521614EC">
        <w:tblPrEx>
          <w:tblCellMar>
            <w:top w:w="0" w:type="dxa"/>
            <w:left w:w="108" w:type="dxa"/>
            <w:bottom w:w="0" w:type="dxa"/>
            <w:right w:w="108" w:type="dxa"/>
          </w:tblCellMar>
        </w:tblPrEx>
        <w:trPr>
          <w:trHeight w:val="637" w:hRule="atLeast"/>
        </w:trPr>
        <w:tc>
          <w:tcPr>
            <w:tcW w:w="694" w:type="dxa"/>
            <w:vMerge w:val="continue"/>
            <w:tcBorders>
              <w:top w:val="single" w:color="000000" w:sz="4" w:space="0"/>
              <w:left w:val="single" w:color="000000" w:sz="4" w:space="0"/>
              <w:bottom w:val="nil"/>
              <w:right w:val="single" w:color="000000" w:sz="4" w:space="0"/>
            </w:tcBorders>
            <w:noWrap/>
            <w:vAlign w:val="center"/>
          </w:tcPr>
          <w:p w14:paraId="053A2BDF">
            <w:pPr>
              <w:jc w:val="center"/>
              <w:rPr>
                <w:rFonts w:ascii="宋体" w:hAnsi="宋体" w:cs="宋体"/>
                <w:color w:val="000000"/>
                <w:sz w:val="24"/>
              </w:rPr>
            </w:pPr>
          </w:p>
        </w:tc>
        <w:tc>
          <w:tcPr>
            <w:tcW w:w="1308" w:type="dxa"/>
            <w:vMerge w:val="continue"/>
            <w:tcBorders>
              <w:top w:val="single" w:color="000000" w:sz="4" w:space="0"/>
              <w:left w:val="single" w:color="000000" w:sz="4" w:space="0"/>
              <w:bottom w:val="single" w:color="000000" w:sz="4" w:space="0"/>
              <w:right w:val="single" w:color="000000" w:sz="4" w:space="0"/>
            </w:tcBorders>
            <w:noWrap/>
            <w:vAlign w:val="center"/>
          </w:tcPr>
          <w:p w14:paraId="4D9633BB">
            <w:pPr>
              <w:jc w:val="center"/>
              <w:rPr>
                <w:rFonts w:ascii="宋体" w:hAnsi="宋体" w:cs="宋体"/>
                <w:color w:val="000000"/>
                <w:sz w:val="24"/>
              </w:rPr>
            </w:pPr>
          </w:p>
        </w:tc>
        <w:tc>
          <w:tcPr>
            <w:tcW w:w="4465" w:type="dxa"/>
            <w:tcBorders>
              <w:top w:val="single" w:color="000000" w:sz="4" w:space="0"/>
              <w:left w:val="single" w:color="000000" w:sz="4" w:space="0"/>
              <w:bottom w:val="single" w:color="000000" w:sz="4" w:space="0"/>
              <w:right w:val="single" w:color="000000" w:sz="4" w:space="0"/>
            </w:tcBorders>
            <w:noWrap/>
            <w:vAlign w:val="center"/>
          </w:tcPr>
          <w:p w14:paraId="0E722DEE">
            <w:pPr>
              <w:widowControl/>
              <w:rPr>
                <w:rFonts w:ascii="宋体" w:hAnsi="宋体" w:cs="宋体"/>
                <w:color w:val="000000"/>
                <w:sz w:val="24"/>
              </w:rPr>
            </w:pPr>
            <w:r>
              <w:rPr>
                <w:rFonts w:hint="eastAsia" w:ascii="宋体" w:hAnsi="宋体" w:cs="宋体"/>
                <w:color w:val="000000"/>
                <w:sz w:val="24"/>
              </w:rPr>
              <w:t>【</w:t>
            </w:r>
            <w:r>
              <w:rPr>
                <w:rFonts w:hint="eastAsia" w:ascii="宋体" w:hAnsi="宋体" w:eastAsia="宋体" w:cs="宋体"/>
                <w:color w:val="000000"/>
                <w:sz w:val="24"/>
                <w:lang w:val="en-US" w:eastAsia="zh-CN"/>
              </w:rPr>
              <w:t>案件数字化加工】</w:t>
            </w:r>
            <w:r>
              <w:rPr>
                <w:rFonts w:hint="eastAsia" w:ascii="宋体" w:hAnsi="宋体" w:cs="宋体"/>
                <w:color w:val="000000"/>
                <w:sz w:val="24"/>
              </w:rPr>
              <w:t xml:space="preserve">          </w:t>
            </w:r>
          </w:p>
        </w:tc>
        <w:tc>
          <w:tcPr>
            <w:tcW w:w="1752" w:type="dxa"/>
            <w:tcBorders>
              <w:top w:val="single" w:color="000000" w:sz="4" w:space="0"/>
              <w:left w:val="single" w:color="000000" w:sz="4" w:space="0"/>
              <w:bottom w:val="single" w:color="000000" w:sz="4" w:space="0"/>
              <w:right w:val="single" w:color="000000" w:sz="4" w:space="0"/>
            </w:tcBorders>
            <w:noWrap/>
            <w:vAlign w:val="center"/>
          </w:tcPr>
          <w:p w14:paraId="36913312">
            <w:pPr>
              <w:widowControl/>
              <w:jc w:val="center"/>
              <w:rPr>
                <w:rFonts w:ascii="宋体" w:hAnsi="宋体" w:cs="宋体"/>
                <w:color w:val="000000"/>
                <w:sz w:val="24"/>
              </w:rPr>
            </w:pPr>
            <w:r>
              <w:rPr>
                <w:rFonts w:hint="eastAsia" w:ascii="宋体" w:hAnsi="宋体" w:cs="宋体"/>
                <w:color w:val="000000"/>
                <w:sz w:val="24"/>
                <w:lang w:val="en-US" w:eastAsia="zh-CN"/>
              </w:rPr>
              <w:t>1</w:t>
            </w:r>
            <w:r>
              <w:rPr>
                <w:rFonts w:hint="eastAsia" w:ascii="宋体" w:hAnsi="宋体" w:cs="宋体"/>
                <w:color w:val="000000"/>
                <w:sz w:val="24"/>
              </w:rPr>
              <w:t>人</w:t>
            </w:r>
          </w:p>
        </w:tc>
      </w:tr>
      <w:tr w14:paraId="0F9ED1D3">
        <w:tblPrEx>
          <w:tblCellMar>
            <w:top w:w="0" w:type="dxa"/>
            <w:left w:w="108" w:type="dxa"/>
            <w:bottom w:w="0" w:type="dxa"/>
            <w:right w:w="108" w:type="dxa"/>
          </w:tblCellMar>
        </w:tblPrEx>
        <w:trPr>
          <w:trHeight w:val="637" w:hRule="atLeast"/>
        </w:trPr>
        <w:tc>
          <w:tcPr>
            <w:tcW w:w="694" w:type="dxa"/>
            <w:vMerge w:val="restart"/>
            <w:tcBorders>
              <w:top w:val="single" w:color="000000" w:sz="4" w:space="0"/>
              <w:left w:val="single" w:color="000000" w:sz="4" w:space="0"/>
              <w:bottom w:val="nil"/>
              <w:right w:val="single" w:color="000000" w:sz="4" w:space="0"/>
            </w:tcBorders>
            <w:noWrap/>
            <w:vAlign w:val="center"/>
          </w:tcPr>
          <w:p w14:paraId="174DBDAD">
            <w:pPr>
              <w:widowControl/>
              <w:jc w:val="center"/>
              <w:rPr>
                <w:rFonts w:ascii="宋体" w:hAnsi="宋体" w:cs="宋体"/>
                <w:color w:val="000000"/>
                <w:sz w:val="24"/>
              </w:rPr>
            </w:pPr>
            <w:r>
              <w:rPr>
                <w:rFonts w:hint="eastAsia" w:ascii="宋体" w:hAnsi="宋体" w:cs="宋体"/>
                <w:color w:val="000000"/>
                <w:sz w:val="24"/>
              </w:rPr>
              <w:t>2</w:t>
            </w:r>
          </w:p>
        </w:tc>
        <w:tc>
          <w:tcPr>
            <w:tcW w:w="1308" w:type="dxa"/>
            <w:vMerge w:val="restart"/>
            <w:tcBorders>
              <w:top w:val="single" w:color="000000" w:sz="4" w:space="0"/>
              <w:left w:val="single" w:color="000000" w:sz="4" w:space="0"/>
              <w:bottom w:val="nil"/>
              <w:right w:val="single" w:color="000000" w:sz="4" w:space="0"/>
            </w:tcBorders>
            <w:noWrap/>
            <w:vAlign w:val="center"/>
          </w:tcPr>
          <w:p w14:paraId="0ABF3E5E">
            <w:pPr>
              <w:widowControl/>
              <w:jc w:val="center"/>
              <w:rPr>
                <w:rFonts w:ascii="宋体" w:hAnsi="宋体" w:cs="宋体"/>
                <w:color w:val="000000"/>
                <w:sz w:val="24"/>
                <w:highlight w:val="none"/>
              </w:rPr>
            </w:pPr>
            <w:r>
              <w:rPr>
                <w:rFonts w:hint="eastAsia" w:ascii="宋体" w:hAnsi="宋体" w:cs="宋体"/>
                <w:color w:val="000000"/>
                <w:sz w:val="24"/>
                <w:highlight w:val="none"/>
              </w:rPr>
              <w:t>执行辅助事务</w:t>
            </w:r>
          </w:p>
        </w:tc>
        <w:tc>
          <w:tcPr>
            <w:tcW w:w="4465" w:type="dxa"/>
            <w:tcBorders>
              <w:top w:val="single" w:color="000000" w:sz="4" w:space="0"/>
              <w:left w:val="single" w:color="000000" w:sz="4" w:space="0"/>
              <w:bottom w:val="single" w:color="000000" w:sz="4" w:space="0"/>
              <w:right w:val="single" w:color="000000" w:sz="4" w:space="0"/>
            </w:tcBorders>
            <w:noWrap/>
            <w:vAlign w:val="center"/>
          </w:tcPr>
          <w:p w14:paraId="494F079D">
            <w:pPr>
              <w:widowControl/>
              <w:rPr>
                <w:rFonts w:ascii="宋体" w:hAnsi="宋体" w:cs="宋体"/>
                <w:color w:val="000000"/>
                <w:sz w:val="24"/>
                <w:highlight w:val="none"/>
              </w:rPr>
            </w:pPr>
            <w:r>
              <w:rPr>
                <w:rFonts w:hint="eastAsia" w:ascii="宋体" w:hAnsi="宋体" w:cs="宋体"/>
                <w:color w:val="000000"/>
                <w:sz w:val="24"/>
                <w:highlight w:val="none"/>
              </w:rPr>
              <w:t>【执行一站通办辅助及管理平台】 【</w:t>
            </w:r>
            <w:r>
              <w:rPr>
                <w:rFonts w:hint="eastAsia" w:ascii="宋体" w:hAnsi="宋体" w:cs="宋体"/>
                <w:sz w:val="24"/>
                <w:highlight w:val="none"/>
              </w:rPr>
              <w:t>执行智能语音电话</w:t>
            </w:r>
            <w:r>
              <w:rPr>
                <w:rFonts w:hint="eastAsia" w:ascii="宋体" w:hAnsi="宋体" w:cs="宋体"/>
                <w:color w:val="000000"/>
                <w:sz w:val="24"/>
                <w:highlight w:val="none"/>
              </w:rPr>
              <w:t xml:space="preserve">值守】 </w:t>
            </w:r>
          </w:p>
        </w:tc>
        <w:tc>
          <w:tcPr>
            <w:tcW w:w="1752" w:type="dxa"/>
            <w:tcBorders>
              <w:top w:val="single" w:color="000000" w:sz="4" w:space="0"/>
              <w:left w:val="single" w:color="000000" w:sz="4" w:space="0"/>
              <w:bottom w:val="single" w:color="000000" w:sz="4" w:space="0"/>
              <w:right w:val="single" w:color="000000" w:sz="4" w:space="0"/>
            </w:tcBorders>
            <w:noWrap/>
            <w:vAlign w:val="center"/>
          </w:tcPr>
          <w:p w14:paraId="5892AFA3">
            <w:pPr>
              <w:widowControl/>
              <w:jc w:val="center"/>
              <w:rPr>
                <w:rFonts w:ascii="宋体" w:hAnsi="宋体" w:cs="宋体"/>
                <w:color w:val="000000"/>
                <w:sz w:val="24"/>
                <w:highlight w:val="none"/>
              </w:rPr>
            </w:pPr>
            <w:r>
              <w:rPr>
                <w:rFonts w:hint="eastAsia" w:ascii="宋体" w:hAnsi="宋体" w:cs="宋体"/>
                <w:color w:val="000000"/>
                <w:sz w:val="24"/>
                <w:highlight w:val="none"/>
              </w:rPr>
              <w:t>2人</w:t>
            </w:r>
          </w:p>
        </w:tc>
      </w:tr>
      <w:tr w14:paraId="03D62BF9">
        <w:tblPrEx>
          <w:tblCellMar>
            <w:top w:w="0" w:type="dxa"/>
            <w:left w:w="108" w:type="dxa"/>
            <w:bottom w:w="0" w:type="dxa"/>
            <w:right w:w="108" w:type="dxa"/>
          </w:tblCellMar>
        </w:tblPrEx>
        <w:trPr>
          <w:trHeight w:val="637" w:hRule="atLeast"/>
        </w:trPr>
        <w:tc>
          <w:tcPr>
            <w:tcW w:w="694" w:type="dxa"/>
            <w:vMerge w:val="continue"/>
            <w:tcBorders>
              <w:top w:val="nil"/>
              <w:left w:val="single" w:color="000000" w:sz="4" w:space="0"/>
              <w:bottom w:val="nil"/>
              <w:right w:val="single" w:color="000000" w:sz="4" w:space="0"/>
            </w:tcBorders>
            <w:noWrap/>
            <w:vAlign w:val="center"/>
          </w:tcPr>
          <w:p w14:paraId="7B9CFD65">
            <w:pPr>
              <w:jc w:val="center"/>
              <w:rPr>
                <w:rFonts w:ascii="宋体" w:hAnsi="宋体" w:cs="宋体"/>
                <w:color w:val="000000"/>
                <w:sz w:val="24"/>
              </w:rPr>
            </w:pPr>
          </w:p>
        </w:tc>
        <w:tc>
          <w:tcPr>
            <w:tcW w:w="1308" w:type="dxa"/>
            <w:vMerge w:val="continue"/>
            <w:tcBorders>
              <w:top w:val="nil"/>
              <w:left w:val="single" w:color="000000" w:sz="4" w:space="0"/>
              <w:bottom w:val="nil"/>
              <w:right w:val="single" w:color="000000" w:sz="4" w:space="0"/>
            </w:tcBorders>
            <w:noWrap/>
            <w:vAlign w:val="center"/>
          </w:tcPr>
          <w:p w14:paraId="317B3CB4">
            <w:pPr>
              <w:jc w:val="center"/>
              <w:rPr>
                <w:rFonts w:ascii="宋体" w:hAnsi="宋体" w:cs="宋体"/>
                <w:color w:val="000000"/>
                <w:sz w:val="24"/>
                <w:highlight w:val="none"/>
              </w:rPr>
            </w:pPr>
          </w:p>
        </w:tc>
        <w:tc>
          <w:tcPr>
            <w:tcW w:w="4465" w:type="dxa"/>
            <w:tcBorders>
              <w:top w:val="single" w:color="000000" w:sz="4" w:space="0"/>
              <w:left w:val="single" w:color="000000" w:sz="4" w:space="0"/>
              <w:bottom w:val="single" w:color="000000" w:sz="4" w:space="0"/>
              <w:right w:val="single" w:color="000000" w:sz="4" w:space="0"/>
            </w:tcBorders>
            <w:noWrap/>
            <w:vAlign w:val="center"/>
          </w:tcPr>
          <w:p w14:paraId="51FFD844">
            <w:pPr>
              <w:widowControl/>
              <w:rPr>
                <w:rFonts w:ascii="宋体" w:hAnsi="宋体" w:cs="宋体"/>
                <w:color w:val="000000"/>
                <w:sz w:val="24"/>
                <w:highlight w:val="none"/>
              </w:rPr>
            </w:pPr>
            <w:r>
              <w:rPr>
                <w:rFonts w:hint="eastAsia" w:ascii="宋体" w:hAnsi="宋体" w:cs="宋体"/>
                <w:color w:val="000000"/>
                <w:sz w:val="24"/>
                <w:highlight w:val="none"/>
              </w:rPr>
              <w:t>【</w:t>
            </w:r>
            <w:r>
              <w:rPr>
                <w:rFonts w:hint="eastAsia" w:ascii="宋体" w:hAnsi="宋体" w:eastAsia="宋体" w:cs="宋体"/>
                <w:color w:val="000000"/>
                <w:sz w:val="24"/>
                <w:highlight w:val="none"/>
                <w:lang w:val="en-US" w:eastAsia="zh-CN"/>
              </w:rPr>
              <w:t>来访登记</w:t>
            </w:r>
            <w:r>
              <w:rPr>
                <w:rFonts w:hint="eastAsia" w:ascii="宋体" w:hAnsi="宋体" w:cs="宋体"/>
                <w:color w:val="000000"/>
                <w:sz w:val="24"/>
                <w:highlight w:val="none"/>
              </w:rPr>
              <w:t>】【</w:t>
            </w:r>
            <w:r>
              <w:rPr>
                <w:rFonts w:hint="eastAsia" w:ascii="宋体" w:hAnsi="宋体" w:eastAsia="宋体" w:cs="宋体"/>
                <w:color w:val="000000"/>
                <w:sz w:val="24"/>
                <w:highlight w:val="none"/>
              </w:rPr>
              <w:t>数据管理辅助</w:t>
            </w:r>
            <w:r>
              <w:rPr>
                <w:rFonts w:hint="eastAsia" w:ascii="宋体" w:hAnsi="宋体" w:cs="宋体"/>
                <w:color w:val="000000"/>
                <w:sz w:val="24"/>
                <w:highlight w:val="none"/>
              </w:rPr>
              <w:t>】</w:t>
            </w:r>
          </w:p>
        </w:tc>
        <w:tc>
          <w:tcPr>
            <w:tcW w:w="1752" w:type="dxa"/>
            <w:tcBorders>
              <w:top w:val="single" w:color="000000" w:sz="4" w:space="0"/>
              <w:left w:val="single" w:color="000000" w:sz="4" w:space="0"/>
              <w:bottom w:val="single" w:color="000000" w:sz="4" w:space="0"/>
              <w:right w:val="single" w:color="000000" w:sz="4" w:space="0"/>
            </w:tcBorders>
            <w:noWrap/>
            <w:vAlign w:val="center"/>
          </w:tcPr>
          <w:p w14:paraId="03DFE5A0">
            <w:pPr>
              <w:widowControl/>
              <w:jc w:val="center"/>
              <w:rPr>
                <w:rFonts w:ascii="宋体" w:hAnsi="宋体" w:cs="宋体"/>
                <w:color w:val="000000"/>
                <w:sz w:val="24"/>
                <w:highlight w:val="none"/>
              </w:rPr>
            </w:pPr>
            <w:r>
              <w:rPr>
                <w:rFonts w:hint="eastAsia" w:ascii="宋体" w:hAnsi="宋体" w:cs="宋体"/>
                <w:color w:val="000000"/>
                <w:sz w:val="24"/>
                <w:highlight w:val="none"/>
                <w:lang w:val="en-US" w:eastAsia="zh-CN"/>
              </w:rPr>
              <w:t>1</w:t>
            </w:r>
            <w:r>
              <w:rPr>
                <w:rFonts w:hint="eastAsia" w:ascii="宋体" w:hAnsi="宋体" w:cs="宋体"/>
                <w:color w:val="000000"/>
                <w:sz w:val="24"/>
                <w:highlight w:val="none"/>
              </w:rPr>
              <w:t>人</w:t>
            </w:r>
          </w:p>
        </w:tc>
      </w:tr>
      <w:tr w14:paraId="12DE209F">
        <w:tblPrEx>
          <w:tblCellMar>
            <w:top w:w="0" w:type="dxa"/>
            <w:left w:w="108" w:type="dxa"/>
            <w:bottom w:w="0" w:type="dxa"/>
            <w:right w:w="108" w:type="dxa"/>
          </w:tblCellMar>
        </w:tblPrEx>
        <w:trPr>
          <w:trHeight w:val="592" w:hRule="atLeast"/>
        </w:trPr>
        <w:tc>
          <w:tcPr>
            <w:tcW w:w="694" w:type="dxa"/>
            <w:vMerge w:val="continue"/>
            <w:tcBorders>
              <w:top w:val="nil"/>
              <w:left w:val="single" w:color="000000" w:sz="4" w:space="0"/>
              <w:bottom w:val="nil"/>
              <w:right w:val="single" w:color="000000" w:sz="4" w:space="0"/>
            </w:tcBorders>
            <w:noWrap/>
            <w:vAlign w:val="center"/>
          </w:tcPr>
          <w:p w14:paraId="02F6C1CE">
            <w:pPr>
              <w:widowControl/>
              <w:jc w:val="center"/>
              <w:rPr>
                <w:rFonts w:hint="eastAsia" w:ascii="宋体" w:hAnsi="宋体" w:cs="宋体"/>
                <w:color w:val="000000"/>
                <w:sz w:val="24"/>
              </w:rPr>
            </w:pPr>
          </w:p>
        </w:tc>
        <w:tc>
          <w:tcPr>
            <w:tcW w:w="1308" w:type="dxa"/>
            <w:vMerge w:val="continue"/>
            <w:tcBorders>
              <w:top w:val="nil"/>
              <w:left w:val="single" w:color="000000" w:sz="4" w:space="0"/>
              <w:bottom w:val="nil"/>
              <w:right w:val="single" w:color="000000" w:sz="4" w:space="0"/>
            </w:tcBorders>
            <w:noWrap/>
            <w:vAlign w:val="center"/>
          </w:tcPr>
          <w:p w14:paraId="2EB5BC03">
            <w:pPr>
              <w:widowControl/>
              <w:jc w:val="center"/>
              <w:rPr>
                <w:rFonts w:hint="eastAsia" w:ascii="宋体" w:hAnsi="宋体" w:cs="宋体"/>
                <w:color w:val="000000"/>
                <w:sz w:val="24"/>
                <w:highlight w:val="none"/>
              </w:rPr>
            </w:pPr>
          </w:p>
        </w:tc>
        <w:tc>
          <w:tcPr>
            <w:tcW w:w="4465" w:type="dxa"/>
            <w:tcBorders>
              <w:top w:val="single" w:color="000000" w:sz="4" w:space="0"/>
              <w:left w:val="single" w:color="000000" w:sz="4" w:space="0"/>
              <w:bottom w:val="single" w:color="000000" w:sz="4" w:space="0"/>
              <w:right w:val="single" w:color="000000" w:sz="4" w:space="0"/>
            </w:tcBorders>
            <w:noWrap/>
            <w:vAlign w:val="center"/>
          </w:tcPr>
          <w:p w14:paraId="07E69CA6">
            <w:pPr>
              <w:widowControl/>
              <w:rPr>
                <w:rFonts w:hint="eastAsia" w:ascii="宋体" w:hAnsi="宋体" w:cs="宋体"/>
                <w:color w:val="000000"/>
                <w:sz w:val="24"/>
                <w:highlight w:val="none"/>
              </w:rPr>
            </w:pPr>
            <w:r>
              <w:rPr>
                <w:rFonts w:hint="eastAsia" w:ascii="宋体" w:hAnsi="宋体" w:cs="宋体"/>
                <w:color w:val="000000"/>
                <w:sz w:val="24"/>
                <w:highlight w:val="none"/>
              </w:rPr>
              <w:t>【</w:t>
            </w:r>
            <w:r>
              <w:rPr>
                <w:rFonts w:hint="eastAsia" w:ascii="宋体" w:hAnsi="宋体" w:eastAsia="宋体" w:cs="宋体"/>
                <w:color w:val="000000"/>
                <w:sz w:val="24"/>
                <w:highlight w:val="none"/>
                <w:lang w:val="en-US" w:eastAsia="zh-CN"/>
              </w:rPr>
              <w:t>邮寄登记</w:t>
            </w:r>
            <w:r>
              <w:rPr>
                <w:rFonts w:hint="eastAsia" w:ascii="宋体" w:hAnsi="宋体" w:cs="宋体"/>
                <w:color w:val="000000"/>
                <w:sz w:val="24"/>
                <w:highlight w:val="none"/>
              </w:rPr>
              <w:t>】【文书送达】</w:t>
            </w:r>
          </w:p>
        </w:tc>
        <w:tc>
          <w:tcPr>
            <w:tcW w:w="1752" w:type="dxa"/>
            <w:tcBorders>
              <w:top w:val="single" w:color="000000" w:sz="4" w:space="0"/>
              <w:left w:val="single" w:color="000000" w:sz="4" w:space="0"/>
              <w:bottom w:val="single" w:color="000000" w:sz="4" w:space="0"/>
              <w:right w:val="single" w:color="000000" w:sz="4" w:space="0"/>
            </w:tcBorders>
            <w:noWrap/>
            <w:vAlign w:val="center"/>
          </w:tcPr>
          <w:p w14:paraId="2B8A745B">
            <w:pPr>
              <w:widowControl/>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2人</w:t>
            </w:r>
          </w:p>
        </w:tc>
      </w:tr>
      <w:tr w14:paraId="061C13B5">
        <w:tblPrEx>
          <w:tblCellMar>
            <w:top w:w="0" w:type="dxa"/>
            <w:left w:w="108" w:type="dxa"/>
            <w:bottom w:w="0" w:type="dxa"/>
            <w:right w:w="108" w:type="dxa"/>
          </w:tblCellMar>
        </w:tblPrEx>
        <w:trPr>
          <w:trHeight w:val="637" w:hRule="atLeast"/>
        </w:trPr>
        <w:tc>
          <w:tcPr>
            <w:tcW w:w="694" w:type="dxa"/>
            <w:tcBorders>
              <w:top w:val="single" w:color="000000" w:sz="4" w:space="0"/>
              <w:left w:val="single" w:color="000000" w:sz="4" w:space="0"/>
              <w:bottom w:val="single" w:color="000000" w:sz="4" w:space="0"/>
              <w:right w:val="single" w:color="000000" w:sz="4" w:space="0"/>
            </w:tcBorders>
            <w:noWrap/>
            <w:vAlign w:val="center"/>
          </w:tcPr>
          <w:p w14:paraId="1C4F1E2E">
            <w:pPr>
              <w:widowControl/>
              <w:jc w:val="center"/>
              <w:rPr>
                <w:rFonts w:ascii="宋体" w:hAnsi="宋体" w:cs="宋体"/>
                <w:color w:val="000000"/>
                <w:sz w:val="24"/>
              </w:rPr>
            </w:pPr>
            <w:r>
              <w:rPr>
                <w:rFonts w:hint="eastAsia" w:ascii="宋体" w:hAnsi="宋体" w:cs="宋体"/>
                <w:color w:val="000000"/>
                <w:sz w:val="24"/>
              </w:rPr>
              <w:t>3</w:t>
            </w:r>
          </w:p>
        </w:tc>
        <w:tc>
          <w:tcPr>
            <w:tcW w:w="1308" w:type="dxa"/>
            <w:tcBorders>
              <w:top w:val="single" w:color="000000" w:sz="4" w:space="0"/>
              <w:left w:val="single" w:color="000000" w:sz="4" w:space="0"/>
              <w:bottom w:val="single" w:color="000000" w:sz="4" w:space="0"/>
              <w:right w:val="single" w:color="000000" w:sz="4" w:space="0"/>
            </w:tcBorders>
            <w:noWrap/>
            <w:vAlign w:val="center"/>
          </w:tcPr>
          <w:p w14:paraId="4685575B">
            <w:pPr>
              <w:widowControl/>
              <w:jc w:val="center"/>
              <w:rPr>
                <w:rFonts w:hint="eastAsia" w:ascii="宋体" w:hAnsi="宋体" w:cs="宋体"/>
                <w:color w:val="000000"/>
                <w:sz w:val="24"/>
              </w:rPr>
            </w:pPr>
            <w:r>
              <w:rPr>
                <w:rFonts w:hint="eastAsia" w:ascii="宋体" w:hAnsi="宋体" w:cs="宋体"/>
                <w:color w:val="000000"/>
                <w:sz w:val="24"/>
              </w:rPr>
              <w:t>中间库管理</w:t>
            </w:r>
          </w:p>
        </w:tc>
        <w:tc>
          <w:tcPr>
            <w:tcW w:w="4465" w:type="dxa"/>
            <w:tcBorders>
              <w:top w:val="single" w:color="000000" w:sz="4" w:space="0"/>
              <w:left w:val="single" w:color="000000" w:sz="4" w:space="0"/>
              <w:bottom w:val="single" w:color="000000" w:sz="4" w:space="0"/>
              <w:right w:val="single" w:color="000000" w:sz="4" w:space="0"/>
            </w:tcBorders>
            <w:noWrap/>
            <w:vAlign w:val="center"/>
          </w:tcPr>
          <w:p w14:paraId="37F844E7">
            <w:pPr>
              <w:widowControl/>
              <w:rPr>
                <w:rFonts w:ascii="宋体" w:hAnsi="宋体" w:cs="宋体"/>
                <w:color w:val="000000"/>
                <w:sz w:val="24"/>
              </w:rPr>
            </w:pPr>
            <w:r>
              <w:rPr>
                <w:rFonts w:hint="eastAsia" w:ascii="宋体" w:hAnsi="宋体" w:cs="宋体"/>
                <w:color w:val="000000"/>
                <w:sz w:val="24"/>
              </w:rPr>
              <w:t>【</w:t>
            </w:r>
            <w:r>
              <w:rPr>
                <w:rFonts w:hint="eastAsia" w:ascii="宋体" w:hAnsi="宋体" w:eastAsia="宋体" w:cs="宋体"/>
                <w:color w:val="000000"/>
                <w:sz w:val="24"/>
                <w:lang w:val="en-US" w:eastAsia="zh-CN"/>
              </w:rPr>
              <w:t>中间库服务</w:t>
            </w:r>
            <w:r>
              <w:rPr>
                <w:rFonts w:hint="eastAsia" w:ascii="宋体" w:hAnsi="宋体" w:cs="宋体"/>
                <w:color w:val="000000"/>
                <w:sz w:val="24"/>
              </w:rPr>
              <w:t>】【执行终本</w:t>
            </w:r>
            <w:r>
              <w:rPr>
                <w:rFonts w:hint="eastAsia" w:ascii="宋体" w:hAnsi="宋体" w:eastAsia="宋体" w:cs="宋体"/>
                <w:color w:val="000000"/>
                <w:sz w:val="24"/>
                <w:lang w:val="en-US" w:eastAsia="zh-CN"/>
              </w:rPr>
              <w:t>中间</w:t>
            </w:r>
            <w:r>
              <w:rPr>
                <w:rFonts w:hint="eastAsia" w:ascii="宋体" w:hAnsi="宋体" w:cs="宋体"/>
                <w:color w:val="000000"/>
                <w:sz w:val="24"/>
              </w:rPr>
              <w:t>库】</w:t>
            </w:r>
          </w:p>
        </w:tc>
        <w:tc>
          <w:tcPr>
            <w:tcW w:w="1752" w:type="dxa"/>
            <w:tcBorders>
              <w:top w:val="single" w:color="000000" w:sz="4" w:space="0"/>
              <w:left w:val="single" w:color="000000" w:sz="4" w:space="0"/>
              <w:bottom w:val="single" w:color="000000" w:sz="4" w:space="0"/>
              <w:right w:val="single" w:color="000000" w:sz="4" w:space="0"/>
            </w:tcBorders>
            <w:noWrap/>
            <w:vAlign w:val="center"/>
          </w:tcPr>
          <w:p w14:paraId="4ECDFADC">
            <w:pPr>
              <w:widowControl/>
              <w:jc w:val="center"/>
              <w:rPr>
                <w:rFonts w:ascii="宋体" w:hAnsi="宋体" w:cs="宋体"/>
                <w:color w:val="000000"/>
                <w:sz w:val="24"/>
              </w:rPr>
            </w:pPr>
            <w:r>
              <w:rPr>
                <w:rFonts w:hint="eastAsia" w:ascii="宋体" w:hAnsi="宋体" w:eastAsia="宋体" w:cs="宋体"/>
                <w:color w:val="000000"/>
                <w:sz w:val="24"/>
                <w:lang w:val="en-US" w:eastAsia="zh-CN"/>
              </w:rPr>
              <w:t>2</w:t>
            </w:r>
            <w:r>
              <w:rPr>
                <w:rFonts w:hint="eastAsia" w:ascii="宋体" w:hAnsi="宋体" w:cs="宋体"/>
                <w:color w:val="000000"/>
                <w:sz w:val="24"/>
              </w:rPr>
              <w:t>人</w:t>
            </w:r>
          </w:p>
        </w:tc>
      </w:tr>
      <w:tr w14:paraId="3157D207">
        <w:tblPrEx>
          <w:tblCellMar>
            <w:top w:w="0" w:type="dxa"/>
            <w:left w:w="108" w:type="dxa"/>
            <w:bottom w:w="0" w:type="dxa"/>
            <w:right w:w="108" w:type="dxa"/>
          </w:tblCellMar>
        </w:tblPrEx>
        <w:trPr>
          <w:trHeight w:val="647" w:hRule="atLeast"/>
        </w:trPr>
        <w:tc>
          <w:tcPr>
            <w:tcW w:w="694" w:type="dxa"/>
            <w:tcBorders>
              <w:top w:val="single" w:color="000000" w:sz="4" w:space="0"/>
              <w:left w:val="single" w:color="000000" w:sz="4" w:space="0"/>
              <w:bottom w:val="single" w:color="000000" w:sz="4" w:space="0"/>
              <w:right w:val="single" w:color="000000" w:sz="4" w:space="0"/>
            </w:tcBorders>
            <w:noWrap/>
            <w:vAlign w:val="center"/>
          </w:tcPr>
          <w:p w14:paraId="2708A1EF">
            <w:pPr>
              <w:widowControl/>
              <w:jc w:val="center"/>
              <w:rPr>
                <w:rFonts w:hint="eastAsia" w:ascii="宋体" w:hAnsi="宋体" w:cs="宋体"/>
                <w:color w:val="000000"/>
                <w:sz w:val="24"/>
              </w:rPr>
            </w:pPr>
            <w:r>
              <w:rPr>
                <w:rFonts w:hint="eastAsia" w:ascii="宋体" w:hAnsi="宋体" w:cs="宋体"/>
                <w:color w:val="000000"/>
                <w:sz w:val="24"/>
              </w:rPr>
              <w:t>4</w:t>
            </w:r>
          </w:p>
        </w:tc>
        <w:tc>
          <w:tcPr>
            <w:tcW w:w="1308" w:type="dxa"/>
            <w:tcBorders>
              <w:top w:val="single" w:color="000000" w:sz="4" w:space="0"/>
              <w:left w:val="single" w:color="000000" w:sz="4" w:space="0"/>
              <w:bottom w:val="single" w:color="000000" w:sz="4" w:space="0"/>
              <w:right w:val="single" w:color="000000" w:sz="4" w:space="0"/>
            </w:tcBorders>
            <w:noWrap/>
            <w:vAlign w:val="center"/>
          </w:tcPr>
          <w:p w14:paraId="70F3D2B9">
            <w:pPr>
              <w:widowControl/>
              <w:jc w:val="center"/>
              <w:rPr>
                <w:rFonts w:hint="eastAsia" w:ascii="宋体" w:hAnsi="宋体" w:cs="宋体"/>
                <w:color w:val="000000"/>
                <w:sz w:val="24"/>
              </w:rPr>
            </w:pPr>
            <w:r>
              <w:rPr>
                <w:rFonts w:hint="eastAsia" w:ascii="宋体" w:hAnsi="宋体" w:cs="宋体"/>
                <w:color w:val="000000"/>
                <w:sz w:val="24"/>
              </w:rPr>
              <w:t>文印</w:t>
            </w:r>
            <w:r>
              <w:rPr>
                <w:rFonts w:hint="eastAsia" w:ascii="宋体" w:hAnsi="宋体" w:eastAsia="宋体" w:cs="宋体"/>
                <w:color w:val="000000"/>
                <w:sz w:val="24"/>
                <w:lang w:val="en-US" w:eastAsia="zh-CN"/>
              </w:rPr>
              <w:t>宣传</w:t>
            </w:r>
          </w:p>
        </w:tc>
        <w:tc>
          <w:tcPr>
            <w:tcW w:w="4465" w:type="dxa"/>
            <w:tcBorders>
              <w:top w:val="single" w:color="000000" w:sz="4" w:space="0"/>
              <w:left w:val="single" w:color="000000" w:sz="4" w:space="0"/>
              <w:bottom w:val="single" w:color="000000" w:sz="4" w:space="0"/>
              <w:right w:val="single" w:color="000000" w:sz="4" w:space="0"/>
            </w:tcBorders>
            <w:noWrap/>
            <w:vAlign w:val="center"/>
          </w:tcPr>
          <w:p w14:paraId="01DB4BCF">
            <w:pPr>
              <w:widowControl/>
              <w:rPr>
                <w:rFonts w:hint="eastAsia" w:ascii="宋体" w:hAnsi="宋体" w:cs="宋体"/>
                <w:color w:val="000000"/>
                <w:sz w:val="24"/>
              </w:rPr>
            </w:pPr>
            <w:r>
              <w:rPr>
                <w:rFonts w:hint="eastAsia" w:ascii="宋体" w:hAnsi="宋体" w:cs="宋体"/>
                <w:color w:val="000000"/>
                <w:sz w:val="24"/>
              </w:rPr>
              <w:t>【</w:t>
            </w:r>
            <w:r>
              <w:rPr>
                <w:rFonts w:hint="eastAsia" w:ascii="宋体" w:hAnsi="宋体" w:eastAsia="宋体" w:cs="宋体"/>
                <w:color w:val="000000"/>
                <w:sz w:val="24"/>
                <w:lang w:val="en-US" w:eastAsia="zh-CN"/>
              </w:rPr>
              <w:t>文印服务</w:t>
            </w:r>
            <w:r>
              <w:rPr>
                <w:rFonts w:hint="eastAsia" w:ascii="宋体" w:hAnsi="宋体" w:cs="宋体"/>
                <w:color w:val="000000"/>
                <w:sz w:val="24"/>
              </w:rPr>
              <w:t>】【</w:t>
            </w:r>
            <w:r>
              <w:rPr>
                <w:rFonts w:hint="eastAsia" w:ascii="宋体" w:hAnsi="宋体" w:eastAsia="宋体" w:cs="宋体"/>
                <w:color w:val="000000"/>
                <w:sz w:val="24"/>
                <w:lang w:val="en-US" w:eastAsia="zh-CN"/>
              </w:rPr>
              <w:t>新媒体运营</w:t>
            </w:r>
            <w:r>
              <w:rPr>
                <w:rFonts w:hint="eastAsia" w:ascii="宋体" w:hAnsi="宋体" w:cs="宋体"/>
                <w:color w:val="000000"/>
                <w:sz w:val="24"/>
              </w:rPr>
              <w:t>】</w:t>
            </w:r>
          </w:p>
        </w:tc>
        <w:tc>
          <w:tcPr>
            <w:tcW w:w="1752" w:type="dxa"/>
            <w:tcBorders>
              <w:top w:val="single" w:color="000000" w:sz="4" w:space="0"/>
              <w:left w:val="single" w:color="000000" w:sz="4" w:space="0"/>
              <w:bottom w:val="single" w:color="000000" w:sz="4" w:space="0"/>
              <w:right w:val="single" w:color="000000" w:sz="4" w:space="0"/>
            </w:tcBorders>
            <w:noWrap/>
            <w:vAlign w:val="center"/>
          </w:tcPr>
          <w:p w14:paraId="08EB96F5">
            <w:pPr>
              <w:widowControl/>
              <w:jc w:val="center"/>
              <w:rPr>
                <w:rFonts w:hint="eastAsia" w:ascii="宋体" w:hAnsi="宋体" w:cs="宋体"/>
                <w:color w:val="000000"/>
                <w:sz w:val="24"/>
              </w:rPr>
            </w:pPr>
            <w:r>
              <w:rPr>
                <w:rFonts w:hint="eastAsia" w:ascii="宋体" w:hAnsi="宋体" w:eastAsia="宋体" w:cs="宋体"/>
                <w:color w:val="000000"/>
                <w:sz w:val="24"/>
                <w:lang w:val="en-US" w:eastAsia="zh-CN"/>
              </w:rPr>
              <w:t>2</w:t>
            </w:r>
            <w:r>
              <w:rPr>
                <w:rFonts w:hint="eastAsia" w:ascii="宋体" w:hAnsi="宋体" w:cs="宋体"/>
                <w:color w:val="000000"/>
                <w:sz w:val="24"/>
              </w:rPr>
              <w:t>人</w:t>
            </w:r>
          </w:p>
        </w:tc>
      </w:tr>
    </w:tbl>
    <w:p w14:paraId="26A9267B">
      <w:pPr>
        <w:spacing w:line="440" w:lineRule="exact"/>
        <w:rPr>
          <w:rFonts w:ascii="宋体" w:hAnsi="宋体" w:cs="宋体"/>
          <w:b/>
          <w:sz w:val="24"/>
        </w:rPr>
      </w:pPr>
      <w:r>
        <w:rPr>
          <w:rFonts w:hint="eastAsia" w:ascii="宋体" w:hAnsi="宋体" w:cs="宋体"/>
          <w:b/>
          <w:sz w:val="24"/>
        </w:rPr>
        <w:t>2、人员要求：</w:t>
      </w:r>
    </w:p>
    <w:p w14:paraId="67653938">
      <w:pPr>
        <w:spacing w:line="440" w:lineRule="exact"/>
        <w:ind w:firstLine="240"/>
        <w:jc w:val="left"/>
        <w:rPr>
          <w:rFonts w:hint="eastAsia" w:ascii="宋体" w:hAnsi="宋体" w:cs="宋体"/>
          <w:sz w:val="24"/>
        </w:rPr>
      </w:pPr>
      <w:r>
        <w:rPr>
          <w:rFonts w:hint="eastAsia" w:ascii="宋体" w:hAnsi="宋体" w:cs="宋体"/>
          <w:sz w:val="24"/>
        </w:rPr>
        <w:t>结合法院工作实际情况，对拟任驻场服务技术专员具体要求如下：</w:t>
      </w:r>
    </w:p>
    <w:p w14:paraId="2779230E">
      <w:pPr>
        <w:spacing w:line="440" w:lineRule="exact"/>
        <w:ind w:firstLine="480"/>
        <w:jc w:val="left"/>
        <w:rPr>
          <w:rFonts w:ascii="宋体" w:hAnsi="宋体" w:cs="宋体"/>
          <w:sz w:val="24"/>
        </w:rPr>
      </w:pPr>
      <w:r>
        <w:rPr>
          <w:rFonts w:hint="eastAsia" w:ascii="宋体" w:hAnsi="宋体" w:cs="宋体"/>
          <w:sz w:val="24"/>
        </w:rPr>
        <w:t>（1）在岗人员需持有专科及以上学历，法律专业优先，年龄在40周岁以下；</w:t>
      </w:r>
    </w:p>
    <w:p w14:paraId="2DEC2A25">
      <w:pPr>
        <w:spacing w:line="440" w:lineRule="exact"/>
        <w:ind w:firstLine="480"/>
        <w:jc w:val="left"/>
        <w:rPr>
          <w:rFonts w:ascii="宋体" w:hAnsi="宋体" w:cs="宋体"/>
          <w:sz w:val="24"/>
        </w:rPr>
      </w:pPr>
      <w:r>
        <w:rPr>
          <w:rFonts w:hint="eastAsia" w:ascii="宋体" w:hAnsi="宋体" w:cs="宋体"/>
          <w:sz w:val="24"/>
        </w:rPr>
        <w:t>（2）能熟练操作计算机，会使用常用办公软件（如：Word、Excel），快速进行文字输入工作及扫描、档案整理工作；</w:t>
      </w:r>
    </w:p>
    <w:p w14:paraId="64C773DC">
      <w:pPr>
        <w:spacing w:line="440" w:lineRule="exact"/>
        <w:ind w:left="-1" w:firstLine="480"/>
        <w:jc w:val="left"/>
        <w:rPr>
          <w:rFonts w:ascii="宋体" w:hAnsi="宋体" w:cs="宋体"/>
          <w:sz w:val="24"/>
        </w:rPr>
      </w:pPr>
      <w:r>
        <w:rPr>
          <w:rFonts w:hint="eastAsia" w:ascii="宋体" w:hAnsi="宋体" w:cs="宋体"/>
          <w:sz w:val="24"/>
        </w:rPr>
        <w:t>（3）身体健康，具有正常履行职责的身体条件和工作能力，能胜任岗位的工作；</w:t>
      </w:r>
    </w:p>
    <w:p w14:paraId="2E9BB6EF">
      <w:pPr>
        <w:spacing w:line="440" w:lineRule="exact"/>
        <w:ind w:left="-1" w:firstLine="480"/>
        <w:jc w:val="left"/>
        <w:rPr>
          <w:rFonts w:ascii="宋体" w:hAnsi="宋体" w:cs="宋体"/>
          <w:sz w:val="24"/>
        </w:rPr>
      </w:pPr>
      <w:r>
        <w:rPr>
          <w:rFonts w:hint="eastAsia" w:ascii="宋体" w:hAnsi="宋体" w:cs="宋体"/>
          <w:sz w:val="24"/>
        </w:rPr>
        <w:t>（4）了解法院诉讼、审判、执行等相关工作流程，熟悉相关法律规定（尤其是诉讼和金融相关法律）；</w:t>
      </w:r>
    </w:p>
    <w:p w14:paraId="0FAE56F7">
      <w:pPr>
        <w:spacing w:line="440" w:lineRule="exact"/>
        <w:ind w:left="-1" w:firstLine="480"/>
        <w:jc w:val="left"/>
        <w:rPr>
          <w:rFonts w:ascii="宋体" w:hAnsi="宋体" w:cs="宋体"/>
          <w:sz w:val="24"/>
        </w:rPr>
      </w:pPr>
      <w:r>
        <w:rPr>
          <w:rFonts w:hint="eastAsia" w:ascii="宋体" w:hAnsi="宋体" w:cs="宋体"/>
          <w:sz w:val="24"/>
        </w:rPr>
        <w:t>（5）为进一步规范人员管理，要求按规范统一着装；</w:t>
      </w:r>
    </w:p>
    <w:p w14:paraId="07E8898A">
      <w:pPr>
        <w:tabs>
          <w:tab w:val="left" w:pos="755"/>
          <w:tab w:val="left" w:pos="1620"/>
          <w:tab w:val="left" w:pos="2562"/>
        </w:tabs>
        <w:spacing w:line="440" w:lineRule="exact"/>
        <w:ind w:firstLine="480"/>
        <w:rPr>
          <w:rFonts w:ascii="宋体" w:hAnsi="宋体" w:cs="宋体"/>
          <w:sz w:val="24"/>
        </w:rPr>
      </w:pPr>
      <w:r>
        <w:rPr>
          <w:rFonts w:hint="eastAsia" w:ascii="宋体" w:hAnsi="宋体" w:cs="宋体"/>
          <w:sz w:val="24"/>
        </w:rPr>
        <w:t>（6）所有服务人员需经体检、政审合格后并通过采购人面试通过后方可上岗。</w:t>
      </w:r>
    </w:p>
    <w:p w14:paraId="5CAF2EC4">
      <w:pPr>
        <w:tabs>
          <w:tab w:val="left" w:pos="755"/>
          <w:tab w:val="left" w:pos="1620"/>
          <w:tab w:val="left" w:pos="2562"/>
        </w:tabs>
        <w:spacing w:line="440" w:lineRule="exact"/>
        <w:ind w:firstLine="480"/>
        <w:rPr>
          <w:rFonts w:ascii="宋体" w:hAnsi="宋体" w:cs="宋体"/>
          <w:sz w:val="24"/>
        </w:rPr>
      </w:pPr>
      <w:r>
        <w:rPr>
          <w:rFonts w:hint="eastAsia" w:ascii="宋体" w:hAnsi="宋体" w:cs="宋体"/>
          <w:sz w:val="24"/>
        </w:rPr>
        <w:t xml:space="preserve">（7）有下列情形之一的不得从事本工作： </w:t>
      </w:r>
    </w:p>
    <w:p w14:paraId="3A74D0B5">
      <w:pPr>
        <w:tabs>
          <w:tab w:val="left" w:pos="755"/>
          <w:tab w:val="left" w:pos="1620"/>
          <w:tab w:val="left" w:pos="2562"/>
        </w:tabs>
        <w:spacing w:line="440" w:lineRule="exact"/>
        <w:ind w:firstLine="480"/>
        <w:rPr>
          <w:rFonts w:ascii="宋体" w:hAnsi="宋体" w:cs="宋体"/>
          <w:sz w:val="24"/>
        </w:rPr>
      </w:pPr>
      <w:r>
        <w:rPr>
          <w:rFonts w:hint="eastAsia" w:ascii="宋体" w:hAnsi="宋体" w:cs="宋体"/>
          <w:sz w:val="24"/>
        </w:rPr>
        <w:t>①曾因犯罪受过刑事处罚的；</w:t>
      </w:r>
    </w:p>
    <w:p w14:paraId="0EFD6DD0">
      <w:pPr>
        <w:tabs>
          <w:tab w:val="left" w:pos="755"/>
          <w:tab w:val="left" w:pos="1620"/>
          <w:tab w:val="left" w:pos="2562"/>
        </w:tabs>
        <w:spacing w:line="440" w:lineRule="exact"/>
        <w:ind w:firstLine="480"/>
        <w:rPr>
          <w:rFonts w:ascii="宋体" w:hAnsi="宋体" w:cs="宋体"/>
          <w:sz w:val="24"/>
        </w:rPr>
      </w:pPr>
      <w:r>
        <w:rPr>
          <w:rFonts w:hint="eastAsia" w:ascii="宋体" w:hAnsi="宋体" w:cs="宋体"/>
          <w:sz w:val="24"/>
        </w:rPr>
        <w:t>②曾因违法违纪受过行政处分或治安处罚的；</w:t>
      </w:r>
    </w:p>
    <w:p w14:paraId="469F26A1">
      <w:pPr>
        <w:tabs>
          <w:tab w:val="left" w:pos="755"/>
          <w:tab w:val="left" w:pos="1620"/>
          <w:tab w:val="left" w:pos="2562"/>
        </w:tabs>
        <w:spacing w:line="440" w:lineRule="exact"/>
        <w:ind w:firstLine="480"/>
        <w:rPr>
          <w:rFonts w:ascii="宋体" w:hAnsi="宋体" w:cs="宋体"/>
          <w:sz w:val="24"/>
        </w:rPr>
      </w:pPr>
      <w:r>
        <w:rPr>
          <w:rFonts w:hint="eastAsia" w:ascii="宋体" w:hAnsi="宋体" w:cs="宋体"/>
          <w:sz w:val="24"/>
        </w:rPr>
        <w:t>③直系亲属曾被判过刑的；</w:t>
      </w:r>
    </w:p>
    <w:p w14:paraId="1B827564">
      <w:pPr>
        <w:tabs>
          <w:tab w:val="left" w:pos="755"/>
          <w:tab w:val="left" w:pos="1620"/>
          <w:tab w:val="left" w:pos="2562"/>
        </w:tabs>
        <w:spacing w:line="440" w:lineRule="exact"/>
        <w:ind w:firstLine="480"/>
        <w:rPr>
          <w:rFonts w:ascii="宋体" w:hAnsi="宋体" w:cs="宋体"/>
          <w:sz w:val="24"/>
        </w:rPr>
      </w:pPr>
      <w:r>
        <w:rPr>
          <w:rFonts w:hint="eastAsia" w:ascii="宋体" w:hAnsi="宋体" w:cs="宋体"/>
          <w:sz w:val="24"/>
        </w:rPr>
        <w:t>④涉嫌违法违纪正在接受审查，尚未作出结论的；</w:t>
      </w:r>
    </w:p>
    <w:p w14:paraId="572EA3E4">
      <w:pPr>
        <w:tabs>
          <w:tab w:val="left" w:pos="755"/>
          <w:tab w:val="left" w:pos="1620"/>
          <w:tab w:val="left" w:pos="2562"/>
        </w:tabs>
        <w:spacing w:line="440" w:lineRule="exact"/>
        <w:ind w:firstLine="480"/>
      </w:pPr>
      <w:r>
        <w:rPr>
          <w:rFonts w:hint="eastAsia" w:ascii="宋体" w:hAnsi="宋体" w:cs="宋体"/>
          <w:sz w:val="24"/>
        </w:rPr>
        <w:t>⑤被列入失信人员名单的。</w:t>
      </w:r>
    </w:p>
    <w:p w14:paraId="3542FB0E">
      <w:pPr>
        <w:spacing w:line="440" w:lineRule="exact"/>
        <w:rPr>
          <w:rFonts w:ascii="宋体" w:hAnsi="宋体" w:cs="宋体"/>
          <w:b/>
          <w:bCs/>
          <w:sz w:val="24"/>
        </w:rPr>
      </w:pPr>
      <w:r>
        <w:rPr>
          <w:rFonts w:hint="eastAsia" w:ascii="宋体" w:hAnsi="宋体" w:cs="宋体"/>
          <w:b/>
          <w:bCs/>
          <w:sz w:val="24"/>
        </w:rPr>
        <w:t>三、项目内容及要求</w:t>
      </w:r>
    </w:p>
    <w:p w14:paraId="28D34AE5">
      <w:pPr>
        <w:tabs>
          <w:tab w:val="left" w:pos="755"/>
          <w:tab w:val="left" w:pos="1620"/>
          <w:tab w:val="left" w:pos="2562"/>
        </w:tabs>
        <w:spacing w:line="440" w:lineRule="exact"/>
        <w:rPr>
          <w:rFonts w:ascii="宋体" w:hAnsi="宋体" w:cs="宋体"/>
          <w:sz w:val="24"/>
        </w:rPr>
      </w:pPr>
      <w:r>
        <w:rPr>
          <w:rFonts w:hint="eastAsia" w:ascii="宋体" w:hAnsi="宋体" w:cs="宋体"/>
          <w:sz w:val="24"/>
        </w:rPr>
        <w:t>1、项目内容</w:t>
      </w:r>
    </w:p>
    <w:p w14:paraId="13806D5B">
      <w:pPr>
        <w:tabs>
          <w:tab w:val="left" w:pos="755"/>
          <w:tab w:val="left" w:pos="1620"/>
          <w:tab w:val="left" w:pos="2562"/>
        </w:tabs>
        <w:spacing w:line="440" w:lineRule="exact"/>
        <w:ind w:firstLine="420"/>
        <w:rPr>
          <w:rFonts w:ascii="宋体" w:hAnsi="宋体" w:cs="宋体"/>
          <w:sz w:val="24"/>
        </w:rPr>
      </w:pPr>
      <w:r>
        <w:rPr>
          <w:rFonts w:hint="eastAsia" w:ascii="宋体" w:hAnsi="宋体" w:cs="宋体"/>
          <w:sz w:val="24"/>
        </w:rPr>
        <w:t>法院审判</w:t>
      </w:r>
      <w:r>
        <w:rPr>
          <w:rFonts w:hint="eastAsia" w:ascii="宋体" w:hAnsi="宋体" w:cs="宋体"/>
          <w:sz w:val="24"/>
          <w:lang w:val="en-US" w:eastAsia="zh-CN"/>
        </w:rPr>
        <w:t>执行</w:t>
      </w:r>
      <w:r>
        <w:rPr>
          <w:rFonts w:hint="eastAsia" w:ascii="宋体" w:hAnsi="宋体" w:cs="宋体"/>
          <w:sz w:val="24"/>
        </w:rPr>
        <w:t>辅助社会化服务外包项目，包含</w:t>
      </w:r>
      <w:r>
        <w:rPr>
          <w:rFonts w:hint="eastAsia" w:ascii="宋体" w:hAnsi="宋体" w:cs="宋体"/>
          <w:color w:val="000000"/>
          <w:sz w:val="24"/>
        </w:rPr>
        <w:t>审判辅助事务</w:t>
      </w:r>
      <w:r>
        <w:rPr>
          <w:rFonts w:hint="eastAsia" w:ascii="宋体" w:hAnsi="宋体" w:cs="宋体"/>
          <w:color w:val="000000"/>
          <w:sz w:val="24"/>
          <w:lang w:eastAsia="zh-CN"/>
        </w:rPr>
        <w:t>、</w:t>
      </w:r>
      <w:r>
        <w:rPr>
          <w:rFonts w:hint="eastAsia" w:ascii="宋体" w:hAnsi="宋体" w:cs="宋体"/>
          <w:color w:val="000000"/>
          <w:sz w:val="24"/>
          <w:lang w:val="en-US" w:eastAsia="zh-CN"/>
        </w:rPr>
        <w:t>执行辅助事务、</w:t>
      </w:r>
      <w:r>
        <w:rPr>
          <w:rFonts w:hint="eastAsia" w:ascii="宋体" w:hAnsi="宋体" w:cs="宋体"/>
          <w:sz w:val="24"/>
        </w:rPr>
        <w:t>执行"一站式”通办辅助及管理平台搭建运营等一系列的辅助事务社会化工作。</w:t>
      </w:r>
    </w:p>
    <w:p w14:paraId="2C9B722D">
      <w:pPr>
        <w:tabs>
          <w:tab w:val="left" w:pos="755"/>
          <w:tab w:val="left" w:pos="1620"/>
          <w:tab w:val="left" w:pos="2562"/>
        </w:tabs>
        <w:spacing w:line="440" w:lineRule="exact"/>
        <w:ind w:firstLine="420"/>
        <w:rPr>
          <w:rFonts w:ascii="宋体" w:hAnsi="宋体" w:cs="宋体"/>
          <w:b/>
          <w:bCs/>
          <w:sz w:val="24"/>
        </w:rPr>
      </w:pPr>
      <w:r>
        <w:rPr>
          <w:rFonts w:hint="eastAsia" w:ascii="宋体" w:hAnsi="宋体" w:cs="宋体"/>
          <w:b/>
          <w:bCs/>
          <w:sz w:val="24"/>
        </w:rPr>
        <w:t>2、辅助服务内容及要求</w:t>
      </w:r>
    </w:p>
    <w:tbl>
      <w:tblPr>
        <w:tblStyle w:val="30"/>
        <w:tblW w:w="95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32" w:type="dxa"/>
          <w:left w:w="64" w:type="dxa"/>
          <w:bottom w:w="32" w:type="dxa"/>
          <w:right w:w="64" w:type="dxa"/>
        </w:tblCellMar>
      </w:tblPr>
      <w:tblGrid>
        <w:gridCol w:w="750"/>
        <w:gridCol w:w="1133"/>
        <w:gridCol w:w="1784"/>
        <w:gridCol w:w="5864"/>
      </w:tblGrid>
      <w:tr w14:paraId="4DD21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tblHeader/>
          <w:jc w:val="center"/>
        </w:trPr>
        <w:tc>
          <w:tcPr>
            <w:tcW w:w="750" w:type="dxa"/>
            <w:noWrap/>
            <w:vAlign w:val="center"/>
          </w:tcPr>
          <w:p w14:paraId="7545B018">
            <w:pPr>
              <w:spacing w:line="440" w:lineRule="exact"/>
              <w:jc w:val="center"/>
              <w:rPr>
                <w:rFonts w:hint="eastAsia" w:ascii="宋体" w:hAnsi="宋体" w:cs="宋体"/>
                <w:b/>
                <w:sz w:val="24"/>
              </w:rPr>
            </w:pPr>
            <w:bookmarkStart w:id="181" w:name="_Hlk58263720"/>
            <w:bookmarkStart w:id="182" w:name="_Hlk69133734"/>
            <w:bookmarkStart w:id="183" w:name="_Hlk59201989"/>
            <w:bookmarkStart w:id="184" w:name="_Toc520356167"/>
            <w:r>
              <w:rPr>
                <w:rFonts w:hint="eastAsia" w:ascii="宋体" w:hAnsi="宋体" w:cs="宋体"/>
                <w:b/>
                <w:sz w:val="24"/>
              </w:rPr>
              <w:t>序号</w:t>
            </w:r>
          </w:p>
        </w:tc>
        <w:tc>
          <w:tcPr>
            <w:tcW w:w="1133" w:type="dxa"/>
            <w:noWrap/>
            <w:vAlign w:val="center"/>
          </w:tcPr>
          <w:p w14:paraId="732AB205">
            <w:pPr>
              <w:spacing w:line="440" w:lineRule="exact"/>
              <w:jc w:val="center"/>
              <w:rPr>
                <w:rFonts w:hint="eastAsia" w:ascii="宋体" w:hAnsi="宋体" w:cs="宋体"/>
                <w:b/>
                <w:sz w:val="24"/>
              </w:rPr>
            </w:pPr>
            <w:r>
              <w:rPr>
                <w:rFonts w:hint="eastAsia" w:ascii="宋体" w:hAnsi="宋体" w:cs="宋体"/>
                <w:b/>
                <w:sz w:val="24"/>
              </w:rPr>
              <w:t>服务模块</w:t>
            </w:r>
          </w:p>
        </w:tc>
        <w:tc>
          <w:tcPr>
            <w:tcW w:w="1784" w:type="dxa"/>
            <w:noWrap/>
            <w:vAlign w:val="center"/>
          </w:tcPr>
          <w:p w14:paraId="2044CD2E">
            <w:pPr>
              <w:spacing w:line="440" w:lineRule="exact"/>
              <w:jc w:val="center"/>
              <w:rPr>
                <w:rFonts w:hint="eastAsia" w:ascii="宋体" w:hAnsi="宋体" w:cs="宋体"/>
                <w:b/>
                <w:sz w:val="24"/>
              </w:rPr>
            </w:pPr>
            <w:r>
              <w:rPr>
                <w:rFonts w:hint="eastAsia" w:ascii="宋体" w:hAnsi="宋体" w:cs="宋体"/>
                <w:b/>
                <w:sz w:val="24"/>
              </w:rPr>
              <w:t>服务内容</w:t>
            </w:r>
          </w:p>
        </w:tc>
        <w:tc>
          <w:tcPr>
            <w:tcW w:w="5864" w:type="dxa"/>
            <w:noWrap/>
            <w:vAlign w:val="center"/>
          </w:tcPr>
          <w:p w14:paraId="367A62EC">
            <w:pPr>
              <w:spacing w:line="440" w:lineRule="exact"/>
              <w:jc w:val="center"/>
              <w:rPr>
                <w:rFonts w:hint="eastAsia" w:ascii="宋体" w:hAnsi="宋体" w:cs="宋体"/>
                <w:b/>
                <w:sz w:val="24"/>
              </w:rPr>
            </w:pPr>
            <w:r>
              <w:rPr>
                <w:rFonts w:hint="eastAsia" w:ascii="宋体" w:hAnsi="宋体" w:cs="宋体"/>
                <w:b/>
                <w:sz w:val="24"/>
              </w:rPr>
              <w:t>服务要求</w:t>
            </w:r>
          </w:p>
        </w:tc>
      </w:tr>
      <w:tr w14:paraId="639C7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750" w:type="dxa"/>
            <w:vMerge w:val="restart"/>
            <w:noWrap/>
            <w:vAlign w:val="center"/>
          </w:tcPr>
          <w:p w14:paraId="02F49698">
            <w:pPr>
              <w:spacing w:line="440" w:lineRule="exact"/>
              <w:jc w:val="center"/>
              <w:rPr>
                <w:rFonts w:ascii="宋体" w:hAnsi="宋体" w:cs="宋体"/>
                <w:sz w:val="24"/>
              </w:rPr>
            </w:pPr>
            <w:r>
              <w:rPr>
                <w:rFonts w:hint="eastAsia" w:ascii="宋体" w:hAnsi="宋体" w:cs="宋体"/>
                <w:sz w:val="24"/>
              </w:rPr>
              <w:t>1</w:t>
            </w:r>
          </w:p>
        </w:tc>
        <w:tc>
          <w:tcPr>
            <w:tcW w:w="1133" w:type="dxa"/>
            <w:vMerge w:val="restart"/>
            <w:noWrap/>
            <w:vAlign w:val="center"/>
          </w:tcPr>
          <w:p w14:paraId="58F94FEC">
            <w:pPr>
              <w:spacing w:line="440" w:lineRule="exact"/>
              <w:jc w:val="center"/>
              <w:rPr>
                <w:rFonts w:ascii="宋体" w:hAnsi="宋体" w:cs="宋体"/>
                <w:sz w:val="24"/>
              </w:rPr>
            </w:pPr>
            <w:r>
              <w:rPr>
                <w:rFonts w:hint="eastAsia" w:ascii="宋体" w:hAnsi="宋体" w:cs="宋体"/>
                <w:color w:val="000000"/>
                <w:sz w:val="24"/>
              </w:rPr>
              <w:t>审判辅助事务</w:t>
            </w:r>
          </w:p>
        </w:tc>
        <w:tc>
          <w:tcPr>
            <w:tcW w:w="1784" w:type="dxa"/>
            <w:vMerge w:val="restart"/>
            <w:noWrap/>
            <w:vAlign w:val="center"/>
          </w:tcPr>
          <w:p w14:paraId="42694E95">
            <w:pPr>
              <w:jc w:val="left"/>
              <w:rPr>
                <w:rFonts w:ascii="宋体"/>
                <w:sz w:val="24"/>
              </w:rPr>
            </w:pPr>
            <w:r>
              <w:rPr>
                <w:rFonts w:hint="eastAsia" w:ascii="宋体" w:hAnsi="宋体" w:cs="宋体"/>
                <w:sz w:val="24"/>
              </w:rPr>
              <w:t>诉讼引导复印服务</w:t>
            </w:r>
          </w:p>
        </w:tc>
        <w:tc>
          <w:tcPr>
            <w:tcW w:w="5864" w:type="dxa"/>
            <w:noWrap/>
            <w:vAlign w:val="center"/>
          </w:tcPr>
          <w:p w14:paraId="71FBDFEE">
            <w:pPr>
              <w:spacing w:line="440" w:lineRule="exact"/>
              <w:jc w:val="left"/>
              <w:rPr>
                <w:rFonts w:ascii="宋体" w:hAnsi="宋体" w:cs="宋体"/>
                <w:sz w:val="24"/>
              </w:rPr>
            </w:pPr>
            <w:r>
              <w:rPr>
                <w:rFonts w:hint="eastAsia" w:ascii="宋体" w:hAnsi="宋体" w:cs="宋体"/>
                <w:sz w:val="24"/>
              </w:rPr>
              <w:t>1、负责当事人立案接待、引导、自助立案设备的指导工作，并为当事人提供一般的程序性法律咨询；</w:t>
            </w:r>
          </w:p>
        </w:tc>
      </w:tr>
      <w:tr w14:paraId="10B45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750" w:type="dxa"/>
            <w:vMerge w:val="continue"/>
            <w:noWrap/>
            <w:vAlign w:val="center"/>
          </w:tcPr>
          <w:p w14:paraId="003BC455">
            <w:pPr>
              <w:spacing w:line="440" w:lineRule="exact"/>
              <w:jc w:val="center"/>
              <w:rPr>
                <w:rFonts w:ascii="宋体" w:hAnsi="宋体" w:cs="宋体"/>
                <w:sz w:val="24"/>
              </w:rPr>
            </w:pPr>
          </w:p>
        </w:tc>
        <w:tc>
          <w:tcPr>
            <w:tcW w:w="1133" w:type="dxa"/>
            <w:vMerge w:val="continue"/>
            <w:noWrap/>
            <w:vAlign w:val="center"/>
          </w:tcPr>
          <w:p w14:paraId="42CE42F1">
            <w:pPr>
              <w:spacing w:line="440" w:lineRule="exact"/>
              <w:jc w:val="center"/>
              <w:rPr>
                <w:rFonts w:ascii="宋体" w:hAnsi="宋体" w:cs="宋体"/>
                <w:sz w:val="24"/>
              </w:rPr>
            </w:pPr>
          </w:p>
        </w:tc>
        <w:tc>
          <w:tcPr>
            <w:tcW w:w="1784" w:type="dxa"/>
            <w:vMerge w:val="continue"/>
            <w:noWrap/>
            <w:vAlign w:val="center"/>
          </w:tcPr>
          <w:p w14:paraId="686CC2BC">
            <w:pPr>
              <w:spacing w:line="440" w:lineRule="exact"/>
              <w:jc w:val="left"/>
              <w:rPr>
                <w:rFonts w:ascii="宋体" w:hAnsi="宋体" w:cs="宋体"/>
                <w:sz w:val="24"/>
              </w:rPr>
            </w:pPr>
          </w:p>
        </w:tc>
        <w:tc>
          <w:tcPr>
            <w:tcW w:w="5864" w:type="dxa"/>
            <w:noWrap/>
            <w:vAlign w:val="center"/>
          </w:tcPr>
          <w:p w14:paraId="0C4193EE">
            <w:pPr>
              <w:spacing w:line="440" w:lineRule="exact"/>
              <w:jc w:val="left"/>
              <w:rPr>
                <w:rFonts w:ascii="宋体" w:hAnsi="宋体" w:cs="宋体"/>
                <w:sz w:val="24"/>
              </w:rPr>
            </w:pPr>
            <w:r>
              <w:rPr>
                <w:rFonts w:hint="eastAsia" w:ascii="宋体" w:hAnsi="宋体" w:cs="宋体"/>
                <w:sz w:val="24"/>
              </w:rPr>
              <w:t>2、对立案材料进行初步审查等；</w:t>
            </w:r>
          </w:p>
        </w:tc>
      </w:tr>
      <w:tr w14:paraId="75035E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750" w:type="dxa"/>
            <w:vMerge w:val="continue"/>
            <w:noWrap/>
            <w:vAlign w:val="center"/>
          </w:tcPr>
          <w:p w14:paraId="56F69A1F">
            <w:pPr>
              <w:spacing w:line="440" w:lineRule="exact"/>
              <w:jc w:val="center"/>
              <w:rPr>
                <w:rFonts w:ascii="宋体" w:hAnsi="宋体" w:cs="宋体"/>
                <w:sz w:val="24"/>
              </w:rPr>
            </w:pPr>
          </w:p>
        </w:tc>
        <w:tc>
          <w:tcPr>
            <w:tcW w:w="1133" w:type="dxa"/>
            <w:vMerge w:val="continue"/>
            <w:noWrap/>
            <w:vAlign w:val="center"/>
          </w:tcPr>
          <w:p w14:paraId="4B29A7A5">
            <w:pPr>
              <w:spacing w:line="440" w:lineRule="exact"/>
              <w:jc w:val="center"/>
              <w:rPr>
                <w:rFonts w:ascii="宋体" w:hAnsi="宋体" w:cs="宋体"/>
                <w:sz w:val="24"/>
              </w:rPr>
            </w:pPr>
          </w:p>
        </w:tc>
        <w:tc>
          <w:tcPr>
            <w:tcW w:w="1784" w:type="dxa"/>
            <w:vMerge w:val="continue"/>
            <w:noWrap/>
            <w:vAlign w:val="center"/>
          </w:tcPr>
          <w:p w14:paraId="1BEE9D77">
            <w:pPr>
              <w:spacing w:line="440" w:lineRule="exact"/>
              <w:jc w:val="left"/>
              <w:rPr>
                <w:rFonts w:ascii="宋体" w:hAnsi="宋体" w:cs="宋体"/>
                <w:sz w:val="24"/>
              </w:rPr>
            </w:pPr>
          </w:p>
        </w:tc>
        <w:tc>
          <w:tcPr>
            <w:tcW w:w="5864" w:type="dxa"/>
            <w:noWrap/>
            <w:vAlign w:val="center"/>
          </w:tcPr>
          <w:p w14:paraId="3FE05779">
            <w:pPr>
              <w:spacing w:line="440" w:lineRule="exact"/>
              <w:jc w:val="left"/>
              <w:rPr>
                <w:rFonts w:ascii="宋体" w:hAnsi="宋体" w:cs="宋体"/>
                <w:sz w:val="24"/>
              </w:rPr>
            </w:pPr>
            <w:r>
              <w:rPr>
                <w:rFonts w:hint="eastAsia" w:ascii="宋体" w:hAnsi="宋体" w:cs="宋体"/>
                <w:sz w:val="24"/>
              </w:rPr>
              <w:t>3、协助当事人查询案件审理进展信息或审判团队联系信息。</w:t>
            </w:r>
          </w:p>
        </w:tc>
      </w:tr>
      <w:tr w14:paraId="23D650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750" w:type="dxa"/>
            <w:vMerge w:val="continue"/>
            <w:noWrap/>
            <w:vAlign w:val="center"/>
          </w:tcPr>
          <w:p w14:paraId="028C593A">
            <w:pPr>
              <w:spacing w:line="440" w:lineRule="exact"/>
              <w:jc w:val="center"/>
              <w:rPr>
                <w:rFonts w:ascii="宋体" w:hAnsi="宋体" w:cs="宋体"/>
                <w:sz w:val="24"/>
              </w:rPr>
            </w:pPr>
          </w:p>
        </w:tc>
        <w:tc>
          <w:tcPr>
            <w:tcW w:w="1133" w:type="dxa"/>
            <w:vMerge w:val="continue"/>
            <w:noWrap/>
            <w:vAlign w:val="center"/>
          </w:tcPr>
          <w:p w14:paraId="181D18B5">
            <w:pPr>
              <w:spacing w:line="440" w:lineRule="exact"/>
              <w:jc w:val="center"/>
              <w:rPr>
                <w:rFonts w:ascii="宋体" w:hAnsi="宋体" w:cs="宋体"/>
                <w:sz w:val="24"/>
              </w:rPr>
            </w:pPr>
          </w:p>
        </w:tc>
        <w:tc>
          <w:tcPr>
            <w:tcW w:w="1784" w:type="dxa"/>
            <w:vMerge w:val="continue"/>
            <w:noWrap/>
            <w:vAlign w:val="center"/>
          </w:tcPr>
          <w:p w14:paraId="1A1A97CA">
            <w:pPr>
              <w:spacing w:line="440" w:lineRule="exact"/>
              <w:jc w:val="left"/>
              <w:rPr>
                <w:rFonts w:ascii="宋体" w:hAnsi="宋体" w:cs="宋体"/>
                <w:sz w:val="24"/>
              </w:rPr>
            </w:pPr>
          </w:p>
        </w:tc>
        <w:tc>
          <w:tcPr>
            <w:tcW w:w="5864" w:type="dxa"/>
            <w:noWrap/>
            <w:vAlign w:val="center"/>
          </w:tcPr>
          <w:p w14:paraId="6C0BA937">
            <w:pPr>
              <w:spacing w:line="440" w:lineRule="exact"/>
              <w:jc w:val="left"/>
              <w:rPr>
                <w:rFonts w:ascii="宋体" w:hAnsi="宋体" w:cs="宋体"/>
                <w:sz w:val="24"/>
              </w:rPr>
            </w:pPr>
            <w:r>
              <w:rPr>
                <w:rFonts w:hint="eastAsia" w:ascii="宋体" w:hAnsi="宋体" w:cs="宋体"/>
                <w:sz w:val="24"/>
              </w:rPr>
              <w:t>4、在自助查询机上查询当事人所需查阅的结案案件；</w:t>
            </w:r>
          </w:p>
        </w:tc>
      </w:tr>
      <w:tr w14:paraId="7CB56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750" w:type="dxa"/>
            <w:vMerge w:val="continue"/>
            <w:noWrap/>
            <w:vAlign w:val="center"/>
          </w:tcPr>
          <w:p w14:paraId="72157F14">
            <w:pPr>
              <w:spacing w:line="440" w:lineRule="exact"/>
              <w:jc w:val="center"/>
              <w:rPr>
                <w:rFonts w:ascii="宋体" w:hAnsi="宋体" w:cs="宋体"/>
                <w:sz w:val="24"/>
              </w:rPr>
            </w:pPr>
          </w:p>
        </w:tc>
        <w:tc>
          <w:tcPr>
            <w:tcW w:w="1133" w:type="dxa"/>
            <w:vMerge w:val="continue"/>
            <w:noWrap/>
            <w:vAlign w:val="center"/>
          </w:tcPr>
          <w:p w14:paraId="4805DD30">
            <w:pPr>
              <w:spacing w:line="440" w:lineRule="exact"/>
              <w:jc w:val="center"/>
              <w:rPr>
                <w:rFonts w:ascii="宋体" w:hAnsi="宋体" w:cs="宋体"/>
                <w:sz w:val="24"/>
              </w:rPr>
            </w:pPr>
          </w:p>
        </w:tc>
        <w:tc>
          <w:tcPr>
            <w:tcW w:w="1784" w:type="dxa"/>
            <w:vMerge w:val="continue"/>
            <w:noWrap/>
            <w:vAlign w:val="center"/>
          </w:tcPr>
          <w:p w14:paraId="4C26F4C9">
            <w:pPr>
              <w:spacing w:line="440" w:lineRule="exact"/>
              <w:jc w:val="left"/>
              <w:rPr>
                <w:rFonts w:ascii="宋体" w:hAnsi="宋体" w:cs="宋体"/>
                <w:sz w:val="24"/>
              </w:rPr>
            </w:pPr>
          </w:p>
        </w:tc>
        <w:tc>
          <w:tcPr>
            <w:tcW w:w="5864" w:type="dxa"/>
            <w:noWrap/>
            <w:vAlign w:val="center"/>
          </w:tcPr>
          <w:p w14:paraId="14639812">
            <w:pPr>
              <w:spacing w:line="440" w:lineRule="exact"/>
              <w:jc w:val="left"/>
              <w:rPr>
                <w:rFonts w:ascii="宋体" w:hAnsi="宋体" w:cs="宋体"/>
                <w:sz w:val="24"/>
              </w:rPr>
            </w:pPr>
            <w:r>
              <w:rPr>
                <w:rFonts w:hint="eastAsia" w:ascii="宋体" w:hAnsi="宋体" w:cs="宋体"/>
                <w:sz w:val="24"/>
              </w:rPr>
              <w:t>5、协助当事人复印相关卷宗材料。</w:t>
            </w:r>
          </w:p>
        </w:tc>
      </w:tr>
      <w:tr w14:paraId="4E05C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750" w:type="dxa"/>
            <w:vMerge w:val="continue"/>
            <w:noWrap/>
            <w:vAlign w:val="center"/>
          </w:tcPr>
          <w:p w14:paraId="27B60EBF">
            <w:pPr>
              <w:spacing w:line="440" w:lineRule="exact"/>
              <w:jc w:val="center"/>
              <w:rPr>
                <w:rFonts w:ascii="宋体" w:hAnsi="宋体" w:cs="宋体"/>
                <w:sz w:val="24"/>
              </w:rPr>
            </w:pPr>
          </w:p>
        </w:tc>
        <w:tc>
          <w:tcPr>
            <w:tcW w:w="1133" w:type="dxa"/>
            <w:vMerge w:val="continue"/>
            <w:noWrap/>
            <w:vAlign w:val="center"/>
          </w:tcPr>
          <w:p w14:paraId="7BBB5D83">
            <w:pPr>
              <w:spacing w:line="440" w:lineRule="exact"/>
              <w:jc w:val="center"/>
              <w:rPr>
                <w:rFonts w:ascii="宋体" w:hAnsi="宋体" w:cs="宋体"/>
                <w:sz w:val="24"/>
              </w:rPr>
            </w:pPr>
          </w:p>
        </w:tc>
        <w:tc>
          <w:tcPr>
            <w:tcW w:w="1784" w:type="dxa"/>
            <w:vMerge w:val="restart"/>
            <w:noWrap/>
            <w:vAlign w:val="center"/>
          </w:tcPr>
          <w:p w14:paraId="5314549F">
            <w:pPr>
              <w:spacing w:line="440" w:lineRule="exact"/>
              <w:jc w:val="left"/>
              <w:rPr>
                <w:rFonts w:ascii="宋体" w:hAnsi="宋体" w:cs="宋体"/>
                <w:sz w:val="24"/>
              </w:rPr>
            </w:pPr>
            <w:r>
              <w:rPr>
                <w:rFonts w:hint="eastAsia" w:ascii="宋体" w:hAnsi="宋体" w:cs="宋体"/>
                <w:sz w:val="24"/>
              </w:rPr>
              <w:t>立案登记服务</w:t>
            </w:r>
          </w:p>
        </w:tc>
        <w:tc>
          <w:tcPr>
            <w:tcW w:w="5864" w:type="dxa"/>
            <w:noWrap/>
            <w:vAlign w:val="center"/>
          </w:tcPr>
          <w:p w14:paraId="7DBB8C17">
            <w:pPr>
              <w:spacing w:line="440" w:lineRule="exact"/>
              <w:jc w:val="left"/>
              <w:rPr>
                <w:rFonts w:ascii="宋体" w:hAnsi="宋体" w:cs="宋体"/>
                <w:sz w:val="24"/>
              </w:rPr>
            </w:pPr>
            <w:r>
              <w:rPr>
                <w:rFonts w:hint="eastAsia" w:ascii="宋体" w:hAnsi="宋体" w:cs="宋体"/>
                <w:sz w:val="24"/>
              </w:rPr>
              <w:t>1、立案登记服务主要负责立案信息录入，主要包括立案信息的录入与核对；</w:t>
            </w:r>
          </w:p>
        </w:tc>
      </w:tr>
      <w:tr w14:paraId="1EC47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750" w:type="dxa"/>
            <w:vMerge w:val="continue"/>
            <w:noWrap/>
            <w:vAlign w:val="center"/>
          </w:tcPr>
          <w:p w14:paraId="79BCB59B">
            <w:pPr>
              <w:spacing w:line="440" w:lineRule="exact"/>
              <w:jc w:val="center"/>
              <w:rPr>
                <w:rFonts w:ascii="宋体" w:hAnsi="宋体" w:cs="宋体"/>
                <w:sz w:val="24"/>
              </w:rPr>
            </w:pPr>
          </w:p>
        </w:tc>
        <w:tc>
          <w:tcPr>
            <w:tcW w:w="1133" w:type="dxa"/>
            <w:vMerge w:val="continue"/>
            <w:noWrap/>
            <w:vAlign w:val="center"/>
          </w:tcPr>
          <w:p w14:paraId="1DD05B32">
            <w:pPr>
              <w:spacing w:line="440" w:lineRule="exact"/>
              <w:jc w:val="center"/>
              <w:rPr>
                <w:rFonts w:ascii="宋体" w:hAnsi="宋体" w:cs="宋体"/>
                <w:sz w:val="24"/>
              </w:rPr>
            </w:pPr>
          </w:p>
        </w:tc>
        <w:tc>
          <w:tcPr>
            <w:tcW w:w="1784" w:type="dxa"/>
            <w:vMerge w:val="continue"/>
            <w:noWrap/>
            <w:vAlign w:val="center"/>
          </w:tcPr>
          <w:p w14:paraId="28C2F17F">
            <w:pPr>
              <w:spacing w:line="440" w:lineRule="exact"/>
              <w:jc w:val="left"/>
              <w:rPr>
                <w:rFonts w:ascii="宋体" w:hAnsi="宋体" w:cs="宋体"/>
                <w:sz w:val="24"/>
              </w:rPr>
            </w:pPr>
          </w:p>
        </w:tc>
        <w:tc>
          <w:tcPr>
            <w:tcW w:w="5864" w:type="dxa"/>
            <w:noWrap/>
            <w:vAlign w:val="center"/>
          </w:tcPr>
          <w:p w14:paraId="1EA5D7D5">
            <w:pPr>
              <w:spacing w:line="440" w:lineRule="exact"/>
              <w:jc w:val="left"/>
              <w:rPr>
                <w:rFonts w:ascii="宋体" w:hAnsi="宋体" w:cs="宋体"/>
                <w:sz w:val="24"/>
              </w:rPr>
            </w:pPr>
            <w:r>
              <w:rPr>
                <w:rFonts w:hint="eastAsia" w:ascii="宋体" w:hAnsi="宋体" w:cs="宋体"/>
                <w:sz w:val="24"/>
              </w:rPr>
              <w:t>2 整理并向流转服务中心移转新收案件材料；</w:t>
            </w:r>
          </w:p>
        </w:tc>
      </w:tr>
      <w:tr w14:paraId="4F257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750" w:type="dxa"/>
            <w:vMerge w:val="continue"/>
            <w:noWrap/>
            <w:vAlign w:val="center"/>
          </w:tcPr>
          <w:p w14:paraId="0207C07C">
            <w:pPr>
              <w:spacing w:line="440" w:lineRule="exact"/>
              <w:jc w:val="center"/>
              <w:rPr>
                <w:rFonts w:ascii="宋体" w:hAnsi="宋体" w:cs="宋体"/>
                <w:sz w:val="24"/>
              </w:rPr>
            </w:pPr>
          </w:p>
        </w:tc>
        <w:tc>
          <w:tcPr>
            <w:tcW w:w="1133" w:type="dxa"/>
            <w:vMerge w:val="continue"/>
            <w:noWrap/>
            <w:vAlign w:val="center"/>
          </w:tcPr>
          <w:p w14:paraId="49ABA345">
            <w:pPr>
              <w:spacing w:line="440" w:lineRule="exact"/>
              <w:jc w:val="center"/>
              <w:rPr>
                <w:rFonts w:ascii="宋体" w:hAnsi="宋体" w:cs="宋体"/>
                <w:sz w:val="24"/>
              </w:rPr>
            </w:pPr>
          </w:p>
        </w:tc>
        <w:tc>
          <w:tcPr>
            <w:tcW w:w="1784" w:type="dxa"/>
            <w:vMerge w:val="continue"/>
            <w:noWrap/>
            <w:vAlign w:val="center"/>
          </w:tcPr>
          <w:p w14:paraId="1DD4DABB">
            <w:pPr>
              <w:spacing w:line="440" w:lineRule="exact"/>
              <w:jc w:val="left"/>
              <w:rPr>
                <w:rFonts w:ascii="宋体" w:hAnsi="宋体" w:cs="宋体"/>
                <w:sz w:val="24"/>
              </w:rPr>
            </w:pPr>
          </w:p>
        </w:tc>
        <w:tc>
          <w:tcPr>
            <w:tcW w:w="5864" w:type="dxa"/>
            <w:noWrap/>
            <w:vAlign w:val="center"/>
          </w:tcPr>
          <w:p w14:paraId="3507F2E2">
            <w:pPr>
              <w:spacing w:line="440" w:lineRule="exact"/>
              <w:jc w:val="left"/>
              <w:rPr>
                <w:rFonts w:ascii="宋体" w:hAnsi="宋体" w:cs="宋体"/>
                <w:sz w:val="24"/>
              </w:rPr>
            </w:pPr>
            <w:r>
              <w:rPr>
                <w:rFonts w:hint="eastAsia" w:ascii="宋体" w:hAnsi="宋体" w:cs="宋体"/>
                <w:sz w:val="24"/>
              </w:rPr>
              <w:t>3负责材料立案信息录入。</w:t>
            </w:r>
          </w:p>
        </w:tc>
      </w:tr>
      <w:tr w14:paraId="63ECF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750" w:type="dxa"/>
            <w:vMerge w:val="continue"/>
            <w:noWrap/>
            <w:vAlign w:val="center"/>
          </w:tcPr>
          <w:p w14:paraId="6E219F61">
            <w:pPr>
              <w:spacing w:line="440" w:lineRule="exact"/>
              <w:jc w:val="center"/>
              <w:rPr>
                <w:rFonts w:ascii="宋体" w:hAnsi="宋体" w:cs="宋体"/>
                <w:sz w:val="24"/>
              </w:rPr>
            </w:pPr>
          </w:p>
        </w:tc>
        <w:tc>
          <w:tcPr>
            <w:tcW w:w="1133" w:type="dxa"/>
            <w:vMerge w:val="continue"/>
            <w:noWrap/>
            <w:vAlign w:val="center"/>
          </w:tcPr>
          <w:p w14:paraId="6F28FD16">
            <w:pPr>
              <w:spacing w:line="440" w:lineRule="exact"/>
              <w:jc w:val="center"/>
              <w:rPr>
                <w:rFonts w:ascii="宋体" w:hAnsi="宋体" w:cs="宋体"/>
                <w:sz w:val="24"/>
              </w:rPr>
            </w:pPr>
          </w:p>
        </w:tc>
        <w:tc>
          <w:tcPr>
            <w:tcW w:w="1784" w:type="dxa"/>
            <w:vMerge w:val="restart"/>
            <w:noWrap/>
            <w:vAlign w:val="center"/>
          </w:tcPr>
          <w:p w14:paraId="63744F5B">
            <w:pPr>
              <w:spacing w:line="440" w:lineRule="exact"/>
              <w:jc w:val="left"/>
              <w:rPr>
                <w:rFonts w:hint="eastAsia" w:ascii="宋体" w:hAnsi="宋体" w:cs="宋体"/>
                <w:sz w:val="24"/>
              </w:rPr>
            </w:pPr>
            <w:r>
              <w:rPr>
                <w:rFonts w:hint="eastAsia" w:ascii="宋体" w:hAnsi="宋体" w:eastAsia="宋体" w:cs="宋体"/>
                <w:color w:val="000000"/>
                <w:sz w:val="24"/>
                <w:lang w:val="en-US" w:eastAsia="zh-CN"/>
              </w:rPr>
              <w:t>案件数字化加工</w:t>
            </w:r>
            <w:r>
              <w:rPr>
                <w:rFonts w:hint="eastAsia" w:ascii="宋体" w:hAnsi="宋体" w:cs="宋体"/>
                <w:sz w:val="24"/>
              </w:rPr>
              <w:t>服务</w:t>
            </w:r>
          </w:p>
        </w:tc>
        <w:tc>
          <w:tcPr>
            <w:tcW w:w="5864" w:type="dxa"/>
            <w:noWrap/>
            <w:vAlign w:val="center"/>
          </w:tcPr>
          <w:p w14:paraId="59B12355">
            <w:pPr>
              <w:spacing w:line="440" w:lineRule="exact"/>
              <w:jc w:val="left"/>
              <w:rPr>
                <w:rFonts w:hint="eastAsia" w:ascii="宋体" w:hAnsi="宋体" w:eastAsia="宋体" w:cs="宋体"/>
                <w:sz w:val="24"/>
                <w:lang w:eastAsia="zh-CN"/>
              </w:rPr>
            </w:pPr>
            <w:r>
              <w:rPr>
                <w:rFonts w:hint="eastAsia" w:ascii="宋体" w:hAnsi="宋体" w:cs="宋体"/>
                <w:sz w:val="24"/>
              </w:rPr>
              <w:t>1、复印邮件面单，扫描，制作表格，编号，在立案人员指导下协助分配案件和交接签收卷宗等辅助工作</w:t>
            </w:r>
            <w:r>
              <w:rPr>
                <w:rFonts w:hint="eastAsia" w:ascii="宋体" w:hAnsi="宋体" w:eastAsia="宋体" w:cs="宋体"/>
                <w:sz w:val="24"/>
                <w:lang w:eastAsia="zh-CN"/>
              </w:rPr>
              <w:t>。</w:t>
            </w:r>
          </w:p>
        </w:tc>
      </w:tr>
      <w:tr w14:paraId="223A90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750" w:type="dxa"/>
            <w:vMerge w:val="continue"/>
            <w:noWrap/>
            <w:vAlign w:val="center"/>
          </w:tcPr>
          <w:p w14:paraId="11BC0CC1">
            <w:pPr>
              <w:spacing w:line="440" w:lineRule="exact"/>
              <w:jc w:val="center"/>
              <w:rPr>
                <w:rFonts w:ascii="宋体" w:hAnsi="宋体" w:cs="宋体"/>
                <w:sz w:val="24"/>
              </w:rPr>
            </w:pPr>
          </w:p>
        </w:tc>
        <w:tc>
          <w:tcPr>
            <w:tcW w:w="1133" w:type="dxa"/>
            <w:vMerge w:val="continue"/>
            <w:noWrap/>
            <w:vAlign w:val="center"/>
          </w:tcPr>
          <w:p w14:paraId="3EEFB1B5">
            <w:pPr>
              <w:spacing w:line="440" w:lineRule="exact"/>
              <w:jc w:val="center"/>
              <w:rPr>
                <w:rFonts w:ascii="宋体" w:hAnsi="宋体" w:cs="宋体"/>
                <w:sz w:val="24"/>
              </w:rPr>
            </w:pPr>
          </w:p>
        </w:tc>
        <w:tc>
          <w:tcPr>
            <w:tcW w:w="1784" w:type="dxa"/>
            <w:vMerge w:val="continue"/>
            <w:noWrap/>
            <w:vAlign w:val="center"/>
          </w:tcPr>
          <w:p w14:paraId="5CE1F9FD">
            <w:pPr>
              <w:spacing w:line="440" w:lineRule="exact"/>
              <w:jc w:val="left"/>
              <w:rPr>
                <w:rFonts w:hint="eastAsia" w:ascii="宋体" w:hAnsi="宋体" w:cs="宋体"/>
                <w:sz w:val="24"/>
              </w:rPr>
            </w:pPr>
          </w:p>
        </w:tc>
        <w:tc>
          <w:tcPr>
            <w:tcW w:w="5864" w:type="dxa"/>
            <w:noWrap/>
            <w:vAlign w:val="center"/>
          </w:tcPr>
          <w:p w14:paraId="4B949781">
            <w:pPr>
              <w:spacing w:line="440" w:lineRule="exact"/>
              <w:jc w:val="left"/>
              <w:rPr>
                <w:rFonts w:hint="eastAsia" w:ascii="宋体" w:hAnsi="宋体" w:eastAsia="宋体" w:cs="宋体"/>
                <w:sz w:val="24"/>
                <w:lang w:eastAsia="zh-CN"/>
              </w:rPr>
            </w:pPr>
            <w:r>
              <w:rPr>
                <w:rFonts w:hint="eastAsia" w:ascii="宋体" w:hAnsi="宋体" w:cs="宋体"/>
                <w:sz w:val="24"/>
              </w:rPr>
              <w:t>2、案件数据填报</w:t>
            </w:r>
            <w:r>
              <w:rPr>
                <w:rFonts w:hint="eastAsia" w:ascii="宋体" w:hAnsi="宋体" w:eastAsia="宋体" w:cs="宋体"/>
                <w:sz w:val="24"/>
                <w:lang w:eastAsia="zh-CN"/>
              </w:rPr>
              <w:t>，</w:t>
            </w:r>
            <w:r>
              <w:rPr>
                <w:rFonts w:hint="eastAsia" w:ascii="宋体" w:hAnsi="宋体" w:cs="宋体"/>
                <w:sz w:val="24"/>
              </w:rPr>
              <w:t>每日来访人员名单打印，立案、调解数据跟踪填报等辅助工作</w:t>
            </w:r>
            <w:r>
              <w:rPr>
                <w:rFonts w:hint="eastAsia" w:ascii="宋体" w:hAnsi="宋体" w:eastAsia="宋体" w:cs="宋体"/>
                <w:sz w:val="24"/>
                <w:lang w:eastAsia="zh-CN"/>
              </w:rPr>
              <w:t>。</w:t>
            </w:r>
          </w:p>
        </w:tc>
      </w:tr>
      <w:tr w14:paraId="50ABC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750" w:type="dxa"/>
            <w:vMerge w:val="restart"/>
            <w:noWrap/>
            <w:vAlign w:val="center"/>
          </w:tcPr>
          <w:p w14:paraId="3C858450">
            <w:pPr>
              <w:spacing w:line="440" w:lineRule="exact"/>
              <w:jc w:val="center"/>
              <w:rPr>
                <w:rFonts w:hint="eastAsia" w:ascii="宋体" w:hAnsi="宋体" w:cs="宋体"/>
                <w:sz w:val="24"/>
              </w:rPr>
            </w:pPr>
            <w:r>
              <w:rPr>
                <w:rFonts w:hint="eastAsia" w:ascii="宋体" w:hAnsi="宋体" w:cs="宋体"/>
                <w:sz w:val="24"/>
              </w:rPr>
              <w:t>2</w:t>
            </w:r>
          </w:p>
          <w:p w14:paraId="54649BFD">
            <w:pPr>
              <w:spacing w:line="440" w:lineRule="exact"/>
              <w:jc w:val="center"/>
              <w:rPr>
                <w:rFonts w:ascii="宋体" w:hAnsi="宋体" w:cs="宋体"/>
                <w:sz w:val="24"/>
              </w:rPr>
            </w:pPr>
          </w:p>
        </w:tc>
        <w:tc>
          <w:tcPr>
            <w:tcW w:w="1133" w:type="dxa"/>
            <w:vMerge w:val="restart"/>
            <w:noWrap/>
            <w:vAlign w:val="center"/>
          </w:tcPr>
          <w:p w14:paraId="7482439C">
            <w:pPr>
              <w:spacing w:line="440" w:lineRule="exact"/>
              <w:jc w:val="center"/>
              <w:rPr>
                <w:rFonts w:ascii="宋体" w:hAnsi="宋体" w:cs="宋体"/>
                <w:sz w:val="24"/>
              </w:rPr>
            </w:pPr>
            <w:r>
              <w:rPr>
                <w:rFonts w:hint="eastAsia" w:ascii="宋体" w:hAnsi="宋体" w:cs="宋体"/>
                <w:sz w:val="24"/>
              </w:rPr>
              <w:t>执行辅助事务</w:t>
            </w:r>
          </w:p>
        </w:tc>
        <w:tc>
          <w:tcPr>
            <w:tcW w:w="1784" w:type="dxa"/>
            <w:vMerge w:val="restart"/>
            <w:noWrap/>
            <w:vAlign w:val="center"/>
          </w:tcPr>
          <w:p w14:paraId="7516AD73">
            <w:pPr>
              <w:spacing w:line="440" w:lineRule="exact"/>
              <w:jc w:val="left"/>
              <w:rPr>
                <w:rFonts w:hint="eastAsia" w:ascii="宋体" w:hAnsi="宋体" w:cs="宋体"/>
                <w:sz w:val="24"/>
              </w:rPr>
            </w:pPr>
            <w:r>
              <w:rPr>
                <w:rFonts w:hint="eastAsia" w:ascii="宋体" w:hAnsi="宋体" w:cs="宋体"/>
                <w:sz w:val="24"/>
              </w:rPr>
              <w:t>执行诉求一站通办服务</w:t>
            </w:r>
          </w:p>
        </w:tc>
        <w:tc>
          <w:tcPr>
            <w:tcW w:w="5864" w:type="dxa"/>
            <w:noWrap/>
            <w:vAlign w:val="center"/>
          </w:tcPr>
          <w:p w14:paraId="0EA2DDC2">
            <w:pPr>
              <w:spacing w:line="440" w:lineRule="exact"/>
              <w:jc w:val="left"/>
              <w:rPr>
                <w:rFonts w:hint="eastAsia" w:ascii="宋体" w:hAnsi="宋体" w:cs="宋体"/>
                <w:sz w:val="24"/>
              </w:rPr>
            </w:pPr>
            <w:r>
              <w:rPr>
                <w:rFonts w:hint="eastAsia" w:ascii="宋体" w:hAnsi="宋体" w:cs="宋体"/>
                <w:sz w:val="24"/>
              </w:rPr>
              <w:t>1、负责执行服务中心来访来电、终本窗口来访来电、执行事务中心值守来电、承办人电话;12345、12368、上级法院交办、院长交办、局长接待等，</w:t>
            </w:r>
            <w:r>
              <w:rPr>
                <w:rFonts w:hint="eastAsia" w:ascii="宋体" w:hAnsi="宋体" w:cs="宋体"/>
                <w:sz w:val="24"/>
                <w:highlight w:val="none"/>
              </w:rPr>
              <w:t>通过法院设置热线来电人工坐席，采用“一号对外”的方式，</w:t>
            </w:r>
            <w:r>
              <w:rPr>
                <w:rFonts w:hint="eastAsia" w:ascii="宋体" w:hAnsi="宋体" w:cs="宋体"/>
                <w:sz w:val="24"/>
              </w:rPr>
              <w:t>通过一站式服务管理平台进行融合，形成闭环管理。</w:t>
            </w:r>
          </w:p>
        </w:tc>
      </w:tr>
      <w:tr w14:paraId="530C7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750" w:type="dxa"/>
            <w:vMerge w:val="continue"/>
            <w:noWrap/>
            <w:vAlign w:val="center"/>
          </w:tcPr>
          <w:p w14:paraId="4D097BD8">
            <w:pPr>
              <w:spacing w:line="440" w:lineRule="exact"/>
              <w:jc w:val="center"/>
              <w:rPr>
                <w:rFonts w:ascii="宋体" w:hAnsi="宋体" w:cs="宋体"/>
                <w:sz w:val="24"/>
              </w:rPr>
            </w:pPr>
          </w:p>
        </w:tc>
        <w:tc>
          <w:tcPr>
            <w:tcW w:w="1133" w:type="dxa"/>
            <w:vMerge w:val="continue"/>
            <w:noWrap/>
            <w:vAlign w:val="center"/>
          </w:tcPr>
          <w:p w14:paraId="52BD5FAD">
            <w:pPr>
              <w:spacing w:line="440" w:lineRule="exact"/>
              <w:jc w:val="center"/>
              <w:rPr>
                <w:rFonts w:ascii="宋体" w:hAnsi="宋体" w:cs="宋体"/>
                <w:sz w:val="24"/>
              </w:rPr>
            </w:pPr>
          </w:p>
        </w:tc>
        <w:tc>
          <w:tcPr>
            <w:tcW w:w="1784" w:type="dxa"/>
            <w:vMerge w:val="continue"/>
            <w:noWrap/>
            <w:vAlign w:val="center"/>
          </w:tcPr>
          <w:p w14:paraId="6FF28777">
            <w:pPr>
              <w:spacing w:line="440" w:lineRule="exact"/>
              <w:jc w:val="left"/>
              <w:rPr>
                <w:rFonts w:hint="eastAsia" w:ascii="宋体" w:hAnsi="宋体" w:cs="宋体"/>
                <w:sz w:val="24"/>
              </w:rPr>
            </w:pPr>
          </w:p>
        </w:tc>
        <w:tc>
          <w:tcPr>
            <w:tcW w:w="5864" w:type="dxa"/>
            <w:noWrap/>
            <w:vAlign w:val="center"/>
          </w:tcPr>
          <w:p w14:paraId="1F69025A">
            <w:pPr>
              <w:spacing w:line="440" w:lineRule="exact"/>
              <w:jc w:val="left"/>
              <w:rPr>
                <w:rFonts w:hint="eastAsia" w:ascii="宋体" w:hAnsi="宋体" w:cs="宋体"/>
                <w:sz w:val="24"/>
              </w:rPr>
            </w:pPr>
            <w:r>
              <w:rPr>
                <w:rFonts w:hint="eastAsia" w:ascii="宋体" w:hAnsi="宋体" w:cs="宋体"/>
                <w:sz w:val="24"/>
              </w:rPr>
              <w:t>2、来电登记：开负责一站通办服务热线人工坐席来电接听并在系统里进行登记工单并流转承办人；</w:t>
            </w:r>
            <w:r>
              <w:rPr>
                <w:rFonts w:hint="eastAsia" w:ascii="宋体" w:hAnsi="宋体" w:cs="宋体"/>
                <w:sz w:val="24"/>
                <w:highlight w:val="none"/>
              </w:rPr>
              <w:t>支持法官内网创建电话送达任务，任务要求实现根据案件类型、案号自动关联案件相关基础信息，自动提取案件的案由，案件承办庭室等信息。</w:t>
            </w:r>
            <w:r>
              <w:rPr>
                <w:rFonts w:hint="eastAsia" w:ascii="宋体" w:hAnsi="宋体" w:cs="宋体"/>
                <w:sz w:val="24"/>
              </w:rPr>
              <w:t>登记均需跟踪办理满意度，对于超期未办需再次交办及时跟踪。</w:t>
            </w:r>
          </w:p>
        </w:tc>
      </w:tr>
      <w:tr w14:paraId="42B8F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750" w:type="dxa"/>
            <w:vMerge w:val="continue"/>
            <w:noWrap/>
            <w:vAlign w:val="center"/>
          </w:tcPr>
          <w:p w14:paraId="42FA8AB2">
            <w:pPr>
              <w:spacing w:line="440" w:lineRule="exact"/>
              <w:jc w:val="center"/>
              <w:rPr>
                <w:rFonts w:ascii="宋体" w:hAnsi="宋体" w:cs="宋体"/>
                <w:sz w:val="24"/>
              </w:rPr>
            </w:pPr>
          </w:p>
        </w:tc>
        <w:tc>
          <w:tcPr>
            <w:tcW w:w="1133" w:type="dxa"/>
            <w:vMerge w:val="continue"/>
            <w:noWrap/>
            <w:vAlign w:val="center"/>
          </w:tcPr>
          <w:p w14:paraId="226F23EF">
            <w:pPr>
              <w:spacing w:line="440" w:lineRule="exact"/>
              <w:jc w:val="center"/>
              <w:rPr>
                <w:rFonts w:ascii="宋体" w:hAnsi="宋体" w:cs="宋体"/>
                <w:sz w:val="24"/>
              </w:rPr>
            </w:pPr>
          </w:p>
        </w:tc>
        <w:tc>
          <w:tcPr>
            <w:tcW w:w="1784" w:type="dxa"/>
            <w:vMerge w:val="continue"/>
            <w:noWrap/>
            <w:vAlign w:val="center"/>
          </w:tcPr>
          <w:p w14:paraId="34AA0D64">
            <w:pPr>
              <w:spacing w:line="440" w:lineRule="exact"/>
              <w:jc w:val="left"/>
              <w:rPr>
                <w:rFonts w:ascii="宋体" w:hAnsi="宋体" w:cs="宋体"/>
                <w:sz w:val="24"/>
                <w:highlight w:val="yellow"/>
              </w:rPr>
            </w:pPr>
          </w:p>
        </w:tc>
        <w:tc>
          <w:tcPr>
            <w:tcW w:w="5864" w:type="dxa"/>
            <w:noWrap/>
            <w:vAlign w:val="center"/>
          </w:tcPr>
          <w:p w14:paraId="78B46E2B">
            <w:pPr>
              <w:spacing w:line="440" w:lineRule="exact"/>
              <w:jc w:val="left"/>
              <w:rPr>
                <w:rFonts w:hint="eastAsia" w:ascii="宋体" w:hAnsi="宋体" w:cs="宋体"/>
                <w:sz w:val="24"/>
              </w:rPr>
            </w:pPr>
            <w:r>
              <w:rPr>
                <w:rFonts w:hint="eastAsia" w:ascii="宋体" w:hAnsi="宋体" w:eastAsia="宋体" w:cs="宋体"/>
                <w:sz w:val="24"/>
                <w:lang w:val="en-US" w:eastAsia="zh-CN"/>
              </w:rPr>
              <w:t>3</w:t>
            </w:r>
            <w:r>
              <w:rPr>
                <w:rFonts w:hint="eastAsia" w:ascii="宋体" w:hAnsi="宋体" w:cs="宋体"/>
                <w:sz w:val="24"/>
              </w:rPr>
              <w:t>、交办、督办材料登记：院长交办督办、上级法院交办督办、12345、12368转交办理事项，需在执行诉求一站通办平台(内网)系统登记。</w:t>
            </w:r>
          </w:p>
        </w:tc>
      </w:tr>
      <w:tr w14:paraId="4E62B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trHeight w:val="1136" w:hRule="atLeast"/>
          <w:jc w:val="center"/>
        </w:trPr>
        <w:tc>
          <w:tcPr>
            <w:tcW w:w="750" w:type="dxa"/>
            <w:vMerge w:val="continue"/>
            <w:noWrap/>
            <w:vAlign w:val="center"/>
          </w:tcPr>
          <w:p w14:paraId="069A7BA3">
            <w:pPr>
              <w:spacing w:line="440" w:lineRule="exact"/>
              <w:jc w:val="center"/>
              <w:rPr>
                <w:rFonts w:hint="eastAsia" w:ascii="宋体" w:hAnsi="宋体" w:cs="宋体"/>
                <w:sz w:val="24"/>
              </w:rPr>
            </w:pPr>
          </w:p>
        </w:tc>
        <w:tc>
          <w:tcPr>
            <w:tcW w:w="1133" w:type="dxa"/>
            <w:vMerge w:val="continue"/>
            <w:noWrap/>
            <w:vAlign w:val="center"/>
          </w:tcPr>
          <w:p w14:paraId="567F6CA1">
            <w:pPr>
              <w:spacing w:line="440" w:lineRule="exact"/>
              <w:jc w:val="center"/>
              <w:rPr>
                <w:rFonts w:ascii="宋体" w:hAnsi="宋体" w:cs="宋体"/>
                <w:sz w:val="24"/>
              </w:rPr>
            </w:pPr>
          </w:p>
        </w:tc>
        <w:tc>
          <w:tcPr>
            <w:tcW w:w="1784" w:type="dxa"/>
            <w:vMerge w:val="continue"/>
            <w:noWrap/>
            <w:vAlign w:val="center"/>
          </w:tcPr>
          <w:p w14:paraId="332AEE0C">
            <w:pPr>
              <w:spacing w:line="440" w:lineRule="exact"/>
              <w:jc w:val="left"/>
              <w:rPr>
                <w:rFonts w:hint="eastAsia" w:ascii="宋体" w:hAnsi="宋体" w:cs="宋体"/>
                <w:sz w:val="24"/>
              </w:rPr>
            </w:pPr>
          </w:p>
        </w:tc>
        <w:tc>
          <w:tcPr>
            <w:tcW w:w="5864" w:type="dxa"/>
            <w:noWrap/>
            <w:vAlign w:val="center"/>
          </w:tcPr>
          <w:p w14:paraId="35031479">
            <w:pPr>
              <w:spacing w:line="440" w:lineRule="exact"/>
              <w:jc w:val="left"/>
              <w:rPr>
                <w:rFonts w:hint="eastAsia" w:ascii="宋体" w:hAnsi="宋体" w:eastAsia="宋体" w:cs="宋体"/>
                <w:sz w:val="24"/>
                <w:lang w:val="en-US" w:eastAsia="zh-CN"/>
              </w:rPr>
            </w:pPr>
            <w:r>
              <w:rPr>
                <w:rFonts w:hint="eastAsia" w:ascii="宋体" w:hAnsi="宋体" w:cs="宋体"/>
                <w:sz w:val="24"/>
                <w:lang w:val="en-US" w:eastAsia="zh-CN"/>
              </w:rPr>
              <w:t>4、平台实现</w:t>
            </w:r>
            <w:r>
              <w:rPr>
                <w:rFonts w:hint="eastAsia" w:ascii="宋体" w:hAnsi="宋体" w:cs="宋体"/>
                <w:sz w:val="24"/>
                <w:highlight w:val="none"/>
              </w:rPr>
              <w:t>与</w:t>
            </w:r>
            <w:r>
              <w:rPr>
                <w:rFonts w:hint="eastAsia" w:ascii="宋体" w:hAnsi="宋体" w:cs="宋体"/>
                <w:sz w:val="24"/>
                <w:highlight w:val="none"/>
                <w:lang w:val="en-US" w:eastAsia="zh-CN"/>
              </w:rPr>
              <w:t>法院</w:t>
            </w:r>
            <w:r>
              <w:rPr>
                <w:rFonts w:hint="eastAsia" w:ascii="宋体" w:hAnsi="宋体" w:cs="宋体"/>
                <w:sz w:val="24"/>
                <w:highlight w:val="none"/>
              </w:rPr>
              <w:t>一张网系统</w:t>
            </w:r>
            <w:r>
              <w:rPr>
                <w:rFonts w:hint="eastAsia" w:ascii="宋体" w:hAnsi="宋体" w:cs="宋体"/>
                <w:sz w:val="24"/>
                <w:highlight w:val="none"/>
                <w:lang w:val="en-US" w:eastAsia="zh-CN"/>
              </w:rPr>
              <w:t>对接</w:t>
            </w:r>
            <w:r>
              <w:rPr>
                <w:rFonts w:hint="eastAsia" w:ascii="宋体" w:hAnsi="宋体" w:cs="宋体"/>
                <w:sz w:val="24"/>
                <w:highlight w:val="none"/>
              </w:rPr>
              <w:t>，支持录音文件在电子卷宗中的下载、上传及与案件关联</w:t>
            </w:r>
            <w:r>
              <w:rPr>
                <w:rFonts w:hint="eastAsia" w:ascii="宋体" w:hAnsi="宋体" w:cs="宋体"/>
                <w:sz w:val="24"/>
                <w:highlight w:val="none"/>
                <w:lang w:eastAsia="zh-CN"/>
              </w:rPr>
              <w:t>。</w:t>
            </w:r>
            <w:r>
              <w:rPr>
                <w:rFonts w:hint="eastAsia" w:ascii="宋体" w:hAnsi="宋体" w:cs="宋体"/>
                <w:sz w:val="24"/>
              </w:rPr>
              <w:t>录音与案件自动绑定，减少操作环节通过一键拨号拨打的电话，与案件信息进行绑定，并支持同一个案件绑定多条录音，方便集中管理与查找。</w:t>
            </w:r>
          </w:p>
        </w:tc>
      </w:tr>
      <w:tr w14:paraId="4F389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trHeight w:val="905" w:hRule="atLeast"/>
          <w:jc w:val="center"/>
        </w:trPr>
        <w:tc>
          <w:tcPr>
            <w:tcW w:w="750" w:type="dxa"/>
            <w:vMerge w:val="continue"/>
            <w:noWrap/>
            <w:vAlign w:val="center"/>
          </w:tcPr>
          <w:p w14:paraId="11D7D5A0">
            <w:pPr>
              <w:spacing w:line="440" w:lineRule="exact"/>
              <w:jc w:val="center"/>
              <w:rPr>
                <w:rFonts w:hint="eastAsia" w:ascii="宋体" w:hAnsi="宋体" w:cs="宋体"/>
                <w:sz w:val="24"/>
              </w:rPr>
            </w:pPr>
          </w:p>
        </w:tc>
        <w:tc>
          <w:tcPr>
            <w:tcW w:w="1133" w:type="dxa"/>
            <w:vMerge w:val="continue"/>
            <w:noWrap/>
            <w:vAlign w:val="center"/>
          </w:tcPr>
          <w:p w14:paraId="00954518">
            <w:pPr>
              <w:spacing w:line="440" w:lineRule="exact"/>
              <w:jc w:val="center"/>
              <w:rPr>
                <w:rFonts w:ascii="宋体" w:hAnsi="宋体" w:cs="宋体"/>
                <w:sz w:val="24"/>
              </w:rPr>
            </w:pPr>
          </w:p>
        </w:tc>
        <w:tc>
          <w:tcPr>
            <w:tcW w:w="1784" w:type="dxa"/>
            <w:vMerge w:val="continue"/>
            <w:noWrap/>
            <w:vAlign w:val="center"/>
          </w:tcPr>
          <w:p w14:paraId="5E089FBD">
            <w:pPr>
              <w:spacing w:line="440" w:lineRule="exact"/>
              <w:jc w:val="left"/>
              <w:rPr>
                <w:rFonts w:hint="eastAsia" w:ascii="宋体" w:hAnsi="宋体" w:cs="宋体"/>
                <w:sz w:val="24"/>
              </w:rPr>
            </w:pPr>
          </w:p>
        </w:tc>
        <w:tc>
          <w:tcPr>
            <w:tcW w:w="5864" w:type="dxa"/>
            <w:noWrap/>
            <w:vAlign w:val="center"/>
          </w:tcPr>
          <w:p w14:paraId="6AC857F3">
            <w:pPr>
              <w:spacing w:line="440" w:lineRule="exact"/>
              <w:jc w:val="left"/>
              <w:rPr>
                <w:rFonts w:hint="eastAsia" w:ascii="宋体" w:hAnsi="宋体" w:cs="宋体"/>
                <w:sz w:val="24"/>
              </w:rPr>
            </w:pPr>
            <w:r>
              <w:rPr>
                <w:rFonts w:hint="eastAsia" w:ascii="宋体" w:hAnsi="宋体" w:cs="宋体"/>
                <w:sz w:val="24"/>
                <w:lang w:val="en-US" w:eastAsia="zh-CN"/>
              </w:rPr>
              <w:t>5</w:t>
            </w:r>
            <w:r>
              <w:rPr>
                <w:rFonts w:hint="eastAsia" w:ascii="宋体" w:hAnsi="宋体" w:cs="宋体"/>
                <w:sz w:val="24"/>
              </w:rPr>
              <w:t>、</w:t>
            </w:r>
            <w:r>
              <w:rPr>
                <w:rFonts w:hint="eastAsia" w:ascii="宋体" w:hAnsi="宋体" w:cs="宋体"/>
                <w:sz w:val="24"/>
                <w:highlight w:val="none"/>
              </w:rPr>
              <w:t>服务周期内，</w:t>
            </w:r>
            <w:r>
              <w:rPr>
                <w:rFonts w:hint="eastAsia" w:ascii="宋体" w:hAnsi="宋体" w:cs="宋体"/>
                <w:sz w:val="24"/>
                <w:highlight w:val="none"/>
                <w:lang w:val="en-US" w:eastAsia="zh-CN"/>
              </w:rPr>
              <w:t>专门工程师提供</w:t>
            </w:r>
            <w:r>
              <w:rPr>
                <w:rFonts w:hint="eastAsia" w:ascii="宋体" w:hAnsi="宋体"/>
                <w:sz w:val="24"/>
                <w:highlight w:val="none"/>
              </w:rPr>
              <w:t>一站式服务</w:t>
            </w:r>
            <w:r>
              <w:rPr>
                <w:rFonts w:hint="eastAsia" w:ascii="宋体" w:hAnsi="宋体" w:cs="宋体"/>
                <w:sz w:val="24"/>
                <w:highlight w:val="none"/>
              </w:rPr>
              <w:t>软件</w:t>
            </w:r>
            <w:r>
              <w:rPr>
                <w:rFonts w:hint="eastAsia" w:ascii="宋体" w:hAnsi="宋体"/>
                <w:sz w:val="24"/>
                <w:highlight w:val="none"/>
              </w:rPr>
              <w:t>管理平台</w:t>
            </w:r>
            <w:r>
              <w:rPr>
                <w:rFonts w:hint="eastAsia" w:ascii="宋体" w:hAnsi="宋体" w:cs="宋体"/>
                <w:sz w:val="24"/>
                <w:highlight w:val="none"/>
              </w:rPr>
              <w:t>并支持定制化开发。</w:t>
            </w:r>
          </w:p>
        </w:tc>
      </w:tr>
      <w:tr w14:paraId="25E26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trHeight w:val="784" w:hRule="atLeast"/>
          <w:jc w:val="center"/>
        </w:trPr>
        <w:tc>
          <w:tcPr>
            <w:tcW w:w="750" w:type="dxa"/>
            <w:vMerge w:val="continue"/>
            <w:noWrap/>
            <w:vAlign w:val="center"/>
          </w:tcPr>
          <w:p w14:paraId="5419BBD8">
            <w:pPr>
              <w:spacing w:line="440" w:lineRule="exact"/>
              <w:jc w:val="center"/>
              <w:rPr>
                <w:rFonts w:ascii="宋体" w:hAnsi="宋体" w:cs="宋体"/>
                <w:sz w:val="24"/>
              </w:rPr>
            </w:pPr>
          </w:p>
        </w:tc>
        <w:tc>
          <w:tcPr>
            <w:tcW w:w="1133" w:type="dxa"/>
            <w:vMerge w:val="continue"/>
            <w:noWrap/>
            <w:vAlign w:val="center"/>
          </w:tcPr>
          <w:p w14:paraId="02DA9E5C">
            <w:pPr>
              <w:spacing w:line="440" w:lineRule="exact"/>
              <w:jc w:val="center"/>
              <w:rPr>
                <w:rFonts w:ascii="宋体" w:hAnsi="宋体" w:cs="宋体"/>
                <w:sz w:val="24"/>
              </w:rPr>
            </w:pPr>
          </w:p>
        </w:tc>
        <w:tc>
          <w:tcPr>
            <w:tcW w:w="1784" w:type="dxa"/>
            <w:vMerge w:val="restart"/>
            <w:noWrap/>
            <w:vAlign w:val="center"/>
          </w:tcPr>
          <w:p w14:paraId="59E07907">
            <w:pPr>
              <w:spacing w:line="440" w:lineRule="exact"/>
              <w:jc w:val="left"/>
              <w:rPr>
                <w:rFonts w:ascii="宋体" w:hAnsi="宋体" w:cs="宋体"/>
                <w:sz w:val="24"/>
              </w:rPr>
            </w:pPr>
            <w:r>
              <w:rPr>
                <w:rFonts w:hint="eastAsia" w:ascii="宋体" w:hAnsi="宋体" w:cs="宋体"/>
                <w:sz w:val="24"/>
              </w:rPr>
              <w:t>来访登记</w:t>
            </w:r>
            <w:r>
              <w:rPr>
                <w:rFonts w:hint="eastAsia" w:ascii="宋体" w:hAnsi="宋体" w:eastAsia="宋体" w:cs="宋体"/>
                <w:sz w:val="24"/>
                <w:lang w:eastAsia="zh-CN"/>
              </w:rPr>
              <w:t>、</w:t>
            </w:r>
            <w:r>
              <w:rPr>
                <w:rFonts w:hint="eastAsia" w:ascii="宋体" w:hAnsi="宋体" w:eastAsia="宋体" w:cs="宋体"/>
                <w:color w:val="000000"/>
                <w:sz w:val="24"/>
              </w:rPr>
              <w:t>数据管理辅助</w:t>
            </w:r>
          </w:p>
        </w:tc>
        <w:tc>
          <w:tcPr>
            <w:tcW w:w="5864" w:type="dxa"/>
            <w:noWrap/>
            <w:vAlign w:val="center"/>
          </w:tcPr>
          <w:p w14:paraId="55724B97">
            <w:pPr>
              <w:spacing w:line="440" w:lineRule="exact"/>
              <w:jc w:val="left"/>
              <w:rPr>
                <w:rFonts w:hint="eastAsia" w:ascii="宋体" w:hAnsi="宋体" w:eastAsia="宋体" w:cs="宋体"/>
                <w:sz w:val="24"/>
                <w:lang w:val="en-US" w:eastAsia="zh-CN"/>
              </w:rPr>
            </w:pPr>
            <w:r>
              <w:rPr>
                <w:rFonts w:hint="eastAsia" w:ascii="宋体" w:hAnsi="宋体" w:eastAsia="宋体" w:cs="宋体"/>
                <w:sz w:val="24"/>
                <w:lang w:val="en-US" w:eastAsia="zh-CN"/>
              </w:rPr>
              <w:t>1、来访登记：执行服务中心来访在系统里进行登记工单并流转承办人，登记均需跟踪办理满意度，对于超期未办需再次交办及时跟踪。</w:t>
            </w:r>
          </w:p>
        </w:tc>
      </w:tr>
      <w:tr w14:paraId="5E8DC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750" w:type="dxa"/>
            <w:vMerge w:val="continue"/>
            <w:noWrap/>
            <w:vAlign w:val="center"/>
          </w:tcPr>
          <w:p w14:paraId="32627456">
            <w:pPr>
              <w:spacing w:line="440" w:lineRule="exact"/>
              <w:jc w:val="center"/>
              <w:rPr>
                <w:rFonts w:ascii="宋体" w:hAnsi="宋体" w:cs="宋体"/>
                <w:sz w:val="24"/>
              </w:rPr>
            </w:pPr>
          </w:p>
        </w:tc>
        <w:tc>
          <w:tcPr>
            <w:tcW w:w="1133" w:type="dxa"/>
            <w:vMerge w:val="continue"/>
            <w:noWrap/>
            <w:vAlign w:val="center"/>
          </w:tcPr>
          <w:p w14:paraId="6D6FA2CE">
            <w:pPr>
              <w:spacing w:line="440" w:lineRule="exact"/>
              <w:jc w:val="center"/>
              <w:rPr>
                <w:rFonts w:ascii="宋体" w:hAnsi="宋体" w:cs="宋体"/>
                <w:sz w:val="24"/>
              </w:rPr>
            </w:pPr>
          </w:p>
        </w:tc>
        <w:tc>
          <w:tcPr>
            <w:tcW w:w="1784" w:type="dxa"/>
            <w:vMerge w:val="continue"/>
            <w:noWrap/>
            <w:vAlign w:val="center"/>
          </w:tcPr>
          <w:p w14:paraId="067436B9">
            <w:pPr>
              <w:spacing w:line="440" w:lineRule="exact"/>
              <w:jc w:val="left"/>
              <w:rPr>
                <w:rFonts w:ascii="宋体" w:hAnsi="宋体" w:cs="宋体"/>
                <w:sz w:val="24"/>
              </w:rPr>
            </w:pPr>
          </w:p>
          <w:bookmarkEnd w:id="181"/>
          <w:bookmarkEnd w:id="182"/>
          <w:bookmarkEnd w:id="183"/>
          <w:bookmarkEnd w:id="184"/>
        </w:tc>
        <w:tc>
          <w:tcPr>
            <w:tcW w:w="5864" w:type="dxa"/>
            <w:noWrap/>
            <w:vAlign w:val="center"/>
          </w:tcPr>
          <w:p w14:paraId="09410844">
            <w:pPr>
              <w:spacing w:line="440" w:lineRule="exact"/>
              <w:jc w:val="left"/>
              <w:rPr>
                <w:rFonts w:hint="eastAsia" w:ascii="宋体" w:hAnsi="宋体" w:eastAsia="宋体" w:cs="宋体"/>
                <w:sz w:val="24"/>
                <w:lang w:eastAsia="zh-CN"/>
              </w:rPr>
            </w:pPr>
            <w:r>
              <w:rPr>
                <w:rFonts w:hint="eastAsia" w:ascii="宋体" w:hAnsi="宋体" w:eastAsia="宋体" w:cs="宋体"/>
                <w:sz w:val="24"/>
                <w:lang w:val="en-US" w:eastAsia="zh-CN"/>
              </w:rPr>
              <w:t>2</w:t>
            </w:r>
            <w:r>
              <w:rPr>
                <w:rFonts w:hint="eastAsia" w:ascii="宋体" w:hAnsi="宋体" w:cs="宋体"/>
                <w:sz w:val="24"/>
              </w:rPr>
              <w:t>、群众执行诉求分析预警：对诉求类别、责任部门/责任人、处理时长、回复回访结果等多个维度进行统计分析，针对相关数据异常提供预警同时，可交叉比对分析，对于同一诉求多次或多渠道反应未能有效处理并产生不良影响的，主动筛选并根据管理要求进行回溯分析和改进。</w:t>
            </w:r>
          </w:p>
        </w:tc>
      </w:tr>
      <w:tr w14:paraId="31B44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750" w:type="dxa"/>
            <w:vMerge w:val="continue"/>
            <w:noWrap/>
            <w:vAlign w:val="center"/>
          </w:tcPr>
          <w:p w14:paraId="338DD796">
            <w:pPr>
              <w:spacing w:line="440" w:lineRule="exact"/>
              <w:jc w:val="center"/>
              <w:rPr>
                <w:rFonts w:hint="eastAsia" w:ascii="宋体" w:hAnsi="宋体" w:cs="宋体"/>
                <w:sz w:val="24"/>
              </w:rPr>
            </w:pPr>
          </w:p>
        </w:tc>
        <w:tc>
          <w:tcPr>
            <w:tcW w:w="1133" w:type="dxa"/>
            <w:vMerge w:val="continue"/>
            <w:noWrap/>
            <w:vAlign w:val="center"/>
          </w:tcPr>
          <w:p w14:paraId="008820BA">
            <w:pPr>
              <w:spacing w:line="440" w:lineRule="exact"/>
              <w:jc w:val="center"/>
              <w:rPr>
                <w:rFonts w:ascii="宋体" w:hAnsi="宋体" w:cs="宋体"/>
                <w:sz w:val="24"/>
              </w:rPr>
            </w:pPr>
          </w:p>
        </w:tc>
        <w:tc>
          <w:tcPr>
            <w:tcW w:w="1784" w:type="dxa"/>
            <w:vMerge w:val="continue"/>
            <w:noWrap/>
            <w:vAlign w:val="center"/>
          </w:tcPr>
          <w:p w14:paraId="7723991B">
            <w:pPr>
              <w:spacing w:line="440" w:lineRule="exact"/>
              <w:jc w:val="left"/>
              <w:rPr>
                <w:rFonts w:hint="eastAsia" w:ascii="宋体" w:hAnsi="宋体" w:cs="宋体"/>
                <w:sz w:val="24"/>
              </w:rPr>
            </w:pPr>
          </w:p>
        </w:tc>
        <w:tc>
          <w:tcPr>
            <w:tcW w:w="5864" w:type="dxa"/>
            <w:noWrap/>
            <w:vAlign w:val="center"/>
          </w:tcPr>
          <w:p w14:paraId="5E6AD75D">
            <w:pPr>
              <w:spacing w:line="440" w:lineRule="exact"/>
              <w:jc w:val="left"/>
              <w:rPr>
                <w:rFonts w:hint="eastAsia" w:ascii="宋体" w:hAnsi="宋体" w:eastAsia="宋体" w:cs="宋体"/>
                <w:sz w:val="24"/>
                <w:lang w:eastAsia="zh-CN"/>
              </w:rPr>
            </w:pPr>
            <w:r>
              <w:rPr>
                <w:rFonts w:hint="eastAsia" w:ascii="宋体" w:hAnsi="宋体" w:eastAsia="宋体" w:cs="宋体"/>
                <w:sz w:val="24"/>
                <w:lang w:val="en-US" w:eastAsia="zh-CN"/>
              </w:rPr>
              <w:t>3</w:t>
            </w:r>
            <w:r>
              <w:rPr>
                <w:rFonts w:hint="eastAsia" w:ascii="宋体" w:hAnsi="宋体" w:cs="宋体"/>
                <w:sz w:val="24"/>
              </w:rPr>
              <w:t>、群众执行诉求统计通报：提供查询统计功能和实时数据的一屏展示，实现群众诉求处理情况的可视化，可定期形成数据报告进行通报。</w:t>
            </w:r>
          </w:p>
        </w:tc>
      </w:tr>
      <w:tr w14:paraId="74B57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750" w:type="dxa"/>
            <w:vMerge w:val="continue"/>
            <w:noWrap/>
            <w:vAlign w:val="center"/>
          </w:tcPr>
          <w:p w14:paraId="429241F2">
            <w:pPr>
              <w:spacing w:line="440" w:lineRule="exact"/>
              <w:jc w:val="center"/>
              <w:rPr>
                <w:rFonts w:hint="eastAsia" w:ascii="宋体" w:hAnsi="宋体" w:cs="宋体"/>
                <w:sz w:val="24"/>
              </w:rPr>
            </w:pPr>
          </w:p>
        </w:tc>
        <w:tc>
          <w:tcPr>
            <w:tcW w:w="1133" w:type="dxa"/>
            <w:vMerge w:val="restart"/>
            <w:noWrap/>
            <w:vAlign w:val="center"/>
          </w:tcPr>
          <w:p w14:paraId="00099253">
            <w:pPr>
              <w:spacing w:line="440" w:lineRule="exact"/>
              <w:jc w:val="center"/>
              <w:rPr>
                <w:rFonts w:hint="eastAsia" w:ascii="宋体" w:hAnsi="宋体" w:cs="宋体"/>
                <w:sz w:val="24"/>
              </w:rPr>
            </w:pPr>
          </w:p>
        </w:tc>
        <w:tc>
          <w:tcPr>
            <w:tcW w:w="1784" w:type="dxa"/>
            <w:vMerge w:val="restart"/>
            <w:noWrap/>
            <w:vAlign w:val="center"/>
          </w:tcPr>
          <w:p w14:paraId="084FCDCE">
            <w:pPr>
              <w:spacing w:line="440" w:lineRule="exact"/>
              <w:jc w:val="left"/>
              <w:rPr>
                <w:rFonts w:hint="eastAsia" w:ascii="宋体" w:hAnsi="宋体" w:eastAsia="宋体" w:cs="宋体"/>
                <w:sz w:val="24"/>
                <w:szCs w:val="24"/>
                <w:lang w:val="en-US" w:eastAsia="zh-CN" w:bidi="ar-SA"/>
              </w:rPr>
            </w:pPr>
            <w:r>
              <w:rPr>
                <w:rFonts w:hint="eastAsia" w:ascii="宋体" w:hAnsi="宋体" w:eastAsia="宋体" w:cs="宋体"/>
                <w:sz w:val="24"/>
                <w:lang w:val="en-US" w:eastAsia="zh-CN"/>
              </w:rPr>
              <w:t>邮寄登记、</w:t>
            </w:r>
            <w:r>
              <w:rPr>
                <w:rFonts w:hint="eastAsia" w:ascii="宋体" w:hAnsi="宋体" w:cs="宋体"/>
                <w:sz w:val="24"/>
              </w:rPr>
              <w:t>文书送达服务</w:t>
            </w:r>
          </w:p>
        </w:tc>
        <w:tc>
          <w:tcPr>
            <w:tcW w:w="5864" w:type="dxa"/>
            <w:noWrap/>
            <w:vAlign w:val="center"/>
          </w:tcPr>
          <w:p w14:paraId="4968F4D3">
            <w:pPr>
              <w:numPr>
                <w:ilvl w:val="0"/>
                <w:numId w:val="0"/>
              </w:numPr>
              <w:spacing w:line="440" w:lineRule="exact"/>
              <w:jc w:val="left"/>
              <w:rPr>
                <w:rFonts w:hint="eastAsia" w:ascii="宋体" w:hAnsi="宋体" w:eastAsia="宋体" w:cs="宋体"/>
                <w:sz w:val="24"/>
                <w:lang w:val="en-US" w:eastAsia="zh-CN"/>
              </w:rPr>
            </w:pPr>
            <w:r>
              <w:rPr>
                <w:rFonts w:hint="eastAsia" w:ascii="宋体" w:hAnsi="宋体" w:eastAsia="宋体" w:cs="宋体"/>
                <w:sz w:val="24"/>
                <w:lang w:val="en-US" w:eastAsia="zh-CN"/>
              </w:rPr>
              <w:t>1、邮寄登记：已结案案件邮件在系统里进行登记工单并流转承办人，登记均需跟踪办理满意度，对于超期未办需再次交办及时跟踪。</w:t>
            </w:r>
          </w:p>
        </w:tc>
      </w:tr>
      <w:tr w14:paraId="4131A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750" w:type="dxa"/>
            <w:vMerge w:val="continue"/>
            <w:noWrap/>
            <w:vAlign w:val="center"/>
          </w:tcPr>
          <w:p w14:paraId="27CA6B1B">
            <w:pPr>
              <w:spacing w:line="440" w:lineRule="exact"/>
              <w:jc w:val="center"/>
              <w:rPr>
                <w:rFonts w:hint="eastAsia" w:ascii="宋体" w:hAnsi="宋体" w:cs="宋体"/>
                <w:sz w:val="24"/>
              </w:rPr>
            </w:pPr>
          </w:p>
        </w:tc>
        <w:tc>
          <w:tcPr>
            <w:tcW w:w="1133" w:type="dxa"/>
            <w:vMerge w:val="continue"/>
            <w:noWrap/>
            <w:vAlign w:val="center"/>
          </w:tcPr>
          <w:p w14:paraId="3938200D">
            <w:pPr>
              <w:spacing w:line="440" w:lineRule="exact"/>
              <w:jc w:val="center"/>
              <w:rPr>
                <w:rFonts w:hint="eastAsia" w:ascii="宋体" w:hAnsi="宋体" w:cs="宋体"/>
                <w:sz w:val="24"/>
              </w:rPr>
            </w:pPr>
          </w:p>
        </w:tc>
        <w:tc>
          <w:tcPr>
            <w:tcW w:w="1784" w:type="dxa"/>
            <w:vMerge w:val="continue"/>
            <w:noWrap/>
            <w:vAlign w:val="center"/>
          </w:tcPr>
          <w:p w14:paraId="5CA077CE">
            <w:pPr>
              <w:spacing w:line="440" w:lineRule="exact"/>
              <w:jc w:val="left"/>
              <w:rPr>
                <w:rFonts w:hint="eastAsia" w:ascii="宋体" w:hAnsi="宋体" w:eastAsia="宋体" w:cs="宋体"/>
                <w:sz w:val="24"/>
                <w:szCs w:val="24"/>
                <w:lang w:val="en-US" w:eastAsia="zh-CN" w:bidi="ar-SA"/>
              </w:rPr>
            </w:pPr>
          </w:p>
        </w:tc>
        <w:tc>
          <w:tcPr>
            <w:tcW w:w="5864" w:type="dxa"/>
            <w:noWrap/>
            <w:vAlign w:val="center"/>
          </w:tcPr>
          <w:p w14:paraId="281BFAD1">
            <w:pPr>
              <w:numPr>
                <w:ilvl w:val="0"/>
                <w:numId w:val="0"/>
              </w:numPr>
              <w:spacing w:line="440" w:lineRule="exact"/>
              <w:jc w:val="left"/>
              <w:rPr>
                <w:rFonts w:hint="eastAsia" w:ascii="宋体" w:hAnsi="宋体" w:eastAsia="宋体" w:cs="宋体"/>
                <w:sz w:val="24"/>
                <w:lang w:val="en-US" w:eastAsia="zh-CN"/>
              </w:rPr>
            </w:pPr>
            <w:r>
              <w:rPr>
                <w:rFonts w:hint="eastAsia" w:ascii="宋体" w:hAnsi="宋体" w:eastAsia="宋体" w:cs="宋体"/>
                <w:sz w:val="24"/>
                <w:lang w:val="en-US" w:eastAsia="zh-CN"/>
              </w:rPr>
              <w:t>2、根据法院实际需求，</w:t>
            </w:r>
            <w:r>
              <w:rPr>
                <w:rFonts w:hint="eastAsia" w:ascii="宋体" w:hAnsi="宋体" w:cs="宋体"/>
                <w:sz w:val="24"/>
              </w:rPr>
              <w:t>为法官、书记员提供贴身的、为院方提供定制化的、为当事人提供暖心的文书送达服务。支持法官内网创建送达任务，任务要求实现根据案件类型，案号自动关联案件基础信息，自动提取案件的案由等信息；并能自动获取当事人手机号码，身份信息，家庭住址等信息，进行</w:t>
            </w:r>
            <w:r>
              <w:rPr>
                <w:rFonts w:hint="eastAsia" w:ascii="宋体" w:hAnsi="宋体" w:eastAsia="宋体" w:cs="宋体"/>
                <w:sz w:val="24"/>
                <w:lang w:val="en-US" w:eastAsia="zh-CN"/>
              </w:rPr>
              <w:t>文书</w:t>
            </w:r>
            <w:r>
              <w:rPr>
                <w:rFonts w:hint="eastAsia" w:ascii="宋体" w:hAnsi="宋体" w:cs="宋体"/>
                <w:sz w:val="24"/>
              </w:rPr>
              <w:t>送达</w:t>
            </w:r>
            <w:r>
              <w:rPr>
                <w:rFonts w:hint="eastAsia" w:ascii="宋体" w:hAnsi="宋体" w:eastAsia="宋体" w:cs="宋体"/>
                <w:sz w:val="24"/>
                <w:lang w:eastAsia="zh-CN"/>
              </w:rPr>
              <w:t>。</w:t>
            </w:r>
            <w:r>
              <w:rPr>
                <w:rFonts w:hint="eastAsia" w:ascii="宋体" w:hAnsi="宋体" w:eastAsia="宋体" w:cs="宋体"/>
                <w:color w:val="000000"/>
                <w:sz w:val="24"/>
                <w:szCs w:val="24"/>
                <w:highlight w:val="none"/>
              </w:rPr>
              <w:t>送达内容实时上传</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确保送达证据，送达结果随时可查阅，系统可自动统计送达件数、邮寄送达结果</w:t>
            </w:r>
            <w:r>
              <w:rPr>
                <w:rFonts w:hint="eastAsia" w:ascii="宋体" w:hAnsi="宋体" w:eastAsia="宋体" w:cs="宋体"/>
                <w:color w:val="000000"/>
                <w:sz w:val="24"/>
                <w:szCs w:val="24"/>
                <w:highlight w:val="none"/>
                <w:lang w:eastAsia="zh-CN"/>
              </w:rPr>
              <w:t>。</w:t>
            </w:r>
          </w:p>
        </w:tc>
      </w:tr>
      <w:tr w14:paraId="01A0E6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750" w:type="dxa"/>
            <w:vMerge w:val="restart"/>
            <w:noWrap/>
            <w:vAlign w:val="center"/>
          </w:tcPr>
          <w:p w14:paraId="5D44C15D">
            <w:pPr>
              <w:spacing w:line="440" w:lineRule="exact"/>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3</w:t>
            </w:r>
          </w:p>
        </w:tc>
        <w:tc>
          <w:tcPr>
            <w:tcW w:w="1133" w:type="dxa"/>
            <w:vMerge w:val="restart"/>
            <w:noWrap/>
            <w:vAlign w:val="center"/>
          </w:tcPr>
          <w:p w14:paraId="3162F999">
            <w:pPr>
              <w:spacing w:line="440" w:lineRule="exact"/>
              <w:jc w:val="center"/>
              <w:rPr>
                <w:rFonts w:hint="eastAsia" w:ascii="宋体" w:hAnsi="宋体" w:cs="宋体"/>
                <w:color w:val="000000"/>
                <w:sz w:val="24"/>
                <w:highlight w:val="none"/>
              </w:rPr>
            </w:pPr>
            <w:r>
              <w:rPr>
                <w:rFonts w:hint="eastAsia" w:ascii="宋体" w:hAnsi="宋体" w:cs="宋体"/>
                <w:color w:val="000000"/>
                <w:sz w:val="24"/>
                <w:highlight w:val="none"/>
              </w:rPr>
              <w:t>中间库管理</w:t>
            </w:r>
          </w:p>
        </w:tc>
        <w:tc>
          <w:tcPr>
            <w:tcW w:w="1784" w:type="dxa"/>
            <w:vMerge w:val="restart"/>
            <w:noWrap/>
            <w:vAlign w:val="center"/>
          </w:tcPr>
          <w:p w14:paraId="1526E0BF">
            <w:pPr>
              <w:spacing w:line="440" w:lineRule="exact"/>
              <w:jc w:val="left"/>
              <w:rPr>
                <w:rFonts w:hint="eastAsia" w:ascii="宋体" w:hAnsi="宋体" w:cs="宋体"/>
                <w:color w:val="000000"/>
                <w:sz w:val="24"/>
                <w:highlight w:val="none"/>
              </w:rPr>
            </w:pPr>
            <w:r>
              <w:rPr>
                <w:rFonts w:hint="eastAsia" w:ascii="宋体" w:hAnsi="宋体" w:eastAsia="宋体" w:cs="宋体"/>
                <w:color w:val="000000"/>
                <w:sz w:val="24"/>
                <w:highlight w:val="none"/>
                <w:lang w:val="en-US" w:eastAsia="zh-CN"/>
              </w:rPr>
              <w:t>中间库服务、</w:t>
            </w:r>
            <w:r>
              <w:rPr>
                <w:rFonts w:hint="eastAsia" w:ascii="宋体" w:hAnsi="宋体" w:cs="宋体"/>
                <w:color w:val="000000"/>
                <w:sz w:val="24"/>
                <w:highlight w:val="none"/>
              </w:rPr>
              <w:t>终本中间库服务</w:t>
            </w:r>
          </w:p>
        </w:tc>
        <w:tc>
          <w:tcPr>
            <w:tcW w:w="5864" w:type="dxa"/>
            <w:noWrap/>
            <w:vAlign w:val="center"/>
          </w:tcPr>
          <w:p w14:paraId="047F6CC4">
            <w:pPr>
              <w:spacing w:line="440" w:lineRule="exact"/>
              <w:jc w:val="left"/>
              <w:rPr>
                <w:rFonts w:hint="eastAsia" w:ascii="宋体" w:hAnsi="宋体" w:cs="宋体"/>
                <w:color w:val="000000"/>
                <w:sz w:val="24"/>
                <w:highlight w:val="none"/>
              </w:rPr>
            </w:pPr>
            <w:r>
              <w:rPr>
                <w:rFonts w:hint="eastAsia" w:ascii="宋体" w:hAnsi="宋体" w:eastAsia="宋体" w:cs="宋体"/>
                <w:color w:val="000000"/>
                <w:sz w:val="24"/>
                <w:highlight w:val="none"/>
                <w:lang w:val="en-US" w:eastAsia="zh-CN"/>
              </w:rPr>
              <w:t>1、在执案件及系统中结案暂未归档案件新增材料的扫描入卷及中间库入库、出库。</w:t>
            </w:r>
          </w:p>
        </w:tc>
      </w:tr>
      <w:tr w14:paraId="6A325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trHeight w:val="834" w:hRule="atLeast"/>
          <w:jc w:val="center"/>
        </w:trPr>
        <w:tc>
          <w:tcPr>
            <w:tcW w:w="750" w:type="dxa"/>
            <w:vMerge w:val="continue"/>
            <w:noWrap/>
            <w:vAlign w:val="center"/>
          </w:tcPr>
          <w:p w14:paraId="062F8B0D">
            <w:pPr>
              <w:spacing w:line="440" w:lineRule="exact"/>
              <w:jc w:val="center"/>
              <w:rPr>
                <w:rFonts w:hint="eastAsia" w:ascii="宋体" w:hAnsi="宋体" w:eastAsia="宋体" w:cs="宋体"/>
                <w:color w:val="000000"/>
                <w:sz w:val="24"/>
                <w:highlight w:val="none"/>
                <w:lang w:val="en-US" w:eastAsia="zh-CN"/>
              </w:rPr>
            </w:pPr>
          </w:p>
        </w:tc>
        <w:tc>
          <w:tcPr>
            <w:tcW w:w="1133" w:type="dxa"/>
            <w:vMerge w:val="continue"/>
            <w:noWrap/>
            <w:vAlign w:val="center"/>
          </w:tcPr>
          <w:p w14:paraId="254905A9">
            <w:pPr>
              <w:spacing w:line="440" w:lineRule="exact"/>
              <w:jc w:val="center"/>
              <w:rPr>
                <w:rFonts w:hint="eastAsia" w:ascii="宋体" w:hAnsi="宋体" w:cs="宋体"/>
                <w:color w:val="000000"/>
                <w:sz w:val="24"/>
                <w:highlight w:val="none"/>
              </w:rPr>
            </w:pPr>
          </w:p>
        </w:tc>
        <w:tc>
          <w:tcPr>
            <w:tcW w:w="1784" w:type="dxa"/>
            <w:vMerge w:val="continue"/>
            <w:noWrap/>
            <w:vAlign w:val="center"/>
          </w:tcPr>
          <w:p w14:paraId="46402C6B">
            <w:pPr>
              <w:spacing w:line="440" w:lineRule="exact"/>
              <w:jc w:val="left"/>
              <w:rPr>
                <w:rFonts w:hint="eastAsia" w:ascii="宋体" w:hAnsi="宋体" w:eastAsia="宋体" w:cs="宋体"/>
                <w:color w:val="000000"/>
                <w:sz w:val="24"/>
                <w:highlight w:val="none"/>
                <w:lang w:val="en-US" w:eastAsia="zh-CN"/>
              </w:rPr>
            </w:pPr>
          </w:p>
        </w:tc>
        <w:tc>
          <w:tcPr>
            <w:tcW w:w="5864" w:type="dxa"/>
            <w:noWrap/>
            <w:vAlign w:val="center"/>
          </w:tcPr>
          <w:p w14:paraId="6235F557">
            <w:pPr>
              <w:spacing w:line="440" w:lineRule="exact"/>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2、已结案并归档案件新增材料的扫描入电子卷及增卷进档案卷（终本中间库）。</w:t>
            </w:r>
          </w:p>
        </w:tc>
      </w:tr>
      <w:tr w14:paraId="482F5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trHeight w:val="834" w:hRule="atLeast"/>
          <w:jc w:val="center"/>
        </w:trPr>
        <w:tc>
          <w:tcPr>
            <w:tcW w:w="750" w:type="dxa"/>
            <w:noWrap/>
            <w:vAlign w:val="center"/>
          </w:tcPr>
          <w:p w14:paraId="6FA50528">
            <w:pPr>
              <w:spacing w:line="440" w:lineRule="exact"/>
              <w:jc w:val="center"/>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w:t>
            </w:r>
          </w:p>
        </w:tc>
        <w:tc>
          <w:tcPr>
            <w:tcW w:w="1133" w:type="dxa"/>
            <w:noWrap/>
            <w:vAlign w:val="center"/>
          </w:tcPr>
          <w:p w14:paraId="239482DC">
            <w:pPr>
              <w:spacing w:line="440" w:lineRule="exact"/>
              <w:jc w:val="center"/>
              <w:rPr>
                <w:rFonts w:hint="eastAsia" w:ascii="宋体" w:hAnsi="宋体" w:cs="宋体"/>
                <w:color w:val="000000"/>
                <w:sz w:val="24"/>
                <w:highlight w:val="none"/>
              </w:rPr>
            </w:pPr>
            <w:r>
              <w:rPr>
                <w:rFonts w:hint="eastAsia" w:ascii="宋体" w:hAnsi="宋体" w:cs="宋体"/>
                <w:color w:val="000000"/>
                <w:sz w:val="24"/>
                <w:highlight w:val="none"/>
              </w:rPr>
              <w:t>文印</w:t>
            </w:r>
            <w:r>
              <w:rPr>
                <w:rFonts w:hint="eastAsia" w:ascii="宋体" w:hAnsi="宋体" w:eastAsia="宋体" w:cs="宋体"/>
                <w:color w:val="000000"/>
                <w:sz w:val="24"/>
                <w:highlight w:val="none"/>
                <w:lang w:val="en-US" w:eastAsia="zh-CN"/>
              </w:rPr>
              <w:t>宣传</w:t>
            </w:r>
          </w:p>
        </w:tc>
        <w:tc>
          <w:tcPr>
            <w:tcW w:w="1784" w:type="dxa"/>
            <w:noWrap/>
            <w:vAlign w:val="center"/>
          </w:tcPr>
          <w:p w14:paraId="3180A7D9">
            <w:pPr>
              <w:spacing w:line="440" w:lineRule="exact"/>
              <w:jc w:val="left"/>
              <w:rPr>
                <w:rFonts w:ascii="宋体" w:hAnsi="宋体" w:cs="宋体"/>
                <w:color w:val="000000"/>
                <w:sz w:val="24"/>
                <w:highlight w:val="none"/>
                <w:lang w:val="en-US"/>
              </w:rPr>
            </w:pPr>
            <w:r>
              <w:rPr>
                <w:rFonts w:hint="eastAsia" w:ascii="宋体" w:hAnsi="宋体" w:eastAsia="宋体" w:cs="宋体"/>
                <w:color w:val="000000"/>
                <w:sz w:val="24"/>
                <w:highlight w:val="none"/>
                <w:lang w:val="en-US" w:eastAsia="zh-CN"/>
              </w:rPr>
              <w:t>文印服务、</w:t>
            </w:r>
            <w:r>
              <w:rPr>
                <w:rFonts w:hint="eastAsia" w:ascii="宋体" w:hAnsi="宋体" w:eastAsia="宋体" w:cs="宋体"/>
                <w:color w:val="000000"/>
                <w:sz w:val="24"/>
                <w:lang w:val="en-US" w:eastAsia="zh-CN"/>
              </w:rPr>
              <w:t>新媒体运营服务</w:t>
            </w:r>
          </w:p>
        </w:tc>
        <w:tc>
          <w:tcPr>
            <w:tcW w:w="5864" w:type="dxa"/>
            <w:noWrap/>
            <w:vAlign w:val="center"/>
          </w:tcPr>
          <w:p w14:paraId="381061A3">
            <w:pPr>
              <w:spacing w:line="440" w:lineRule="exact"/>
              <w:jc w:val="lef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负责院内文书材料排版、套红、签章、打印、复印；新媒体平台运用、视觉创意设计与内容排版优化、可视化交互表单制作、专业视频剪辑与短视频内容制作、物料创意设计。</w:t>
            </w:r>
          </w:p>
        </w:tc>
      </w:tr>
    </w:tbl>
    <w:p w14:paraId="3944A1A6">
      <w:pPr>
        <w:keepNext w:val="0"/>
        <w:keepLines w:val="0"/>
        <w:pageBreakBefore w:val="0"/>
        <w:widowControl w:val="0"/>
        <w:tabs>
          <w:tab w:val="left" w:pos="5655"/>
        </w:tabs>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三、服务考核</w:t>
      </w:r>
    </w:p>
    <w:p w14:paraId="4227387D">
      <w:pPr>
        <w:keepNext w:val="0"/>
        <w:keepLines w:val="0"/>
        <w:pageBreakBefore w:val="0"/>
        <w:widowControl w:val="0"/>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、乙方原因造成甲方形象、声誉受损，或因乙方原因造成甲方审判及相关信息泄漏，视为乙方违约，甲方有权解除合同，乙方除负责相关法律责任外，需支付甲方合同总价款的5%的违约金。</w:t>
      </w:r>
    </w:p>
    <w:p w14:paraId="22A5DB5F">
      <w:pPr>
        <w:keepNext w:val="0"/>
        <w:keepLines w:val="0"/>
        <w:pageBreakBefore w:val="0"/>
        <w:widowControl w:val="0"/>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、乙方送达程序合规性100%,每下降一个百分点扣除乙方服务费2000元。</w:t>
      </w:r>
    </w:p>
    <w:p w14:paraId="25D8D312">
      <w:pPr>
        <w:keepNext w:val="0"/>
        <w:keepLines w:val="0"/>
        <w:pageBreakBefore w:val="0"/>
        <w:widowControl w:val="0"/>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、公告送达60日到期后,未及时将结果反馈给相关法官,每发生一起扣乙方服务费200元。</w:t>
      </w:r>
    </w:p>
    <w:p w14:paraId="75447D03">
      <w:pPr>
        <w:keepNext w:val="0"/>
        <w:keepLines w:val="0"/>
        <w:pageBreakBefore w:val="0"/>
        <w:widowControl w:val="0"/>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、立案信息录入错误，经核实每发生一起扣乙方服务费200元。</w:t>
      </w:r>
    </w:p>
    <w:p w14:paraId="0CD9289A">
      <w:pPr>
        <w:keepNext w:val="0"/>
        <w:keepLines w:val="0"/>
        <w:pageBreakBefore w:val="0"/>
        <w:widowControl w:val="0"/>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、诉讼引导，来访来电接接待过程中引起投诉，查证属实的，以及其他辅助事务过程中失误，每发生一起扣乙方服务费500元。</w:t>
      </w:r>
    </w:p>
    <w:p w14:paraId="162AD15F">
      <w:pPr>
        <w:keepNext w:val="0"/>
        <w:keepLines w:val="0"/>
        <w:pageBreakBefore w:val="0"/>
        <w:widowControl w:val="0"/>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考核总分100分，考核时每扣5000元扣考核分1分，不足5000元的按比例确定扣分分值。考核所有的罚金均从本项目的履约保证金中扣除，当乙方的履约保证金扣完后，考核分已不足95分时，甲方视为乙方已严重违约且已不能继续履行合同，甲方有权立即终止合同。</w:t>
      </w:r>
    </w:p>
    <w:p w14:paraId="4A6D7A0F">
      <w:pPr>
        <w:keepNext w:val="0"/>
        <w:keepLines w:val="0"/>
        <w:pageBreakBefore w:val="0"/>
        <w:widowControl w:val="0"/>
        <w:tabs>
          <w:tab w:val="left" w:pos="5655"/>
        </w:tabs>
        <w:spacing w:line="500" w:lineRule="exact"/>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四、报价要求及付款方式</w:t>
      </w:r>
    </w:p>
    <w:p w14:paraId="61D89D43">
      <w:pPr>
        <w:keepNext w:val="0"/>
        <w:keepLines w:val="0"/>
        <w:pageBreakBefore w:val="0"/>
        <w:widowControl w:val="0"/>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本项目投标报价为总价包干，投标报价应包括投标人为完成采购文件所确定的采购范围内的全部内容所必须的直接和间接成本、质量保证与技术支持、系统平台搭设、管理、培训、利润、税金、风险费、管理费、代理费、政策性文件规定的各项所需的全部费用、不可预见费及其它一切相关费用。</w:t>
      </w:r>
    </w:p>
    <w:p w14:paraId="698DC702">
      <w:pPr>
        <w:keepNext w:val="0"/>
        <w:keepLines w:val="0"/>
        <w:pageBreakBefore w:val="0"/>
        <w:widowControl w:val="0"/>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2、付款方式：按本文件第三章合同条款中的相关条款执行。</w:t>
      </w:r>
    </w:p>
    <w:p w14:paraId="3CCC7566">
      <w:pPr>
        <w:keepNext w:val="0"/>
        <w:keepLines w:val="0"/>
        <w:pageBreakBefore w:val="0"/>
        <w:widowControl w:val="0"/>
        <w:spacing w:line="500" w:lineRule="exact"/>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五、应充分响应的技术规范和商务条款</w:t>
      </w:r>
    </w:p>
    <w:p w14:paraId="136710ED">
      <w:pPr>
        <w:pStyle w:val="57"/>
        <w:spacing w:before="0" w:line="500" w:lineRule="exact"/>
        <w:ind w:firstLine="480"/>
        <w:rPr>
          <w:rFonts w:hint="eastAsia" w:ascii="宋体" w:hAnsi="宋体" w:eastAsia="宋体" w:cs="宋体"/>
          <w:b w:val="0"/>
          <w:bCs w:val="0"/>
          <w:color w:val="000000"/>
          <w:szCs w:val="24"/>
          <w:highlight w:val="none"/>
        </w:rPr>
      </w:pPr>
      <w:r>
        <w:rPr>
          <w:rFonts w:hint="eastAsia" w:ascii="宋体" w:hAnsi="宋体" w:eastAsia="宋体" w:cs="宋体"/>
          <w:color w:val="000000"/>
          <w:sz w:val="24"/>
          <w:szCs w:val="24"/>
        </w:rPr>
        <w:t>本文件所提出的技术要求、付款方式、服务期限等重要商务要求，投标人应充分响应，否则评标委员会有权</w:t>
      </w:r>
      <w:r>
        <w:rPr>
          <w:rFonts w:hint="eastAsia" w:ascii="宋体" w:hAnsi="宋体" w:eastAsia="宋体" w:cs="宋体"/>
          <w:sz w:val="24"/>
          <w:szCs w:val="24"/>
          <w:lang w:val="en-US" w:eastAsia="zh-CN" w:bidi="ar-SA"/>
        </w:rPr>
        <w:t>酌情认定为实</w:t>
      </w:r>
      <w:r>
        <w:rPr>
          <w:rFonts w:hint="eastAsia" w:ascii="宋体" w:hAnsi="宋体" w:eastAsia="宋体" w:cs="宋体"/>
          <w:color w:val="000000"/>
          <w:sz w:val="24"/>
          <w:szCs w:val="24"/>
        </w:rPr>
        <w:t>质性或重大负偏离</w:t>
      </w:r>
      <w:r>
        <w:rPr>
          <w:rFonts w:hint="eastAsia" w:ascii="宋体" w:hAnsi="宋体" w:eastAsia="宋体" w:cs="宋体"/>
          <w:b w:val="0"/>
          <w:bCs w:val="0"/>
          <w:color w:val="000000"/>
          <w:szCs w:val="24"/>
          <w:highlight w:val="none"/>
        </w:rPr>
        <w:t>。</w:t>
      </w:r>
    </w:p>
    <w:p w14:paraId="3588783E">
      <w:pPr>
        <w:spacing w:line="500" w:lineRule="exact"/>
        <w:ind w:firstLine="480"/>
        <w:rPr>
          <w:rFonts w:hint="eastAsia" w:ascii="宋体" w:hAnsi="宋体" w:eastAsia="宋体" w:cs="宋体"/>
          <w:bCs/>
          <w:color w:val="000000"/>
          <w:sz w:val="24"/>
          <w:szCs w:val="24"/>
          <w:highlight w:val="none"/>
        </w:rPr>
      </w:pPr>
    </w:p>
    <w:p w14:paraId="25296391">
      <w:pPr>
        <w:rPr>
          <w:rFonts w:hint="eastAsia" w:ascii="宋体" w:hAnsi="宋体" w:eastAsia="宋体" w:cs="宋体"/>
          <w:sz w:val="44"/>
          <w:szCs w:val="44"/>
        </w:rPr>
      </w:pPr>
      <w:r>
        <w:rPr>
          <w:rFonts w:hint="eastAsia" w:ascii="宋体" w:hAnsi="宋体" w:eastAsia="宋体" w:cs="宋体"/>
          <w:b/>
          <w:bCs/>
          <w:color w:val="000000"/>
          <w:sz w:val="24"/>
          <w:szCs w:val="28"/>
          <w:highlight w:val="none"/>
        </w:rPr>
        <w:t>根据《政府采购促进中小企业发展管理办法》（财库〔2020〕46号）及《中小企业划型标准规定》（工信部联企业〔2011〕300号），本采购项目对应的中小企业划分标准所属行业为：租赁和商务服务业。</w:t>
      </w:r>
    </w:p>
    <w:p w14:paraId="7D281412">
      <w:pPr>
        <w:pStyle w:val="85"/>
        <w:keepNext/>
        <w:spacing w:beforeAutospacing="0" w:afterAutospacing="0"/>
        <w:jc w:val="center"/>
        <w:rPr>
          <w:rFonts w:hint="eastAsia" w:ascii="宋体" w:hAnsi="宋体" w:eastAsia="宋体" w:cs="宋体"/>
          <w:b/>
          <w:bCs/>
          <w:sz w:val="44"/>
          <w:szCs w:val="44"/>
        </w:rPr>
        <w:sectPr>
          <w:footerReference r:id="rId3" w:type="default"/>
          <w:pgSz w:w="11906" w:h="16838"/>
          <w:pgMar w:top="1440" w:right="1800" w:bottom="1440" w:left="1800" w:header="851" w:footer="992" w:gutter="0"/>
          <w:pgNumType w:start="1"/>
          <w:cols w:space="1701" w:num="1"/>
          <w:docGrid w:linePitch="360" w:charSpace="0"/>
        </w:sectPr>
      </w:pPr>
    </w:p>
    <w:p w14:paraId="64172A0B">
      <w:pPr>
        <w:pStyle w:val="85"/>
        <w:keepNext/>
        <w:spacing w:beforeAutospacing="0" w:afterAutospacing="0"/>
        <w:jc w:val="center"/>
        <w:rPr>
          <w:color w:val="000000"/>
          <w:highlight w:val="none"/>
        </w:rPr>
      </w:pPr>
      <w:bookmarkStart w:id="185" w:name="_Toc120614281"/>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评标方法与评标标准</w:t>
      </w:r>
    </w:p>
    <w:p w14:paraId="0B843DB6">
      <w:pPr>
        <w:pStyle w:val="85"/>
        <w:spacing w:beforeAutospacing="0" w:afterAutospacing="0"/>
        <w:jc w:val="both"/>
        <w:rPr>
          <w:color w:val="000000"/>
          <w:highlight w:val="none"/>
        </w:rPr>
      </w:pPr>
      <w:r>
        <w:rPr>
          <w:color w:val="000000"/>
          <w:highlight w:val="none"/>
        </w:rPr>
        <w:t> </w:t>
      </w:r>
    </w:p>
    <w:p w14:paraId="643A2CA0">
      <w:pPr>
        <w:keepNext w:val="0"/>
        <w:keepLines w:val="0"/>
        <w:pageBreakBefore w:val="0"/>
        <w:widowControl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一、定标原则</w:t>
      </w:r>
    </w:p>
    <w:p w14:paraId="29FA6FAE">
      <w:pPr>
        <w:keepNext w:val="0"/>
        <w:keepLines w:val="0"/>
        <w:pageBreakBefore w:val="0"/>
        <w:widowControl w:val="0"/>
        <w:spacing w:line="480" w:lineRule="exact"/>
        <w:ind w:firstLine="48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法。</w:t>
      </w:r>
      <w:r>
        <w:rPr>
          <w:rFonts w:hint="eastAsia" w:ascii="宋体" w:hAnsi="宋体" w:eastAsia="宋体" w:cs="宋体"/>
          <w:color w:val="00000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并列</w:t>
      </w:r>
      <w:r>
        <w:rPr>
          <w:rFonts w:hint="eastAsia" w:ascii="宋体" w:hAnsi="宋体" w:eastAsia="宋体" w:cs="宋体"/>
          <w:color w:val="000000"/>
          <w:sz w:val="24"/>
          <w:szCs w:val="24"/>
          <w:highlight w:val="none"/>
        </w:rPr>
        <w:t>。投标文件满足招标文件全部实质性要求，且按照评审因素的量化指标评审得分最高的投标人为排名第一的中标候选人，本项目选取1名中标候选人。</w:t>
      </w:r>
    </w:p>
    <w:p w14:paraId="10471F78">
      <w:pPr>
        <w:pStyle w:val="85"/>
        <w:keepNext w:val="0"/>
        <w:keepLines w:val="0"/>
        <w:pageBreakBefore w:val="0"/>
        <w:widowControl w:val="0"/>
        <w:spacing w:before="120" w:beforeAutospacing="0" w:after="120" w:afterAutospacing="0" w:line="480" w:lineRule="exact"/>
        <w:ind w:firstLine="441"/>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政府采购政策功能落实</w:t>
      </w:r>
    </w:p>
    <w:p w14:paraId="79BB0D23">
      <w:pPr>
        <w:pStyle w:val="85"/>
        <w:keepNext w:val="0"/>
        <w:keepLines w:val="0"/>
        <w:pageBreakBefore w:val="0"/>
        <w:widowControl w:val="0"/>
        <w:spacing w:before="120" w:beforeAutospacing="0" w:after="120" w:afterAutospacing="0" w:line="48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1、小微型企业价格扣除</w:t>
      </w:r>
    </w:p>
    <w:p w14:paraId="2E7370BB">
      <w:pPr>
        <w:pStyle w:val="233"/>
        <w:keepNext w:val="0"/>
        <w:keepLines w:val="0"/>
        <w:pageBreakBefore w:val="0"/>
        <w:widowControl w:val="0"/>
        <w:spacing w:line="480" w:lineRule="exact"/>
        <w:ind w:firstLine="3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（1）本项目不专门面向中小企业采购，对</w:t>
      </w:r>
      <w:r>
        <w:rPr>
          <w:rFonts w:hint="eastAsia" w:ascii="宋体" w:hAnsi="宋体" w:eastAsia="宋体" w:cs="宋体"/>
          <w:color w:val="000000"/>
          <w:sz w:val="24"/>
          <w:szCs w:val="24"/>
          <w:highlight w:val="none"/>
          <w:lang w:val="en-US" w:eastAsia="zh-CN"/>
        </w:rPr>
        <w:t>符合规定的</w:t>
      </w:r>
      <w:r>
        <w:rPr>
          <w:rFonts w:hint="eastAsia" w:ascii="宋体" w:hAnsi="宋体" w:eastAsia="宋体" w:cs="宋体"/>
          <w:color w:val="000000"/>
          <w:sz w:val="24"/>
          <w:szCs w:val="24"/>
          <w:highlight w:val="none"/>
        </w:rPr>
        <w:t>小型和微型企业</w:t>
      </w:r>
      <w:r>
        <w:rPr>
          <w:rFonts w:hint="eastAsia" w:ascii="宋体" w:hAnsi="宋体" w:eastAsia="宋体" w:cs="宋体"/>
          <w:color w:val="000000"/>
          <w:sz w:val="24"/>
          <w:szCs w:val="24"/>
          <w:highlight w:val="none"/>
          <w:lang w:val="en-US" w:eastAsia="zh-CN"/>
        </w:rPr>
        <w:t>报价</w:t>
      </w:r>
      <w:r>
        <w:rPr>
          <w:rFonts w:hint="eastAsia" w:ascii="宋体" w:hAnsi="宋体" w:eastAsia="宋体" w:cs="宋体"/>
          <w:color w:val="000000"/>
          <w:sz w:val="24"/>
          <w:szCs w:val="24"/>
          <w:highlight w:val="none"/>
        </w:rPr>
        <w:t>给予20%的扣除价格，用扣除后的价格参与评审。</w:t>
      </w:r>
    </w:p>
    <w:p w14:paraId="767213D4">
      <w:pPr>
        <w:pStyle w:val="85"/>
        <w:keepNext w:val="0"/>
        <w:keepLines w:val="0"/>
        <w:pageBreakBefore w:val="0"/>
        <w:widowControl w:val="0"/>
        <w:spacing w:before="120" w:beforeAutospacing="0" w:after="120" w:afterAutospacing="0" w:line="480" w:lineRule="exact"/>
        <w:ind w:firstLine="3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（2）供应商需按照采购文件的要求提供相应的《</w:t>
      </w:r>
      <w:r>
        <w:rPr>
          <w:rFonts w:hint="eastAsia" w:ascii="宋体" w:hAnsi="宋体" w:eastAsia="宋体" w:cs="宋体"/>
          <w:color w:val="000000"/>
          <w:sz w:val="24"/>
          <w:szCs w:val="24"/>
          <w:highlight w:val="none"/>
          <w:lang w:val="en-US" w:eastAsia="zh-CN"/>
        </w:rPr>
        <w:t>中小</w:t>
      </w:r>
      <w:r>
        <w:rPr>
          <w:rFonts w:hint="eastAsia" w:ascii="宋体" w:hAnsi="宋体" w:eastAsia="宋体" w:cs="宋体"/>
          <w:color w:val="000000"/>
          <w:sz w:val="24"/>
          <w:szCs w:val="24"/>
          <w:highlight w:val="none"/>
        </w:rPr>
        <w:t>企业声明函》。</w:t>
      </w:r>
    </w:p>
    <w:p w14:paraId="08B95604">
      <w:pPr>
        <w:pStyle w:val="85"/>
        <w:keepNext w:val="0"/>
        <w:keepLines w:val="0"/>
        <w:pageBreakBefore w:val="0"/>
        <w:widowControl w:val="0"/>
        <w:spacing w:before="120" w:beforeAutospacing="0" w:after="120" w:afterAutospacing="0" w:line="480" w:lineRule="exact"/>
        <w:ind w:firstLine="3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（3）企业标准请参照《关于印发中小企业划型标准规定的通知》（工信部联企业</w:t>
      </w:r>
      <w:r>
        <w:rPr>
          <w:rFonts w:hint="eastAsia" w:ascii="宋体" w:hAnsi="宋体" w:eastAsia="宋体" w:cs="宋体"/>
          <w:color w:val="000000"/>
          <w:sz w:val="24"/>
          <w:szCs w:val="24"/>
          <w:highlight w:val="none"/>
          <w:lang w:eastAsia="zh-CN"/>
        </w:rPr>
        <w:t>〔2011〕300号</w:t>
      </w:r>
      <w:r>
        <w:rPr>
          <w:rFonts w:hint="eastAsia" w:ascii="宋体" w:hAnsi="宋体" w:eastAsia="宋体" w:cs="宋体"/>
          <w:color w:val="000000"/>
          <w:sz w:val="24"/>
          <w:szCs w:val="24"/>
          <w:highlight w:val="none"/>
        </w:rPr>
        <w:t>）文件规定自行填写。</w:t>
      </w:r>
    </w:p>
    <w:p w14:paraId="0FABA981">
      <w:pPr>
        <w:pStyle w:val="85"/>
        <w:keepNext w:val="0"/>
        <w:keepLines w:val="0"/>
        <w:pageBreakBefore w:val="0"/>
        <w:widowControl w:val="0"/>
        <w:spacing w:before="120" w:beforeAutospacing="0" w:after="120" w:afterAutospacing="0" w:line="48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2、残疾人福利单位价格扣除</w:t>
      </w:r>
    </w:p>
    <w:p w14:paraId="6C448AB2">
      <w:pPr>
        <w:pStyle w:val="85"/>
        <w:keepNext w:val="0"/>
        <w:keepLines w:val="0"/>
        <w:pageBreakBefore w:val="0"/>
        <w:widowControl w:val="0"/>
        <w:spacing w:before="120" w:beforeAutospacing="0" w:after="120" w:afterAutospacing="0" w:line="480" w:lineRule="exact"/>
        <w:ind w:left="120" w:firstLine="36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（1）本项目对残疾人福利性单位视同小型、微型企业，给予</w:t>
      </w:r>
      <w:r>
        <w:rPr>
          <w:rFonts w:hint="eastAsia" w:ascii="宋体" w:hAnsi="宋体" w:eastAsia="宋体" w:cs="宋体"/>
          <w:color w:val="000000"/>
          <w:sz w:val="24"/>
          <w:szCs w:val="24"/>
          <w:highlight w:val="none"/>
          <w:u w:val="single"/>
        </w:rPr>
        <w:t>20%</w:t>
      </w:r>
      <w:r>
        <w:rPr>
          <w:rFonts w:hint="eastAsia" w:ascii="宋体" w:hAnsi="宋体" w:eastAsia="宋体" w:cs="宋体"/>
          <w:color w:val="000000"/>
          <w:sz w:val="24"/>
          <w:szCs w:val="24"/>
          <w:highlight w:val="none"/>
          <w:u w:val="single"/>
          <w:lang w:eastAsia="zh-CN"/>
        </w:rPr>
        <w:t>的价格扣除。</w:t>
      </w:r>
    </w:p>
    <w:p w14:paraId="5C0A782D">
      <w:pPr>
        <w:pStyle w:val="85"/>
        <w:keepNext w:val="0"/>
        <w:keepLines w:val="0"/>
        <w:pageBreakBefore w:val="0"/>
        <w:widowControl w:val="0"/>
        <w:spacing w:before="120" w:beforeAutospacing="0" w:after="120" w:afterAutospacing="0" w:line="480" w:lineRule="exact"/>
        <w:ind w:left="120" w:firstLine="3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（2）残疾人福利单位需按照采购文件的要求提供《残疾人福利性单位声明函》。</w:t>
      </w:r>
    </w:p>
    <w:p w14:paraId="4D48BAE7">
      <w:pPr>
        <w:pStyle w:val="85"/>
        <w:keepNext w:val="0"/>
        <w:keepLines w:val="0"/>
        <w:pageBreakBefore w:val="0"/>
        <w:widowControl w:val="0"/>
        <w:spacing w:before="120" w:beforeAutospacing="0" w:after="120" w:afterAutospacing="0" w:line="480" w:lineRule="exact"/>
        <w:ind w:left="120" w:firstLine="3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（3）残疾人福利单位标准请参照《关于促进残疾人就业政府采购政策的通知》（财库〔2017〕141号）。</w:t>
      </w:r>
    </w:p>
    <w:p w14:paraId="440FC8A0">
      <w:pPr>
        <w:pStyle w:val="85"/>
        <w:keepNext w:val="0"/>
        <w:keepLines w:val="0"/>
        <w:pageBreakBefore w:val="0"/>
        <w:widowControl w:val="0"/>
        <w:spacing w:before="120" w:beforeAutospacing="0" w:after="120" w:afterAutospacing="0" w:line="48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3、监狱和戒毒企业价格扣除</w:t>
      </w:r>
    </w:p>
    <w:p w14:paraId="1C275CFA">
      <w:pPr>
        <w:pStyle w:val="85"/>
        <w:keepNext w:val="0"/>
        <w:keepLines w:val="0"/>
        <w:pageBreakBefore w:val="0"/>
        <w:widowControl w:val="0"/>
        <w:spacing w:before="120" w:beforeAutospacing="0" w:after="120" w:afterAutospacing="0" w:line="480" w:lineRule="exact"/>
        <w:ind w:left="120" w:firstLine="36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（1）本项目对监狱和戒毒企业（简称监狱企业）视同小型、微型企业，给予</w:t>
      </w:r>
      <w:r>
        <w:rPr>
          <w:rFonts w:hint="eastAsia" w:ascii="宋体" w:hAnsi="宋体" w:eastAsia="宋体" w:cs="宋体"/>
          <w:color w:val="000000"/>
          <w:sz w:val="24"/>
          <w:szCs w:val="24"/>
          <w:highlight w:val="none"/>
          <w:u w:val="single"/>
        </w:rPr>
        <w:t>20%</w:t>
      </w:r>
      <w:r>
        <w:rPr>
          <w:rFonts w:hint="eastAsia" w:ascii="宋体" w:hAnsi="宋体" w:eastAsia="宋体" w:cs="宋体"/>
          <w:color w:val="000000"/>
          <w:sz w:val="24"/>
          <w:szCs w:val="24"/>
          <w:highlight w:val="none"/>
          <w:u w:val="single"/>
          <w:lang w:eastAsia="zh-CN"/>
        </w:rPr>
        <w:t>的价格扣除。</w:t>
      </w:r>
    </w:p>
    <w:p w14:paraId="7FFDAAA5">
      <w:pPr>
        <w:pStyle w:val="85"/>
        <w:keepNext w:val="0"/>
        <w:keepLines w:val="0"/>
        <w:pageBreakBefore w:val="0"/>
        <w:widowControl w:val="0"/>
        <w:spacing w:before="120" w:beforeAutospacing="0" w:after="120" w:afterAutospacing="0" w:line="48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69C13EA5">
      <w:pPr>
        <w:pStyle w:val="85"/>
        <w:keepNext w:val="0"/>
        <w:keepLines w:val="0"/>
        <w:pageBreakBefore w:val="0"/>
        <w:widowControl w:val="0"/>
        <w:spacing w:before="120" w:beforeAutospacing="0" w:after="120" w:afterAutospacing="0" w:line="48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（3）监狱企业标准请参照《关于政府采购支持监狱企业发展有关问题的通知》（财库[2014]68号）。</w:t>
      </w:r>
    </w:p>
    <w:p w14:paraId="09680A08">
      <w:pPr>
        <w:pStyle w:val="85"/>
        <w:keepNext w:val="0"/>
        <w:keepLines w:val="0"/>
        <w:pageBreakBefore w:val="0"/>
        <w:widowControl w:val="0"/>
        <w:spacing w:before="120" w:beforeAutospacing="0" w:after="120" w:afterAutospacing="0" w:line="48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4、残疾人福利单位、监狱企业属于小型、微型企业的，不重复享受政策。</w:t>
      </w:r>
    </w:p>
    <w:p w14:paraId="3FB18446">
      <w:pPr>
        <w:pStyle w:val="85"/>
        <w:keepNext w:val="0"/>
        <w:keepLines w:val="0"/>
        <w:pageBreakBefore w:val="0"/>
        <w:widowControl w:val="0"/>
        <w:spacing w:before="120" w:beforeAutospacing="0" w:after="120" w:afterAutospacing="0" w:line="48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rPr>
        <w:t>6%</w:t>
      </w:r>
      <w:r>
        <w:rPr>
          <w:rFonts w:hint="eastAsia" w:ascii="宋体" w:hAnsi="宋体" w:eastAsia="宋体" w:cs="宋体"/>
          <w:color w:val="000000"/>
          <w:sz w:val="24"/>
          <w:szCs w:val="24"/>
          <w:highlight w:val="none"/>
        </w:rPr>
        <w:t>的价格扣除，用扣除后的价格参与评审。</w:t>
      </w:r>
    </w:p>
    <w:p w14:paraId="64A06187">
      <w:pPr>
        <w:pStyle w:val="85"/>
        <w:keepNext w:val="0"/>
        <w:keepLines w:val="0"/>
        <w:pageBreakBefore w:val="0"/>
        <w:widowControl w:val="0"/>
        <w:spacing w:before="120" w:beforeAutospacing="0" w:after="120" w:afterAutospacing="0" w:line="480" w:lineRule="exact"/>
        <w:ind w:left="120" w:firstLine="36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6、联合体各方均为小型、微型企业（残疾人福利单位、监狱企业）的，联合体享受</w:t>
      </w:r>
      <w:r>
        <w:rPr>
          <w:rFonts w:hint="eastAsia" w:ascii="宋体" w:hAnsi="宋体" w:eastAsia="宋体" w:cs="宋体"/>
          <w:color w:val="000000"/>
          <w:sz w:val="24"/>
          <w:szCs w:val="24"/>
          <w:highlight w:val="none"/>
          <w:u w:val="single"/>
        </w:rPr>
        <w:t>20%</w:t>
      </w:r>
      <w:r>
        <w:rPr>
          <w:rFonts w:hint="eastAsia" w:ascii="宋体" w:hAnsi="宋体" w:eastAsia="宋体" w:cs="宋体"/>
          <w:color w:val="000000"/>
          <w:sz w:val="24"/>
          <w:szCs w:val="24"/>
          <w:highlight w:val="none"/>
          <w:u w:val="single"/>
          <w:lang w:eastAsia="zh-CN"/>
        </w:rPr>
        <w:t>的价格扣除。</w:t>
      </w:r>
    </w:p>
    <w:p w14:paraId="5E931AB4">
      <w:pPr>
        <w:keepNext w:val="0"/>
        <w:keepLines w:val="0"/>
        <w:pageBreakBefore w:val="0"/>
        <w:widowControl w:val="0"/>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w:t>
      </w:r>
      <w:r>
        <w:rPr>
          <w:rFonts w:hint="eastAsia" w:ascii="宋体" w:hAnsi="宋体" w:eastAsia="宋体" w:cs="宋体"/>
          <w:color w:val="000000"/>
          <w:sz w:val="24"/>
          <w:szCs w:val="24"/>
          <w:highlight w:val="none"/>
        </w:rPr>
        <w:t>其他条件相同情况下，应当优先采购节能产品、环境标志产品。</w:t>
      </w:r>
    </w:p>
    <w:p w14:paraId="6EDA590B">
      <w:pPr>
        <w:pStyle w:val="85"/>
        <w:spacing w:beforeAutospacing="0" w:afterAutospacing="0" w:line="500" w:lineRule="exact"/>
        <w:ind w:firstLine="482"/>
        <w:rPr>
          <w:rFonts w:hint="eastAsia" w:ascii="宋体" w:hAnsi="宋体" w:eastAsia="宋体" w:cs="宋体"/>
        </w:rPr>
      </w:pPr>
      <w:r>
        <w:rPr>
          <w:rFonts w:hint="eastAsia" w:ascii="宋体" w:hAnsi="宋体" w:eastAsia="宋体" w:cs="宋体"/>
          <w:b/>
          <w:color w:val="000000"/>
          <w:sz w:val="24"/>
          <w:szCs w:val="24"/>
          <w:highlight w:val="none"/>
          <w:shd w:val="clear" w:color="auto" w:fill="auto"/>
        </w:rPr>
        <w:t>评审方法与评审标准</w:t>
      </w:r>
    </w:p>
    <w:tbl>
      <w:tblPr>
        <w:tblStyle w:val="30"/>
        <w:tblW w:w="9378" w:type="dxa"/>
        <w:tblInd w:w="-2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4"/>
        <w:gridCol w:w="1239"/>
        <w:gridCol w:w="1667"/>
        <w:gridCol w:w="5628"/>
      </w:tblGrid>
      <w:tr w14:paraId="2AAE0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5" w:hRule="atLeast"/>
        </w:trPr>
        <w:tc>
          <w:tcPr>
            <w:tcW w:w="844" w:type="dxa"/>
            <w:noWrap w:val="0"/>
            <w:vAlign w:val="center"/>
          </w:tcPr>
          <w:p w14:paraId="2FA3EADF">
            <w:pPr>
              <w:spacing w:line="400" w:lineRule="exact"/>
              <w:jc w:val="center"/>
              <w:rPr>
                <w:rFonts w:hint="eastAsia" w:ascii="宋体" w:hAnsi="宋体" w:eastAsia="宋体" w:cs="宋体"/>
                <w:b/>
                <w:bCs/>
                <w:color w:val="000000"/>
                <w:sz w:val="24"/>
                <w:szCs w:val="24"/>
                <w:highlight w:val="none"/>
                <w:lang w:val="en-US" w:eastAsia="zh-CN" w:bidi="ar-SA"/>
              </w:rPr>
            </w:pPr>
            <w:r>
              <w:rPr>
                <w:rStyle w:val="236"/>
                <w:rFonts w:hint="eastAsia" w:ascii="宋体" w:hAnsi="宋体" w:eastAsia="宋体" w:cs="宋体"/>
                <w:b/>
                <w:bCs/>
                <w:color w:val="000000"/>
                <w:sz w:val="24"/>
                <w:szCs w:val="24"/>
                <w:highlight w:val="none"/>
              </w:rPr>
              <w:t>序号</w:t>
            </w:r>
          </w:p>
        </w:tc>
        <w:tc>
          <w:tcPr>
            <w:tcW w:w="2906" w:type="dxa"/>
            <w:gridSpan w:val="2"/>
            <w:noWrap w:val="0"/>
            <w:vAlign w:val="center"/>
          </w:tcPr>
          <w:p w14:paraId="12E1F0D6">
            <w:pPr>
              <w:spacing w:line="400" w:lineRule="exact"/>
              <w:jc w:val="center"/>
              <w:rPr>
                <w:rStyle w:val="236"/>
                <w:rFonts w:hint="eastAsia" w:ascii="宋体" w:hAnsi="宋体" w:eastAsia="宋体" w:cs="宋体"/>
                <w:b/>
                <w:bCs/>
                <w:color w:val="000000"/>
                <w:sz w:val="24"/>
                <w:szCs w:val="24"/>
                <w:highlight w:val="none"/>
              </w:rPr>
            </w:pPr>
            <w:r>
              <w:rPr>
                <w:rStyle w:val="236"/>
                <w:rFonts w:hint="eastAsia" w:ascii="宋体" w:hAnsi="宋体" w:eastAsia="宋体" w:cs="宋体"/>
                <w:b/>
                <w:bCs/>
                <w:color w:val="000000"/>
                <w:sz w:val="24"/>
                <w:szCs w:val="24"/>
                <w:highlight w:val="none"/>
              </w:rPr>
              <w:t>评分项目</w:t>
            </w:r>
            <w:r>
              <w:rPr>
                <w:rStyle w:val="236"/>
                <w:rFonts w:hint="eastAsia" w:ascii="宋体" w:hAnsi="宋体" w:eastAsia="宋体" w:cs="宋体"/>
                <w:b/>
                <w:bCs/>
                <w:color w:val="000000"/>
                <w:sz w:val="24"/>
                <w:szCs w:val="24"/>
                <w:highlight w:val="none"/>
                <w:lang w:val="en-US" w:eastAsia="zh-CN"/>
              </w:rPr>
              <w:t>及分值</w:t>
            </w:r>
          </w:p>
        </w:tc>
        <w:tc>
          <w:tcPr>
            <w:tcW w:w="5628" w:type="dxa"/>
            <w:noWrap w:val="0"/>
            <w:vAlign w:val="center"/>
          </w:tcPr>
          <w:p w14:paraId="00D4EC10">
            <w:pPr>
              <w:spacing w:line="400" w:lineRule="exact"/>
              <w:jc w:val="center"/>
              <w:rPr>
                <w:rFonts w:hint="eastAsia" w:ascii="宋体" w:hAnsi="宋体" w:eastAsia="宋体" w:cs="宋体"/>
                <w:b/>
                <w:bCs/>
                <w:color w:val="000000"/>
                <w:sz w:val="24"/>
                <w:szCs w:val="24"/>
                <w:highlight w:val="none"/>
                <w:lang w:val="en-US" w:eastAsia="zh-CN" w:bidi="ar-SA"/>
              </w:rPr>
            </w:pPr>
            <w:r>
              <w:rPr>
                <w:rStyle w:val="236"/>
                <w:rFonts w:hint="eastAsia" w:ascii="宋体" w:hAnsi="宋体" w:eastAsia="宋体" w:cs="宋体"/>
                <w:b/>
                <w:bCs/>
                <w:color w:val="000000"/>
                <w:sz w:val="24"/>
                <w:szCs w:val="24"/>
                <w:highlight w:val="none"/>
              </w:rPr>
              <w:t>评分标准</w:t>
            </w:r>
          </w:p>
        </w:tc>
      </w:tr>
      <w:tr w14:paraId="296293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844" w:type="dxa"/>
            <w:noWrap w:val="0"/>
            <w:vAlign w:val="center"/>
          </w:tcPr>
          <w:p w14:paraId="01BE8D55">
            <w:pPr>
              <w:keepNext w:val="0"/>
              <w:keepLines w:val="0"/>
              <w:pageBreakBefore w:val="0"/>
              <w:spacing w:line="360" w:lineRule="exact"/>
              <w:jc w:val="center"/>
              <w:rPr>
                <w:rStyle w:val="236"/>
                <w:rFonts w:hint="eastAsia" w:ascii="宋体" w:hAnsi="宋体" w:eastAsia="宋体" w:cs="宋体"/>
                <w:color w:val="000000"/>
                <w:sz w:val="24"/>
                <w:szCs w:val="24"/>
                <w:highlight w:val="none"/>
                <w:lang w:val="en-US" w:eastAsia="zh-CN"/>
              </w:rPr>
            </w:pPr>
            <w:r>
              <w:rPr>
                <w:rStyle w:val="236"/>
                <w:rFonts w:hint="eastAsia" w:ascii="宋体" w:hAnsi="宋体" w:eastAsia="宋体" w:cs="宋体"/>
                <w:color w:val="000000"/>
                <w:sz w:val="24"/>
                <w:szCs w:val="24"/>
                <w:highlight w:val="none"/>
                <w:lang w:val="en-US" w:eastAsia="zh-CN"/>
              </w:rPr>
              <w:t>1</w:t>
            </w:r>
          </w:p>
        </w:tc>
        <w:tc>
          <w:tcPr>
            <w:tcW w:w="2906" w:type="dxa"/>
            <w:gridSpan w:val="2"/>
            <w:noWrap w:val="0"/>
            <w:vAlign w:val="center"/>
          </w:tcPr>
          <w:p w14:paraId="1ECE167B">
            <w:pPr>
              <w:keepNext w:val="0"/>
              <w:keepLines w:val="0"/>
              <w:pageBreakBefore w:val="0"/>
              <w:spacing w:line="360" w:lineRule="exact"/>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价格评分（15分）</w:t>
            </w:r>
          </w:p>
        </w:tc>
        <w:tc>
          <w:tcPr>
            <w:tcW w:w="5628" w:type="dxa"/>
            <w:noWrap w:val="0"/>
            <w:vAlign w:val="center"/>
          </w:tcPr>
          <w:p w14:paraId="508EFC04">
            <w:pPr>
              <w:ind w:firstLine="480"/>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价格分采用低价优先法计算，即满足采购文件要求且报价最低投标人的报价为评标基准价，其价格分为满分。其他投标人的价格分统一按照以下公式计算（保留小数点后2位）：投标报价得分=(评标基准价／投标总报价)×15。</w:t>
            </w:r>
          </w:p>
        </w:tc>
      </w:tr>
      <w:tr w14:paraId="4452E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4" w:type="dxa"/>
            <w:vMerge w:val="restart"/>
            <w:noWrap w:val="0"/>
            <w:vAlign w:val="center"/>
          </w:tcPr>
          <w:p w14:paraId="5FBEAF22">
            <w:pPr>
              <w:keepNext w:val="0"/>
              <w:keepLines w:val="0"/>
              <w:pageBreakBefore w:val="0"/>
              <w:spacing w:line="360" w:lineRule="exact"/>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w:t>
            </w:r>
          </w:p>
        </w:tc>
        <w:tc>
          <w:tcPr>
            <w:tcW w:w="1239" w:type="dxa"/>
            <w:vMerge w:val="restart"/>
            <w:noWrap w:val="0"/>
            <w:vAlign w:val="center"/>
          </w:tcPr>
          <w:p w14:paraId="7218A6E5">
            <w:pPr>
              <w:keepNext w:val="0"/>
              <w:keepLines w:val="0"/>
              <w:pageBreakBefore w:val="0"/>
              <w:spacing w:line="36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企业</w:t>
            </w:r>
            <w:r>
              <w:rPr>
                <w:rFonts w:hint="eastAsia" w:ascii="宋体" w:hAnsi="宋体" w:eastAsia="宋体" w:cs="宋体"/>
                <w:color w:val="000000"/>
                <w:sz w:val="24"/>
                <w:szCs w:val="24"/>
                <w:highlight w:val="none"/>
                <w:lang w:eastAsia="zh-CN"/>
              </w:rPr>
              <w:t>实力</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40</w:t>
            </w:r>
            <w:r>
              <w:rPr>
                <w:rFonts w:hint="eastAsia" w:ascii="宋体" w:hAnsi="宋体" w:eastAsia="宋体" w:cs="宋体"/>
                <w:color w:val="000000"/>
                <w:sz w:val="24"/>
                <w:szCs w:val="24"/>
                <w:highlight w:val="none"/>
              </w:rPr>
              <w:t>分）</w:t>
            </w:r>
          </w:p>
        </w:tc>
        <w:tc>
          <w:tcPr>
            <w:tcW w:w="1667" w:type="dxa"/>
            <w:noWrap w:val="0"/>
            <w:vAlign w:val="center"/>
          </w:tcPr>
          <w:p w14:paraId="7A352ADD">
            <w:pPr>
              <w:jc w:val="center"/>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软件著作权（5分）</w:t>
            </w:r>
          </w:p>
        </w:tc>
        <w:tc>
          <w:tcPr>
            <w:tcW w:w="5628" w:type="dxa"/>
            <w:noWrap w:val="0"/>
            <w:vAlign w:val="center"/>
          </w:tcPr>
          <w:p w14:paraId="30EB1292">
            <w:pPr>
              <w:ind w:firstLine="480"/>
              <w:rPr>
                <w:rFonts w:hint="eastAsia" w:ascii="宋体" w:hAnsi="宋体" w:eastAsia="Arial" w:cs="Times New Roman"/>
                <w:color w:val="000000"/>
                <w:sz w:val="24"/>
                <w:highlight w:val="none"/>
                <w:lang w:val="en-US" w:eastAsia="zh-CN"/>
              </w:rPr>
            </w:pPr>
            <w:r>
              <w:rPr>
                <w:rFonts w:hint="eastAsia" w:ascii="宋体" w:hAnsi="宋体" w:eastAsia="Arial" w:cs="Times New Roman"/>
                <w:color w:val="000000"/>
                <w:sz w:val="24"/>
                <w:highlight w:val="none"/>
                <w:lang w:val="en-US" w:eastAsia="zh-CN"/>
              </w:rPr>
              <w:t>1、投标人具有</w:t>
            </w:r>
            <w:r>
              <w:rPr>
                <w:rFonts w:hint="eastAsia" w:ascii="宋体" w:hAnsi="宋体" w:eastAsia="Arial" w:cs="Times New Roman"/>
                <w:b/>
                <w:bCs/>
                <w:color w:val="000000"/>
                <w:sz w:val="24"/>
                <w:highlight w:val="none"/>
                <w:lang w:val="en-US" w:eastAsia="zh-CN"/>
              </w:rPr>
              <w:t>档案数字化加工安全管理系统</w:t>
            </w:r>
            <w:r>
              <w:rPr>
                <w:rFonts w:hint="eastAsia" w:ascii="宋体" w:hAnsi="宋体" w:eastAsia="Arial" w:cs="Times New Roman"/>
                <w:color w:val="000000"/>
                <w:sz w:val="24"/>
                <w:highlight w:val="none"/>
                <w:lang w:val="en-US" w:eastAsia="zh-CN"/>
              </w:rPr>
              <w:t>软件著作权登记证书，得1分；</w:t>
            </w:r>
          </w:p>
          <w:p w14:paraId="4B33B9E3">
            <w:pPr>
              <w:ind w:firstLine="480"/>
              <w:rPr>
                <w:rFonts w:hint="eastAsia" w:ascii="宋体" w:hAnsi="宋体" w:eastAsia="Arial" w:cs="Times New Roman"/>
                <w:color w:val="000000"/>
                <w:sz w:val="24"/>
                <w:highlight w:val="none"/>
                <w:lang w:val="en-US" w:eastAsia="zh-CN"/>
              </w:rPr>
            </w:pPr>
            <w:r>
              <w:rPr>
                <w:rFonts w:hint="eastAsia" w:ascii="宋体" w:hAnsi="宋体" w:eastAsia="Arial" w:cs="Times New Roman"/>
                <w:color w:val="000000"/>
                <w:sz w:val="24"/>
                <w:highlight w:val="none"/>
                <w:lang w:val="en-US" w:eastAsia="zh-CN"/>
              </w:rPr>
              <w:t>2、投标人具有</w:t>
            </w:r>
            <w:r>
              <w:rPr>
                <w:rFonts w:hint="eastAsia" w:ascii="宋体" w:hAnsi="宋体" w:eastAsia="Arial" w:cs="Times New Roman"/>
                <w:b/>
                <w:bCs/>
                <w:color w:val="000000"/>
                <w:sz w:val="24"/>
                <w:highlight w:val="none"/>
                <w:lang w:val="en-US" w:eastAsia="zh-CN"/>
              </w:rPr>
              <w:t>双机著录校核软件</w:t>
            </w:r>
            <w:r>
              <w:rPr>
                <w:rFonts w:hint="eastAsia" w:ascii="宋体" w:hAnsi="宋体" w:eastAsia="Arial" w:cs="Times New Roman"/>
                <w:color w:val="000000"/>
                <w:sz w:val="24"/>
                <w:highlight w:val="none"/>
                <w:lang w:val="en-US" w:eastAsia="zh-CN"/>
              </w:rPr>
              <w:t>著作权登记证书，得1分；</w:t>
            </w:r>
          </w:p>
          <w:p w14:paraId="0976E09B">
            <w:pPr>
              <w:ind w:firstLine="480"/>
              <w:rPr>
                <w:rFonts w:hint="eastAsia" w:ascii="宋体" w:hAnsi="宋体" w:eastAsia="Arial" w:cs="Times New Roman"/>
                <w:color w:val="000000"/>
                <w:sz w:val="24"/>
                <w:highlight w:val="none"/>
                <w:lang w:val="en-US" w:eastAsia="zh-CN"/>
              </w:rPr>
            </w:pPr>
            <w:r>
              <w:rPr>
                <w:rFonts w:hint="eastAsia" w:ascii="宋体" w:hAnsi="宋体" w:eastAsia="Arial" w:cs="Times New Roman"/>
                <w:color w:val="000000"/>
                <w:sz w:val="24"/>
                <w:highlight w:val="none"/>
                <w:lang w:val="en-US" w:eastAsia="zh-CN"/>
              </w:rPr>
              <w:t>3、投标人具有</w:t>
            </w:r>
            <w:r>
              <w:rPr>
                <w:rFonts w:hint="eastAsia" w:ascii="宋体" w:hAnsi="宋体" w:eastAsia="Arial" w:cs="Times New Roman"/>
                <w:b/>
                <w:bCs/>
                <w:color w:val="000000"/>
                <w:sz w:val="24"/>
                <w:highlight w:val="none"/>
                <w:lang w:val="en-US" w:eastAsia="zh-CN"/>
              </w:rPr>
              <w:t>声像档案采集整理与编制系统软件</w:t>
            </w:r>
            <w:r>
              <w:rPr>
                <w:rFonts w:hint="eastAsia" w:ascii="宋体" w:hAnsi="宋体" w:eastAsia="Arial" w:cs="Times New Roman"/>
                <w:color w:val="000000"/>
                <w:sz w:val="24"/>
                <w:highlight w:val="none"/>
                <w:lang w:val="en-US" w:eastAsia="zh-CN"/>
              </w:rPr>
              <w:t>著作权登记证书，得1分；</w:t>
            </w:r>
          </w:p>
          <w:p w14:paraId="4B5B6833">
            <w:pPr>
              <w:ind w:firstLine="480"/>
              <w:rPr>
                <w:rFonts w:hint="eastAsia" w:ascii="宋体" w:hAnsi="宋体" w:eastAsia="Arial" w:cs="Times New Roman"/>
                <w:color w:val="000000"/>
                <w:sz w:val="24"/>
                <w:highlight w:val="none"/>
                <w:lang w:val="en-US" w:eastAsia="zh-CN"/>
              </w:rPr>
            </w:pPr>
            <w:r>
              <w:rPr>
                <w:rFonts w:hint="eastAsia" w:ascii="宋体" w:hAnsi="宋体" w:eastAsia="Arial" w:cs="Times New Roman"/>
                <w:color w:val="000000"/>
                <w:sz w:val="24"/>
                <w:highlight w:val="none"/>
                <w:lang w:val="en-US" w:eastAsia="zh-CN"/>
              </w:rPr>
              <w:t>4、投标人具有</w:t>
            </w:r>
            <w:r>
              <w:rPr>
                <w:rFonts w:hint="eastAsia" w:ascii="宋体" w:hAnsi="宋体" w:eastAsia="Arial" w:cs="Times New Roman"/>
                <w:b/>
                <w:bCs/>
                <w:color w:val="000000"/>
                <w:sz w:val="24"/>
                <w:highlight w:val="none"/>
                <w:lang w:val="en-US" w:eastAsia="zh-CN"/>
              </w:rPr>
              <w:t>档案整理归档软件</w:t>
            </w:r>
            <w:r>
              <w:rPr>
                <w:rFonts w:hint="eastAsia" w:ascii="宋体" w:hAnsi="宋体" w:eastAsia="Arial" w:cs="Times New Roman"/>
                <w:color w:val="000000"/>
                <w:sz w:val="24"/>
                <w:highlight w:val="none"/>
                <w:lang w:val="en-US" w:eastAsia="zh-CN"/>
              </w:rPr>
              <w:t>著作权登记证书，得1分；</w:t>
            </w:r>
          </w:p>
          <w:p w14:paraId="275A3359">
            <w:pPr>
              <w:ind w:firstLine="480"/>
              <w:rPr>
                <w:rFonts w:hint="eastAsia" w:ascii="宋体" w:hAnsi="宋体" w:eastAsia="Arial" w:cs="Times New Roman"/>
                <w:color w:val="000000"/>
                <w:sz w:val="24"/>
                <w:highlight w:val="none"/>
                <w:lang w:val="en-US" w:eastAsia="zh-CN"/>
              </w:rPr>
            </w:pPr>
            <w:r>
              <w:rPr>
                <w:rFonts w:hint="eastAsia" w:ascii="宋体" w:hAnsi="宋体" w:eastAsia="Arial" w:cs="Times New Roman"/>
                <w:color w:val="000000"/>
                <w:sz w:val="24"/>
                <w:highlight w:val="none"/>
                <w:lang w:val="en-US" w:eastAsia="zh-CN"/>
              </w:rPr>
              <w:t>5、投标人具有</w:t>
            </w:r>
            <w:r>
              <w:rPr>
                <w:rFonts w:hint="eastAsia" w:ascii="宋体" w:hAnsi="宋体" w:eastAsia="Arial" w:cs="Times New Roman"/>
                <w:b/>
                <w:bCs/>
                <w:color w:val="000000"/>
                <w:sz w:val="24"/>
                <w:highlight w:val="none"/>
                <w:lang w:val="en-US" w:eastAsia="zh-CN"/>
              </w:rPr>
              <w:t>档案信息资料整理数据实时记录软件管理系统</w:t>
            </w:r>
            <w:r>
              <w:rPr>
                <w:rFonts w:hint="eastAsia" w:ascii="宋体" w:hAnsi="宋体" w:eastAsia="Arial" w:cs="Times New Roman"/>
                <w:color w:val="000000"/>
                <w:sz w:val="24"/>
                <w:highlight w:val="none"/>
                <w:lang w:val="en-US" w:eastAsia="zh-CN"/>
              </w:rPr>
              <w:t>著作权登记证书，得1分。</w:t>
            </w:r>
          </w:p>
          <w:p w14:paraId="5976E16B">
            <w:pPr>
              <w:ind w:firstLine="480"/>
              <w:rPr>
                <w:rFonts w:hint="eastAsia" w:ascii="宋体" w:hAnsi="宋体"/>
                <w:color w:val="000000"/>
                <w:sz w:val="24"/>
                <w:highlight w:val="none"/>
                <w:lang w:val="en-US" w:eastAsia="zh-CN"/>
              </w:rPr>
            </w:pPr>
            <w:r>
              <w:rPr>
                <w:rFonts w:hint="eastAsia" w:ascii="宋体" w:hAnsi="宋体" w:eastAsia="Arial" w:cs="Times New Roman"/>
                <w:color w:val="000000"/>
                <w:sz w:val="24"/>
                <w:highlight w:val="none"/>
                <w:lang w:val="en-US" w:eastAsia="zh-CN"/>
              </w:rPr>
              <w:t>注：投标人投标时提供国家版权局出具的上述软件著作权登记证书扫描件并加盖投标人公章，每提供一个得1分，满分5分，如不提供的不得分。</w:t>
            </w:r>
          </w:p>
        </w:tc>
      </w:tr>
      <w:tr w14:paraId="717E5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3" w:hRule="atLeast"/>
        </w:trPr>
        <w:tc>
          <w:tcPr>
            <w:tcW w:w="844" w:type="dxa"/>
            <w:vMerge w:val="continue"/>
            <w:noWrap w:val="0"/>
            <w:vAlign w:val="center"/>
          </w:tcPr>
          <w:p w14:paraId="236D0E2C">
            <w:pPr>
              <w:keepNext w:val="0"/>
              <w:keepLines w:val="0"/>
              <w:pageBreakBefore w:val="0"/>
              <w:spacing w:line="360" w:lineRule="exact"/>
              <w:jc w:val="center"/>
              <w:rPr>
                <w:rFonts w:hint="eastAsia" w:ascii="宋体" w:hAnsi="宋体" w:eastAsia="宋体" w:cs="宋体"/>
                <w:color w:val="000000"/>
                <w:sz w:val="24"/>
                <w:szCs w:val="24"/>
                <w:highlight w:val="none"/>
              </w:rPr>
            </w:pPr>
          </w:p>
        </w:tc>
        <w:tc>
          <w:tcPr>
            <w:tcW w:w="1239" w:type="dxa"/>
            <w:vMerge w:val="continue"/>
            <w:noWrap w:val="0"/>
            <w:vAlign w:val="center"/>
          </w:tcPr>
          <w:p w14:paraId="0BB8BCAF">
            <w:pPr>
              <w:keepNext w:val="0"/>
              <w:keepLines w:val="0"/>
              <w:pageBreakBefore w:val="0"/>
              <w:spacing w:line="360" w:lineRule="exact"/>
              <w:jc w:val="center"/>
              <w:rPr>
                <w:rFonts w:hint="eastAsia" w:ascii="宋体" w:hAnsi="宋体" w:eastAsia="宋体" w:cs="宋体"/>
                <w:color w:val="000000"/>
                <w:sz w:val="24"/>
                <w:szCs w:val="24"/>
                <w:highlight w:val="none"/>
              </w:rPr>
            </w:pPr>
          </w:p>
        </w:tc>
        <w:tc>
          <w:tcPr>
            <w:tcW w:w="1667" w:type="dxa"/>
            <w:noWrap w:val="0"/>
            <w:vAlign w:val="center"/>
          </w:tcPr>
          <w:p w14:paraId="7B3AFE24">
            <w:pPr>
              <w:jc w:val="center"/>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企业证书</w:t>
            </w:r>
          </w:p>
          <w:p w14:paraId="532AA728">
            <w:pPr>
              <w:jc w:val="center"/>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（8分）</w:t>
            </w:r>
          </w:p>
        </w:tc>
        <w:tc>
          <w:tcPr>
            <w:tcW w:w="5628" w:type="dxa"/>
            <w:noWrap w:val="0"/>
            <w:vAlign w:val="center"/>
          </w:tcPr>
          <w:p w14:paraId="2E6B88DE">
            <w:pPr>
              <w:pStyle w:val="239"/>
              <w:keepNext w:val="0"/>
              <w:keepLines w:val="0"/>
              <w:pageBreakBefore w:val="0"/>
              <w:spacing w:line="360" w:lineRule="exact"/>
              <w:ind w:firstLine="480"/>
              <w:rPr>
                <w:rFonts w:hint="eastAsia" w:ascii="宋体" w:hAnsi="宋体" w:eastAsia="宋体" w:cs="宋体"/>
                <w:color w:val="000000"/>
                <w:sz w:val="24"/>
                <w:szCs w:val="24"/>
                <w:highlight w:val="none"/>
                <w:lang w:val="en-US" w:eastAsia="zh-CN" w:bidi="ar"/>
              </w:rPr>
            </w:pPr>
            <w:r>
              <w:rPr>
                <w:rFonts w:hint="eastAsia" w:ascii="宋体" w:hAnsi="宋体"/>
                <w:color w:val="000000"/>
                <w:sz w:val="24"/>
                <w:highlight w:val="none"/>
                <w:lang w:val="en-US" w:eastAsia="zh-CN"/>
              </w:rPr>
              <w:t>投标人具有有效的信息安全管理体系认证证书、</w:t>
            </w:r>
            <w:r>
              <w:rPr>
                <w:rFonts w:hint="eastAsia" w:ascii="宋体" w:hAnsi="宋体" w:eastAsia="宋体" w:cs="宋体"/>
                <w:color w:val="000000"/>
                <w:sz w:val="24"/>
                <w:szCs w:val="24"/>
                <w:highlight w:val="none"/>
                <w:lang w:val="en-US" w:eastAsia="zh-CN" w:bidi="ar"/>
              </w:rPr>
              <w:t>质量管理体系认证证书、环境管理体系认证证书、职业健康安全管理体系认证证书的，每</w:t>
            </w:r>
            <w:r>
              <w:rPr>
                <w:rFonts w:hint="eastAsia" w:eastAsia="宋体" w:cs="宋体"/>
                <w:color w:val="000000"/>
                <w:sz w:val="24"/>
                <w:szCs w:val="24"/>
                <w:highlight w:val="none"/>
                <w:lang w:val="en-US" w:eastAsia="zh-CN" w:bidi="ar"/>
              </w:rPr>
              <w:t>提供</w:t>
            </w:r>
            <w:r>
              <w:rPr>
                <w:rFonts w:hint="eastAsia" w:ascii="宋体" w:hAnsi="宋体" w:eastAsia="宋体" w:cs="宋体"/>
                <w:color w:val="000000"/>
                <w:sz w:val="24"/>
                <w:szCs w:val="24"/>
                <w:highlight w:val="none"/>
                <w:lang w:val="en-US" w:eastAsia="zh-CN" w:bidi="ar"/>
              </w:rPr>
              <w:t>一个得</w:t>
            </w:r>
            <w:r>
              <w:rPr>
                <w:rFonts w:hint="eastAsia" w:eastAsia="宋体" w:cs="宋体"/>
                <w:color w:val="000000"/>
                <w:sz w:val="24"/>
                <w:szCs w:val="24"/>
                <w:highlight w:val="none"/>
                <w:lang w:val="en-US" w:eastAsia="zh-CN" w:bidi="ar"/>
              </w:rPr>
              <w:t>2</w:t>
            </w:r>
            <w:r>
              <w:rPr>
                <w:rFonts w:hint="eastAsia" w:ascii="宋体" w:hAnsi="宋体" w:eastAsia="宋体" w:cs="宋体"/>
                <w:color w:val="000000"/>
                <w:sz w:val="24"/>
                <w:szCs w:val="24"/>
                <w:highlight w:val="none"/>
                <w:lang w:val="en-US" w:eastAsia="zh-CN" w:bidi="ar"/>
              </w:rPr>
              <w:t>分，最多得</w:t>
            </w:r>
            <w:r>
              <w:rPr>
                <w:rFonts w:hint="eastAsia" w:eastAsia="宋体" w:cs="宋体"/>
                <w:color w:val="000000"/>
                <w:sz w:val="24"/>
                <w:szCs w:val="24"/>
                <w:highlight w:val="none"/>
                <w:lang w:val="en-US" w:eastAsia="zh-CN" w:bidi="ar"/>
              </w:rPr>
              <w:t>8</w:t>
            </w:r>
            <w:r>
              <w:rPr>
                <w:rFonts w:hint="eastAsia" w:ascii="宋体" w:hAnsi="宋体" w:eastAsia="宋体" w:cs="宋体"/>
                <w:color w:val="000000"/>
                <w:sz w:val="24"/>
                <w:szCs w:val="24"/>
                <w:highlight w:val="none"/>
                <w:lang w:val="en-US" w:eastAsia="zh-CN" w:bidi="ar"/>
              </w:rPr>
              <w:t>分。</w:t>
            </w:r>
          </w:p>
          <w:p w14:paraId="7B2A7447">
            <w:pPr>
              <w:ind w:firstLine="480"/>
              <w:rPr>
                <w:rFonts w:hint="eastAsia" w:ascii="宋体" w:hAnsi="宋体"/>
                <w:color w:val="000000"/>
                <w:sz w:val="24"/>
                <w:highlight w:val="none"/>
                <w:lang w:val="en-US" w:eastAsia="zh-CN"/>
              </w:rPr>
            </w:pPr>
            <w:r>
              <w:rPr>
                <w:rFonts w:hint="eastAsia" w:eastAsia="宋体" w:cs="宋体"/>
                <w:color w:val="000000"/>
                <w:sz w:val="24"/>
                <w:szCs w:val="24"/>
                <w:highlight w:val="none"/>
                <w:lang w:val="en-US" w:eastAsia="zh-CN" w:bidi="ar"/>
              </w:rPr>
              <w:t>注：</w:t>
            </w:r>
            <w:r>
              <w:rPr>
                <w:rFonts w:hint="eastAsia" w:ascii="宋体" w:hAnsi="宋体" w:eastAsia="宋体" w:cs="宋体"/>
                <w:color w:val="000000"/>
                <w:sz w:val="24"/>
                <w:szCs w:val="24"/>
                <w:highlight w:val="none"/>
                <w:lang w:val="en-US" w:eastAsia="zh-CN" w:bidi="ar"/>
              </w:rPr>
              <w:t>认证证书须在“全国认证认可信息公共服务平台网站”可查（提供网站查询截屏加盖投标人公章、证书</w:t>
            </w:r>
            <w:r>
              <w:rPr>
                <w:rFonts w:hint="eastAsia" w:ascii="宋体" w:hAnsi="宋体"/>
                <w:color w:val="000000"/>
                <w:sz w:val="24"/>
                <w:highlight w:val="none"/>
                <w:lang w:val="en-US" w:eastAsia="zh-CN"/>
              </w:rPr>
              <w:t>扫描件</w:t>
            </w:r>
            <w:r>
              <w:rPr>
                <w:rFonts w:hint="eastAsia" w:ascii="宋体" w:hAnsi="宋体" w:eastAsia="宋体" w:cs="宋体"/>
                <w:color w:val="000000"/>
                <w:sz w:val="24"/>
                <w:szCs w:val="24"/>
                <w:highlight w:val="none"/>
                <w:lang w:val="en-US" w:eastAsia="zh-CN" w:bidi="ar"/>
              </w:rPr>
              <w:t>加盖投标人公章，</w:t>
            </w:r>
            <w:r>
              <w:rPr>
                <w:rFonts w:hint="eastAsia" w:eastAsia="宋体" w:cs="宋体"/>
                <w:color w:val="000000"/>
                <w:sz w:val="24"/>
                <w:szCs w:val="24"/>
                <w:highlight w:val="none"/>
                <w:lang w:val="en-US" w:eastAsia="zh-CN" w:bidi="ar"/>
              </w:rPr>
              <w:t>两</w:t>
            </w:r>
            <w:r>
              <w:rPr>
                <w:rFonts w:hint="eastAsia" w:ascii="宋体" w:hAnsi="宋体" w:eastAsia="宋体" w:cs="宋体"/>
                <w:color w:val="000000"/>
                <w:sz w:val="24"/>
                <w:szCs w:val="24"/>
                <w:highlight w:val="none"/>
                <w:lang w:val="en-US" w:eastAsia="zh-CN" w:bidi="ar"/>
              </w:rPr>
              <w:t>个材料必须同时提供，未提供或提供不全的不得分）</w:t>
            </w:r>
            <w:r>
              <w:rPr>
                <w:rFonts w:hint="eastAsia" w:ascii="宋体" w:hAnsi="宋体"/>
                <w:color w:val="000000"/>
                <w:sz w:val="24"/>
                <w:highlight w:val="none"/>
                <w:lang w:val="en-US" w:eastAsia="zh-CN"/>
              </w:rPr>
              <w:t>。</w:t>
            </w:r>
          </w:p>
        </w:tc>
      </w:tr>
      <w:tr w14:paraId="01170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4" w:type="dxa"/>
            <w:vMerge w:val="continue"/>
            <w:noWrap w:val="0"/>
            <w:vAlign w:val="center"/>
          </w:tcPr>
          <w:p w14:paraId="5BF43E83">
            <w:pPr>
              <w:keepNext w:val="0"/>
              <w:keepLines w:val="0"/>
              <w:pageBreakBefore w:val="0"/>
              <w:spacing w:line="360" w:lineRule="exact"/>
              <w:jc w:val="center"/>
              <w:rPr>
                <w:rFonts w:hint="eastAsia" w:ascii="宋体" w:hAnsi="宋体" w:eastAsia="宋体" w:cs="宋体"/>
                <w:color w:val="000000"/>
                <w:sz w:val="24"/>
                <w:szCs w:val="24"/>
              </w:rPr>
            </w:pPr>
          </w:p>
        </w:tc>
        <w:tc>
          <w:tcPr>
            <w:tcW w:w="1239" w:type="dxa"/>
            <w:vMerge w:val="continue"/>
            <w:noWrap w:val="0"/>
            <w:vAlign w:val="center"/>
          </w:tcPr>
          <w:p w14:paraId="16FDC17D">
            <w:pPr>
              <w:keepNext w:val="0"/>
              <w:keepLines w:val="0"/>
              <w:pageBreakBefore w:val="0"/>
              <w:spacing w:line="360" w:lineRule="exact"/>
              <w:jc w:val="center"/>
              <w:rPr>
                <w:rFonts w:hint="eastAsia" w:ascii="宋体" w:hAnsi="宋体" w:eastAsia="宋体" w:cs="宋体"/>
                <w:color w:val="000000"/>
                <w:sz w:val="24"/>
                <w:szCs w:val="24"/>
              </w:rPr>
            </w:pPr>
          </w:p>
        </w:tc>
        <w:tc>
          <w:tcPr>
            <w:tcW w:w="1667" w:type="dxa"/>
            <w:noWrap w:val="0"/>
            <w:vAlign w:val="center"/>
          </w:tcPr>
          <w:p w14:paraId="54BD10FF">
            <w:pPr>
              <w:jc w:val="center"/>
              <w:rPr>
                <w:rFonts w:hint="eastAsia" w:ascii="宋体" w:hAnsi="宋体"/>
                <w:color w:val="000000"/>
                <w:sz w:val="24"/>
                <w:lang w:val="en-US" w:eastAsia="zh-CN"/>
              </w:rPr>
            </w:pPr>
            <w:r>
              <w:rPr>
                <w:rFonts w:hint="eastAsia" w:ascii="宋体" w:hAnsi="宋体"/>
                <w:color w:val="000000"/>
                <w:sz w:val="24"/>
                <w:lang w:val="en-US" w:eastAsia="zh-CN"/>
              </w:rPr>
              <w:t>类似业绩（10分）</w:t>
            </w:r>
          </w:p>
        </w:tc>
        <w:tc>
          <w:tcPr>
            <w:tcW w:w="5628" w:type="dxa"/>
            <w:noWrap w:val="0"/>
            <w:vAlign w:val="center"/>
          </w:tcPr>
          <w:p w14:paraId="0D38D388">
            <w:pPr>
              <w:ind w:firstLine="480"/>
              <w:rPr>
                <w:rFonts w:hint="eastAsia" w:ascii="宋体" w:hAnsi="宋体"/>
                <w:color w:val="000000"/>
                <w:sz w:val="24"/>
                <w:lang w:val="en-US" w:eastAsia="zh-CN"/>
              </w:rPr>
            </w:pPr>
            <w:r>
              <w:rPr>
                <w:rFonts w:hint="eastAsia" w:ascii="宋体" w:hAnsi="宋体"/>
                <w:color w:val="000000"/>
                <w:sz w:val="24"/>
                <w:highlight w:val="none"/>
                <w:lang w:val="en-US" w:eastAsia="zh-CN"/>
              </w:rPr>
              <w:t>投标人自2022年1月1日（以合同签订时间为准）以来</w:t>
            </w:r>
            <w:r>
              <w:rPr>
                <w:rFonts w:hint="eastAsia" w:ascii="宋体" w:hAnsi="宋体" w:eastAsia="宋体" w:cs="宋体"/>
                <w:color w:val="000000"/>
                <w:sz w:val="24"/>
                <w:highlight w:val="none"/>
              </w:rPr>
              <w:t>承接过类似服务项目业绩的</w:t>
            </w:r>
            <w:r>
              <w:rPr>
                <w:rFonts w:hint="eastAsia" w:ascii="宋体" w:hAnsi="宋体"/>
                <w:color w:val="000000"/>
                <w:sz w:val="24"/>
                <w:lang w:val="en-US" w:eastAsia="zh-CN"/>
              </w:rPr>
              <w:t>，每提供1个得2分，最多得10分。</w:t>
            </w:r>
          </w:p>
          <w:p w14:paraId="20F946BD">
            <w:pPr>
              <w:ind w:firstLine="480"/>
              <w:rPr>
                <w:rFonts w:hint="eastAsia" w:ascii="宋体" w:hAnsi="宋体"/>
                <w:color w:val="000000"/>
                <w:sz w:val="24"/>
                <w:lang w:val="en-US" w:eastAsia="zh-CN"/>
              </w:rPr>
            </w:pPr>
            <w:r>
              <w:rPr>
                <w:rFonts w:hint="eastAsia" w:ascii="宋体" w:hAnsi="宋体"/>
                <w:color w:val="000000"/>
                <w:sz w:val="24"/>
                <w:lang w:val="en-US" w:eastAsia="zh-CN"/>
              </w:rPr>
              <w:t>投标时须提供合同文本关键页（合同首页、合同标的、合同金额、签字盖章页）</w:t>
            </w:r>
            <w:r>
              <w:rPr>
                <w:rFonts w:hint="eastAsia" w:ascii="宋体" w:hAnsi="宋体"/>
                <w:color w:val="000000"/>
                <w:sz w:val="24"/>
                <w:highlight w:val="none"/>
                <w:lang w:val="en-US" w:eastAsia="zh-CN"/>
              </w:rPr>
              <w:t>扫描件</w:t>
            </w:r>
            <w:r>
              <w:rPr>
                <w:rFonts w:hint="eastAsia" w:ascii="宋体" w:hAnsi="宋体"/>
                <w:color w:val="000000"/>
                <w:sz w:val="24"/>
                <w:lang w:val="en-US" w:eastAsia="zh-CN"/>
              </w:rPr>
              <w:t>并加盖投标人公章，未按照要求提供的不得分。</w:t>
            </w:r>
          </w:p>
        </w:tc>
      </w:tr>
      <w:tr w14:paraId="327D6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4" w:type="dxa"/>
            <w:vMerge w:val="continue"/>
            <w:noWrap w:val="0"/>
            <w:vAlign w:val="center"/>
          </w:tcPr>
          <w:p w14:paraId="66AAE783">
            <w:pPr>
              <w:keepNext w:val="0"/>
              <w:keepLines w:val="0"/>
              <w:pageBreakBefore w:val="0"/>
              <w:spacing w:line="360" w:lineRule="exact"/>
              <w:jc w:val="center"/>
              <w:rPr>
                <w:rFonts w:hint="eastAsia" w:ascii="宋体" w:hAnsi="宋体" w:eastAsia="宋体" w:cs="宋体"/>
                <w:color w:val="000000"/>
                <w:sz w:val="24"/>
                <w:szCs w:val="24"/>
              </w:rPr>
            </w:pPr>
          </w:p>
        </w:tc>
        <w:tc>
          <w:tcPr>
            <w:tcW w:w="1239" w:type="dxa"/>
            <w:vMerge w:val="continue"/>
            <w:noWrap w:val="0"/>
            <w:vAlign w:val="center"/>
          </w:tcPr>
          <w:p w14:paraId="69E194CF">
            <w:pPr>
              <w:keepNext w:val="0"/>
              <w:keepLines w:val="0"/>
              <w:pageBreakBefore w:val="0"/>
              <w:spacing w:line="360" w:lineRule="exact"/>
              <w:jc w:val="center"/>
              <w:rPr>
                <w:rFonts w:hint="eastAsia" w:ascii="宋体" w:hAnsi="宋体" w:eastAsia="宋体" w:cs="宋体"/>
                <w:color w:val="000000"/>
                <w:sz w:val="24"/>
                <w:szCs w:val="24"/>
              </w:rPr>
            </w:pPr>
          </w:p>
        </w:tc>
        <w:tc>
          <w:tcPr>
            <w:tcW w:w="1667" w:type="dxa"/>
            <w:noWrap w:val="0"/>
            <w:vAlign w:val="center"/>
          </w:tcPr>
          <w:p w14:paraId="703AA2E7">
            <w:pPr>
              <w:jc w:val="center"/>
              <w:rPr>
                <w:rFonts w:hint="eastAsia" w:ascii="宋体" w:hAnsi="宋体"/>
                <w:color w:val="000000"/>
                <w:sz w:val="24"/>
                <w:lang w:val="en-US" w:eastAsia="zh-CN"/>
              </w:rPr>
            </w:pPr>
            <w:r>
              <w:rPr>
                <w:rFonts w:hint="eastAsia" w:ascii="宋体" w:hAnsi="宋体"/>
                <w:color w:val="000000"/>
                <w:sz w:val="24"/>
                <w:lang w:val="en-US" w:eastAsia="zh-CN"/>
              </w:rPr>
              <w:t>项目主管证书</w:t>
            </w:r>
          </w:p>
          <w:p w14:paraId="5D6F29C4">
            <w:pPr>
              <w:jc w:val="center"/>
              <w:rPr>
                <w:rFonts w:hint="eastAsia" w:ascii="宋体" w:hAnsi="宋体"/>
                <w:color w:val="000000"/>
                <w:sz w:val="24"/>
                <w:lang w:val="en-US" w:eastAsia="zh-CN"/>
              </w:rPr>
            </w:pPr>
            <w:r>
              <w:rPr>
                <w:rFonts w:hint="eastAsia" w:ascii="宋体" w:hAnsi="宋体"/>
                <w:color w:val="000000"/>
                <w:sz w:val="24"/>
                <w:lang w:val="en-US" w:eastAsia="zh-CN"/>
              </w:rPr>
              <w:t>（2分）</w:t>
            </w:r>
          </w:p>
        </w:tc>
        <w:tc>
          <w:tcPr>
            <w:tcW w:w="5628" w:type="dxa"/>
            <w:noWrap w:val="0"/>
            <w:vAlign w:val="center"/>
          </w:tcPr>
          <w:p w14:paraId="4F07ECD5">
            <w:pPr>
              <w:ind w:firstLine="480"/>
              <w:rPr>
                <w:rFonts w:hint="eastAsia" w:ascii="宋体" w:hAnsi="宋体"/>
                <w:color w:val="000000"/>
                <w:sz w:val="24"/>
                <w:lang w:val="en-US" w:eastAsia="zh-CN"/>
              </w:rPr>
            </w:pPr>
            <w:r>
              <w:rPr>
                <w:rFonts w:hint="eastAsia" w:ascii="宋体" w:hAnsi="宋体"/>
                <w:color w:val="000000"/>
                <w:sz w:val="24"/>
                <w:lang w:val="en-US" w:eastAsia="zh-CN"/>
              </w:rPr>
              <w:t>拟投入本项目的项目主管具有本科及以上学历的得</w:t>
            </w:r>
            <w:r>
              <w:rPr>
                <w:rFonts w:hint="eastAsia" w:ascii="宋体" w:hAnsi="宋体"/>
                <w:color w:val="000000"/>
                <w:sz w:val="24"/>
                <w:highlight w:val="none"/>
                <w:lang w:val="en-US" w:eastAsia="zh-CN"/>
              </w:rPr>
              <w:t>2</w:t>
            </w:r>
            <w:r>
              <w:rPr>
                <w:rFonts w:hint="eastAsia" w:ascii="宋体" w:hAnsi="宋体"/>
                <w:color w:val="000000"/>
                <w:sz w:val="24"/>
                <w:lang w:val="en-US" w:eastAsia="zh-CN"/>
              </w:rPr>
              <w:t>分。</w:t>
            </w:r>
          </w:p>
          <w:p w14:paraId="0957975D">
            <w:pPr>
              <w:ind w:firstLine="480"/>
              <w:rPr>
                <w:rFonts w:hint="eastAsia" w:ascii="宋体" w:hAnsi="宋体"/>
                <w:color w:val="000000"/>
                <w:sz w:val="24"/>
                <w:lang w:val="en-US" w:eastAsia="zh-CN"/>
              </w:rPr>
            </w:pPr>
            <w:r>
              <w:rPr>
                <w:rFonts w:hint="eastAsia" w:ascii="宋体" w:hAnsi="宋体"/>
                <w:color w:val="000000"/>
                <w:sz w:val="24"/>
                <w:lang w:val="en-US" w:eastAsia="zh-CN"/>
              </w:rPr>
              <w:t>投标时须提供学历证书以及投标人近6个月以来任意1个月在投标人单位缴纳社保的证明资料</w:t>
            </w:r>
            <w:r>
              <w:rPr>
                <w:rFonts w:hint="eastAsia" w:ascii="宋体" w:hAnsi="宋体"/>
                <w:color w:val="000000"/>
                <w:sz w:val="24"/>
                <w:highlight w:val="none"/>
                <w:lang w:val="en-US" w:eastAsia="zh-CN"/>
              </w:rPr>
              <w:t>扫描件</w:t>
            </w:r>
            <w:r>
              <w:rPr>
                <w:rFonts w:hint="eastAsia" w:ascii="宋体" w:hAnsi="宋体"/>
                <w:color w:val="000000"/>
                <w:sz w:val="24"/>
                <w:lang w:val="en-US" w:eastAsia="zh-CN"/>
              </w:rPr>
              <w:t>并加盖投标人公章，否则不得分。</w:t>
            </w:r>
          </w:p>
        </w:tc>
      </w:tr>
      <w:tr w14:paraId="7BEB2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4" w:type="dxa"/>
            <w:vMerge w:val="continue"/>
            <w:noWrap w:val="0"/>
            <w:vAlign w:val="center"/>
          </w:tcPr>
          <w:p w14:paraId="144894A6">
            <w:pPr>
              <w:keepNext w:val="0"/>
              <w:keepLines w:val="0"/>
              <w:pageBreakBefore w:val="0"/>
              <w:spacing w:line="360" w:lineRule="exact"/>
              <w:jc w:val="center"/>
              <w:rPr>
                <w:rFonts w:hint="eastAsia" w:ascii="宋体" w:hAnsi="宋体" w:eastAsia="宋体" w:cs="宋体"/>
                <w:color w:val="000000"/>
                <w:sz w:val="24"/>
                <w:szCs w:val="24"/>
                <w:lang w:val="en-US" w:eastAsia="zh-CN"/>
              </w:rPr>
            </w:pPr>
          </w:p>
        </w:tc>
        <w:tc>
          <w:tcPr>
            <w:tcW w:w="1239" w:type="dxa"/>
            <w:vMerge w:val="continue"/>
            <w:noWrap w:val="0"/>
            <w:vAlign w:val="center"/>
          </w:tcPr>
          <w:p w14:paraId="7398B24C">
            <w:pPr>
              <w:keepNext w:val="0"/>
              <w:keepLines w:val="0"/>
              <w:pageBreakBefore w:val="0"/>
              <w:spacing w:line="360" w:lineRule="exact"/>
              <w:jc w:val="center"/>
              <w:rPr>
                <w:rFonts w:hint="eastAsia" w:ascii="宋体" w:hAnsi="宋体" w:eastAsia="宋体" w:cs="宋体"/>
                <w:color w:val="000000"/>
                <w:sz w:val="24"/>
                <w:szCs w:val="24"/>
              </w:rPr>
            </w:pPr>
          </w:p>
        </w:tc>
        <w:tc>
          <w:tcPr>
            <w:tcW w:w="1667" w:type="dxa"/>
            <w:noWrap w:val="0"/>
            <w:vAlign w:val="center"/>
          </w:tcPr>
          <w:p w14:paraId="44166CF3">
            <w:pPr>
              <w:jc w:val="center"/>
              <w:rPr>
                <w:rFonts w:hint="eastAsia" w:ascii="宋体" w:hAnsi="宋体"/>
                <w:color w:val="000000"/>
                <w:sz w:val="24"/>
                <w:lang w:val="en-US" w:eastAsia="zh-CN"/>
              </w:rPr>
            </w:pPr>
            <w:r>
              <w:rPr>
                <w:rFonts w:hint="eastAsia" w:ascii="宋体" w:hAnsi="宋体"/>
                <w:color w:val="000000"/>
                <w:sz w:val="24"/>
                <w:lang w:val="en-US" w:eastAsia="zh-CN"/>
              </w:rPr>
              <w:t>项目人员（10分）</w:t>
            </w:r>
          </w:p>
        </w:tc>
        <w:tc>
          <w:tcPr>
            <w:tcW w:w="5628" w:type="dxa"/>
            <w:noWrap w:val="0"/>
            <w:vAlign w:val="center"/>
          </w:tcPr>
          <w:p w14:paraId="2CB962F0">
            <w:pPr>
              <w:ind w:firstLine="480"/>
              <w:rPr>
                <w:rFonts w:hint="eastAsia" w:ascii="宋体" w:hAnsi="宋体"/>
                <w:color w:val="000000"/>
                <w:sz w:val="24"/>
                <w:lang w:val="en-US" w:eastAsia="zh-CN"/>
              </w:rPr>
            </w:pPr>
            <w:r>
              <w:rPr>
                <w:rFonts w:hint="eastAsia" w:ascii="宋体" w:hAnsi="宋体"/>
                <w:color w:val="000000"/>
                <w:sz w:val="24"/>
                <w:lang w:val="en-US" w:eastAsia="zh-CN"/>
              </w:rPr>
              <w:t>拟投入本项目的服务人员具有本科及以上学历的，每有1个得2分；拟投入本项目的服务人员具有专科及以上学历的，每有1个得1分。本项最高得10分。</w:t>
            </w:r>
          </w:p>
          <w:p w14:paraId="3641FA12">
            <w:pPr>
              <w:ind w:firstLine="480"/>
              <w:rPr>
                <w:rFonts w:hint="eastAsia" w:ascii="宋体" w:hAnsi="宋体"/>
                <w:color w:val="000000"/>
                <w:sz w:val="24"/>
                <w:lang w:val="en-US" w:eastAsia="zh-CN"/>
              </w:rPr>
            </w:pPr>
            <w:r>
              <w:rPr>
                <w:rFonts w:hint="eastAsia" w:ascii="宋体" w:hAnsi="宋体"/>
                <w:color w:val="000000"/>
                <w:sz w:val="24"/>
                <w:lang w:val="en-US" w:eastAsia="zh-CN"/>
              </w:rPr>
              <w:t>投标时须提供学历证书以及投标人近6个月以来任意1个月在投标人单位缴纳社保的证明资料</w:t>
            </w:r>
            <w:r>
              <w:rPr>
                <w:rFonts w:hint="eastAsia" w:ascii="宋体" w:hAnsi="宋体"/>
                <w:color w:val="000000"/>
                <w:sz w:val="24"/>
                <w:highlight w:val="none"/>
                <w:lang w:val="en-US" w:eastAsia="zh-CN"/>
              </w:rPr>
              <w:t>扫描件</w:t>
            </w:r>
            <w:r>
              <w:rPr>
                <w:rFonts w:hint="eastAsia" w:ascii="宋体" w:hAnsi="宋体"/>
                <w:color w:val="000000"/>
                <w:sz w:val="24"/>
                <w:lang w:val="en-US" w:eastAsia="zh-CN"/>
              </w:rPr>
              <w:t>并加盖投标人公章，否则不得分。</w:t>
            </w:r>
          </w:p>
        </w:tc>
      </w:tr>
      <w:tr w14:paraId="0EAFB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4" w:hRule="atLeast"/>
        </w:trPr>
        <w:tc>
          <w:tcPr>
            <w:tcW w:w="844" w:type="dxa"/>
            <w:vMerge w:val="continue"/>
            <w:noWrap w:val="0"/>
            <w:vAlign w:val="center"/>
          </w:tcPr>
          <w:p w14:paraId="697FAEDE">
            <w:pPr>
              <w:keepNext w:val="0"/>
              <w:keepLines w:val="0"/>
              <w:pageBreakBefore w:val="0"/>
              <w:spacing w:line="360" w:lineRule="exact"/>
              <w:jc w:val="center"/>
              <w:rPr>
                <w:rFonts w:hint="eastAsia" w:ascii="宋体" w:hAnsi="宋体" w:eastAsia="宋体" w:cs="宋体"/>
                <w:color w:val="000000"/>
                <w:sz w:val="24"/>
                <w:szCs w:val="24"/>
                <w:lang w:val="en-US" w:eastAsia="zh-CN"/>
              </w:rPr>
            </w:pPr>
          </w:p>
        </w:tc>
        <w:tc>
          <w:tcPr>
            <w:tcW w:w="1239" w:type="dxa"/>
            <w:vMerge w:val="continue"/>
            <w:noWrap w:val="0"/>
            <w:vAlign w:val="center"/>
          </w:tcPr>
          <w:p w14:paraId="70BE90DF">
            <w:pPr>
              <w:keepNext w:val="0"/>
              <w:keepLines w:val="0"/>
              <w:pageBreakBefore w:val="0"/>
              <w:spacing w:line="360" w:lineRule="exact"/>
              <w:jc w:val="center"/>
              <w:rPr>
                <w:rFonts w:hint="eastAsia" w:ascii="宋体" w:hAnsi="宋体" w:eastAsia="宋体" w:cs="宋体"/>
                <w:color w:val="000000"/>
                <w:sz w:val="24"/>
                <w:szCs w:val="24"/>
              </w:rPr>
            </w:pPr>
          </w:p>
        </w:tc>
        <w:tc>
          <w:tcPr>
            <w:tcW w:w="1667" w:type="dxa"/>
            <w:noWrap w:val="0"/>
            <w:vAlign w:val="center"/>
          </w:tcPr>
          <w:p w14:paraId="59FCEBDE">
            <w:pPr>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自有事务平台（5分）</w:t>
            </w:r>
          </w:p>
        </w:tc>
        <w:tc>
          <w:tcPr>
            <w:tcW w:w="5628" w:type="dxa"/>
            <w:noWrap w:val="0"/>
            <w:vAlign w:val="center"/>
          </w:tcPr>
          <w:p w14:paraId="1AAD2A30">
            <w:pPr>
              <w:ind w:firstLine="480"/>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投标人如能提供自有执行辅助事务平台的，得5分；投标时须提供软件平台界面截图并加盖投标人公章，否则不得分。</w:t>
            </w:r>
          </w:p>
        </w:tc>
      </w:tr>
      <w:tr w14:paraId="669B0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6" w:hRule="atLeast"/>
        </w:trPr>
        <w:tc>
          <w:tcPr>
            <w:tcW w:w="844" w:type="dxa"/>
            <w:vMerge w:val="restart"/>
            <w:noWrap w:val="0"/>
            <w:vAlign w:val="center"/>
          </w:tcPr>
          <w:p w14:paraId="79FF5993">
            <w:pPr>
              <w:keepNext w:val="0"/>
              <w:keepLines w:val="0"/>
              <w:pageBreakBefore w:val="0"/>
              <w:spacing w:line="360" w:lineRule="exac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w:t>
            </w:r>
          </w:p>
        </w:tc>
        <w:tc>
          <w:tcPr>
            <w:tcW w:w="1239" w:type="dxa"/>
            <w:vMerge w:val="restart"/>
            <w:noWrap w:val="0"/>
            <w:vAlign w:val="center"/>
          </w:tcPr>
          <w:p w14:paraId="2E3852C7">
            <w:pPr>
              <w:keepNext w:val="0"/>
              <w:keepLines w:val="0"/>
              <w:pageBreakBefore w:val="0"/>
              <w:spacing w:line="36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技术性能和服务方案</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45</w:t>
            </w:r>
            <w:r>
              <w:rPr>
                <w:rFonts w:hint="eastAsia" w:ascii="宋体" w:hAnsi="宋体" w:eastAsia="宋体" w:cs="宋体"/>
                <w:color w:val="000000"/>
                <w:sz w:val="24"/>
                <w:szCs w:val="24"/>
                <w:highlight w:val="none"/>
              </w:rPr>
              <w:t>分）</w:t>
            </w:r>
          </w:p>
        </w:tc>
        <w:tc>
          <w:tcPr>
            <w:tcW w:w="1667" w:type="dxa"/>
            <w:noWrap w:val="0"/>
            <w:vAlign w:val="center"/>
          </w:tcPr>
          <w:p w14:paraId="09F9C401">
            <w:pPr>
              <w:jc w:val="center"/>
              <w:rPr>
                <w:rFonts w:hint="eastAsia" w:ascii="宋体" w:hAnsi="宋体"/>
                <w:color w:val="000000"/>
                <w:sz w:val="24"/>
                <w:lang w:val="en-US" w:eastAsia="zh-CN"/>
              </w:rPr>
            </w:pPr>
            <w:r>
              <w:rPr>
                <w:rFonts w:hint="eastAsia" w:ascii="宋体" w:hAnsi="宋体"/>
                <w:color w:val="000000"/>
                <w:sz w:val="24"/>
                <w:lang w:val="en-US" w:eastAsia="zh-CN"/>
              </w:rPr>
              <w:t>服务方案</w:t>
            </w:r>
          </w:p>
          <w:p w14:paraId="2F269B59">
            <w:pPr>
              <w:jc w:val="center"/>
              <w:rPr>
                <w:rFonts w:hint="eastAsia" w:ascii="宋体" w:hAnsi="宋体"/>
                <w:color w:val="000000"/>
                <w:sz w:val="24"/>
                <w:lang w:val="en-US" w:eastAsia="zh-CN"/>
              </w:rPr>
            </w:pPr>
            <w:r>
              <w:rPr>
                <w:rFonts w:hint="eastAsia" w:ascii="宋体" w:hAnsi="宋体"/>
                <w:color w:val="000000"/>
                <w:sz w:val="24"/>
                <w:lang w:val="en-US" w:eastAsia="zh-CN"/>
              </w:rPr>
              <w:t>（15分）</w:t>
            </w:r>
          </w:p>
        </w:tc>
        <w:tc>
          <w:tcPr>
            <w:tcW w:w="5628" w:type="dxa"/>
            <w:noWrap w:val="0"/>
            <w:vAlign w:val="center"/>
          </w:tcPr>
          <w:p w14:paraId="440601DB">
            <w:pPr>
              <w:ind w:firstLine="480"/>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评委会根据投标人提供的</w:t>
            </w:r>
            <w:r>
              <w:rPr>
                <w:rFonts w:hint="eastAsia" w:ascii="宋体" w:hAnsi="宋体"/>
                <w:color w:val="000000"/>
                <w:sz w:val="24"/>
                <w:highlight w:val="none"/>
              </w:rPr>
              <w:t>服务方案</w:t>
            </w:r>
            <w:r>
              <w:rPr>
                <w:rFonts w:hint="eastAsia" w:ascii="宋体" w:hAnsi="宋体"/>
                <w:color w:val="000000"/>
                <w:sz w:val="24"/>
                <w:highlight w:val="none"/>
                <w:lang w:val="en-US" w:eastAsia="zh-CN"/>
              </w:rPr>
              <w:t>（包括但不限于：①项目背景的理解和分析；②项目服务内容阐述；③项目服务流程；④项目的日常管理措施；⑤与采购人沟通、协调措施）进行评审：</w:t>
            </w:r>
          </w:p>
          <w:p w14:paraId="413FE786">
            <w:pPr>
              <w:ind w:firstLine="480"/>
              <w:rPr>
                <w:rFonts w:hint="eastAsia" w:ascii="宋体" w:hAnsi="宋体"/>
                <w:color w:val="000000"/>
                <w:sz w:val="24"/>
                <w:highlight w:val="none"/>
              </w:rPr>
            </w:pPr>
            <w:r>
              <w:rPr>
                <w:rFonts w:hint="eastAsia" w:ascii="宋体" w:hAnsi="宋体"/>
                <w:color w:val="000000"/>
                <w:sz w:val="24"/>
                <w:highlight w:val="none"/>
              </w:rPr>
              <w:t>（1）优于项目需求得</w:t>
            </w:r>
            <w:r>
              <w:rPr>
                <w:rFonts w:hint="eastAsia" w:ascii="宋体" w:hAnsi="宋体"/>
                <w:color w:val="000000"/>
                <w:sz w:val="24"/>
                <w:highlight w:val="none"/>
                <w:lang w:val="en-US" w:eastAsia="zh-CN"/>
              </w:rPr>
              <w:t>15</w:t>
            </w:r>
            <w:r>
              <w:rPr>
                <w:rFonts w:hint="eastAsia" w:ascii="宋体" w:hAnsi="宋体"/>
                <w:color w:val="000000"/>
                <w:sz w:val="24"/>
                <w:highlight w:val="none"/>
              </w:rPr>
              <w:t>分；</w:t>
            </w:r>
          </w:p>
          <w:p w14:paraId="1FAF5C11">
            <w:pPr>
              <w:ind w:firstLine="480"/>
              <w:rPr>
                <w:rFonts w:hint="eastAsia" w:ascii="宋体" w:hAnsi="宋体"/>
                <w:color w:val="000000"/>
                <w:sz w:val="24"/>
                <w:highlight w:val="none"/>
              </w:rPr>
            </w:pPr>
            <w:r>
              <w:rPr>
                <w:rFonts w:hint="eastAsia" w:ascii="宋体" w:hAnsi="宋体"/>
                <w:color w:val="000000"/>
                <w:sz w:val="24"/>
                <w:highlight w:val="none"/>
              </w:rPr>
              <w:t>（2）满足项目需求得</w:t>
            </w:r>
            <w:r>
              <w:rPr>
                <w:rFonts w:hint="eastAsia" w:ascii="宋体" w:hAnsi="宋体"/>
                <w:color w:val="000000"/>
                <w:sz w:val="24"/>
                <w:highlight w:val="none"/>
                <w:lang w:val="en-US" w:eastAsia="zh-CN"/>
              </w:rPr>
              <w:t>13</w:t>
            </w:r>
            <w:r>
              <w:rPr>
                <w:rFonts w:hint="eastAsia" w:ascii="宋体" w:hAnsi="宋体"/>
                <w:color w:val="000000"/>
                <w:sz w:val="24"/>
                <w:highlight w:val="none"/>
              </w:rPr>
              <w:t>分；</w:t>
            </w:r>
          </w:p>
          <w:p w14:paraId="35E0C0DB">
            <w:pPr>
              <w:ind w:firstLine="480"/>
              <w:rPr>
                <w:rFonts w:ascii="宋体" w:hAnsi="宋体"/>
                <w:color w:val="000000"/>
                <w:sz w:val="24"/>
                <w:highlight w:val="none"/>
                <w:lang w:val="en-US" w:eastAsia="zh-CN"/>
              </w:rPr>
            </w:pPr>
            <w:r>
              <w:rPr>
                <w:rFonts w:hint="eastAsia" w:ascii="宋体" w:hAnsi="宋体"/>
                <w:color w:val="000000"/>
                <w:sz w:val="24"/>
                <w:highlight w:val="none"/>
              </w:rPr>
              <w:t>（3）不满足项目需求或不提供得</w:t>
            </w:r>
            <w:r>
              <w:rPr>
                <w:rFonts w:hint="eastAsia" w:ascii="宋体" w:hAnsi="宋体" w:eastAsia="宋体"/>
                <w:color w:val="000000"/>
                <w:sz w:val="24"/>
                <w:highlight w:val="none"/>
                <w:lang w:val="en-US" w:eastAsia="zh-CN"/>
              </w:rPr>
              <w:t>0</w:t>
            </w:r>
            <w:r>
              <w:rPr>
                <w:rFonts w:hint="eastAsia" w:ascii="宋体" w:hAnsi="宋体"/>
                <w:color w:val="000000"/>
                <w:sz w:val="24"/>
                <w:highlight w:val="none"/>
              </w:rPr>
              <w:t>分</w:t>
            </w:r>
            <w:r>
              <w:rPr>
                <w:rFonts w:hint="eastAsia" w:ascii="宋体" w:hAnsi="宋体"/>
                <w:color w:val="000000"/>
                <w:sz w:val="24"/>
                <w:highlight w:val="none"/>
                <w:lang w:val="en-US" w:eastAsia="zh-CN"/>
              </w:rPr>
              <w:t>。</w:t>
            </w:r>
          </w:p>
        </w:tc>
      </w:tr>
      <w:tr w14:paraId="0AF31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4" w:type="dxa"/>
            <w:vMerge w:val="continue"/>
            <w:noWrap w:val="0"/>
            <w:vAlign w:val="center"/>
          </w:tcPr>
          <w:p w14:paraId="28A2095B">
            <w:pPr>
              <w:keepNext w:val="0"/>
              <w:keepLines w:val="0"/>
              <w:pageBreakBefore w:val="0"/>
              <w:spacing w:line="360" w:lineRule="exact"/>
              <w:jc w:val="center"/>
              <w:rPr>
                <w:rFonts w:hint="eastAsia" w:ascii="宋体" w:hAnsi="宋体" w:eastAsia="宋体" w:cs="宋体"/>
                <w:color w:val="000000"/>
                <w:sz w:val="24"/>
                <w:szCs w:val="24"/>
              </w:rPr>
            </w:pPr>
          </w:p>
        </w:tc>
        <w:tc>
          <w:tcPr>
            <w:tcW w:w="1239" w:type="dxa"/>
            <w:vMerge w:val="continue"/>
            <w:noWrap w:val="0"/>
            <w:vAlign w:val="top"/>
          </w:tcPr>
          <w:p w14:paraId="75C15D54">
            <w:pPr>
              <w:keepNext w:val="0"/>
              <w:keepLines w:val="0"/>
              <w:pageBreakBefore w:val="0"/>
              <w:spacing w:line="360" w:lineRule="exact"/>
              <w:rPr>
                <w:rFonts w:hint="eastAsia" w:ascii="宋体" w:hAnsi="宋体" w:eastAsia="宋体" w:cs="宋体"/>
                <w:color w:val="000000"/>
                <w:sz w:val="24"/>
                <w:szCs w:val="24"/>
              </w:rPr>
            </w:pPr>
          </w:p>
        </w:tc>
        <w:tc>
          <w:tcPr>
            <w:tcW w:w="1667" w:type="dxa"/>
            <w:noWrap w:val="0"/>
            <w:vAlign w:val="center"/>
          </w:tcPr>
          <w:p w14:paraId="55782991">
            <w:pPr>
              <w:jc w:val="center"/>
              <w:rPr>
                <w:rFonts w:hint="eastAsia" w:ascii="宋体" w:hAnsi="宋体"/>
                <w:color w:val="000000"/>
                <w:sz w:val="24"/>
                <w:lang w:val="en-US" w:eastAsia="zh-CN"/>
              </w:rPr>
            </w:pPr>
            <w:r>
              <w:rPr>
                <w:rFonts w:hint="eastAsia" w:ascii="宋体" w:hAnsi="宋体"/>
                <w:color w:val="000000"/>
                <w:sz w:val="24"/>
                <w:lang w:val="en-US" w:eastAsia="zh-CN"/>
              </w:rPr>
              <w:t>人员管理制度</w:t>
            </w:r>
          </w:p>
          <w:p w14:paraId="6A0D90AA">
            <w:pPr>
              <w:jc w:val="center"/>
              <w:rPr>
                <w:rFonts w:hint="eastAsia" w:ascii="宋体" w:hAnsi="宋体"/>
                <w:color w:val="000000"/>
                <w:sz w:val="24"/>
                <w:lang w:val="en-US" w:eastAsia="zh-CN"/>
              </w:rPr>
            </w:pPr>
            <w:r>
              <w:rPr>
                <w:rFonts w:hint="eastAsia" w:ascii="宋体" w:hAnsi="宋体"/>
                <w:color w:val="000000"/>
                <w:sz w:val="24"/>
                <w:lang w:val="en-US" w:eastAsia="zh-CN"/>
              </w:rPr>
              <w:t>（10分）</w:t>
            </w:r>
          </w:p>
        </w:tc>
        <w:tc>
          <w:tcPr>
            <w:tcW w:w="5628" w:type="dxa"/>
            <w:noWrap w:val="0"/>
            <w:vAlign w:val="center"/>
          </w:tcPr>
          <w:p w14:paraId="16B996DB">
            <w:pPr>
              <w:ind w:firstLine="480"/>
              <w:rPr>
                <w:rFonts w:hint="eastAsia" w:ascii="宋体" w:hAnsi="宋体"/>
                <w:color w:val="000000"/>
                <w:sz w:val="24"/>
                <w:lang w:val="en-US" w:eastAsia="zh-CN"/>
              </w:rPr>
            </w:pPr>
            <w:r>
              <w:rPr>
                <w:rFonts w:hint="eastAsia" w:ascii="宋体" w:hAnsi="宋体"/>
                <w:color w:val="000000"/>
                <w:sz w:val="24"/>
                <w:lang w:val="en-US" w:eastAsia="zh-CN"/>
              </w:rPr>
              <w:t>评委会根据投标人提供人员管理制度（包括但不限于：①人员配备情况；②驻场人员管理措施；③人员培训计划；④岗位职责）进行评审：</w:t>
            </w:r>
          </w:p>
          <w:p w14:paraId="00BBEFF7">
            <w:pPr>
              <w:ind w:firstLine="480"/>
              <w:rPr>
                <w:rFonts w:hint="eastAsia" w:ascii="宋体" w:hAnsi="宋体"/>
                <w:color w:val="000000"/>
                <w:sz w:val="24"/>
              </w:rPr>
            </w:pPr>
            <w:r>
              <w:rPr>
                <w:rFonts w:hint="eastAsia" w:ascii="宋体" w:hAnsi="宋体"/>
                <w:color w:val="000000"/>
                <w:sz w:val="24"/>
              </w:rPr>
              <w:t>（1）优于项目需求得</w:t>
            </w:r>
            <w:r>
              <w:rPr>
                <w:rFonts w:hint="eastAsia" w:ascii="宋体" w:hAnsi="宋体"/>
                <w:color w:val="000000"/>
                <w:sz w:val="24"/>
                <w:lang w:val="en-US" w:eastAsia="zh-CN"/>
              </w:rPr>
              <w:t>10</w:t>
            </w:r>
            <w:r>
              <w:rPr>
                <w:rFonts w:hint="eastAsia" w:ascii="宋体" w:hAnsi="宋体"/>
                <w:color w:val="000000"/>
                <w:sz w:val="24"/>
              </w:rPr>
              <w:t>分；</w:t>
            </w:r>
          </w:p>
          <w:p w14:paraId="6AE9CF20">
            <w:pPr>
              <w:ind w:firstLine="480"/>
              <w:rPr>
                <w:rFonts w:hint="eastAsia" w:ascii="宋体" w:hAnsi="宋体"/>
                <w:color w:val="000000"/>
                <w:sz w:val="24"/>
              </w:rPr>
            </w:pPr>
            <w:r>
              <w:rPr>
                <w:rFonts w:hint="eastAsia" w:ascii="宋体" w:hAnsi="宋体"/>
                <w:color w:val="000000"/>
                <w:sz w:val="24"/>
              </w:rPr>
              <w:t>（2）满足项目需求得</w:t>
            </w:r>
            <w:r>
              <w:rPr>
                <w:rFonts w:hint="eastAsia" w:ascii="宋体" w:hAnsi="宋体"/>
                <w:color w:val="000000"/>
                <w:sz w:val="24"/>
                <w:lang w:val="en-US" w:eastAsia="zh-CN"/>
              </w:rPr>
              <w:t>8</w:t>
            </w:r>
            <w:r>
              <w:rPr>
                <w:rFonts w:hint="eastAsia" w:ascii="宋体" w:hAnsi="宋体"/>
                <w:color w:val="000000"/>
                <w:sz w:val="24"/>
              </w:rPr>
              <w:t>分；</w:t>
            </w:r>
          </w:p>
          <w:p w14:paraId="7BE67BE3">
            <w:pPr>
              <w:ind w:firstLine="480"/>
              <w:rPr>
                <w:rFonts w:hint="eastAsia" w:ascii="宋体" w:hAnsi="宋体"/>
                <w:color w:val="000000"/>
                <w:sz w:val="24"/>
                <w:lang w:eastAsia="zh-CN"/>
              </w:rPr>
            </w:pPr>
            <w:r>
              <w:rPr>
                <w:rFonts w:hint="eastAsia" w:ascii="宋体" w:hAnsi="宋体"/>
                <w:color w:val="000000"/>
                <w:sz w:val="24"/>
              </w:rPr>
              <w:t>（3）</w:t>
            </w:r>
            <w:r>
              <w:rPr>
                <w:rFonts w:hint="eastAsia" w:ascii="宋体" w:hAnsi="宋体"/>
                <w:color w:val="000000"/>
                <w:sz w:val="24"/>
                <w:highlight w:val="none"/>
              </w:rPr>
              <w:t>不满足项目需求或不提供得</w:t>
            </w:r>
            <w:r>
              <w:rPr>
                <w:rFonts w:hint="eastAsia" w:ascii="宋体" w:hAnsi="宋体" w:eastAsia="宋体"/>
                <w:color w:val="000000"/>
                <w:sz w:val="24"/>
                <w:highlight w:val="none"/>
                <w:lang w:val="en-US" w:eastAsia="zh-CN"/>
              </w:rPr>
              <w:t>0</w:t>
            </w:r>
            <w:r>
              <w:rPr>
                <w:rFonts w:hint="eastAsia" w:ascii="宋体" w:hAnsi="宋体"/>
                <w:color w:val="000000"/>
                <w:sz w:val="24"/>
                <w:highlight w:val="none"/>
              </w:rPr>
              <w:t>分</w:t>
            </w:r>
            <w:r>
              <w:rPr>
                <w:rFonts w:hint="eastAsia" w:ascii="宋体" w:hAnsi="宋体"/>
                <w:color w:val="000000"/>
                <w:sz w:val="24"/>
                <w:lang w:val="en-US" w:eastAsia="zh-CN"/>
              </w:rPr>
              <w:t>。</w:t>
            </w:r>
          </w:p>
        </w:tc>
      </w:tr>
      <w:tr w14:paraId="0CD00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0" w:hRule="atLeast"/>
        </w:trPr>
        <w:tc>
          <w:tcPr>
            <w:tcW w:w="844" w:type="dxa"/>
            <w:vMerge w:val="continue"/>
            <w:noWrap w:val="0"/>
            <w:vAlign w:val="center"/>
          </w:tcPr>
          <w:p w14:paraId="5011F116">
            <w:pPr>
              <w:keepNext w:val="0"/>
              <w:keepLines w:val="0"/>
              <w:pageBreakBefore w:val="0"/>
              <w:spacing w:line="360" w:lineRule="exact"/>
              <w:jc w:val="center"/>
              <w:rPr>
                <w:rFonts w:hint="eastAsia" w:ascii="宋体" w:hAnsi="宋体" w:eastAsia="宋体" w:cs="宋体"/>
                <w:color w:val="000000"/>
                <w:sz w:val="24"/>
                <w:szCs w:val="24"/>
              </w:rPr>
            </w:pPr>
          </w:p>
        </w:tc>
        <w:tc>
          <w:tcPr>
            <w:tcW w:w="1239" w:type="dxa"/>
            <w:vMerge w:val="continue"/>
            <w:noWrap w:val="0"/>
            <w:vAlign w:val="top"/>
          </w:tcPr>
          <w:p w14:paraId="4CFD3FA4">
            <w:pPr>
              <w:keepNext w:val="0"/>
              <w:keepLines w:val="0"/>
              <w:pageBreakBefore w:val="0"/>
              <w:spacing w:line="360" w:lineRule="exact"/>
              <w:rPr>
                <w:rFonts w:hint="eastAsia" w:ascii="宋体" w:hAnsi="宋体" w:eastAsia="宋体" w:cs="宋体"/>
                <w:color w:val="000000"/>
                <w:sz w:val="24"/>
                <w:szCs w:val="24"/>
              </w:rPr>
            </w:pPr>
          </w:p>
        </w:tc>
        <w:tc>
          <w:tcPr>
            <w:tcW w:w="1667" w:type="dxa"/>
            <w:noWrap w:val="0"/>
            <w:vAlign w:val="center"/>
          </w:tcPr>
          <w:p w14:paraId="3C8D1B6E">
            <w:pPr>
              <w:jc w:val="center"/>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安全保密制度</w:t>
            </w:r>
          </w:p>
          <w:p w14:paraId="72B00137">
            <w:pPr>
              <w:jc w:val="center"/>
              <w:rPr>
                <w:rFonts w:hint="eastAsia" w:ascii="宋体" w:hAnsi="宋体"/>
                <w:color w:val="000000"/>
                <w:sz w:val="24"/>
                <w:lang w:val="en-US" w:eastAsia="zh-CN"/>
              </w:rPr>
            </w:pPr>
            <w:r>
              <w:rPr>
                <w:rFonts w:hint="eastAsia" w:ascii="宋体" w:hAnsi="宋体"/>
                <w:color w:val="000000"/>
                <w:sz w:val="24"/>
                <w:highlight w:val="none"/>
                <w:lang w:val="en-US" w:eastAsia="zh-CN"/>
              </w:rPr>
              <w:t>（10分）</w:t>
            </w:r>
          </w:p>
        </w:tc>
        <w:tc>
          <w:tcPr>
            <w:tcW w:w="5628" w:type="dxa"/>
            <w:noWrap w:val="0"/>
            <w:vAlign w:val="center"/>
          </w:tcPr>
          <w:p w14:paraId="42FD57BE">
            <w:pPr>
              <w:ind w:firstLine="480"/>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评委会根据投标人提供安全保密制度（包括但不限于：①安全保密制度及措施；②涉密档案管理措施）进行评审：</w:t>
            </w:r>
          </w:p>
          <w:p w14:paraId="753436DA">
            <w:pPr>
              <w:ind w:firstLine="480"/>
              <w:rPr>
                <w:rFonts w:hint="eastAsia" w:ascii="宋体" w:hAnsi="宋体"/>
                <w:color w:val="000000"/>
                <w:sz w:val="24"/>
                <w:highlight w:val="none"/>
              </w:rPr>
            </w:pPr>
            <w:r>
              <w:rPr>
                <w:rFonts w:hint="eastAsia" w:ascii="宋体" w:hAnsi="宋体"/>
                <w:color w:val="000000"/>
                <w:sz w:val="24"/>
                <w:highlight w:val="none"/>
              </w:rPr>
              <w:t>（1）优于项目需求得</w:t>
            </w:r>
            <w:r>
              <w:rPr>
                <w:rFonts w:hint="eastAsia" w:ascii="宋体" w:hAnsi="宋体"/>
                <w:color w:val="000000"/>
                <w:sz w:val="24"/>
                <w:highlight w:val="none"/>
                <w:lang w:val="en-US" w:eastAsia="zh-CN"/>
              </w:rPr>
              <w:t>10</w:t>
            </w:r>
            <w:r>
              <w:rPr>
                <w:rFonts w:hint="eastAsia" w:ascii="宋体" w:hAnsi="宋体"/>
                <w:color w:val="000000"/>
                <w:sz w:val="24"/>
                <w:highlight w:val="none"/>
              </w:rPr>
              <w:t>分；</w:t>
            </w:r>
          </w:p>
          <w:p w14:paraId="31E69DE2">
            <w:pPr>
              <w:ind w:firstLine="480"/>
              <w:rPr>
                <w:rFonts w:hint="eastAsia" w:ascii="宋体" w:hAnsi="宋体"/>
                <w:color w:val="000000"/>
                <w:sz w:val="24"/>
                <w:highlight w:val="none"/>
              </w:rPr>
            </w:pPr>
            <w:r>
              <w:rPr>
                <w:rFonts w:hint="eastAsia" w:ascii="宋体" w:hAnsi="宋体"/>
                <w:color w:val="000000"/>
                <w:sz w:val="24"/>
                <w:highlight w:val="none"/>
              </w:rPr>
              <w:t>（2）满足项目需求得</w:t>
            </w:r>
            <w:r>
              <w:rPr>
                <w:rFonts w:hint="eastAsia" w:ascii="宋体" w:hAnsi="宋体"/>
                <w:color w:val="000000"/>
                <w:sz w:val="24"/>
                <w:highlight w:val="none"/>
                <w:lang w:val="en-US" w:eastAsia="zh-CN"/>
              </w:rPr>
              <w:t>8</w:t>
            </w:r>
            <w:r>
              <w:rPr>
                <w:rFonts w:hint="eastAsia" w:ascii="宋体" w:hAnsi="宋体"/>
                <w:color w:val="000000"/>
                <w:sz w:val="24"/>
                <w:highlight w:val="none"/>
              </w:rPr>
              <w:t>分；</w:t>
            </w:r>
          </w:p>
          <w:p w14:paraId="5A6C6D95">
            <w:pPr>
              <w:ind w:firstLine="480"/>
              <w:rPr>
                <w:rFonts w:hint="eastAsia" w:ascii="宋体" w:hAnsi="宋体"/>
                <w:color w:val="000000"/>
                <w:sz w:val="24"/>
                <w:highlight w:val="none"/>
              </w:rPr>
            </w:pPr>
            <w:r>
              <w:rPr>
                <w:rFonts w:hint="eastAsia" w:ascii="宋体" w:hAnsi="宋体"/>
                <w:color w:val="000000"/>
                <w:sz w:val="24"/>
                <w:highlight w:val="none"/>
              </w:rPr>
              <w:t>（3）不满足项目需求或不提供得</w:t>
            </w:r>
            <w:r>
              <w:rPr>
                <w:rFonts w:hint="eastAsia" w:ascii="宋体" w:hAnsi="宋体" w:eastAsia="宋体"/>
                <w:color w:val="000000"/>
                <w:sz w:val="24"/>
                <w:highlight w:val="none"/>
                <w:lang w:val="en-US" w:eastAsia="zh-CN"/>
              </w:rPr>
              <w:t>0</w:t>
            </w:r>
            <w:r>
              <w:rPr>
                <w:rFonts w:hint="eastAsia" w:ascii="宋体" w:hAnsi="宋体"/>
                <w:color w:val="000000"/>
                <w:sz w:val="24"/>
                <w:highlight w:val="none"/>
              </w:rPr>
              <w:t>分</w:t>
            </w:r>
            <w:r>
              <w:rPr>
                <w:rFonts w:hint="eastAsia" w:ascii="宋体" w:hAnsi="宋体"/>
                <w:color w:val="000000"/>
                <w:sz w:val="24"/>
                <w:highlight w:val="none"/>
                <w:lang w:val="en-US" w:eastAsia="zh-CN"/>
              </w:rPr>
              <w:t>。</w:t>
            </w:r>
          </w:p>
        </w:tc>
      </w:tr>
      <w:tr w14:paraId="7CE56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4" w:type="dxa"/>
            <w:vMerge w:val="continue"/>
            <w:noWrap w:val="0"/>
            <w:vAlign w:val="center"/>
          </w:tcPr>
          <w:p w14:paraId="353D4201">
            <w:pPr>
              <w:keepNext w:val="0"/>
              <w:keepLines w:val="0"/>
              <w:pageBreakBefore w:val="0"/>
              <w:spacing w:line="360" w:lineRule="exact"/>
              <w:jc w:val="center"/>
              <w:rPr>
                <w:rFonts w:hint="eastAsia" w:ascii="宋体" w:hAnsi="宋体" w:eastAsia="宋体" w:cs="宋体"/>
                <w:color w:val="000000"/>
                <w:sz w:val="24"/>
                <w:szCs w:val="24"/>
              </w:rPr>
            </w:pPr>
          </w:p>
        </w:tc>
        <w:tc>
          <w:tcPr>
            <w:tcW w:w="1239" w:type="dxa"/>
            <w:vMerge w:val="continue"/>
            <w:noWrap w:val="0"/>
            <w:vAlign w:val="top"/>
          </w:tcPr>
          <w:p w14:paraId="275C8117">
            <w:pPr>
              <w:keepNext w:val="0"/>
              <w:keepLines w:val="0"/>
              <w:pageBreakBefore w:val="0"/>
              <w:spacing w:line="360" w:lineRule="exact"/>
              <w:rPr>
                <w:rFonts w:hint="eastAsia" w:ascii="宋体" w:hAnsi="宋体" w:eastAsia="宋体" w:cs="宋体"/>
                <w:color w:val="000000"/>
                <w:sz w:val="24"/>
                <w:szCs w:val="24"/>
              </w:rPr>
            </w:pPr>
          </w:p>
        </w:tc>
        <w:tc>
          <w:tcPr>
            <w:tcW w:w="1667" w:type="dxa"/>
            <w:noWrap w:val="0"/>
            <w:vAlign w:val="center"/>
          </w:tcPr>
          <w:p w14:paraId="0388A4EA">
            <w:pPr>
              <w:jc w:val="center"/>
              <w:rPr>
                <w:rFonts w:hint="eastAsia" w:ascii="宋体" w:hAnsi="宋体"/>
                <w:color w:val="000000"/>
                <w:sz w:val="24"/>
                <w:lang w:val="en-US" w:eastAsia="zh-CN"/>
              </w:rPr>
            </w:pPr>
            <w:r>
              <w:rPr>
                <w:rFonts w:hint="eastAsia" w:ascii="宋体" w:hAnsi="宋体"/>
                <w:color w:val="000000"/>
                <w:sz w:val="24"/>
                <w:lang w:val="en-US" w:eastAsia="zh-CN"/>
              </w:rPr>
              <w:t>应急预案</w:t>
            </w:r>
          </w:p>
          <w:p w14:paraId="21338466">
            <w:pPr>
              <w:jc w:val="center"/>
              <w:rPr>
                <w:rFonts w:hint="eastAsia" w:ascii="宋体" w:hAnsi="宋体"/>
                <w:color w:val="000000"/>
                <w:sz w:val="24"/>
                <w:lang w:val="en-US" w:eastAsia="zh-CN"/>
              </w:rPr>
            </w:pPr>
            <w:r>
              <w:rPr>
                <w:rFonts w:hint="eastAsia" w:ascii="宋体" w:hAnsi="宋体"/>
                <w:color w:val="000000"/>
                <w:sz w:val="24"/>
                <w:lang w:val="en-US" w:eastAsia="zh-CN"/>
              </w:rPr>
              <w:t>（10分）</w:t>
            </w:r>
          </w:p>
        </w:tc>
        <w:tc>
          <w:tcPr>
            <w:tcW w:w="5628" w:type="dxa"/>
            <w:noWrap w:val="0"/>
            <w:vAlign w:val="center"/>
          </w:tcPr>
          <w:p w14:paraId="3F3DA30C">
            <w:pPr>
              <w:ind w:firstLine="480"/>
              <w:rPr>
                <w:rFonts w:hint="eastAsia" w:ascii="宋体" w:hAnsi="宋体"/>
                <w:color w:val="000000"/>
                <w:sz w:val="24"/>
                <w:lang w:val="en-US" w:eastAsia="zh-CN"/>
              </w:rPr>
            </w:pPr>
            <w:r>
              <w:rPr>
                <w:rFonts w:hint="eastAsia" w:ascii="宋体" w:hAnsi="宋体"/>
                <w:color w:val="000000"/>
                <w:sz w:val="24"/>
                <w:lang w:val="en-US" w:eastAsia="zh-CN"/>
              </w:rPr>
              <w:t>评委会根据投标人提供应急预案（包括但不限于：①应急处置程序；②应急保障措施）进行评审：</w:t>
            </w:r>
          </w:p>
          <w:p w14:paraId="7E95DA03">
            <w:pPr>
              <w:ind w:firstLine="480"/>
              <w:rPr>
                <w:rFonts w:hint="eastAsia" w:ascii="宋体" w:hAnsi="宋体"/>
                <w:color w:val="000000"/>
                <w:sz w:val="24"/>
              </w:rPr>
            </w:pPr>
            <w:r>
              <w:rPr>
                <w:rFonts w:hint="eastAsia" w:ascii="宋体" w:hAnsi="宋体"/>
                <w:color w:val="000000"/>
                <w:sz w:val="24"/>
              </w:rPr>
              <w:t>（1）优于项目需求得</w:t>
            </w:r>
            <w:r>
              <w:rPr>
                <w:rFonts w:hint="eastAsia" w:ascii="宋体" w:hAnsi="宋体"/>
                <w:color w:val="000000"/>
                <w:sz w:val="24"/>
                <w:lang w:val="en-US" w:eastAsia="zh-CN"/>
              </w:rPr>
              <w:t>10</w:t>
            </w:r>
            <w:r>
              <w:rPr>
                <w:rFonts w:hint="eastAsia" w:ascii="宋体" w:hAnsi="宋体"/>
                <w:color w:val="000000"/>
                <w:sz w:val="24"/>
              </w:rPr>
              <w:t>分；</w:t>
            </w:r>
          </w:p>
          <w:p w14:paraId="7A457EB4">
            <w:pPr>
              <w:ind w:firstLine="480"/>
              <w:rPr>
                <w:rFonts w:hint="eastAsia" w:ascii="宋体" w:hAnsi="宋体"/>
                <w:color w:val="000000"/>
                <w:sz w:val="24"/>
              </w:rPr>
            </w:pPr>
            <w:r>
              <w:rPr>
                <w:rFonts w:hint="eastAsia" w:ascii="宋体" w:hAnsi="宋体"/>
                <w:color w:val="000000"/>
                <w:sz w:val="24"/>
              </w:rPr>
              <w:t>（2）满足项目需求得</w:t>
            </w:r>
            <w:r>
              <w:rPr>
                <w:rFonts w:hint="eastAsia" w:ascii="宋体" w:hAnsi="宋体"/>
                <w:color w:val="000000"/>
                <w:sz w:val="24"/>
                <w:lang w:val="en-US" w:eastAsia="zh-CN"/>
              </w:rPr>
              <w:t>8</w:t>
            </w:r>
            <w:r>
              <w:rPr>
                <w:rFonts w:hint="eastAsia" w:ascii="宋体" w:hAnsi="宋体"/>
                <w:color w:val="000000"/>
                <w:sz w:val="24"/>
              </w:rPr>
              <w:t>分；</w:t>
            </w:r>
          </w:p>
          <w:p w14:paraId="399620DE">
            <w:pPr>
              <w:ind w:firstLine="480"/>
              <w:rPr>
                <w:rFonts w:ascii="宋体" w:hAnsi="宋体"/>
                <w:color w:val="000000"/>
                <w:sz w:val="24"/>
                <w:lang w:val="en-US" w:eastAsia="zh-CN"/>
              </w:rPr>
            </w:pPr>
            <w:r>
              <w:rPr>
                <w:rFonts w:hint="eastAsia" w:ascii="宋体" w:hAnsi="宋体"/>
                <w:color w:val="000000"/>
                <w:sz w:val="24"/>
              </w:rPr>
              <w:t>（3）</w:t>
            </w:r>
            <w:r>
              <w:rPr>
                <w:rFonts w:hint="eastAsia" w:ascii="宋体" w:hAnsi="宋体"/>
                <w:color w:val="000000"/>
                <w:sz w:val="24"/>
                <w:highlight w:val="none"/>
              </w:rPr>
              <w:t>不满足项目需求或不提供得</w:t>
            </w:r>
            <w:r>
              <w:rPr>
                <w:rFonts w:hint="eastAsia" w:ascii="宋体" w:hAnsi="宋体" w:eastAsia="宋体"/>
                <w:color w:val="000000"/>
                <w:sz w:val="24"/>
                <w:highlight w:val="none"/>
                <w:lang w:val="en-US" w:eastAsia="zh-CN"/>
              </w:rPr>
              <w:t>0</w:t>
            </w:r>
            <w:r>
              <w:rPr>
                <w:rFonts w:hint="eastAsia" w:ascii="宋体" w:hAnsi="宋体"/>
                <w:color w:val="000000"/>
                <w:sz w:val="24"/>
                <w:highlight w:val="none"/>
              </w:rPr>
              <w:t>分</w:t>
            </w:r>
            <w:r>
              <w:rPr>
                <w:rFonts w:hint="eastAsia" w:ascii="宋体" w:hAnsi="宋体"/>
                <w:color w:val="000000"/>
                <w:sz w:val="24"/>
                <w:lang w:val="en-US" w:eastAsia="zh-CN"/>
              </w:rPr>
              <w:t>。</w:t>
            </w:r>
          </w:p>
        </w:tc>
      </w:tr>
    </w:tbl>
    <w:p w14:paraId="588D0609">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i/>
          <w:iCs/>
          <w:color w:val="000000"/>
          <w:sz w:val="24"/>
          <w:szCs w:val="24"/>
          <w:highlight w:val="none"/>
          <w:u w:val="single"/>
          <w:lang w:eastAsia="zh-CN"/>
        </w:rPr>
      </w:pPr>
    </w:p>
    <w:p w14:paraId="4F860D60">
      <w:pPr>
        <w:keepNext w:val="0"/>
        <w:keepLines w:val="0"/>
        <w:pageBreakBefore w:val="0"/>
        <w:widowControl w:val="0"/>
        <w:pBdr>
          <w:top w:val="none" w:color="000000" w:sz="0" w:space="0"/>
          <w:left w:val="none" w:color="000000" w:sz="0" w:space="0"/>
          <w:bottom w:val="none" w:color="000000" w:sz="0" w:space="0"/>
          <w:right w:val="none" w:color="000000" w:sz="0" w:space="0"/>
        </w:pBdr>
        <w:spacing w:line="480" w:lineRule="exact"/>
        <w:ind w:firstLine="480"/>
        <w:rPr>
          <w:rFonts w:hint="eastAsia" w:ascii="宋体" w:hAnsi="宋体" w:eastAsia="宋体" w:cs="宋体"/>
          <w:color w:val="000000"/>
          <w:sz w:val="24"/>
          <w:szCs w:val="24"/>
          <w:highlight w:val="none"/>
        </w:rPr>
      </w:pPr>
    </w:p>
    <w:p w14:paraId="1FB52481">
      <w:pPr>
        <w:pStyle w:val="85"/>
        <w:keepNext w:val="0"/>
        <w:keepLines w:val="0"/>
        <w:pageBreakBefore w:val="0"/>
        <w:widowControl w:val="0"/>
        <w:spacing w:beforeAutospacing="0" w:afterAutospacing="0" w:line="480" w:lineRule="exact"/>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p w14:paraId="0BCC3AAA">
      <w:pPr>
        <w:keepNext w:val="0"/>
        <w:keepLines w:val="0"/>
        <w:pageBreakBefore w:val="0"/>
        <w:widowControl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p>
    <w:p w14:paraId="43BBD8B3">
      <w:pPr>
        <w:pStyle w:val="85"/>
        <w:keepNext/>
        <w:spacing w:beforeAutospacing="0" w:afterAutospacing="0"/>
        <w:jc w:val="center"/>
        <w:rPr>
          <w:color w:val="000000"/>
          <w:highlight w:val="none"/>
        </w:rPr>
      </w:pPr>
      <w:r>
        <w:rPr>
          <w:rFonts w:hint="eastAsia" w:ascii="黑体" w:hAnsi="宋体" w:eastAsia="黑体" w:cs="黑体"/>
          <w:color w:val="000000"/>
          <w:sz w:val="44"/>
          <w:szCs w:val="44"/>
          <w:highlight w:val="none"/>
        </w:rPr>
        <w:t xml:space="preserve">第六章  投标文件格式 </w:t>
      </w:r>
    </w:p>
    <w:p w14:paraId="4ADEABDC">
      <w:pPr>
        <w:pStyle w:val="85"/>
        <w:spacing w:beforeAutospacing="0" w:afterAutospacing="0"/>
        <w:jc w:val="center"/>
        <w:rPr>
          <w:color w:val="000000"/>
          <w:highlight w:val="none"/>
        </w:rPr>
      </w:pPr>
      <w:bookmarkStart w:id="186" w:name="_Hlt26671244"/>
      <w:bookmarkEnd w:id="186"/>
      <w:bookmarkStart w:id="187" w:name="_Hlt26955039"/>
      <w:bookmarkEnd w:id="187"/>
      <w:bookmarkStart w:id="188" w:name="_Toc26554094"/>
      <w:bookmarkEnd w:id="188"/>
      <w:bookmarkStart w:id="189" w:name="_Toc49090576"/>
      <w:bookmarkStart w:id="190" w:name="_Toc120614282"/>
      <w:r>
        <w:rPr>
          <w:rFonts w:hint="eastAsia" w:ascii="宋体" w:hAnsi="宋体" w:eastAsia="宋体" w:cs="宋体"/>
          <w:b/>
          <w:color w:val="000000"/>
          <w:sz w:val="72"/>
          <w:szCs w:val="72"/>
          <w:highlight w:val="none"/>
        </w:rPr>
        <w:t>投  标  文  件</w:t>
      </w:r>
    </w:p>
    <w:p w14:paraId="4FCE7214">
      <w:pPr>
        <w:pStyle w:val="85"/>
        <w:spacing w:beforeAutospacing="0" w:afterAutospacing="0"/>
        <w:jc w:val="center"/>
        <w:rPr>
          <w:color w:val="000000"/>
          <w:highlight w:val="none"/>
        </w:rPr>
      </w:pPr>
      <w:r>
        <w:rPr>
          <w:color w:val="000000"/>
          <w:highlight w:val="none"/>
        </w:rPr>
        <w:t> </w:t>
      </w:r>
    </w:p>
    <w:p w14:paraId="342BF662">
      <w:pPr>
        <w:pStyle w:val="85"/>
        <w:spacing w:beforeAutospacing="0" w:afterAutospacing="0"/>
        <w:jc w:val="center"/>
        <w:rPr>
          <w:color w:val="000000"/>
          <w:highlight w:val="none"/>
        </w:rPr>
      </w:pPr>
      <w:r>
        <w:rPr>
          <w:color w:val="000000"/>
          <w:highlight w:val="none"/>
        </w:rPr>
        <w:t> </w:t>
      </w:r>
    </w:p>
    <w:p w14:paraId="5DE8B729">
      <w:pPr>
        <w:pStyle w:val="85"/>
        <w:spacing w:beforeAutospacing="0" w:afterAutospacing="0"/>
        <w:jc w:val="center"/>
        <w:rPr>
          <w:color w:val="000000"/>
          <w:highlight w:val="none"/>
        </w:rPr>
      </w:pPr>
      <w:r>
        <w:rPr>
          <w:color w:val="000000"/>
          <w:highlight w:val="none"/>
        </w:rPr>
        <w:t> </w:t>
      </w:r>
    </w:p>
    <w:p w14:paraId="6DAC09A2">
      <w:pPr>
        <w:pStyle w:val="85"/>
        <w:spacing w:beforeAutospacing="0" w:afterAutospacing="0"/>
        <w:jc w:val="center"/>
        <w:rPr>
          <w:color w:val="000000"/>
          <w:highlight w:val="none"/>
        </w:rPr>
      </w:pPr>
      <w:r>
        <w:rPr>
          <w:color w:val="000000"/>
          <w:highlight w:val="none"/>
        </w:rPr>
        <w:t> </w:t>
      </w:r>
    </w:p>
    <w:p w14:paraId="401EE2CC">
      <w:pPr>
        <w:pStyle w:val="85"/>
        <w:spacing w:beforeAutospacing="0" w:afterAutospacing="0"/>
        <w:jc w:val="center"/>
        <w:rPr>
          <w:color w:val="000000"/>
          <w:highlight w:val="none"/>
        </w:rPr>
      </w:pPr>
      <w:r>
        <w:rPr>
          <w:color w:val="000000"/>
          <w:highlight w:val="none"/>
        </w:rPr>
        <w:t> </w:t>
      </w:r>
    </w:p>
    <w:p w14:paraId="145281E9">
      <w:pPr>
        <w:pStyle w:val="85"/>
        <w:spacing w:beforeAutospacing="0" w:afterAutospacing="0"/>
        <w:ind w:firstLine="1084"/>
        <w:jc w:val="both"/>
        <w:rPr>
          <w:color w:val="000000"/>
          <w:highlight w:val="none"/>
        </w:rPr>
      </w:pPr>
      <w:r>
        <w:rPr>
          <w:rFonts w:hint="eastAsia" w:ascii="宋体" w:hAnsi="宋体" w:eastAsia="宋体" w:cs="宋体"/>
          <w:b/>
          <w:color w:val="000000"/>
          <w:sz w:val="36"/>
          <w:szCs w:val="36"/>
          <w:highlight w:val="none"/>
        </w:rPr>
        <w:t>项目 名 称：</w:t>
      </w:r>
      <w:r>
        <w:rPr>
          <w:rFonts w:hint="eastAsia" w:ascii="宋体" w:hAnsi="宋体" w:eastAsia="宋体" w:cs="宋体"/>
          <w:b/>
          <w:color w:val="000000"/>
          <w:sz w:val="36"/>
          <w:szCs w:val="36"/>
          <w:highlight w:val="none"/>
          <w:u w:val="single"/>
        </w:rPr>
        <w:t xml:space="preserve">               </w:t>
      </w:r>
    </w:p>
    <w:p w14:paraId="4DF74DE8">
      <w:pPr>
        <w:pStyle w:val="85"/>
        <w:spacing w:beforeAutospacing="0" w:afterAutospacing="0"/>
        <w:ind w:firstLine="1084"/>
        <w:jc w:val="both"/>
        <w:rPr>
          <w:color w:val="000000"/>
          <w:highlight w:val="none"/>
        </w:rPr>
      </w:pPr>
      <w:r>
        <w:rPr>
          <w:rFonts w:hint="eastAsia" w:ascii="宋体" w:hAnsi="宋体" w:eastAsia="宋体" w:cs="宋体"/>
          <w:b/>
          <w:color w:val="000000"/>
          <w:sz w:val="36"/>
          <w:szCs w:val="36"/>
          <w:highlight w:val="none"/>
        </w:rPr>
        <w:t>项目 编 号：</w:t>
      </w:r>
      <w:r>
        <w:rPr>
          <w:rFonts w:hint="eastAsia" w:ascii="宋体" w:hAnsi="宋体" w:eastAsia="宋体" w:cs="宋体"/>
          <w:b/>
          <w:color w:val="000000"/>
          <w:sz w:val="36"/>
          <w:szCs w:val="36"/>
          <w:highlight w:val="none"/>
          <w:u w:val="single"/>
        </w:rPr>
        <w:t xml:space="preserve">               </w:t>
      </w:r>
    </w:p>
    <w:p w14:paraId="3F1B6867">
      <w:pPr>
        <w:pStyle w:val="85"/>
        <w:spacing w:beforeAutospacing="0" w:afterAutospacing="0"/>
        <w:jc w:val="both"/>
        <w:rPr>
          <w:color w:val="000000"/>
          <w:highlight w:val="none"/>
        </w:rPr>
      </w:pPr>
      <w:r>
        <w:rPr>
          <w:rFonts w:hint="eastAsia" w:ascii="宋体" w:hAnsi="宋体" w:eastAsia="宋体" w:cs="宋体"/>
          <w:b/>
          <w:color w:val="000000"/>
          <w:sz w:val="36"/>
          <w:szCs w:val="36"/>
          <w:highlight w:val="none"/>
        </w:rPr>
        <w:t>   投标人名称 ：</w:t>
      </w:r>
      <w:r>
        <w:rPr>
          <w:rFonts w:hint="eastAsia" w:ascii="宋体" w:hAnsi="宋体" w:eastAsia="宋体" w:cs="宋体"/>
          <w:b/>
          <w:color w:val="000000"/>
          <w:sz w:val="36"/>
          <w:szCs w:val="36"/>
          <w:highlight w:val="none"/>
          <w:u w:val="single"/>
        </w:rPr>
        <w:t xml:space="preserve">（加盖CA电子公章）        </w:t>
      </w:r>
    </w:p>
    <w:p w14:paraId="5843D01E">
      <w:pPr>
        <w:pStyle w:val="85"/>
        <w:spacing w:beforeAutospacing="0" w:afterAutospacing="0"/>
        <w:jc w:val="both"/>
        <w:rPr>
          <w:color w:val="000000"/>
          <w:highlight w:val="none"/>
        </w:rPr>
      </w:pPr>
      <w:r>
        <w:rPr>
          <w:rFonts w:hint="eastAsia" w:ascii="宋体" w:hAnsi="宋体" w:eastAsia="宋体" w:cs="宋体"/>
          <w:b/>
          <w:color w:val="000000"/>
          <w:sz w:val="36"/>
          <w:szCs w:val="36"/>
          <w:highlight w:val="none"/>
        </w:rPr>
        <w:t>   日   期 ：</w:t>
      </w:r>
      <w:r>
        <w:rPr>
          <w:rFonts w:hint="eastAsia" w:ascii="宋体" w:hAnsi="宋体" w:eastAsia="宋体" w:cs="宋体"/>
          <w:b/>
          <w:color w:val="000000"/>
          <w:sz w:val="36"/>
          <w:szCs w:val="36"/>
          <w:highlight w:val="none"/>
          <w:u w:val="single"/>
        </w:rPr>
        <w:t>                     </w:t>
      </w:r>
    </w:p>
    <w:p w14:paraId="6670EDD0">
      <w:pPr>
        <w:pStyle w:val="85"/>
        <w:spacing w:beforeAutospacing="0" w:afterAutospacing="0" w:line="0" w:lineRule="atLeast"/>
        <w:jc w:val="center"/>
        <w:rPr>
          <w:color w:val="000000"/>
          <w:highlight w:val="none"/>
        </w:rPr>
      </w:pPr>
      <w:r>
        <w:rPr>
          <w:color w:val="000000"/>
          <w:highlight w:val="none"/>
        </w:rPr>
        <w:t> </w:t>
      </w:r>
    </w:p>
    <w:p w14:paraId="27C6610C">
      <w:pPr>
        <w:pStyle w:val="85"/>
        <w:spacing w:beforeAutospacing="0" w:afterAutospacing="0" w:line="0" w:lineRule="atLeast"/>
        <w:jc w:val="both"/>
        <w:rPr>
          <w:color w:val="000000"/>
          <w:highlight w:val="none"/>
        </w:rPr>
      </w:pPr>
      <w:r>
        <w:rPr>
          <w:color w:val="000000"/>
          <w:highlight w:val="none"/>
        </w:rPr>
        <w:t> </w:t>
      </w:r>
    </w:p>
    <w:p w14:paraId="1313A948">
      <w:pPr>
        <w:pStyle w:val="85"/>
        <w:spacing w:beforeAutospacing="0" w:afterAutospacing="0" w:line="0" w:lineRule="atLeast"/>
        <w:jc w:val="center"/>
        <w:rPr>
          <w:rFonts w:ascii="宋体" w:hAnsi="宋体" w:eastAsia="宋体" w:cs="宋体"/>
          <w:b/>
          <w:color w:val="000000"/>
          <w:sz w:val="36"/>
          <w:szCs w:val="36"/>
          <w:highlight w:val="none"/>
          <w:u w:val="single"/>
        </w:rPr>
      </w:pPr>
    </w:p>
    <w:p w14:paraId="4C9E0D24">
      <w:pPr>
        <w:pStyle w:val="85"/>
        <w:spacing w:beforeAutospacing="0" w:afterAutospacing="0" w:line="0" w:lineRule="atLeast"/>
        <w:jc w:val="center"/>
        <w:rPr>
          <w:rFonts w:ascii="宋体" w:hAnsi="宋体" w:eastAsia="宋体" w:cs="宋体"/>
          <w:b/>
          <w:color w:val="000000"/>
          <w:sz w:val="36"/>
          <w:szCs w:val="36"/>
          <w:highlight w:val="none"/>
          <w:u w:val="single"/>
        </w:rPr>
      </w:pPr>
    </w:p>
    <w:p w14:paraId="4623E703">
      <w:pPr>
        <w:pStyle w:val="85"/>
        <w:spacing w:beforeAutospacing="0" w:afterAutospacing="0" w:line="0" w:lineRule="atLeast"/>
        <w:jc w:val="center"/>
        <w:rPr>
          <w:rFonts w:ascii="宋体" w:hAnsi="宋体" w:eastAsia="宋体" w:cs="宋体"/>
          <w:b/>
          <w:color w:val="000000"/>
          <w:sz w:val="36"/>
          <w:szCs w:val="36"/>
          <w:highlight w:val="none"/>
          <w:u w:val="single"/>
        </w:rPr>
      </w:pPr>
    </w:p>
    <w:p w14:paraId="6AC943C4">
      <w:pPr>
        <w:pStyle w:val="85"/>
        <w:spacing w:beforeAutospacing="0" w:afterAutospacing="0" w:line="0" w:lineRule="atLeast"/>
        <w:jc w:val="center"/>
        <w:rPr>
          <w:rFonts w:ascii="宋体" w:hAnsi="宋体" w:eastAsia="宋体" w:cs="宋体"/>
          <w:b/>
          <w:color w:val="000000"/>
          <w:sz w:val="36"/>
          <w:szCs w:val="36"/>
          <w:highlight w:val="none"/>
          <w:u w:val="single"/>
        </w:rPr>
      </w:pPr>
    </w:p>
    <w:p w14:paraId="501B83A6">
      <w:pPr>
        <w:pStyle w:val="85"/>
        <w:spacing w:beforeAutospacing="0" w:afterAutospacing="0" w:line="0" w:lineRule="atLeast"/>
        <w:jc w:val="center"/>
        <w:rPr>
          <w:rFonts w:ascii="宋体" w:hAnsi="宋体" w:eastAsia="宋体" w:cs="宋体"/>
          <w:b/>
          <w:color w:val="000000"/>
          <w:sz w:val="36"/>
          <w:szCs w:val="36"/>
          <w:highlight w:val="none"/>
          <w:u w:val="single"/>
        </w:rPr>
      </w:pPr>
    </w:p>
    <w:p w14:paraId="53B9A5D6">
      <w:pPr>
        <w:pStyle w:val="85"/>
        <w:spacing w:beforeAutospacing="0" w:afterAutospacing="0" w:line="0" w:lineRule="atLeast"/>
        <w:jc w:val="center"/>
        <w:rPr>
          <w:rFonts w:ascii="宋体" w:hAnsi="宋体" w:eastAsia="宋体" w:cs="宋体"/>
          <w:b/>
          <w:color w:val="000000"/>
          <w:sz w:val="36"/>
          <w:szCs w:val="36"/>
          <w:highlight w:val="none"/>
          <w:u w:val="single"/>
        </w:rPr>
      </w:pPr>
    </w:p>
    <w:p w14:paraId="6DAB398A">
      <w:pPr>
        <w:pStyle w:val="85"/>
        <w:spacing w:beforeAutospacing="0" w:afterAutospacing="0" w:line="0" w:lineRule="atLeast"/>
        <w:jc w:val="center"/>
        <w:rPr>
          <w:rFonts w:ascii="宋体" w:hAnsi="宋体" w:eastAsia="宋体" w:cs="宋体"/>
          <w:b/>
          <w:color w:val="000000"/>
          <w:sz w:val="36"/>
          <w:szCs w:val="36"/>
          <w:highlight w:val="none"/>
          <w:u w:val="single"/>
        </w:rPr>
      </w:pPr>
    </w:p>
    <w:p w14:paraId="1B0F960F">
      <w:pPr>
        <w:pStyle w:val="85"/>
        <w:spacing w:beforeAutospacing="0" w:afterAutospacing="0" w:line="0" w:lineRule="atLeast"/>
        <w:jc w:val="center"/>
        <w:rPr>
          <w:rFonts w:ascii="宋体" w:hAnsi="宋体" w:eastAsia="宋体" w:cs="宋体"/>
          <w:b/>
          <w:color w:val="000000"/>
          <w:sz w:val="36"/>
          <w:szCs w:val="36"/>
          <w:highlight w:val="none"/>
          <w:u w:val="single"/>
        </w:rPr>
      </w:pPr>
    </w:p>
    <w:p w14:paraId="61C16BE3">
      <w:pPr>
        <w:pStyle w:val="85"/>
        <w:spacing w:beforeAutospacing="0" w:afterAutospacing="0" w:line="0" w:lineRule="atLeast"/>
        <w:jc w:val="center"/>
        <w:rPr>
          <w:rFonts w:ascii="宋体" w:hAnsi="宋体" w:eastAsia="宋体" w:cs="宋体"/>
          <w:b/>
          <w:color w:val="000000"/>
          <w:sz w:val="36"/>
          <w:szCs w:val="36"/>
          <w:highlight w:val="none"/>
          <w:u w:val="single"/>
        </w:rPr>
      </w:pPr>
    </w:p>
    <w:p w14:paraId="48763059">
      <w:pPr>
        <w:pStyle w:val="85"/>
        <w:spacing w:beforeAutospacing="0" w:afterAutospacing="0" w:line="0" w:lineRule="atLeast"/>
        <w:jc w:val="center"/>
        <w:rPr>
          <w:rFonts w:ascii="宋体" w:hAnsi="宋体" w:eastAsia="宋体" w:cs="宋体"/>
          <w:b/>
          <w:color w:val="000000"/>
          <w:sz w:val="36"/>
          <w:szCs w:val="36"/>
          <w:highlight w:val="none"/>
          <w:u w:val="single"/>
        </w:rPr>
      </w:pPr>
    </w:p>
    <w:p w14:paraId="421B82F7">
      <w:pPr>
        <w:pStyle w:val="85"/>
        <w:spacing w:beforeAutospacing="0" w:afterAutospacing="0" w:line="0" w:lineRule="atLeast"/>
        <w:jc w:val="center"/>
        <w:rPr>
          <w:rFonts w:ascii="宋体" w:hAnsi="宋体" w:eastAsia="宋体" w:cs="宋体"/>
          <w:b/>
          <w:color w:val="000000"/>
          <w:sz w:val="36"/>
          <w:szCs w:val="36"/>
          <w:highlight w:val="none"/>
          <w:u w:val="single"/>
        </w:rPr>
      </w:pPr>
    </w:p>
    <w:p w14:paraId="55B7BC06">
      <w:pPr>
        <w:pStyle w:val="85"/>
        <w:spacing w:beforeAutospacing="0" w:afterAutospacing="0" w:line="0" w:lineRule="atLeast"/>
        <w:jc w:val="center"/>
        <w:rPr>
          <w:rFonts w:ascii="宋体" w:hAnsi="宋体" w:eastAsia="宋体" w:cs="宋体"/>
          <w:b/>
          <w:color w:val="000000"/>
          <w:sz w:val="36"/>
          <w:szCs w:val="36"/>
          <w:highlight w:val="none"/>
          <w:u w:val="single"/>
        </w:rPr>
      </w:pPr>
    </w:p>
    <w:p w14:paraId="5C9B6C56">
      <w:pPr>
        <w:pStyle w:val="85"/>
        <w:spacing w:beforeAutospacing="0" w:afterAutospacing="0" w:line="0" w:lineRule="atLeast"/>
        <w:jc w:val="center"/>
        <w:rPr>
          <w:rFonts w:ascii="宋体" w:hAnsi="宋体" w:eastAsia="宋体" w:cs="宋体"/>
          <w:b/>
          <w:color w:val="000000"/>
          <w:sz w:val="36"/>
          <w:szCs w:val="36"/>
          <w:highlight w:val="none"/>
          <w:u w:val="single"/>
        </w:rPr>
      </w:pPr>
    </w:p>
    <w:p w14:paraId="5EEC124F">
      <w:pPr>
        <w:pStyle w:val="85"/>
        <w:spacing w:beforeAutospacing="0" w:afterAutospacing="0" w:line="0" w:lineRule="atLeast"/>
        <w:jc w:val="center"/>
        <w:rPr>
          <w:rFonts w:ascii="宋体" w:hAnsi="宋体" w:eastAsia="宋体" w:cs="宋体"/>
          <w:b/>
          <w:color w:val="000000"/>
          <w:sz w:val="36"/>
          <w:szCs w:val="36"/>
          <w:highlight w:val="none"/>
          <w:u w:val="single"/>
        </w:rPr>
      </w:pPr>
    </w:p>
    <w:p w14:paraId="14C4B949">
      <w:pPr>
        <w:pStyle w:val="85"/>
        <w:spacing w:beforeAutospacing="0" w:afterAutospacing="0" w:line="0" w:lineRule="atLeast"/>
        <w:jc w:val="center"/>
        <w:rPr>
          <w:rFonts w:ascii="宋体" w:hAnsi="宋体" w:eastAsia="宋体" w:cs="宋体"/>
          <w:b/>
          <w:color w:val="000000"/>
          <w:sz w:val="36"/>
          <w:szCs w:val="36"/>
          <w:highlight w:val="none"/>
          <w:u w:val="single"/>
        </w:rPr>
      </w:pPr>
    </w:p>
    <w:p w14:paraId="218CBBDA">
      <w:pPr>
        <w:pStyle w:val="85"/>
        <w:spacing w:beforeAutospacing="0" w:afterAutospacing="0" w:line="0" w:lineRule="atLeast"/>
        <w:jc w:val="center"/>
        <w:rPr>
          <w:rFonts w:ascii="宋体" w:hAnsi="宋体" w:eastAsia="宋体" w:cs="宋体"/>
          <w:b/>
          <w:color w:val="000000"/>
          <w:sz w:val="36"/>
          <w:szCs w:val="36"/>
          <w:highlight w:val="none"/>
          <w:u w:val="single"/>
        </w:rPr>
      </w:pPr>
    </w:p>
    <w:p w14:paraId="243131CE">
      <w:pPr>
        <w:pStyle w:val="85"/>
        <w:spacing w:beforeAutospacing="0" w:afterAutospacing="0" w:line="0" w:lineRule="atLeast"/>
        <w:jc w:val="center"/>
        <w:rPr>
          <w:rFonts w:ascii="宋体" w:hAnsi="宋体" w:eastAsia="宋体" w:cs="宋体"/>
          <w:b/>
          <w:color w:val="000000"/>
          <w:sz w:val="36"/>
          <w:szCs w:val="36"/>
          <w:highlight w:val="none"/>
          <w:u w:val="single"/>
        </w:rPr>
      </w:pPr>
    </w:p>
    <w:p w14:paraId="6E32B393">
      <w:pPr>
        <w:pStyle w:val="85"/>
        <w:spacing w:beforeAutospacing="0" w:afterAutospacing="0" w:line="0" w:lineRule="atLeast"/>
        <w:jc w:val="center"/>
        <w:rPr>
          <w:rFonts w:ascii="宋体" w:hAnsi="宋体" w:eastAsia="宋体" w:cs="宋体"/>
          <w:b/>
          <w:color w:val="000000"/>
          <w:sz w:val="36"/>
          <w:szCs w:val="36"/>
          <w:highlight w:val="none"/>
          <w:u w:val="single"/>
        </w:rPr>
      </w:pPr>
    </w:p>
    <w:p w14:paraId="4BE82E82">
      <w:pPr>
        <w:pStyle w:val="85"/>
        <w:spacing w:beforeAutospacing="0" w:afterAutospacing="0" w:line="0" w:lineRule="atLeast"/>
        <w:jc w:val="center"/>
        <w:rPr>
          <w:rFonts w:ascii="宋体" w:hAnsi="宋体" w:eastAsia="宋体" w:cs="宋体"/>
          <w:b/>
          <w:color w:val="000000"/>
          <w:sz w:val="36"/>
          <w:szCs w:val="36"/>
          <w:highlight w:val="none"/>
          <w:u w:val="single"/>
        </w:rPr>
      </w:pPr>
    </w:p>
    <w:p w14:paraId="6BD6D21D">
      <w:pPr>
        <w:pStyle w:val="85"/>
        <w:spacing w:beforeAutospacing="0" w:afterAutospacing="0" w:line="0" w:lineRule="atLeast"/>
        <w:jc w:val="center"/>
        <w:rPr>
          <w:rFonts w:hint="eastAsia" w:ascii="宋体" w:hAnsi="宋体" w:eastAsia="宋体" w:cs="宋体"/>
          <w:b/>
          <w:color w:val="000000"/>
          <w:sz w:val="32"/>
          <w:szCs w:val="32"/>
          <w:highlight w:val="none"/>
        </w:rPr>
      </w:pPr>
    </w:p>
    <w:p w14:paraId="2C662057">
      <w:pPr>
        <w:pStyle w:val="85"/>
        <w:spacing w:beforeAutospacing="0" w:afterAutospacing="0" w:line="0" w:lineRule="atLeast"/>
        <w:jc w:val="center"/>
        <w:rPr>
          <w:color w:val="000000"/>
          <w:highlight w:val="none"/>
        </w:rPr>
      </w:pPr>
      <w:r>
        <w:rPr>
          <w:rFonts w:hint="eastAsia" w:ascii="宋体" w:hAnsi="宋体" w:eastAsia="宋体" w:cs="宋体"/>
          <w:b/>
          <w:color w:val="000000"/>
          <w:sz w:val="32"/>
          <w:szCs w:val="32"/>
          <w:highlight w:val="none"/>
        </w:rPr>
        <w:t>投标文件目录</w:t>
      </w:r>
    </w:p>
    <w:p w14:paraId="5A2FB3CB">
      <w:pPr>
        <w:pStyle w:val="85"/>
        <w:spacing w:beforeAutospacing="0" w:afterAutospacing="0" w:line="0" w:lineRule="atLeast"/>
        <w:jc w:val="center"/>
        <w:rPr>
          <w:color w:val="000000"/>
          <w:highlight w:val="none"/>
        </w:rPr>
      </w:pPr>
      <w:r>
        <w:rPr>
          <w:color w:val="000000"/>
          <w:highlight w:val="none"/>
        </w:rPr>
        <w:t> </w:t>
      </w:r>
    </w:p>
    <w:p w14:paraId="185560AF">
      <w:pPr>
        <w:pStyle w:val="85"/>
        <w:spacing w:beforeAutospacing="0" w:afterAutospacing="0" w:line="360" w:lineRule="auto"/>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一、法人或者其他组织的营业执照等证明文件，自然人的身份证明</w:t>
      </w:r>
    </w:p>
    <w:p w14:paraId="7CC1050D">
      <w:pPr>
        <w:tabs>
          <w:tab w:val="left" w:pos="1331"/>
        </w:tabs>
        <w:spacing w:line="360" w:lineRule="auto"/>
        <w:ind w:firstLine="480"/>
        <w:jc w:val="left"/>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二、上一年度的财务状况报告（至少提供资产负债表、利润表、现金流量表，投标人成立不满一年无需提供）</w:t>
      </w:r>
    </w:p>
    <w:p w14:paraId="312402A2">
      <w:pPr>
        <w:pStyle w:val="85"/>
        <w:spacing w:beforeAutospacing="0" w:afterAutospacing="0" w:line="360" w:lineRule="auto"/>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、具备履行合同所必需的设备和专业技术能力的书面声明</w:t>
      </w:r>
    </w:p>
    <w:p w14:paraId="39E109A1">
      <w:pPr>
        <w:pStyle w:val="85"/>
        <w:spacing w:beforeAutospacing="0" w:afterAutospacing="0" w:line="360" w:lineRule="auto"/>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72534C0C">
      <w:pPr>
        <w:pStyle w:val="85"/>
        <w:spacing w:beforeAutospacing="0" w:afterAutospacing="0" w:line="360" w:lineRule="auto"/>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五、参加政府采购活动前 3 年内在经营活动中没有重大违法记录的书面声明</w:t>
      </w:r>
    </w:p>
    <w:p w14:paraId="3B60E649">
      <w:pPr>
        <w:pStyle w:val="85"/>
        <w:spacing w:beforeAutospacing="0" w:afterAutospacing="0" w:line="360" w:lineRule="auto"/>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六、特定资格要求的证明文件（如果本项目设置特定资格要求，则需要提供）</w:t>
      </w:r>
    </w:p>
    <w:p w14:paraId="20EF9547">
      <w:pPr>
        <w:pStyle w:val="85"/>
        <w:spacing w:beforeAutospacing="0" w:afterAutospacing="0" w:line="360" w:lineRule="auto"/>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七、法人授权书</w:t>
      </w:r>
    </w:p>
    <w:p w14:paraId="4FD2DB68">
      <w:pPr>
        <w:pStyle w:val="85"/>
        <w:spacing w:beforeAutospacing="0" w:afterAutospacing="0" w:line="360" w:lineRule="auto"/>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八、投标函</w:t>
      </w:r>
    </w:p>
    <w:p w14:paraId="7E15CF31">
      <w:pPr>
        <w:pStyle w:val="85"/>
        <w:spacing w:beforeAutospacing="0" w:afterAutospacing="0" w:line="360" w:lineRule="auto"/>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九、</w:t>
      </w:r>
      <w:r>
        <w:rPr>
          <w:rFonts w:hint="eastAsia" w:ascii="宋体" w:hAnsi="宋体" w:eastAsia="宋体" w:cs="宋体"/>
          <w:i w:val="0"/>
          <w:iCs/>
          <w:color w:val="000000"/>
          <w:highlight w:val="none"/>
          <w:u w:val="none"/>
          <w:lang w:val="en-US" w:eastAsia="zh-CN"/>
        </w:rPr>
        <w:t>中小</w:t>
      </w:r>
      <w:r>
        <w:rPr>
          <w:rFonts w:hint="eastAsia" w:ascii="宋体" w:hAnsi="宋体" w:eastAsia="宋体" w:cs="宋体"/>
          <w:i w:val="0"/>
          <w:iCs/>
          <w:color w:val="000000"/>
          <w:highlight w:val="none"/>
          <w:u w:val="none"/>
        </w:rPr>
        <w:t>企业声明函</w:t>
      </w:r>
    </w:p>
    <w:p w14:paraId="312D05FF">
      <w:pPr>
        <w:pStyle w:val="85"/>
        <w:spacing w:beforeAutospacing="0" w:afterAutospacing="0" w:line="360" w:lineRule="auto"/>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十、残疾人福利性单位声明函</w:t>
      </w:r>
    </w:p>
    <w:p w14:paraId="61F5BEC1">
      <w:pPr>
        <w:pStyle w:val="85"/>
        <w:spacing w:beforeAutospacing="0" w:afterAutospacing="0" w:line="360" w:lineRule="auto"/>
        <w:ind w:firstLine="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一</w:t>
      </w:r>
      <w:r>
        <w:rPr>
          <w:rFonts w:hint="eastAsia" w:ascii="宋体" w:hAnsi="宋体" w:eastAsia="宋体" w:cs="宋体"/>
          <w:i w:val="0"/>
          <w:iCs/>
          <w:color w:val="000000"/>
          <w:highlight w:val="none"/>
          <w:u w:val="none"/>
        </w:rPr>
        <w:t>、联合体协议</w:t>
      </w:r>
    </w:p>
    <w:p w14:paraId="44797012">
      <w:pPr>
        <w:pStyle w:val="85"/>
        <w:spacing w:beforeAutospacing="0" w:afterAutospacing="0" w:line="360" w:lineRule="auto"/>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二</w:t>
      </w:r>
      <w:r>
        <w:rPr>
          <w:rFonts w:hint="eastAsia" w:ascii="宋体" w:hAnsi="宋体" w:eastAsia="宋体" w:cs="宋体"/>
          <w:i w:val="0"/>
          <w:iCs/>
          <w:color w:val="000000"/>
          <w:highlight w:val="none"/>
          <w:u w:val="none"/>
        </w:rPr>
        <w:t>、投标分项报价表</w:t>
      </w:r>
    </w:p>
    <w:p w14:paraId="04FFB2A1">
      <w:pPr>
        <w:pStyle w:val="85"/>
        <w:spacing w:beforeAutospacing="0" w:afterAutospacing="0" w:line="360" w:lineRule="auto"/>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、技术要求响应及偏离表</w:t>
      </w:r>
    </w:p>
    <w:p w14:paraId="7F675602">
      <w:pPr>
        <w:pStyle w:val="85"/>
        <w:spacing w:beforeAutospacing="0" w:afterAutospacing="0" w:line="360" w:lineRule="auto"/>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、商务要求响应及偏离表</w:t>
      </w:r>
    </w:p>
    <w:p w14:paraId="62BFAF32">
      <w:pPr>
        <w:pStyle w:val="85"/>
        <w:spacing w:beforeAutospacing="0" w:afterAutospacing="0" w:line="360" w:lineRule="auto"/>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五</w:t>
      </w:r>
      <w:r>
        <w:rPr>
          <w:rFonts w:hint="eastAsia" w:ascii="宋体" w:hAnsi="宋体" w:eastAsia="宋体" w:cs="宋体"/>
          <w:i w:val="0"/>
          <w:iCs/>
          <w:color w:val="000000"/>
          <w:highlight w:val="none"/>
          <w:u w:val="none"/>
        </w:rPr>
        <w:t>、开标一览表</w:t>
      </w:r>
    </w:p>
    <w:p w14:paraId="000EEE89">
      <w:pPr>
        <w:widowControl/>
        <w:spacing w:before="50" w:after="50" w:line="360" w:lineRule="auto"/>
        <w:ind w:firstLine="480"/>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十</w:t>
      </w:r>
      <w:r>
        <w:rPr>
          <w:rFonts w:hint="eastAsia" w:ascii="宋体" w:hAnsi="宋体" w:eastAsia="宋体" w:cs="宋体"/>
          <w:i w:val="0"/>
          <w:iCs/>
          <w:color w:val="000000"/>
          <w:sz w:val="24"/>
          <w:highlight w:val="none"/>
          <w:u w:val="none"/>
          <w:lang w:val="en-US" w:eastAsia="zh-CN"/>
        </w:rPr>
        <w:t>六</w:t>
      </w:r>
      <w:r>
        <w:rPr>
          <w:rFonts w:hint="eastAsia" w:ascii="宋体" w:hAnsi="宋体" w:eastAsia="宋体" w:cs="宋体"/>
          <w:i w:val="0"/>
          <w:iCs/>
          <w:color w:val="000000"/>
          <w:sz w:val="24"/>
          <w:highlight w:val="none"/>
          <w:u w:val="none"/>
        </w:rPr>
        <w:t>、技术方案、服务承诺、培训承诺等</w:t>
      </w:r>
    </w:p>
    <w:p w14:paraId="78BEBB05">
      <w:pPr>
        <w:pStyle w:val="85"/>
        <w:spacing w:beforeAutospacing="0" w:afterAutospacing="0" w:line="360" w:lineRule="auto"/>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七</w:t>
      </w:r>
      <w:r>
        <w:rPr>
          <w:rFonts w:hint="eastAsia" w:ascii="宋体" w:hAnsi="宋体" w:eastAsia="宋体" w:cs="宋体"/>
          <w:i w:val="0"/>
          <w:iCs/>
          <w:color w:val="000000"/>
          <w:highlight w:val="none"/>
          <w:u w:val="none"/>
        </w:rPr>
        <w:t>、盐城市政府采购事前信用承诺书</w:t>
      </w:r>
    </w:p>
    <w:p w14:paraId="2FEB3D13">
      <w:pPr>
        <w:pStyle w:val="85"/>
        <w:spacing w:beforeAutospacing="0" w:afterAutospacing="0" w:line="0" w:lineRule="atLeast"/>
        <w:ind w:firstLine="480"/>
        <w:jc w:val="both"/>
        <w:rPr>
          <w:rFonts w:ascii="宋体" w:hAnsi="宋体" w:eastAsia="宋体" w:cs="宋体"/>
          <w:color w:val="000000"/>
          <w:highlight w:val="none"/>
        </w:rPr>
      </w:pPr>
    </w:p>
    <w:p w14:paraId="10EEBB82">
      <w:pPr>
        <w:pStyle w:val="85"/>
        <w:spacing w:beforeAutospacing="0" w:afterAutospacing="0" w:line="0" w:lineRule="atLeast"/>
        <w:ind w:firstLine="480"/>
        <w:jc w:val="both"/>
        <w:rPr>
          <w:rFonts w:ascii="宋体" w:hAnsi="宋体" w:eastAsia="宋体" w:cs="宋体"/>
          <w:color w:val="000000"/>
          <w:highlight w:val="none"/>
        </w:rPr>
      </w:pPr>
    </w:p>
    <w:p w14:paraId="59039A09">
      <w:pPr>
        <w:pStyle w:val="85"/>
        <w:spacing w:beforeAutospacing="0" w:afterAutospacing="0" w:line="0" w:lineRule="atLeast"/>
        <w:ind w:firstLine="480"/>
        <w:jc w:val="both"/>
        <w:rPr>
          <w:color w:val="000000"/>
          <w:highlight w:val="none"/>
        </w:rPr>
      </w:pPr>
      <w:r>
        <w:rPr>
          <w:color w:val="000000"/>
          <w:highlight w:val="none"/>
        </w:rPr>
        <w:t> </w:t>
      </w:r>
    </w:p>
    <w:p w14:paraId="7EE02196">
      <w:pPr>
        <w:rPr>
          <w:color w:val="000000"/>
          <w:highlight w:val="none"/>
        </w:rPr>
      </w:pPr>
      <w:r>
        <w:rPr>
          <w:color w:val="000000"/>
          <w:highlight w:val="none"/>
        </w:rPr>
        <w:br w:type="page" w:clear="all"/>
      </w:r>
    </w:p>
    <w:p w14:paraId="0F4E622A">
      <w:pPr>
        <w:pStyle w:val="85"/>
        <w:spacing w:beforeAutospacing="0" w:afterAutospacing="0" w:line="0" w:lineRule="atLeast"/>
        <w:ind w:firstLine="480"/>
        <w:jc w:val="both"/>
        <w:rPr>
          <w:color w:val="000000"/>
          <w:highlight w:val="none"/>
        </w:rPr>
      </w:pPr>
    </w:p>
    <w:p w14:paraId="6E82A286">
      <w:pPr>
        <w:pStyle w:val="85"/>
        <w:spacing w:beforeAutospacing="0" w:afterAutospacing="0" w:line="0" w:lineRule="atLeast"/>
        <w:ind w:firstLine="480"/>
        <w:jc w:val="both"/>
        <w:rPr>
          <w:color w:val="000000"/>
          <w:highlight w:val="none"/>
        </w:rPr>
      </w:pPr>
      <w:r>
        <w:rPr>
          <w:color w:val="000000"/>
          <w:highlight w:val="none"/>
        </w:rPr>
        <w:t> </w:t>
      </w:r>
    </w:p>
    <w:p w14:paraId="445FCF6F">
      <w:pPr>
        <w:pStyle w:val="85"/>
        <w:spacing w:beforeAutospacing="0" w:afterAutospacing="0" w:line="0" w:lineRule="atLeast"/>
        <w:ind w:firstLine="480"/>
        <w:jc w:val="both"/>
        <w:rPr>
          <w:color w:val="000000"/>
          <w:highlight w:val="none"/>
        </w:rPr>
      </w:pPr>
      <w:r>
        <w:rPr>
          <w:color w:val="000000"/>
          <w:highlight w:val="none"/>
        </w:rPr>
        <w:t> </w:t>
      </w:r>
    </w:p>
    <w:p w14:paraId="2DAC03FE">
      <w:pPr>
        <w:pStyle w:val="85"/>
        <w:spacing w:beforeAutospacing="0" w:afterAutospacing="0"/>
        <w:jc w:val="both"/>
        <w:rPr>
          <w:color w:val="000000"/>
          <w:highlight w:val="none"/>
        </w:rPr>
      </w:pPr>
      <w:r>
        <w:rPr>
          <w:rFonts w:hint="eastAsia" w:ascii="黑体" w:hAnsi="宋体" w:eastAsia="黑体" w:cs="黑体"/>
          <w:i/>
          <w:color w:val="000000"/>
          <w:sz w:val="32"/>
          <w:szCs w:val="32"/>
          <w:highlight w:val="none"/>
          <w:u w:val="single"/>
        </w:rPr>
        <w:t>一、法人或者其他组织的营业执照等证明文件，自然人的身份证明</w:t>
      </w:r>
    </w:p>
    <w:p w14:paraId="14D70880">
      <w:pPr>
        <w:pStyle w:val="85"/>
        <w:spacing w:beforeAutospacing="0" w:afterAutospacing="0" w:line="0" w:lineRule="atLeast"/>
        <w:ind w:firstLine="480"/>
        <w:jc w:val="both"/>
        <w:rPr>
          <w:color w:val="000000"/>
          <w:highlight w:val="none"/>
        </w:rPr>
      </w:pPr>
      <w:r>
        <w:rPr>
          <w:color w:val="000000"/>
          <w:highlight w:val="none"/>
        </w:rPr>
        <w:t> </w:t>
      </w:r>
    </w:p>
    <w:p w14:paraId="2C936778">
      <w:pPr>
        <w:pStyle w:val="85"/>
        <w:spacing w:beforeAutospacing="0" w:afterAutospacing="0" w:line="360" w:lineRule="auto"/>
        <w:jc w:val="both"/>
        <w:rPr>
          <w:rFonts w:hint="eastAsia" w:eastAsia="黑体"/>
          <w:color w:val="000000"/>
          <w:highlight w:val="none"/>
          <w:lang w:val="en-US" w:eastAsia="zh-CN"/>
        </w:rPr>
      </w:pPr>
      <w:r>
        <w:rPr>
          <w:rFonts w:hint="eastAsia" w:ascii="黑体" w:hAnsi="宋体" w:eastAsia="黑体" w:cs="黑体"/>
          <w:i/>
          <w:color w:val="000000"/>
          <w:sz w:val="32"/>
          <w:szCs w:val="32"/>
          <w:highlight w:val="none"/>
          <w:u w:val="single"/>
        </w:rPr>
        <w:t>二、上一年度的财务状况报</w:t>
      </w:r>
      <w:r>
        <w:rPr>
          <w:rFonts w:hint="eastAsia" w:ascii="黑体" w:hAnsi="宋体" w:eastAsia="黑体" w:cs="黑体"/>
          <w:i/>
          <w:color w:val="000000"/>
          <w:sz w:val="32"/>
          <w:szCs w:val="32"/>
          <w:highlight w:val="none"/>
          <w:u w:val="single"/>
          <w:lang w:val="en-US" w:eastAsia="zh-CN"/>
        </w:rPr>
        <w:t>告</w:t>
      </w:r>
    </w:p>
    <w:p w14:paraId="59F54E60">
      <w:pPr>
        <w:tabs>
          <w:tab w:val="left" w:pos="1331"/>
        </w:tabs>
        <w:spacing w:line="360" w:lineRule="auto"/>
        <w:ind w:firstLine="480"/>
        <w:jc w:val="left"/>
        <w:rPr>
          <w:rFonts w:ascii="宋体" w:hAnsi="宋体" w:eastAsia="宋体" w:cs="宋体"/>
          <w:i w:val="0"/>
          <w:iCs/>
          <w:color w:val="000000"/>
          <w:highlight w:val="none"/>
          <w:u w:val="none"/>
        </w:rPr>
      </w:pPr>
      <w:r>
        <w:rPr>
          <w:rFonts w:hint="eastAsia" w:ascii="宋体" w:hAnsi="宋体" w:eastAsia="宋体" w:cs="宋体"/>
          <w:i w:val="0"/>
          <w:iCs/>
          <w:color w:val="000000"/>
          <w:sz w:val="24"/>
          <w:szCs w:val="24"/>
          <w:highlight w:val="none"/>
          <w:u w:val="none"/>
          <w:lang w:val="en-US" w:eastAsia="zh-CN" w:bidi="ar-SA"/>
        </w:rPr>
        <w:t>（至少提供资产负债表、利润表、现金流量表，</w:t>
      </w:r>
      <w:r>
        <w:rPr>
          <w:rFonts w:hint="eastAsia" w:ascii="宋体" w:hAnsi="宋体" w:eastAsia="宋体" w:cs="宋体"/>
          <w:i w:val="0"/>
          <w:iCs/>
          <w:color w:val="000000"/>
          <w:highlight w:val="none"/>
          <w:u w:val="none"/>
        </w:rPr>
        <w:t>投标人成立不满一年无需提供）</w:t>
      </w:r>
    </w:p>
    <w:p w14:paraId="2C4DE1E8">
      <w:pPr>
        <w:pStyle w:val="85"/>
        <w:spacing w:beforeAutospacing="0" w:afterAutospacing="0" w:line="360" w:lineRule="auto"/>
        <w:jc w:val="both"/>
        <w:rPr>
          <w:color w:val="000000"/>
          <w:highlight w:val="none"/>
        </w:rPr>
      </w:pPr>
    </w:p>
    <w:p w14:paraId="227C44C4">
      <w:pPr>
        <w:pStyle w:val="85"/>
        <w:spacing w:beforeAutospacing="0" w:afterAutospacing="0" w:line="360" w:lineRule="auto"/>
        <w:jc w:val="both"/>
        <w:rPr>
          <w:color w:val="000000"/>
          <w:highlight w:val="none"/>
        </w:rPr>
      </w:pPr>
      <w:r>
        <w:rPr>
          <w:rFonts w:hint="eastAsia" w:ascii="黑体" w:hAnsi="宋体" w:eastAsia="黑体" w:cs="黑体"/>
          <w:i/>
          <w:color w:val="000000"/>
          <w:sz w:val="32"/>
          <w:szCs w:val="32"/>
          <w:highlight w:val="none"/>
          <w:u w:val="single"/>
          <w:lang w:val="en-US" w:eastAsia="zh-CN"/>
        </w:rPr>
        <w:t>三</w:t>
      </w:r>
      <w:r>
        <w:rPr>
          <w:rFonts w:hint="eastAsia" w:ascii="黑体" w:hAnsi="宋体" w:eastAsia="黑体" w:cs="黑体"/>
          <w:i/>
          <w:color w:val="000000"/>
          <w:sz w:val="32"/>
          <w:szCs w:val="32"/>
          <w:highlight w:val="none"/>
          <w:u w:val="single"/>
        </w:rPr>
        <w:t>、具备履行合同所必需的设备和专业技术能力的书面声明</w:t>
      </w:r>
    </w:p>
    <w:p w14:paraId="27AEF9F9">
      <w:pPr>
        <w:pStyle w:val="85"/>
        <w:spacing w:beforeAutospacing="0" w:afterAutospacing="0" w:line="360" w:lineRule="auto"/>
        <w:ind w:firstLine="492"/>
        <w:jc w:val="both"/>
        <w:rPr>
          <w:color w:val="000000"/>
          <w:highlight w:val="none"/>
        </w:rPr>
      </w:pPr>
      <w:r>
        <w:rPr>
          <w:rFonts w:hint="eastAsia" w:ascii="宋体" w:hAnsi="宋体" w:eastAsia="宋体" w:cs="宋体"/>
          <w:color w:val="000000"/>
          <w:highlight w:val="none"/>
        </w:rPr>
        <w:t>我单位郑重声明：我单位具备履行本项采购合同所必需的设备和专业技术能力，为履行本项采购合同我公司具备如下主要设备和主要专业技术能力：</w:t>
      </w:r>
    </w:p>
    <w:p w14:paraId="6870C2D4">
      <w:pPr>
        <w:pStyle w:val="85"/>
        <w:spacing w:beforeAutospacing="0" w:afterAutospacing="0" w:line="360" w:lineRule="auto"/>
        <w:ind w:firstLine="492"/>
        <w:jc w:val="both"/>
        <w:rPr>
          <w:color w:val="000000"/>
          <w:highlight w:val="none"/>
        </w:rPr>
      </w:pPr>
      <w:r>
        <w:rPr>
          <w:rFonts w:hint="eastAsia" w:ascii="宋体" w:hAnsi="宋体" w:eastAsia="宋体" w:cs="宋体"/>
          <w:color w:val="000000"/>
          <w:highlight w:val="none"/>
        </w:rPr>
        <w:t>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22F10FBE">
      <w:pPr>
        <w:pStyle w:val="85"/>
        <w:spacing w:beforeAutospacing="0" w:afterAutospacing="0" w:line="360" w:lineRule="auto"/>
        <w:jc w:val="both"/>
        <w:rPr>
          <w:rFonts w:hint="eastAsia" w:ascii="宋体" w:hAnsi="宋体" w:eastAsia="宋体" w:cs="宋体"/>
          <w:color w:val="000000"/>
          <w:highlight w:val="none"/>
        </w:rPr>
      </w:pPr>
      <w:r>
        <w:rPr>
          <w:rFonts w:hint="eastAsia" w:ascii="宋体" w:hAnsi="宋体" w:eastAsia="宋体" w:cs="宋体"/>
          <w:color w:val="000000"/>
          <w:highlight w:val="none"/>
        </w:rPr>
        <w:t>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0897524F">
      <w:pPr>
        <w:pStyle w:val="85"/>
        <w:spacing w:beforeAutospacing="0" w:afterAutospacing="0" w:line="360" w:lineRule="auto"/>
        <w:jc w:val="both"/>
        <w:rPr>
          <w:color w:val="000000"/>
          <w:highlight w:val="none"/>
        </w:rPr>
      </w:pPr>
      <w:r>
        <w:rPr>
          <w:rFonts w:hint="eastAsia" w:ascii="黑体" w:hAnsi="宋体" w:eastAsia="黑体" w:cs="黑体"/>
          <w:i/>
          <w:color w:val="000000"/>
          <w:sz w:val="32"/>
          <w:szCs w:val="32"/>
          <w:highlight w:val="none"/>
          <w:u w:val="single"/>
          <w:lang w:val="en-US" w:eastAsia="zh-CN"/>
        </w:rPr>
        <w:t>四</w:t>
      </w:r>
      <w:r>
        <w:rPr>
          <w:rFonts w:hint="eastAsia" w:ascii="黑体" w:hAnsi="宋体" w:eastAsia="黑体" w:cs="黑体"/>
          <w:i/>
          <w:color w:val="000000"/>
          <w:sz w:val="32"/>
          <w:szCs w:val="32"/>
          <w:highlight w:val="none"/>
          <w:u w:val="single"/>
        </w:rPr>
        <w:t>、依法缴纳税收和社会保障资金的相关材料</w:t>
      </w:r>
    </w:p>
    <w:p w14:paraId="149E164F">
      <w:pPr>
        <w:pStyle w:val="85"/>
        <w:spacing w:beforeAutospacing="0" w:afterAutospacing="0" w:line="360" w:lineRule="auto"/>
        <w:ind w:firstLine="480"/>
        <w:jc w:val="both"/>
        <w:rPr>
          <w:color w:val="000000"/>
          <w:highlight w:val="none"/>
        </w:rPr>
      </w:pPr>
      <w:bookmarkStart w:id="191" w:name="_Toc120614284"/>
      <w:r>
        <w:rPr>
          <w:rFonts w:hint="eastAsia" w:ascii="宋体" w:hAnsi="宋体" w:eastAsia="宋体" w:cs="宋体"/>
          <w:color w:val="000000"/>
          <w:highlight w:val="none"/>
        </w:rPr>
        <w:t>提供提交投标文件截止时间前一年内至少一个月依法缴纳税收及缴纳社会保障资金的证明材料。投标人依法享受缓缴、免缴税收、社会保障资金的提供证明材料。</w:t>
      </w:r>
      <w:bookmarkEnd w:id="191"/>
    </w:p>
    <w:p w14:paraId="0C0F7CBD">
      <w:pPr>
        <w:pStyle w:val="85"/>
        <w:spacing w:beforeAutospacing="0" w:afterAutospacing="0"/>
        <w:jc w:val="both"/>
        <w:rPr>
          <w:color w:val="000000"/>
          <w:highlight w:val="none"/>
        </w:rPr>
      </w:pPr>
      <w:r>
        <w:rPr>
          <w:rFonts w:hint="eastAsia" w:ascii="黑体" w:hAnsi="宋体" w:eastAsia="黑体" w:cs="黑体"/>
          <w:i/>
          <w:color w:val="000000"/>
          <w:sz w:val="32"/>
          <w:szCs w:val="32"/>
          <w:highlight w:val="none"/>
          <w:u w:val="single"/>
        </w:rPr>
        <w:t>五、参加政府采购活动前 3 年内在经营活动中没有重大违法记录的书面声明</w:t>
      </w:r>
    </w:p>
    <w:p w14:paraId="25E04F14">
      <w:pPr>
        <w:pStyle w:val="85"/>
        <w:spacing w:beforeAutospacing="0" w:afterAutospacing="0" w:line="360" w:lineRule="auto"/>
        <w:jc w:val="center"/>
        <w:rPr>
          <w:color w:val="000000"/>
          <w:highlight w:val="none"/>
        </w:rPr>
      </w:pPr>
      <w:r>
        <w:rPr>
          <w:rFonts w:hint="eastAsia" w:ascii="宋体" w:hAnsi="宋体" w:eastAsia="宋体" w:cs="宋体"/>
          <w:b/>
          <w:color w:val="000000"/>
          <w:sz w:val="44"/>
          <w:szCs w:val="44"/>
          <w:highlight w:val="none"/>
        </w:rPr>
        <w:t>声  明</w:t>
      </w:r>
    </w:p>
    <w:p w14:paraId="3E31799D">
      <w:pPr>
        <w:pStyle w:val="85"/>
        <w:spacing w:beforeAutospacing="0" w:afterAutospacing="0" w:line="360" w:lineRule="auto"/>
        <w:jc w:val="both"/>
        <w:rPr>
          <w:color w:val="000000"/>
          <w:highlight w:val="none"/>
        </w:rPr>
      </w:pPr>
      <w:r>
        <w:rPr>
          <w:rFonts w:hint="eastAsia" w:ascii="宋体" w:hAnsi="宋体" w:eastAsia="宋体" w:cs="宋体"/>
          <w:b/>
          <w:color w:val="000000"/>
          <w:highlight w:val="none"/>
        </w:rPr>
        <w:t>  </w:t>
      </w:r>
      <w:r>
        <w:rPr>
          <w:rFonts w:hint="eastAsia" w:ascii="宋体" w:hAnsi="宋体" w:eastAsia="宋体" w:cs="宋体"/>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75832784">
      <w:pPr>
        <w:pStyle w:val="85"/>
        <w:spacing w:beforeAutospacing="0" w:afterAutospacing="0"/>
        <w:jc w:val="both"/>
        <w:rPr>
          <w:color w:val="000000"/>
          <w:highlight w:val="none"/>
        </w:rPr>
      </w:pPr>
      <w:r>
        <w:rPr>
          <w:color w:val="000000"/>
          <w:highlight w:val="none"/>
        </w:rPr>
        <w:t> </w:t>
      </w:r>
    </w:p>
    <w:p w14:paraId="6EB96860">
      <w:pPr>
        <w:pStyle w:val="85"/>
        <w:spacing w:beforeAutospacing="0" w:afterAutospacing="0" w:line="360" w:lineRule="auto"/>
        <w:jc w:val="both"/>
        <w:rPr>
          <w:color w:val="000000"/>
          <w:highlight w:val="none"/>
        </w:rPr>
      </w:pPr>
      <w:r>
        <w:rPr>
          <w:rFonts w:hint="eastAsia" w:ascii="黑体" w:hAnsi="宋体" w:eastAsia="黑体" w:cs="黑体"/>
          <w:i/>
          <w:color w:val="000000"/>
          <w:sz w:val="32"/>
          <w:szCs w:val="32"/>
          <w:highlight w:val="none"/>
          <w:u w:val="single"/>
        </w:rPr>
        <w:t>六、特定资格要求的证明文件</w:t>
      </w:r>
    </w:p>
    <w:p w14:paraId="1C64E206">
      <w:pPr>
        <w:pStyle w:val="85"/>
        <w:spacing w:beforeAutospacing="0" w:afterAutospacing="0" w:line="360" w:lineRule="auto"/>
        <w:jc w:val="both"/>
        <w:rPr>
          <w:color w:val="000000"/>
          <w:highlight w:val="none"/>
        </w:rPr>
      </w:pPr>
      <w:r>
        <w:rPr>
          <w:rFonts w:hint="eastAsia" w:ascii="宋体" w:hAnsi="宋体" w:eastAsia="宋体" w:cs="宋体"/>
          <w:color w:val="000000"/>
          <w:highlight w:val="none"/>
        </w:rPr>
        <w:t>  如果本项目申请人的特定资格要求中要求提供的，必须提供。</w:t>
      </w:r>
    </w:p>
    <w:p w14:paraId="3454721D">
      <w:pPr>
        <w:pStyle w:val="85"/>
        <w:spacing w:beforeAutospacing="0" w:afterAutospacing="0" w:line="0" w:lineRule="atLeast"/>
        <w:jc w:val="both"/>
        <w:rPr>
          <w:color w:val="000000"/>
          <w:highlight w:val="none"/>
        </w:rPr>
      </w:pPr>
      <w:r>
        <w:rPr>
          <w:color w:val="000000"/>
          <w:highlight w:val="none"/>
        </w:rPr>
        <w:t> </w:t>
      </w:r>
    </w:p>
    <w:p w14:paraId="301605AC">
      <w:pPr>
        <w:pStyle w:val="85"/>
        <w:spacing w:beforeAutospacing="0" w:afterAutospacing="0"/>
        <w:jc w:val="center"/>
        <w:rPr>
          <w:rFonts w:ascii="黑体" w:hAnsi="宋体" w:eastAsia="黑体" w:cs="黑体"/>
          <w:i/>
          <w:color w:val="000000"/>
          <w:sz w:val="32"/>
          <w:szCs w:val="32"/>
          <w:highlight w:val="none"/>
          <w:u w:val="single"/>
        </w:rPr>
      </w:pPr>
    </w:p>
    <w:p w14:paraId="2B12208E">
      <w:pPr>
        <w:pStyle w:val="85"/>
        <w:spacing w:beforeAutospacing="0" w:afterAutospacing="0"/>
        <w:jc w:val="center"/>
        <w:rPr>
          <w:rFonts w:ascii="黑体" w:hAnsi="宋体" w:eastAsia="黑体" w:cs="黑体"/>
          <w:i/>
          <w:color w:val="000000"/>
          <w:sz w:val="32"/>
          <w:szCs w:val="32"/>
          <w:highlight w:val="none"/>
          <w:u w:val="single"/>
        </w:rPr>
      </w:pPr>
    </w:p>
    <w:p w14:paraId="31B65264">
      <w:pPr>
        <w:pStyle w:val="85"/>
        <w:spacing w:beforeAutospacing="0" w:afterAutospacing="0"/>
        <w:jc w:val="center"/>
        <w:rPr>
          <w:rFonts w:ascii="黑体" w:hAnsi="宋体" w:eastAsia="黑体" w:cs="黑体"/>
          <w:i/>
          <w:color w:val="000000"/>
          <w:sz w:val="32"/>
          <w:szCs w:val="32"/>
          <w:highlight w:val="none"/>
          <w:u w:val="single"/>
        </w:rPr>
      </w:pPr>
    </w:p>
    <w:p w14:paraId="6E9BA33A">
      <w:pPr>
        <w:pStyle w:val="85"/>
        <w:spacing w:beforeAutospacing="0" w:afterAutospacing="0"/>
        <w:jc w:val="center"/>
        <w:rPr>
          <w:rFonts w:ascii="黑体" w:hAnsi="宋体" w:eastAsia="黑体" w:cs="黑体"/>
          <w:i/>
          <w:color w:val="000000"/>
          <w:sz w:val="32"/>
          <w:szCs w:val="32"/>
          <w:highlight w:val="none"/>
          <w:u w:val="single"/>
        </w:rPr>
      </w:pPr>
    </w:p>
    <w:p w14:paraId="3073DC1D">
      <w:pPr>
        <w:pStyle w:val="85"/>
        <w:spacing w:beforeAutospacing="0" w:afterAutospacing="0"/>
        <w:jc w:val="center"/>
        <w:rPr>
          <w:rFonts w:ascii="黑体" w:hAnsi="宋体" w:eastAsia="黑体" w:cs="黑体"/>
          <w:i/>
          <w:color w:val="000000"/>
          <w:sz w:val="32"/>
          <w:szCs w:val="32"/>
          <w:highlight w:val="none"/>
          <w:u w:val="single"/>
        </w:rPr>
      </w:pPr>
    </w:p>
    <w:p w14:paraId="38469CD6">
      <w:pPr>
        <w:pStyle w:val="85"/>
        <w:spacing w:beforeAutospacing="0" w:afterAutospacing="0"/>
        <w:jc w:val="center"/>
        <w:rPr>
          <w:rFonts w:ascii="黑体" w:hAnsi="宋体" w:eastAsia="黑体" w:cs="黑体"/>
          <w:i/>
          <w:color w:val="000000"/>
          <w:sz w:val="32"/>
          <w:szCs w:val="32"/>
          <w:highlight w:val="none"/>
          <w:u w:val="single"/>
        </w:rPr>
      </w:pPr>
    </w:p>
    <w:p w14:paraId="10AD3933">
      <w:pPr>
        <w:pStyle w:val="85"/>
        <w:spacing w:beforeAutospacing="0" w:afterAutospacing="0" w:line="360" w:lineRule="auto"/>
        <w:jc w:val="center"/>
        <w:rPr>
          <w:rFonts w:hint="eastAsia" w:ascii="黑体" w:hAnsi="宋体" w:eastAsia="黑体" w:cs="黑体"/>
          <w:i/>
          <w:color w:val="000000"/>
          <w:sz w:val="32"/>
          <w:szCs w:val="32"/>
          <w:highlight w:val="none"/>
          <w:u w:val="single"/>
        </w:rPr>
      </w:pPr>
    </w:p>
    <w:p w14:paraId="07EB90C0">
      <w:pPr>
        <w:pStyle w:val="85"/>
        <w:spacing w:beforeAutospacing="0" w:afterAutospacing="0" w:line="360" w:lineRule="auto"/>
        <w:jc w:val="center"/>
        <w:rPr>
          <w:color w:val="000000"/>
          <w:highlight w:val="none"/>
        </w:rPr>
      </w:pPr>
      <w:r>
        <w:rPr>
          <w:rFonts w:hint="eastAsia" w:ascii="黑体" w:hAnsi="宋体" w:eastAsia="黑体" w:cs="黑体"/>
          <w:i/>
          <w:color w:val="000000"/>
          <w:sz w:val="32"/>
          <w:szCs w:val="32"/>
          <w:highlight w:val="none"/>
          <w:u w:val="single"/>
        </w:rPr>
        <w:t>七、法人授权书</w:t>
      </w:r>
    </w:p>
    <w:p w14:paraId="6D8E5F57">
      <w:pPr>
        <w:pStyle w:val="85"/>
        <w:tabs>
          <w:tab w:val="left" w:pos="360"/>
        </w:tabs>
        <w:spacing w:beforeAutospacing="0" w:afterAutospacing="0" w:line="360" w:lineRule="auto"/>
        <w:ind w:firstLine="480"/>
        <w:jc w:val="both"/>
        <w:rPr>
          <w:color w:val="000000"/>
          <w:highlight w:val="none"/>
        </w:rPr>
      </w:pPr>
      <w:r>
        <w:rPr>
          <w:rFonts w:ascii="Times New Roman" w:hAnsi="Times New Roman"/>
          <w:color w:val="000000"/>
          <w:highlight w:val="none"/>
        </w:rPr>
        <w:t>本授权书声明：____________（投标人名称）授权________________（被授权人的姓名）为我方就</w:t>
      </w:r>
      <w:r>
        <w:rPr>
          <w:rFonts w:hint="eastAsia" w:ascii="宋体" w:hAnsi="宋体" w:eastAsia="宋体" w:cs="宋体"/>
          <w:color w:val="000000"/>
          <w:sz w:val="24"/>
          <w:szCs w:val="24"/>
          <w:highlight w:val="none"/>
          <w:u w:val="single"/>
          <w:lang w:eastAsia="zh-CN"/>
        </w:rPr>
        <w:t>JSZC-320902-YD</w:t>
      </w:r>
      <w:r>
        <w:rPr>
          <w:rFonts w:hint="eastAsia" w:ascii="宋体" w:hAnsi="宋体" w:eastAsia="宋体" w:cs="宋体"/>
          <w:color w:val="000000"/>
          <w:sz w:val="24"/>
          <w:szCs w:val="24"/>
          <w:highlight w:val="none"/>
          <w:u w:val="single"/>
          <w:lang w:val="en-US" w:eastAsia="zh-CN"/>
        </w:rPr>
        <w:t>ZJ</w:t>
      </w:r>
      <w:r>
        <w:rPr>
          <w:rFonts w:hint="eastAsia" w:ascii="宋体" w:hAnsi="宋体" w:eastAsia="宋体" w:cs="宋体"/>
          <w:color w:val="000000"/>
          <w:sz w:val="24"/>
          <w:szCs w:val="24"/>
          <w:highlight w:val="none"/>
          <w:u w:val="single"/>
          <w:lang w:eastAsia="zh-CN"/>
        </w:rPr>
        <w:t>-G2026-000</w:t>
      </w:r>
      <w:r>
        <w:rPr>
          <w:rFonts w:hint="eastAsia" w:ascii="宋体" w:hAnsi="宋体" w:eastAsia="宋体" w:cs="宋体"/>
          <w:color w:val="000000"/>
          <w:sz w:val="24"/>
          <w:szCs w:val="24"/>
          <w:highlight w:val="none"/>
          <w:u w:val="single"/>
          <w:lang w:val="en-US" w:eastAsia="zh-CN"/>
        </w:rPr>
        <w:t>3</w:t>
      </w:r>
      <w:r>
        <w:rPr>
          <w:rFonts w:ascii="Times New Roman" w:hAnsi="Times New Roman"/>
          <w:color w:val="000000"/>
          <w:highlight w:val="none"/>
        </w:rPr>
        <w:t>号项目采购活动的合法代理人，以本单位名义全权处理一切与该项目采购有关的事务。</w:t>
      </w:r>
    </w:p>
    <w:p w14:paraId="114FB1D5">
      <w:pPr>
        <w:pStyle w:val="85"/>
        <w:tabs>
          <w:tab w:val="left" w:pos="360"/>
        </w:tabs>
        <w:spacing w:beforeAutospacing="0" w:afterAutospacing="0" w:line="360" w:lineRule="auto"/>
        <w:ind w:firstLine="480"/>
        <w:jc w:val="both"/>
        <w:rPr>
          <w:color w:val="000000"/>
          <w:highlight w:val="none"/>
        </w:rPr>
      </w:pPr>
      <w:r>
        <w:rPr>
          <w:rFonts w:ascii="Times New Roman" w:hAnsi="Times New Roman"/>
          <w:color w:val="000000"/>
          <w:highlight w:val="none"/>
        </w:rPr>
        <w:t>本授权书于______年____月____日起生效，特此声明。</w:t>
      </w:r>
    </w:p>
    <w:p w14:paraId="0C083D98">
      <w:pPr>
        <w:pStyle w:val="85"/>
        <w:tabs>
          <w:tab w:val="left" w:pos="360"/>
        </w:tabs>
        <w:spacing w:beforeAutospacing="0" w:afterAutospacing="0" w:line="360" w:lineRule="auto"/>
        <w:jc w:val="both"/>
        <w:rPr>
          <w:color w:val="000000"/>
          <w:highlight w:val="none"/>
        </w:rPr>
      </w:pPr>
      <w:r>
        <w:rPr>
          <w:rFonts w:ascii="Times New Roman" w:hAnsi="Times New Roman"/>
          <w:color w:val="000000"/>
          <w:highlight w:val="none"/>
        </w:rPr>
        <w:t>        被授权人身份证号码：</w:t>
      </w:r>
      <w:r>
        <w:rPr>
          <w:rFonts w:ascii="Times New Roman" w:hAnsi="Times New Roman"/>
          <w:color w:val="000000"/>
          <w:highlight w:val="none"/>
          <w:u w:val="single"/>
        </w:rPr>
        <w:t xml:space="preserve">                              </w:t>
      </w:r>
    </w:p>
    <w:p w14:paraId="1AB88CEC">
      <w:pPr>
        <w:pStyle w:val="85"/>
        <w:tabs>
          <w:tab w:val="left" w:pos="360"/>
        </w:tabs>
        <w:spacing w:beforeAutospacing="0" w:afterAutospacing="0" w:line="360" w:lineRule="auto"/>
        <w:jc w:val="both"/>
        <w:rPr>
          <w:color w:val="000000"/>
          <w:highlight w:val="none"/>
        </w:rPr>
      </w:pPr>
      <w:r>
        <w:rPr>
          <w:rFonts w:ascii="Times New Roman" w:hAnsi="Times New Roman"/>
          <w:color w:val="000000"/>
          <w:highlight w:val="none"/>
        </w:rPr>
        <w:t>        被授权人联系电话：（手机）</w:t>
      </w:r>
      <w:r>
        <w:rPr>
          <w:rFonts w:ascii="Times New Roman" w:hAnsi="Times New Roman"/>
          <w:color w:val="000000"/>
          <w:highlight w:val="none"/>
          <w:u w:val="single"/>
        </w:rPr>
        <w:t xml:space="preserve">                          </w:t>
      </w:r>
    </w:p>
    <w:p w14:paraId="203E3F66">
      <w:pPr>
        <w:pStyle w:val="85"/>
        <w:tabs>
          <w:tab w:val="left" w:pos="360"/>
        </w:tabs>
        <w:spacing w:beforeAutospacing="0" w:afterAutospacing="0" w:line="360" w:lineRule="auto"/>
        <w:ind w:firstLine="480"/>
        <w:jc w:val="both"/>
        <w:rPr>
          <w:color w:val="000000"/>
          <w:highlight w:val="none"/>
        </w:rPr>
      </w:pPr>
      <w:r>
        <w:rPr>
          <w:rFonts w:ascii="Times New Roman" w:hAnsi="Times New Roman"/>
          <w:color w:val="000000"/>
          <w:highlight w:val="none"/>
        </w:rPr>
        <w:t>授权单位名称：</w:t>
      </w:r>
      <w:r>
        <w:rPr>
          <w:rFonts w:ascii="Times New Roman" w:hAnsi="Times New Roman"/>
          <w:color w:val="000000"/>
          <w:highlight w:val="none"/>
          <w:u w:val="single"/>
        </w:rPr>
        <w:t>（加盖CA电子公章）</w:t>
      </w:r>
    </w:p>
    <w:p w14:paraId="38EEECF9">
      <w:pPr>
        <w:pStyle w:val="85"/>
        <w:tabs>
          <w:tab w:val="left" w:pos="360"/>
        </w:tabs>
        <w:spacing w:beforeAutospacing="0" w:afterAutospacing="0" w:line="360" w:lineRule="auto"/>
        <w:ind w:firstLine="480"/>
        <w:jc w:val="both"/>
        <w:rPr>
          <w:color w:val="000000"/>
          <w:highlight w:val="none"/>
        </w:rPr>
      </w:pPr>
      <w:r>
        <w:rPr>
          <w:rFonts w:ascii="Times New Roman" w:hAnsi="Times New Roman"/>
          <w:color w:val="000000"/>
          <w:highlight w:val="none"/>
        </w:rPr>
        <w:t>单位地址：</w:t>
      </w:r>
      <w:r>
        <w:rPr>
          <w:rFonts w:ascii="Times New Roman" w:hAnsi="Times New Roman"/>
          <w:color w:val="000000"/>
          <w:highlight w:val="none"/>
          <w:u w:val="single"/>
        </w:rPr>
        <w:t xml:space="preserve">                                         </w:t>
      </w:r>
    </w:p>
    <w:p w14:paraId="2CA2E28B">
      <w:pPr>
        <w:pStyle w:val="85"/>
        <w:tabs>
          <w:tab w:val="left" w:pos="360"/>
        </w:tabs>
        <w:spacing w:beforeAutospacing="0" w:afterAutospacing="0" w:line="360" w:lineRule="auto"/>
        <w:ind w:firstLine="480"/>
        <w:jc w:val="both"/>
        <w:rPr>
          <w:color w:val="000000"/>
          <w:highlight w:val="none"/>
        </w:rPr>
      </w:pPr>
      <w:r>
        <w:rPr>
          <w:rFonts w:ascii="Times New Roman" w:hAnsi="Times New Roman"/>
          <w:color w:val="000000"/>
          <w:highlight w:val="none"/>
        </w:rPr>
        <w:t>日</w:t>
      </w:r>
      <w:r>
        <w:rPr>
          <w:rFonts w:hint="eastAsia" w:ascii="Times New Roman" w:hAnsi="Times New Roman"/>
          <w:color w:val="000000"/>
          <w:highlight w:val="none"/>
          <w:lang w:val="en-US" w:eastAsia="zh-CN"/>
        </w:rPr>
        <w:t xml:space="preserve">  </w:t>
      </w:r>
      <w:r>
        <w:rPr>
          <w:rFonts w:ascii="Times New Roman" w:hAnsi="Times New Roman"/>
          <w:color w:val="000000"/>
          <w:highlight w:val="none"/>
        </w:rPr>
        <w:t>期：</w:t>
      </w:r>
      <w:bookmarkStart w:id="192" w:name="_Hlt26671380"/>
      <w:bookmarkStart w:id="193" w:name="_格式3__银行出具的资信证明"/>
      <w:bookmarkStart w:id="194" w:name="_Hlt26955070"/>
      <w:r>
        <w:rPr>
          <w:rFonts w:ascii="Times New Roman" w:hAnsi="Times New Roman"/>
          <w:color w:val="000000"/>
          <w:highlight w:val="none"/>
          <w:u w:val="single"/>
        </w:rPr>
        <w:t xml:space="preserve">                                         </w:t>
      </w:r>
    </w:p>
    <w:p w14:paraId="2B428374">
      <w:pPr>
        <w:pStyle w:val="85"/>
        <w:spacing w:beforeAutospacing="0" w:afterAutospacing="0"/>
        <w:ind w:firstLine="420"/>
        <w:jc w:val="both"/>
        <w:rPr>
          <w:color w:val="000000"/>
          <w:highlight w:val="none"/>
        </w:rPr>
      </w:pPr>
      <w:r>
        <w:rPr>
          <w:color w:val="000000"/>
          <w:highlight w:val="none"/>
        </w:rPr>
        <w:t> </w:t>
      </w:r>
    </w:p>
    <w:p w14:paraId="67166B97">
      <w:pPr>
        <w:pStyle w:val="85"/>
        <w:spacing w:beforeAutospacing="0" w:afterAutospacing="0"/>
        <w:jc w:val="both"/>
        <w:rPr>
          <w:color w:val="000000"/>
          <w:highlight w:val="none"/>
        </w:rPr>
      </w:pPr>
      <w:r>
        <w:rPr>
          <w:color w:val="000000"/>
          <w:highlight w:val="none"/>
        </w:rPr>
        <w:t> </w:t>
      </w:r>
    </w:p>
    <w:p w14:paraId="29BBF0A5">
      <w:pPr>
        <w:pStyle w:val="85"/>
        <w:spacing w:beforeAutospacing="0" w:afterAutospacing="0" w:line="0" w:lineRule="atLeast"/>
        <w:jc w:val="both"/>
        <w:rPr>
          <w:color w:val="000000"/>
          <w:highlight w:val="none"/>
        </w:rPr>
      </w:pPr>
      <w:r>
        <w:rPr>
          <w:color w:val="000000"/>
          <w:highlight w:val="none"/>
        </w:rPr>
        <w:t> </w:t>
      </w:r>
    </w:p>
    <w:p w14:paraId="22CBEDE7">
      <w:pPr>
        <w:pStyle w:val="85"/>
        <w:spacing w:beforeAutospacing="0" w:afterAutospacing="0" w:line="0" w:lineRule="atLeast"/>
        <w:jc w:val="both"/>
        <w:rPr>
          <w:color w:val="000000"/>
          <w:highlight w:val="none"/>
        </w:rPr>
      </w:pPr>
      <w:r>
        <w:rPr>
          <w:color w:val="000000"/>
          <w:highlight w:val="none"/>
        </w:rPr>
        <w:t> </w:t>
      </w:r>
    </w:p>
    <w:p w14:paraId="5986C00B">
      <w:pPr>
        <w:pStyle w:val="85"/>
        <w:keepNext/>
        <w:keepLines/>
        <w:spacing w:before="260" w:beforeAutospacing="0" w:after="260" w:afterAutospacing="0" w:line="360" w:lineRule="auto"/>
        <w:ind w:firstLine="3390"/>
        <w:jc w:val="both"/>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w:t>
      </w:r>
      <w:r>
        <w:rPr>
          <w:rFonts w:hint="eastAsia" w:ascii="黑体" w:hAnsi="宋体" w:eastAsia="黑体" w:cs="黑体"/>
          <w:b/>
          <w:color w:val="000000"/>
          <w:sz w:val="32"/>
          <w:szCs w:val="32"/>
          <w:highlight w:val="none"/>
        </w:rPr>
        <w:t>八、投标函</w:t>
      </w:r>
    </w:p>
    <w:p w14:paraId="1B73442F">
      <w:pPr>
        <w:pStyle w:val="85"/>
        <w:spacing w:beforeAutospacing="0" w:afterAutospacing="0" w:line="360" w:lineRule="auto"/>
        <w:rPr>
          <w:rFonts w:hint="eastAsia" w:eastAsia="宋体"/>
          <w:color w:val="000000"/>
          <w:highlight w:val="none"/>
          <w:lang w:eastAsia="zh-CN"/>
        </w:rPr>
      </w:pPr>
      <w:r>
        <w:rPr>
          <w:rFonts w:hint="eastAsia" w:ascii="宋体" w:hAnsi="宋体" w:eastAsia="宋体" w:cs="宋体"/>
          <w:color w:val="000000"/>
          <w:highlight w:val="none"/>
        </w:rPr>
        <w:t>致：</w:t>
      </w:r>
      <w:r>
        <w:rPr>
          <w:rFonts w:hint="eastAsia" w:ascii="宋体" w:hAnsi="宋体" w:eastAsia="宋体" w:cs="宋体"/>
          <w:color w:val="000000"/>
          <w:highlight w:val="none"/>
          <w:shd w:val="clear" w:color="auto" w:fill="auto"/>
          <w:lang w:eastAsia="zh-CN"/>
        </w:rPr>
        <w:t>盐城市亭湖区人民法院</w:t>
      </w:r>
    </w:p>
    <w:p w14:paraId="04250668">
      <w:pPr>
        <w:pStyle w:val="85"/>
        <w:spacing w:beforeAutospacing="0" w:afterAutospacing="0" w:line="360" w:lineRule="auto"/>
        <w:ind w:firstLine="480"/>
        <w:rPr>
          <w:color w:val="000000"/>
          <w:highlight w:val="none"/>
        </w:rPr>
      </w:pPr>
      <w:r>
        <w:rPr>
          <w:rFonts w:hint="eastAsia" w:ascii="宋体" w:hAnsi="宋体" w:eastAsia="宋体" w:cs="宋体"/>
          <w:color w:val="000000"/>
          <w:highlight w:val="none"/>
        </w:rPr>
        <w:t>根据贵方的</w:t>
      </w:r>
      <w:r>
        <w:rPr>
          <w:rFonts w:hint="eastAsia" w:ascii="宋体" w:hAnsi="宋体" w:eastAsia="宋体" w:cs="宋体"/>
          <w:color w:val="000000"/>
          <w:sz w:val="24"/>
          <w:szCs w:val="24"/>
          <w:highlight w:val="none"/>
          <w:lang w:eastAsia="zh-CN"/>
        </w:rPr>
        <w:t>JSZC-320902-YD</w:t>
      </w:r>
      <w:r>
        <w:rPr>
          <w:rFonts w:hint="eastAsia" w:ascii="宋体" w:hAnsi="宋体" w:eastAsia="宋体" w:cs="宋体"/>
          <w:color w:val="000000"/>
          <w:sz w:val="24"/>
          <w:szCs w:val="24"/>
          <w:highlight w:val="none"/>
          <w:lang w:val="en-US" w:eastAsia="zh-CN"/>
        </w:rPr>
        <w:t>ZJ</w:t>
      </w:r>
      <w:r>
        <w:rPr>
          <w:rFonts w:hint="eastAsia" w:ascii="宋体" w:hAnsi="宋体" w:eastAsia="宋体" w:cs="宋体"/>
          <w:color w:val="000000"/>
          <w:sz w:val="24"/>
          <w:szCs w:val="24"/>
          <w:highlight w:val="none"/>
          <w:lang w:eastAsia="zh-CN"/>
        </w:rPr>
        <w:t>-G2026-000</w:t>
      </w:r>
      <w:r>
        <w:rPr>
          <w:rFonts w:hint="eastAsia" w:ascii="宋体" w:hAnsi="宋体" w:eastAsia="宋体" w:cs="宋体"/>
          <w:color w:val="000000"/>
          <w:sz w:val="24"/>
          <w:szCs w:val="24"/>
          <w:highlight w:val="none"/>
          <w:lang w:val="en-US" w:eastAsia="zh-CN"/>
        </w:rPr>
        <w:t>3</w:t>
      </w:r>
      <w:bookmarkStart w:id="209" w:name="_GoBack"/>
      <w:bookmarkEnd w:id="209"/>
      <w:r>
        <w:rPr>
          <w:rFonts w:hint="eastAsia" w:ascii="宋体" w:hAnsi="宋体" w:eastAsia="宋体" w:cs="宋体"/>
          <w:color w:val="000000"/>
          <w:highlight w:val="none"/>
        </w:rPr>
        <w:t>号招标文件，正式授权下述签字人______(姓名)代表我方______________（投标人的名称），全权处理本次项目投标的有关事宜。</w:t>
      </w:r>
    </w:p>
    <w:p w14:paraId="406F0627">
      <w:pPr>
        <w:pStyle w:val="85"/>
        <w:spacing w:beforeAutospacing="0" w:afterAutospacing="0" w:line="360" w:lineRule="auto"/>
        <w:ind w:firstLine="480"/>
        <w:rPr>
          <w:color w:val="000000"/>
          <w:highlight w:val="none"/>
        </w:rPr>
      </w:pPr>
      <w:r>
        <w:rPr>
          <w:rFonts w:hint="eastAsia" w:ascii="宋体" w:hAnsi="宋体" w:eastAsia="宋体" w:cs="宋体"/>
          <w:color w:val="000000"/>
          <w:highlight w:val="none"/>
        </w:rPr>
        <w:t>据此函，__________签字人兹宣布同意如下：</w:t>
      </w:r>
    </w:p>
    <w:p w14:paraId="1FB74DB9">
      <w:pPr>
        <w:pStyle w:val="85"/>
        <w:spacing w:beforeAutospacing="0" w:afterAutospacing="0" w:line="360" w:lineRule="auto"/>
        <w:ind w:firstLine="480"/>
        <w:rPr>
          <w:color w:val="000000"/>
          <w:highlight w:val="none"/>
        </w:rPr>
      </w:pPr>
      <w:r>
        <w:rPr>
          <w:rFonts w:hint="eastAsia" w:ascii="宋体" w:hAnsi="宋体" w:eastAsia="宋体" w:cs="宋体"/>
          <w:color w:val="000000"/>
          <w:highlight w:val="none"/>
        </w:rPr>
        <w:t>1.按招标文件规定的各项要求，向买方提供所需服务（包含与服务相关的货物）。</w:t>
      </w:r>
    </w:p>
    <w:p w14:paraId="0E5C795B">
      <w:pPr>
        <w:pStyle w:val="85"/>
        <w:spacing w:beforeAutospacing="0" w:afterAutospacing="0" w:line="360" w:lineRule="auto"/>
        <w:ind w:firstLine="480"/>
        <w:rPr>
          <w:color w:val="000000"/>
          <w:highlight w:val="none"/>
        </w:rPr>
      </w:pPr>
      <w:r>
        <w:rPr>
          <w:rFonts w:hint="eastAsia" w:ascii="宋体" w:hAnsi="宋体" w:eastAsia="宋体" w:cs="宋体"/>
          <w:color w:val="000000"/>
          <w:highlight w:val="none"/>
        </w:rPr>
        <w:t>2.我们完全理解贵方不一定将合同授予最低报价的投标人。</w:t>
      </w:r>
    </w:p>
    <w:p w14:paraId="0C8C90E2">
      <w:pPr>
        <w:pStyle w:val="85"/>
        <w:spacing w:beforeAutospacing="0" w:afterAutospacing="0" w:line="360" w:lineRule="auto"/>
        <w:ind w:firstLine="480"/>
        <w:rPr>
          <w:color w:val="000000"/>
          <w:highlight w:val="none"/>
        </w:rPr>
      </w:pPr>
      <w:r>
        <w:rPr>
          <w:rFonts w:hint="eastAsia" w:ascii="宋体" w:hAnsi="宋体" w:eastAsia="宋体" w:cs="宋体"/>
          <w:color w:val="000000"/>
          <w:highlight w:val="none"/>
        </w:rPr>
        <w:t>3.我们已详细审核全部招标文件及其有效补充文件，我们知道必须放弃提出含糊不清或误解问题的权利。</w:t>
      </w:r>
    </w:p>
    <w:p w14:paraId="518194F8">
      <w:pPr>
        <w:pStyle w:val="85"/>
        <w:spacing w:beforeAutospacing="0" w:afterAutospacing="0" w:line="360" w:lineRule="auto"/>
        <w:ind w:firstLine="480"/>
        <w:rPr>
          <w:color w:val="000000"/>
          <w:highlight w:val="none"/>
        </w:rPr>
      </w:pPr>
      <w:r>
        <w:rPr>
          <w:rFonts w:hint="eastAsia" w:ascii="宋体" w:hAnsi="宋体" w:eastAsia="宋体" w:cs="宋体"/>
          <w:color w:val="000000"/>
          <w:highlight w:val="none"/>
        </w:rPr>
        <w:t>4.我们同意从规定的开标日期起遵循本投标文件，并在规定的投标有效期期满之前均具有约束力。</w:t>
      </w:r>
    </w:p>
    <w:p w14:paraId="2A207222">
      <w:pPr>
        <w:pStyle w:val="85"/>
        <w:spacing w:beforeAutospacing="0" w:afterAutospacing="0" w:line="360" w:lineRule="auto"/>
        <w:ind w:firstLine="480"/>
        <w:rPr>
          <w:color w:val="000000"/>
          <w:highlight w:val="none"/>
        </w:rPr>
      </w:pPr>
      <w:r>
        <w:rPr>
          <w:rFonts w:hint="eastAsia" w:ascii="宋体" w:hAnsi="宋体" w:eastAsia="宋体" w:cs="宋体"/>
          <w:color w:val="000000"/>
          <w:highlight w:val="none"/>
        </w:rPr>
        <w:t>5.同意向贵方提供贵方可能另外要求的与投标有关的任何证据或资料，并保证我方已提供和将要提供的文件是真实的、准确的。</w:t>
      </w:r>
    </w:p>
    <w:p w14:paraId="0EBF409F">
      <w:pPr>
        <w:pStyle w:val="85"/>
        <w:spacing w:beforeAutospacing="0" w:afterAutospacing="0" w:line="360" w:lineRule="auto"/>
        <w:ind w:firstLine="480"/>
        <w:rPr>
          <w:color w:val="000000"/>
          <w:highlight w:val="none"/>
        </w:rPr>
      </w:pPr>
      <w:r>
        <w:rPr>
          <w:rFonts w:hint="eastAsia" w:ascii="宋体" w:hAnsi="宋体" w:eastAsia="宋体" w:cs="宋体"/>
          <w:color w:val="000000"/>
          <w:highlight w:val="none"/>
        </w:rPr>
        <w:t>6.一旦我方中标,我方将根据招标文件的规定，严格履行合同的责任和义务,并保证在招标文件规定的时间完成项目，交付买方验收、使用。</w:t>
      </w:r>
    </w:p>
    <w:p w14:paraId="63AE2BF4">
      <w:pPr>
        <w:pStyle w:val="85"/>
        <w:spacing w:beforeAutospacing="0" w:afterAutospacing="0" w:line="360" w:lineRule="auto"/>
        <w:ind w:firstLine="480"/>
        <w:rPr>
          <w:color w:val="000000"/>
          <w:highlight w:val="none"/>
        </w:rPr>
      </w:pPr>
      <w:r>
        <w:rPr>
          <w:rFonts w:hint="eastAsia" w:ascii="宋体" w:hAnsi="宋体" w:eastAsia="宋体" w:cs="宋体"/>
          <w:color w:val="000000"/>
          <w:highlight w:val="none"/>
        </w:rPr>
        <w:t>7.与本投标有关的正式通讯地址为：</w:t>
      </w:r>
    </w:p>
    <w:p w14:paraId="497310DF">
      <w:pPr>
        <w:pStyle w:val="85"/>
        <w:spacing w:beforeAutospacing="0" w:afterAutospacing="0" w:line="360" w:lineRule="auto"/>
        <w:ind w:left="420" w:firstLine="480"/>
        <w:rPr>
          <w:color w:val="000000"/>
          <w:highlight w:val="none"/>
        </w:rPr>
      </w:pPr>
      <w:r>
        <w:rPr>
          <w:rFonts w:hint="eastAsia" w:ascii="宋体" w:hAnsi="宋体" w:eastAsia="宋体" w:cs="宋体"/>
          <w:color w:val="000000"/>
          <w:highlight w:val="none"/>
        </w:rPr>
        <w:t>地         址：</w:t>
      </w:r>
    </w:p>
    <w:p w14:paraId="49CF8B9A">
      <w:pPr>
        <w:pStyle w:val="85"/>
        <w:spacing w:beforeAutospacing="0" w:afterAutospacing="0" w:line="360" w:lineRule="auto"/>
        <w:ind w:left="420" w:firstLine="480"/>
        <w:rPr>
          <w:color w:val="000000"/>
          <w:highlight w:val="none"/>
        </w:rPr>
      </w:pPr>
      <w:r>
        <w:rPr>
          <w:rFonts w:hint="eastAsia" w:ascii="宋体" w:hAnsi="宋体" w:eastAsia="宋体" w:cs="宋体"/>
          <w:color w:val="000000"/>
          <w:highlight w:val="none"/>
        </w:rPr>
        <w:t>邮         编：</w:t>
      </w:r>
    </w:p>
    <w:p w14:paraId="4EC1F865">
      <w:pPr>
        <w:pStyle w:val="85"/>
        <w:spacing w:beforeAutospacing="0" w:afterAutospacing="0" w:line="360" w:lineRule="auto"/>
        <w:ind w:left="420" w:firstLine="480"/>
        <w:rPr>
          <w:color w:val="000000"/>
          <w:highlight w:val="none"/>
        </w:rPr>
      </w:pPr>
      <w:r>
        <w:rPr>
          <w:rFonts w:hint="eastAsia" w:ascii="宋体" w:hAnsi="宋体" w:eastAsia="宋体" w:cs="宋体"/>
          <w:color w:val="000000"/>
          <w:highlight w:val="none"/>
        </w:rPr>
        <w:t>电         话：</w:t>
      </w:r>
    </w:p>
    <w:p w14:paraId="6816B96E">
      <w:pPr>
        <w:pStyle w:val="85"/>
        <w:spacing w:beforeAutospacing="0" w:afterAutospacing="0" w:line="360" w:lineRule="auto"/>
        <w:ind w:left="420" w:firstLine="480"/>
        <w:rPr>
          <w:color w:val="000000"/>
          <w:highlight w:val="none"/>
        </w:rPr>
      </w:pPr>
      <w:r>
        <w:rPr>
          <w:rFonts w:hint="eastAsia" w:ascii="宋体" w:hAnsi="宋体" w:eastAsia="宋体" w:cs="宋体"/>
          <w:color w:val="000000"/>
          <w:highlight w:val="none"/>
        </w:rPr>
        <w:t>传         真：</w:t>
      </w:r>
    </w:p>
    <w:p w14:paraId="613AFD5E">
      <w:pPr>
        <w:pStyle w:val="85"/>
        <w:spacing w:beforeAutospacing="0" w:afterAutospacing="0" w:line="360" w:lineRule="auto"/>
        <w:ind w:left="420" w:firstLine="480"/>
        <w:rPr>
          <w:color w:val="000000"/>
          <w:highlight w:val="none"/>
        </w:rPr>
      </w:pPr>
      <w:r>
        <w:rPr>
          <w:rFonts w:hint="eastAsia" w:ascii="宋体" w:hAnsi="宋体" w:eastAsia="宋体" w:cs="宋体"/>
          <w:color w:val="000000"/>
          <w:highlight w:val="none"/>
        </w:rPr>
        <w:t>投</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标</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人</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开</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户</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行：</w:t>
      </w:r>
    </w:p>
    <w:p w14:paraId="24DEA14C">
      <w:pPr>
        <w:pStyle w:val="85"/>
        <w:spacing w:beforeAutospacing="0" w:afterAutospacing="0" w:line="360" w:lineRule="auto"/>
        <w:ind w:left="420" w:firstLine="480"/>
        <w:rPr>
          <w:color w:val="000000"/>
          <w:highlight w:val="none"/>
        </w:rPr>
      </w:pPr>
      <w:r>
        <w:rPr>
          <w:rFonts w:hint="eastAsia" w:ascii="宋体" w:hAnsi="宋体" w:eastAsia="宋体" w:cs="宋体"/>
          <w:color w:val="000000"/>
          <w:highlight w:val="none"/>
        </w:rPr>
        <w:t xml:space="preserve">账         号： </w:t>
      </w:r>
    </w:p>
    <w:p w14:paraId="141D64E5">
      <w:pPr>
        <w:pStyle w:val="85"/>
        <w:spacing w:beforeAutospacing="0" w:afterAutospacing="0" w:line="360" w:lineRule="auto"/>
        <w:ind w:left="420" w:firstLine="480"/>
        <w:rPr>
          <w:color w:val="000000"/>
          <w:highlight w:val="none"/>
        </w:rPr>
      </w:pPr>
      <w:r>
        <w:rPr>
          <w:rFonts w:hint="eastAsia" w:ascii="宋体" w:hAnsi="宋体" w:eastAsia="宋体" w:cs="宋体"/>
          <w:color w:val="000000"/>
          <w:highlight w:val="none"/>
        </w:rPr>
        <w:t>日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期：________年____月____日</w:t>
      </w:r>
    </w:p>
    <w:p w14:paraId="3AB65174">
      <w:pPr>
        <w:pStyle w:val="85"/>
        <w:spacing w:beforeAutospacing="0" w:afterAutospacing="0" w:line="0" w:lineRule="atLeast"/>
        <w:ind w:firstLine="240"/>
        <w:jc w:val="center"/>
        <w:rPr>
          <w:color w:val="000000"/>
          <w:highlight w:val="none"/>
        </w:rPr>
      </w:pPr>
      <w:r>
        <w:rPr>
          <w:color w:val="000000"/>
          <w:highlight w:val="none"/>
        </w:rPr>
        <w:t> </w:t>
      </w:r>
    </w:p>
    <w:p w14:paraId="444FAB1A">
      <w:pPr>
        <w:pStyle w:val="85"/>
        <w:spacing w:beforeAutospacing="0" w:afterAutospacing="0" w:line="0" w:lineRule="atLeast"/>
        <w:ind w:firstLine="240"/>
        <w:jc w:val="center"/>
        <w:rPr>
          <w:color w:val="000000"/>
          <w:highlight w:val="none"/>
        </w:rPr>
      </w:pPr>
      <w:r>
        <w:rPr>
          <w:color w:val="000000"/>
          <w:highlight w:val="none"/>
        </w:rPr>
        <w:t> </w:t>
      </w:r>
    </w:p>
    <w:p w14:paraId="67C5D2BE">
      <w:pPr>
        <w:pStyle w:val="85"/>
        <w:spacing w:beforeAutospacing="0" w:afterAutospacing="0" w:line="0" w:lineRule="atLeast"/>
        <w:jc w:val="both"/>
        <w:rPr>
          <w:rFonts w:eastAsia="Arial"/>
          <w:b/>
          <w:bCs/>
          <w:color w:val="000000"/>
          <w:sz w:val="24"/>
          <w:szCs w:val="24"/>
          <w:highlight w:val="none"/>
          <w:lang w:val="en-US" w:eastAsia="zh-CN"/>
        </w:rPr>
      </w:pPr>
      <w:r>
        <w:rPr>
          <w:rFonts w:hint="eastAsia"/>
          <w:b/>
          <w:bCs/>
          <w:color w:val="000000"/>
          <w:sz w:val="24"/>
          <w:szCs w:val="24"/>
          <w:highlight w:val="none"/>
          <w:lang w:val="en-US" w:eastAsia="zh-CN"/>
        </w:rPr>
        <w:t>注：以上签字人可为手写签字或电脑打字均可。</w:t>
      </w:r>
    </w:p>
    <w:p w14:paraId="42F2645C">
      <w:pPr>
        <w:pStyle w:val="85"/>
        <w:spacing w:beforeAutospacing="0" w:afterAutospacing="0" w:line="360" w:lineRule="auto"/>
        <w:ind w:left="420" w:firstLine="480"/>
        <w:rPr>
          <w:rFonts w:hint="eastAsia" w:ascii="宋体" w:hAnsi="宋体" w:eastAsia="宋体" w:cs="宋体"/>
          <w:color w:val="000000"/>
          <w:highlight w:val="none"/>
          <w:shd w:val="clear" w:color="auto" w:fill="auto"/>
        </w:rPr>
      </w:pPr>
    </w:p>
    <w:p w14:paraId="18A9D97D">
      <w:pPr>
        <w:pStyle w:val="85"/>
        <w:spacing w:beforeAutospacing="0" w:afterAutospacing="0" w:line="0" w:lineRule="atLeast"/>
        <w:ind w:firstLine="240"/>
        <w:jc w:val="both"/>
        <w:rPr>
          <w:color w:val="000000"/>
          <w:highlight w:val="none"/>
        </w:rPr>
      </w:pPr>
      <w:r>
        <w:rPr>
          <w:color w:val="000000"/>
          <w:highlight w:val="none"/>
        </w:rPr>
        <w:t> </w:t>
      </w:r>
    </w:p>
    <w:p w14:paraId="416FC385">
      <w:pPr>
        <w:pStyle w:val="85"/>
        <w:spacing w:beforeAutospacing="0" w:afterAutospacing="0" w:line="0" w:lineRule="atLeast"/>
        <w:ind w:firstLine="240"/>
        <w:jc w:val="center"/>
        <w:rPr>
          <w:color w:val="000000"/>
          <w:highlight w:val="none"/>
        </w:rPr>
      </w:pPr>
      <w:r>
        <w:rPr>
          <w:color w:val="000000"/>
          <w:highlight w:val="none"/>
        </w:rPr>
        <w:t> </w:t>
      </w:r>
    </w:p>
    <w:p w14:paraId="66D7C301">
      <w:pPr>
        <w:pStyle w:val="85"/>
        <w:spacing w:beforeAutospacing="0" w:afterAutospacing="0" w:line="0" w:lineRule="atLeast"/>
        <w:ind w:firstLine="240"/>
        <w:jc w:val="center"/>
        <w:rPr>
          <w:color w:val="000000"/>
          <w:highlight w:val="none"/>
        </w:rPr>
      </w:pPr>
      <w:r>
        <w:rPr>
          <w:color w:val="000000"/>
          <w:highlight w:val="none"/>
        </w:rPr>
        <w:t> </w:t>
      </w:r>
    </w:p>
    <w:p w14:paraId="6E28A4FD">
      <w:pPr>
        <w:pStyle w:val="85"/>
        <w:spacing w:beforeAutospacing="0" w:afterAutospacing="0" w:line="0" w:lineRule="atLeast"/>
        <w:ind w:firstLine="240"/>
        <w:jc w:val="center"/>
        <w:rPr>
          <w:color w:val="000000"/>
          <w:highlight w:val="none"/>
        </w:rPr>
      </w:pPr>
    </w:p>
    <w:p w14:paraId="66176736">
      <w:pPr>
        <w:pStyle w:val="85"/>
        <w:spacing w:beforeAutospacing="0" w:afterAutospacing="0" w:line="0" w:lineRule="atLeast"/>
        <w:ind w:firstLine="240"/>
        <w:jc w:val="center"/>
        <w:rPr>
          <w:color w:val="000000"/>
          <w:highlight w:val="none"/>
        </w:rPr>
      </w:pPr>
    </w:p>
    <w:p w14:paraId="5C1544A5">
      <w:pPr>
        <w:pStyle w:val="85"/>
        <w:spacing w:beforeAutospacing="0" w:afterAutospacing="0" w:line="0" w:lineRule="atLeast"/>
        <w:jc w:val="both"/>
        <w:rPr>
          <w:color w:val="000000"/>
          <w:highlight w:val="none"/>
        </w:rPr>
      </w:pPr>
      <w:r>
        <w:rPr>
          <w:color w:val="000000"/>
          <w:highlight w:val="none"/>
        </w:rPr>
        <w:t> </w:t>
      </w:r>
    </w:p>
    <w:p w14:paraId="48E2E6D3">
      <w:pPr>
        <w:pStyle w:val="85"/>
        <w:spacing w:beforeAutospacing="0" w:afterAutospacing="0" w:line="0" w:lineRule="atLeast"/>
        <w:jc w:val="center"/>
        <w:rPr>
          <w:color w:val="000000"/>
          <w:highlight w:val="none"/>
        </w:rPr>
      </w:pPr>
      <w:r>
        <w:rPr>
          <w:rFonts w:hint="eastAsia" w:ascii="黑体" w:hAnsi="宋体" w:eastAsia="黑体" w:cs="黑体"/>
          <w:b/>
          <w:color w:val="000000"/>
          <w:sz w:val="32"/>
          <w:szCs w:val="32"/>
          <w:highlight w:val="none"/>
        </w:rPr>
        <w:t>九、</w:t>
      </w:r>
      <w:r>
        <w:rPr>
          <w:rFonts w:hint="eastAsia" w:ascii="黑体" w:hAnsi="宋体" w:eastAsia="黑体" w:cs="黑体"/>
          <w:b/>
          <w:color w:val="000000"/>
          <w:sz w:val="32"/>
          <w:szCs w:val="32"/>
          <w:highlight w:val="none"/>
          <w:lang w:val="en-US" w:eastAsia="zh-CN"/>
        </w:rPr>
        <w:t>中小</w:t>
      </w:r>
      <w:r>
        <w:rPr>
          <w:rFonts w:hint="eastAsia" w:ascii="黑体" w:hAnsi="宋体" w:eastAsia="黑体" w:cs="黑体"/>
          <w:b/>
          <w:color w:val="000000"/>
          <w:sz w:val="32"/>
          <w:szCs w:val="32"/>
          <w:highlight w:val="none"/>
        </w:rPr>
        <w:t>企业声明函（服务）（分包号：**）</w:t>
      </w:r>
    </w:p>
    <w:p w14:paraId="153F2866">
      <w:pPr>
        <w:spacing w:line="500" w:lineRule="exact"/>
        <w:ind w:firstLine="480"/>
        <w:jc w:val="both"/>
        <w:rPr>
          <w:rFonts w:hint="eastAsia"/>
          <w:color w:val="000000"/>
          <w:sz w:val="24"/>
          <w:highlight w:val="none"/>
        </w:rPr>
      </w:pPr>
      <w:r>
        <w:rPr>
          <w:rFonts w:hint="eastAsia"/>
          <w:color w:val="000000"/>
          <w:sz w:val="24"/>
          <w:highlight w:val="none"/>
        </w:rPr>
        <w:t>本公司（联合体）郑重声明，根据《政府采购促进中小企业发展管理办法》（财库﹝2020﹞46 号）的规定，本公司（联合体）参加盐城市政府采购中心组织的</w:t>
      </w:r>
      <w:r>
        <w:rPr>
          <w:rFonts w:hint="eastAsia"/>
          <w:i/>
          <w:iCs/>
          <w:color w:val="000000"/>
          <w:sz w:val="24"/>
          <w:szCs w:val="24"/>
          <w:highlight w:val="none"/>
          <w:u w:val="single"/>
        </w:rPr>
        <w:t>（单位名称）</w:t>
      </w:r>
      <w:r>
        <w:rPr>
          <w:rFonts w:hint="eastAsia"/>
          <w:color w:val="000000"/>
          <w:sz w:val="24"/>
          <w:szCs w:val="20"/>
          <w:highlight w:val="none"/>
        </w:rPr>
        <w:t>，</w:t>
      </w:r>
      <w:r>
        <w:rPr>
          <w:rFonts w:hint="eastAsia"/>
          <w:color w:val="000000"/>
          <w:sz w:val="24"/>
          <w:highlight w:val="none"/>
        </w:rPr>
        <w:t>采购编号为</w:t>
      </w:r>
      <w:r>
        <w:rPr>
          <w:rFonts w:hint="eastAsia"/>
          <w:color w:val="000000"/>
          <w:sz w:val="24"/>
          <w:highlight w:val="none"/>
          <w:u w:val="single"/>
          <w:lang w:val="en-US" w:eastAsia="zh-CN"/>
        </w:rPr>
        <w:t xml:space="preserve">     </w:t>
      </w:r>
      <w:r>
        <w:rPr>
          <w:rFonts w:hint="eastAsia"/>
          <w:color w:val="000000"/>
          <w:sz w:val="24"/>
          <w:highlight w:val="none"/>
          <w:lang w:val="en-US" w:eastAsia="zh-CN"/>
        </w:rPr>
        <w:t>的</w:t>
      </w:r>
      <w:r>
        <w:rPr>
          <w:rFonts w:hint="eastAsia"/>
          <w:i/>
          <w:iCs/>
          <w:color w:val="000000"/>
          <w:sz w:val="24"/>
          <w:highlight w:val="none"/>
          <w:u w:val="single"/>
        </w:rPr>
        <w:t>（项目名称）</w:t>
      </w:r>
      <w:r>
        <w:rPr>
          <w:rFonts w:hint="eastAsia"/>
          <w:color w:val="000000"/>
          <w:sz w:val="24"/>
          <w:highlight w:val="none"/>
        </w:rPr>
        <w:t>的采购活动，服务全部由符合政策要求的中小企业承接。相关企业（含联合体中的中小企业、签订分包意向协议的中小企业）的具体情况如下：</w:t>
      </w:r>
    </w:p>
    <w:p w14:paraId="27CB49E5">
      <w:pPr>
        <w:numPr>
          <w:ilvl w:val="0"/>
          <w:numId w:val="2"/>
        </w:numPr>
        <w:spacing w:line="500" w:lineRule="exact"/>
        <w:ind w:firstLine="480"/>
        <w:jc w:val="both"/>
        <w:rPr>
          <w:rFonts w:hint="eastAsia"/>
          <w:color w:val="000000"/>
          <w:sz w:val="24"/>
          <w:highlight w:val="none"/>
        </w:rPr>
      </w:pPr>
      <w:r>
        <w:rPr>
          <w:rFonts w:hint="eastAsia"/>
          <w:i/>
          <w:iCs/>
          <w:color w:val="000000"/>
          <w:sz w:val="24"/>
          <w:highlight w:val="none"/>
          <w:u w:val="single"/>
        </w:rPr>
        <w:t>（标的名称）</w:t>
      </w:r>
      <w:r>
        <w:rPr>
          <w:rFonts w:hint="eastAsia"/>
          <w:color w:val="000000"/>
          <w:sz w:val="24"/>
          <w:highlight w:val="none"/>
        </w:rPr>
        <w:t xml:space="preserve"> ，属于</w:t>
      </w:r>
      <w:r>
        <w:rPr>
          <w:rFonts w:hint="eastAsia"/>
          <w:i/>
          <w:iCs/>
          <w:color w:val="000000"/>
          <w:sz w:val="24"/>
          <w:highlight w:val="none"/>
          <w:u w:val="single"/>
        </w:rPr>
        <w:t>（采购文件中明确的所属行业）</w:t>
      </w:r>
      <w:r>
        <w:rPr>
          <w:rFonts w:hint="eastAsia"/>
          <w:color w:val="000000"/>
          <w:sz w:val="24"/>
          <w:highlight w:val="none"/>
        </w:rPr>
        <w:t>；承建（承接）企业为</w:t>
      </w:r>
      <w:r>
        <w:rPr>
          <w:rFonts w:hint="eastAsia"/>
          <w:i/>
          <w:iCs/>
          <w:color w:val="000000"/>
          <w:sz w:val="24"/>
          <w:highlight w:val="none"/>
          <w:u w:val="single"/>
        </w:rPr>
        <w:t>（企业名称）</w:t>
      </w:r>
      <w:r>
        <w:rPr>
          <w:rFonts w:hint="eastAsia"/>
          <w:color w:val="000000"/>
          <w:sz w:val="24"/>
          <w:highlight w:val="none"/>
        </w:rPr>
        <w:t>，从业人员</w:t>
      </w:r>
      <w:r>
        <w:rPr>
          <w:rFonts w:hint="eastAsia"/>
          <w:color w:val="000000"/>
          <w:sz w:val="24"/>
          <w:highlight w:val="none"/>
          <w:u w:val="single"/>
          <w:lang w:val="en-US" w:eastAsia="zh-CN"/>
        </w:rPr>
        <w:t xml:space="preserve">    </w:t>
      </w:r>
      <w:r>
        <w:rPr>
          <w:rFonts w:hint="eastAsia"/>
          <w:color w:val="000000"/>
          <w:sz w:val="24"/>
          <w:highlight w:val="none"/>
        </w:rPr>
        <w:t>人，营业收入为</w:t>
      </w:r>
      <w:r>
        <w:rPr>
          <w:rFonts w:hint="eastAsia"/>
          <w:color w:val="000000"/>
          <w:sz w:val="24"/>
          <w:highlight w:val="none"/>
          <w:u w:val="single"/>
          <w:lang w:val="en-US" w:eastAsia="zh-CN"/>
        </w:rPr>
        <w:t xml:space="preserve">    </w:t>
      </w:r>
      <w:r>
        <w:rPr>
          <w:rFonts w:hint="eastAsia"/>
          <w:color w:val="000000"/>
          <w:sz w:val="24"/>
          <w:highlight w:val="none"/>
        </w:rPr>
        <w:t>万元，资产总额为</w:t>
      </w:r>
      <w:r>
        <w:rPr>
          <w:rFonts w:hint="eastAsia"/>
          <w:color w:val="000000"/>
          <w:sz w:val="24"/>
          <w:highlight w:val="none"/>
          <w:u w:val="single"/>
          <w:lang w:val="en-US" w:eastAsia="zh-CN"/>
        </w:rPr>
        <w:t xml:space="preserve">    </w:t>
      </w:r>
      <w:r>
        <w:rPr>
          <w:rFonts w:hint="eastAsia"/>
          <w:color w:val="000000"/>
          <w:sz w:val="24"/>
          <w:highlight w:val="none"/>
        </w:rPr>
        <w:t>万元，属于（</w:t>
      </w:r>
      <w:r>
        <w:rPr>
          <w:rFonts w:hint="eastAsia"/>
          <w:i/>
          <w:iCs/>
          <w:color w:val="000000"/>
          <w:sz w:val="24"/>
          <w:highlight w:val="none"/>
          <w:u w:val="single"/>
        </w:rPr>
        <w:t>中型企业、小型企业、微型企业</w:t>
      </w:r>
      <w:r>
        <w:rPr>
          <w:rFonts w:hint="eastAsia"/>
          <w:color w:val="000000"/>
          <w:sz w:val="24"/>
          <w:highlight w:val="none"/>
        </w:rPr>
        <w:t>）；</w:t>
      </w:r>
    </w:p>
    <w:p w14:paraId="316E47BD">
      <w:pPr>
        <w:numPr>
          <w:ilvl w:val="0"/>
          <w:numId w:val="2"/>
        </w:numPr>
        <w:spacing w:line="500" w:lineRule="exact"/>
        <w:ind w:left="0" w:firstLine="480"/>
        <w:jc w:val="both"/>
        <w:rPr>
          <w:rFonts w:hint="eastAsia"/>
          <w:color w:val="000000"/>
          <w:sz w:val="24"/>
          <w:highlight w:val="none"/>
        </w:rPr>
      </w:pPr>
      <w:r>
        <w:rPr>
          <w:rFonts w:hint="eastAsia"/>
          <w:i/>
          <w:iCs/>
          <w:color w:val="000000"/>
          <w:sz w:val="24"/>
          <w:highlight w:val="none"/>
          <w:u w:val="single"/>
        </w:rPr>
        <w:t>（标的名称）</w:t>
      </w:r>
      <w:r>
        <w:rPr>
          <w:rFonts w:hint="eastAsia"/>
          <w:color w:val="000000"/>
          <w:sz w:val="24"/>
          <w:highlight w:val="none"/>
        </w:rPr>
        <w:t xml:space="preserve"> ，属于</w:t>
      </w:r>
      <w:r>
        <w:rPr>
          <w:rFonts w:hint="eastAsia"/>
          <w:i/>
          <w:iCs/>
          <w:color w:val="000000"/>
          <w:sz w:val="24"/>
          <w:highlight w:val="none"/>
          <w:u w:val="single"/>
        </w:rPr>
        <w:t>（采购文件中明确的所属行业）</w:t>
      </w:r>
      <w:r>
        <w:rPr>
          <w:rFonts w:hint="eastAsia"/>
          <w:color w:val="000000"/>
          <w:sz w:val="24"/>
          <w:highlight w:val="none"/>
        </w:rPr>
        <w:t>；承建（承接）企业为</w:t>
      </w:r>
      <w:r>
        <w:rPr>
          <w:rFonts w:hint="eastAsia"/>
          <w:i/>
          <w:iCs/>
          <w:color w:val="000000"/>
          <w:sz w:val="24"/>
          <w:highlight w:val="none"/>
          <w:u w:val="single"/>
        </w:rPr>
        <w:t>（企业名称）</w:t>
      </w:r>
      <w:r>
        <w:rPr>
          <w:rFonts w:hint="eastAsia"/>
          <w:color w:val="000000"/>
          <w:sz w:val="24"/>
          <w:highlight w:val="none"/>
        </w:rPr>
        <w:t>，从业人员</w:t>
      </w:r>
      <w:r>
        <w:rPr>
          <w:rFonts w:hint="eastAsia"/>
          <w:color w:val="000000"/>
          <w:sz w:val="24"/>
          <w:highlight w:val="none"/>
          <w:u w:val="single"/>
          <w:lang w:val="en-US" w:eastAsia="zh-CN"/>
        </w:rPr>
        <w:t xml:space="preserve">    </w:t>
      </w:r>
      <w:r>
        <w:rPr>
          <w:rFonts w:hint="eastAsia"/>
          <w:color w:val="000000"/>
          <w:sz w:val="24"/>
          <w:highlight w:val="none"/>
        </w:rPr>
        <w:t>人，营业收入为</w:t>
      </w:r>
      <w:r>
        <w:rPr>
          <w:rFonts w:hint="eastAsia"/>
          <w:color w:val="000000"/>
          <w:sz w:val="24"/>
          <w:highlight w:val="none"/>
          <w:u w:val="single"/>
          <w:lang w:val="en-US" w:eastAsia="zh-CN"/>
        </w:rPr>
        <w:t xml:space="preserve">    </w:t>
      </w:r>
      <w:r>
        <w:rPr>
          <w:rFonts w:hint="eastAsia"/>
          <w:color w:val="000000"/>
          <w:sz w:val="24"/>
          <w:highlight w:val="none"/>
        </w:rPr>
        <w:t>万元，资产总额为</w:t>
      </w:r>
      <w:r>
        <w:rPr>
          <w:rFonts w:hint="eastAsia"/>
          <w:color w:val="000000"/>
          <w:sz w:val="24"/>
          <w:highlight w:val="none"/>
          <w:u w:val="single"/>
          <w:lang w:val="en-US" w:eastAsia="zh-CN"/>
        </w:rPr>
        <w:t xml:space="preserve">    </w:t>
      </w:r>
      <w:r>
        <w:rPr>
          <w:rFonts w:hint="eastAsia"/>
          <w:color w:val="000000"/>
          <w:sz w:val="24"/>
          <w:highlight w:val="none"/>
        </w:rPr>
        <w:t>万元，属于</w:t>
      </w:r>
      <w:r>
        <w:rPr>
          <w:rFonts w:hint="eastAsia"/>
          <w:i/>
          <w:iCs/>
          <w:color w:val="000000"/>
          <w:sz w:val="24"/>
          <w:highlight w:val="none"/>
          <w:u w:val="single"/>
        </w:rPr>
        <w:t>（中型企业、小型企业、微型企业）</w:t>
      </w:r>
      <w:r>
        <w:rPr>
          <w:rFonts w:hint="eastAsia"/>
          <w:color w:val="000000"/>
          <w:sz w:val="24"/>
          <w:highlight w:val="none"/>
        </w:rPr>
        <w:t>；</w:t>
      </w:r>
    </w:p>
    <w:p w14:paraId="6B4FF078">
      <w:pPr>
        <w:numPr>
          <w:ilvl w:val="0"/>
          <w:numId w:val="0"/>
        </w:numPr>
        <w:spacing w:line="500" w:lineRule="exact"/>
        <w:ind w:firstLine="480"/>
        <w:jc w:val="both"/>
        <w:rPr>
          <w:rFonts w:hint="eastAsia"/>
          <w:color w:val="000000"/>
          <w:sz w:val="24"/>
          <w:highlight w:val="none"/>
        </w:rPr>
      </w:pPr>
      <w:r>
        <w:rPr>
          <w:rFonts w:hint="eastAsia"/>
          <w:color w:val="000000"/>
          <w:sz w:val="24"/>
          <w:highlight w:val="none"/>
        </w:rPr>
        <w:t>……</w:t>
      </w:r>
    </w:p>
    <w:p w14:paraId="69B79D31">
      <w:pPr>
        <w:numPr>
          <w:ilvl w:val="0"/>
          <w:numId w:val="0"/>
        </w:numPr>
        <w:spacing w:line="500" w:lineRule="exact"/>
        <w:ind w:firstLine="480"/>
        <w:jc w:val="both"/>
        <w:rPr>
          <w:rFonts w:hint="eastAsia"/>
          <w:color w:val="000000"/>
          <w:sz w:val="24"/>
          <w:highlight w:val="none"/>
        </w:rPr>
      </w:pPr>
      <w:r>
        <w:rPr>
          <w:rFonts w:hint="eastAsia"/>
          <w:color w:val="000000"/>
          <w:sz w:val="24"/>
          <w:highlight w:val="none"/>
        </w:rPr>
        <w:t>以上企业，不属于大企业的分支机构，不存在控股股东为大企业的情形，也不存在与大企业的负责人为同一人的情形。</w:t>
      </w:r>
    </w:p>
    <w:p w14:paraId="0EFD3923">
      <w:pPr>
        <w:numPr>
          <w:ilvl w:val="0"/>
          <w:numId w:val="0"/>
        </w:numPr>
        <w:spacing w:line="500" w:lineRule="exact"/>
        <w:ind w:firstLine="480"/>
        <w:jc w:val="both"/>
        <w:rPr>
          <w:rFonts w:hint="eastAsia"/>
          <w:color w:val="000000"/>
          <w:sz w:val="24"/>
          <w:highlight w:val="none"/>
        </w:rPr>
      </w:pPr>
      <w:r>
        <w:rPr>
          <w:rFonts w:hint="eastAsia"/>
          <w:color w:val="000000"/>
          <w:sz w:val="24"/>
          <w:highlight w:val="none"/>
        </w:rPr>
        <w:t>本企业对上述声明内容的真实性负责。如有虚假，将依法承担相应责任。</w:t>
      </w:r>
    </w:p>
    <w:p w14:paraId="4B2271CF">
      <w:pPr>
        <w:pStyle w:val="85"/>
        <w:spacing w:beforeAutospacing="0" w:afterAutospacing="0" w:line="0" w:lineRule="atLeast"/>
        <w:ind w:right="720"/>
        <w:jc w:val="both"/>
        <w:rPr>
          <w:color w:val="000000"/>
          <w:highlight w:val="none"/>
        </w:rPr>
      </w:pPr>
      <w:r>
        <w:rPr>
          <w:color w:val="000000"/>
          <w:highlight w:val="none"/>
        </w:rPr>
        <w:t> </w:t>
      </w:r>
    </w:p>
    <w:p w14:paraId="28885178">
      <w:pPr>
        <w:pStyle w:val="85"/>
        <w:spacing w:beforeAutospacing="0" w:afterAutospacing="0" w:line="0" w:lineRule="atLeast"/>
        <w:ind w:right="180" w:firstLine="360"/>
        <w:jc w:val="right"/>
        <w:rPr>
          <w:color w:val="000000"/>
          <w:highlight w:val="none"/>
        </w:rPr>
      </w:pPr>
      <w:r>
        <w:rPr>
          <w:rFonts w:hint="eastAsia" w:ascii="宋体" w:hAnsi="宋体" w:eastAsia="宋体" w:cs="宋体"/>
          <w:color w:val="000000"/>
          <w:highlight w:val="none"/>
        </w:rPr>
        <w:t>企业名称（加盖CA电子公章）：</w:t>
      </w:r>
    </w:p>
    <w:p w14:paraId="17BF2252">
      <w:pPr>
        <w:pStyle w:val="85"/>
        <w:spacing w:beforeAutospacing="0" w:afterAutospacing="0" w:line="0" w:lineRule="atLeast"/>
        <w:ind w:right="480" w:firstLine="5400"/>
        <w:jc w:val="both"/>
        <w:rPr>
          <w:color w:val="000000"/>
          <w:highlight w:val="none"/>
        </w:rPr>
      </w:pPr>
      <w:r>
        <w:rPr>
          <w:rFonts w:hint="eastAsia" w:ascii="宋体" w:hAnsi="宋体" w:eastAsia="宋体" w:cs="宋体"/>
          <w:color w:val="000000"/>
          <w:highlight w:val="none"/>
        </w:rPr>
        <w:t>日  期：</w:t>
      </w:r>
    </w:p>
    <w:p w14:paraId="789F1B5E">
      <w:pPr>
        <w:pStyle w:val="85"/>
        <w:spacing w:beforeAutospacing="0" w:afterAutospacing="0" w:line="0" w:lineRule="atLeast"/>
        <w:ind w:firstLine="240"/>
        <w:jc w:val="both"/>
        <w:rPr>
          <w:color w:val="000000"/>
          <w:highlight w:val="none"/>
        </w:rPr>
      </w:pPr>
      <w:r>
        <w:rPr>
          <w:color w:val="000000"/>
          <w:highlight w:val="none"/>
        </w:rPr>
        <w:t> </w:t>
      </w:r>
    </w:p>
    <w:p w14:paraId="1C2EFA33">
      <w:pPr>
        <w:pStyle w:val="85"/>
        <w:spacing w:beforeAutospacing="0" w:afterAutospacing="0" w:line="0" w:lineRule="atLeast"/>
        <w:ind w:firstLine="480"/>
        <w:jc w:val="both"/>
        <w:rPr>
          <w:color w:val="000000"/>
          <w:highlight w:val="none"/>
        </w:rPr>
      </w:pPr>
      <w:r>
        <w:rPr>
          <w:rFonts w:hint="eastAsia" w:ascii="宋体" w:hAnsi="宋体" w:eastAsia="宋体" w:cs="宋体"/>
          <w:color w:val="000000"/>
          <w:highlight w:val="none"/>
        </w:rPr>
        <w:t>备注1：从业人员、营业收入、资产总额填报上一年度数据，无上一年度数据的新成立企业可不填报。</w:t>
      </w:r>
    </w:p>
    <w:p w14:paraId="42B5A1C5">
      <w:pPr>
        <w:pStyle w:val="85"/>
        <w:spacing w:beforeAutospacing="0" w:afterAutospacing="0" w:line="0" w:lineRule="atLeast"/>
        <w:ind w:firstLine="480"/>
        <w:jc w:val="both"/>
        <w:rPr>
          <w:color w:val="000000"/>
          <w:highlight w:val="none"/>
        </w:rPr>
      </w:pPr>
      <w:r>
        <w:rPr>
          <w:rFonts w:hint="eastAsia" w:ascii="宋体" w:hAnsi="宋体" w:eastAsia="宋体" w:cs="宋体"/>
          <w:color w:val="000000"/>
          <w:highlight w:val="none"/>
        </w:rPr>
        <w:t>备注2：供应商如不提供此声明函，价格将不做相应扣除</w:t>
      </w:r>
      <w:r>
        <w:rPr>
          <w:rFonts w:hint="eastAsia" w:ascii="宋体" w:hAnsi="宋体" w:eastAsia="宋体" w:cs="宋体"/>
          <w:color w:val="000000"/>
          <w:highlight w:val="none"/>
          <w:lang w:eastAsia="zh-CN"/>
        </w:rPr>
        <w:t>（如项目全面面向中小企业，则资格审查不通过）</w:t>
      </w:r>
      <w:r>
        <w:rPr>
          <w:rFonts w:hint="eastAsia" w:ascii="宋体" w:hAnsi="宋体" w:eastAsia="宋体" w:cs="宋体"/>
          <w:color w:val="000000"/>
          <w:highlight w:val="none"/>
        </w:rPr>
        <w:t>。</w:t>
      </w:r>
    </w:p>
    <w:p w14:paraId="183EA011">
      <w:pPr>
        <w:pStyle w:val="85"/>
        <w:spacing w:beforeAutospacing="0" w:afterAutospacing="0" w:line="360" w:lineRule="auto"/>
        <w:jc w:val="center"/>
        <w:rPr>
          <w:color w:val="000000"/>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t> 十、残疾人福利性单位声明函（分包号：**）</w:t>
      </w:r>
    </w:p>
    <w:p w14:paraId="488D08A9">
      <w:pPr>
        <w:pStyle w:val="85"/>
        <w:spacing w:beforeAutospacing="0" w:afterAutospacing="0" w:line="360" w:lineRule="auto"/>
        <w:ind w:firstLine="480"/>
        <w:jc w:val="both"/>
        <w:rPr>
          <w:color w:val="000000"/>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〔2017〕141号</w:t>
      </w:r>
      <w:r>
        <w:rPr>
          <w:rFonts w:hint="eastAsia" w:ascii="宋体" w:hAnsi="宋体" w:eastAsia="宋体" w:cs="宋体"/>
          <w:color w:val="000000"/>
          <w:highlight w:val="none"/>
        </w:rPr>
        <w:t>）的规定，本单位为符合条件的残疾人福利性单位，且本单位参加______单位的采购文件编号为______的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项目（分包号：**）采购活动由本单位提供服务。</w:t>
      </w:r>
    </w:p>
    <w:p w14:paraId="2BB6C96C">
      <w:pPr>
        <w:pStyle w:val="85"/>
        <w:spacing w:beforeAutospacing="0" w:afterAutospacing="0" w:line="360" w:lineRule="auto"/>
        <w:ind w:firstLine="480"/>
        <w:jc w:val="both"/>
        <w:rPr>
          <w:color w:val="000000"/>
          <w:highlight w:val="none"/>
        </w:rPr>
      </w:pPr>
      <w:r>
        <w:rPr>
          <w:rFonts w:hint="eastAsia" w:ascii="宋体" w:hAnsi="宋体" w:eastAsia="宋体" w:cs="宋体"/>
          <w:color w:val="000000"/>
          <w:highlight w:val="none"/>
        </w:rPr>
        <w:t>本单位对上述声明的真实性负责。如有虚假，将依法承担相应责任。</w:t>
      </w:r>
    </w:p>
    <w:p w14:paraId="064B6DBE">
      <w:pPr>
        <w:pStyle w:val="85"/>
        <w:spacing w:beforeAutospacing="0" w:afterAutospacing="0" w:line="360" w:lineRule="auto"/>
        <w:ind w:firstLine="480"/>
        <w:jc w:val="both"/>
        <w:rPr>
          <w:color w:val="000000"/>
          <w:highlight w:val="none"/>
        </w:rPr>
      </w:pPr>
      <w:r>
        <w:rPr>
          <w:color w:val="000000"/>
          <w:highlight w:val="none"/>
        </w:rPr>
        <w:t> </w:t>
      </w:r>
    </w:p>
    <w:p w14:paraId="2E1D8686">
      <w:pPr>
        <w:pStyle w:val="85"/>
        <w:spacing w:beforeAutospacing="0" w:afterAutospacing="0" w:line="360" w:lineRule="auto"/>
        <w:ind w:firstLine="480"/>
        <w:jc w:val="both"/>
        <w:rPr>
          <w:color w:val="000000"/>
          <w:highlight w:val="none"/>
        </w:rPr>
      </w:pPr>
      <w:r>
        <w:rPr>
          <w:rFonts w:hint="eastAsia" w:ascii="宋体" w:hAnsi="宋体" w:eastAsia="宋体" w:cs="宋体"/>
          <w:color w:val="000000"/>
          <w:highlight w:val="none"/>
        </w:rPr>
        <w:t>备注：1、供应商如不提供此声明函，价格将不做相应扣除</w:t>
      </w:r>
      <w:r>
        <w:rPr>
          <w:rFonts w:hint="eastAsia" w:ascii="宋体" w:hAnsi="宋体" w:eastAsia="宋体" w:cs="宋体"/>
          <w:color w:val="000000"/>
          <w:highlight w:val="none"/>
          <w:lang w:eastAsia="zh-CN"/>
        </w:rPr>
        <w:t>（如项目全面面向中小企业，则资格审查不通过）</w:t>
      </w:r>
      <w:r>
        <w:rPr>
          <w:rFonts w:hint="eastAsia" w:ascii="宋体" w:hAnsi="宋体" w:eastAsia="宋体" w:cs="宋体"/>
          <w:color w:val="000000"/>
          <w:highlight w:val="none"/>
        </w:rPr>
        <w:t>。2、中标人为残疾人福利单位的，此声明函将随中标结果同时公告，接受社会监督</w:t>
      </w:r>
    </w:p>
    <w:p w14:paraId="0F24C69B">
      <w:pPr>
        <w:pStyle w:val="85"/>
        <w:spacing w:beforeAutospacing="0" w:afterAutospacing="0" w:line="360" w:lineRule="auto"/>
        <w:ind w:firstLine="624"/>
        <w:jc w:val="both"/>
        <w:rPr>
          <w:color w:val="000000"/>
          <w:highlight w:val="none"/>
        </w:rPr>
      </w:pPr>
      <w:r>
        <w:rPr>
          <w:color w:val="000000"/>
          <w:highlight w:val="none"/>
        </w:rPr>
        <w:t> </w:t>
      </w:r>
    </w:p>
    <w:p w14:paraId="69C62341">
      <w:pPr>
        <w:pStyle w:val="85"/>
        <w:tabs>
          <w:tab w:val="left" w:pos="4864"/>
        </w:tabs>
        <w:spacing w:beforeAutospacing="0" w:afterAutospacing="0" w:line="360" w:lineRule="auto"/>
        <w:ind w:right="1560" w:firstLine="624"/>
        <w:jc w:val="center"/>
        <w:rPr>
          <w:color w:val="000000"/>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供应商全称（加盖CA电子公章）：</w:t>
      </w:r>
    </w:p>
    <w:p w14:paraId="06CE9C84">
      <w:pPr>
        <w:pStyle w:val="85"/>
        <w:tabs>
          <w:tab w:val="left" w:pos="4864"/>
        </w:tabs>
        <w:spacing w:beforeAutospacing="0" w:afterAutospacing="0" w:line="360" w:lineRule="auto"/>
        <w:ind w:right="1560" w:firstLine="480"/>
        <w:jc w:val="center"/>
        <w:rPr>
          <w:color w:val="000000"/>
          <w:highlight w:val="none"/>
        </w:rPr>
      </w:pPr>
      <w:r>
        <w:rPr>
          <w:rFonts w:hint="eastAsia" w:ascii="宋体" w:hAnsi="宋体" w:eastAsia="宋体" w:cs="宋体"/>
          <w:color w:val="000000"/>
          <w:highlight w:val="none"/>
        </w:rPr>
        <w:t>        日  期：</w:t>
      </w:r>
    </w:p>
    <w:p w14:paraId="44CBFD8C">
      <w:pPr>
        <w:pStyle w:val="85"/>
        <w:spacing w:beforeAutospacing="0" w:afterAutospacing="0" w:line="0" w:lineRule="atLeast"/>
        <w:jc w:val="center"/>
        <w:rPr>
          <w:color w:val="000000"/>
          <w:highlight w:val="none"/>
        </w:rPr>
      </w:pPr>
      <w:r>
        <w:rPr>
          <w:color w:val="000000"/>
          <w:highlight w:val="none"/>
        </w:rPr>
        <w:t> </w:t>
      </w:r>
    </w:p>
    <w:p w14:paraId="64C1DAFE">
      <w:pPr>
        <w:pStyle w:val="85"/>
        <w:spacing w:beforeAutospacing="0" w:afterAutospacing="0" w:line="0" w:lineRule="atLeast"/>
        <w:jc w:val="center"/>
        <w:rPr>
          <w:color w:val="000000"/>
          <w:highlight w:val="none"/>
        </w:rPr>
      </w:pPr>
      <w:r>
        <w:rPr>
          <w:color w:val="000000"/>
          <w:highlight w:val="none"/>
        </w:rPr>
        <w:t> </w:t>
      </w:r>
    </w:p>
    <w:p w14:paraId="65808584">
      <w:pPr>
        <w:pStyle w:val="85"/>
        <w:spacing w:beforeAutospacing="0" w:afterAutospacing="0" w:line="0" w:lineRule="atLeast"/>
        <w:jc w:val="center"/>
        <w:rPr>
          <w:color w:val="000000"/>
          <w:highlight w:val="none"/>
        </w:rPr>
      </w:pPr>
      <w:r>
        <w:rPr>
          <w:color w:val="000000"/>
          <w:highlight w:val="none"/>
        </w:rPr>
        <w:t> </w:t>
      </w:r>
    </w:p>
    <w:p w14:paraId="49B27414">
      <w:pPr>
        <w:pStyle w:val="85"/>
        <w:spacing w:beforeAutospacing="0" w:afterAutospacing="0" w:line="0" w:lineRule="atLeast"/>
        <w:jc w:val="center"/>
        <w:rPr>
          <w:color w:val="000000"/>
          <w:highlight w:val="none"/>
        </w:rPr>
      </w:pPr>
      <w:r>
        <w:rPr>
          <w:color w:val="000000"/>
          <w:highlight w:val="none"/>
        </w:rPr>
        <w:t> </w:t>
      </w:r>
    </w:p>
    <w:p w14:paraId="007999B3">
      <w:pPr>
        <w:pStyle w:val="85"/>
        <w:spacing w:beforeAutospacing="0" w:afterAutospacing="0" w:line="0" w:lineRule="atLeast"/>
        <w:jc w:val="center"/>
        <w:rPr>
          <w:color w:val="000000"/>
          <w:highlight w:val="none"/>
        </w:rPr>
      </w:pPr>
      <w:r>
        <w:rPr>
          <w:color w:val="000000"/>
          <w:highlight w:val="none"/>
        </w:rPr>
        <w:t> </w:t>
      </w:r>
    </w:p>
    <w:p w14:paraId="4DF44653">
      <w:pPr>
        <w:pStyle w:val="85"/>
        <w:spacing w:beforeAutospacing="0" w:afterAutospacing="0" w:line="0" w:lineRule="atLeast"/>
        <w:jc w:val="center"/>
        <w:rPr>
          <w:color w:val="000000"/>
          <w:highlight w:val="none"/>
        </w:rPr>
      </w:pPr>
      <w:r>
        <w:rPr>
          <w:color w:val="000000"/>
          <w:highlight w:val="none"/>
        </w:rPr>
        <w:t> </w:t>
      </w:r>
    </w:p>
    <w:p w14:paraId="61F170EE">
      <w:pPr>
        <w:pStyle w:val="85"/>
        <w:spacing w:beforeAutospacing="0" w:afterAutospacing="0" w:line="0" w:lineRule="atLeast"/>
        <w:jc w:val="center"/>
        <w:rPr>
          <w:color w:val="000000"/>
          <w:highlight w:val="none"/>
        </w:rPr>
      </w:pPr>
      <w:r>
        <w:rPr>
          <w:color w:val="000000"/>
          <w:highlight w:val="none"/>
        </w:rPr>
        <w:t> </w:t>
      </w:r>
    </w:p>
    <w:p w14:paraId="405FDB2E">
      <w:pPr>
        <w:pStyle w:val="85"/>
        <w:spacing w:beforeAutospacing="0" w:afterAutospacing="0" w:line="0" w:lineRule="atLeast"/>
        <w:jc w:val="center"/>
        <w:rPr>
          <w:color w:val="000000"/>
          <w:highlight w:val="none"/>
        </w:rPr>
      </w:pPr>
      <w:r>
        <w:rPr>
          <w:color w:val="000000"/>
          <w:highlight w:val="none"/>
        </w:rPr>
        <w:t> </w:t>
      </w:r>
    </w:p>
    <w:p w14:paraId="3592D78B">
      <w:pPr>
        <w:pStyle w:val="85"/>
        <w:spacing w:beforeAutospacing="0" w:afterAutospacing="0" w:line="0" w:lineRule="atLeast"/>
        <w:jc w:val="center"/>
        <w:rPr>
          <w:color w:val="000000"/>
          <w:highlight w:val="none"/>
        </w:rPr>
      </w:pPr>
    </w:p>
    <w:p w14:paraId="7C5AEE3F">
      <w:pPr>
        <w:pStyle w:val="85"/>
        <w:spacing w:beforeAutospacing="0" w:afterAutospacing="0" w:line="0" w:lineRule="atLeast"/>
        <w:jc w:val="center"/>
        <w:rPr>
          <w:color w:val="000000"/>
          <w:highlight w:val="none"/>
        </w:rPr>
      </w:pPr>
    </w:p>
    <w:p w14:paraId="1A12D127">
      <w:pPr>
        <w:pStyle w:val="85"/>
        <w:spacing w:beforeAutospacing="0" w:afterAutospacing="0" w:line="0" w:lineRule="atLeast"/>
        <w:jc w:val="center"/>
        <w:rPr>
          <w:color w:val="000000"/>
          <w:highlight w:val="none"/>
        </w:rPr>
      </w:pPr>
    </w:p>
    <w:p w14:paraId="4FC4F84D">
      <w:pPr>
        <w:pStyle w:val="85"/>
        <w:spacing w:beforeAutospacing="0" w:afterAutospacing="0" w:line="0" w:lineRule="atLeast"/>
        <w:jc w:val="center"/>
        <w:rPr>
          <w:color w:val="000000"/>
          <w:highlight w:val="none"/>
        </w:rPr>
      </w:pPr>
    </w:p>
    <w:p w14:paraId="7471AD18">
      <w:pPr>
        <w:pStyle w:val="85"/>
        <w:spacing w:beforeAutospacing="0" w:afterAutospacing="0" w:line="0" w:lineRule="atLeast"/>
        <w:jc w:val="center"/>
        <w:rPr>
          <w:color w:val="000000"/>
          <w:highlight w:val="none"/>
        </w:rPr>
      </w:pPr>
    </w:p>
    <w:p w14:paraId="525CB7C9">
      <w:pPr>
        <w:pStyle w:val="85"/>
        <w:spacing w:beforeAutospacing="0" w:afterAutospacing="0" w:line="0" w:lineRule="atLeast"/>
        <w:jc w:val="center"/>
        <w:rPr>
          <w:color w:val="000000"/>
          <w:highlight w:val="none"/>
        </w:rPr>
      </w:pPr>
    </w:p>
    <w:p w14:paraId="3D0CF228">
      <w:pPr>
        <w:pStyle w:val="85"/>
        <w:spacing w:beforeAutospacing="0" w:afterAutospacing="0" w:line="0" w:lineRule="atLeast"/>
        <w:jc w:val="center"/>
        <w:rPr>
          <w:color w:val="000000"/>
          <w:highlight w:val="none"/>
        </w:rPr>
      </w:pPr>
    </w:p>
    <w:p w14:paraId="18C0DF4F">
      <w:pPr>
        <w:pStyle w:val="85"/>
        <w:spacing w:beforeAutospacing="0" w:afterAutospacing="0" w:line="0" w:lineRule="atLeast"/>
        <w:jc w:val="center"/>
        <w:rPr>
          <w:color w:val="000000"/>
          <w:highlight w:val="none"/>
        </w:rPr>
      </w:pPr>
    </w:p>
    <w:p w14:paraId="465EC921">
      <w:pPr>
        <w:pStyle w:val="85"/>
        <w:spacing w:beforeAutospacing="0" w:afterAutospacing="0" w:line="0" w:lineRule="atLeast"/>
        <w:jc w:val="center"/>
        <w:rPr>
          <w:color w:val="000000"/>
          <w:highlight w:val="none"/>
        </w:rPr>
      </w:pPr>
    </w:p>
    <w:p w14:paraId="1DC2D74F">
      <w:pPr>
        <w:pStyle w:val="85"/>
        <w:spacing w:beforeAutospacing="0" w:afterAutospacing="0" w:line="0" w:lineRule="atLeast"/>
        <w:jc w:val="center"/>
        <w:rPr>
          <w:color w:val="000000"/>
          <w:highlight w:val="none"/>
        </w:rPr>
      </w:pPr>
    </w:p>
    <w:p w14:paraId="65B45088">
      <w:pPr>
        <w:pStyle w:val="85"/>
        <w:spacing w:beforeAutospacing="0" w:afterAutospacing="0" w:line="0" w:lineRule="atLeast"/>
        <w:jc w:val="center"/>
        <w:rPr>
          <w:color w:val="000000"/>
          <w:highlight w:val="none"/>
        </w:rPr>
      </w:pPr>
    </w:p>
    <w:p w14:paraId="198176B0">
      <w:pPr>
        <w:pStyle w:val="85"/>
        <w:spacing w:beforeAutospacing="0" w:afterAutospacing="0" w:line="0" w:lineRule="atLeast"/>
        <w:jc w:val="center"/>
        <w:rPr>
          <w:color w:val="000000"/>
          <w:highlight w:val="none"/>
        </w:rPr>
      </w:pPr>
    </w:p>
    <w:p w14:paraId="302C1AD9">
      <w:pPr>
        <w:pStyle w:val="85"/>
        <w:spacing w:beforeAutospacing="0" w:afterAutospacing="0" w:line="0" w:lineRule="atLeast"/>
        <w:jc w:val="center"/>
        <w:rPr>
          <w:color w:val="000000"/>
          <w:highlight w:val="none"/>
        </w:rPr>
      </w:pPr>
    </w:p>
    <w:p w14:paraId="49456CAF">
      <w:pPr>
        <w:pStyle w:val="85"/>
        <w:spacing w:beforeAutospacing="0" w:afterAutospacing="0" w:line="0" w:lineRule="atLeast"/>
        <w:jc w:val="center"/>
        <w:rPr>
          <w:color w:val="000000"/>
          <w:highlight w:val="none"/>
        </w:rPr>
      </w:pPr>
    </w:p>
    <w:p w14:paraId="117140AB">
      <w:pPr>
        <w:pStyle w:val="85"/>
        <w:spacing w:beforeAutospacing="0" w:afterAutospacing="0" w:line="0" w:lineRule="atLeast"/>
        <w:jc w:val="center"/>
        <w:rPr>
          <w:color w:val="000000"/>
          <w:highlight w:val="none"/>
        </w:rPr>
      </w:pPr>
    </w:p>
    <w:p w14:paraId="26B10482">
      <w:pPr>
        <w:pStyle w:val="85"/>
        <w:spacing w:beforeAutospacing="0" w:afterAutospacing="0" w:line="0" w:lineRule="atLeast"/>
        <w:jc w:val="center"/>
        <w:rPr>
          <w:color w:val="000000"/>
          <w:highlight w:val="none"/>
        </w:rPr>
      </w:pPr>
    </w:p>
    <w:p w14:paraId="1DB6C00E">
      <w:pPr>
        <w:pStyle w:val="85"/>
        <w:spacing w:beforeAutospacing="0" w:afterAutospacing="0" w:line="0" w:lineRule="atLeast"/>
        <w:jc w:val="center"/>
        <w:rPr>
          <w:color w:val="000000"/>
          <w:highlight w:val="none"/>
        </w:rPr>
      </w:pPr>
    </w:p>
    <w:p w14:paraId="0AA5816C">
      <w:pPr>
        <w:pStyle w:val="85"/>
        <w:spacing w:beforeAutospacing="0" w:afterAutospacing="0" w:line="0" w:lineRule="atLeast"/>
        <w:jc w:val="center"/>
        <w:rPr>
          <w:color w:val="000000"/>
          <w:highlight w:val="none"/>
        </w:rPr>
      </w:pPr>
    </w:p>
    <w:p w14:paraId="69E45CC3">
      <w:pPr>
        <w:pStyle w:val="85"/>
        <w:spacing w:beforeAutospacing="0" w:afterAutospacing="0" w:line="0" w:lineRule="atLeast"/>
        <w:jc w:val="both"/>
        <w:rPr>
          <w:color w:val="000000"/>
          <w:highlight w:val="none"/>
        </w:rPr>
      </w:pPr>
      <w:r>
        <w:rPr>
          <w:color w:val="000000"/>
          <w:highlight w:val="none"/>
        </w:rPr>
        <w:t> </w:t>
      </w:r>
    </w:p>
    <w:p w14:paraId="619A72A7">
      <w:pPr>
        <w:pStyle w:val="85"/>
        <w:spacing w:beforeAutospacing="0" w:afterAutospacing="0" w:line="0" w:lineRule="atLeast"/>
        <w:jc w:val="center"/>
        <w:rPr>
          <w:color w:val="000000"/>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一</w:t>
      </w:r>
      <w:r>
        <w:rPr>
          <w:rFonts w:hint="eastAsia" w:ascii="黑体" w:hAnsi="宋体" w:eastAsia="黑体" w:cs="黑体"/>
          <w:b/>
          <w:color w:val="000000"/>
          <w:sz w:val="32"/>
          <w:szCs w:val="32"/>
          <w:highlight w:val="none"/>
        </w:rPr>
        <w:t>、联合体协议（参考格式）（分包号：**）</w:t>
      </w:r>
    </w:p>
    <w:p w14:paraId="2E61810F">
      <w:pPr>
        <w:pStyle w:val="85"/>
        <w:spacing w:beforeAutospacing="0" w:afterAutospacing="0" w:line="360" w:lineRule="auto"/>
        <w:jc w:val="both"/>
        <w:rPr>
          <w:color w:val="000000"/>
          <w:highlight w:val="none"/>
        </w:rPr>
      </w:pPr>
      <w:r>
        <w:rPr>
          <w:rFonts w:hint="eastAsia" w:ascii="宋体" w:hAnsi="宋体" w:eastAsia="宋体" w:cs="宋体"/>
          <w:color w:val="000000"/>
          <w:highlight w:val="none"/>
        </w:rPr>
        <w:t>（联合体中各供应商全称）在此达成以下协议：</w:t>
      </w:r>
    </w:p>
    <w:p w14:paraId="15963C51">
      <w:pPr>
        <w:pStyle w:val="85"/>
        <w:spacing w:beforeAutospacing="0" w:afterAutospacing="0" w:line="360" w:lineRule="auto"/>
        <w:ind w:firstLine="645"/>
        <w:jc w:val="both"/>
        <w:rPr>
          <w:color w:val="000000"/>
          <w:highlight w:val="none"/>
        </w:rPr>
      </w:pPr>
      <w:r>
        <w:rPr>
          <w:rFonts w:hint="eastAsia" w:ascii="宋体" w:hAnsi="宋体" w:eastAsia="宋体" w:cs="宋体"/>
          <w:color w:val="000000"/>
          <w:highlight w:val="none"/>
        </w:rPr>
        <w:t>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自愿组成联合体，参加盐城市政府采购中心组织的采购编号为</w:t>
      </w:r>
      <w:r>
        <w:rPr>
          <w:rFonts w:hint="eastAsia" w:ascii="宋体" w:hAnsi="宋体" w:eastAsia="宋体" w:cs="宋体"/>
          <w:color w:val="000000"/>
          <w:highlight w:val="none"/>
          <w:u w:val="single"/>
        </w:rPr>
        <w:t>（编号全称），（项目全称）</w:t>
      </w:r>
      <w:r>
        <w:rPr>
          <w:rFonts w:hint="eastAsia" w:ascii="宋体" w:hAnsi="宋体" w:eastAsia="宋体" w:cs="宋体"/>
          <w:color w:val="000000"/>
          <w:highlight w:val="none"/>
        </w:rPr>
        <w:t>项目（分包号：**）的政府采购活动，我联合体指定</w:t>
      </w:r>
      <w:r>
        <w:rPr>
          <w:rFonts w:hint="eastAsia" w:ascii="宋体" w:hAnsi="宋体" w:eastAsia="宋体" w:cs="宋体"/>
          <w:color w:val="000000"/>
          <w:highlight w:val="none"/>
          <w:u w:val="single"/>
        </w:rPr>
        <w:t>（供应商*）</w:t>
      </w:r>
      <w:r>
        <w:rPr>
          <w:rFonts w:hint="eastAsia" w:ascii="宋体" w:hAnsi="宋体" w:eastAsia="宋体" w:cs="宋体"/>
          <w:color w:val="000000"/>
          <w:highlight w:val="none"/>
        </w:rPr>
        <w:t>为牵头单位（牵头单位必须为联合体成员）。</w:t>
      </w:r>
    </w:p>
    <w:p w14:paraId="6B4C3B58">
      <w:pPr>
        <w:pStyle w:val="85"/>
        <w:spacing w:beforeAutospacing="0" w:afterAutospacing="0" w:line="360" w:lineRule="auto"/>
        <w:ind w:firstLine="645"/>
        <w:jc w:val="both"/>
        <w:rPr>
          <w:color w:val="000000"/>
          <w:highlight w:val="none"/>
        </w:rPr>
      </w:pPr>
      <w:r>
        <w:rPr>
          <w:rFonts w:hint="eastAsia" w:ascii="宋体" w:hAnsi="宋体" w:eastAsia="宋体" w:cs="宋体"/>
          <w:color w:val="000000"/>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67FC3085">
      <w:pPr>
        <w:pStyle w:val="85"/>
        <w:spacing w:beforeAutospacing="0" w:afterAutospacing="0" w:line="360" w:lineRule="auto"/>
        <w:ind w:firstLine="645"/>
        <w:jc w:val="both"/>
        <w:rPr>
          <w:color w:val="000000"/>
          <w:highlight w:val="none"/>
        </w:rPr>
      </w:pPr>
      <w:r>
        <w:rPr>
          <w:rFonts w:hint="eastAsia" w:ascii="宋体" w:hAnsi="宋体" w:eastAsia="宋体" w:cs="宋体"/>
          <w:color w:val="000000"/>
          <w:highlight w:val="none"/>
        </w:rPr>
        <w:t>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0219757C">
      <w:pPr>
        <w:pStyle w:val="85"/>
        <w:spacing w:beforeAutospacing="0" w:afterAutospacing="0" w:line="360" w:lineRule="auto"/>
        <w:ind w:firstLine="645"/>
        <w:jc w:val="both"/>
        <w:rPr>
          <w:color w:val="000000"/>
          <w:highlight w:val="none"/>
        </w:rPr>
      </w:pPr>
      <w:r>
        <w:rPr>
          <w:color w:val="000000"/>
          <w:highlight w:val="none"/>
        </w:rPr>
        <w:t> </w:t>
      </w:r>
    </w:p>
    <w:p w14:paraId="789E1187">
      <w:pPr>
        <w:pStyle w:val="85"/>
        <w:spacing w:beforeAutospacing="0" w:afterAutospacing="0" w:line="360" w:lineRule="auto"/>
        <w:ind w:firstLine="645"/>
        <w:jc w:val="both"/>
        <w:rPr>
          <w:color w:val="000000"/>
          <w:highlight w:val="none"/>
        </w:rPr>
      </w:pPr>
      <w:r>
        <w:rPr>
          <w:rFonts w:hint="eastAsia" w:ascii="宋体" w:hAnsi="宋体" w:eastAsia="宋体" w:cs="宋体"/>
          <w:color w:val="000000"/>
          <w:highlight w:val="none"/>
        </w:rPr>
        <w:t>备注：本招标文件中要求加盖CA电子签章的地方，仅需加盖牵头单位的CA电子签章。</w:t>
      </w:r>
    </w:p>
    <w:p w14:paraId="2C4DBA00">
      <w:pPr>
        <w:pStyle w:val="85"/>
        <w:spacing w:beforeAutospacing="0" w:afterAutospacing="0" w:line="360" w:lineRule="auto"/>
        <w:ind w:firstLine="645"/>
        <w:jc w:val="both"/>
        <w:rPr>
          <w:color w:val="000000"/>
          <w:highlight w:val="none"/>
        </w:rPr>
      </w:pPr>
      <w:r>
        <w:rPr>
          <w:rFonts w:hint="eastAsia" w:ascii="宋体" w:hAnsi="宋体" w:eastAsia="宋体" w:cs="宋体"/>
          <w:color w:val="000000"/>
          <w:highlight w:val="none"/>
        </w:rPr>
        <w:t>                               </w:t>
      </w:r>
    </w:p>
    <w:p w14:paraId="12586B03">
      <w:pPr>
        <w:pStyle w:val="85"/>
        <w:spacing w:beforeAutospacing="0" w:afterAutospacing="0" w:line="360" w:lineRule="auto"/>
        <w:ind w:firstLine="645"/>
        <w:jc w:val="right"/>
        <w:rPr>
          <w:color w:val="000000"/>
          <w:highlight w:val="none"/>
        </w:rPr>
      </w:pPr>
      <w:r>
        <w:rPr>
          <w:rFonts w:hint="eastAsia" w:ascii="宋体" w:hAnsi="宋体" w:eastAsia="宋体" w:cs="宋体"/>
          <w:color w:val="000000"/>
          <w:highlight w:val="none"/>
        </w:rPr>
        <w:t xml:space="preserve">联合体中各供应商全称（公章）：     </w:t>
      </w:r>
    </w:p>
    <w:p w14:paraId="69589285">
      <w:pPr>
        <w:pStyle w:val="85"/>
        <w:spacing w:beforeAutospacing="0" w:afterAutospacing="0" w:line="360" w:lineRule="auto"/>
        <w:ind w:firstLine="645"/>
        <w:jc w:val="both"/>
        <w:rPr>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日</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期：</w:t>
      </w:r>
    </w:p>
    <w:p w14:paraId="504D162D">
      <w:pPr>
        <w:pStyle w:val="85"/>
        <w:spacing w:beforeAutospacing="0" w:afterAutospacing="0" w:line="0" w:lineRule="atLeast"/>
        <w:ind w:firstLine="645"/>
        <w:jc w:val="both"/>
        <w:rPr>
          <w:color w:val="000000"/>
          <w:highlight w:val="none"/>
        </w:rPr>
      </w:pPr>
      <w:r>
        <w:rPr>
          <w:color w:val="000000"/>
          <w:highlight w:val="none"/>
        </w:rPr>
        <w:t> </w:t>
      </w:r>
    </w:p>
    <w:p w14:paraId="231D05D6">
      <w:pPr>
        <w:pStyle w:val="85"/>
        <w:spacing w:beforeAutospacing="0" w:afterAutospacing="0" w:line="0" w:lineRule="atLeast"/>
        <w:jc w:val="both"/>
        <w:rPr>
          <w:color w:val="000000"/>
          <w:highlight w:val="none"/>
        </w:rPr>
      </w:pPr>
      <w:r>
        <w:rPr>
          <w:color w:val="000000"/>
          <w:highlight w:val="none"/>
        </w:rPr>
        <w:t> </w:t>
      </w:r>
    </w:p>
    <w:p w14:paraId="500D6BE8">
      <w:pPr>
        <w:pStyle w:val="85"/>
        <w:spacing w:beforeAutospacing="0" w:afterAutospacing="0" w:line="0" w:lineRule="atLeast"/>
        <w:jc w:val="both"/>
        <w:rPr>
          <w:color w:val="000000"/>
          <w:highlight w:val="none"/>
        </w:rPr>
      </w:pPr>
      <w:r>
        <w:rPr>
          <w:color w:val="000000"/>
          <w:highlight w:val="none"/>
        </w:rPr>
        <w:t> </w:t>
      </w:r>
    </w:p>
    <w:p w14:paraId="559F9938">
      <w:pPr>
        <w:pStyle w:val="85"/>
        <w:spacing w:beforeAutospacing="0" w:afterAutospacing="0" w:line="0" w:lineRule="atLeast"/>
        <w:jc w:val="both"/>
        <w:rPr>
          <w:color w:val="000000"/>
          <w:highlight w:val="none"/>
        </w:rPr>
      </w:pPr>
      <w:r>
        <w:rPr>
          <w:color w:val="000000"/>
          <w:highlight w:val="none"/>
        </w:rPr>
        <w:t> </w:t>
      </w:r>
    </w:p>
    <w:p w14:paraId="5D24DDC4">
      <w:pPr>
        <w:pStyle w:val="85"/>
        <w:spacing w:beforeAutospacing="0" w:afterAutospacing="0" w:line="0" w:lineRule="atLeast"/>
        <w:jc w:val="both"/>
        <w:rPr>
          <w:color w:val="000000"/>
          <w:highlight w:val="none"/>
        </w:rPr>
      </w:pPr>
      <w:r>
        <w:rPr>
          <w:color w:val="000000"/>
          <w:highlight w:val="none"/>
        </w:rPr>
        <w:t> </w:t>
      </w:r>
    </w:p>
    <w:p w14:paraId="34D00E48">
      <w:pPr>
        <w:pStyle w:val="85"/>
        <w:spacing w:beforeAutospacing="0" w:afterAutospacing="0" w:line="0" w:lineRule="atLeast"/>
        <w:jc w:val="both"/>
        <w:rPr>
          <w:color w:val="000000"/>
          <w:highlight w:val="none"/>
        </w:rPr>
      </w:pPr>
      <w:r>
        <w:rPr>
          <w:color w:val="000000"/>
          <w:highlight w:val="none"/>
        </w:rPr>
        <w:t> </w:t>
      </w:r>
    </w:p>
    <w:p w14:paraId="3AEB187A">
      <w:pPr>
        <w:pStyle w:val="85"/>
        <w:spacing w:beforeAutospacing="0" w:afterAutospacing="0" w:line="0" w:lineRule="atLeast"/>
        <w:jc w:val="both"/>
        <w:rPr>
          <w:color w:val="000000"/>
          <w:highlight w:val="none"/>
        </w:rPr>
      </w:pPr>
    </w:p>
    <w:p w14:paraId="109B6E94">
      <w:pPr>
        <w:pStyle w:val="85"/>
        <w:spacing w:beforeAutospacing="0" w:afterAutospacing="0" w:line="0" w:lineRule="atLeast"/>
        <w:jc w:val="both"/>
        <w:rPr>
          <w:color w:val="000000"/>
          <w:highlight w:val="none"/>
        </w:rPr>
      </w:pPr>
    </w:p>
    <w:p w14:paraId="6D4A2C42">
      <w:pPr>
        <w:pStyle w:val="85"/>
        <w:spacing w:beforeAutospacing="0" w:afterAutospacing="0" w:line="0" w:lineRule="atLeast"/>
        <w:jc w:val="both"/>
        <w:rPr>
          <w:color w:val="000000"/>
          <w:highlight w:val="none"/>
        </w:rPr>
      </w:pPr>
    </w:p>
    <w:p w14:paraId="7577D55D">
      <w:pPr>
        <w:pStyle w:val="85"/>
        <w:spacing w:beforeAutospacing="0" w:afterAutospacing="0" w:line="0" w:lineRule="atLeast"/>
        <w:jc w:val="both"/>
        <w:rPr>
          <w:color w:val="000000"/>
          <w:highlight w:val="none"/>
        </w:rPr>
      </w:pPr>
    </w:p>
    <w:p w14:paraId="2BC08E9B">
      <w:pPr>
        <w:pStyle w:val="85"/>
        <w:spacing w:beforeAutospacing="0" w:afterAutospacing="0" w:line="0" w:lineRule="atLeast"/>
        <w:jc w:val="both"/>
        <w:rPr>
          <w:color w:val="000000"/>
          <w:highlight w:val="none"/>
        </w:rPr>
      </w:pPr>
    </w:p>
    <w:p w14:paraId="4923ADD3">
      <w:pPr>
        <w:pStyle w:val="85"/>
        <w:spacing w:beforeAutospacing="0" w:afterAutospacing="0" w:line="0" w:lineRule="atLeast"/>
        <w:jc w:val="both"/>
        <w:rPr>
          <w:color w:val="000000"/>
          <w:highlight w:val="none"/>
        </w:rPr>
      </w:pPr>
    </w:p>
    <w:p w14:paraId="37EDBD6D">
      <w:pPr>
        <w:pStyle w:val="85"/>
        <w:spacing w:beforeAutospacing="0" w:afterAutospacing="0" w:line="0" w:lineRule="atLeast"/>
        <w:jc w:val="both"/>
        <w:rPr>
          <w:color w:val="000000"/>
          <w:highlight w:val="none"/>
        </w:rPr>
      </w:pPr>
    </w:p>
    <w:p w14:paraId="1D448611">
      <w:pPr>
        <w:pStyle w:val="85"/>
        <w:spacing w:beforeAutospacing="0" w:afterAutospacing="0" w:line="0" w:lineRule="atLeast"/>
        <w:jc w:val="both"/>
        <w:rPr>
          <w:color w:val="000000"/>
          <w:highlight w:val="none"/>
        </w:rPr>
      </w:pPr>
    </w:p>
    <w:p w14:paraId="28062367">
      <w:pPr>
        <w:pStyle w:val="85"/>
        <w:spacing w:beforeAutospacing="0" w:afterAutospacing="0" w:line="0" w:lineRule="atLeast"/>
        <w:jc w:val="both"/>
        <w:rPr>
          <w:color w:val="000000"/>
          <w:highlight w:val="none"/>
        </w:rPr>
      </w:pPr>
    </w:p>
    <w:p w14:paraId="6D37EB5A">
      <w:pPr>
        <w:pStyle w:val="85"/>
        <w:spacing w:beforeAutospacing="0" w:afterAutospacing="0" w:line="0" w:lineRule="atLeast"/>
        <w:jc w:val="both"/>
        <w:rPr>
          <w:color w:val="000000"/>
          <w:highlight w:val="none"/>
        </w:rPr>
      </w:pPr>
    </w:p>
    <w:p w14:paraId="3F5372B8">
      <w:pPr>
        <w:pStyle w:val="85"/>
        <w:spacing w:beforeAutospacing="0" w:afterAutospacing="0" w:line="0" w:lineRule="atLeast"/>
        <w:jc w:val="both"/>
        <w:rPr>
          <w:color w:val="000000"/>
          <w:highlight w:val="none"/>
        </w:rPr>
      </w:pPr>
    </w:p>
    <w:p w14:paraId="2EF08C81">
      <w:pPr>
        <w:pStyle w:val="85"/>
        <w:spacing w:beforeAutospacing="0" w:afterAutospacing="0" w:line="0" w:lineRule="atLeast"/>
        <w:jc w:val="both"/>
        <w:rPr>
          <w:color w:val="000000"/>
          <w:highlight w:val="none"/>
        </w:rPr>
      </w:pPr>
    </w:p>
    <w:p w14:paraId="098D27CF">
      <w:pPr>
        <w:pStyle w:val="85"/>
        <w:spacing w:beforeAutospacing="0" w:afterAutospacing="0" w:line="0" w:lineRule="atLeast"/>
        <w:jc w:val="both"/>
        <w:rPr>
          <w:color w:val="000000"/>
          <w:highlight w:val="none"/>
        </w:rPr>
      </w:pPr>
    </w:p>
    <w:p w14:paraId="55409157">
      <w:pPr>
        <w:pStyle w:val="85"/>
        <w:spacing w:beforeAutospacing="0" w:afterAutospacing="0" w:line="0" w:lineRule="atLeast"/>
        <w:jc w:val="both"/>
        <w:rPr>
          <w:color w:val="000000"/>
          <w:highlight w:val="none"/>
        </w:rPr>
      </w:pPr>
    </w:p>
    <w:p w14:paraId="6A74D6E8">
      <w:pPr>
        <w:pStyle w:val="85"/>
        <w:spacing w:beforeAutospacing="0" w:afterAutospacing="0" w:line="0" w:lineRule="atLeast"/>
        <w:jc w:val="both"/>
        <w:rPr>
          <w:color w:val="000000"/>
          <w:highlight w:val="none"/>
        </w:rPr>
      </w:pPr>
    </w:p>
    <w:p w14:paraId="6E1C3DC0">
      <w:pPr>
        <w:pStyle w:val="85"/>
        <w:spacing w:beforeAutospacing="0" w:afterAutospacing="0" w:line="0" w:lineRule="atLeast"/>
        <w:jc w:val="both"/>
        <w:rPr>
          <w:color w:val="000000"/>
          <w:highlight w:val="none"/>
        </w:rPr>
      </w:pPr>
    </w:p>
    <w:p w14:paraId="16AE2528">
      <w:pPr>
        <w:pStyle w:val="232"/>
        <w:numPr>
          <w:ilvl w:val="0"/>
          <w:numId w:val="0"/>
        </w:numPr>
        <w:spacing w:line="360" w:lineRule="auto"/>
        <w:jc w:val="center"/>
        <w:rPr>
          <w:rFonts w:ascii="黑体" w:hAnsi="宋体" w:eastAsia="黑体" w:cs="黑体"/>
          <w:b/>
          <w:color w:val="000000"/>
          <w:sz w:val="32"/>
          <w:szCs w:val="32"/>
          <w:highlight w:val="none"/>
        </w:rPr>
      </w:pPr>
      <w:r>
        <w:rPr>
          <w:rFonts w:hint="eastAsia" w:ascii="黑体" w:hAnsi="宋体" w:eastAsia="黑体" w:cs="黑体"/>
          <w:b/>
          <w:color w:val="000000"/>
          <w:sz w:val="32"/>
          <w:szCs w:val="32"/>
          <w:highlight w:val="none"/>
          <w:lang w:val="en-US" w:eastAsia="zh-CN"/>
        </w:rPr>
        <w:t>十二、</w:t>
      </w:r>
      <w:r>
        <w:rPr>
          <w:rFonts w:hint="eastAsia" w:ascii="黑体" w:hAnsi="宋体" w:eastAsia="黑体" w:cs="黑体"/>
          <w:b/>
          <w:color w:val="000000"/>
          <w:sz w:val="32"/>
          <w:szCs w:val="32"/>
          <w:highlight w:val="none"/>
        </w:rPr>
        <w:t>投标分项报价表（分包号：**）</w:t>
      </w:r>
    </w:p>
    <w:p w14:paraId="5CC5D916">
      <w:pPr>
        <w:pStyle w:val="232"/>
        <w:spacing w:line="360" w:lineRule="auto"/>
        <w:rPr>
          <w:rFonts w:ascii="Times New Roman" w:hAnsi="Times New Roman" w:eastAsia="宋体"/>
          <w:color w:val="000000"/>
          <w:sz w:val="21"/>
          <w:highlight w:val="none"/>
        </w:rPr>
      </w:pPr>
      <w:r>
        <w:rPr>
          <w:rFonts w:hint="eastAsia" w:ascii="Times New Roman" w:hAnsi="宋体" w:eastAsia="宋体"/>
          <w:color w:val="000000"/>
          <w:sz w:val="21"/>
          <w:highlight w:val="none"/>
        </w:rPr>
        <w:t>项目名称：</w:t>
      </w:r>
    </w:p>
    <w:p w14:paraId="2B562D75">
      <w:pPr>
        <w:pStyle w:val="85"/>
        <w:spacing w:beforeAutospacing="0" w:afterAutospacing="0"/>
        <w:jc w:val="center"/>
        <w:rPr>
          <w:rFonts w:hint="eastAsia" w:ascii="宋体" w:hAnsi="宋体" w:eastAsia="宋体" w:cs="宋体"/>
        </w:rPr>
      </w:pPr>
      <w:r>
        <w:rPr>
          <w:rFonts w:hint="eastAsia" w:hAnsi="宋体" w:eastAsia="宋体"/>
          <w:color w:val="000000"/>
          <w:sz w:val="21"/>
          <w:highlight w:val="none"/>
        </w:rPr>
        <w:t>投标人名称（公章）：</w:t>
      </w:r>
      <w:r>
        <w:rPr>
          <w:rFonts w:hAnsi="宋体" w:eastAsia="宋体"/>
          <w:color w:val="000000"/>
          <w:sz w:val="21"/>
          <w:highlight w:val="none"/>
        </w:rPr>
        <w:t xml:space="preserve">  </w:t>
      </w:r>
    </w:p>
    <w:tbl>
      <w:tblPr>
        <w:tblStyle w:val="30"/>
        <w:tblW w:w="950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5"/>
        <w:gridCol w:w="2823"/>
        <w:gridCol w:w="1125"/>
        <w:gridCol w:w="1125"/>
        <w:gridCol w:w="1590"/>
        <w:gridCol w:w="2039"/>
      </w:tblGrid>
      <w:tr w14:paraId="304D0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6" w:hRule="atLeast"/>
        </w:trPr>
        <w:tc>
          <w:tcPr>
            <w:tcW w:w="805" w:type="dxa"/>
            <w:noWrap/>
            <w:vAlign w:val="center"/>
          </w:tcPr>
          <w:p w14:paraId="344F57CF">
            <w:pPr>
              <w:spacing w:line="360" w:lineRule="auto"/>
              <w:jc w:val="center"/>
              <w:rPr>
                <w:rFonts w:ascii="宋体" w:hAnsi="宋体"/>
                <w:sz w:val="24"/>
              </w:rPr>
            </w:pPr>
            <w:r>
              <w:rPr>
                <w:rFonts w:hint="eastAsia" w:ascii="宋体" w:hAnsi="宋体"/>
                <w:sz w:val="24"/>
              </w:rPr>
              <w:t>序号</w:t>
            </w:r>
          </w:p>
        </w:tc>
        <w:tc>
          <w:tcPr>
            <w:tcW w:w="2823" w:type="dxa"/>
            <w:noWrap/>
            <w:vAlign w:val="center"/>
          </w:tcPr>
          <w:p w14:paraId="47B5FDAE">
            <w:pPr>
              <w:spacing w:line="360" w:lineRule="auto"/>
              <w:jc w:val="center"/>
              <w:rPr>
                <w:rFonts w:ascii="宋体" w:hAnsi="宋体"/>
                <w:sz w:val="24"/>
              </w:rPr>
            </w:pPr>
            <w:r>
              <w:rPr>
                <w:rFonts w:hint="eastAsia" w:ascii="宋体" w:hAnsi="宋体"/>
                <w:sz w:val="24"/>
              </w:rPr>
              <w:t>服务名称</w:t>
            </w:r>
          </w:p>
        </w:tc>
        <w:tc>
          <w:tcPr>
            <w:tcW w:w="1125" w:type="dxa"/>
            <w:noWrap w:val="0"/>
            <w:vAlign w:val="center"/>
          </w:tcPr>
          <w:p w14:paraId="7DEA3ECD">
            <w:pPr>
              <w:spacing w:line="360" w:lineRule="auto"/>
              <w:jc w:val="center"/>
              <w:rPr>
                <w:rFonts w:ascii="宋体" w:hAnsi="宋体"/>
                <w:sz w:val="24"/>
              </w:rPr>
            </w:pPr>
            <w:r>
              <w:rPr>
                <w:rFonts w:hint="eastAsia" w:ascii="宋体" w:hAnsi="宋体"/>
                <w:sz w:val="24"/>
              </w:rPr>
              <w:t>单位</w:t>
            </w:r>
          </w:p>
        </w:tc>
        <w:tc>
          <w:tcPr>
            <w:tcW w:w="1125" w:type="dxa"/>
            <w:noWrap/>
            <w:vAlign w:val="center"/>
          </w:tcPr>
          <w:p w14:paraId="5EAB0CD5">
            <w:pPr>
              <w:spacing w:line="360" w:lineRule="auto"/>
              <w:jc w:val="center"/>
              <w:rPr>
                <w:rFonts w:ascii="宋体" w:hAnsi="宋体"/>
                <w:sz w:val="24"/>
              </w:rPr>
            </w:pPr>
            <w:r>
              <w:rPr>
                <w:rFonts w:hint="eastAsia" w:ascii="宋体" w:hAnsi="宋体"/>
                <w:sz w:val="24"/>
              </w:rPr>
              <w:t>数量</w:t>
            </w:r>
          </w:p>
        </w:tc>
        <w:tc>
          <w:tcPr>
            <w:tcW w:w="1590" w:type="dxa"/>
            <w:noWrap/>
            <w:vAlign w:val="center"/>
          </w:tcPr>
          <w:p w14:paraId="72F399AF">
            <w:pPr>
              <w:spacing w:line="360" w:lineRule="auto"/>
              <w:jc w:val="center"/>
              <w:rPr>
                <w:rFonts w:ascii="宋体" w:hAnsi="宋体"/>
                <w:sz w:val="24"/>
              </w:rPr>
            </w:pPr>
            <w:r>
              <w:rPr>
                <w:rFonts w:hint="eastAsia" w:ascii="宋体" w:hAnsi="宋体"/>
                <w:sz w:val="24"/>
              </w:rPr>
              <w:t>全费用综合单价（元）</w:t>
            </w:r>
          </w:p>
        </w:tc>
        <w:tc>
          <w:tcPr>
            <w:tcW w:w="2039" w:type="dxa"/>
            <w:noWrap/>
            <w:vAlign w:val="center"/>
          </w:tcPr>
          <w:p w14:paraId="350CFDBC">
            <w:pPr>
              <w:spacing w:line="360" w:lineRule="auto"/>
              <w:jc w:val="center"/>
              <w:rPr>
                <w:rFonts w:ascii="宋体" w:hAnsi="宋体"/>
                <w:sz w:val="24"/>
              </w:rPr>
            </w:pPr>
            <w:r>
              <w:rPr>
                <w:rFonts w:hint="eastAsia" w:ascii="宋体" w:hAnsi="宋体"/>
                <w:sz w:val="24"/>
              </w:rPr>
              <w:t>合价（元）</w:t>
            </w:r>
          </w:p>
        </w:tc>
      </w:tr>
      <w:tr w14:paraId="429CF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5" w:hRule="atLeast"/>
        </w:trPr>
        <w:tc>
          <w:tcPr>
            <w:tcW w:w="805" w:type="dxa"/>
            <w:noWrap/>
            <w:vAlign w:val="center"/>
          </w:tcPr>
          <w:p w14:paraId="2B0A1552">
            <w:pPr>
              <w:spacing w:line="360" w:lineRule="auto"/>
              <w:jc w:val="center"/>
              <w:rPr>
                <w:rFonts w:ascii="宋体" w:hAnsi="宋体"/>
                <w:sz w:val="24"/>
              </w:rPr>
            </w:pPr>
            <w:r>
              <w:rPr>
                <w:rFonts w:hint="eastAsia" w:ascii="宋体" w:hAnsi="宋体"/>
                <w:sz w:val="24"/>
              </w:rPr>
              <w:t>1</w:t>
            </w:r>
          </w:p>
        </w:tc>
        <w:tc>
          <w:tcPr>
            <w:tcW w:w="2823" w:type="dxa"/>
            <w:noWrap/>
            <w:vAlign w:val="center"/>
          </w:tcPr>
          <w:p w14:paraId="3AD65D89">
            <w:pPr>
              <w:spacing w:line="360" w:lineRule="auto"/>
              <w:jc w:val="center"/>
              <w:rPr>
                <w:rFonts w:ascii="宋体" w:hAnsi="宋体"/>
                <w:sz w:val="24"/>
              </w:rPr>
            </w:pPr>
            <w:r>
              <w:rPr>
                <w:rFonts w:hint="eastAsia"/>
                <w:b/>
                <w:bCs/>
                <w:sz w:val="22"/>
                <w:szCs w:val="22"/>
                <w:lang w:eastAsia="zh-CN"/>
              </w:rPr>
              <w:tab/>
            </w:r>
            <w:r>
              <w:rPr>
                <w:rFonts w:hint="eastAsia" w:ascii="宋体" w:hAnsi="宋体"/>
                <w:sz w:val="24"/>
                <w:lang w:eastAsia="zh-CN"/>
              </w:rPr>
              <w:t>盐城市亭湖区人民法院审判执行辅助事务外包服务项目</w:t>
            </w:r>
          </w:p>
        </w:tc>
        <w:tc>
          <w:tcPr>
            <w:tcW w:w="1125" w:type="dxa"/>
            <w:noWrap w:val="0"/>
            <w:vAlign w:val="center"/>
          </w:tcPr>
          <w:p w14:paraId="6DECBC26">
            <w:pPr>
              <w:spacing w:line="360" w:lineRule="auto"/>
              <w:jc w:val="center"/>
              <w:rPr>
                <w:rFonts w:ascii="宋体" w:hAnsi="宋体"/>
                <w:sz w:val="24"/>
              </w:rPr>
            </w:pPr>
            <w:r>
              <w:rPr>
                <w:rFonts w:hint="eastAsia" w:ascii="宋体" w:hAnsi="宋体"/>
                <w:sz w:val="24"/>
              </w:rPr>
              <w:t>项</w:t>
            </w:r>
          </w:p>
        </w:tc>
        <w:tc>
          <w:tcPr>
            <w:tcW w:w="1125" w:type="dxa"/>
            <w:noWrap/>
            <w:vAlign w:val="center"/>
          </w:tcPr>
          <w:p w14:paraId="2D701738">
            <w:pPr>
              <w:spacing w:line="360" w:lineRule="auto"/>
              <w:jc w:val="center"/>
              <w:rPr>
                <w:rFonts w:ascii="宋体" w:hAnsi="宋体"/>
                <w:sz w:val="24"/>
              </w:rPr>
            </w:pPr>
            <w:r>
              <w:rPr>
                <w:rFonts w:hint="eastAsia" w:ascii="宋体" w:hAnsi="宋体"/>
                <w:sz w:val="24"/>
              </w:rPr>
              <w:t>1</w:t>
            </w:r>
          </w:p>
        </w:tc>
        <w:tc>
          <w:tcPr>
            <w:tcW w:w="1590" w:type="dxa"/>
            <w:noWrap/>
            <w:vAlign w:val="center"/>
          </w:tcPr>
          <w:p w14:paraId="3A317BFF">
            <w:pPr>
              <w:spacing w:line="360" w:lineRule="auto"/>
              <w:jc w:val="center"/>
              <w:rPr>
                <w:rFonts w:ascii="宋体" w:hAnsi="宋体"/>
                <w:sz w:val="24"/>
              </w:rPr>
            </w:pPr>
          </w:p>
        </w:tc>
        <w:tc>
          <w:tcPr>
            <w:tcW w:w="2039" w:type="dxa"/>
            <w:noWrap/>
            <w:vAlign w:val="center"/>
          </w:tcPr>
          <w:p w14:paraId="0CB98E2F">
            <w:pPr>
              <w:spacing w:line="360" w:lineRule="auto"/>
              <w:jc w:val="center"/>
              <w:rPr>
                <w:rFonts w:ascii="宋体" w:hAnsi="宋体"/>
                <w:sz w:val="24"/>
              </w:rPr>
            </w:pPr>
          </w:p>
        </w:tc>
      </w:tr>
      <w:tr w14:paraId="0518F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62" w:hRule="atLeast"/>
        </w:trPr>
        <w:tc>
          <w:tcPr>
            <w:tcW w:w="9507" w:type="dxa"/>
            <w:gridSpan w:val="6"/>
            <w:noWrap/>
            <w:vAlign w:val="center"/>
          </w:tcPr>
          <w:p w14:paraId="46859DF9">
            <w:pPr>
              <w:spacing w:line="360" w:lineRule="auto"/>
              <w:jc w:val="center"/>
              <w:rPr>
                <w:rFonts w:ascii="宋体" w:hAnsi="宋体"/>
                <w:sz w:val="24"/>
              </w:rPr>
            </w:pPr>
            <w:r>
              <w:rPr>
                <w:rFonts w:hint="eastAsia" w:ascii="宋体" w:hAnsi="宋体"/>
                <w:sz w:val="24"/>
              </w:rPr>
              <w:t xml:space="preserve">总价：   </w:t>
            </w:r>
            <w:r>
              <w:rPr>
                <w:rFonts w:hint="eastAsia" w:ascii="宋体" w:hAnsi="宋体"/>
                <w:sz w:val="24"/>
                <w:lang w:val="en-US" w:eastAsia="zh-CN"/>
              </w:rPr>
              <w:t xml:space="preserve"> </w:t>
            </w:r>
            <w:r>
              <w:rPr>
                <w:rFonts w:hint="eastAsia" w:ascii="宋体" w:hAnsi="宋体"/>
                <w:sz w:val="24"/>
              </w:rPr>
              <w:t xml:space="preserve"> 元</w:t>
            </w:r>
          </w:p>
        </w:tc>
      </w:tr>
    </w:tbl>
    <w:p w14:paraId="33EA4980">
      <w:pPr>
        <w:pStyle w:val="85"/>
        <w:spacing w:beforeAutospacing="0" w:afterAutospacing="0"/>
        <w:jc w:val="center"/>
        <w:rPr>
          <w:rFonts w:hint="eastAsia" w:ascii="宋体" w:hAnsi="宋体" w:eastAsia="宋体" w:cs="宋体"/>
        </w:rPr>
      </w:pPr>
    </w:p>
    <w:p w14:paraId="2BD34148">
      <w:pPr>
        <w:pStyle w:val="85"/>
        <w:spacing w:beforeAutospacing="0" w:afterAutospacing="0"/>
        <w:jc w:val="center"/>
        <w:rPr>
          <w:rFonts w:hint="eastAsia" w:ascii="宋体" w:hAnsi="宋体" w:eastAsia="宋体" w:cs="宋体"/>
        </w:rPr>
      </w:pPr>
    </w:p>
    <w:p w14:paraId="10F1F2B3">
      <w:pPr>
        <w:pStyle w:val="85"/>
        <w:spacing w:beforeAutospacing="0" w:afterAutospacing="0"/>
        <w:jc w:val="both"/>
        <w:rPr>
          <w:rFonts w:hint="eastAsia" w:ascii="宋体" w:hAnsi="宋体" w:eastAsia="宋体" w:cs="宋体"/>
        </w:rPr>
      </w:pPr>
      <w:r>
        <w:rPr>
          <w:rFonts w:hint="eastAsia" w:ascii="宋体" w:hAnsi="宋体" w:eastAsia="宋体" w:cs="宋体"/>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p>
    <w:p w14:paraId="38510E8A">
      <w:pPr>
        <w:pStyle w:val="85"/>
        <w:spacing w:beforeAutospacing="0" w:afterAutospacing="0"/>
        <w:jc w:val="both"/>
        <w:rPr>
          <w:rFonts w:hint="eastAsia" w:ascii="宋体" w:hAnsi="宋体" w:eastAsia="宋体" w:cs="宋体"/>
        </w:rPr>
      </w:pPr>
      <w:r>
        <w:rPr>
          <w:rFonts w:hint="eastAsia" w:ascii="宋体" w:hAnsi="宋体" w:eastAsia="宋体" w:cs="宋体"/>
        </w:rPr>
        <w:t>2. “投标分项报价表”中“投标总报价”数额应当与“开标一览表”中“投标总报价”数额一致。</w:t>
      </w:r>
    </w:p>
    <w:p w14:paraId="675A4D34">
      <w:pPr>
        <w:spacing w:line="360" w:lineRule="auto"/>
        <w:ind w:firstLine="470"/>
        <w:rPr>
          <w:rFonts w:ascii="宋体" w:hAnsi="宋体"/>
          <w:b/>
          <w:color w:val="000000"/>
          <w:sz w:val="24"/>
          <w:highlight w:val="none"/>
        </w:rPr>
      </w:pPr>
    </w:p>
    <w:p w14:paraId="3C633F27">
      <w:pPr>
        <w:pStyle w:val="85"/>
        <w:spacing w:beforeAutospacing="0" w:afterAutospacing="0"/>
        <w:jc w:val="center"/>
        <w:rPr>
          <w:color w:val="FF0000"/>
          <w:highlight w:val="none"/>
        </w:rPr>
      </w:pPr>
      <w:r>
        <w:rPr>
          <w:color w:val="FF0000"/>
          <w:highlight w:val="none"/>
        </w:rPr>
        <w:t> </w:t>
      </w:r>
    </w:p>
    <w:p w14:paraId="00837D22">
      <w:pPr>
        <w:pStyle w:val="85"/>
        <w:spacing w:beforeAutospacing="0" w:afterAutospacing="0"/>
        <w:jc w:val="center"/>
        <w:rPr>
          <w:color w:val="000000"/>
          <w:highlight w:val="none"/>
        </w:rPr>
      </w:pPr>
      <w:r>
        <w:rPr>
          <w:color w:val="000000"/>
          <w:highlight w:val="none"/>
        </w:rPr>
        <w:t> </w:t>
      </w:r>
    </w:p>
    <w:p w14:paraId="75DD026D">
      <w:pPr>
        <w:pStyle w:val="85"/>
        <w:spacing w:beforeAutospacing="0" w:afterAutospacing="0"/>
        <w:jc w:val="center"/>
        <w:rPr>
          <w:color w:val="000000"/>
          <w:highlight w:val="none"/>
        </w:rPr>
      </w:pPr>
    </w:p>
    <w:p w14:paraId="54292C1B">
      <w:pPr>
        <w:pStyle w:val="85"/>
        <w:spacing w:beforeAutospacing="0" w:afterAutospacing="0"/>
        <w:jc w:val="center"/>
        <w:rPr>
          <w:color w:val="000000"/>
          <w:highlight w:val="none"/>
        </w:rPr>
      </w:pPr>
    </w:p>
    <w:p w14:paraId="7F37B93C">
      <w:pPr>
        <w:pStyle w:val="85"/>
        <w:spacing w:beforeAutospacing="0" w:afterAutospacing="0"/>
        <w:jc w:val="center"/>
        <w:rPr>
          <w:color w:val="000000"/>
          <w:highlight w:val="none"/>
        </w:rPr>
      </w:pPr>
    </w:p>
    <w:p w14:paraId="57AF0574">
      <w:pPr>
        <w:pStyle w:val="85"/>
        <w:spacing w:beforeAutospacing="0" w:afterAutospacing="0"/>
        <w:jc w:val="center"/>
        <w:rPr>
          <w:color w:val="000000"/>
          <w:highlight w:val="none"/>
        </w:rPr>
      </w:pPr>
    </w:p>
    <w:p w14:paraId="090D600E">
      <w:pPr>
        <w:pStyle w:val="85"/>
        <w:spacing w:beforeAutospacing="0" w:afterAutospacing="0"/>
        <w:jc w:val="center"/>
        <w:rPr>
          <w:color w:val="000000"/>
          <w:highlight w:val="none"/>
        </w:rPr>
      </w:pPr>
    </w:p>
    <w:p w14:paraId="6989EA39">
      <w:pPr>
        <w:pStyle w:val="85"/>
        <w:spacing w:beforeAutospacing="0" w:afterAutospacing="0"/>
        <w:jc w:val="center"/>
        <w:rPr>
          <w:color w:val="000000"/>
          <w:highlight w:val="none"/>
        </w:rPr>
      </w:pPr>
      <w:r>
        <w:rPr>
          <w:color w:val="000000"/>
          <w:highlight w:val="none"/>
        </w:rPr>
        <w:t> </w:t>
      </w:r>
    </w:p>
    <w:p w14:paraId="3BC750A1">
      <w:pPr>
        <w:rPr>
          <w:color w:val="000000"/>
          <w:highlight w:val="none"/>
        </w:rPr>
      </w:pPr>
      <w:r>
        <w:rPr>
          <w:color w:val="000000"/>
          <w:highlight w:val="none"/>
        </w:rPr>
        <w:br w:type="page" w:clear="all"/>
      </w:r>
    </w:p>
    <w:p w14:paraId="615ABFDB">
      <w:pPr>
        <w:pStyle w:val="85"/>
        <w:spacing w:beforeAutospacing="0" w:afterAutospacing="0"/>
        <w:jc w:val="center"/>
        <w:rPr>
          <w:color w:val="000000"/>
          <w:highlight w:val="none"/>
        </w:rPr>
      </w:pPr>
    </w:p>
    <w:p w14:paraId="65D54B72">
      <w:pPr>
        <w:pStyle w:val="85"/>
        <w:spacing w:beforeAutospacing="0" w:afterAutospacing="0"/>
        <w:jc w:val="center"/>
        <w:rPr>
          <w:color w:val="000000"/>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三</w:t>
      </w:r>
      <w:r>
        <w:rPr>
          <w:rFonts w:hint="eastAsia" w:ascii="黑体" w:hAnsi="宋体" w:eastAsia="黑体" w:cs="黑体"/>
          <w:b/>
          <w:color w:val="000000"/>
          <w:sz w:val="32"/>
          <w:szCs w:val="32"/>
          <w:highlight w:val="none"/>
        </w:rPr>
        <w:t>、技术要求响应及偏离表（分包号：**）</w:t>
      </w:r>
    </w:p>
    <w:tbl>
      <w:tblPr>
        <w:tblStyle w:val="30"/>
        <w:tblW w:w="4998" w:type="pct"/>
        <w:tblCellSpacing w:w="0" w:type="dxa"/>
        <w:tblInd w:w="-118" w:type="dxa"/>
        <w:tblLayout w:type="autofit"/>
        <w:tblCellMar>
          <w:top w:w="0" w:type="dxa"/>
          <w:left w:w="108" w:type="dxa"/>
          <w:bottom w:w="0" w:type="dxa"/>
          <w:right w:w="108" w:type="dxa"/>
        </w:tblCellMar>
      </w:tblPr>
      <w:tblGrid>
        <w:gridCol w:w="911"/>
        <w:gridCol w:w="3397"/>
        <w:gridCol w:w="2928"/>
        <w:gridCol w:w="1399"/>
        <w:gridCol w:w="1235"/>
      </w:tblGrid>
      <w:tr w14:paraId="7D41E949">
        <w:tblPrEx>
          <w:tblCellMar>
            <w:top w:w="0" w:type="dxa"/>
            <w:left w:w="108" w:type="dxa"/>
            <w:bottom w:w="0" w:type="dxa"/>
            <w:right w:w="108" w:type="dxa"/>
          </w:tblCellMar>
        </w:tblPrEx>
        <w:trPr>
          <w:tblCellSpacing w:w="0" w:type="dxa"/>
        </w:trPr>
        <w:tc>
          <w:tcPr>
            <w:tcW w:w="315" w:type="dxa"/>
            <w:tcBorders>
              <w:top w:val="single" w:color="000000" w:sz="4" w:space="0"/>
              <w:left w:val="single" w:color="000000" w:sz="4" w:space="0"/>
              <w:bottom w:val="single" w:color="000000" w:sz="4" w:space="0"/>
              <w:right w:val="single" w:color="000000" w:sz="4" w:space="0"/>
            </w:tcBorders>
            <w:noWrap w:val="0"/>
            <w:vAlign w:val="center"/>
          </w:tcPr>
          <w:p w14:paraId="6B12AA10">
            <w:pPr>
              <w:pStyle w:val="85"/>
              <w:spacing w:beforeAutospacing="0" w:afterAutospacing="0"/>
              <w:jc w:val="center"/>
              <w:rPr>
                <w:color w:val="000000"/>
                <w:highlight w:val="none"/>
              </w:rPr>
            </w:pPr>
            <w:r>
              <w:rPr>
                <w:rFonts w:hint="eastAsia" w:ascii="宋体" w:hAnsi="宋体" w:eastAsia="宋体" w:cs="宋体"/>
                <w:color w:val="000000"/>
                <w:highlight w:val="none"/>
              </w:rPr>
              <w:t>序号</w:t>
            </w:r>
          </w:p>
        </w:tc>
        <w:tc>
          <w:tcPr>
            <w:tcW w:w="1775" w:type="dxa"/>
            <w:tcBorders>
              <w:top w:val="single" w:color="000000" w:sz="4" w:space="0"/>
              <w:left w:val="single" w:color="000000" w:sz="4" w:space="0"/>
              <w:bottom w:val="single" w:color="000000" w:sz="4" w:space="0"/>
              <w:right w:val="single" w:color="000000" w:sz="4" w:space="0"/>
            </w:tcBorders>
            <w:noWrap w:val="0"/>
            <w:vAlign w:val="center"/>
          </w:tcPr>
          <w:p w14:paraId="1B090491">
            <w:pPr>
              <w:pStyle w:val="85"/>
              <w:spacing w:beforeAutospacing="0" w:afterAutospacing="0"/>
              <w:jc w:val="center"/>
              <w:rPr>
                <w:color w:val="000000"/>
                <w:highlight w:val="none"/>
              </w:rPr>
            </w:pPr>
            <w:r>
              <w:rPr>
                <w:rFonts w:hint="eastAsia" w:ascii="宋体" w:hAnsi="宋体" w:eastAsia="宋体" w:cs="宋体"/>
                <w:color w:val="000000"/>
                <w:highlight w:val="none"/>
              </w:rPr>
              <w:t>招标文件要求</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0EE408AA">
            <w:pPr>
              <w:pStyle w:val="85"/>
              <w:spacing w:beforeAutospacing="0" w:afterAutospacing="0"/>
              <w:jc w:val="center"/>
              <w:rPr>
                <w:color w:val="000000"/>
                <w:highlight w:val="none"/>
              </w:rPr>
            </w:pPr>
            <w:r>
              <w:rPr>
                <w:rFonts w:hint="eastAsia" w:ascii="宋体" w:hAnsi="宋体" w:eastAsia="宋体" w:cs="宋体"/>
                <w:color w:val="000000"/>
                <w:highlight w:val="none"/>
              </w:rPr>
              <w:t>投标响应情况</w:t>
            </w:r>
          </w:p>
        </w:tc>
        <w:tc>
          <w:tcPr>
            <w:tcW w:w="731" w:type="dxa"/>
            <w:tcBorders>
              <w:top w:val="single" w:color="000000" w:sz="4" w:space="0"/>
              <w:left w:val="single" w:color="000000" w:sz="4" w:space="0"/>
              <w:bottom w:val="single" w:color="000000" w:sz="4" w:space="0"/>
              <w:right w:val="single" w:color="000000" w:sz="4" w:space="0"/>
            </w:tcBorders>
            <w:noWrap w:val="0"/>
            <w:vAlign w:val="center"/>
          </w:tcPr>
          <w:p w14:paraId="052B9143">
            <w:pPr>
              <w:pStyle w:val="85"/>
              <w:spacing w:beforeAutospacing="0" w:afterAutospacing="0"/>
              <w:jc w:val="center"/>
              <w:rPr>
                <w:color w:val="000000"/>
                <w:highlight w:val="none"/>
              </w:rPr>
            </w:pPr>
            <w:r>
              <w:rPr>
                <w:rFonts w:hint="eastAsia" w:ascii="宋体" w:hAnsi="宋体" w:eastAsia="宋体" w:cs="宋体"/>
                <w:color w:val="000000"/>
                <w:highlight w:val="none"/>
              </w:rPr>
              <w:t>超出、符合或偏离</w:t>
            </w:r>
          </w:p>
        </w:tc>
        <w:tc>
          <w:tcPr>
            <w:tcW w:w="645" w:type="dxa"/>
            <w:tcBorders>
              <w:top w:val="single" w:color="000000" w:sz="4" w:space="0"/>
              <w:left w:val="single" w:color="000000" w:sz="4" w:space="0"/>
              <w:bottom w:val="single" w:color="000000" w:sz="4" w:space="0"/>
              <w:right w:val="single" w:color="000000" w:sz="4" w:space="0"/>
            </w:tcBorders>
            <w:noWrap w:val="0"/>
            <w:vAlign w:val="center"/>
          </w:tcPr>
          <w:p w14:paraId="173B3F23">
            <w:pPr>
              <w:pStyle w:val="85"/>
              <w:spacing w:beforeAutospacing="0" w:afterAutospacing="0"/>
              <w:jc w:val="center"/>
              <w:rPr>
                <w:color w:val="000000"/>
                <w:highlight w:val="none"/>
              </w:rPr>
            </w:pPr>
            <w:r>
              <w:rPr>
                <w:rFonts w:hint="eastAsia" w:ascii="宋体" w:hAnsi="宋体" w:eastAsia="宋体" w:cs="宋体"/>
                <w:color w:val="000000"/>
                <w:highlight w:val="none"/>
              </w:rPr>
              <w:t>证明</w:t>
            </w:r>
          </w:p>
          <w:p w14:paraId="4A931843">
            <w:pPr>
              <w:pStyle w:val="85"/>
              <w:spacing w:beforeAutospacing="0" w:afterAutospacing="0"/>
              <w:jc w:val="center"/>
              <w:rPr>
                <w:color w:val="000000"/>
                <w:highlight w:val="none"/>
              </w:rPr>
            </w:pPr>
            <w:r>
              <w:rPr>
                <w:rFonts w:hint="eastAsia" w:ascii="宋体" w:hAnsi="宋体" w:eastAsia="宋体" w:cs="宋体"/>
                <w:color w:val="000000"/>
                <w:highlight w:val="none"/>
              </w:rPr>
              <w:t>材料</w:t>
            </w:r>
          </w:p>
        </w:tc>
      </w:tr>
      <w:tr w14:paraId="5484FF84">
        <w:tblPrEx>
          <w:tblCellMar>
            <w:top w:w="0" w:type="dxa"/>
            <w:left w:w="108" w:type="dxa"/>
            <w:bottom w:w="0" w:type="dxa"/>
            <w:right w:w="108" w:type="dxa"/>
          </w:tblCellMar>
        </w:tblPrEx>
        <w:trPr>
          <w:trHeight w:val="640" w:hRule="atLeast"/>
          <w:tblCellSpacing w:w="0" w:type="dxa"/>
        </w:trPr>
        <w:tc>
          <w:tcPr>
            <w:tcW w:w="315" w:type="dxa"/>
            <w:tcBorders>
              <w:top w:val="single" w:color="000000" w:sz="4" w:space="0"/>
              <w:left w:val="single" w:color="000000" w:sz="4" w:space="0"/>
              <w:bottom w:val="single" w:color="000000" w:sz="4" w:space="0"/>
              <w:right w:val="single" w:color="000000" w:sz="4" w:space="0"/>
            </w:tcBorders>
            <w:noWrap w:val="0"/>
            <w:vAlign w:val="center"/>
          </w:tcPr>
          <w:p w14:paraId="45BDC202">
            <w:pPr>
              <w:pStyle w:val="85"/>
              <w:spacing w:beforeAutospacing="0" w:afterAutospacing="0"/>
              <w:jc w:val="center"/>
              <w:rPr>
                <w:color w:val="000000"/>
                <w:highlight w:val="none"/>
              </w:rPr>
            </w:pPr>
            <w:r>
              <w:rPr>
                <w:color w:val="000000"/>
                <w:highlight w:val="none"/>
              </w:rPr>
              <w:t> </w:t>
            </w:r>
          </w:p>
        </w:tc>
        <w:tc>
          <w:tcPr>
            <w:tcW w:w="1775" w:type="dxa"/>
            <w:tcBorders>
              <w:top w:val="single" w:color="000000" w:sz="4" w:space="0"/>
              <w:left w:val="single" w:color="000000" w:sz="4" w:space="0"/>
              <w:bottom w:val="single" w:color="000000" w:sz="4" w:space="0"/>
              <w:right w:val="single" w:color="000000" w:sz="4" w:space="0"/>
            </w:tcBorders>
            <w:noWrap w:val="0"/>
            <w:vAlign w:val="center"/>
          </w:tcPr>
          <w:p w14:paraId="0BC0F5F8">
            <w:pPr>
              <w:pStyle w:val="85"/>
              <w:spacing w:beforeAutospacing="0" w:afterAutospacing="0"/>
              <w:jc w:val="center"/>
              <w:rPr>
                <w:color w:val="000000"/>
                <w:highlight w:val="none"/>
              </w:rPr>
            </w:pPr>
            <w:r>
              <w:rPr>
                <w:color w:val="000000"/>
                <w:highlight w:val="none"/>
              </w:rPr>
              <w:t> </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3D818E3E">
            <w:pPr>
              <w:pStyle w:val="85"/>
              <w:spacing w:beforeAutospacing="0" w:afterAutospacing="0"/>
              <w:jc w:val="center"/>
              <w:rPr>
                <w:color w:val="000000"/>
                <w:highlight w:val="none"/>
              </w:rPr>
            </w:pPr>
            <w:r>
              <w:rPr>
                <w:color w:val="000000"/>
                <w:highlight w:val="none"/>
              </w:rPr>
              <w:t> </w:t>
            </w:r>
          </w:p>
        </w:tc>
        <w:tc>
          <w:tcPr>
            <w:tcW w:w="731" w:type="dxa"/>
            <w:tcBorders>
              <w:top w:val="single" w:color="000000" w:sz="4" w:space="0"/>
              <w:left w:val="single" w:color="000000" w:sz="4" w:space="0"/>
              <w:bottom w:val="single" w:color="000000" w:sz="4" w:space="0"/>
              <w:right w:val="single" w:color="000000" w:sz="4" w:space="0"/>
            </w:tcBorders>
            <w:noWrap w:val="0"/>
            <w:vAlign w:val="center"/>
          </w:tcPr>
          <w:p w14:paraId="37C4E7E8">
            <w:pPr>
              <w:pStyle w:val="85"/>
              <w:spacing w:beforeAutospacing="0" w:afterAutospacing="0"/>
              <w:jc w:val="center"/>
              <w:rPr>
                <w:color w:val="000000"/>
                <w:highlight w:val="none"/>
              </w:rPr>
            </w:pPr>
            <w:r>
              <w:rPr>
                <w:color w:val="000000"/>
                <w:highlight w:val="none"/>
              </w:rPr>
              <w:t> </w:t>
            </w:r>
          </w:p>
        </w:tc>
        <w:tc>
          <w:tcPr>
            <w:tcW w:w="645" w:type="dxa"/>
            <w:tcBorders>
              <w:top w:val="single" w:color="000000" w:sz="4" w:space="0"/>
              <w:left w:val="single" w:color="000000" w:sz="4" w:space="0"/>
              <w:bottom w:val="single" w:color="000000" w:sz="4" w:space="0"/>
              <w:right w:val="single" w:color="000000" w:sz="4" w:space="0"/>
            </w:tcBorders>
            <w:noWrap w:val="0"/>
            <w:vAlign w:val="center"/>
          </w:tcPr>
          <w:p w14:paraId="62997985">
            <w:pPr>
              <w:pStyle w:val="85"/>
              <w:spacing w:beforeAutospacing="0" w:afterAutospacing="0"/>
              <w:jc w:val="center"/>
              <w:rPr>
                <w:color w:val="000000"/>
                <w:highlight w:val="none"/>
              </w:rPr>
            </w:pPr>
            <w:r>
              <w:rPr>
                <w:color w:val="000000"/>
                <w:highlight w:val="none"/>
              </w:rPr>
              <w:t> </w:t>
            </w:r>
          </w:p>
        </w:tc>
      </w:tr>
      <w:tr w14:paraId="3599EC6A">
        <w:tblPrEx>
          <w:tblCellMar>
            <w:top w:w="0" w:type="dxa"/>
            <w:left w:w="108" w:type="dxa"/>
            <w:bottom w:w="0" w:type="dxa"/>
            <w:right w:w="108" w:type="dxa"/>
          </w:tblCellMar>
        </w:tblPrEx>
        <w:trPr>
          <w:trHeight w:val="640" w:hRule="atLeast"/>
          <w:tblCellSpacing w:w="0" w:type="dxa"/>
        </w:trPr>
        <w:tc>
          <w:tcPr>
            <w:tcW w:w="315" w:type="dxa"/>
            <w:tcBorders>
              <w:top w:val="single" w:color="000000" w:sz="4" w:space="0"/>
              <w:left w:val="single" w:color="000000" w:sz="4" w:space="0"/>
              <w:bottom w:val="single" w:color="000000" w:sz="4" w:space="0"/>
              <w:right w:val="single" w:color="000000" w:sz="4" w:space="0"/>
            </w:tcBorders>
            <w:noWrap w:val="0"/>
            <w:vAlign w:val="center"/>
          </w:tcPr>
          <w:p w14:paraId="7CF3EB86">
            <w:pPr>
              <w:pStyle w:val="85"/>
              <w:spacing w:beforeAutospacing="0" w:afterAutospacing="0"/>
              <w:jc w:val="center"/>
              <w:rPr>
                <w:color w:val="000000"/>
                <w:highlight w:val="none"/>
              </w:rPr>
            </w:pPr>
            <w:r>
              <w:rPr>
                <w:color w:val="000000"/>
                <w:highlight w:val="none"/>
              </w:rPr>
              <w:t> </w:t>
            </w:r>
          </w:p>
        </w:tc>
        <w:tc>
          <w:tcPr>
            <w:tcW w:w="1775" w:type="dxa"/>
            <w:tcBorders>
              <w:top w:val="single" w:color="000000" w:sz="4" w:space="0"/>
              <w:left w:val="single" w:color="000000" w:sz="4" w:space="0"/>
              <w:bottom w:val="single" w:color="000000" w:sz="4" w:space="0"/>
              <w:right w:val="single" w:color="000000" w:sz="4" w:space="0"/>
            </w:tcBorders>
            <w:noWrap w:val="0"/>
            <w:vAlign w:val="center"/>
          </w:tcPr>
          <w:p w14:paraId="4A2834F8">
            <w:pPr>
              <w:pStyle w:val="85"/>
              <w:spacing w:beforeAutospacing="0" w:afterAutospacing="0"/>
              <w:jc w:val="center"/>
              <w:rPr>
                <w:color w:val="000000"/>
                <w:highlight w:val="none"/>
              </w:rPr>
            </w:pPr>
            <w:r>
              <w:rPr>
                <w:color w:val="000000"/>
                <w:highlight w:val="none"/>
              </w:rPr>
              <w:t> </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1AF1071D">
            <w:pPr>
              <w:pStyle w:val="85"/>
              <w:spacing w:beforeAutospacing="0" w:afterAutospacing="0"/>
              <w:jc w:val="center"/>
              <w:rPr>
                <w:color w:val="000000"/>
                <w:highlight w:val="none"/>
              </w:rPr>
            </w:pPr>
            <w:r>
              <w:rPr>
                <w:color w:val="000000"/>
                <w:highlight w:val="none"/>
              </w:rPr>
              <w:t> </w:t>
            </w:r>
          </w:p>
        </w:tc>
        <w:tc>
          <w:tcPr>
            <w:tcW w:w="731" w:type="dxa"/>
            <w:tcBorders>
              <w:top w:val="single" w:color="000000" w:sz="4" w:space="0"/>
              <w:left w:val="single" w:color="000000" w:sz="4" w:space="0"/>
              <w:bottom w:val="single" w:color="000000" w:sz="4" w:space="0"/>
              <w:right w:val="single" w:color="000000" w:sz="4" w:space="0"/>
            </w:tcBorders>
            <w:noWrap w:val="0"/>
            <w:vAlign w:val="center"/>
          </w:tcPr>
          <w:p w14:paraId="488ACBE9">
            <w:pPr>
              <w:pStyle w:val="85"/>
              <w:spacing w:beforeAutospacing="0" w:afterAutospacing="0"/>
              <w:jc w:val="center"/>
              <w:rPr>
                <w:color w:val="000000"/>
                <w:highlight w:val="none"/>
              </w:rPr>
            </w:pPr>
            <w:r>
              <w:rPr>
                <w:color w:val="000000"/>
                <w:highlight w:val="none"/>
              </w:rPr>
              <w:t> </w:t>
            </w:r>
          </w:p>
        </w:tc>
        <w:tc>
          <w:tcPr>
            <w:tcW w:w="645" w:type="dxa"/>
            <w:tcBorders>
              <w:top w:val="single" w:color="000000" w:sz="4" w:space="0"/>
              <w:left w:val="single" w:color="000000" w:sz="4" w:space="0"/>
              <w:bottom w:val="single" w:color="000000" w:sz="4" w:space="0"/>
              <w:right w:val="single" w:color="000000" w:sz="4" w:space="0"/>
            </w:tcBorders>
            <w:noWrap w:val="0"/>
            <w:vAlign w:val="center"/>
          </w:tcPr>
          <w:p w14:paraId="1C71F472">
            <w:pPr>
              <w:pStyle w:val="85"/>
              <w:spacing w:beforeAutospacing="0" w:afterAutospacing="0"/>
              <w:jc w:val="center"/>
              <w:rPr>
                <w:color w:val="000000"/>
                <w:highlight w:val="none"/>
              </w:rPr>
            </w:pPr>
            <w:r>
              <w:rPr>
                <w:color w:val="000000"/>
                <w:highlight w:val="none"/>
              </w:rPr>
              <w:t> </w:t>
            </w:r>
          </w:p>
        </w:tc>
      </w:tr>
      <w:tr w14:paraId="524EF5E8">
        <w:tblPrEx>
          <w:tblCellMar>
            <w:top w:w="0" w:type="dxa"/>
            <w:left w:w="108" w:type="dxa"/>
            <w:bottom w:w="0" w:type="dxa"/>
            <w:right w:w="108" w:type="dxa"/>
          </w:tblCellMar>
        </w:tblPrEx>
        <w:trPr>
          <w:trHeight w:val="640" w:hRule="atLeast"/>
          <w:tblCellSpacing w:w="0" w:type="dxa"/>
        </w:trPr>
        <w:tc>
          <w:tcPr>
            <w:tcW w:w="315" w:type="dxa"/>
            <w:tcBorders>
              <w:top w:val="single" w:color="000000" w:sz="4" w:space="0"/>
              <w:left w:val="single" w:color="000000" w:sz="4" w:space="0"/>
              <w:bottom w:val="single" w:color="000000" w:sz="4" w:space="0"/>
              <w:right w:val="single" w:color="000000" w:sz="4" w:space="0"/>
            </w:tcBorders>
            <w:noWrap w:val="0"/>
            <w:vAlign w:val="center"/>
          </w:tcPr>
          <w:p w14:paraId="56541150">
            <w:pPr>
              <w:pStyle w:val="85"/>
              <w:spacing w:beforeAutospacing="0" w:afterAutospacing="0"/>
              <w:jc w:val="center"/>
              <w:rPr>
                <w:color w:val="000000"/>
                <w:highlight w:val="none"/>
              </w:rPr>
            </w:pPr>
            <w:r>
              <w:rPr>
                <w:color w:val="000000"/>
                <w:highlight w:val="none"/>
              </w:rPr>
              <w:t> </w:t>
            </w:r>
          </w:p>
        </w:tc>
        <w:tc>
          <w:tcPr>
            <w:tcW w:w="1775" w:type="dxa"/>
            <w:tcBorders>
              <w:top w:val="single" w:color="000000" w:sz="4" w:space="0"/>
              <w:left w:val="single" w:color="000000" w:sz="4" w:space="0"/>
              <w:bottom w:val="single" w:color="000000" w:sz="4" w:space="0"/>
              <w:right w:val="single" w:color="000000" w:sz="4" w:space="0"/>
            </w:tcBorders>
            <w:noWrap w:val="0"/>
            <w:vAlign w:val="center"/>
          </w:tcPr>
          <w:p w14:paraId="27B0345F">
            <w:pPr>
              <w:pStyle w:val="85"/>
              <w:spacing w:beforeAutospacing="0" w:afterAutospacing="0"/>
              <w:jc w:val="center"/>
              <w:rPr>
                <w:color w:val="000000"/>
                <w:highlight w:val="none"/>
              </w:rPr>
            </w:pPr>
            <w:r>
              <w:rPr>
                <w:color w:val="000000"/>
                <w:highlight w:val="none"/>
              </w:rPr>
              <w:t> </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381CFD3F">
            <w:pPr>
              <w:pStyle w:val="85"/>
              <w:spacing w:beforeAutospacing="0" w:afterAutospacing="0"/>
              <w:jc w:val="center"/>
              <w:rPr>
                <w:color w:val="000000"/>
                <w:highlight w:val="none"/>
              </w:rPr>
            </w:pPr>
            <w:r>
              <w:rPr>
                <w:color w:val="000000"/>
                <w:highlight w:val="none"/>
              </w:rPr>
              <w:t> </w:t>
            </w:r>
          </w:p>
        </w:tc>
        <w:tc>
          <w:tcPr>
            <w:tcW w:w="731" w:type="dxa"/>
            <w:tcBorders>
              <w:top w:val="single" w:color="000000" w:sz="4" w:space="0"/>
              <w:left w:val="single" w:color="000000" w:sz="4" w:space="0"/>
              <w:bottom w:val="single" w:color="000000" w:sz="4" w:space="0"/>
              <w:right w:val="single" w:color="000000" w:sz="4" w:space="0"/>
            </w:tcBorders>
            <w:noWrap w:val="0"/>
            <w:vAlign w:val="center"/>
          </w:tcPr>
          <w:p w14:paraId="5DB941B5">
            <w:pPr>
              <w:pStyle w:val="85"/>
              <w:spacing w:beforeAutospacing="0" w:afterAutospacing="0"/>
              <w:jc w:val="center"/>
              <w:rPr>
                <w:color w:val="000000"/>
                <w:highlight w:val="none"/>
              </w:rPr>
            </w:pPr>
            <w:r>
              <w:rPr>
                <w:color w:val="000000"/>
                <w:highlight w:val="none"/>
              </w:rPr>
              <w:t> </w:t>
            </w:r>
          </w:p>
        </w:tc>
        <w:tc>
          <w:tcPr>
            <w:tcW w:w="645" w:type="dxa"/>
            <w:tcBorders>
              <w:top w:val="single" w:color="000000" w:sz="4" w:space="0"/>
              <w:left w:val="single" w:color="000000" w:sz="4" w:space="0"/>
              <w:bottom w:val="single" w:color="000000" w:sz="4" w:space="0"/>
              <w:right w:val="single" w:color="000000" w:sz="4" w:space="0"/>
            </w:tcBorders>
            <w:noWrap w:val="0"/>
            <w:vAlign w:val="center"/>
          </w:tcPr>
          <w:p w14:paraId="3E9D1E87">
            <w:pPr>
              <w:pStyle w:val="85"/>
              <w:spacing w:beforeAutospacing="0" w:afterAutospacing="0"/>
              <w:jc w:val="center"/>
              <w:rPr>
                <w:color w:val="000000"/>
                <w:highlight w:val="none"/>
              </w:rPr>
            </w:pPr>
            <w:r>
              <w:rPr>
                <w:color w:val="000000"/>
                <w:highlight w:val="none"/>
              </w:rPr>
              <w:t> </w:t>
            </w:r>
          </w:p>
        </w:tc>
      </w:tr>
      <w:tr w14:paraId="591DE6B1">
        <w:tblPrEx>
          <w:tblCellMar>
            <w:top w:w="0" w:type="dxa"/>
            <w:left w:w="108" w:type="dxa"/>
            <w:bottom w:w="0" w:type="dxa"/>
            <w:right w:w="108" w:type="dxa"/>
          </w:tblCellMar>
        </w:tblPrEx>
        <w:trPr>
          <w:trHeight w:val="640" w:hRule="atLeast"/>
          <w:tblCellSpacing w:w="0" w:type="dxa"/>
        </w:trPr>
        <w:tc>
          <w:tcPr>
            <w:tcW w:w="315" w:type="dxa"/>
            <w:tcBorders>
              <w:top w:val="single" w:color="000000" w:sz="4" w:space="0"/>
              <w:left w:val="single" w:color="000000" w:sz="4" w:space="0"/>
              <w:bottom w:val="single" w:color="000000" w:sz="4" w:space="0"/>
              <w:right w:val="single" w:color="000000" w:sz="4" w:space="0"/>
            </w:tcBorders>
            <w:noWrap w:val="0"/>
            <w:vAlign w:val="center"/>
          </w:tcPr>
          <w:p w14:paraId="09AF6CB0">
            <w:pPr>
              <w:pStyle w:val="85"/>
              <w:spacing w:beforeAutospacing="0" w:afterAutospacing="0"/>
              <w:jc w:val="center"/>
              <w:rPr>
                <w:color w:val="000000"/>
                <w:highlight w:val="none"/>
              </w:rPr>
            </w:pPr>
            <w:r>
              <w:rPr>
                <w:color w:val="000000"/>
                <w:highlight w:val="none"/>
              </w:rPr>
              <w:t> </w:t>
            </w:r>
          </w:p>
        </w:tc>
        <w:tc>
          <w:tcPr>
            <w:tcW w:w="1775" w:type="dxa"/>
            <w:tcBorders>
              <w:top w:val="single" w:color="000000" w:sz="4" w:space="0"/>
              <w:left w:val="single" w:color="000000" w:sz="4" w:space="0"/>
              <w:bottom w:val="single" w:color="000000" w:sz="4" w:space="0"/>
              <w:right w:val="single" w:color="000000" w:sz="4" w:space="0"/>
            </w:tcBorders>
            <w:noWrap w:val="0"/>
            <w:vAlign w:val="center"/>
          </w:tcPr>
          <w:p w14:paraId="53561BAE">
            <w:pPr>
              <w:pStyle w:val="85"/>
              <w:spacing w:beforeAutospacing="0" w:afterAutospacing="0"/>
              <w:jc w:val="center"/>
              <w:rPr>
                <w:color w:val="000000"/>
                <w:highlight w:val="none"/>
              </w:rPr>
            </w:pPr>
            <w:r>
              <w:rPr>
                <w:color w:val="000000"/>
                <w:highlight w:val="none"/>
              </w:rPr>
              <w:t> </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5258221F">
            <w:pPr>
              <w:pStyle w:val="85"/>
              <w:spacing w:beforeAutospacing="0" w:afterAutospacing="0"/>
              <w:jc w:val="center"/>
              <w:rPr>
                <w:color w:val="000000"/>
                <w:highlight w:val="none"/>
              </w:rPr>
            </w:pPr>
            <w:r>
              <w:rPr>
                <w:color w:val="000000"/>
                <w:highlight w:val="none"/>
              </w:rPr>
              <w:t> </w:t>
            </w:r>
          </w:p>
        </w:tc>
        <w:tc>
          <w:tcPr>
            <w:tcW w:w="731" w:type="dxa"/>
            <w:tcBorders>
              <w:top w:val="single" w:color="000000" w:sz="4" w:space="0"/>
              <w:left w:val="single" w:color="000000" w:sz="4" w:space="0"/>
              <w:bottom w:val="single" w:color="000000" w:sz="4" w:space="0"/>
              <w:right w:val="single" w:color="000000" w:sz="4" w:space="0"/>
            </w:tcBorders>
            <w:noWrap w:val="0"/>
            <w:vAlign w:val="center"/>
          </w:tcPr>
          <w:p w14:paraId="6D8AFCA4">
            <w:pPr>
              <w:pStyle w:val="85"/>
              <w:spacing w:beforeAutospacing="0" w:afterAutospacing="0"/>
              <w:jc w:val="center"/>
              <w:rPr>
                <w:color w:val="000000"/>
                <w:highlight w:val="none"/>
              </w:rPr>
            </w:pPr>
            <w:r>
              <w:rPr>
                <w:color w:val="000000"/>
                <w:highlight w:val="none"/>
              </w:rPr>
              <w:t> </w:t>
            </w:r>
          </w:p>
        </w:tc>
        <w:tc>
          <w:tcPr>
            <w:tcW w:w="645" w:type="dxa"/>
            <w:tcBorders>
              <w:top w:val="single" w:color="000000" w:sz="4" w:space="0"/>
              <w:left w:val="single" w:color="000000" w:sz="4" w:space="0"/>
              <w:bottom w:val="single" w:color="000000" w:sz="4" w:space="0"/>
              <w:right w:val="single" w:color="000000" w:sz="4" w:space="0"/>
            </w:tcBorders>
            <w:noWrap w:val="0"/>
            <w:vAlign w:val="center"/>
          </w:tcPr>
          <w:p w14:paraId="467D605C">
            <w:pPr>
              <w:pStyle w:val="85"/>
              <w:spacing w:beforeAutospacing="0" w:afterAutospacing="0"/>
              <w:jc w:val="center"/>
              <w:rPr>
                <w:color w:val="000000"/>
                <w:highlight w:val="none"/>
              </w:rPr>
            </w:pPr>
            <w:r>
              <w:rPr>
                <w:color w:val="000000"/>
                <w:highlight w:val="none"/>
              </w:rPr>
              <w:t> </w:t>
            </w:r>
          </w:p>
        </w:tc>
      </w:tr>
      <w:tr w14:paraId="14C2AAE6">
        <w:tblPrEx>
          <w:tblCellMar>
            <w:top w:w="0" w:type="dxa"/>
            <w:left w:w="108" w:type="dxa"/>
            <w:bottom w:w="0" w:type="dxa"/>
            <w:right w:w="108" w:type="dxa"/>
          </w:tblCellMar>
        </w:tblPrEx>
        <w:trPr>
          <w:trHeight w:val="640" w:hRule="atLeast"/>
          <w:tblCellSpacing w:w="0" w:type="dxa"/>
        </w:trPr>
        <w:tc>
          <w:tcPr>
            <w:tcW w:w="315" w:type="dxa"/>
            <w:tcBorders>
              <w:top w:val="single" w:color="000000" w:sz="4" w:space="0"/>
              <w:left w:val="single" w:color="000000" w:sz="4" w:space="0"/>
              <w:bottom w:val="single" w:color="000000" w:sz="4" w:space="0"/>
              <w:right w:val="single" w:color="000000" w:sz="4" w:space="0"/>
            </w:tcBorders>
            <w:noWrap w:val="0"/>
            <w:vAlign w:val="center"/>
          </w:tcPr>
          <w:p w14:paraId="4C4B4B1D">
            <w:pPr>
              <w:pStyle w:val="85"/>
              <w:spacing w:beforeAutospacing="0" w:afterAutospacing="0"/>
              <w:jc w:val="center"/>
              <w:rPr>
                <w:color w:val="000000"/>
                <w:highlight w:val="none"/>
              </w:rPr>
            </w:pPr>
            <w:r>
              <w:rPr>
                <w:color w:val="000000"/>
                <w:highlight w:val="none"/>
              </w:rPr>
              <w:t> </w:t>
            </w:r>
          </w:p>
        </w:tc>
        <w:tc>
          <w:tcPr>
            <w:tcW w:w="1775" w:type="dxa"/>
            <w:tcBorders>
              <w:top w:val="single" w:color="000000" w:sz="4" w:space="0"/>
              <w:left w:val="single" w:color="000000" w:sz="4" w:space="0"/>
              <w:bottom w:val="single" w:color="000000" w:sz="4" w:space="0"/>
              <w:right w:val="single" w:color="000000" w:sz="4" w:space="0"/>
            </w:tcBorders>
            <w:noWrap w:val="0"/>
            <w:vAlign w:val="center"/>
          </w:tcPr>
          <w:p w14:paraId="4ED802EC">
            <w:pPr>
              <w:pStyle w:val="85"/>
              <w:spacing w:beforeAutospacing="0" w:afterAutospacing="0"/>
              <w:jc w:val="center"/>
              <w:rPr>
                <w:color w:val="000000"/>
                <w:highlight w:val="none"/>
              </w:rPr>
            </w:pPr>
            <w:r>
              <w:rPr>
                <w:color w:val="000000"/>
                <w:highlight w:val="none"/>
              </w:rPr>
              <w:t> </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33EC6E63">
            <w:pPr>
              <w:pStyle w:val="85"/>
              <w:spacing w:beforeAutospacing="0" w:afterAutospacing="0"/>
              <w:jc w:val="center"/>
              <w:rPr>
                <w:color w:val="000000"/>
                <w:highlight w:val="none"/>
              </w:rPr>
            </w:pPr>
            <w:r>
              <w:rPr>
                <w:color w:val="000000"/>
                <w:highlight w:val="none"/>
              </w:rPr>
              <w:t> </w:t>
            </w:r>
          </w:p>
        </w:tc>
        <w:tc>
          <w:tcPr>
            <w:tcW w:w="731" w:type="dxa"/>
            <w:tcBorders>
              <w:top w:val="single" w:color="000000" w:sz="4" w:space="0"/>
              <w:left w:val="single" w:color="000000" w:sz="4" w:space="0"/>
              <w:bottom w:val="single" w:color="000000" w:sz="4" w:space="0"/>
              <w:right w:val="single" w:color="000000" w:sz="4" w:space="0"/>
            </w:tcBorders>
            <w:noWrap w:val="0"/>
            <w:vAlign w:val="center"/>
          </w:tcPr>
          <w:p w14:paraId="3A0AE7D2">
            <w:pPr>
              <w:pStyle w:val="85"/>
              <w:spacing w:beforeAutospacing="0" w:afterAutospacing="0"/>
              <w:jc w:val="center"/>
              <w:rPr>
                <w:color w:val="000000"/>
                <w:highlight w:val="none"/>
              </w:rPr>
            </w:pPr>
            <w:r>
              <w:rPr>
                <w:color w:val="000000"/>
                <w:highlight w:val="none"/>
              </w:rPr>
              <w:t> </w:t>
            </w:r>
          </w:p>
        </w:tc>
        <w:tc>
          <w:tcPr>
            <w:tcW w:w="645" w:type="dxa"/>
            <w:tcBorders>
              <w:top w:val="single" w:color="000000" w:sz="4" w:space="0"/>
              <w:left w:val="single" w:color="000000" w:sz="4" w:space="0"/>
              <w:bottom w:val="single" w:color="000000" w:sz="4" w:space="0"/>
              <w:right w:val="single" w:color="000000" w:sz="4" w:space="0"/>
            </w:tcBorders>
            <w:noWrap w:val="0"/>
            <w:vAlign w:val="center"/>
          </w:tcPr>
          <w:p w14:paraId="0BF97FBD">
            <w:pPr>
              <w:pStyle w:val="85"/>
              <w:spacing w:beforeAutospacing="0" w:afterAutospacing="0"/>
              <w:jc w:val="center"/>
              <w:rPr>
                <w:color w:val="000000"/>
                <w:highlight w:val="none"/>
              </w:rPr>
            </w:pPr>
            <w:r>
              <w:rPr>
                <w:color w:val="000000"/>
                <w:highlight w:val="none"/>
              </w:rPr>
              <w:t> </w:t>
            </w:r>
          </w:p>
        </w:tc>
      </w:tr>
      <w:tr w14:paraId="568F9D7C">
        <w:tblPrEx>
          <w:tblCellMar>
            <w:top w:w="0" w:type="dxa"/>
            <w:left w:w="108" w:type="dxa"/>
            <w:bottom w:w="0" w:type="dxa"/>
            <w:right w:w="108" w:type="dxa"/>
          </w:tblCellMar>
        </w:tblPrEx>
        <w:trPr>
          <w:trHeight w:val="640" w:hRule="atLeast"/>
          <w:tblCellSpacing w:w="0" w:type="dxa"/>
        </w:trPr>
        <w:tc>
          <w:tcPr>
            <w:tcW w:w="315" w:type="dxa"/>
            <w:tcBorders>
              <w:top w:val="single" w:color="000000" w:sz="4" w:space="0"/>
              <w:left w:val="single" w:color="000000" w:sz="4" w:space="0"/>
              <w:bottom w:val="single" w:color="000000" w:sz="4" w:space="0"/>
              <w:right w:val="single" w:color="000000" w:sz="4" w:space="0"/>
            </w:tcBorders>
            <w:noWrap w:val="0"/>
            <w:vAlign w:val="center"/>
          </w:tcPr>
          <w:p w14:paraId="1AC21674">
            <w:pPr>
              <w:pStyle w:val="85"/>
              <w:spacing w:beforeAutospacing="0" w:afterAutospacing="0"/>
              <w:jc w:val="center"/>
              <w:rPr>
                <w:color w:val="000000"/>
                <w:highlight w:val="none"/>
              </w:rPr>
            </w:pPr>
            <w:r>
              <w:rPr>
                <w:color w:val="000000"/>
                <w:highlight w:val="none"/>
              </w:rPr>
              <w:t> </w:t>
            </w:r>
          </w:p>
        </w:tc>
        <w:tc>
          <w:tcPr>
            <w:tcW w:w="1775" w:type="dxa"/>
            <w:tcBorders>
              <w:top w:val="single" w:color="000000" w:sz="4" w:space="0"/>
              <w:left w:val="single" w:color="000000" w:sz="4" w:space="0"/>
              <w:bottom w:val="single" w:color="000000" w:sz="4" w:space="0"/>
              <w:right w:val="single" w:color="000000" w:sz="4" w:space="0"/>
            </w:tcBorders>
            <w:noWrap w:val="0"/>
            <w:vAlign w:val="center"/>
          </w:tcPr>
          <w:p w14:paraId="2ECA3FC1">
            <w:pPr>
              <w:pStyle w:val="85"/>
              <w:spacing w:beforeAutospacing="0" w:afterAutospacing="0"/>
              <w:jc w:val="center"/>
              <w:rPr>
                <w:color w:val="000000"/>
                <w:highlight w:val="none"/>
              </w:rPr>
            </w:pPr>
            <w:r>
              <w:rPr>
                <w:color w:val="000000"/>
                <w:highlight w:val="none"/>
              </w:rPr>
              <w:t> </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4CC51A71">
            <w:pPr>
              <w:pStyle w:val="85"/>
              <w:spacing w:beforeAutospacing="0" w:afterAutospacing="0"/>
              <w:jc w:val="center"/>
              <w:rPr>
                <w:color w:val="000000"/>
                <w:highlight w:val="none"/>
              </w:rPr>
            </w:pPr>
            <w:r>
              <w:rPr>
                <w:color w:val="000000"/>
                <w:highlight w:val="none"/>
              </w:rPr>
              <w:t> </w:t>
            </w:r>
          </w:p>
        </w:tc>
        <w:tc>
          <w:tcPr>
            <w:tcW w:w="731" w:type="dxa"/>
            <w:tcBorders>
              <w:top w:val="single" w:color="000000" w:sz="4" w:space="0"/>
              <w:left w:val="single" w:color="000000" w:sz="4" w:space="0"/>
              <w:bottom w:val="single" w:color="000000" w:sz="4" w:space="0"/>
              <w:right w:val="single" w:color="000000" w:sz="4" w:space="0"/>
            </w:tcBorders>
            <w:noWrap w:val="0"/>
            <w:vAlign w:val="center"/>
          </w:tcPr>
          <w:p w14:paraId="596BF248">
            <w:pPr>
              <w:pStyle w:val="85"/>
              <w:spacing w:beforeAutospacing="0" w:afterAutospacing="0"/>
              <w:jc w:val="center"/>
              <w:rPr>
                <w:color w:val="000000"/>
                <w:highlight w:val="none"/>
              </w:rPr>
            </w:pPr>
            <w:r>
              <w:rPr>
                <w:color w:val="000000"/>
                <w:highlight w:val="none"/>
              </w:rPr>
              <w:t> </w:t>
            </w:r>
          </w:p>
        </w:tc>
        <w:tc>
          <w:tcPr>
            <w:tcW w:w="645" w:type="dxa"/>
            <w:tcBorders>
              <w:top w:val="single" w:color="000000" w:sz="4" w:space="0"/>
              <w:left w:val="single" w:color="000000" w:sz="4" w:space="0"/>
              <w:bottom w:val="single" w:color="000000" w:sz="4" w:space="0"/>
              <w:right w:val="single" w:color="000000" w:sz="4" w:space="0"/>
            </w:tcBorders>
            <w:noWrap w:val="0"/>
            <w:vAlign w:val="center"/>
          </w:tcPr>
          <w:p w14:paraId="069F024E">
            <w:pPr>
              <w:pStyle w:val="85"/>
              <w:spacing w:beforeAutospacing="0" w:afterAutospacing="0"/>
              <w:jc w:val="center"/>
              <w:rPr>
                <w:color w:val="000000"/>
                <w:highlight w:val="none"/>
              </w:rPr>
            </w:pPr>
            <w:r>
              <w:rPr>
                <w:color w:val="000000"/>
                <w:highlight w:val="none"/>
              </w:rPr>
              <w:t> </w:t>
            </w:r>
          </w:p>
        </w:tc>
      </w:tr>
      <w:tr w14:paraId="469A17F4">
        <w:tblPrEx>
          <w:tblCellMar>
            <w:top w:w="0" w:type="dxa"/>
            <w:left w:w="108" w:type="dxa"/>
            <w:bottom w:w="0" w:type="dxa"/>
            <w:right w:w="108" w:type="dxa"/>
          </w:tblCellMar>
        </w:tblPrEx>
        <w:trPr>
          <w:trHeight w:val="640" w:hRule="atLeast"/>
          <w:tblCellSpacing w:w="0" w:type="dxa"/>
        </w:trPr>
        <w:tc>
          <w:tcPr>
            <w:tcW w:w="315" w:type="dxa"/>
            <w:tcBorders>
              <w:top w:val="single" w:color="000000" w:sz="4" w:space="0"/>
              <w:left w:val="single" w:color="000000" w:sz="4" w:space="0"/>
              <w:bottom w:val="single" w:color="000000" w:sz="4" w:space="0"/>
              <w:right w:val="single" w:color="000000" w:sz="4" w:space="0"/>
            </w:tcBorders>
            <w:noWrap w:val="0"/>
            <w:vAlign w:val="center"/>
          </w:tcPr>
          <w:p w14:paraId="2D08972F">
            <w:pPr>
              <w:pStyle w:val="85"/>
              <w:spacing w:beforeAutospacing="0" w:afterAutospacing="0"/>
              <w:jc w:val="center"/>
              <w:rPr>
                <w:color w:val="000000"/>
                <w:highlight w:val="none"/>
              </w:rPr>
            </w:pPr>
            <w:r>
              <w:rPr>
                <w:color w:val="000000"/>
                <w:highlight w:val="none"/>
              </w:rPr>
              <w:t> </w:t>
            </w:r>
          </w:p>
        </w:tc>
        <w:tc>
          <w:tcPr>
            <w:tcW w:w="1775" w:type="dxa"/>
            <w:tcBorders>
              <w:top w:val="single" w:color="000000" w:sz="4" w:space="0"/>
              <w:left w:val="single" w:color="000000" w:sz="4" w:space="0"/>
              <w:bottom w:val="single" w:color="000000" w:sz="4" w:space="0"/>
              <w:right w:val="single" w:color="000000" w:sz="4" w:space="0"/>
            </w:tcBorders>
            <w:noWrap w:val="0"/>
            <w:vAlign w:val="center"/>
          </w:tcPr>
          <w:p w14:paraId="34B6EDE6">
            <w:pPr>
              <w:pStyle w:val="85"/>
              <w:spacing w:beforeAutospacing="0" w:afterAutospacing="0"/>
              <w:jc w:val="center"/>
              <w:rPr>
                <w:color w:val="000000"/>
                <w:highlight w:val="none"/>
              </w:rPr>
            </w:pPr>
            <w:r>
              <w:rPr>
                <w:color w:val="000000"/>
                <w:highlight w:val="none"/>
              </w:rPr>
              <w:t> </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197B54E1">
            <w:pPr>
              <w:pStyle w:val="85"/>
              <w:spacing w:beforeAutospacing="0" w:afterAutospacing="0"/>
              <w:jc w:val="center"/>
              <w:rPr>
                <w:color w:val="000000"/>
                <w:highlight w:val="none"/>
              </w:rPr>
            </w:pPr>
            <w:r>
              <w:rPr>
                <w:color w:val="000000"/>
                <w:highlight w:val="none"/>
              </w:rPr>
              <w:t> </w:t>
            </w:r>
          </w:p>
        </w:tc>
        <w:tc>
          <w:tcPr>
            <w:tcW w:w="731" w:type="dxa"/>
            <w:tcBorders>
              <w:top w:val="single" w:color="000000" w:sz="4" w:space="0"/>
              <w:left w:val="single" w:color="000000" w:sz="4" w:space="0"/>
              <w:bottom w:val="single" w:color="000000" w:sz="4" w:space="0"/>
              <w:right w:val="single" w:color="000000" w:sz="4" w:space="0"/>
            </w:tcBorders>
            <w:noWrap w:val="0"/>
            <w:vAlign w:val="center"/>
          </w:tcPr>
          <w:p w14:paraId="45CEE367">
            <w:pPr>
              <w:pStyle w:val="85"/>
              <w:spacing w:beforeAutospacing="0" w:afterAutospacing="0"/>
              <w:jc w:val="center"/>
              <w:rPr>
                <w:color w:val="000000"/>
                <w:highlight w:val="none"/>
              </w:rPr>
            </w:pPr>
            <w:r>
              <w:rPr>
                <w:color w:val="000000"/>
                <w:highlight w:val="none"/>
              </w:rPr>
              <w:t> </w:t>
            </w:r>
          </w:p>
        </w:tc>
        <w:tc>
          <w:tcPr>
            <w:tcW w:w="645" w:type="dxa"/>
            <w:tcBorders>
              <w:top w:val="single" w:color="000000" w:sz="4" w:space="0"/>
              <w:left w:val="single" w:color="000000" w:sz="4" w:space="0"/>
              <w:bottom w:val="single" w:color="000000" w:sz="4" w:space="0"/>
              <w:right w:val="single" w:color="000000" w:sz="4" w:space="0"/>
            </w:tcBorders>
            <w:noWrap w:val="0"/>
            <w:vAlign w:val="center"/>
          </w:tcPr>
          <w:p w14:paraId="69E608C0">
            <w:pPr>
              <w:pStyle w:val="85"/>
              <w:spacing w:beforeAutospacing="0" w:afterAutospacing="0"/>
              <w:jc w:val="center"/>
              <w:rPr>
                <w:color w:val="000000"/>
                <w:highlight w:val="none"/>
              </w:rPr>
            </w:pPr>
            <w:r>
              <w:rPr>
                <w:color w:val="000000"/>
                <w:highlight w:val="none"/>
              </w:rPr>
              <w:t> </w:t>
            </w:r>
          </w:p>
        </w:tc>
      </w:tr>
      <w:tr w14:paraId="783ED242">
        <w:tblPrEx>
          <w:tblCellMar>
            <w:top w:w="0" w:type="dxa"/>
            <w:left w:w="108" w:type="dxa"/>
            <w:bottom w:w="0" w:type="dxa"/>
            <w:right w:w="108" w:type="dxa"/>
          </w:tblCellMar>
        </w:tblPrEx>
        <w:trPr>
          <w:trHeight w:val="640" w:hRule="atLeast"/>
          <w:tblCellSpacing w:w="0" w:type="dxa"/>
        </w:trPr>
        <w:tc>
          <w:tcPr>
            <w:tcW w:w="315" w:type="dxa"/>
            <w:tcBorders>
              <w:top w:val="single" w:color="000000" w:sz="4" w:space="0"/>
              <w:left w:val="single" w:color="000000" w:sz="4" w:space="0"/>
              <w:bottom w:val="single" w:color="000000" w:sz="4" w:space="0"/>
              <w:right w:val="single" w:color="000000" w:sz="4" w:space="0"/>
            </w:tcBorders>
            <w:noWrap w:val="0"/>
            <w:vAlign w:val="center"/>
          </w:tcPr>
          <w:p w14:paraId="590CD249">
            <w:pPr>
              <w:pStyle w:val="85"/>
              <w:spacing w:beforeAutospacing="0" w:afterAutospacing="0"/>
              <w:jc w:val="center"/>
              <w:rPr>
                <w:color w:val="000000"/>
                <w:highlight w:val="none"/>
              </w:rPr>
            </w:pPr>
            <w:r>
              <w:rPr>
                <w:color w:val="000000"/>
                <w:highlight w:val="none"/>
              </w:rPr>
              <w:t> </w:t>
            </w:r>
          </w:p>
        </w:tc>
        <w:tc>
          <w:tcPr>
            <w:tcW w:w="1775" w:type="dxa"/>
            <w:tcBorders>
              <w:top w:val="single" w:color="000000" w:sz="4" w:space="0"/>
              <w:left w:val="single" w:color="000000" w:sz="4" w:space="0"/>
              <w:bottom w:val="single" w:color="000000" w:sz="4" w:space="0"/>
              <w:right w:val="single" w:color="000000" w:sz="4" w:space="0"/>
            </w:tcBorders>
            <w:noWrap w:val="0"/>
            <w:vAlign w:val="center"/>
          </w:tcPr>
          <w:p w14:paraId="38518F6F">
            <w:pPr>
              <w:pStyle w:val="85"/>
              <w:spacing w:beforeAutospacing="0" w:afterAutospacing="0"/>
              <w:jc w:val="center"/>
              <w:rPr>
                <w:color w:val="000000"/>
                <w:highlight w:val="none"/>
              </w:rPr>
            </w:pPr>
            <w:r>
              <w:rPr>
                <w:rFonts w:hint="eastAsia" w:ascii="宋体" w:hAnsi="宋体" w:eastAsia="宋体" w:cs="宋体"/>
                <w:color w:val="000000"/>
                <w:highlight w:val="none"/>
              </w:rPr>
              <w:t>……</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3116A410">
            <w:pPr>
              <w:pStyle w:val="85"/>
              <w:spacing w:beforeAutospacing="0" w:afterAutospacing="0"/>
              <w:jc w:val="center"/>
              <w:rPr>
                <w:color w:val="000000"/>
                <w:highlight w:val="none"/>
              </w:rPr>
            </w:pPr>
            <w:r>
              <w:rPr>
                <w:color w:val="000000"/>
                <w:highlight w:val="none"/>
              </w:rPr>
              <w:t> </w:t>
            </w:r>
          </w:p>
        </w:tc>
        <w:tc>
          <w:tcPr>
            <w:tcW w:w="731" w:type="dxa"/>
            <w:tcBorders>
              <w:top w:val="single" w:color="000000" w:sz="4" w:space="0"/>
              <w:left w:val="single" w:color="000000" w:sz="4" w:space="0"/>
              <w:bottom w:val="single" w:color="000000" w:sz="4" w:space="0"/>
              <w:right w:val="single" w:color="000000" w:sz="4" w:space="0"/>
            </w:tcBorders>
            <w:noWrap w:val="0"/>
            <w:vAlign w:val="center"/>
          </w:tcPr>
          <w:p w14:paraId="1B450D39">
            <w:pPr>
              <w:pStyle w:val="85"/>
              <w:spacing w:beforeAutospacing="0" w:afterAutospacing="0"/>
              <w:jc w:val="center"/>
              <w:rPr>
                <w:color w:val="000000"/>
                <w:highlight w:val="none"/>
              </w:rPr>
            </w:pPr>
            <w:r>
              <w:rPr>
                <w:color w:val="000000"/>
                <w:highlight w:val="none"/>
              </w:rPr>
              <w:t> </w:t>
            </w:r>
          </w:p>
        </w:tc>
        <w:tc>
          <w:tcPr>
            <w:tcW w:w="645" w:type="dxa"/>
            <w:tcBorders>
              <w:top w:val="single" w:color="000000" w:sz="4" w:space="0"/>
              <w:left w:val="single" w:color="000000" w:sz="4" w:space="0"/>
              <w:bottom w:val="single" w:color="000000" w:sz="4" w:space="0"/>
              <w:right w:val="single" w:color="000000" w:sz="4" w:space="0"/>
            </w:tcBorders>
            <w:noWrap w:val="0"/>
            <w:vAlign w:val="center"/>
          </w:tcPr>
          <w:p w14:paraId="2B0F2E34">
            <w:pPr>
              <w:pStyle w:val="85"/>
              <w:spacing w:beforeAutospacing="0" w:afterAutospacing="0"/>
              <w:jc w:val="center"/>
              <w:rPr>
                <w:color w:val="000000"/>
                <w:highlight w:val="none"/>
              </w:rPr>
            </w:pPr>
            <w:r>
              <w:rPr>
                <w:color w:val="000000"/>
                <w:highlight w:val="none"/>
              </w:rPr>
              <w:t> </w:t>
            </w:r>
          </w:p>
        </w:tc>
      </w:tr>
    </w:tbl>
    <w:p w14:paraId="2A87E29F">
      <w:pPr>
        <w:pStyle w:val="85"/>
        <w:spacing w:beforeAutospacing="0" w:afterAutospacing="0"/>
        <w:jc w:val="both"/>
        <w:rPr>
          <w:color w:val="000000"/>
          <w:highlight w:val="none"/>
        </w:rPr>
      </w:pPr>
      <w:r>
        <w:rPr>
          <w:rFonts w:hint="eastAsia" w:ascii="宋体" w:hAnsi="宋体" w:eastAsia="宋体" w:cs="宋体"/>
          <w:color w:val="000000"/>
          <w:highlight w:val="none"/>
        </w:rPr>
        <w:t>注： 行数不够，可自行添加。</w:t>
      </w:r>
    </w:p>
    <w:p w14:paraId="0C982CC7">
      <w:pPr>
        <w:pStyle w:val="85"/>
        <w:spacing w:beforeAutospacing="0" w:afterAutospacing="0"/>
        <w:jc w:val="center"/>
        <w:rPr>
          <w:color w:val="000000"/>
          <w:highlight w:val="none"/>
        </w:rPr>
      </w:pPr>
      <w:r>
        <w:rPr>
          <w:color w:val="000000"/>
          <w:highlight w:val="none"/>
        </w:rPr>
        <w:t> </w:t>
      </w:r>
    </w:p>
    <w:p w14:paraId="4824BE05">
      <w:pPr>
        <w:pStyle w:val="85"/>
        <w:spacing w:beforeAutospacing="0" w:afterAutospacing="0"/>
        <w:jc w:val="center"/>
        <w:rPr>
          <w:color w:val="000000"/>
          <w:highlight w:val="none"/>
        </w:rPr>
      </w:pPr>
      <w:r>
        <w:rPr>
          <w:color w:val="000000"/>
          <w:highlight w:val="none"/>
        </w:rPr>
        <w:t> </w:t>
      </w:r>
    </w:p>
    <w:p w14:paraId="29D2D38E">
      <w:pPr>
        <w:pStyle w:val="85"/>
        <w:spacing w:beforeAutospacing="0" w:afterAutospacing="0"/>
        <w:jc w:val="center"/>
        <w:rPr>
          <w:color w:val="000000"/>
          <w:highlight w:val="none"/>
        </w:rPr>
      </w:pPr>
      <w:r>
        <w:rPr>
          <w:color w:val="000000"/>
          <w:highlight w:val="none"/>
        </w:rPr>
        <w:t> </w:t>
      </w:r>
    </w:p>
    <w:p w14:paraId="25F4147C">
      <w:pPr>
        <w:pStyle w:val="85"/>
        <w:spacing w:beforeAutospacing="0" w:afterAutospacing="0"/>
        <w:jc w:val="center"/>
        <w:rPr>
          <w:color w:val="000000"/>
          <w:highlight w:val="none"/>
        </w:rPr>
      </w:pPr>
      <w:r>
        <w:rPr>
          <w:color w:val="000000"/>
          <w:highlight w:val="none"/>
        </w:rPr>
        <w:t> </w:t>
      </w:r>
    </w:p>
    <w:p w14:paraId="22001F18">
      <w:pPr>
        <w:pStyle w:val="85"/>
        <w:spacing w:beforeAutospacing="0" w:afterAutospacing="0"/>
        <w:jc w:val="both"/>
        <w:rPr>
          <w:color w:val="000000"/>
          <w:highlight w:val="none"/>
        </w:rPr>
      </w:pPr>
      <w:r>
        <w:rPr>
          <w:color w:val="000000"/>
          <w:highlight w:val="none"/>
        </w:rPr>
        <w:t> </w:t>
      </w:r>
    </w:p>
    <w:p w14:paraId="6C28F5C8">
      <w:pPr>
        <w:pStyle w:val="85"/>
        <w:spacing w:beforeAutospacing="0" w:afterAutospacing="0"/>
        <w:jc w:val="both"/>
        <w:rPr>
          <w:color w:val="000000"/>
          <w:highlight w:val="none"/>
        </w:rPr>
      </w:pPr>
      <w:r>
        <w:rPr>
          <w:color w:val="000000"/>
          <w:highlight w:val="none"/>
        </w:rPr>
        <w:t> </w:t>
      </w:r>
    </w:p>
    <w:p w14:paraId="012C21F0">
      <w:pPr>
        <w:pStyle w:val="85"/>
        <w:spacing w:beforeAutospacing="0" w:afterAutospacing="0"/>
        <w:jc w:val="both"/>
        <w:rPr>
          <w:color w:val="000000"/>
          <w:highlight w:val="none"/>
        </w:rPr>
      </w:pPr>
      <w:r>
        <w:rPr>
          <w:color w:val="000000"/>
          <w:highlight w:val="none"/>
        </w:rPr>
        <w:t> </w:t>
      </w:r>
    </w:p>
    <w:p w14:paraId="0C58FDD8">
      <w:pPr>
        <w:pStyle w:val="85"/>
        <w:spacing w:beforeAutospacing="0" w:afterAutospacing="0"/>
        <w:jc w:val="both"/>
        <w:rPr>
          <w:color w:val="000000"/>
          <w:highlight w:val="none"/>
        </w:rPr>
      </w:pPr>
      <w:r>
        <w:rPr>
          <w:color w:val="000000"/>
          <w:highlight w:val="none"/>
        </w:rPr>
        <w:t> </w:t>
      </w:r>
    </w:p>
    <w:p w14:paraId="34785C97">
      <w:pPr>
        <w:pStyle w:val="85"/>
        <w:spacing w:beforeAutospacing="0" w:afterAutospacing="0"/>
        <w:jc w:val="both"/>
        <w:rPr>
          <w:color w:val="000000"/>
          <w:highlight w:val="none"/>
        </w:rPr>
      </w:pPr>
    </w:p>
    <w:p w14:paraId="61665935">
      <w:pPr>
        <w:pStyle w:val="85"/>
        <w:spacing w:beforeAutospacing="0" w:afterAutospacing="0"/>
        <w:jc w:val="both"/>
        <w:rPr>
          <w:color w:val="000000"/>
          <w:highlight w:val="none"/>
        </w:rPr>
      </w:pPr>
    </w:p>
    <w:p w14:paraId="72727DAC">
      <w:pPr>
        <w:pStyle w:val="85"/>
        <w:spacing w:beforeAutospacing="0" w:afterAutospacing="0"/>
        <w:jc w:val="both"/>
        <w:rPr>
          <w:color w:val="000000"/>
          <w:highlight w:val="none"/>
        </w:rPr>
      </w:pPr>
    </w:p>
    <w:p w14:paraId="3AAB99B4">
      <w:pPr>
        <w:pStyle w:val="85"/>
        <w:spacing w:beforeAutospacing="0" w:afterAutospacing="0"/>
        <w:jc w:val="both"/>
        <w:rPr>
          <w:color w:val="000000"/>
          <w:highlight w:val="none"/>
        </w:rPr>
      </w:pPr>
    </w:p>
    <w:p w14:paraId="378F1CE0">
      <w:pPr>
        <w:pStyle w:val="85"/>
        <w:spacing w:beforeAutospacing="0" w:afterAutospacing="0"/>
        <w:jc w:val="both"/>
        <w:rPr>
          <w:color w:val="000000"/>
          <w:highlight w:val="none"/>
        </w:rPr>
      </w:pPr>
    </w:p>
    <w:p w14:paraId="09FFCD42">
      <w:pPr>
        <w:pStyle w:val="85"/>
        <w:spacing w:beforeAutospacing="0" w:afterAutospacing="0"/>
        <w:jc w:val="both"/>
        <w:rPr>
          <w:color w:val="000000"/>
          <w:highlight w:val="none"/>
        </w:rPr>
      </w:pPr>
    </w:p>
    <w:p w14:paraId="3EA3A259">
      <w:pPr>
        <w:pStyle w:val="85"/>
        <w:spacing w:beforeAutospacing="0" w:afterAutospacing="0"/>
        <w:jc w:val="both"/>
        <w:rPr>
          <w:color w:val="000000"/>
          <w:highlight w:val="none"/>
        </w:rPr>
      </w:pPr>
    </w:p>
    <w:p w14:paraId="7690D65E">
      <w:pPr>
        <w:pStyle w:val="85"/>
        <w:spacing w:beforeAutospacing="0" w:afterAutospacing="0"/>
        <w:jc w:val="both"/>
        <w:rPr>
          <w:color w:val="000000"/>
          <w:highlight w:val="none"/>
        </w:rPr>
      </w:pPr>
      <w:r>
        <w:rPr>
          <w:color w:val="000000"/>
          <w:highlight w:val="none"/>
        </w:rPr>
        <w:t> </w:t>
      </w:r>
    </w:p>
    <w:p w14:paraId="2E3532DF">
      <w:pPr>
        <w:pStyle w:val="85"/>
        <w:spacing w:beforeAutospacing="0" w:afterAutospacing="0"/>
        <w:jc w:val="both"/>
        <w:rPr>
          <w:color w:val="000000"/>
          <w:highlight w:val="none"/>
        </w:rPr>
      </w:pPr>
      <w:r>
        <w:rPr>
          <w:color w:val="000000"/>
          <w:highlight w:val="none"/>
        </w:rPr>
        <w:t> </w:t>
      </w:r>
    </w:p>
    <w:p w14:paraId="2899CA83">
      <w:pPr>
        <w:pStyle w:val="85"/>
        <w:spacing w:beforeAutospacing="0" w:afterAutospacing="0"/>
        <w:jc w:val="both"/>
        <w:rPr>
          <w:color w:val="000000"/>
          <w:highlight w:val="none"/>
        </w:rPr>
      </w:pPr>
    </w:p>
    <w:p w14:paraId="16DAA28F">
      <w:pPr>
        <w:pStyle w:val="85"/>
        <w:spacing w:beforeAutospacing="0" w:afterAutospacing="0"/>
        <w:jc w:val="both"/>
        <w:rPr>
          <w:color w:val="000000"/>
          <w:highlight w:val="none"/>
        </w:rPr>
      </w:pPr>
    </w:p>
    <w:p w14:paraId="0F7A7F5B">
      <w:pPr>
        <w:pStyle w:val="85"/>
        <w:spacing w:beforeAutospacing="0" w:afterAutospacing="0"/>
        <w:jc w:val="both"/>
        <w:rPr>
          <w:color w:val="000000"/>
          <w:highlight w:val="none"/>
        </w:rPr>
      </w:pPr>
      <w:r>
        <w:rPr>
          <w:color w:val="000000"/>
          <w:highlight w:val="none"/>
        </w:rPr>
        <w:t> </w:t>
      </w:r>
    </w:p>
    <w:p w14:paraId="54629DA4">
      <w:pPr>
        <w:rPr>
          <w:color w:val="000000"/>
          <w:highlight w:val="none"/>
        </w:rPr>
      </w:pPr>
      <w:r>
        <w:rPr>
          <w:color w:val="000000"/>
          <w:highlight w:val="none"/>
        </w:rPr>
        <w:br w:type="page" w:clear="all"/>
      </w:r>
    </w:p>
    <w:p w14:paraId="3EAE1C71">
      <w:pPr>
        <w:pStyle w:val="85"/>
        <w:spacing w:beforeAutospacing="0" w:afterAutospacing="0"/>
        <w:jc w:val="both"/>
        <w:rPr>
          <w:color w:val="000000"/>
          <w:highlight w:val="none"/>
        </w:rPr>
      </w:pPr>
    </w:p>
    <w:p w14:paraId="3F91E48E">
      <w:pPr>
        <w:pStyle w:val="85"/>
        <w:spacing w:beforeAutospacing="0" w:afterAutospacing="0"/>
        <w:jc w:val="center"/>
        <w:rPr>
          <w:color w:val="000000"/>
          <w:highlight w:val="none"/>
        </w:rPr>
      </w:pPr>
      <w:bookmarkStart w:id="195" w:name="_Hlt26955054"/>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四</w:t>
      </w:r>
      <w:r>
        <w:rPr>
          <w:rFonts w:hint="eastAsia" w:ascii="黑体" w:hAnsi="宋体" w:eastAsia="黑体" w:cs="黑体"/>
          <w:b/>
          <w:color w:val="000000"/>
          <w:sz w:val="32"/>
          <w:szCs w:val="32"/>
          <w:highlight w:val="none"/>
        </w:rPr>
        <w:t>、商务要求响应及偏离表（分包号：**）</w:t>
      </w:r>
    </w:p>
    <w:tbl>
      <w:tblPr>
        <w:tblStyle w:val="30"/>
        <w:tblW w:w="4998" w:type="pct"/>
        <w:tblCellSpacing w:w="0" w:type="dxa"/>
        <w:tblInd w:w="-118" w:type="dxa"/>
        <w:tblLayout w:type="autofit"/>
        <w:tblCellMar>
          <w:top w:w="0" w:type="dxa"/>
          <w:left w:w="108" w:type="dxa"/>
          <w:bottom w:w="0" w:type="dxa"/>
          <w:right w:w="108" w:type="dxa"/>
        </w:tblCellMar>
      </w:tblPr>
      <w:tblGrid>
        <w:gridCol w:w="923"/>
        <w:gridCol w:w="2812"/>
        <w:gridCol w:w="3012"/>
        <w:gridCol w:w="1415"/>
        <w:gridCol w:w="1708"/>
      </w:tblGrid>
      <w:tr w14:paraId="613B13A4">
        <w:tblPrEx>
          <w:tblCellMar>
            <w:top w:w="0" w:type="dxa"/>
            <w:left w:w="108" w:type="dxa"/>
            <w:bottom w:w="0" w:type="dxa"/>
            <w:right w:w="108" w:type="dxa"/>
          </w:tblCellMar>
        </w:tblPrEx>
        <w:trPr>
          <w:tblCellSpacing w:w="0" w:type="dxa"/>
        </w:trPr>
        <w:tc>
          <w:tcPr>
            <w:tcW w:w="387" w:type="dxa"/>
            <w:tcBorders>
              <w:top w:val="single" w:color="000000" w:sz="4" w:space="0"/>
              <w:left w:val="single" w:color="000000" w:sz="4" w:space="0"/>
              <w:bottom w:val="single" w:color="000000" w:sz="4" w:space="0"/>
              <w:right w:val="single" w:color="000000" w:sz="4" w:space="0"/>
            </w:tcBorders>
            <w:noWrap w:val="0"/>
            <w:vAlign w:val="center"/>
          </w:tcPr>
          <w:p w14:paraId="54656121">
            <w:pPr>
              <w:pStyle w:val="85"/>
              <w:spacing w:beforeAutospacing="0" w:afterAutospacing="0"/>
              <w:jc w:val="center"/>
              <w:rPr>
                <w:color w:val="000000"/>
                <w:highlight w:val="none"/>
              </w:rPr>
            </w:pPr>
            <w:bookmarkStart w:id="196" w:name="_Hlt26671343"/>
            <w:bookmarkStart w:id="197" w:name="_Hlt26671372"/>
            <w:bookmarkStart w:id="198" w:name="_Hlt24879081"/>
            <w:bookmarkStart w:id="199" w:name="_Hlt26955056"/>
            <w:bookmarkStart w:id="200" w:name="_Hlt26580838"/>
            <w:bookmarkStart w:id="201" w:name="_Hlt26782999"/>
            <w:bookmarkStart w:id="202" w:name="_Hlt26609391"/>
            <w:bookmarkStart w:id="203" w:name="_Hlt26955064"/>
            <w:r>
              <w:rPr>
                <w:rFonts w:hint="eastAsia" w:ascii="宋体" w:hAnsi="宋体" w:eastAsia="宋体" w:cs="宋体"/>
                <w:color w:val="000000"/>
                <w:highlight w:val="none"/>
              </w:rPr>
              <w:t>序号</w:t>
            </w:r>
            <w:bookmarkEnd w:id="196"/>
            <w:bookmarkEnd w:id="197"/>
            <w:bookmarkEnd w:id="198"/>
            <w:bookmarkEnd w:id="199"/>
            <w:bookmarkEnd w:id="200"/>
            <w:bookmarkEnd w:id="201"/>
            <w:bookmarkEnd w:id="202"/>
            <w:bookmarkEnd w:id="203"/>
          </w:p>
        </w:tc>
        <w:tc>
          <w:tcPr>
            <w:tcW w:w="1449" w:type="dxa"/>
            <w:tcBorders>
              <w:top w:val="single" w:color="000000" w:sz="4" w:space="0"/>
              <w:left w:val="single" w:color="000000" w:sz="4" w:space="0"/>
              <w:bottom w:val="single" w:color="000000" w:sz="4" w:space="0"/>
              <w:right w:val="single" w:color="000000" w:sz="4" w:space="0"/>
            </w:tcBorders>
            <w:noWrap w:val="0"/>
            <w:vAlign w:val="center"/>
          </w:tcPr>
          <w:p w14:paraId="0C7CDB97">
            <w:pPr>
              <w:pStyle w:val="85"/>
              <w:spacing w:beforeAutospacing="0" w:afterAutospacing="0"/>
              <w:jc w:val="center"/>
              <w:rPr>
                <w:color w:val="000000"/>
                <w:highlight w:val="none"/>
              </w:rPr>
            </w:pPr>
            <w:r>
              <w:rPr>
                <w:rFonts w:hint="eastAsia" w:ascii="宋体" w:hAnsi="宋体" w:eastAsia="宋体" w:cs="宋体"/>
                <w:color w:val="000000"/>
                <w:highlight w:val="none"/>
              </w:rPr>
              <w:t>招标文件要求</w:t>
            </w:r>
          </w:p>
        </w:tc>
        <w:tc>
          <w:tcPr>
            <w:tcW w:w="1552" w:type="dxa"/>
            <w:tcBorders>
              <w:top w:val="single" w:color="000000" w:sz="4" w:space="0"/>
              <w:left w:val="single" w:color="000000" w:sz="4" w:space="0"/>
              <w:bottom w:val="single" w:color="000000" w:sz="4" w:space="0"/>
              <w:right w:val="single" w:color="000000" w:sz="4" w:space="0"/>
            </w:tcBorders>
            <w:noWrap w:val="0"/>
            <w:vAlign w:val="center"/>
          </w:tcPr>
          <w:p w14:paraId="616547CF">
            <w:pPr>
              <w:pStyle w:val="85"/>
              <w:spacing w:beforeAutospacing="0" w:afterAutospacing="0"/>
              <w:jc w:val="center"/>
              <w:rPr>
                <w:color w:val="000000"/>
                <w:highlight w:val="none"/>
              </w:rPr>
            </w:pPr>
            <w:r>
              <w:rPr>
                <w:rFonts w:hint="eastAsia" w:ascii="宋体" w:hAnsi="宋体" w:eastAsia="宋体" w:cs="宋体"/>
                <w:color w:val="000000"/>
                <w:highlight w:val="none"/>
              </w:rPr>
              <w:t>投标响应情况</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68B61068">
            <w:pPr>
              <w:pStyle w:val="85"/>
              <w:spacing w:beforeAutospacing="0" w:afterAutospacing="0"/>
              <w:jc w:val="center"/>
              <w:rPr>
                <w:color w:val="000000"/>
                <w:highlight w:val="none"/>
              </w:rPr>
            </w:pPr>
            <w:r>
              <w:rPr>
                <w:rFonts w:hint="eastAsia" w:ascii="宋体" w:hAnsi="宋体" w:eastAsia="宋体" w:cs="宋体"/>
                <w:color w:val="000000"/>
                <w:highlight w:val="none"/>
              </w:rPr>
              <w:t>超出、符合或偏离</w:t>
            </w:r>
          </w:p>
        </w:tc>
        <w:tc>
          <w:tcPr>
            <w:tcW w:w="880" w:type="dxa"/>
            <w:tcBorders>
              <w:top w:val="single" w:color="000000" w:sz="4" w:space="0"/>
              <w:left w:val="single" w:color="000000" w:sz="4" w:space="0"/>
              <w:bottom w:val="single" w:color="000000" w:sz="4" w:space="0"/>
              <w:right w:val="single" w:color="000000" w:sz="4" w:space="0"/>
            </w:tcBorders>
            <w:noWrap w:val="0"/>
            <w:vAlign w:val="center"/>
          </w:tcPr>
          <w:p w14:paraId="28C945CD">
            <w:pPr>
              <w:pStyle w:val="85"/>
              <w:spacing w:beforeAutospacing="0" w:afterAutospacing="0"/>
              <w:jc w:val="center"/>
              <w:rPr>
                <w:color w:val="000000"/>
                <w:highlight w:val="none"/>
              </w:rPr>
            </w:pPr>
            <w:r>
              <w:rPr>
                <w:rFonts w:hint="eastAsia" w:ascii="宋体" w:hAnsi="宋体" w:eastAsia="宋体" w:cs="宋体"/>
                <w:color w:val="000000"/>
                <w:highlight w:val="none"/>
              </w:rPr>
              <w:t>证明</w:t>
            </w:r>
          </w:p>
          <w:p w14:paraId="2FA22B14">
            <w:pPr>
              <w:pStyle w:val="85"/>
              <w:spacing w:beforeAutospacing="0" w:afterAutospacing="0"/>
              <w:jc w:val="center"/>
              <w:rPr>
                <w:color w:val="000000"/>
                <w:highlight w:val="none"/>
              </w:rPr>
            </w:pPr>
            <w:r>
              <w:rPr>
                <w:rFonts w:hint="eastAsia" w:ascii="宋体" w:hAnsi="宋体" w:eastAsia="宋体" w:cs="宋体"/>
                <w:color w:val="000000"/>
                <w:highlight w:val="none"/>
              </w:rPr>
              <w:t>材料</w:t>
            </w:r>
          </w:p>
        </w:tc>
      </w:tr>
      <w:tr w14:paraId="16A11ECF">
        <w:tblPrEx>
          <w:tblCellMar>
            <w:top w:w="0" w:type="dxa"/>
            <w:left w:w="108" w:type="dxa"/>
            <w:bottom w:w="0" w:type="dxa"/>
            <w:right w:w="108" w:type="dxa"/>
          </w:tblCellMar>
        </w:tblPrEx>
        <w:trPr>
          <w:trHeight w:val="640" w:hRule="atLeast"/>
          <w:tblCellSpacing w:w="0" w:type="dxa"/>
        </w:trPr>
        <w:tc>
          <w:tcPr>
            <w:tcW w:w="387" w:type="dxa"/>
            <w:tcBorders>
              <w:top w:val="single" w:color="000000" w:sz="4" w:space="0"/>
              <w:left w:val="single" w:color="000000" w:sz="4" w:space="0"/>
              <w:bottom w:val="single" w:color="000000" w:sz="4" w:space="0"/>
              <w:right w:val="single" w:color="000000" w:sz="4" w:space="0"/>
            </w:tcBorders>
            <w:noWrap w:val="0"/>
            <w:vAlign w:val="center"/>
          </w:tcPr>
          <w:p w14:paraId="613A3D45">
            <w:pPr>
              <w:pStyle w:val="85"/>
              <w:spacing w:beforeAutospacing="0" w:afterAutospacing="0"/>
              <w:jc w:val="center"/>
              <w:rPr>
                <w:color w:val="000000"/>
                <w:highlight w:val="none"/>
              </w:rPr>
            </w:pPr>
            <w:r>
              <w:rPr>
                <w:color w:val="000000"/>
                <w:highlight w:val="none"/>
              </w:rPr>
              <w:t> </w:t>
            </w:r>
          </w:p>
        </w:tc>
        <w:tc>
          <w:tcPr>
            <w:tcW w:w="1449" w:type="dxa"/>
            <w:tcBorders>
              <w:top w:val="single" w:color="000000" w:sz="4" w:space="0"/>
              <w:left w:val="single" w:color="000000" w:sz="4" w:space="0"/>
              <w:bottom w:val="single" w:color="000000" w:sz="4" w:space="0"/>
              <w:right w:val="single" w:color="000000" w:sz="4" w:space="0"/>
            </w:tcBorders>
            <w:noWrap w:val="0"/>
            <w:vAlign w:val="center"/>
          </w:tcPr>
          <w:p w14:paraId="5DB6A28B">
            <w:pPr>
              <w:pStyle w:val="85"/>
              <w:spacing w:beforeAutospacing="0" w:afterAutospacing="0"/>
              <w:jc w:val="center"/>
              <w:rPr>
                <w:color w:val="000000"/>
                <w:highlight w:val="none"/>
              </w:rPr>
            </w:pPr>
            <w:r>
              <w:rPr>
                <w:color w:val="000000"/>
                <w:highlight w:val="none"/>
              </w:rPr>
              <w:t> </w:t>
            </w:r>
          </w:p>
        </w:tc>
        <w:tc>
          <w:tcPr>
            <w:tcW w:w="1552" w:type="dxa"/>
            <w:tcBorders>
              <w:top w:val="single" w:color="000000" w:sz="4" w:space="0"/>
              <w:left w:val="single" w:color="000000" w:sz="4" w:space="0"/>
              <w:bottom w:val="single" w:color="000000" w:sz="4" w:space="0"/>
              <w:right w:val="single" w:color="000000" w:sz="4" w:space="0"/>
            </w:tcBorders>
            <w:noWrap w:val="0"/>
            <w:vAlign w:val="center"/>
          </w:tcPr>
          <w:p w14:paraId="1D798237">
            <w:pPr>
              <w:pStyle w:val="85"/>
              <w:spacing w:beforeAutospacing="0" w:afterAutospacing="0"/>
              <w:jc w:val="center"/>
              <w:rPr>
                <w:color w:val="000000"/>
                <w:highlight w:val="none"/>
              </w:rPr>
            </w:pPr>
            <w:r>
              <w:rPr>
                <w:color w:val="000000"/>
                <w:highlight w:val="none"/>
              </w:rPr>
              <w:t> </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4A0EB04B">
            <w:pPr>
              <w:pStyle w:val="85"/>
              <w:spacing w:beforeAutospacing="0" w:afterAutospacing="0"/>
              <w:jc w:val="center"/>
              <w:rPr>
                <w:color w:val="000000"/>
                <w:highlight w:val="none"/>
              </w:rPr>
            </w:pPr>
            <w:r>
              <w:rPr>
                <w:color w:val="000000"/>
                <w:highlight w:val="none"/>
              </w:rPr>
              <w:t> </w:t>
            </w:r>
          </w:p>
        </w:tc>
        <w:tc>
          <w:tcPr>
            <w:tcW w:w="880" w:type="dxa"/>
            <w:tcBorders>
              <w:top w:val="single" w:color="000000" w:sz="4" w:space="0"/>
              <w:left w:val="single" w:color="000000" w:sz="4" w:space="0"/>
              <w:bottom w:val="single" w:color="000000" w:sz="4" w:space="0"/>
              <w:right w:val="single" w:color="000000" w:sz="4" w:space="0"/>
            </w:tcBorders>
            <w:noWrap w:val="0"/>
            <w:vAlign w:val="center"/>
          </w:tcPr>
          <w:p w14:paraId="4B125181">
            <w:pPr>
              <w:pStyle w:val="85"/>
              <w:spacing w:beforeAutospacing="0" w:afterAutospacing="0"/>
              <w:jc w:val="center"/>
              <w:rPr>
                <w:color w:val="000000"/>
                <w:highlight w:val="none"/>
              </w:rPr>
            </w:pPr>
            <w:r>
              <w:rPr>
                <w:color w:val="000000"/>
                <w:highlight w:val="none"/>
              </w:rPr>
              <w:t> </w:t>
            </w:r>
          </w:p>
        </w:tc>
      </w:tr>
      <w:tr w14:paraId="32383687">
        <w:tblPrEx>
          <w:tblCellMar>
            <w:top w:w="0" w:type="dxa"/>
            <w:left w:w="108" w:type="dxa"/>
            <w:bottom w:w="0" w:type="dxa"/>
            <w:right w:w="108" w:type="dxa"/>
          </w:tblCellMar>
        </w:tblPrEx>
        <w:trPr>
          <w:trHeight w:val="640" w:hRule="atLeast"/>
          <w:tblCellSpacing w:w="0" w:type="dxa"/>
        </w:trPr>
        <w:tc>
          <w:tcPr>
            <w:tcW w:w="387" w:type="dxa"/>
            <w:tcBorders>
              <w:top w:val="single" w:color="000000" w:sz="4" w:space="0"/>
              <w:left w:val="single" w:color="000000" w:sz="4" w:space="0"/>
              <w:bottom w:val="single" w:color="000000" w:sz="4" w:space="0"/>
              <w:right w:val="single" w:color="000000" w:sz="4" w:space="0"/>
            </w:tcBorders>
            <w:noWrap w:val="0"/>
            <w:vAlign w:val="center"/>
          </w:tcPr>
          <w:p w14:paraId="07F52A99">
            <w:pPr>
              <w:pStyle w:val="85"/>
              <w:spacing w:beforeAutospacing="0" w:afterAutospacing="0"/>
              <w:jc w:val="center"/>
              <w:rPr>
                <w:color w:val="000000"/>
                <w:highlight w:val="none"/>
              </w:rPr>
            </w:pPr>
            <w:r>
              <w:rPr>
                <w:color w:val="000000"/>
                <w:highlight w:val="none"/>
              </w:rPr>
              <w:t> </w:t>
            </w:r>
          </w:p>
        </w:tc>
        <w:tc>
          <w:tcPr>
            <w:tcW w:w="1449" w:type="dxa"/>
            <w:tcBorders>
              <w:top w:val="single" w:color="000000" w:sz="4" w:space="0"/>
              <w:left w:val="single" w:color="000000" w:sz="4" w:space="0"/>
              <w:bottom w:val="single" w:color="000000" w:sz="4" w:space="0"/>
              <w:right w:val="single" w:color="000000" w:sz="4" w:space="0"/>
            </w:tcBorders>
            <w:noWrap w:val="0"/>
            <w:vAlign w:val="center"/>
          </w:tcPr>
          <w:p w14:paraId="66418CD1">
            <w:pPr>
              <w:pStyle w:val="85"/>
              <w:spacing w:beforeAutospacing="0" w:afterAutospacing="0"/>
              <w:jc w:val="center"/>
              <w:rPr>
                <w:color w:val="000000"/>
                <w:highlight w:val="none"/>
              </w:rPr>
            </w:pPr>
            <w:r>
              <w:rPr>
                <w:color w:val="000000"/>
                <w:highlight w:val="none"/>
              </w:rPr>
              <w:t> </w:t>
            </w:r>
          </w:p>
        </w:tc>
        <w:tc>
          <w:tcPr>
            <w:tcW w:w="1552" w:type="dxa"/>
            <w:tcBorders>
              <w:top w:val="single" w:color="000000" w:sz="4" w:space="0"/>
              <w:left w:val="single" w:color="000000" w:sz="4" w:space="0"/>
              <w:bottom w:val="single" w:color="000000" w:sz="4" w:space="0"/>
              <w:right w:val="single" w:color="000000" w:sz="4" w:space="0"/>
            </w:tcBorders>
            <w:noWrap w:val="0"/>
            <w:vAlign w:val="center"/>
          </w:tcPr>
          <w:p w14:paraId="3B10CCEC">
            <w:pPr>
              <w:pStyle w:val="85"/>
              <w:spacing w:beforeAutospacing="0" w:afterAutospacing="0"/>
              <w:jc w:val="center"/>
              <w:rPr>
                <w:color w:val="000000"/>
                <w:highlight w:val="none"/>
              </w:rPr>
            </w:pPr>
            <w:r>
              <w:rPr>
                <w:color w:val="000000"/>
                <w:highlight w:val="none"/>
              </w:rPr>
              <w:t> </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3F57276C">
            <w:pPr>
              <w:pStyle w:val="85"/>
              <w:spacing w:beforeAutospacing="0" w:afterAutospacing="0"/>
              <w:jc w:val="center"/>
              <w:rPr>
                <w:color w:val="000000"/>
                <w:highlight w:val="none"/>
              </w:rPr>
            </w:pPr>
            <w:r>
              <w:rPr>
                <w:color w:val="000000"/>
                <w:highlight w:val="none"/>
              </w:rPr>
              <w:t> </w:t>
            </w:r>
          </w:p>
        </w:tc>
        <w:tc>
          <w:tcPr>
            <w:tcW w:w="880" w:type="dxa"/>
            <w:tcBorders>
              <w:top w:val="single" w:color="000000" w:sz="4" w:space="0"/>
              <w:left w:val="single" w:color="000000" w:sz="4" w:space="0"/>
              <w:bottom w:val="single" w:color="000000" w:sz="4" w:space="0"/>
              <w:right w:val="single" w:color="000000" w:sz="4" w:space="0"/>
            </w:tcBorders>
            <w:noWrap w:val="0"/>
            <w:vAlign w:val="center"/>
          </w:tcPr>
          <w:p w14:paraId="7539E7AB">
            <w:pPr>
              <w:pStyle w:val="85"/>
              <w:spacing w:beforeAutospacing="0" w:afterAutospacing="0"/>
              <w:jc w:val="center"/>
              <w:rPr>
                <w:color w:val="000000"/>
                <w:highlight w:val="none"/>
              </w:rPr>
            </w:pPr>
            <w:r>
              <w:rPr>
                <w:color w:val="000000"/>
                <w:highlight w:val="none"/>
              </w:rPr>
              <w:t> </w:t>
            </w:r>
          </w:p>
        </w:tc>
      </w:tr>
      <w:tr w14:paraId="68622AA0">
        <w:tblPrEx>
          <w:tblCellMar>
            <w:top w:w="0" w:type="dxa"/>
            <w:left w:w="108" w:type="dxa"/>
            <w:bottom w:w="0" w:type="dxa"/>
            <w:right w:w="108" w:type="dxa"/>
          </w:tblCellMar>
        </w:tblPrEx>
        <w:trPr>
          <w:trHeight w:val="640" w:hRule="atLeast"/>
          <w:tblCellSpacing w:w="0" w:type="dxa"/>
        </w:trPr>
        <w:tc>
          <w:tcPr>
            <w:tcW w:w="387" w:type="dxa"/>
            <w:tcBorders>
              <w:top w:val="single" w:color="000000" w:sz="4" w:space="0"/>
              <w:left w:val="single" w:color="000000" w:sz="4" w:space="0"/>
              <w:bottom w:val="single" w:color="000000" w:sz="4" w:space="0"/>
              <w:right w:val="single" w:color="000000" w:sz="4" w:space="0"/>
            </w:tcBorders>
            <w:noWrap w:val="0"/>
            <w:vAlign w:val="center"/>
          </w:tcPr>
          <w:p w14:paraId="384F499C">
            <w:pPr>
              <w:pStyle w:val="85"/>
              <w:spacing w:beforeAutospacing="0" w:afterAutospacing="0"/>
              <w:jc w:val="center"/>
              <w:rPr>
                <w:color w:val="000000"/>
                <w:highlight w:val="none"/>
              </w:rPr>
            </w:pPr>
            <w:r>
              <w:rPr>
                <w:color w:val="000000"/>
                <w:highlight w:val="none"/>
              </w:rPr>
              <w:t> </w:t>
            </w:r>
          </w:p>
        </w:tc>
        <w:tc>
          <w:tcPr>
            <w:tcW w:w="1449" w:type="dxa"/>
            <w:tcBorders>
              <w:top w:val="single" w:color="000000" w:sz="4" w:space="0"/>
              <w:left w:val="single" w:color="000000" w:sz="4" w:space="0"/>
              <w:bottom w:val="single" w:color="000000" w:sz="4" w:space="0"/>
              <w:right w:val="single" w:color="000000" w:sz="4" w:space="0"/>
            </w:tcBorders>
            <w:noWrap w:val="0"/>
            <w:vAlign w:val="center"/>
          </w:tcPr>
          <w:p w14:paraId="25105008">
            <w:pPr>
              <w:pStyle w:val="85"/>
              <w:spacing w:beforeAutospacing="0" w:afterAutospacing="0"/>
              <w:jc w:val="center"/>
              <w:rPr>
                <w:color w:val="000000"/>
                <w:highlight w:val="none"/>
              </w:rPr>
            </w:pPr>
            <w:r>
              <w:rPr>
                <w:color w:val="000000"/>
                <w:highlight w:val="none"/>
              </w:rPr>
              <w:t> </w:t>
            </w:r>
          </w:p>
        </w:tc>
        <w:tc>
          <w:tcPr>
            <w:tcW w:w="1552" w:type="dxa"/>
            <w:tcBorders>
              <w:top w:val="single" w:color="000000" w:sz="4" w:space="0"/>
              <w:left w:val="single" w:color="000000" w:sz="4" w:space="0"/>
              <w:bottom w:val="single" w:color="000000" w:sz="4" w:space="0"/>
              <w:right w:val="single" w:color="000000" w:sz="4" w:space="0"/>
            </w:tcBorders>
            <w:noWrap w:val="0"/>
            <w:vAlign w:val="center"/>
          </w:tcPr>
          <w:p w14:paraId="42352D5F">
            <w:pPr>
              <w:pStyle w:val="85"/>
              <w:spacing w:beforeAutospacing="0" w:afterAutospacing="0"/>
              <w:jc w:val="center"/>
              <w:rPr>
                <w:color w:val="000000"/>
                <w:highlight w:val="none"/>
              </w:rPr>
            </w:pPr>
            <w:r>
              <w:rPr>
                <w:color w:val="000000"/>
                <w:highlight w:val="none"/>
              </w:rPr>
              <w:t> </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3163D7AB">
            <w:pPr>
              <w:pStyle w:val="85"/>
              <w:spacing w:beforeAutospacing="0" w:afterAutospacing="0"/>
              <w:jc w:val="center"/>
              <w:rPr>
                <w:color w:val="000000"/>
                <w:highlight w:val="none"/>
              </w:rPr>
            </w:pPr>
            <w:r>
              <w:rPr>
                <w:color w:val="000000"/>
                <w:highlight w:val="none"/>
              </w:rPr>
              <w:t> </w:t>
            </w:r>
          </w:p>
        </w:tc>
        <w:tc>
          <w:tcPr>
            <w:tcW w:w="880" w:type="dxa"/>
            <w:tcBorders>
              <w:top w:val="single" w:color="000000" w:sz="4" w:space="0"/>
              <w:left w:val="single" w:color="000000" w:sz="4" w:space="0"/>
              <w:bottom w:val="single" w:color="000000" w:sz="4" w:space="0"/>
              <w:right w:val="single" w:color="000000" w:sz="4" w:space="0"/>
            </w:tcBorders>
            <w:noWrap w:val="0"/>
            <w:vAlign w:val="center"/>
          </w:tcPr>
          <w:p w14:paraId="2B46A689">
            <w:pPr>
              <w:pStyle w:val="85"/>
              <w:spacing w:beforeAutospacing="0" w:afterAutospacing="0"/>
              <w:jc w:val="center"/>
              <w:rPr>
                <w:color w:val="000000"/>
                <w:highlight w:val="none"/>
              </w:rPr>
            </w:pPr>
            <w:r>
              <w:rPr>
                <w:color w:val="000000"/>
                <w:highlight w:val="none"/>
              </w:rPr>
              <w:t> </w:t>
            </w:r>
          </w:p>
        </w:tc>
      </w:tr>
      <w:tr w14:paraId="727807E0">
        <w:tblPrEx>
          <w:tblCellMar>
            <w:top w:w="0" w:type="dxa"/>
            <w:left w:w="108" w:type="dxa"/>
            <w:bottom w:w="0" w:type="dxa"/>
            <w:right w:w="108" w:type="dxa"/>
          </w:tblCellMar>
        </w:tblPrEx>
        <w:trPr>
          <w:trHeight w:val="640" w:hRule="atLeast"/>
          <w:tblCellSpacing w:w="0" w:type="dxa"/>
        </w:trPr>
        <w:tc>
          <w:tcPr>
            <w:tcW w:w="387" w:type="dxa"/>
            <w:tcBorders>
              <w:top w:val="single" w:color="000000" w:sz="4" w:space="0"/>
              <w:left w:val="single" w:color="000000" w:sz="4" w:space="0"/>
              <w:bottom w:val="single" w:color="000000" w:sz="4" w:space="0"/>
              <w:right w:val="single" w:color="000000" w:sz="4" w:space="0"/>
            </w:tcBorders>
            <w:noWrap w:val="0"/>
            <w:vAlign w:val="center"/>
          </w:tcPr>
          <w:p w14:paraId="0328EA32">
            <w:pPr>
              <w:pStyle w:val="85"/>
              <w:spacing w:beforeAutospacing="0" w:afterAutospacing="0"/>
              <w:jc w:val="center"/>
              <w:rPr>
                <w:color w:val="000000"/>
                <w:highlight w:val="none"/>
              </w:rPr>
            </w:pPr>
            <w:r>
              <w:rPr>
                <w:color w:val="000000"/>
                <w:highlight w:val="none"/>
              </w:rPr>
              <w:t> </w:t>
            </w:r>
          </w:p>
        </w:tc>
        <w:tc>
          <w:tcPr>
            <w:tcW w:w="1449" w:type="dxa"/>
            <w:tcBorders>
              <w:top w:val="single" w:color="000000" w:sz="4" w:space="0"/>
              <w:left w:val="single" w:color="000000" w:sz="4" w:space="0"/>
              <w:bottom w:val="single" w:color="000000" w:sz="4" w:space="0"/>
              <w:right w:val="single" w:color="000000" w:sz="4" w:space="0"/>
            </w:tcBorders>
            <w:noWrap w:val="0"/>
            <w:vAlign w:val="center"/>
          </w:tcPr>
          <w:p w14:paraId="1D7068CD">
            <w:pPr>
              <w:pStyle w:val="85"/>
              <w:spacing w:beforeAutospacing="0" w:afterAutospacing="0"/>
              <w:jc w:val="center"/>
              <w:rPr>
                <w:color w:val="000000"/>
                <w:highlight w:val="none"/>
              </w:rPr>
            </w:pPr>
            <w:r>
              <w:rPr>
                <w:color w:val="000000"/>
                <w:highlight w:val="none"/>
              </w:rPr>
              <w:t> </w:t>
            </w:r>
          </w:p>
        </w:tc>
        <w:tc>
          <w:tcPr>
            <w:tcW w:w="1552" w:type="dxa"/>
            <w:tcBorders>
              <w:top w:val="single" w:color="000000" w:sz="4" w:space="0"/>
              <w:left w:val="single" w:color="000000" w:sz="4" w:space="0"/>
              <w:bottom w:val="single" w:color="000000" w:sz="4" w:space="0"/>
              <w:right w:val="single" w:color="000000" w:sz="4" w:space="0"/>
            </w:tcBorders>
            <w:noWrap w:val="0"/>
            <w:vAlign w:val="center"/>
          </w:tcPr>
          <w:p w14:paraId="3544FA7D">
            <w:pPr>
              <w:pStyle w:val="85"/>
              <w:spacing w:beforeAutospacing="0" w:afterAutospacing="0"/>
              <w:jc w:val="center"/>
              <w:rPr>
                <w:color w:val="000000"/>
                <w:highlight w:val="none"/>
              </w:rPr>
            </w:pPr>
            <w:r>
              <w:rPr>
                <w:color w:val="000000"/>
                <w:highlight w:val="none"/>
              </w:rPr>
              <w:t> </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3B5EDEEB">
            <w:pPr>
              <w:pStyle w:val="85"/>
              <w:spacing w:beforeAutospacing="0" w:afterAutospacing="0"/>
              <w:jc w:val="center"/>
              <w:rPr>
                <w:color w:val="000000"/>
                <w:highlight w:val="none"/>
              </w:rPr>
            </w:pPr>
            <w:r>
              <w:rPr>
                <w:color w:val="000000"/>
                <w:highlight w:val="none"/>
              </w:rPr>
              <w:t> </w:t>
            </w:r>
          </w:p>
        </w:tc>
        <w:tc>
          <w:tcPr>
            <w:tcW w:w="880" w:type="dxa"/>
            <w:tcBorders>
              <w:top w:val="single" w:color="000000" w:sz="4" w:space="0"/>
              <w:left w:val="single" w:color="000000" w:sz="4" w:space="0"/>
              <w:bottom w:val="single" w:color="000000" w:sz="4" w:space="0"/>
              <w:right w:val="single" w:color="000000" w:sz="4" w:space="0"/>
            </w:tcBorders>
            <w:noWrap w:val="0"/>
            <w:vAlign w:val="center"/>
          </w:tcPr>
          <w:p w14:paraId="7AE22689">
            <w:pPr>
              <w:pStyle w:val="85"/>
              <w:spacing w:beforeAutospacing="0" w:afterAutospacing="0"/>
              <w:jc w:val="center"/>
              <w:rPr>
                <w:color w:val="000000"/>
                <w:highlight w:val="none"/>
              </w:rPr>
            </w:pPr>
            <w:r>
              <w:rPr>
                <w:color w:val="000000"/>
                <w:highlight w:val="none"/>
              </w:rPr>
              <w:t> </w:t>
            </w:r>
          </w:p>
        </w:tc>
      </w:tr>
      <w:tr w14:paraId="210FCBBD">
        <w:tblPrEx>
          <w:tblCellMar>
            <w:top w:w="0" w:type="dxa"/>
            <w:left w:w="108" w:type="dxa"/>
            <w:bottom w:w="0" w:type="dxa"/>
            <w:right w:w="108" w:type="dxa"/>
          </w:tblCellMar>
        </w:tblPrEx>
        <w:trPr>
          <w:trHeight w:val="640" w:hRule="atLeast"/>
          <w:tblCellSpacing w:w="0" w:type="dxa"/>
        </w:trPr>
        <w:tc>
          <w:tcPr>
            <w:tcW w:w="387" w:type="dxa"/>
            <w:tcBorders>
              <w:top w:val="single" w:color="000000" w:sz="4" w:space="0"/>
              <w:left w:val="single" w:color="000000" w:sz="4" w:space="0"/>
              <w:bottom w:val="single" w:color="000000" w:sz="4" w:space="0"/>
              <w:right w:val="single" w:color="000000" w:sz="4" w:space="0"/>
            </w:tcBorders>
            <w:noWrap w:val="0"/>
            <w:vAlign w:val="center"/>
          </w:tcPr>
          <w:p w14:paraId="04C3FEB2">
            <w:pPr>
              <w:pStyle w:val="85"/>
              <w:spacing w:beforeAutospacing="0" w:afterAutospacing="0"/>
              <w:jc w:val="center"/>
              <w:rPr>
                <w:color w:val="000000"/>
                <w:highlight w:val="none"/>
              </w:rPr>
            </w:pPr>
            <w:r>
              <w:rPr>
                <w:color w:val="000000"/>
                <w:highlight w:val="none"/>
              </w:rPr>
              <w:t> </w:t>
            </w:r>
          </w:p>
        </w:tc>
        <w:tc>
          <w:tcPr>
            <w:tcW w:w="1449" w:type="dxa"/>
            <w:tcBorders>
              <w:top w:val="single" w:color="000000" w:sz="4" w:space="0"/>
              <w:left w:val="single" w:color="000000" w:sz="4" w:space="0"/>
              <w:bottom w:val="single" w:color="000000" w:sz="4" w:space="0"/>
              <w:right w:val="single" w:color="000000" w:sz="4" w:space="0"/>
            </w:tcBorders>
            <w:noWrap w:val="0"/>
            <w:vAlign w:val="center"/>
          </w:tcPr>
          <w:p w14:paraId="3B161C3B">
            <w:pPr>
              <w:pStyle w:val="85"/>
              <w:spacing w:beforeAutospacing="0" w:afterAutospacing="0"/>
              <w:jc w:val="center"/>
              <w:rPr>
                <w:color w:val="000000"/>
                <w:highlight w:val="none"/>
              </w:rPr>
            </w:pPr>
            <w:r>
              <w:rPr>
                <w:color w:val="000000"/>
                <w:highlight w:val="none"/>
              </w:rPr>
              <w:t> </w:t>
            </w:r>
          </w:p>
        </w:tc>
        <w:tc>
          <w:tcPr>
            <w:tcW w:w="1552" w:type="dxa"/>
            <w:tcBorders>
              <w:top w:val="single" w:color="000000" w:sz="4" w:space="0"/>
              <w:left w:val="single" w:color="000000" w:sz="4" w:space="0"/>
              <w:bottom w:val="single" w:color="000000" w:sz="4" w:space="0"/>
              <w:right w:val="single" w:color="000000" w:sz="4" w:space="0"/>
            </w:tcBorders>
            <w:noWrap w:val="0"/>
            <w:vAlign w:val="center"/>
          </w:tcPr>
          <w:p w14:paraId="4437B857">
            <w:pPr>
              <w:pStyle w:val="85"/>
              <w:spacing w:beforeAutospacing="0" w:afterAutospacing="0"/>
              <w:jc w:val="center"/>
              <w:rPr>
                <w:color w:val="000000"/>
                <w:highlight w:val="none"/>
              </w:rPr>
            </w:pPr>
            <w:r>
              <w:rPr>
                <w:color w:val="000000"/>
                <w:highlight w:val="none"/>
              </w:rPr>
              <w:t> </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0B8B0EA5">
            <w:pPr>
              <w:pStyle w:val="85"/>
              <w:spacing w:beforeAutospacing="0" w:afterAutospacing="0"/>
              <w:jc w:val="center"/>
              <w:rPr>
                <w:color w:val="000000"/>
                <w:highlight w:val="none"/>
              </w:rPr>
            </w:pPr>
            <w:r>
              <w:rPr>
                <w:color w:val="000000"/>
                <w:highlight w:val="none"/>
              </w:rPr>
              <w:t> </w:t>
            </w:r>
          </w:p>
        </w:tc>
        <w:tc>
          <w:tcPr>
            <w:tcW w:w="880" w:type="dxa"/>
            <w:tcBorders>
              <w:top w:val="single" w:color="000000" w:sz="4" w:space="0"/>
              <w:left w:val="single" w:color="000000" w:sz="4" w:space="0"/>
              <w:bottom w:val="single" w:color="000000" w:sz="4" w:space="0"/>
              <w:right w:val="single" w:color="000000" w:sz="4" w:space="0"/>
            </w:tcBorders>
            <w:noWrap w:val="0"/>
            <w:vAlign w:val="center"/>
          </w:tcPr>
          <w:p w14:paraId="3F813FF8">
            <w:pPr>
              <w:pStyle w:val="85"/>
              <w:spacing w:beforeAutospacing="0" w:afterAutospacing="0"/>
              <w:jc w:val="center"/>
              <w:rPr>
                <w:color w:val="000000"/>
                <w:highlight w:val="none"/>
              </w:rPr>
            </w:pPr>
            <w:r>
              <w:rPr>
                <w:color w:val="000000"/>
                <w:highlight w:val="none"/>
              </w:rPr>
              <w:t> </w:t>
            </w:r>
          </w:p>
        </w:tc>
      </w:tr>
      <w:tr w14:paraId="1DAEDC77">
        <w:tblPrEx>
          <w:tblCellMar>
            <w:top w:w="0" w:type="dxa"/>
            <w:left w:w="108" w:type="dxa"/>
            <w:bottom w:w="0" w:type="dxa"/>
            <w:right w:w="108" w:type="dxa"/>
          </w:tblCellMar>
        </w:tblPrEx>
        <w:trPr>
          <w:trHeight w:val="640" w:hRule="atLeast"/>
          <w:tblCellSpacing w:w="0" w:type="dxa"/>
        </w:trPr>
        <w:tc>
          <w:tcPr>
            <w:tcW w:w="387" w:type="dxa"/>
            <w:tcBorders>
              <w:top w:val="single" w:color="000000" w:sz="4" w:space="0"/>
              <w:left w:val="single" w:color="000000" w:sz="4" w:space="0"/>
              <w:bottom w:val="single" w:color="000000" w:sz="4" w:space="0"/>
              <w:right w:val="single" w:color="000000" w:sz="4" w:space="0"/>
            </w:tcBorders>
            <w:noWrap w:val="0"/>
            <w:vAlign w:val="center"/>
          </w:tcPr>
          <w:p w14:paraId="78CF6F44">
            <w:pPr>
              <w:pStyle w:val="85"/>
              <w:spacing w:beforeAutospacing="0" w:afterAutospacing="0"/>
              <w:jc w:val="center"/>
              <w:rPr>
                <w:color w:val="000000"/>
                <w:highlight w:val="none"/>
              </w:rPr>
            </w:pPr>
            <w:r>
              <w:rPr>
                <w:color w:val="000000"/>
                <w:highlight w:val="none"/>
              </w:rPr>
              <w:t> </w:t>
            </w:r>
          </w:p>
        </w:tc>
        <w:tc>
          <w:tcPr>
            <w:tcW w:w="1449" w:type="dxa"/>
            <w:tcBorders>
              <w:top w:val="single" w:color="000000" w:sz="4" w:space="0"/>
              <w:left w:val="single" w:color="000000" w:sz="4" w:space="0"/>
              <w:bottom w:val="single" w:color="000000" w:sz="4" w:space="0"/>
              <w:right w:val="single" w:color="000000" w:sz="4" w:space="0"/>
            </w:tcBorders>
            <w:noWrap w:val="0"/>
            <w:vAlign w:val="center"/>
          </w:tcPr>
          <w:p w14:paraId="631BE6FE">
            <w:pPr>
              <w:pStyle w:val="85"/>
              <w:spacing w:beforeAutospacing="0" w:afterAutospacing="0"/>
              <w:jc w:val="center"/>
              <w:rPr>
                <w:color w:val="000000"/>
                <w:highlight w:val="none"/>
              </w:rPr>
            </w:pPr>
            <w:r>
              <w:rPr>
                <w:color w:val="000000"/>
                <w:highlight w:val="none"/>
              </w:rPr>
              <w:t> </w:t>
            </w:r>
          </w:p>
        </w:tc>
        <w:tc>
          <w:tcPr>
            <w:tcW w:w="1552" w:type="dxa"/>
            <w:tcBorders>
              <w:top w:val="single" w:color="000000" w:sz="4" w:space="0"/>
              <w:left w:val="single" w:color="000000" w:sz="4" w:space="0"/>
              <w:bottom w:val="single" w:color="000000" w:sz="4" w:space="0"/>
              <w:right w:val="single" w:color="000000" w:sz="4" w:space="0"/>
            </w:tcBorders>
            <w:noWrap w:val="0"/>
            <w:vAlign w:val="center"/>
          </w:tcPr>
          <w:p w14:paraId="4C0D8652">
            <w:pPr>
              <w:pStyle w:val="85"/>
              <w:spacing w:beforeAutospacing="0" w:afterAutospacing="0"/>
              <w:jc w:val="center"/>
              <w:rPr>
                <w:color w:val="000000"/>
                <w:highlight w:val="none"/>
              </w:rPr>
            </w:pPr>
            <w:r>
              <w:rPr>
                <w:color w:val="000000"/>
                <w:highlight w:val="none"/>
              </w:rPr>
              <w:t> </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0BDF89E8">
            <w:pPr>
              <w:pStyle w:val="85"/>
              <w:spacing w:beforeAutospacing="0" w:afterAutospacing="0"/>
              <w:jc w:val="center"/>
              <w:rPr>
                <w:color w:val="000000"/>
                <w:highlight w:val="none"/>
              </w:rPr>
            </w:pPr>
            <w:r>
              <w:rPr>
                <w:color w:val="000000"/>
                <w:highlight w:val="none"/>
              </w:rPr>
              <w:t> </w:t>
            </w:r>
          </w:p>
        </w:tc>
        <w:tc>
          <w:tcPr>
            <w:tcW w:w="880" w:type="dxa"/>
            <w:tcBorders>
              <w:top w:val="single" w:color="000000" w:sz="4" w:space="0"/>
              <w:left w:val="single" w:color="000000" w:sz="4" w:space="0"/>
              <w:bottom w:val="single" w:color="000000" w:sz="4" w:space="0"/>
              <w:right w:val="single" w:color="000000" w:sz="4" w:space="0"/>
            </w:tcBorders>
            <w:noWrap w:val="0"/>
            <w:vAlign w:val="center"/>
          </w:tcPr>
          <w:p w14:paraId="681A7C61">
            <w:pPr>
              <w:pStyle w:val="85"/>
              <w:spacing w:beforeAutospacing="0" w:afterAutospacing="0"/>
              <w:jc w:val="center"/>
              <w:rPr>
                <w:color w:val="000000"/>
                <w:highlight w:val="none"/>
              </w:rPr>
            </w:pPr>
            <w:r>
              <w:rPr>
                <w:color w:val="000000"/>
                <w:highlight w:val="none"/>
              </w:rPr>
              <w:t> </w:t>
            </w:r>
          </w:p>
        </w:tc>
      </w:tr>
      <w:tr w14:paraId="677EEECA">
        <w:tblPrEx>
          <w:tblCellMar>
            <w:top w:w="0" w:type="dxa"/>
            <w:left w:w="108" w:type="dxa"/>
            <w:bottom w:w="0" w:type="dxa"/>
            <w:right w:w="108" w:type="dxa"/>
          </w:tblCellMar>
        </w:tblPrEx>
        <w:trPr>
          <w:trHeight w:val="640" w:hRule="atLeast"/>
          <w:tblCellSpacing w:w="0" w:type="dxa"/>
        </w:trPr>
        <w:tc>
          <w:tcPr>
            <w:tcW w:w="387" w:type="dxa"/>
            <w:tcBorders>
              <w:top w:val="single" w:color="000000" w:sz="4" w:space="0"/>
              <w:left w:val="single" w:color="000000" w:sz="4" w:space="0"/>
              <w:bottom w:val="single" w:color="000000" w:sz="4" w:space="0"/>
              <w:right w:val="single" w:color="000000" w:sz="4" w:space="0"/>
            </w:tcBorders>
            <w:noWrap w:val="0"/>
            <w:vAlign w:val="center"/>
          </w:tcPr>
          <w:p w14:paraId="16519E76">
            <w:pPr>
              <w:pStyle w:val="85"/>
              <w:spacing w:beforeAutospacing="0" w:afterAutospacing="0"/>
              <w:jc w:val="center"/>
              <w:rPr>
                <w:color w:val="000000"/>
                <w:highlight w:val="none"/>
              </w:rPr>
            </w:pPr>
            <w:r>
              <w:rPr>
                <w:color w:val="000000"/>
                <w:highlight w:val="none"/>
              </w:rPr>
              <w:t> </w:t>
            </w:r>
          </w:p>
        </w:tc>
        <w:tc>
          <w:tcPr>
            <w:tcW w:w="1449" w:type="dxa"/>
            <w:tcBorders>
              <w:top w:val="single" w:color="000000" w:sz="4" w:space="0"/>
              <w:left w:val="single" w:color="000000" w:sz="4" w:space="0"/>
              <w:bottom w:val="single" w:color="000000" w:sz="4" w:space="0"/>
              <w:right w:val="single" w:color="000000" w:sz="4" w:space="0"/>
            </w:tcBorders>
            <w:noWrap w:val="0"/>
            <w:vAlign w:val="center"/>
          </w:tcPr>
          <w:p w14:paraId="6CBF7F4F">
            <w:pPr>
              <w:pStyle w:val="85"/>
              <w:spacing w:beforeAutospacing="0" w:afterAutospacing="0"/>
              <w:jc w:val="center"/>
              <w:rPr>
                <w:color w:val="000000"/>
                <w:highlight w:val="none"/>
              </w:rPr>
            </w:pPr>
            <w:r>
              <w:rPr>
                <w:color w:val="000000"/>
                <w:highlight w:val="none"/>
              </w:rPr>
              <w:t> </w:t>
            </w:r>
          </w:p>
        </w:tc>
        <w:tc>
          <w:tcPr>
            <w:tcW w:w="1552" w:type="dxa"/>
            <w:tcBorders>
              <w:top w:val="single" w:color="000000" w:sz="4" w:space="0"/>
              <w:left w:val="single" w:color="000000" w:sz="4" w:space="0"/>
              <w:bottom w:val="single" w:color="000000" w:sz="4" w:space="0"/>
              <w:right w:val="single" w:color="000000" w:sz="4" w:space="0"/>
            </w:tcBorders>
            <w:noWrap w:val="0"/>
            <w:vAlign w:val="center"/>
          </w:tcPr>
          <w:p w14:paraId="3E6EB0D5">
            <w:pPr>
              <w:pStyle w:val="85"/>
              <w:spacing w:beforeAutospacing="0" w:afterAutospacing="0"/>
              <w:jc w:val="center"/>
              <w:rPr>
                <w:color w:val="000000"/>
                <w:highlight w:val="none"/>
              </w:rPr>
            </w:pPr>
            <w:r>
              <w:rPr>
                <w:color w:val="000000"/>
                <w:highlight w:val="none"/>
              </w:rPr>
              <w:t> </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3C29C46D">
            <w:pPr>
              <w:pStyle w:val="85"/>
              <w:spacing w:beforeAutospacing="0" w:afterAutospacing="0"/>
              <w:jc w:val="center"/>
              <w:rPr>
                <w:color w:val="000000"/>
                <w:highlight w:val="none"/>
              </w:rPr>
            </w:pPr>
            <w:r>
              <w:rPr>
                <w:color w:val="000000"/>
                <w:highlight w:val="none"/>
              </w:rPr>
              <w:t> </w:t>
            </w:r>
          </w:p>
        </w:tc>
        <w:tc>
          <w:tcPr>
            <w:tcW w:w="880" w:type="dxa"/>
            <w:tcBorders>
              <w:top w:val="single" w:color="000000" w:sz="4" w:space="0"/>
              <w:left w:val="single" w:color="000000" w:sz="4" w:space="0"/>
              <w:bottom w:val="single" w:color="000000" w:sz="4" w:space="0"/>
              <w:right w:val="single" w:color="000000" w:sz="4" w:space="0"/>
            </w:tcBorders>
            <w:noWrap w:val="0"/>
            <w:vAlign w:val="center"/>
          </w:tcPr>
          <w:p w14:paraId="3DAB91E6">
            <w:pPr>
              <w:pStyle w:val="85"/>
              <w:spacing w:beforeAutospacing="0" w:afterAutospacing="0"/>
              <w:jc w:val="center"/>
              <w:rPr>
                <w:color w:val="000000"/>
                <w:highlight w:val="none"/>
              </w:rPr>
            </w:pPr>
            <w:r>
              <w:rPr>
                <w:color w:val="000000"/>
                <w:highlight w:val="none"/>
              </w:rPr>
              <w:t> </w:t>
            </w:r>
          </w:p>
        </w:tc>
      </w:tr>
      <w:tr w14:paraId="447C0D2A">
        <w:tblPrEx>
          <w:tblCellMar>
            <w:top w:w="0" w:type="dxa"/>
            <w:left w:w="108" w:type="dxa"/>
            <w:bottom w:w="0" w:type="dxa"/>
            <w:right w:w="108" w:type="dxa"/>
          </w:tblCellMar>
        </w:tblPrEx>
        <w:trPr>
          <w:trHeight w:val="640" w:hRule="atLeast"/>
          <w:tblCellSpacing w:w="0" w:type="dxa"/>
        </w:trPr>
        <w:tc>
          <w:tcPr>
            <w:tcW w:w="387" w:type="dxa"/>
            <w:tcBorders>
              <w:top w:val="single" w:color="000000" w:sz="4" w:space="0"/>
              <w:left w:val="single" w:color="000000" w:sz="4" w:space="0"/>
              <w:bottom w:val="single" w:color="000000" w:sz="4" w:space="0"/>
              <w:right w:val="single" w:color="000000" w:sz="4" w:space="0"/>
            </w:tcBorders>
            <w:noWrap w:val="0"/>
            <w:vAlign w:val="center"/>
          </w:tcPr>
          <w:p w14:paraId="19B87A65">
            <w:pPr>
              <w:pStyle w:val="85"/>
              <w:spacing w:beforeAutospacing="0" w:afterAutospacing="0"/>
              <w:jc w:val="center"/>
              <w:rPr>
                <w:color w:val="000000"/>
                <w:highlight w:val="none"/>
              </w:rPr>
            </w:pPr>
            <w:r>
              <w:rPr>
                <w:color w:val="000000"/>
                <w:highlight w:val="none"/>
              </w:rPr>
              <w:t> </w:t>
            </w:r>
          </w:p>
        </w:tc>
        <w:tc>
          <w:tcPr>
            <w:tcW w:w="1449" w:type="dxa"/>
            <w:tcBorders>
              <w:top w:val="single" w:color="000000" w:sz="4" w:space="0"/>
              <w:left w:val="single" w:color="000000" w:sz="4" w:space="0"/>
              <w:bottom w:val="single" w:color="000000" w:sz="4" w:space="0"/>
              <w:right w:val="single" w:color="000000" w:sz="4" w:space="0"/>
            </w:tcBorders>
            <w:noWrap w:val="0"/>
            <w:vAlign w:val="center"/>
          </w:tcPr>
          <w:p w14:paraId="6FB1DC82">
            <w:pPr>
              <w:pStyle w:val="85"/>
              <w:spacing w:beforeAutospacing="0" w:afterAutospacing="0"/>
              <w:jc w:val="center"/>
              <w:rPr>
                <w:color w:val="000000"/>
                <w:highlight w:val="none"/>
              </w:rPr>
            </w:pPr>
            <w:r>
              <w:rPr>
                <w:color w:val="000000"/>
                <w:highlight w:val="none"/>
              </w:rPr>
              <w:t> </w:t>
            </w:r>
          </w:p>
        </w:tc>
        <w:tc>
          <w:tcPr>
            <w:tcW w:w="1552" w:type="dxa"/>
            <w:tcBorders>
              <w:top w:val="single" w:color="000000" w:sz="4" w:space="0"/>
              <w:left w:val="single" w:color="000000" w:sz="4" w:space="0"/>
              <w:bottom w:val="single" w:color="000000" w:sz="4" w:space="0"/>
              <w:right w:val="single" w:color="000000" w:sz="4" w:space="0"/>
            </w:tcBorders>
            <w:noWrap w:val="0"/>
            <w:vAlign w:val="center"/>
          </w:tcPr>
          <w:p w14:paraId="6DFB396B">
            <w:pPr>
              <w:pStyle w:val="85"/>
              <w:spacing w:beforeAutospacing="0" w:afterAutospacing="0"/>
              <w:jc w:val="center"/>
              <w:rPr>
                <w:color w:val="000000"/>
                <w:highlight w:val="none"/>
              </w:rPr>
            </w:pPr>
            <w:r>
              <w:rPr>
                <w:color w:val="000000"/>
                <w:highlight w:val="none"/>
              </w:rPr>
              <w:t> </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6D086620">
            <w:pPr>
              <w:pStyle w:val="85"/>
              <w:spacing w:beforeAutospacing="0" w:afterAutospacing="0"/>
              <w:jc w:val="center"/>
              <w:rPr>
                <w:color w:val="000000"/>
                <w:highlight w:val="none"/>
              </w:rPr>
            </w:pPr>
            <w:r>
              <w:rPr>
                <w:color w:val="000000"/>
                <w:highlight w:val="none"/>
              </w:rPr>
              <w:t> </w:t>
            </w:r>
          </w:p>
        </w:tc>
        <w:tc>
          <w:tcPr>
            <w:tcW w:w="880" w:type="dxa"/>
            <w:tcBorders>
              <w:top w:val="single" w:color="000000" w:sz="4" w:space="0"/>
              <w:left w:val="single" w:color="000000" w:sz="4" w:space="0"/>
              <w:bottom w:val="single" w:color="000000" w:sz="4" w:space="0"/>
              <w:right w:val="single" w:color="000000" w:sz="4" w:space="0"/>
            </w:tcBorders>
            <w:noWrap w:val="0"/>
            <w:vAlign w:val="center"/>
          </w:tcPr>
          <w:p w14:paraId="5965EC58">
            <w:pPr>
              <w:pStyle w:val="85"/>
              <w:spacing w:beforeAutospacing="0" w:afterAutospacing="0"/>
              <w:jc w:val="center"/>
              <w:rPr>
                <w:color w:val="000000"/>
                <w:highlight w:val="none"/>
              </w:rPr>
            </w:pPr>
            <w:r>
              <w:rPr>
                <w:color w:val="000000"/>
                <w:highlight w:val="none"/>
              </w:rPr>
              <w:t> </w:t>
            </w:r>
          </w:p>
        </w:tc>
      </w:tr>
    </w:tbl>
    <w:p w14:paraId="692F02A8">
      <w:pPr>
        <w:pStyle w:val="85"/>
        <w:spacing w:beforeAutospacing="0" w:afterAutospacing="0"/>
        <w:jc w:val="both"/>
        <w:rPr>
          <w:color w:val="000000"/>
          <w:highlight w:val="none"/>
        </w:rPr>
      </w:pPr>
      <w:r>
        <w:rPr>
          <w:rFonts w:hint="eastAsia" w:ascii="宋体" w:hAnsi="宋体" w:eastAsia="宋体" w:cs="宋体"/>
          <w:color w:val="000000"/>
          <w:highlight w:val="none"/>
        </w:rPr>
        <w:t>注： 行数不够，可自行添加。</w:t>
      </w:r>
    </w:p>
    <w:p w14:paraId="16D5EBAF">
      <w:pPr>
        <w:pStyle w:val="85"/>
        <w:spacing w:beforeAutospacing="0" w:afterAutospacing="0" w:line="480" w:lineRule="auto"/>
        <w:jc w:val="both"/>
        <w:rPr>
          <w:color w:val="000000"/>
          <w:highlight w:val="none"/>
        </w:rPr>
      </w:pPr>
      <w:r>
        <w:rPr>
          <w:color w:val="000000"/>
          <w:highlight w:val="none"/>
        </w:rPr>
        <w:t> </w:t>
      </w:r>
    </w:p>
    <w:p w14:paraId="5428B98E">
      <w:pPr>
        <w:pStyle w:val="85"/>
        <w:spacing w:beforeAutospacing="0" w:afterAutospacing="0" w:line="480" w:lineRule="auto"/>
        <w:jc w:val="both"/>
        <w:rPr>
          <w:color w:val="000000"/>
          <w:highlight w:val="none"/>
        </w:rPr>
      </w:pPr>
      <w:r>
        <w:rPr>
          <w:color w:val="000000"/>
          <w:highlight w:val="none"/>
        </w:rPr>
        <w:t> </w:t>
      </w:r>
    </w:p>
    <w:p w14:paraId="7A51E49C">
      <w:pPr>
        <w:pStyle w:val="85"/>
        <w:spacing w:beforeAutospacing="0" w:afterAutospacing="0"/>
        <w:jc w:val="center"/>
        <w:rPr>
          <w:color w:val="000000"/>
          <w:highlight w:val="none"/>
        </w:rPr>
      </w:pPr>
      <w:bookmarkStart w:id="204" w:name="_Hlt26955066"/>
      <w:bookmarkStart w:id="205" w:name="_Hlt26609389"/>
      <w:bookmarkStart w:id="206" w:name="_Toc462564146"/>
      <w:bookmarkStart w:id="207" w:name="_格式2__法定代表人授权书"/>
      <w:bookmarkStart w:id="208" w:name="_Hlt26671374"/>
      <w:r>
        <w:rPr>
          <w:color w:val="000000"/>
          <w:highlight w:val="none"/>
        </w:rPr>
        <w:t> </w:t>
      </w:r>
    </w:p>
    <w:p w14:paraId="22D1A562">
      <w:pPr>
        <w:pStyle w:val="85"/>
        <w:spacing w:beforeAutospacing="0" w:afterAutospacing="0"/>
        <w:jc w:val="both"/>
        <w:rPr>
          <w:color w:val="000000"/>
          <w:highlight w:val="none"/>
        </w:rPr>
      </w:pPr>
      <w:r>
        <w:rPr>
          <w:color w:val="000000"/>
          <w:highlight w:val="none"/>
        </w:rPr>
        <w:t> </w:t>
      </w:r>
    </w:p>
    <w:p w14:paraId="3A3BFBB9">
      <w:pPr>
        <w:pStyle w:val="85"/>
        <w:spacing w:beforeAutospacing="0" w:afterAutospacing="0"/>
        <w:jc w:val="both"/>
        <w:rPr>
          <w:color w:val="000000"/>
          <w:highlight w:val="none"/>
        </w:rPr>
      </w:pPr>
      <w:r>
        <w:rPr>
          <w:color w:val="000000"/>
          <w:highlight w:val="none"/>
        </w:rPr>
        <w:t> </w:t>
      </w:r>
    </w:p>
    <w:p w14:paraId="2FF64FCA">
      <w:pPr>
        <w:pStyle w:val="85"/>
        <w:spacing w:beforeAutospacing="0" w:afterAutospacing="0"/>
        <w:jc w:val="both"/>
        <w:rPr>
          <w:color w:val="000000"/>
          <w:highlight w:val="none"/>
        </w:rPr>
      </w:pPr>
    </w:p>
    <w:p w14:paraId="08BE0BDE">
      <w:pPr>
        <w:pStyle w:val="85"/>
        <w:spacing w:beforeAutospacing="0" w:afterAutospacing="0"/>
        <w:jc w:val="both"/>
        <w:rPr>
          <w:color w:val="000000"/>
          <w:highlight w:val="none"/>
        </w:rPr>
      </w:pPr>
    </w:p>
    <w:p w14:paraId="541DB6C4">
      <w:pPr>
        <w:pStyle w:val="85"/>
        <w:spacing w:beforeAutospacing="0" w:afterAutospacing="0"/>
        <w:jc w:val="both"/>
        <w:rPr>
          <w:color w:val="000000"/>
          <w:highlight w:val="none"/>
        </w:rPr>
      </w:pPr>
    </w:p>
    <w:p w14:paraId="453FFAE8">
      <w:pPr>
        <w:pStyle w:val="85"/>
        <w:spacing w:beforeAutospacing="0" w:afterAutospacing="0"/>
        <w:jc w:val="both"/>
        <w:rPr>
          <w:color w:val="000000"/>
          <w:highlight w:val="none"/>
        </w:rPr>
      </w:pPr>
    </w:p>
    <w:p w14:paraId="2204B4A4">
      <w:pPr>
        <w:pStyle w:val="85"/>
        <w:spacing w:beforeAutospacing="0" w:afterAutospacing="0"/>
        <w:jc w:val="both"/>
        <w:rPr>
          <w:color w:val="000000"/>
          <w:highlight w:val="none"/>
        </w:rPr>
      </w:pPr>
    </w:p>
    <w:p w14:paraId="6DF8BFF8">
      <w:pPr>
        <w:pStyle w:val="85"/>
        <w:spacing w:beforeAutospacing="0" w:afterAutospacing="0"/>
        <w:jc w:val="both"/>
        <w:rPr>
          <w:color w:val="000000"/>
          <w:highlight w:val="none"/>
        </w:rPr>
      </w:pPr>
    </w:p>
    <w:p w14:paraId="37B7674A">
      <w:pPr>
        <w:pStyle w:val="85"/>
        <w:spacing w:beforeAutospacing="0" w:afterAutospacing="0"/>
        <w:jc w:val="both"/>
        <w:rPr>
          <w:color w:val="000000"/>
          <w:highlight w:val="none"/>
        </w:rPr>
      </w:pPr>
    </w:p>
    <w:p w14:paraId="2E707BD8">
      <w:pPr>
        <w:pStyle w:val="85"/>
        <w:spacing w:beforeAutospacing="0" w:afterAutospacing="0"/>
        <w:jc w:val="both"/>
        <w:rPr>
          <w:color w:val="000000"/>
          <w:highlight w:val="none"/>
        </w:rPr>
      </w:pPr>
    </w:p>
    <w:p w14:paraId="702E2514">
      <w:pPr>
        <w:pStyle w:val="85"/>
        <w:spacing w:beforeAutospacing="0" w:afterAutospacing="0"/>
        <w:jc w:val="both"/>
        <w:rPr>
          <w:color w:val="000000"/>
          <w:highlight w:val="none"/>
        </w:rPr>
      </w:pPr>
    </w:p>
    <w:p w14:paraId="30631741">
      <w:pPr>
        <w:pStyle w:val="85"/>
        <w:spacing w:beforeAutospacing="0" w:afterAutospacing="0"/>
        <w:jc w:val="both"/>
        <w:rPr>
          <w:color w:val="000000"/>
          <w:highlight w:val="none"/>
        </w:rPr>
      </w:pPr>
    </w:p>
    <w:p w14:paraId="657CA991">
      <w:pPr>
        <w:pStyle w:val="85"/>
        <w:spacing w:beforeAutospacing="0" w:afterAutospacing="0"/>
        <w:jc w:val="both"/>
        <w:rPr>
          <w:color w:val="000000"/>
          <w:highlight w:val="none"/>
        </w:rPr>
      </w:pPr>
    </w:p>
    <w:p w14:paraId="1D4865DA">
      <w:pPr>
        <w:pStyle w:val="85"/>
        <w:spacing w:beforeAutospacing="0" w:afterAutospacing="0"/>
        <w:jc w:val="both"/>
        <w:rPr>
          <w:color w:val="000000"/>
          <w:highlight w:val="none"/>
        </w:rPr>
      </w:pPr>
    </w:p>
    <w:p w14:paraId="6A2D4093">
      <w:pPr>
        <w:pStyle w:val="85"/>
        <w:spacing w:beforeAutospacing="0" w:afterAutospacing="0"/>
        <w:jc w:val="both"/>
        <w:rPr>
          <w:color w:val="000000"/>
          <w:highlight w:val="none"/>
        </w:rPr>
      </w:pPr>
    </w:p>
    <w:p w14:paraId="1AA3C7F2">
      <w:pPr>
        <w:pStyle w:val="85"/>
        <w:spacing w:beforeAutospacing="0" w:afterAutospacing="0"/>
        <w:jc w:val="both"/>
        <w:rPr>
          <w:color w:val="000000"/>
          <w:highlight w:val="none"/>
        </w:rPr>
      </w:pPr>
    </w:p>
    <w:p w14:paraId="2E3CCB25">
      <w:pPr>
        <w:pStyle w:val="85"/>
        <w:spacing w:beforeAutospacing="0" w:afterAutospacing="0"/>
        <w:jc w:val="both"/>
        <w:rPr>
          <w:color w:val="000000"/>
          <w:highlight w:val="none"/>
        </w:rPr>
      </w:pPr>
    </w:p>
    <w:p w14:paraId="58DDE706">
      <w:pPr>
        <w:pStyle w:val="85"/>
        <w:spacing w:beforeAutospacing="0" w:afterAutospacing="0"/>
        <w:jc w:val="both"/>
        <w:rPr>
          <w:color w:val="000000"/>
          <w:highlight w:val="none"/>
        </w:rPr>
      </w:pPr>
    </w:p>
    <w:p w14:paraId="547003C3">
      <w:pPr>
        <w:pStyle w:val="85"/>
        <w:spacing w:beforeAutospacing="0" w:afterAutospacing="0"/>
        <w:jc w:val="both"/>
        <w:rPr>
          <w:color w:val="000000"/>
          <w:highlight w:val="none"/>
        </w:rPr>
      </w:pPr>
    </w:p>
    <w:p w14:paraId="143B9131">
      <w:pPr>
        <w:pStyle w:val="85"/>
        <w:spacing w:beforeAutospacing="0" w:afterAutospacing="0"/>
        <w:jc w:val="both"/>
        <w:rPr>
          <w:color w:val="000000"/>
          <w:highlight w:val="none"/>
        </w:rPr>
      </w:pPr>
    </w:p>
    <w:p w14:paraId="0D084D7E">
      <w:pPr>
        <w:pStyle w:val="85"/>
        <w:spacing w:beforeAutospacing="0" w:afterAutospacing="0"/>
        <w:jc w:val="center"/>
        <w:rPr>
          <w:color w:val="000000"/>
          <w:highlight w:val="none"/>
        </w:rPr>
      </w:pPr>
      <w:r>
        <w:rPr>
          <w:rFonts w:hint="eastAsia" w:ascii="黑体" w:hAnsi="宋体" w:eastAsia="黑体" w:cs="黑体"/>
          <w:b/>
          <w:i/>
          <w:color w:val="000000"/>
          <w:sz w:val="32"/>
          <w:szCs w:val="32"/>
          <w:highlight w:val="none"/>
          <w:u w:val="single"/>
        </w:rPr>
        <w:t>十</w:t>
      </w:r>
      <w:r>
        <w:rPr>
          <w:rFonts w:hint="eastAsia" w:ascii="黑体" w:hAnsi="宋体" w:eastAsia="黑体" w:cs="黑体"/>
          <w:b/>
          <w:i/>
          <w:color w:val="000000"/>
          <w:sz w:val="32"/>
          <w:szCs w:val="32"/>
          <w:highlight w:val="none"/>
          <w:u w:val="single"/>
          <w:lang w:val="en-US" w:eastAsia="zh-CN"/>
        </w:rPr>
        <w:t>五</w:t>
      </w:r>
      <w:r>
        <w:rPr>
          <w:rFonts w:hint="eastAsia" w:ascii="黑体" w:hAnsi="宋体" w:eastAsia="黑体" w:cs="黑体"/>
          <w:b/>
          <w:i/>
          <w:color w:val="000000"/>
          <w:sz w:val="32"/>
          <w:szCs w:val="32"/>
          <w:highlight w:val="none"/>
          <w:u w:val="single"/>
        </w:rPr>
        <w:t>、开标一览表</w:t>
      </w:r>
    </w:p>
    <w:p w14:paraId="770F32A7">
      <w:pPr>
        <w:pStyle w:val="85"/>
        <w:spacing w:beforeAutospacing="0" w:afterAutospacing="0"/>
        <w:ind w:firstLine="480"/>
        <w:jc w:val="both"/>
        <w:rPr>
          <w:color w:val="000000"/>
          <w:highlight w:val="none"/>
        </w:rPr>
      </w:pPr>
      <w:r>
        <w:rPr>
          <w:rFonts w:hint="eastAsia" w:ascii="宋体" w:hAnsi="宋体" w:eastAsia="宋体" w:cs="宋体"/>
          <w:color w:val="000000"/>
          <w:highlight w:val="none"/>
        </w:rPr>
        <w:t>投标人全称（加盖CA电子签章）：</w:t>
      </w:r>
    </w:p>
    <w:p w14:paraId="643EA419">
      <w:pPr>
        <w:pStyle w:val="85"/>
        <w:spacing w:beforeAutospacing="0" w:afterAutospacing="0"/>
        <w:ind w:firstLine="480"/>
        <w:jc w:val="both"/>
        <w:rPr>
          <w:color w:val="000000"/>
          <w:highlight w:val="none"/>
        </w:rPr>
      </w:pPr>
      <w:r>
        <w:rPr>
          <w:rFonts w:hint="eastAsia" w:ascii="宋体" w:hAnsi="宋体" w:eastAsia="宋体" w:cs="宋体"/>
          <w:color w:val="000000"/>
          <w:highlight w:val="none"/>
        </w:rPr>
        <w:t>项目名称：</w:t>
      </w:r>
    </w:p>
    <w:p w14:paraId="3E6303C9">
      <w:pPr>
        <w:pStyle w:val="85"/>
        <w:spacing w:beforeAutospacing="0" w:afterAutospacing="0"/>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项目</w:t>
      </w:r>
      <w:r>
        <w:rPr>
          <w:rFonts w:hint="eastAsia" w:ascii="宋体" w:hAnsi="宋体" w:eastAsia="宋体" w:cs="宋体"/>
          <w:color w:val="000000"/>
          <w:highlight w:val="none"/>
        </w:rPr>
        <w:t>编号：</w:t>
      </w:r>
    </w:p>
    <w:p w14:paraId="05B0D61D">
      <w:pPr>
        <w:pStyle w:val="85"/>
        <w:spacing w:beforeAutospacing="0" w:afterAutospacing="0"/>
        <w:ind w:firstLine="480"/>
        <w:jc w:val="both"/>
        <w:rPr>
          <w:color w:val="000000"/>
          <w:highlight w:val="none"/>
        </w:rPr>
      </w:pPr>
      <w:r>
        <w:rPr>
          <w:rFonts w:hint="eastAsia" w:ascii="宋体" w:hAnsi="宋体" w:eastAsia="宋体" w:cs="宋体"/>
          <w:color w:val="000000"/>
          <w:highlight w:val="none"/>
        </w:rPr>
        <w:t>分包号：</w:t>
      </w:r>
    </w:p>
    <w:tbl>
      <w:tblPr>
        <w:tblStyle w:val="30"/>
        <w:tblW w:w="8206" w:type="dxa"/>
        <w:tblCellSpacing w:w="0" w:type="dxa"/>
        <w:tblInd w:w="0" w:type="dxa"/>
        <w:tblLayout w:type="fixed"/>
        <w:tblCellMar>
          <w:top w:w="0" w:type="dxa"/>
          <w:left w:w="108" w:type="dxa"/>
          <w:bottom w:w="0" w:type="dxa"/>
          <w:right w:w="108" w:type="dxa"/>
        </w:tblCellMar>
      </w:tblPr>
      <w:tblGrid>
        <w:gridCol w:w="8206"/>
      </w:tblGrid>
      <w:tr w14:paraId="565F2FA0">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2B72D78B">
            <w:pPr>
              <w:pStyle w:val="85"/>
              <w:spacing w:beforeAutospacing="0" w:afterAutospacing="0"/>
              <w:jc w:val="center"/>
              <w:rPr>
                <w:color w:val="000000"/>
                <w:highlight w:val="none"/>
              </w:rPr>
            </w:pPr>
            <w:r>
              <w:rPr>
                <w:rFonts w:hint="eastAsia" w:ascii="宋体" w:hAnsi="宋体" w:eastAsia="宋体" w:cs="宋体"/>
                <w:color w:val="000000"/>
                <w:highlight w:val="none"/>
              </w:rPr>
              <w:t>投标总报价</w:t>
            </w:r>
          </w:p>
        </w:tc>
      </w:tr>
      <w:tr w14:paraId="59B0CEE5">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46177E34">
            <w:pPr>
              <w:pStyle w:val="85"/>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大写：</w:t>
            </w:r>
          </w:p>
        </w:tc>
      </w:tr>
      <w:tr w14:paraId="21A3BAE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6D897BF0">
            <w:pPr>
              <w:pStyle w:val="85"/>
              <w:spacing w:beforeAutospacing="0" w:afterAutospacing="0" w:line="0" w:lineRule="atLeast"/>
              <w:rPr>
                <w:color w:val="000000"/>
                <w:highlight w:val="none"/>
              </w:rPr>
            </w:pPr>
            <w:r>
              <w:rPr>
                <w:rFonts w:hint="eastAsia" w:ascii="宋体" w:hAnsi="宋体" w:eastAsia="宋体" w:cs="宋体"/>
                <w:color w:val="000000"/>
                <w:highlight w:val="none"/>
              </w:rPr>
              <w:t>小写：                        （人民币：元）</w:t>
            </w:r>
          </w:p>
        </w:tc>
      </w:tr>
    </w:tbl>
    <w:p w14:paraId="42F11EAC">
      <w:pPr>
        <w:pStyle w:val="85"/>
        <w:spacing w:beforeAutospacing="0" w:afterAutospacing="0"/>
        <w:jc w:val="both"/>
        <w:rPr>
          <w:color w:val="000000"/>
          <w:highlight w:val="none"/>
        </w:rPr>
      </w:pPr>
      <w:r>
        <w:rPr>
          <w:color w:val="000000"/>
          <w:highlight w:val="none"/>
        </w:rPr>
        <w:t> </w:t>
      </w:r>
    </w:p>
    <w:p w14:paraId="7911F850">
      <w:pPr>
        <w:pStyle w:val="85"/>
        <w:spacing w:beforeAutospacing="0" w:afterAutospacing="0"/>
        <w:ind w:firstLine="480"/>
        <w:jc w:val="both"/>
        <w:rPr>
          <w:color w:val="000000"/>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p>
    <w:p w14:paraId="2A1137CE">
      <w:pPr>
        <w:pStyle w:val="85"/>
        <w:spacing w:beforeAutospacing="0" w:afterAutospacing="0"/>
        <w:ind w:firstLine="480"/>
        <w:jc w:val="both"/>
        <w:rPr>
          <w:color w:val="000000"/>
          <w:highlight w:val="none"/>
        </w:rPr>
      </w:pPr>
      <w:r>
        <w:rPr>
          <w:color w:val="000000"/>
          <w:highlight w:val="none"/>
        </w:rPr>
        <w:t> </w:t>
      </w:r>
    </w:p>
    <w:p w14:paraId="37F4373B">
      <w:pPr>
        <w:widowControl/>
        <w:spacing w:before="50" w:after="50"/>
        <w:jc w:val="center"/>
        <w:rPr>
          <w:color w:val="000000"/>
          <w:highlight w:val="none"/>
        </w:rPr>
      </w:pPr>
      <w:r>
        <w:rPr>
          <w:color w:val="000000"/>
          <w:highlight w:val="none"/>
        </w:rPr>
        <w:tab/>
      </w:r>
    </w:p>
    <w:p w14:paraId="0FB96F2D">
      <w:pPr>
        <w:widowControl/>
        <w:spacing w:before="50" w:after="50"/>
        <w:jc w:val="center"/>
        <w:rPr>
          <w:color w:val="000000"/>
          <w:highlight w:val="none"/>
        </w:rPr>
      </w:pPr>
    </w:p>
    <w:p w14:paraId="1BF13422">
      <w:pPr>
        <w:widowControl/>
        <w:spacing w:before="50" w:after="50"/>
        <w:jc w:val="center"/>
        <w:rPr>
          <w:color w:val="000000"/>
          <w:highlight w:val="none"/>
        </w:rPr>
      </w:pPr>
    </w:p>
    <w:p w14:paraId="2CBF3289">
      <w:pPr>
        <w:widowControl/>
        <w:spacing w:before="50" w:after="50"/>
        <w:jc w:val="center"/>
        <w:rPr>
          <w:color w:val="000000"/>
          <w:highlight w:val="none"/>
        </w:rPr>
      </w:pPr>
    </w:p>
    <w:p w14:paraId="34A14561">
      <w:pPr>
        <w:widowControl/>
        <w:spacing w:before="50" w:after="50"/>
        <w:jc w:val="center"/>
        <w:rPr>
          <w:color w:val="000000"/>
          <w:highlight w:val="none"/>
        </w:rPr>
      </w:pPr>
    </w:p>
    <w:p w14:paraId="753F591E">
      <w:pPr>
        <w:widowControl/>
        <w:spacing w:before="50" w:after="50"/>
        <w:jc w:val="center"/>
        <w:rPr>
          <w:color w:val="000000"/>
          <w:highlight w:val="none"/>
        </w:rPr>
      </w:pPr>
    </w:p>
    <w:p w14:paraId="4BD0ED0C">
      <w:pPr>
        <w:widowControl/>
        <w:spacing w:before="50" w:after="50"/>
        <w:jc w:val="center"/>
        <w:rPr>
          <w:color w:val="000000"/>
          <w:highlight w:val="none"/>
        </w:rPr>
      </w:pPr>
    </w:p>
    <w:p w14:paraId="00D840CF">
      <w:pPr>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p>
    <w:p w14:paraId="7340E79D">
      <w:pPr>
        <w:widowControl/>
        <w:spacing w:before="50" w:after="50"/>
        <w:jc w:val="center"/>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十</w:t>
      </w:r>
      <w:r>
        <w:rPr>
          <w:rFonts w:hint="eastAsia" w:ascii="宋体" w:hAnsi="宋体" w:eastAsia="宋体" w:cs="宋体"/>
          <w:color w:val="000000"/>
          <w:sz w:val="32"/>
          <w:szCs w:val="32"/>
          <w:highlight w:val="none"/>
          <w:lang w:val="en-US" w:eastAsia="zh-CN"/>
        </w:rPr>
        <w:t>六</w:t>
      </w:r>
      <w:r>
        <w:rPr>
          <w:rFonts w:hint="eastAsia" w:ascii="宋体" w:hAnsi="宋体" w:eastAsia="宋体" w:cs="宋体"/>
          <w:color w:val="000000"/>
          <w:sz w:val="32"/>
          <w:szCs w:val="32"/>
          <w:highlight w:val="none"/>
        </w:rPr>
        <w:t>、技术方案、服务承诺、培训承诺等</w:t>
      </w:r>
    </w:p>
    <w:p w14:paraId="7E690CBC">
      <w:pPr>
        <w:widowControl/>
        <w:spacing w:line="499" w:lineRule="atLeast"/>
        <w:ind w:firstLine="1600"/>
        <w:rPr>
          <w:rFonts w:ascii="宋体" w:hAnsi="宋体" w:eastAsia="宋体" w:cs="宋体"/>
          <w:color w:val="000000"/>
          <w:sz w:val="32"/>
          <w:szCs w:val="32"/>
          <w:highlight w:val="none"/>
        </w:rPr>
      </w:pPr>
    </w:p>
    <w:p w14:paraId="52796AD7">
      <w:pPr>
        <w:widowControl/>
        <w:spacing w:line="499" w:lineRule="atLeast"/>
        <w:rPr>
          <w:rFonts w:ascii="宋体" w:hAnsi="宋体" w:eastAsia="宋体" w:cs="宋体"/>
          <w:color w:val="000000"/>
          <w:sz w:val="32"/>
          <w:szCs w:val="32"/>
          <w:highlight w:val="none"/>
        </w:rPr>
      </w:pPr>
    </w:p>
    <w:p w14:paraId="3952681E">
      <w:pPr>
        <w:widowControl/>
        <w:spacing w:line="499" w:lineRule="atLeast"/>
        <w:rPr>
          <w:rFonts w:ascii="宋体" w:hAnsi="宋体" w:eastAsia="宋体" w:cs="宋体"/>
          <w:color w:val="000000"/>
          <w:sz w:val="32"/>
          <w:szCs w:val="32"/>
          <w:highlight w:val="none"/>
        </w:rPr>
      </w:pPr>
    </w:p>
    <w:p w14:paraId="30E9E0FC">
      <w:pPr>
        <w:pStyle w:val="2"/>
        <w:rPr>
          <w:rFonts w:ascii="宋体" w:hAnsi="宋体" w:eastAsia="宋体" w:cs="宋体"/>
          <w:color w:val="000000"/>
          <w:sz w:val="32"/>
          <w:szCs w:val="32"/>
          <w:highlight w:val="none"/>
        </w:rPr>
      </w:pPr>
    </w:p>
    <w:p w14:paraId="66FF940A">
      <w:pPr>
        <w:rPr>
          <w:rFonts w:ascii="宋体" w:hAnsi="宋体" w:eastAsia="宋体" w:cs="宋体"/>
          <w:color w:val="000000"/>
          <w:sz w:val="32"/>
          <w:szCs w:val="32"/>
          <w:highlight w:val="none"/>
        </w:rPr>
      </w:pPr>
    </w:p>
    <w:p w14:paraId="09B88FBD">
      <w:pPr>
        <w:pStyle w:val="2"/>
        <w:rPr>
          <w:rFonts w:ascii="宋体" w:hAnsi="宋体" w:eastAsia="宋体" w:cs="宋体"/>
          <w:color w:val="000000"/>
          <w:sz w:val="32"/>
          <w:szCs w:val="32"/>
          <w:highlight w:val="none"/>
        </w:rPr>
      </w:pPr>
    </w:p>
    <w:p w14:paraId="6DE16D08">
      <w:pPr>
        <w:rPr>
          <w:rFonts w:ascii="宋体" w:hAnsi="宋体" w:eastAsia="宋体" w:cs="宋体"/>
          <w:color w:val="000000"/>
          <w:sz w:val="32"/>
          <w:szCs w:val="32"/>
          <w:highlight w:val="none"/>
        </w:rPr>
      </w:pPr>
    </w:p>
    <w:p w14:paraId="5F6871D7">
      <w:pPr>
        <w:pStyle w:val="2"/>
        <w:rPr>
          <w:rFonts w:ascii="宋体" w:hAnsi="宋体" w:eastAsia="宋体" w:cs="宋体"/>
          <w:color w:val="000000"/>
          <w:sz w:val="32"/>
          <w:szCs w:val="32"/>
          <w:highlight w:val="none"/>
        </w:rPr>
      </w:pPr>
    </w:p>
    <w:p w14:paraId="04C53EFC">
      <w:pPr>
        <w:rPr>
          <w:rFonts w:ascii="宋体" w:hAnsi="宋体" w:eastAsia="宋体" w:cs="宋体"/>
          <w:color w:val="000000"/>
          <w:sz w:val="32"/>
          <w:szCs w:val="32"/>
          <w:highlight w:val="none"/>
        </w:rPr>
      </w:pPr>
    </w:p>
    <w:p w14:paraId="58C1368D">
      <w:pPr>
        <w:pStyle w:val="2"/>
        <w:rPr>
          <w:rFonts w:ascii="宋体" w:hAnsi="宋体" w:eastAsia="宋体" w:cs="宋体"/>
          <w:color w:val="000000"/>
          <w:sz w:val="32"/>
          <w:szCs w:val="32"/>
          <w:highlight w:val="none"/>
        </w:rPr>
      </w:pPr>
    </w:p>
    <w:p w14:paraId="2B7B7D40">
      <w:pPr>
        <w:rPr>
          <w:rFonts w:ascii="宋体" w:hAnsi="宋体" w:eastAsia="宋体" w:cs="宋体"/>
          <w:color w:val="000000"/>
          <w:sz w:val="32"/>
          <w:szCs w:val="32"/>
          <w:highlight w:val="none"/>
        </w:rPr>
      </w:pPr>
    </w:p>
    <w:p w14:paraId="4C0CD996">
      <w:pPr>
        <w:pStyle w:val="2"/>
        <w:rPr>
          <w:rFonts w:ascii="宋体" w:hAnsi="宋体" w:eastAsia="宋体" w:cs="宋体"/>
          <w:color w:val="000000"/>
          <w:sz w:val="32"/>
          <w:szCs w:val="32"/>
          <w:highlight w:val="none"/>
        </w:rPr>
      </w:pPr>
    </w:p>
    <w:p w14:paraId="4FD42CC8">
      <w:pPr>
        <w:rPr>
          <w:rFonts w:ascii="宋体" w:hAnsi="宋体" w:eastAsia="宋体" w:cs="宋体"/>
          <w:color w:val="000000"/>
          <w:sz w:val="32"/>
          <w:szCs w:val="32"/>
          <w:highlight w:val="none"/>
        </w:rPr>
      </w:pPr>
    </w:p>
    <w:p w14:paraId="2C7442C0">
      <w:pPr>
        <w:pStyle w:val="2"/>
        <w:rPr>
          <w:rFonts w:ascii="宋体" w:hAnsi="宋体" w:eastAsia="宋体" w:cs="宋体"/>
          <w:color w:val="000000"/>
          <w:sz w:val="32"/>
          <w:szCs w:val="32"/>
          <w:highlight w:val="none"/>
        </w:rPr>
      </w:pPr>
    </w:p>
    <w:p w14:paraId="02EA8856"/>
    <w:p w14:paraId="1EFE7468">
      <w:pPr>
        <w:rPr>
          <w:rFonts w:ascii="宋体" w:hAnsi="宋体" w:eastAsia="宋体" w:cs="宋体"/>
          <w:color w:val="000000"/>
          <w:sz w:val="32"/>
          <w:szCs w:val="32"/>
          <w:highlight w:val="none"/>
        </w:rPr>
      </w:pPr>
    </w:p>
    <w:p w14:paraId="6B95E050">
      <w:pPr>
        <w:pStyle w:val="2"/>
        <w:rPr>
          <w:rFonts w:ascii="宋体" w:hAnsi="宋体" w:eastAsia="宋体" w:cs="宋体"/>
          <w:color w:val="000000"/>
          <w:sz w:val="32"/>
          <w:szCs w:val="32"/>
          <w:highlight w:val="none"/>
        </w:rPr>
      </w:pPr>
    </w:p>
    <w:p w14:paraId="7420EDA2">
      <w:pPr>
        <w:rPr>
          <w:rFonts w:ascii="宋体" w:hAnsi="宋体" w:eastAsia="宋体" w:cs="宋体"/>
          <w:color w:val="000000"/>
          <w:sz w:val="32"/>
          <w:szCs w:val="32"/>
          <w:highlight w:val="none"/>
        </w:rPr>
      </w:pPr>
    </w:p>
    <w:p w14:paraId="5330492A">
      <w:pPr>
        <w:pStyle w:val="2"/>
        <w:rPr>
          <w:rFonts w:ascii="宋体" w:hAnsi="宋体" w:eastAsia="宋体" w:cs="宋体"/>
          <w:color w:val="000000"/>
          <w:sz w:val="32"/>
          <w:szCs w:val="32"/>
          <w:highlight w:val="none"/>
        </w:rPr>
      </w:pPr>
    </w:p>
    <w:p w14:paraId="0E94779C">
      <w:pPr>
        <w:rPr>
          <w:rFonts w:ascii="宋体" w:hAnsi="宋体" w:eastAsia="宋体" w:cs="宋体"/>
          <w:color w:val="000000"/>
          <w:sz w:val="32"/>
          <w:szCs w:val="32"/>
          <w:highlight w:val="none"/>
        </w:rPr>
      </w:pPr>
    </w:p>
    <w:p w14:paraId="233937F9">
      <w:pPr>
        <w:pStyle w:val="2"/>
        <w:rPr>
          <w:rFonts w:ascii="宋体" w:hAnsi="宋体" w:eastAsia="宋体" w:cs="宋体"/>
          <w:color w:val="000000"/>
          <w:sz w:val="32"/>
          <w:szCs w:val="32"/>
          <w:highlight w:val="none"/>
        </w:rPr>
      </w:pPr>
    </w:p>
    <w:p w14:paraId="11D9E2F4">
      <w:pPr>
        <w:rPr>
          <w:rFonts w:ascii="宋体" w:hAnsi="宋体" w:eastAsia="宋体" w:cs="宋体"/>
          <w:color w:val="000000"/>
          <w:sz w:val="32"/>
          <w:szCs w:val="32"/>
          <w:highlight w:val="none"/>
        </w:rPr>
      </w:pPr>
    </w:p>
    <w:p w14:paraId="49F2D7B5">
      <w:pPr>
        <w:pStyle w:val="2"/>
        <w:rPr>
          <w:rFonts w:ascii="宋体" w:hAnsi="宋体" w:eastAsia="宋体" w:cs="宋体"/>
          <w:color w:val="000000"/>
          <w:sz w:val="32"/>
          <w:szCs w:val="32"/>
          <w:highlight w:val="none"/>
        </w:rPr>
      </w:pPr>
    </w:p>
    <w:p w14:paraId="3C21523D">
      <w:pPr>
        <w:rPr>
          <w:rFonts w:ascii="宋体" w:hAnsi="宋体" w:eastAsia="宋体" w:cs="宋体"/>
          <w:color w:val="000000"/>
          <w:sz w:val="32"/>
          <w:szCs w:val="32"/>
          <w:highlight w:val="none"/>
        </w:rPr>
      </w:pPr>
    </w:p>
    <w:p w14:paraId="1E9F0376">
      <w:pPr>
        <w:pStyle w:val="2"/>
        <w:rPr>
          <w:rFonts w:ascii="宋体" w:hAnsi="宋体" w:eastAsia="宋体" w:cs="宋体"/>
          <w:color w:val="000000"/>
          <w:sz w:val="32"/>
          <w:szCs w:val="32"/>
          <w:highlight w:val="none"/>
        </w:rPr>
      </w:pPr>
    </w:p>
    <w:p w14:paraId="52CCD245">
      <w:pPr>
        <w:rPr>
          <w:rFonts w:ascii="宋体" w:hAnsi="宋体" w:eastAsia="宋体" w:cs="宋体"/>
          <w:color w:val="000000"/>
          <w:sz w:val="32"/>
          <w:szCs w:val="32"/>
          <w:highlight w:val="none"/>
        </w:rPr>
      </w:pPr>
    </w:p>
    <w:p w14:paraId="119B1BD3">
      <w:pPr>
        <w:pStyle w:val="2"/>
        <w:rPr>
          <w:rFonts w:ascii="宋体" w:hAnsi="宋体" w:eastAsia="宋体" w:cs="宋体"/>
          <w:color w:val="000000"/>
          <w:sz w:val="32"/>
          <w:szCs w:val="32"/>
          <w:highlight w:val="none"/>
        </w:rPr>
      </w:pPr>
    </w:p>
    <w:p w14:paraId="7A7C9E4D">
      <w:pPr>
        <w:rPr>
          <w:rFonts w:ascii="宋体" w:hAnsi="宋体" w:eastAsia="宋体" w:cs="宋体"/>
          <w:color w:val="000000"/>
          <w:sz w:val="32"/>
          <w:szCs w:val="32"/>
          <w:highlight w:val="none"/>
        </w:rPr>
      </w:pPr>
    </w:p>
    <w:p w14:paraId="5CD4D895">
      <w:pPr>
        <w:pStyle w:val="2"/>
        <w:rPr>
          <w:rFonts w:ascii="宋体" w:hAnsi="宋体" w:eastAsia="宋体" w:cs="宋体"/>
          <w:color w:val="000000"/>
          <w:sz w:val="32"/>
          <w:szCs w:val="32"/>
          <w:highlight w:val="none"/>
        </w:rPr>
      </w:pPr>
    </w:p>
    <w:p w14:paraId="479A79CC">
      <w:pPr>
        <w:rPr>
          <w:rFonts w:ascii="宋体" w:hAnsi="宋体" w:eastAsia="宋体" w:cs="宋体"/>
          <w:color w:val="000000"/>
          <w:sz w:val="32"/>
          <w:szCs w:val="32"/>
          <w:highlight w:val="none"/>
        </w:rPr>
      </w:pPr>
    </w:p>
    <w:p w14:paraId="115363F5">
      <w:pPr>
        <w:pStyle w:val="2"/>
        <w:rPr>
          <w:rFonts w:ascii="宋体" w:hAnsi="宋体" w:eastAsia="宋体" w:cs="宋体"/>
          <w:color w:val="000000"/>
          <w:sz w:val="32"/>
          <w:szCs w:val="32"/>
          <w:highlight w:val="none"/>
        </w:rPr>
      </w:pPr>
    </w:p>
    <w:p w14:paraId="429F62AA">
      <w:pPr>
        <w:rPr>
          <w:rFonts w:ascii="宋体" w:hAnsi="宋体" w:eastAsia="宋体" w:cs="宋体"/>
          <w:color w:val="000000"/>
          <w:sz w:val="32"/>
          <w:szCs w:val="32"/>
          <w:highlight w:val="none"/>
        </w:rPr>
      </w:pPr>
    </w:p>
    <w:p w14:paraId="7A8A40F9">
      <w:pPr>
        <w:pStyle w:val="2"/>
      </w:pPr>
    </w:p>
    <w:p w14:paraId="17421ACB">
      <w:pPr>
        <w:widowControl/>
        <w:spacing w:line="499" w:lineRule="atLeast"/>
        <w:jc w:val="center"/>
        <w:rPr>
          <w:rFonts w:ascii="宋体" w:hAnsi="宋体" w:eastAsia="宋体" w:cs="宋体"/>
          <w:color w:val="000000"/>
          <w:sz w:val="24"/>
          <w:highlight w:val="none"/>
        </w:rPr>
      </w:pPr>
      <w:r>
        <w:rPr>
          <w:rFonts w:hint="eastAsia" w:ascii="宋体" w:hAnsi="宋体" w:eastAsia="宋体" w:cs="宋体"/>
          <w:b/>
          <w:bCs/>
          <w:color w:val="000000"/>
          <w:sz w:val="32"/>
          <w:szCs w:val="32"/>
          <w:highlight w:val="none"/>
        </w:rPr>
        <w:t>十</w:t>
      </w:r>
      <w:r>
        <w:rPr>
          <w:rFonts w:hint="eastAsia" w:ascii="宋体" w:hAnsi="宋体" w:eastAsia="宋体" w:cs="宋体"/>
          <w:b/>
          <w:bCs/>
          <w:color w:val="000000"/>
          <w:sz w:val="32"/>
          <w:szCs w:val="32"/>
          <w:highlight w:val="none"/>
          <w:lang w:val="en-US" w:eastAsia="zh-CN"/>
        </w:rPr>
        <w:t>七</w:t>
      </w:r>
      <w:r>
        <w:rPr>
          <w:rFonts w:hint="eastAsia" w:ascii="宋体" w:hAnsi="宋体" w:eastAsia="宋体" w:cs="宋体"/>
          <w:b/>
          <w:bCs/>
          <w:color w:val="000000"/>
          <w:sz w:val="32"/>
          <w:szCs w:val="32"/>
          <w:highlight w:val="none"/>
        </w:rPr>
        <w:t>、盐城市政府采购事前信用承诺书</w:t>
      </w:r>
    </w:p>
    <w:p w14:paraId="0A643769">
      <w:pPr>
        <w:widowControl/>
        <w:spacing w:line="499" w:lineRule="atLeast"/>
        <w:ind w:firstLine="480"/>
        <w:jc w:val="left"/>
        <w:rPr>
          <w:rFonts w:ascii="宋体" w:hAnsi="宋体" w:eastAsia="宋体" w:cs="宋体"/>
          <w:color w:val="000000"/>
          <w:sz w:val="24"/>
          <w:highlight w:val="none"/>
        </w:rPr>
      </w:pPr>
      <w:r>
        <w:rPr>
          <w:rFonts w:hint="eastAsia" w:ascii="宋体" w:hAnsi="宋体" w:eastAsia="宋体" w:cs="宋体"/>
          <w:color w:val="000000"/>
          <w:sz w:val="24"/>
          <w:highlight w:val="none"/>
        </w:rPr>
        <w:t>为营造我市公开、公平、公正、诚实守信的政府采购交易环境，树立诚信守法的投标人形象，本人代表本单位作出以下承诺：</w:t>
      </w:r>
    </w:p>
    <w:p w14:paraId="6C610A61">
      <w:pPr>
        <w:widowControl/>
        <w:spacing w:line="499" w:lineRule="atLeast"/>
        <w:jc w:val="left"/>
        <w:rPr>
          <w:rFonts w:ascii="宋体" w:hAnsi="宋体" w:eastAsia="宋体" w:cs="宋体"/>
          <w:color w:val="000000"/>
          <w:sz w:val="24"/>
          <w:highlight w:val="none"/>
        </w:rPr>
      </w:pPr>
      <w:r>
        <w:rPr>
          <w:rFonts w:hint="eastAsia" w:ascii="宋体" w:hAnsi="宋体" w:eastAsia="宋体" w:cs="宋体"/>
          <w:color w:val="000000"/>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虚假成分</w:t>
      </w:r>
      <w:r>
        <w:rPr>
          <w:rFonts w:hint="eastAsia" w:ascii="宋体" w:hAnsi="宋体" w:eastAsia="宋体" w:cs="宋体"/>
          <w:color w:val="000000"/>
          <w:sz w:val="24"/>
          <w:highlight w:val="none"/>
        </w:rPr>
        <w:t>，并对所提供资料的真实性负责；</w:t>
      </w:r>
    </w:p>
    <w:p w14:paraId="133C12A2">
      <w:pPr>
        <w:widowControl/>
        <w:spacing w:line="499" w:lineRule="atLeast"/>
        <w:ind w:firstLine="480"/>
        <w:jc w:val="left"/>
        <w:rPr>
          <w:rFonts w:ascii="宋体" w:hAnsi="宋体" w:eastAsia="宋体" w:cs="宋体"/>
          <w:color w:val="000000"/>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44923C7A">
      <w:pPr>
        <w:widowControl/>
        <w:spacing w:line="499" w:lineRule="atLeast"/>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p>
    <w:p w14:paraId="6F5D744F">
      <w:pPr>
        <w:widowControl/>
        <w:spacing w:line="499" w:lineRule="atLeast"/>
        <w:jc w:val="left"/>
        <w:rPr>
          <w:rFonts w:ascii="宋体" w:hAnsi="宋体" w:eastAsia="宋体" w:cs="宋体"/>
          <w:color w:val="000000"/>
          <w:sz w:val="24"/>
          <w:highlight w:val="none"/>
        </w:rPr>
      </w:pPr>
      <w:r>
        <w:rPr>
          <w:rFonts w:hint="eastAsia" w:ascii="宋体" w:hAnsi="宋体" w:eastAsia="宋体" w:cs="宋体"/>
          <w:color w:val="000000"/>
          <w:sz w:val="24"/>
          <w:highlight w:val="none"/>
        </w:rPr>
        <w:t>   （四）严格遵守即时信息公示规定，及时</w:t>
      </w:r>
      <w:r>
        <w:rPr>
          <w:rFonts w:hint="eastAsia" w:ascii="宋体" w:hAnsi="宋体" w:eastAsia="宋体" w:cs="宋体"/>
          <w:color w:val="000000"/>
          <w:sz w:val="24"/>
          <w:highlight w:val="none"/>
          <w:lang w:eastAsia="zh-CN"/>
        </w:rPr>
        <w:t>维护和更新</w:t>
      </w:r>
      <w:r>
        <w:rPr>
          <w:rFonts w:hint="eastAsia" w:ascii="宋体" w:hAnsi="宋体" w:eastAsia="宋体" w:cs="宋体"/>
          <w:color w:val="000000"/>
          <w:sz w:val="24"/>
          <w:highlight w:val="none"/>
        </w:rPr>
        <w:t>盐城市政府采购网中与本单位相关的信息；</w:t>
      </w:r>
    </w:p>
    <w:p w14:paraId="4913C7C8">
      <w:pPr>
        <w:widowControl/>
        <w:spacing w:line="499" w:lineRule="atLeast"/>
        <w:jc w:val="left"/>
        <w:rPr>
          <w:rFonts w:ascii="宋体" w:hAnsi="宋体" w:eastAsia="宋体" w:cs="宋体"/>
          <w:color w:val="000000"/>
          <w:sz w:val="24"/>
          <w:highlight w:val="none"/>
        </w:rPr>
      </w:pPr>
      <w:r>
        <w:rPr>
          <w:rFonts w:hint="eastAsia" w:ascii="宋体" w:hAnsi="宋体" w:eastAsia="宋体" w:cs="宋体"/>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71EE682">
      <w:pPr>
        <w:widowControl/>
        <w:spacing w:line="499" w:lineRule="atLeast"/>
        <w:jc w:val="left"/>
        <w:rPr>
          <w:rFonts w:ascii="宋体" w:hAnsi="宋体" w:eastAsia="宋体" w:cs="宋体"/>
          <w:color w:val="000000"/>
          <w:sz w:val="24"/>
          <w:highlight w:val="none"/>
        </w:rPr>
      </w:pPr>
      <w:r>
        <w:rPr>
          <w:rFonts w:hint="eastAsia" w:ascii="宋体" w:hAnsi="宋体" w:eastAsia="宋体" w:cs="宋体"/>
          <w:color w:val="000000"/>
          <w:sz w:val="24"/>
          <w:highlight w:val="none"/>
        </w:rPr>
        <w:t>   （六）自觉接受政府、行业组织、社会公众、新闻舆论的监督；</w:t>
      </w:r>
    </w:p>
    <w:p w14:paraId="118CEB42">
      <w:pPr>
        <w:widowControl/>
        <w:spacing w:line="499" w:lineRule="atLeast"/>
        <w:ind w:firstLine="480"/>
        <w:jc w:val="left"/>
        <w:rPr>
          <w:rFonts w:ascii="宋体" w:hAnsi="宋体" w:eastAsia="宋体" w:cs="宋体"/>
          <w:color w:val="000000"/>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3F76832">
      <w:pPr>
        <w:widowControl/>
        <w:spacing w:line="499" w:lineRule="atLeast"/>
        <w:jc w:val="left"/>
        <w:rPr>
          <w:rFonts w:ascii="宋体" w:hAnsi="宋体" w:eastAsia="宋体" w:cs="宋体"/>
          <w:color w:val="000000"/>
          <w:sz w:val="24"/>
          <w:highlight w:val="none"/>
        </w:rPr>
      </w:pPr>
      <w:r>
        <w:rPr>
          <w:rFonts w:hint="eastAsia" w:ascii="宋体" w:hAnsi="宋体" w:eastAsia="宋体" w:cs="宋体"/>
          <w:color w:val="000000"/>
          <w:sz w:val="24"/>
          <w:highlight w:val="none"/>
        </w:rPr>
        <w:t>   （八）本人已认真阅读了上述承诺，并向本单位员工作了宣传教育。</w:t>
      </w:r>
    </w:p>
    <w:p w14:paraId="276A658A">
      <w:pPr>
        <w:widowControl/>
        <w:spacing w:line="499" w:lineRule="atLeast"/>
        <w:jc w:val="left"/>
        <w:rPr>
          <w:rFonts w:ascii="宋体" w:hAnsi="宋体" w:eastAsia="宋体" w:cs="宋体"/>
          <w:color w:val="000000"/>
          <w:sz w:val="24"/>
          <w:highlight w:val="none"/>
        </w:rPr>
      </w:pPr>
      <w:r>
        <w:rPr>
          <w:rFonts w:hint="eastAsia" w:ascii="宋体" w:hAnsi="宋体" w:eastAsia="宋体" w:cs="宋体"/>
          <w:color w:val="000000"/>
          <w:sz w:val="24"/>
          <w:highlight w:val="none"/>
        </w:rPr>
        <w:t>                  法定代表人签名：</w:t>
      </w:r>
    </w:p>
    <w:p w14:paraId="62913643">
      <w:pPr>
        <w:widowControl/>
        <w:spacing w:line="499" w:lineRule="atLeast"/>
        <w:jc w:val="center"/>
        <w:rPr>
          <w:rFonts w:ascii="宋体" w:hAnsi="宋体" w:eastAsia="宋体" w:cs="宋体"/>
          <w:color w:val="000000"/>
          <w:sz w:val="24"/>
          <w:highlight w:val="none"/>
        </w:rPr>
      </w:pPr>
      <w:r>
        <w:rPr>
          <w:rFonts w:hint="eastAsia" w:ascii="宋体" w:hAnsi="宋体" w:eastAsia="宋体" w:cs="宋体"/>
          <w:color w:val="000000"/>
          <w:sz w:val="24"/>
          <w:highlight w:val="none"/>
        </w:rPr>
        <w:t>     单位名称（盖章）：</w:t>
      </w:r>
    </w:p>
    <w:p w14:paraId="67AAA772">
      <w:pPr>
        <w:widowControl/>
        <w:spacing w:line="499" w:lineRule="atLeast"/>
        <w:jc w:val="center"/>
        <w:rPr>
          <w:rFonts w:ascii="宋体" w:hAnsi="宋体" w:eastAsia="宋体" w:cs="宋体"/>
          <w:color w:val="000000"/>
          <w:sz w:val="24"/>
          <w:highlight w:val="none"/>
        </w:rPr>
      </w:pPr>
      <w:r>
        <w:rPr>
          <w:rFonts w:hint="eastAsia" w:ascii="宋体" w:hAnsi="宋体" w:eastAsia="宋体" w:cs="宋体"/>
          <w:color w:val="000000"/>
          <w:sz w:val="24"/>
          <w:highlight w:val="none"/>
        </w:rPr>
        <w:t>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日</w:t>
      </w:r>
    </w:p>
    <w:bookmarkEnd w:id="6"/>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80"/>
    <w:bookmarkEnd w:id="185"/>
    <w:bookmarkEnd w:id="189"/>
    <w:bookmarkEnd w:id="190"/>
    <w:bookmarkEnd w:id="192"/>
    <w:bookmarkEnd w:id="193"/>
    <w:bookmarkEnd w:id="194"/>
    <w:bookmarkEnd w:id="195"/>
    <w:bookmarkEnd w:id="204"/>
    <w:bookmarkEnd w:id="205"/>
    <w:bookmarkEnd w:id="206"/>
    <w:bookmarkEnd w:id="207"/>
    <w:bookmarkEnd w:id="208"/>
    <w:p w14:paraId="4D6FABB2">
      <w:pPr>
        <w:pStyle w:val="85"/>
        <w:spacing w:beforeAutospacing="0" w:afterAutospacing="0"/>
        <w:jc w:val="center"/>
        <w:rPr>
          <w:color w:val="000000"/>
          <w:highlight w:val="none"/>
        </w:rPr>
      </w:pPr>
    </w:p>
    <w:p w14:paraId="7F58629C">
      <w:pPr>
        <w:rPr>
          <w:color w:val="000000"/>
          <w:highlight w:val="none"/>
        </w:rPr>
      </w:pPr>
    </w:p>
    <w:p w14:paraId="386D6B4A">
      <w:pPr>
        <w:pStyle w:val="85"/>
        <w:spacing w:beforeAutospacing="0" w:afterAutospacing="0"/>
        <w:jc w:val="center"/>
        <w:rPr>
          <w:rFonts w:hint="eastAsia" w:ascii="宋体" w:hAnsi="宋体" w:eastAsia="宋体" w:cs="宋体"/>
          <w:b/>
          <w:color w:val="000000"/>
          <w:sz w:val="32"/>
          <w:szCs w:val="32"/>
          <w:highlight w:val="none"/>
        </w:rPr>
      </w:pPr>
    </w:p>
    <w:p w14:paraId="6DBEAAC7">
      <w:pPr>
        <w:pStyle w:val="85"/>
        <w:spacing w:beforeAutospacing="0" w:afterAutospacing="0"/>
        <w:jc w:val="center"/>
        <w:rPr>
          <w:rFonts w:hint="eastAsia" w:ascii="宋体" w:hAnsi="宋体" w:eastAsia="宋体" w:cs="宋体"/>
          <w:b/>
          <w:color w:val="000000"/>
          <w:sz w:val="32"/>
          <w:szCs w:val="32"/>
          <w:highlight w:val="none"/>
        </w:rPr>
      </w:pPr>
    </w:p>
    <w:p w14:paraId="39DD54D7">
      <w:pPr>
        <w:pStyle w:val="85"/>
        <w:spacing w:beforeAutospacing="0" w:afterAutospacing="0"/>
        <w:jc w:val="center"/>
        <w:rPr>
          <w:rFonts w:hint="eastAsia" w:ascii="宋体" w:hAnsi="宋体" w:eastAsia="宋体" w:cs="宋体"/>
          <w:b/>
          <w:color w:val="000000"/>
          <w:sz w:val="32"/>
          <w:szCs w:val="32"/>
          <w:highlight w:val="none"/>
        </w:rPr>
      </w:pPr>
    </w:p>
    <w:p w14:paraId="4C7418AC">
      <w:pPr>
        <w:pStyle w:val="85"/>
        <w:spacing w:beforeAutospacing="0" w:afterAutospacing="0"/>
        <w:jc w:val="center"/>
        <w:rPr>
          <w:rFonts w:hint="eastAsia" w:ascii="宋体" w:hAnsi="宋体" w:eastAsia="宋体" w:cs="宋体"/>
          <w:b/>
          <w:color w:val="000000"/>
          <w:sz w:val="32"/>
          <w:szCs w:val="32"/>
          <w:highlight w:val="none"/>
        </w:rPr>
      </w:pPr>
    </w:p>
    <w:p w14:paraId="3FF1EDD2">
      <w:pPr>
        <w:pStyle w:val="85"/>
        <w:spacing w:beforeAutospacing="0" w:afterAutospacing="0"/>
        <w:jc w:val="cente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质疑函范本</w:t>
      </w:r>
    </w:p>
    <w:p w14:paraId="6D2191B7">
      <w:pPr>
        <w:pStyle w:val="85"/>
        <w:spacing w:before="290"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一、质疑供应商基本信息</w:t>
      </w:r>
    </w:p>
    <w:p w14:paraId="7ABB60E4">
      <w:pPr>
        <w:pStyle w:val="85"/>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722B69B3">
      <w:pPr>
        <w:pStyle w:val="85"/>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17776F5F">
      <w:pPr>
        <w:pStyle w:val="85"/>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34173AC">
      <w:pPr>
        <w:pStyle w:val="85"/>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5C81DE61">
      <w:pPr>
        <w:pStyle w:val="85"/>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42320AB8">
      <w:pPr>
        <w:pStyle w:val="85"/>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4C365F52">
      <w:pPr>
        <w:pStyle w:val="85"/>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3132389">
      <w:pPr>
        <w:pStyle w:val="85"/>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D7C6F69">
      <w:pPr>
        <w:pStyle w:val="85"/>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7BB6D060">
      <w:pPr>
        <w:pStyle w:val="85"/>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二、质疑项目基本情况</w:t>
      </w:r>
    </w:p>
    <w:p w14:paraId="54BE26DF">
      <w:pPr>
        <w:pStyle w:val="85"/>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680231CC">
      <w:pPr>
        <w:pStyle w:val="85"/>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67EA11E7">
      <w:pPr>
        <w:pStyle w:val="85"/>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40124D1F">
      <w:pPr>
        <w:pStyle w:val="85"/>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41F9A1D2">
      <w:pPr>
        <w:pStyle w:val="85"/>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14:paraId="09BE5B81">
      <w:pPr>
        <w:pStyle w:val="85"/>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三、质疑事项具体内容</w:t>
      </w:r>
    </w:p>
    <w:p w14:paraId="3A5B29F3">
      <w:pPr>
        <w:pStyle w:val="85"/>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1245FC93">
      <w:pPr>
        <w:pStyle w:val="85"/>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37A1775E">
      <w:pPr>
        <w:pStyle w:val="85"/>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3368E49A">
      <w:pPr>
        <w:pStyle w:val="85"/>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质疑事项2</w:t>
      </w:r>
    </w:p>
    <w:p w14:paraId="34D39559">
      <w:pPr>
        <w:pStyle w:val="85"/>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w:t>
      </w:r>
    </w:p>
    <w:p w14:paraId="5507E507">
      <w:pPr>
        <w:pStyle w:val="85"/>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四、与质疑事项相关的质疑请求</w:t>
      </w:r>
    </w:p>
    <w:p w14:paraId="15F262C2">
      <w:pPr>
        <w:pStyle w:val="85"/>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5BA341DD">
      <w:pPr>
        <w:pStyle w:val="85"/>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 xml:space="preserve">签字(签章)：                 公章：               日期：    </w:t>
      </w:r>
    </w:p>
    <w:p w14:paraId="57C34EDC">
      <w:pPr>
        <w:pStyle w:val="85"/>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b/>
          <w:color w:val="000000"/>
          <w:highlight w:val="none"/>
        </w:rPr>
        <w:t>质疑函制作说明：</w:t>
      </w:r>
    </w:p>
    <w:p w14:paraId="41AD950F">
      <w:pPr>
        <w:pStyle w:val="85"/>
        <w:widowControl/>
        <w:spacing w:beforeAutospacing="0" w:afterAutospacing="0" w:line="360" w:lineRule="auto"/>
        <w:ind w:firstLine="480"/>
        <w:rPr>
          <w:rFonts w:ascii="宋体" w:hAnsi="宋体" w:eastAsia="宋体" w:cs="宋体"/>
          <w:color w:val="000000"/>
          <w:highlight w:val="none"/>
        </w:rPr>
      </w:pPr>
      <w:r>
        <w:rPr>
          <w:rFonts w:hint="eastAsia" w:ascii="宋体" w:hAnsi="宋体" w:eastAsia="宋体" w:cs="宋体"/>
          <w:color w:val="000000"/>
          <w:highlight w:val="none"/>
        </w:rPr>
        <w:t>1.供应商提出质疑时，应提交质疑函和必要的证明材料。</w:t>
      </w:r>
    </w:p>
    <w:p w14:paraId="3F4E6BAD">
      <w:pPr>
        <w:pStyle w:val="85"/>
        <w:widowControl/>
        <w:spacing w:beforeAutospacing="0" w:afterAutospacing="0" w:line="360" w:lineRule="auto"/>
        <w:ind w:firstLine="480"/>
        <w:rPr>
          <w:rFonts w:ascii="宋体" w:hAnsi="宋体" w:eastAsia="宋体" w:cs="宋体"/>
          <w:color w:val="000000"/>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5EC9D87">
      <w:pPr>
        <w:pStyle w:val="85"/>
        <w:widowControl/>
        <w:spacing w:beforeAutospacing="0" w:afterAutospacing="0" w:line="360" w:lineRule="auto"/>
        <w:ind w:firstLine="480"/>
        <w:rPr>
          <w:rFonts w:ascii="宋体" w:hAnsi="宋体" w:eastAsia="宋体" w:cs="宋体"/>
          <w:color w:val="000000"/>
          <w:highlight w:val="none"/>
        </w:rPr>
      </w:pPr>
      <w:r>
        <w:rPr>
          <w:rFonts w:hint="eastAsia" w:ascii="宋体" w:hAnsi="宋体" w:eastAsia="宋体" w:cs="宋体"/>
          <w:color w:val="000000"/>
          <w:highlight w:val="none"/>
        </w:rPr>
        <w:t>3.质疑供应商若对项目的某一分包进行质疑，质疑函中应列明具体分包号。</w:t>
      </w:r>
    </w:p>
    <w:p w14:paraId="492E7FD6">
      <w:pPr>
        <w:pStyle w:val="85"/>
        <w:widowControl/>
        <w:spacing w:beforeAutospacing="0" w:afterAutospacing="0" w:line="360" w:lineRule="auto"/>
        <w:ind w:firstLine="480"/>
        <w:rPr>
          <w:rFonts w:ascii="宋体" w:hAnsi="宋体" w:eastAsia="宋体" w:cs="宋体"/>
          <w:color w:val="000000"/>
          <w:highlight w:val="none"/>
        </w:rPr>
      </w:pPr>
      <w:r>
        <w:rPr>
          <w:rFonts w:hint="eastAsia" w:ascii="宋体" w:hAnsi="宋体" w:eastAsia="宋体" w:cs="宋体"/>
          <w:color w:val="000000"/>
          <w:highlight w:val="none"/>
        </w:rPr>
        <w:t>4.质疑函的质疑事项应具体、明确，并有必要的事实依据和法律依据。</w:t>
      </w:r>
    </w:p>
    <w:p w14:paraId="3D8BECBD">
      <w:pPr>
        <w:pStyle w:val="85"/>
        <w:widowControl/>
        <w:spacing w:beforeAutospacing="0" w:afterAutospacing="0" w:line="360" w:lineRule="auto"/>
        <w:ind w:firstLine="480"/>
        <w:rPr>
          <w:rFonts w:ascii="宋体" w:hAnsi="宋体" w:eastAsia="宋体" w:cs="宋体"/>
          <w:color w:val="000000"/>
          <w:highlight w:val="none"/>
        </w:rPr>
      </w:pPr>
      <w:r>
        <w:rPr>
          <w:rFonts w:hint="eastAsia" w:ascii="宋体" w:hAnsi="宋体" w:eastAsia="宋体" w:cs="宋体"/>
          <w:color w:val="000000"/>
          <w:highlight w:val="none"/>
        </w:rPr>
        <w:t>5.质疑函的质疑请求应与质疑事项相关。</w:t>
      </w:r>
    </w:p>
    <w:p w14:paraId="6DC7032E">
      <w:pPr>
        <w:pStyle w:val="85"/>
        <w:widowControl/>
        <w:spacing w:beforeAutospacing="0" w:afterAutospacing="0" w:line="360" w:lineRule="auto"/>
        <w:ind w:firstLine="480"/>
        <w:rPr>
          <w:rFonts w:ascii="宋体" w:hAnsi="宋体" w:eastAsia="宋体" w:cs="宋体"/>
          <w:color w:val="000000"/>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p w14:paraId="460C175A">
      <w:pPr>
        <w:pStyle w:val="85"/>
        <w:spacing w:beforeAutospacing="0" w:afterAutospacing="0"/>
        <w:ind w:firstLine="420"/>
        <w:jc w:val="both"/>
        <w:rPr>
          <w:rFonts w:ascii="宋体" w:hAnsi="宋体" w:eastAsia="宋体" w:cs="宋体"/>
          <w:color w:val="000000"/>
          <w:highlight w:val="none"/>
        </w:rPr>
      </w:pPr>
      <w:r>
        <w:rPr>
          <w:rFonts w:hint="eastAsia" w:ascii="宋体" w:hAnsi="宋体" w:eastAsia="宋体" w:cs="宋体"/>
          <w:color w:val="000000"/>
          <w:highlight w:val="none"/>
        </w:rPr>
        <w:t> </w:t>
      </w:r>
    </w:p>
    <w:p w14:paraId="6EAB717E">
      <w:pPr>
        <w:rPr>
          <w:color w:val="000000"/>
          <w:highlight w:val="none"/>
        </w:rPr>
      </w:pPr>
    </w:p>
    <w:sectPr>
      <w:footerReference r:id="rId4" w:type="default"/>
      <w:pgSz w:w="11906" w:h="16838"/>
      <w:pgMar w:top="1134" w:right="1134" w:bottom="1134" w:left="1134"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Arial Unicode MS">
    <w:panose1 w:val="020B0604020202020204"/>
    <w:charset w:val="86"/>
    <w:family w:val="auto"/>
    <w:pitch w:val="default"/>
    <w:sig w:usb0="FFFFFFFF" w:usb1="E9FFFFFF" w:usb2="0000003F" w:usb3="00000000" w:csb0="603F01FF" w:csb1="FFFF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魏碑_GBK">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B5A6F">
    <w:pPr>
      <w:pStyle w:val="7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35CAC164">
                          <w:pPr>
                            <w:pStyle w:val="70"/>
                            <w:tabs>
                              <w:tab w:val="clear" w:pos="4153"/>
                              <w:tab w:val="clear" w:pos="8306"/>
                            </w:tabs>
                          </w:pPr>
                          <w:r>
                            <w:fldChar w:fldCharType="begin"/>
                          </w:r>
                          <w:r>
                            <w:instrText xml:space="preserve"> PAGE  \* MERGEFORMAT </w:instrText>
                          </w:r>
                          <w:r>
                            <w:fldChar w:fldCharType="separate"/>
                          </w:r>
                          <w:r>
                            <w:t>1</w:t>
                          </w:r>
                          <w:r>
                            <w:fldChar w:fldCharType="end"/>
                          </w:r>
                        </w:p>
                        <w:p w14:paraId="1DFA0F9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Ag2Mu3cAQAAsAMAAA4AAAAAAAAA&#10;AQAgAAAAHwEAAGRycy9lMm9Eb2MueG1sUEsFBgAAAAAGAAYAWQEAAG0FAAAAAA==&#10;">
              <v:fill on="f" focussize="0,0"/>
              <v:stroke on="f" weight="0.5pt"/>
              <v:imagedata o:title=""/>
              <o:lock v:ext="edit" aspectratio="f"/>
              <v:textbox inset="0mm,0mm,0mm,0mm" style="mso-fit-shape-to-text:t;">
                <w:txbxContent>
                  <w:p w14:paraId="35CAC164">
                    <w:pPr>
                      <w:pStyle w:val="70"/>
                      <w:tabs>
                        <w:tab w:val="clear" w:pos="4153"/>
                        <w:tab w:val="clear" w:pos="8306"/>
                      </w:tabs>
                    </w:pPr>
                    <w:r>
                      <w:fldChar w:fldCharType="begin"/>
                    </w:r>
                    <w:r>
                      <w:instrText xml:space="preserve"> PAGE  \* MERGEFORMAT </w:instrText>
                    </w:r>
                    <w:r>
                      <w:fldChar w:fldCharType="separate"/>
                    </w:r>
                    <w:r>
                      <w:t>1</w:t>
                    </w:r>
                    <w:r>
                      <w:fldChar w:fldCharType="end"/>
                    </w:r>
                  </w:p>
                  <w:p w14:paraId="1DFA0F94"/>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CC173">
    <w:pPr>
      <w:pStyle w:val="7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2BC3C8AF">
                          <w:pPr>
                            <w:pStyle w:val="70"/>
                            <w:tabs>
                              <w:tab w:val="clear" w:pos="4153"/>
                              <w:tab w:val="clear" w:pos="8306"/>
                            </w:tabs>
                          </w:pPr>
                          <w:r>
                            <w:fldChar w:fldCharType="begin"/>
                          </w:r>
                          <w:r>
                            <w:instrText xml:space="preserve"> PAGE  \* MERGEFORMAT </w:instrText>
                          </w:r>
                          <w:r>
                            <w:fldChar w:fldCharType="separate"/>
                          </w:r>
                          <w:r>
                            <w:t>1</w:t>
                          </w:r>
                          <w:r>
                            <w:fldChar w:fldCharType="end"/>
                          </w:r>
                        </w:p>
                        <w:p w14:paraId="09DD768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N99ctTcAQAAsAMAAA4AAAAAAAAA&#10;AQAgAAAAHwEAAGRycy9lMm9Eb2MueG1sUEsFBgAAAAAGAAYAWQEAAG0FAAAAAA==&#10;">
              <v:fill on="f" focussize="0,0"/>
              <v:stroke on="f" weight="0.5pt"/>
              <v:imagedata o:title=""/>
              <o:lock v:ext="edit" aspectratio="f"/>
              <v:textbox inset="0mm,0mm,0mm,0mm" style="mso-fit-shape-to-text:t;">
                <w:txbxContent>
                  <w:p w14:paraId="2BC3C8AF">
                    <w:pPr>
                      <w:pStyle w:val="70"/>
                      <w:tabs>
                        <w:tab w:val="clear" w:pos="4153"/>
                        <w:tab w:val="clear" w:pos="8306"/>
                      </w:tabs>
                    </w:pPr>
                    <w:r>
                      <w:fldChar w:fldCharType="begin"/>
                    </w:r>
                    <w:r>
                      <w:instrText xml:space="preserve"> PAGE  \* MERGEFORMAT </w:instrText>
                    </w:r>
                    <w:r>
                      <w:fldChar w:fldCharType="separate"/>
                    </w:r>
                    <w:r>
                      <w:t>1</w:t>
                    </w:r>
                    <w:r>
                      <w:fldChar w:fldCharType="end"/>
                    </w:r>
                  </w:p>
                  <w:p w14:paraId="09DD7680"/>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0053208E"/>
    <w:multiLevelType w:val="multilevel"/>
    <w:tmpl w:val="0053208E"/>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4"/>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1A86529"/>
    <w:rsid w:val="654377C9"/>
    <w:rsid w:val="72AC0A7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36"/>
    <w:qFormat/>
    <w:uiPriority w:val="0"/>
    <w:pPr>
      <w:widowControl w:val="0"/>
      <w:jc w:val="both"/>
    </w:pPr>
    <w:rPr>
      <w:rFonts w:hint="default" w:ascii="Calibri" w:hAnsi="Calibri" w:eastAsia="Arial" w:cs="Times New Roman"/>
      <w:sz w:val="21"/>
      <w:szCs w:val="24"/>
      <w:lang w:val="en-US" w:eastAsia="zh-CN" w:bidi="ar-SA"/>
    </w:rPr>
  </w:style>
  <w:style w:type="paragraph" w:styleId="4">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11"/>
    <w:basedOn w:val="3"/>
    <w:next w:val="1"/>
    <w:unhideWhenUsed/>
    <w:qFormat/>
    <w:uiPriority w:val="99"/>
    <w:pPr>
      <w:ind w:firstLine="420"/>
    </w:pPr>
    <w:rPr>
      <w:rFonts w:ascii="Times New Roman" w:hAnsi="Times New Roman"/>
    </w:rPr>
  </w:style>
  <w:style w:type="paragraph" w:customStyle="1" w:styleId="3">
    <w:name w:val="正文文本11"/>
    <w:basedOn w:val="1"/>
    <w:next w:val="1"/>
    <w:qFormat/>
    <w:uiPriority w:val="0"/>
    <w:rPr>
      <w:rFonts w:ascii="楷体_GB2312" w:hAnsi="Arial" w:eastAsia="楷体_GB2312"/>
      <w:sz w:val="28"/>
      <w:szCs w:val="28"/>
      <w:lang w:eastAsia="en-US"/>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semiHidden/>
    <w:unhideWhenUsed/>
    <w:qFormat/>
    <w:uiPriority w:val="99"/>
    <w:pPr>
      <w:spacing w:after="0" w:line="240" w:lineRule="auto"/>
    </w:pPr>
    <w:rPr>
      <w:sz w:val="20"/>
    </w:rPr>
  </w:style>
  <w:style w:type="paragraph" w:styleId="19">
    <w:name w:val="footer"/>
    <w:basedOn w:val="1"/>
    <w:unhideWhenUsed/>
    <w:qFormat/>
    <w:uiPriority w:val="99"/>
    <w:pPr>
      <w:tabs>
        <w:tab w:val="center" w:pos="7143"/>
        <w:tab w:val="right" w:pos="14287"/>
      </w:tabs>
      <w:spacing w:after="0" w:line="240" w:lineRule="auto"/>
    </w:pPr>
  </w:style>
  <w:style w:type="paragraph" w:styleId="20">
    <w:name w:val="header"/>
    <w:basedOn w:val="1"/>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qFormat/>
    <w:uiPriority w:val="11"/>
    <w:pPr>
      <w:spacing w:before="200" w:after="200"/>
    </w:pPr>
    <w:rPr>
      <w:sz w:val="24"/>
      <w:szCs w:val="24"/>
    </w:rPr>
  </w:style>
  <w:style w:type="paragraph" w:styleId="24">
    <w:name w:val="footnote text"/>
    <w:basedOn w:val="1"/>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rPr>
  </w:style>
  <w:style w:type="character" w:styleId="35">
    <w:name w:val="footnote reference"/>
    <w:unhideWhenUsed/>
    <w:qFormat/>
    <w:uiPriority w:val="99"/>
    <w:rPr>
      <w:vertAlign w:val="superscript"/>
    </w:rPr>
  </w:style>
  <w:style w:type="paragraph" w:customStyle="1" w:styleId="36">
    <w:name w:val="标题 11"/>
    <w:basedOn w:val="1"/>
    <w:next w:val="1"/>
    <w:link w:val="47"/>
    <w:qFormat/>
    <w:uiPriority w:val="9"/>
    <w:pPr>
      <w:keepNext/>
      <w:keepLines/>
      <w:spacing w:before="480" w:after="200"/>
      <w:outlineLvl w:val="0"/>
    </w:pPr>
    <w:rPr>
      <w:rFonts w:ascii="Arial" w:hAnsi="Arial" w:eastAsia="Arial" w:cs="Arial"/>
      <w:sz w:val="40"/>
      <w:szCs w:val="40"/>
    </w:rPr>
  </w:style>
  <w:style w:type="paragraph" w:customStyle="1" w:styleId="37">
    <w:name w:val="标题 21"/>
    <w:basedOn w:val="1"/>
    <w:next w:val="1"/>
    <w:unhideWhenUsed/>
    <w:qFormat/>
    <w:uiPriority w:val="0"/>
    <w:pPr>
      <w:spacing w:before="100" w:beforeAutospacing="1" w:after="100" w:afterAutospacing="1"/>
      <w:jc w:val="left"/>
      <w:outlineLvl w:val="1"/>
    </w:pPr>
    <w:rPr>
      <w:rFonts w:hint="eastAsia" w:ascii="宋体" w:hAnsi="宋体" w:eastAsia="宋体" w:cs="宋体"/>
      <w:b/>
      <w:bCs/>
      <w:sz w:val="36"/>
      <w:szCs w:val="36"/>
      <w:lang w:val="en-US" w:eastAsia="zh-CN" w:bidi="ar"/>
    </w:rPr>
  </w:style>
  <w:style w:type="paragraph" w:customStyle="1" w:styleId="38">
    <w:name w:val="标题 31"/>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customStyle="1" w:styleId="39">
    <w:name w:val="标题 41"/>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customStyle="1" w:styleId="40">
    <w:name w:val="标题 51"/>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customStyle="1" w:styleId="41">
    <w:name w:val="标题 61"/>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customStyle="1" w:styleId="42">
    <w:name w:val="标题 71"/>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43">
    <w:name w:val="标题 81"/>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customStyle="1" w:styleId="44">
    <w:name w:val="标题 91"/>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customStyle="1" w:styleId="45">
    <w:name w:val="默认段落字体1"/>
    <w:link w:val="1"/>
    <w:unhideWhenUsed/>
    <w:qFormat/>
    <w:uiPriority w:val="1"/>
  </w:style>
  <w:style w:type="table" w:customStyle="1" w:styleId="46">
    <w:name w:val="普通表格1"/>
    <w:unhideWhenUsed/>
    <w:qFormat/>
    <w:uiPriority w:val="99"/>
  </w:style>
  <w:style w:type="character" w:customStyle="1" w:styleId="47">
    <w:name w:val="Heading 1 Char"/>
    <w:basedOn w:val="45"/>
    <w:link w:val="36"/>
    <w:qFormat/>
    <w:uiPriority w:val="9"/>
    <w:rPr>
      <w:rFonts w:ascii="Arial" w:hAnsi="Arial" w:eastAsia="Arial" w:cs="Arial"/>
      <w:sz w:val="40"/>
      <w:szCs w:val="40"/>
    </w:rPr>
  </w:style>
  <w:style w:type="character" w:customStyle="1" w:styleId="48">
    <w:name w:val="Heading 3 Char"/>
    <w:basedOn w:val="45"/>
    <w:link w:val="38"/>
    <w:qFormat/>
    <w:uiPriority w:val="9"/>
    <w:rPr>
      <w:rFonts w:ascii="Arial" w:hAnsi="Arial" w:eastAsia="Arial" w:cs="Arial"/>
      <w:sz w:val="30"/>
      <w:szCs w:val="30"/>
    </w:rPr>
  </w:style>
  <w:style w:type="character" w:customStyle="1" w:styleId="49">
    <w:name w:val="Heading 4 Char"/>
    <w:basedOn w:val="45"/>
    <w:link w:val="39"/>
    <w:qFormat/>
    <w:uiPriority w:val="9"/>
    <w:rPr>
      <w:rFonts w:ascii="Arial" w:hAnsi="Arial" w:eastAsia="Arial" w:cs="Arial"/>
      <w:b/>
      <w:bCs/>
      <w:sz w:val="26"/>
      <w:szCs w:val="26"/>
    </w:rPr>
  </w:style>
  <w:style w:type="character" w:customStyle="1" w:styleId="50">
    <w:name w:val="Heading 5 Char"/>
    <w:basedOn w:val="45"/>
    <w:link w:val="40"/>
    <w:qFormat/>
    <w:uiPriority w:val="9"/>
    <w:rPr>
      <w:rFonts w:ascii="Arial" w:hAnsi="Arial" w:eastAsia="Arial" w:cs="Arial"/>
      <w:b/>
      <w:bCs/>
      <w:sz w:val="24"/>
      <w:szCs w:val="24"/>
    </w:rPr>
  </w:style>
  <w:style w:type="character" w:customStyle="1" w:styleId="51">
    <w:name w:val="Heading 6 Char"/>
    <w:basedOn w:val="45"/>
    <w:link w:val="41"/>
    <w:qFormat/>
    <w:uiPriority w:val="9"/>
    <w:rPr>
      <w:rFonts w:ascii="Arial" w:hAnsi="Arial" w:eastAsia="Arial" w:cs="Arial"/>
      <w:b/>
      <w:bCs/>
      <w:sz w:val="22"/>
      <w:szCs w:val="22"/>
    </w:rPr>
  </w:style>
  <w:style w:type="character" w:customStyle="1" w:styleId="52">
    <w:name w:val="Heading 7 Char"/>
    <w:basedOn w:val="45"/>
    <w:link w:val="42"/>
    <w:qFormat/>
    <w:uiPriority w:val="9"/>
    <w:rPr>
      <w:rFonts w:ascii="Arial" w:hAnsi="Arial" w:eastAsia="Arial" w:cs="Arial"/>
      <w:b/>
      <w:bCs/>
      <w:i/>
      <w:iCs/>
      <w:sz w:val="22"/>
      <w:szCs w:val="22"/>
    </w:rPr>
  </w:style>
  <w:style w:type="character" w:customStyle="1" w:styleId="53">
    <w:name w:val="Heading 8 Char"/>
    <w:basedOn w:val="45"/>
    <w:link w:val="43"/>
    <w:qFormat/>
    <w:uiPriority w:val="9"/>
    <w:rPr>
      <w:rFonts w:ascii="Arial" w:hAnsi="Arial" w:eastAsia="Arial" w:cs="Arial"/>
      <w:i/>
      <w:iCs/>
      <w:sz w:val="22"/>
      <w:szCs w:val="22"/>
    </w:rPr>
  </w:style>
  <w:style w:type="character" w:customStyle="1" w:styleId="54">
    <w:name w:val="Heading 9 Char"/>
    <w:basedOn w:val="45"/>
    <w:link w:val="44"/>
    <w:qFormat/>
    <w:uiPriority w:val="9"/>
    <w:rPr>
      <w:rFonts w:ascii="Arial" w:hAnsi="Arial" w:eastAsia="Arial" w:cs="Arial"/>
      <w:i/>
      <w:iCs/>
      <w:sz w:val="21"/>
      <w:szCs w:val="21"/>
    </w:rPr>
  </w:style>
  <w:style w:type="paragraph" w:customStyle="1" w:styleId="55">
    <w:name w:val="目录 71"/>
    <w:basedOn w:val="1"/>
    <w:next w:val="1"/>
    <w:unhideWhenUsed/>
    <w:qFormat/>
    <w:uiPriority w:val="39"/>
    <w:pPr>
      <w:spacing w:after="57"/>
      <w:ind w:left="1701" w:right="0" w:firstLine="0"/>
    </w:pPr>
  </w:style>
  <w:style w:type="paragraph" w:customStyle="1" w:styleId="56">
    <w:name w:val="题注1"/>
    <w:basedOn w:val="1"/>
    <w:next w:val="1"/>
    <w:unhideWhenUsed/>
    <w:qFormat/>
    <w:uiPriority w:val="35"/>
    <w:pPr>
      <w:spacing w:line="276" w:lineRule="auto"/>
    </w:pPr>
    <w:rPr>
      <w:b/>
      <w:bCs/>
      <w:color w:val="5B9BD5"/>
      <w:sz w:val="18"/>
      <w:szCs w:val="18"/>
    </w:rPr>
  </w:style>
  <w:style w:type="paragraph" w:customStyle="1" w:styleId="57">
    <w:name w:val="引文目录标题1"/>
    <w:basedOn w:val="1"/>
    <w:next w:val="1"/>
    <w:unhideWhenUsed/>
    <w:qFormat/>
    <w:uiPriority w:val="99"/>
    <w:pPr>
      <w:spacing w:before="120"/>
    </w:pPr>
    <w:rPr>
      <w:rFonts w:ascii="Cambria" w:hAnsi="Cambria"/>
      <w:sz w:val="24"/>
    </w:rPr>
  </w:style>
  <w:style w:type="paragraph" w:customStyle="1" w:styleId="58">
    <w:name w:val="正文文本1"/>
    <w:basedOn w:val="1"/>
    <w:next w:val="59"/>
    <w:semiHidden/>
    <w:qFormat/>
    <w:uiPriority w:val="99"/>
    <w:pPr>
      <w:spacing w:after="120"/>
    </w:pPr>
    <w:rPr>
      <w:rFonts w:ascii="Times New Roman" w:hAnsi="Times New Roman"/>
      <w:lang w:bidi="ar-SA"/>
    </w:rPr>
  </w:style>
  <w:style w:type="paragraph" w:customStyle="1" w:styleId="59">
    <w:name w:val="一级条标题"/>
    <w:basedOn w:val="60"/>
    <w:next w:val="61"/>
    <w:qFormat/>
    <w:uiPriority w:val="0"/>
    <w:pPr>
      <w:tabs>
        <w:tab w:val="left" w:pos="810"/>
        <w:tab w:val="left" w:pos="907"/>
        <w:tab w:val="left" w:pos="1265"/>
      </w:tabs>
      <w:spacing w:before="0" w:after="0"/>
      <w:ind w:left="907" w:hanging="907"/>
      <w:outlineLvl w:val="2"/>
    </w:pPr>
    <w:rPr>
      <w:rFonts w:ascii="Times New Roman" w:hAnsi="宋体" w:eastAsia="宋体"/>
      <w:sz w:val="20"/>
      <w:szCs w:val="20"/>
    </w:rPr>
  </w:style>
  <w:style w:type="paragraph" w:customStyle="1" w:styleId="60">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61">
    <w:name w:val="段"/>
    <w:next w:val="62"/>
    <w:qFormat/>
    <w:uiPriority w:val="0"/>
    <w:pPr>
      <w:widowControl w:val="0"/>
      <w:ind w:firstLine="200"/>
      <w:jc w:val="both"/>
    </w:pPr>
    <w:rPr>
      <w:rFonts w:hint="default" w:ascii="宋体" w:hAnsi="宋体" w:eastAsia="宋体" w:cs="宋体"/>
      <w:color w:val="000000"/>
      <w:sz w:val="21"/>
      <w:szCs w:val="21"/>
      <w:lang w:val="en-US" w:eastAsia="zh-CN" w:bidi="ar-SA"/>
    </w:rPr>
  </w:style>
  <w:style w:type="paragraph" w:customStyle="1" w:styleId="62">
    <w:name w:val="正文 A"/>
    <w:next w:val="61"/>
    <w:qFormat/>
    <w:uiPriority w:val="99"/>
    <w:pPr>
      <w:widowControl w:val="0"/>
      <w:pBdr>
        <w:top w:val="none" w:color="FFFFFF" w:sz="0" w:space="31"/>
        <w:left w:val="none" w:color="FFFFFF" w:sz="0" w:space="31"/>
        <w:bottom w:val="none" w:color="FFFFFF" w:sz="0" w:space="31"/>
        <w:right w:val="none" w:color="FFFFFF" w:sz="0" w:space="31"/>
      </w:pBdr>
      <w:spacing w:after="200" w:line="276" w:lineRule="auto"/>
      <w:jc w:val="both"/>
    </w:pPr>
    <w:rPr>
      <w:rFonts w:hint="default" w:ascii="Times New Roman" w:hAnsi="Times New Roman" w:eastAsia="宋体" w:cs="Arial Unicode MS"/>
      <w:color w:val="000000"/>
      <w:sz w:val="21"/>
      <w:szCs w:val="21"/>
      <w:lang w:val="en-US" w:eastAsia="en-US" w:bidi="en-US"/>
    </w:rPr>
  </w:style>
  <w:style w:type="paragraph" w:customStyle="1" w:styleId="63">
    <w:name w:val="正文文本缩进11"/>
    <w:basedOn w:val="1"/>
    <w:qFormat/>
    <w:uiPriority w:val="0"/>
    <w:pPr>
      <w:ind w:firstLine="645"/>
    </w:pPr>
    <w:rPr>
      <w:rFonts w:ascii="楷体_GB2312" w:eastAsia="楷体_GB2312"/>
      <w:sz w:val="32"/>
      <w:szCs w:val="32"/>
    </w:rPr>
  </w:style>
  <w:style w:type="paragraph" w:customStyle="1" w:styleId="64">
    <w:name w:val="目录 51"/>
    <w:basedOn w:val="1"/>
    <w:next w:val="1"/>
    <w:unhideWhenUsed/>
    <w:qFormat/>
    <w:uiPriority w:val="39"/>
    <w:pPr>
      <w:spacing w:after="57"/>
      <w:ind w:left="1134" w:right="0" w:firstLine="0"/>
    </w:pPr>
  </w:style>
  <w:style w:type="paragraph" w:customStyle="1" w:styleId="65">
    <w:name w:val="目录 31"/>
    <w:basedOn w:val="1"/>
    <w:next w:val="1"/>
    <w:unhideWhenUsed/>
    <w:qFormat/>
    <w:uiPriority w:val="39"/>
    <w:pPr>
      <w:spacing w:after="57"/>
      <w:ind w:left="567" w:right="0" w:firstLine="0"/>
    </w:pPr>
  </w:style>
  <w:style w:type="paragraph" w:customStyle="1" w:styleId="66">
    <w:name w:val="纯文本11"/>
    <w:basedOn w:val="1"/>
    <w:qFormat/>
    <w:uiPriority w:val="99"/>
    <w:rPr>
      <w:rFonts w:ascii="宋体" w:hAnsi="Courier New"/>
    </w:rPr>
  </w:style>
  <w:style w:type="paragraph" w:customStyle="1" w:styleId="67">
    <w:name w:val="目录 81"/>
    <w:basedOn w:val="1"/>
    <w:next w:val="1"/>
    <w:unhideWhenUsed/>
    <w:qFormat/>
    <w:uiPriority w:val="39"/>
    <w:pPr>
      <w:spacing w:after="57"/>
      <w:ind w:left="1984" w:right="0" w:firstLine="0"/>
    </w:pPr>
  </w:style>
  <w:style w:type="paragraph" w:customStyle="1" w:styleId="68">
    <w:name w:val="尾注文本1"/>
    <w:basedOn w:val="1"/>
    <w:link w:val="69"/>
    <w:unhideWhenUsed/>
    <w:qFormat/>
    <w:uiPriority w:val="99"/>
    <w:pPr>
      <w:spacing w:after="0" w:line="240" w:lineRule="auto"/>
    </w:pPr>
    <w:rPr>
      <w:sz w:val="20"/>
    </w:rPr>
  </w:style>
  <w:style w:type="character" w:customStyle="1" w:styleId="69">
    <w:name w:val="Endnote Text Char"/>
    <w:link w:val="68"/>
    <w:qFormat/>
    <w:uiPriority w:val="99"/>
    <w:rPr>
      <w:sz w:val="20"/>
    </w:rPr>
  </w:style>
  <w:style w:type="paragraph" w:customStyle="1" w:styleId="70">
    <w:name w:val="页脚1"/>
    <w:basedOn w:val="1"/>
    <w:link w:val="71"/>
    <w:qFormat/>
    <w:uiPriority w:val="0"/>
    <w:pPr>
      <w:tabs>
        <w:tab w:val="center" w:pos="4153"/>
        <w:tab w:val="right" w:pos="8306"/>
      </w:tabs>
      <w:jc w:val="left"/>
    </w:pPr>
    <w:rPr>
      <w:sz w:val="18"/>
      <w:szCs w:val="18"/>
    </w:rPr>
  </w:style>
  <w:style w:type="character" w:customStyle="1" w:styleId="71">
    <w:name w:val="页脚 Char"/>
    <w:basedOn w:val="45"/>
    <w:link w:val="70"/>
    <w:qFormat/>
    <w:uiPriority w:val="0"/>
    <w:rPr>
      <w:sz w:val="18"/>
      <w:szCs w:val="18"/>
    </w:rPr>
  </w:style>
  <w:style w:type="paragraph" w:customStyle="1" w:styleId="72">
    <w:name w:val="页眉1"/>
    <w:basedOn w:val="1"/>
    <w:link w:val="73"/>
    <w:qFormat/>
    <w:uiPriority w:val="0"/>
    <w:pPr>
      <w:pBdr>
        <w:bottom w:val="single" w:color="000000" w:sz="6" w:space="1"/>
      </w:pBdr>
      <w:tabs>
        <w:tab w:val="center" w:pos="4153"/>
        <w:tab w:val="right" w:pos="8306"/>
      </w:tabs>
      <w:jc w:val="center"/>
    </w:pPr>
    <w:rPr>
      <w:sz w:val="18"/>
      <w:szCs w:val="18"/>
    </w:rPr>
  </w:style>
  <w:style w:type="character" w:customStyle="1" w:styleId="73">
    <w:name w:val="页眉 Char"/>
    <w:basedOn w:val="45"/>
    <w:link w:val="72"/>
    <w:qFormat/>
    <w:uiPriority w:val="0"/>
    <w:rPr>
      <w:sz w:val="18"/>
      <w:szCs w:val="18"/>
    </w:rPr>
  </w:style>
  <w:style w:type="paragraph" w:customStyle="1" w:styleId="74">
    <w:name w:val="目录 11"/>
    <w:basedOn w:val="1"/>
    <w:next w:val="1"/>
    <w:unhideWhenUsed/>
    <w:qFormat/>
    <w:uiPriority w:val="39"/>
    <w:pPr>
      <w:spacing w:after="57"/>
      <w:ind w:left="0" w:right="0" w:firstLine="0"/>
    </w:pPr>
  </w:style>
  <w:style w:type="paragraph" w:customStyle="1" w:styleId="75">
    <w:name w:val="目录 41"/>
    <w:basedOn w:val="1"/>
    <w:next w:val="1"/>
    <w:unhideWhenUsed/>
    <w:qFormat/>
    <w:uiPriority w:val="39"/>
    <w:pPr>
      <w:spacing w:after="57"/>
      <w:ind w:left="850" w:right="0" w:firstLine="0"/>
    </w:pPr>
  </w:style>
  <w:style w:type="paragraph" w:customStyle="1" w:styleId="76">
    <w:name w:val="副标题1"/>
    <w:basedOn w:val="1"/>
    <w:next w:val="1"/>
    <w:link w:val="77"/>
    <w:qFormat/>
    <w:uiPriority w:val="11"/>
    <w:pPr>
      <w:spacing w:before="200" w:after="200"/>
    </w:pPr>
    <w:rPr>
      <w:sz w:val="24"/>
      <w:szCs w:val="24"/>
    </w:rPr>
  </w:style>
  <w:style w:type="character" w:customStyle="1" w:styleId="77">
    <w:name w:val="Subtitle Char"/>
    <w:basedOn w:val="45"/>
    <w:link w:val="76"/>
    <w:qFormat/>
    <w:uiPriority w:val="11"/>
    <w:rPr>
      <w:sz w:val="24"/>
      <w:szCs w:val="24"/>
    </w:rPr>
  </w:style>
  <w:style w:type="paragraph" w:customStyle="1" w:styleId="78">
    <w:name w:val="脚注文本1"/>
    <w:basedOn w:val="1"/>
    <w:link w:val="79"/>
    <w:unhideWhenUsed/>
    <w:qFormat/>
    <w:uiPriority w:val="99"/>
    <w:pPr>
      <w:spacing w:after="40" w:line="240" w:lineRule="auto"/>
    </w:pPr>
    <w:rPr>
      <w:sz w:val="18"/>
    </w:rPr>
  </w:style>
  <w:style w:type="character" w:customStyle="1" w:styleId="79">
    <w:name w:val="Footnote Text Char"/>
    <w:link w:val="78"/>
    <w:qFormat/>
    <w:uiPriority w:val="99"/>
    <w:rPr>
      <w:sz w:val="18"/>
    </w:rPr>
  </w:style>
  <w:style w:type="paragraph" w:customStyle="1" w:styleId="80">
    <w:name w:val="目录 61"/>
    <w:basedOn w:val="1"/>
    <w:next w:val="1"/>
    <w:unhideWhenUsed/>
    <w:qFormat/>
    <w:uiPriority w:val="39"/>
    <w:pPr>
      <w:spacing w:after="57"/>
      <w:ind w:left="1417" w:right="0" w:firstLine="0"/>
    </w:pPr>
  </w:style>
  <w:style w:type="paragraph" w:customStyle="1" w:styleId="81">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82">
    <w:name w:val="图表目录1"/>
    <w:basedOn w:val="1"/>
    <w:next w:val="1"/>
    <w:unhideWhenUsed/>
    <w:qFormat/>
    <w:uiPriority w:val="99"/>
    <w:pPr>
      <w:spacing w:after="0" w:afterAutospacing="0"/>
    </w:pPr>
  </w:style>
  <w:style w:type="paragraph" w:customStyle="1" w:styleId="83">
    <w:name w:val="目录 21"/>
    <w:basedOn w:val="1"/>
    <w:next w:val="1"/>
    <w:unhideWhenUsed/>
    <w:qFormat/>
    <w:uiPriority w:val="39"/>
    <w:pPr>
      <w:spacing w:after="57"/>
      <w:ind w:left="283" w:right="0" w:firstLine="0"/>
    </w:pPr>
  </w:style>
  <w:style w:type="paragraph" w:customStyle="1" w:styleId="84">
    <w:name w:val="目录 91"/>
    <w:basedOn w:val="1"/>
    <w:next w:val="1"/>
    <w:unhideWhenUsed/>
    <w:qFormat/>
    <w:uiPriority w:val="39"/>
    <w:pPr>
      <w:spacing w:after="57"/>
      <w:ind w:left="2268" w:right="0" w:firstLine="0"/>
    </w:pPr>
  </w:style>
  <w:style w:type="paragraph" w:customStyle="1" w:styleId="85">
    <w:name w:val="普通(网站)1"/>
    <w:basedOn w:val="1"/>
    <w:qFormat/>
    <w:uiPriority w:val="0"/>
    <w:pPr>
      <w:spacing w:beforeAutospacing="1" w:afterAutospacing="1"/>
      <w:jc w:val="left"/>
    </w:pPr>
    <w:rPr>
      <w:rFonts w:cs="Times New Roman"/>
      <w:sz w:val="24"/>
    </w:rPr>
  </w:style>
  <w:style w:type="paragraph" w:customStyle="1" w:styleId="86">
    <w:name w:val="标题1"/>
    <w:basedOn w:val="1"/>
    <w:next w:val="1"/>
    <w:link w:val="87"/>
    <w:qFormat/>
    <w:uiPriority w:val="10"/>
    <w:pPr>
      <w:spacing w:before="300" w:after="200"/>
      <w:contextualSpacing/>
    </w:pPr>
    <w:rPr>
      <w:sz w:val="48"/>
      <w:szCs w:val="48"/>
    </w:rPr>
  </w:style>
  <w:style w:type="character" w:customStyle="1" w:styleId="87">
    <w:name w:val="Title Char"/>
    <w:basedOn w:val="45"/>
    <w:link w:val="86"/>
    <w:qFormat/>
    <w:uiPriority w:val="10"/>
    <w:rPr>
      <w:sz w:val="48"/>
      <w:szCs w:val="48"/>
    </w:rPr>
  </w:style>
  <w:style w:type="paragraph" w:customStyle="1" w:styleId="88">
    <w:name w:val="正文首行缩进1"/>
    <w:basedOn w:val="1"/>
    <w:next w:val="1"/>
    <w:unhideWhenUsed/>
    <w:qFormat/>
    <w:uiPriority w:val="99"/>
    <w:pPr>
      <w:ind w:firstLine="420"/>
    </w:pPr>
    <w:rPr>
      <w:rFonts w:ascii="Times New Roman" w:hAnsi="Times New Roman" w:eastAsia="宋体" w:cs="Times New Roman"/>
    </w:rPr>
  </w:style>
  <w:style w:type="table" w:customStyle="1" w:styleId="89">
    <w:name w:val="网格型1"/>
    <w:basedOn w:val="46"/>
    <w:qFormat/>
    <w:uiPriority w:val="0"/>
    <w:pPr>
      <w:widowControl w:val="0"/>
      <w:jc w:val="both"/>
    </w:pPr>
  </w:style>
  <w:style w:type="character" w:customStyle="1" w:styleId="90">
    <w:name w:val="尾注引用1"/>
    <w:basedOn w:val="45"/>
    <w:link w:val="1"/>
    <w:unhideWhenUsed/>
    <w:qFormat/>
    <w:uiPriority w:val="99"/>
    <w:rPr>
      <w:vertAlign w:val="superscript"/>
    </w:rPr>
  </w:style>
  <w:style w:type="character" w:customStyle="1" w:styleId="91">
    <w:name w:val="强调1"/>
    <w:link w:val="1"/>
    <w:qFormat/>
    <w:uiPriority w:val="0"/>
    <w:rPr>
      <w:i/>
    </w:rPr>
  </w:style>
  <w:style w:type="character" w:customStyle="1" w:styleId="92">
    <w:name w:val="超链接1"/>
    <w:link w:val="1"/>
    <w:unhideWhenUsed/>
    <w:qFormat/>
    <w:uiPriority w:val="99"/>
    <w:rPr>
      <w:color w:val="0563C1"/>
      <w:u w:val="single"/>
    </w:rPr>
  </w:style>
  <w:style w:type="character" w:customStyle="1" w:styleId="93">
    <w:name w:val="脚注引用1"/>
    <w:basedOn w:val="45"/>
    <w:link w:val="1"/>
    <w:unhideWhenUsed/>
    <w:qFormat/>
    <w:uiPriority w:val="99"/>
    <w:rPr>
      <w:vertAlign w:val="superscript"/>
    </w:rPr>
  </w:style>
  <w:style w:type="character" w:customStyle="1" w:styleId="94">
    <w:name w:val="Heading 2 Char"/>
    <w:basedOn w:val="45"/>
    <w:link w:val="1"/>
    <w:qFormat/>
    <w:uiPriority w:val="9"/>
    <w:rPr>
      <w:rFonts w:ascii="Arial" w:hAnsi="Arial" w:eastAsia="Arial" w:cs="Arial"/>
      <w:sz w:val="34"/>
    </w:rPr>
  </w:style>
  <w:style w:type="paragraph" w:styleId="95">
    <w:name w:val="List Paragraph"/>
    <w:basedOn w:val="1"/>
    <w:qFormat/>
    <w:uiPriority w:val="34"/>
    <w:pPr>
      <w:ind w:left="720"/>
      <w:contextualSpacing/>
    </w:pPr>
  </w:style>
  <w:style w:type="paragraph" w:styleId="96">
    <w:name w:val="No Spacing"/>
    <w:qFormat/>
    <w:uiPriority w:val="1"/>
    <w:pPr>
      <w:spacing w:before="0" w:after="0" w:line="240" w:lineRule="auto"/>
    </w:pPr>
    <w:rPr>
      <w:rFonts w:hint="default" w:ascii="Times New Roman" w:hAnsi="Times New Roman" w:eastAsia="宋体" w:cs="Times New Roman"/>
    </w:rPr>
  </w:style>
  <w:style w:type="paragraph" w:styleId="97">
    <w:name w:val="Quote"/>
    <w:basedOn w:val="1"/>
    <w:next w:val="1"/>
    <w:link w:val="98"/>
    <w:qFormat/>
    <w:uiPriority w:val="29"/>
    <w:pPr>
      <w:ind w:left="720" w:right="720"/>
    </w:pPr>
    <w:rPr>
      <w:i/>
    </w:rPr>
  </w:style>
  <w:style w:type="character" w:customStyle="1" w:styleId="98">
    <w:name w:val="Quote Char"/>
    <w:link w:val="97"/>
    <w:qFormat/>
    <w:uiPriority w:val="29"/>
    <w:rPr>
      <w:i/>
    </w:rPr>
  </w:style>
  <w:style w:type="paragraph" w:styleId="99">
    <w:name w:val="Intense Quote"/>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Intense Quote Char"/>
    <w:link w:val="99"/>
    <w:qFormat/>
    <w:uiPriority w:val="30"/>
    <w:rPr>
      <w:i/>
    </w:rPr>
  </w:style>
  <w:style w:type="character" w:customStyle="1" w:styleId="101">
    <w:name w:val="Header Char"/>
    <w:basedOn w:val="45"/>
    <w:link w:val="1"/>
    <w:qFormat/>
    <w:uiPriority w:val="99"/>
  </w:style>
  <w:style w:type="character" w:customStyle="1" w:styleId="102">
    <w:name w:val="Footer Char"/>
    <w:basedOn w:val="45"/>
    <w:link w:val="1"/>
    <w:qFormat/>
    <w:uiPriority w:val="99"/>
  </w:style>
  <w:style w:type="character" w:customStyle="1" w:styleId="103">
    <w:name w:val="Caption Char"/>
    <w:link w:val="1"/>
    <w:qFormat/>
    <w:uiPriority w:val="99"/>
  </w:style>
  <w:style w:type="table" w:customStyle="1" w:styleId="104">
    <w:name w:val="Table Grid Light"/>
    <w:basedOn w:val="46"/>
    <w:qFormat/>
    <w:uiPriority w:val="59"/>
    <w:pPr>
      <w:spacing w:after="0" w:line="240" w:lineRule="auto"/>
    </w:pPr>
  </w:style>
  <w:style w:type="table" w:customStyle="1" w:styleId="105">
    <w:name w:val="Plain Table 1"/>
    <w:basedOn w:val="46"/>
    <w:qFormat/>
    <w:uiPriority w:val="59"/>
    <w:pPr>
      <w:spacing w:after="0" w:line="240" w:lineRule="auto"/>
    </w:pPr>
  </w:style>
  <w:style w:type="table" w:customStyle="1" w:styleId="106">
    <w:name w:val="Plain Table 2"/>
    <w:basedOn w:val="46"/>
    <w:qFormat/>
    <w:uiPriority w:val="59"/>
    <w:pPr>
      <w:spacing w:after="0" w:line="240" w:lineRule="auto"/>
    </w:pPr>
  </w:style>
  <w:style w:type="table" w:customStyle="1" w:styleId="107">
    <w:name w:val="Plain Table 3"/>
    <w:basedOn w:val="46"/>
    <w:qFormat/>
    <w:uiPriority w:val="99"/>
    <w:pPr>
      <w:spacing w:after="0" w:line="240" w:lineRule="auto"/>
    </w:pPr>
  </w:style>
  <w:style w:type="table" w:customStyle="1" w:styleId="108">
    <w:name w:val="Plain Table 4"/>
    <w:basedOn w:val="46"/>
    <w:qFormat/>
    <w:uiPriority w:val="99"/>
    <w:pPr>
      <w:spacing w:after="0" w:line="240" w:lineRule="auto"/>
    </w:pPr>
  </w:style>
  <w:style w:type="table" w:customStyle="1" w:styleId="109">
    <w:name w:val="Plain Table 5"/>
    <w:basedOn w:val="46"/>
    <w:qFormat/>
    <w:uiPriority w:val="99"/>
    <w:pPr>
      <w:spacing w:after="0" w:line="240" w:lineRule="auto"/>
    </w:pPr>
  </w:style>
  <w:style w:type="table" w:customStyle="1" w:styleId="110">
    <w:name w:val="Grid Table 1 Light"/>
    <w:basedOn w:val="46"/>
    <w:qFormat/>
    <w:uiPriority w:val="99"/>
    <w:pPr>
      <w:spacing w:after="0" w:line="240" w:lineRule="auto"/>
    </w:pPr>
  </w:style>
  <w:style w:type="table" w:customStyle="1" w:styleId="111">
    <w:name w:val="Grid Table 1 Light - Accent 1"/>
    <w:basedOn w:val="46"/>
    <w:qFormat/>
    <w:uiPriority w:val="99"/>
    <w:pPr>
      <w:spacing w:after="0" w:line="240" w:lineRule="auto"/>
    </w:pPr>
  </w:style>
  <w:style w:type="table" w:customStyle="1" w:styleId="112">
    <w:name w:val="Grid Table 1 Light - Accent 2"/>
    <w:basedOn w:val="46"/>
    <w:qFormat/>
    <w:uiPriority w:val="99"/>
    <w:pPr>
      <w:spacing w:after="0" w:line="240" w:lineRule="auto"/>
    </w:pPr>
  </w:style>
  <w:style w:type="table" w:customStyle="1" w:styleId="113">
    <w:name w:val="Grid Table 1 Light - Accent 3"/>
    <w:basedOn w:val="46"/>
    <w:qFormat/>
    <w:uiPriority w:val="99"/>
    <w:pPr>
      <w:spacing w:after="0" w:line="240" w:lineRule="auto"/>
    </w:pPr>
  </w:style>
  <w:style w:type="table" w:customStyle="1" w:styleId="114">
    <w:name w:val="Grid Table 1 Light - Accent 4"/>
    <w:basedOn w:val="46"/>
    <w:qFormat/>
    <w:uiPriority w:val="99"/>
    <w:pPr>
      <w:spacing w:after="0" w:line="240" w:lineRule="auto"/>
    </w:pPr>
  </w:style>
  <w:style w:type="table" w:customStyle="1" w:styleId="115">
    <w:name w:val="Grid Table 1 Light - Accent 5"/>
    <w:basedOn w:val="46"/>
    <w:qFormat/>
    <w:uiPriority w:val="99"/>
    <w:pPr>
      <w:spacing w:after="0" w:line="240" w:lineRule="auto"/>
    </w:pPr>
  </w:style>
  <w:style w:type="table" w:customStyle="1" w:styleId="116">
    <w:name w:val="Grid Table 1 Light - Accent 6"/>
    <w:basedOn w:val="46"/>
    <w:qFormat/>
    <w:uiPriority w:val="99"/>
    <w:pPr>
      <w:spacing w:after="0" w:line="240" w:lineRule="auto"/>
    </w:pPr>
  </w:style>
  <w:style w:type="table" w:customStyle="1" w:styleId="117">
    <w:name w:val="Grid Table 2"/>
    <w:basedOn w:val="46"/>
    <w:qFormat/>
    <w:uiPriority w:val="99"/>
    <w:pPr>
      <w:spacing w:after="0" w:line="240" w:lineRule="auto"/>
    </w:pPr>
  </w:style>
  <w:style w:type="table" w:customStyle="1" w:styleId="118">
    <w:name w:val="Grid Table 2 - Accent 1"/>
    <w:basedOn w:val="46"/>
    <w:qFormat/>
    <w:uiPriority w:val="99"/>
    <w:pPr>
      <w:spacing w:after="0" w:line="240" w:lineRule="auto"/>
    </w:pPr>
  </w:style>
  <w:style w:type="table" w:customStyle="1" w:styleId="119">
    <w:name w:val="Grid Table 2 - Accent 2"/>
    <w:basedOn w:val="46"/>
    <w:qFormat/>
    <w:uiPriority w:val="99"/>
    <w:pPr>
      <w:spacing w:after="0" w:line="240" w:lineRule="auto"/>
    </w:pPr>
  </w:style>
  <w:style w:type="table" w:customStyle="1" w:styleId="120">
    <w:name w:val="Grid Table 2 - Accent 3"/>
    <w:basedOn w:val="46"/>
    <w:qFormat/>
    <w:uiPriority w:val="99"/>
    <w:pPr>
      <w:spacing w:after="0" w:line="240" w:lineRule="auto"/>
    </w:pPr>
  </w:style>
  <w:style w:type="table" w:customStyle="1" w:styleId="121">
    <w:name w:val="Grid Table 2 - Accent 4"/>
    <w:basedOn w:val="46"/>
    <w:qFormat/>
    <w:uiPriority w:val="99"/>
    <w:pPr>
      <w:spacing w:after="0" w:line="240" w:lineRule="auto"/>
    </w:pPr>
  </w:style>
  <w:style w:type="table" w:customStyle="1" w:styleId="122">
    <w:name w:val="Grid Table 2 - Accent 5"/>
    <w:basedOn w:val="46"/>
    <w:qFormat/>
    <w:uiPriority w:val="99"/>
    <w:pPr>
      <w:spacing w:after="0" w:line="240" w:lineRule="auto"/>
    </w:pPr>
  </w:style>
  <w:style w:type="table" w:customStyle="1" w:styleId="123">
    <w:name w:val="Grid Table 2 - Accent 6"/>
    <w:basedOn w:val="46"/>
    <w:qFormat/>
    <w:uiPriority w:val="99"/>
    <w:pPr>
      <w:spacing w:after="0" w:line="240" w:lineRule="auto"/>
    </w:pPr>
  </w:style>
  <w:style w:type="table" w:customStyle="1" w:styleId="124">
    <w:name w:val="Grid Table 3"/>
    <w:basedOn w:val="46"/>
    <w:qFormat/>
    <w:uiPriority w:val="99"/>
    <w:pPr>
      <w:spacing w:after="0" w:line="240" w:lineRule="auto"/>
    </w:pPr>
  </w:style>
  <w:style w:type="table" w:customStyle="1" w:styleId="125">
    <w:name w:val="Grid Table 3 - Accent 1"/>
    <w:basedOn w:val="46"/>
    <w:qFormat/>
    <w:uiPriority w:val="99"/>
    <w:pPr>
      <w:spacing w:after="0" w:line="240" w:lineRule="auto"/>
    </w:pPr>
  </w:style>
  <w:style w:type="table" w:customStyle="1" w:styleId="126">
    <w:name w:val="Grid Table 3 - Accent 2"/>
    <w:basedOn w:val="46"/>
    <w:qFormat/>
    <w:uiPriority w:val="99"/>
    <w:pPr>
      <w:spacing w:after="0" w:line="240" w:lineRule="auto"/>
    </w:pPr>
  </w:style>
  <w:style w:type="table" w:customStyle="1" w:styleId="127">
    <w:name w:val="Grid Table 3 - Accent 3"/>
    <w:basedOn w:val="46"/>
    <w:qFormat/>
    <w:uiPriority w:val="99"/>
    <w:pPr>
      <w:spacing w:after="0" w:line="240" w:lineRule="auto"/>
    </w:pPr>
  </w:style>
  <w:style w:type="table" w:customStyle="1" w:styleId="128">
    <w:name w:val="Grid Table 3 - Accent 4"/>
    <w:basedOn w:val="46"/>
    <w:qFormat/>
    <w:uiPriority w:val="99"/>
    <w:pPr>
      <w:spacing w:after="0" w:line="240" w:lineRule="auto"/>
    </w:pPr>
  </w:style>
  <w:style w:type="table" w:customStyle="1" w:styleId="129">
    <w:name w:val="Grid Table 3 - Accent 5"/>
    <w:basedOn w:val="46"/>
    <w:qFormat/>
    <w:uiPriority w:val="99"/>
    <w:pPr>
      <w:spacing w:after="0" w:line="240" w:lineRule="auto"/>
    </w:pPr>
  </w:style>
  <w:style w:type="table" w:customStyle="1" w:styleId="130">
    <w:name w:val="Grid Table 3 - Accent 6"/>
    <w:basedOn w:val="46"/>
    <w:qFormat/>
    <w:uiPriority w:val="99"/>
    <w:pPr>
      <w:spacing w:after="0" w:line="240" w:lineRule="auto"/>
    </w:pPr>
  </w:style>
  <w:style w:type="table" w:customStyle="1" w:styleId="131">
    <w:name w:val="Grid Table 4"/>
    <w:basedOn w:val="46"/>
    <w:qFormat/>
    <w:uiPriority w:val="59"/>
    <w:pPr>
      <w:spacing w:after="0" w:line="240" w:lineRule="auto"/>
    </w:pPr>
  </w:style>
  <w:style w:type="table" w:customStyle="1" w:styleId="132">
    <w:name w:val="Grid Table 4 - Accent 1"/>
    <w:basedOn w:val="46"/>
    <w:qFormat/>
    <w:uiPriority w:val="59"/>
    <w:pPr>
      <w:spacing w:after="0" w:line="240" w:lineRule="auto"/>
    </w:pPr>
  </w:style>
  <w:style w:type="table" w:customStyle="1" w:styleId="133">
    <w:name w:val="Grid Table 4 - Accent 2"/>
    <w:basedOn w:val="46"/>
    <w:qFormat/>
    <w:uiPriority w:val="59"/>
    <w:pPr>
      <w:spacing w:after="0" w:line="240" w:lineRule="auto"/>
    </w:pPr>
  </w:style>
  <w:style w:type="table" w:customStyle="1" w:styleId="134">
    <w:name w:val="Grid Table 4 - Accent 3"/>
    <w:basedOn w:val="46"/>
    <w:qFormat/>
    <w:uiPriority w:val="59"/>
    <w:pPr>
      <w:spacing w:after="0" w:line="240" w:lineRule="auto"/>
    </w:pPr>
  </w:style>
  <w:style w:type="table" w:customStyle="1" w:styleId="135">
    <w:name w:val="Grid Table 4 - Accent 4"/>
    <w:basedOn w:val="46"/>
    <w:qFormat/>
    <w:uiPriority w:val="59"/>
    <w:pPr>
      <w:spacing w:after="0" w:line="240" w:lineRule="auto"/>
    </w:pPr>
  </w:style>
  <w:style w:type="table" w:customStyle="1" w:styleId="136">
    <w:name w:val="Grid Table 4 - Accent 5"/>
    <w:basedOn w:val="46"/>
    <w:qFormat/>
    <w:uiPriority w:val="59"/>
    <w:pPr>
      <w:spacing w:after="0" w:line="240" w:lineRule="auto"/>
    </w:pPr>
  </w:style>
  <w:style w:type="table" w:customStyle="1" w:styleId="137">
    <w:name w:val="Grid Table 4 - Accent 6"/>
    <w:basedOn w:val="46"/>
    <w:qFormat/>
    <w:uiPriority w:val="59"/>
    <w:pPr>
      <w:spacing w:after="0" w:line="240" w:lineRule="auto"/>
    </w:pPr>
  </w:style>
  <w:style w:type="table" w:customStyle="1" w:styleId="138">
    <w:name w:val="Grid Table 5 Dark"/>
    <w:basedOn w:val="46"/>
    <w:qFormat/>
    <w:uiPriority w:val="99"/>
    <w:pPr>
      <w:spacing w:after="0" w:line="240" w:lineRule="auto"/>
    </w:pPr>
  </w:style>
  <w:style w:type="table" w:customStyle="1" w:styleId="139">
    <w:name w:val="Grid Table 5 Dark- Accent 1"/>
    <w:basedOn w:val="46"/>
    <w:qFormat/>
    <w:uiPriority w:val="99"/>
    <w:pPr>
      <w:spacing w:after="0" w:line="240" w:lineRule="auto"/>
    </w:pPr>
  </w:style>
  <w:style w:type="table" w:customStyle="1" w:styleId="140">
    <w:name w:val="Grid Table 5 Dark - Accent 2"/>
    <w:basedOn w:val="46"/>
    <w:qFormat/>
    <w:uiPriority w:val="99"/>
    <w:pPr>
      <w:spacing w:after="0" w:line="240" w:lineRule="auto"/>
    </w:pPr>
  </w:style>
  <w:style w:type="table" w:customStyle="1" w:styleId="141">
    <w:name w:val="Grid Table 5 Dark - Accent 3"/>
    <w:basedOn w:val="46"/>
    <w:qFormat/>
    <w:uiPriority w:val="99"/>
    <w:pPr>
      <w:spacing w:after="0" w:line="240" w:lineRule="auto"/>
    </w:pPr>
  </w:style>
  <w:style w:type="table" w:customStyle="1" w:styleId="142">
    <w:name w:val="Grid Table 5 Dark- Accent 4"/>
    <w:basedOn w:val="46"/>
    <w:qFormat/>
    <w:uiPriority w:val="99"/>
    <w:pPr>
      <w:spacing w:after="0" w:line="240" w:lineRule="auto"/>
    </w:pPr>
  </w:style>
  <w:style w:type="table" w:customStyle="1" w:styleId="143">
    <w:name w:val="Grid Table 5 Dark - Accent 5"/>
    <w:basedOn w:val="46"/>
    <w:qFormat/>
    <w:uiPriority w:val="99"/>
    <w:pPr>
      <w:spacing w:after="0" w:line="240" w:lineRule="auto"/>
    </w:pPr>
  </w:style>
  <w:style w:type="table" w:customStyle="1" w:styleId="144">
    <w:name w:val="Grid Table 5 Dark - Accent 6"/>
    <w:basedOn w:val="46"/>
    <w:qFormat/>
    <w:uiPriority w:val="99"/>
    <w:pPr>
      <w:spacing w:after="0" w:line="240" w:lineRule="auto"/>
    </w:pPr>
  </w:style>
  <w:style w:type="table" w:customStyle="1" w:styleId="145">
    <w:name w:val="Grid Table 6 Colorful"/>
    <w:basedOn w:val="46"/>
    <w:qFormat/>
    <w:uiPriority w:val="99"/>
    <w:pPr>
      <w:spacing w:after="0" w:line="240" w:lineRule="auto"/>
    </w:pPr>
  </w:style>
  <w:style w:type="table" w:customStyle="1" w:styleId="146">
    <w:name w:val="Grid Table 6 Colorful - Accent 1"/>
    <w:basedOn w:val="46"/>
    <w:qFormat/>
    <w:uiPriority w:val="99"/>
    <w:pPr>
      <w:spacing w:after="0" w:line="240" w:lineRule="auto"/>
    </w:pPr>
  </w:style>
  <w:style w:type="table" w:customStyle="1" w:styleId="147">
    <w:name w:val="Grid Table 6 Colorful - Accent 2"/>
    <w:basedOn w:val="46"/>
    <w:qFormat/>
    <w:uiPriority w:val="99"/>
    <w:pPr>
      <w:spacing w:after="0" w:line="240" w:lineRule="auto"/>
    </w:pPr>
  </w:style>
  <w:style w:type="table" w:customStyle="1" w:styleId="148">
    <w:name w:val="Grid Table 6 Colorful - Accent 3"/>
    <w:basedOn w:val="46"/>
    <w:qFormat/>
    <w:uiPriority w:val="99"/>
    <w:pPr>
      <w:spacing w:after="0" w:line="240" w:lineRule="auto"/>
    </w:pPr>
  </w:style>
  <w:style w:type="table" w:customStyle="1" w:styleId="149">
    <w:name w:val="Grid Table 6 Colorful - Accent 4"/>
    <w:basedOn w:val="46"/>
    <w:qFormat/>
    <w:uiPriority w:val="99"/>
    <w:pPr>
      <w:spacing w:after="0" w:line="240" w:lineRule="auto"/>
    </w:pPr>
  </w:style>
  <w:style w:type="table" w:customStyle="1" w:styleId="150">
    <w:name w:val="Grid Table 6 Colorful - Accent 5"/>
    <w:basedOn w:val="46"/>
    <w:qFormat/>
    <w:uiPriority w:val="99"/>
    <w:pPr>
      <w:spacing w:after="0" w:line="240" w:lineRule="auto"/>
    </w:pPr>
  </w:style>
  <w:style w:type="table" w:customStyle="1" w:styleId="151">
    <w:name w:val="Grid Table 6 Colorful - Accent 6"/>
    <w:basedOn w:val="46"/>
    <w:qFormat/>
    <w:uiPriority w:val="99"/>
    <w:pPr>
      <w:spacing w:after="0" w:line="240" w:lineRule="auto"/>
    </w:pPr>
  </w:style>
  <w:style w:type="table" w:customStyle="1" w:styleId="152">
    <w:name w:val="Grid Table 7 Colorful"/>
    <w:basedOn w:val="46"/>
    <w:qFormat/>
    <w:uiPriority w:val="99"/>
    <w:pPr>
      <w:spacing w:after="0" w:line="240" w:lineRule="auto"/>
    </w:pPr>
  </w:style>
  <w:style w:type="table" w:customStyle="1" w:styleId="153">
    <w:name w:val="Grid Table 7 Colorful - Accent 1"/>
    <w:basedOn w:val="46"/>
    <w:qFormat/>
    <w:uiPriority w:val="99"/>
    <w:pPr>
      <w:spacing w:after="0" w:line="240" w:lineRule="auto"/>
    </w:pPr>
  </w:style>
  <w:style w:type="table" w:customStyle="1" w:styleId="154">
    <w:name w:val="Grid Table 7 Colorful - Accent 2"/>
    <w:basedOn w:val="46"/>
    <w:qFormat/>
    <w:uiPriority w:val="99"/>
    <w:pPr>
      <w:spacing w:after="0" w:line="240" w:lineRule="auto"/>
    </w:pPr>
  </w:style>
  <w:style w:type="table" w:customStyle="1" w:styleId="155">
    <w:name w:val="Grid Table 7 Colorful - Accent 3"/>
    <w:basedOn w:val="46"/>
    <w:qFormat/>
    <w:uiPriority w:val="99"/>
    <w:pPr>
      <w:spacing w:after="0" w:line="240" w:lineRule="auto"/>
    </w:pPr>
  </w:style>
  <w:style w:type="table" w:customStyle="1" w:styleId="156">
    <w:name w:val="Grid Table 7 Colorful - Accent 4"/>
    <w:basedOn w:val="46"/>
    <w:qFormat/>
    <w:uiPriority w:val="99"/>
    <w:pPr>
      <w:spacing w:after="0" w:line="240" w:lineRule="auto"/>
    </w:pPr>
  </w:style>
  <w:style w:type="table" w:customStyle="1" w:styleId="157">
    <w:name w:val="Grid Table 7 Colorful - Accent 5"/>
    <w:basedOn w:val="46"/>
    <w:qFormat/>
    <w:uiPriority w:val="99"/>
    <w:pPr>
      <w:spacing w:after="0" w:line="240" w:lineRule="auto"/>
    </w:pPr>
  </w:style>
  <w:style w:type="table" w:customStyle="1" w:styleId="158">
    <w:name w:val="Grid Table 7 Colorful - Accent 6"/>
    <w:basedOn w:val="46"/>
    <w:qFormat/>
    <w:uiPriority w:val="99"/>
    <w:pPr>
      <w:spacing w:after="0" w:line="240" w:lineRule="auto"/>
    </w:pPr>
  </w:style>
  <w:style w:type="table" w:customStyle="1" w:styleId="159">
    <w:name w:val="List Table 1 Light"/>
    <w:basedOn w:val="46"/>
    <w:qFormat/>
    <w:uiPriority w:val="99"/>
    <w:pPr>
      <w:spacing w:after="0" w:line="240" w:lineRule="auto"/>
    </w:pPr>
  </w:style>
  <w:style w:type="table" w:customStyle="1" w:styleId="160">
    <w:name w:val="List Table 1 Light - Accent 1"/>
    <w:basedOn w:val="46"/>
    <w:qFormat/>
    <w:uiPriority w:val="99"/>
    <w:pPr>
      <w:spacing w:after="0" w:line="240" w:lineRule="auto"/>
    </w:pPr>
  </w:style>
  <w:style w:type="table" w:customStyle="1" w:styleId="161">
    <w:name w:val="List Table 1 Light - Accent 2"/>
    <w:basedOn w:val="46"/>
    <w:qFormat/>
    <w:uiPriority w:val="99"/>
    <w:pPr>
      <w:spacing w:after="0" w:line="240" w:lineRule="auto"/>
    </w:pPr>
  </w:style>
  <w:style w:type="table" w:customStyle="1" w:styleId="162">
    <w:name w:val="List Table 1 Light - Accent 3"/>
    <w:basedOn w:val="46"/>
    <w:qFormat/>
    <w:uiPriority w:val="99"/>
    <w:pPr>
      <w:spacing w:after="0" w:line="240" w:lineRule="auto"/>
    </w:pPr>
  </w:style>
  <w:style w:type="table" w:customStyle="1" w:styleId="163">
    <w:name w:val="List Table 1 Light - Accent 4"/>
    <w:basedOn w:val="46"/>
    <w:qFormat/>
    <w:uiPriority w:val="99"/>
    <w:pPr>
      <w:spacing w:after="0" w:line="240" w:lineRule="auto"/>
    </w:pPr>
  </w:style>
  <w:style w:type="table" w:customStyle="1" w:styleId="164">
    <w:name w:val="List Table 1 Light - Accent 5"/>
    <w:basedOn w:val="46"/>
    <w:qFormat/>
    <w:uiPriority w:val="99"/>
    <w:pPr>
      <w:spacing w:after="0" w:line="240" w:lineRule="auto"/>
    </w:pPr>
  </w:style>
  <w:style w:type="table" w:customStyle="1" w:styleId="165">
    <w:name w:val="List Table 1 Light - Accent 6"/>
    <w:basedOn w:val="46"/>
    <w:qFormat/>
    <w:uiPriority w:val="99"/>
    <w:pPr>
      <w:spacing w:after="0" w:line="240" w:lineRule="auto"/>
    </w:pPr>
  </w:style>
  <w:style w:type="table" w:customStyle="1" w:styleId="166">
    <w:name w:val="List Table 2"/>
    <w:basedOn w:val="46"/>
    <w:qFormat/>
    <w:uiPriority w:val="99"/>
    <w:pPr>
      <w:spacing w:after="0" w:line="240" w:lineRule="auto"/>
    </w:pPr>
  </w:style>
  <w:style w:type="table" w:customStyle="1" w:styleId="167">
    <w:name w:val="List Table 2 - Accent 1"/>
    <w:basedOn w:val="46"/>
    <w:qFormat/>
    <w:uiPriority w:val="99"/>
    <w:pPr>
      <w:spacing w:after="0" w:line="240" w:lineRule="auto"/>
    </w:pPr>
  </w:style>
  <w:style w:type="table" w:customStyle="1" w:styleId="168">
    <w:name w:val="List Table 2 - Accent 2"/>
    <w:basedOn w:val="46"/>
    <w:qFormat/>
    <w:uiPriority w:val="99"/>
    <w:pPr>
      <w:spacing w:after="0" w:line="240" w:lineRule="auto"/>
    </w:pPr>
  </w:style>
  <w:style w:type="table" w:customStyle="1" w:styleId="169">
    <w:name w:val="List Table 2 - Accent 3"/>
    <w:basedOn w:val="46"/>
    <w:qFormat/>
    <w:uiPriority w:val="99"/>
    <w:pPr>
      <w:spacing w:after="0" w:line="240" w:lineRule="auto"/>
    </w:pPr>
  </w:style>
  <w:style w:type="table" w:customStyle="1" w:styleId="170">
    <w:name w:val="List Table 2 - Accent 4"/>
    <w:basedOn w:val="46"/>
    <w:qFormat/>
    <w:uiPriority w:val="99"/>
    <w:pPr>
      <w:spacing w:after="0" w:line="240" w:lineRule="auto"/>
    </w:pPr>
  </w:style>
  <w:style w:type="table" w:customStyle="1" w:styleId="171">
    <w:name w:val="List Table 2 - Accent 5"/>
    <w:basedOn w:val="46"/>
    <w:qFormat/>
    <w:uiPriority w:val="99"/>
    <w:pPr>
      <w:spacing w:after="0" w:line="240" w:lineRule="auto"/>
    </w:pPr>
  </w:style>
  <w:style w:type="table" w:customStyle="1" w:styleId="172">
    <w:name w:val="List Table 2 - Accent 6"/>
    <w:basedOn w:val="46"/>
    <w:qFormat/>
    <w:uiPriority w:val="99"/>
    <w:pPr>
      <w:spacing w:after="0" w:line="240" w:lineRule="auto"/>
    </w:pPr>
  </w:style>
  <w:style w:type="table" w:customStyle="1" w:styleId="173">
    <w:name w:val="List Table 3"/>
    <w:basedOn w:val="46"/>
    <w:qFormat/>
    <w:uiPriority w:val="99"/>
    <w:pPr>
      <w:spacing w:after="0" w:line="240" w:lineRule="auto"/>
    </w:pPr>
  </w:style>
  <w:style w:type="table" w:customStyle="1" w:styleId="174">
    <w:name w:val="List Table 3 - Accent 1"/>
    <w:basedOn w:val="46"/>
    <w:qFormat/>
    <w:uiPriority w:val="99"/>
    <w:pPr>
      <w:spacing w:after="0" w:line="240" w:lineRule="auto"/>
    </w:pPr>
  </w:style>
  <w:style w:type="table" w:customStyle="1" w:styleId="175">
    <w:name w:val="List Table 3 - Accent 2"/>
    <w:basedOn w:val="46"/>
    <w:qFormat/>
    <w:uiPriority w:val="99"/>
    <w:pPr>
      <w:spacing w:after="0" w:line="240" w:lineRule="auto"/>
    </w:pPr>
  </w:style>
  <w:style w:type="table" w:customStyle="1" w:styleId="176">
    <w:name w:val="List Table 3 - Accent 3"/>
    <w:basedOn w:val="46"/>
    <w:qFormat/>
    <w:uiPriority w:val="99"/>
    <w:pPr>
      <w:spacing w:after="0" w:line="240" w:lineRule="auto"/>
    </w:pPr>
  </w:style>
  <w:style w:type="table" w:customStyle="1" w:styleId="177">
    <w:name w:val="List Table 3 - Accent 4"/>
    <w:basedOn w:val="46"/>
    <w:qFormat/>
    <w:uiPriority w:val="99"/>
    <w:pPr>
      <w:spacing w:after="0" w:line="240" w:lineRule="auto"/>
    </w:pPr>
  </w:style>
  <w:style w:type="table" w:customStyle="1" w:styleId="178">
    <w:name w:val="List Table 3 - Accent 5"/>
    <w:basedOn w:val="46"/>
    <w:qFormat/>
    <w:uiPriority w:val="99"/>
    <w:pPr>
      <w:spacing w:after="0" w:line="240" w:lineRule="auto"/>
    </w:pPr>
  </w:style>
  <w:style w:type="table" w:customStyle="1" w:styleId="179">
    <w:name w:val="List Table 3 - Accent 6"/>
    <w:basedOn w:val="46"/>
    <w:qFormat/>
    <w:uiPriority w:val="99"/>
    <w:pPr>
      <w:spacing w:after="0" w:line="240" w:lineRule="auto"/>
    </w:pPr>
  </w:style>
  <w:style w:type="table" w:customStyle="1" w:styleId="180">
    <w:name w:val="List Table 4"/>
    <w:basedOn w:val="46"/>
    <w:qFormat/>
    <w:uiPriority w:val="99"/>
    <w:pPr>
      <w:spacing w:after="0" w:line="240" w:lineRule="auto"/>
    </w:pPr>
  </w:style>
  <w:style w:type="table" w:customStyle="1" w:styleId="181">
    <w:name w:val="List Table 4 - Accent 1"/>
    <w:basedOn w:val="46"/>
    <w:qFormat/>
    <w:uiPriority w:val="99"/>
    <w:pPr>
      <w:spacing w:after="0" w:line="240" w:lineRule="auto"/>
    </w:pPr>
  </w:style>
  <w:style w:type="table" w:customStyle="1" w:styleId="182">
    <w:name w:val="List Table 4 - Accent 2"/>
    <w:basedOn w:val="46"/>
    <w:qFormat/>
    <w:uiPriority w:val="99"/>
    <w:pPr>
      <w:spacing w:after="0" w:line="240" w:lineRule="auto"/>
    </w:pPr>
  </w:style>
  <w:style w:type="table" w:customStyle="1" w:styleId="183">
    <w:name w:val="List Table 4 - Accent 3"/>
    <w:basedOn w:val="46"/>
    <w:qFormat/>
    <w:uiPriority w:val="99"/>
    <w:pPr>
      <w:spacing w:after="0" w:line="240" w:lineRule="auto"/>
    </w:pPr>
  </w:style>
  <w:style w:type="table" w:customStyle="1" w:styleId="184">
    <w:name w:val="List Table 4 - Accent 4"/>
    <w:basedOn w:val="46"/>
    <w:qFormat/>
    <w:uiPriority w:val="99"/>
    <w:pPr>
      <w:spacing w:after="0" w:line="240" w:lineRule="auto"/>
    </w:pPr>
  </w:style>
  <w:style w:type="table" w:customStyle="1" w:styleId="185">
    <w:name w:val="List Table 4 - Accent 5"/>
    <w:basedOn w:val="46"/>
    <w:qFormat/>
    <w:uiPriority w:val="99"/>
    <w:pPr>
      <w:spacing w:after="0" w:line="240" w:lineRule="auto"/>
    </w:pPr>
  </w:style>
  <w:style w:type="table" w:customStyle="1" w:styleId="186">
    <w:name w:val="List Table 4 - Accent 6"/>
    <w:basedOn w:val="46"/>
    <w:qFormat/>
    <w:uiPriority w:val="99"/>
    <w:pPr>
      <w:spacing w:after="0" w:line="240" w:lineRule="auto"/>
    </w:pPr>
  </w:style>
  <w:style w:type="table" w:customStyle="1" w:styleId="187">
    <w:name w:val="List Table 5 Dark"/>
    <w:basedOn w:val="46"/>
    <w:qFormat/>
    <w:uiPriority w:val="99"/>
    <w:pPr>
      <w:spacing w:after="0" w:line="240" w:lineRule="auto"/>
    </w:pPr>
  </w:style>
  <w:style w:type="table" w:customStyle="1" w:styleId="188">
    <w:name w:val="List Table 5 Dark - Accent 1"/>
    <w:basedOn w:val="46"/>
    <w:qFormat/>
    <w:uiPriority w:val="99"/>
    <w:pPr>
      <w:spacing w:after="0" w:line="240" w:lineRule="auto"/>
    </w:pPr>
  </w:style>
  <w:style w:type="table" w:customStyle="1" w:styleId="189">
    <w:name w:val="List Table 5 Dark - Accent 2"/>
    <w:basedOn w:val="46"/>
    <w:qFormat/>
    <w:uiPriority w:val="99"/>
    <w:pPr>
      <w:spacing w:after="0" w:line="240" w:lineRule="auto"/>
    </w:pPr>
  </w:style>
  <w:style w:type="table" w:customStyle="1" w:styleId="190">
    <w:name w:val="List Table 5 Dark - Accent 3"/>
    <w:basedOn w:val="46"/>
    <w:qFormat/>
    <w:uiPriority w:val="99"/>
    <w:pPr>
      <w:spacing w:after="0" w:line="240" w:lineRule="auto"/>
    </w:pPr>
  </w:style>
  <w:style w:type="table" w:customStyle="1" w:styleId="191">
    <w:name w:val="List Table 5 Dark - Accent 4"/>
    <w:basedOn w:val="46"/>
    <w:qFormat/>
    <w:uiPriority w:val="99"/>
    <w:pPr>
      <w:spacing w:after="0" w:line="240" w:lineRule="auto"/>
    </w:pPr>
  </w:style>
  <w:style w:type="table" w:customStyle="1" w:styleId="192">
    <w:name w:val="List Table 5 Dark - Accent 5"/>
    <w:basedOn w:val="46"/>
    <w:qFormat/>
    <w:uiPriority w:val="99"/>
    <w:pPr>
      <w:spacing w:after="0" w:line="240" w:lineRule="auto"/>
    </w:pPr>
  </w:style>
  <w:style w:type="table" w:customStyle="1" w:styleId="193">
    <w:name w:val="List Table 5 Dark - Accent 6"/>
    <w:basedOn w:val="46"/>
    <w:qFormat/>
    <w:uiPriority w:val="99"/>
    <w:pPr>
      <w:spacing w:after="0" w:line="240" w:lineRule="auto"/>
    </w:pPr>
  </w:style>
  <w:style w:type="table" w:customStyle="1" w:styleId="194">
    <w:name w:val="List Table 6 Colorful"/>
    <w:basedOn w:val="46"/>
    <w:qFormat/>
    <w:uiPriority w:val="99"/>
    <w:pPr>
      <w:spacing w:after="0" w:line="240" w:lineRule="auto"/>
    </w:pPr>
  </w:style>
  <w:style w:type="table" w:customStyle="1" w:styleId="195">
    <w:name w:val="List Table 6 Colorful - Accent 1"/>
    <w:basedOn w:val="46"/>
    <w:qFormat/>
    <w:uiPriority w:val="99"/>
    <w:pPr>
      <w:spacing w:after="0" w:line="240" w:lineRule="auto"/>
    </w:pPr>
  </w:style>
  <w:style w:type="table" w:customStyle="1" w:styleId="196">
    <w:name w:val="List Table 6 Colorful - Accent 2"/>
    <w:basedOn w:val="46"/>
    <w:qFormat/>
    <w:uiPriority w:val="99"/>
    <w:pPr>
      <w:spacing w:after="0" w:line="240" w:lineRule="auto"/>
    </w:pPr>
  </w:style>
  <w:style w:type="table" w:customStyle="1" w:styleId="197">
    <w:name w:val="List Table 6 Colorful - Accent 3"/>
    <w:basedOn w:val="46"/>
    <w:qFormat/>
    <w:uiPriority w:val="99"/>
    <w:pPr>
      <w:spacing w:after="0" w:line="240" w:lineRule="auto"/>
    </w:pPr>
  </w:style>
  <w:style w:type="table" w:customStyle="1" w:styleId="198">
    <w:name w:val="List Table 6 Colorful - Accent 4"/>
    <w:basedOn w:val="46"/>
    <w:qFormat/>
    <w:uiPriority w:val="99"/>
    <w:pPr>
      <w:spacing w:after="0" w:line="240" w:lineRule="auto"/>
    </w:pPr>
  </w:style>
  <w:style w:type="table" w:customStyle="1" w:styleId="199">
    <w:name w:val="List Table 6 Colorful - Accent 5"/>
    <w:basedOn w:val="46"/>
    <w:qFormat/>
    <w:uiPriority w:val="99"/>
    <w:pPr>
      <w:spacing w:after="0" w:line="240" w:lineRule="auto"/>
    </w:pPr>
  </w:style>
  <w:style w:type="table" w:customStyle="1" w:styleId="200">
    <w:name w:val="List Table 6 Colorful - Accent 6"/>
    <w:basedOn w:val="46"/>
    <w:qFormat/>
    <w:uiPriority w:val="99"/>
    <w:pPr>
      <w:spacing w:after="0" w:line="240" w:lineRule="auto"/>
    </w:pPr>
  </w:style>
  <w:style w:type="table" w:customStyle="1" w:styleId="201">
    <w:name w:val="List Table 7 Colorful"/>
    <w:basedOn w:val="46"/>
    <w:qFormat/>
    <w:uiPriority w:val="99"/>
    <w:pPr>
      <w:spacing w:after="0" w:line="240" w:lineRule="auto"/>
    </w:pPr>
  </w:style>
  <w:style w:type="table" w:customStyle="1" w:styleId="202">
    <w:name w:val="List Table 7 Colorful - Accent 1"/>
    <w:basedOn w:val="46"/>
    <w:qFormat/>
    <w:uiPriority w:val="99"/>
    <w:pPr>
      <w:spacing w:after="0" w:line="240" w:lineRule="auto"/>
    </w:pPr>
  </w:style>
  <w:style w:type="table" w:customStyle="1" w:styleId="203">
    <w:name w:val="List Table 7 Colorful - Accent 2"/>
    <w:basedOn w:val="46"/>
    <w:uiPriority w:val="99"/>
    <w:pPr>
      <w:spacing w:after="0" w:line="240" w:lineRule="auto"/>
    </w:pPr>
  </w:style>
  <w:style w:type="table" w:customStyle="1" w:styleId="204">
    <w:name w:val="List Table 7 Colorful - Accent 3"/>
    <w:basedOn w:val="46"/>
    <w:qFormat/>
    <w:uiPriority w:val="99"/>
    <w:pPr>
      <w:spacing w:after="0" w:line="240" w:lineRule="auto"/>
    </w:pPr>
  </w:style>
  <w:style w:type="table" w:customStyle="1" w:styleId="205">
    <w:name w:val="List Table 7 Colorful - Accent 4"/>
    <w:basedOn w:val="46"/>
    <w:qFormat/>
    <w:uiPriority w:val="99"/>
    <w:pPr>
      <w:spacing w:after="0" w:line="240" w:lineRule="auto"/>
    </w:pPr>
  </w:style>
  <w:style w:type="table" w:customStyle="1" w:styleId="206">
    <w:name w:val="List Table 7 Colorful - Accent 5"/>
    <w:basedOn w:val="46"/>
    <w:qFormat/>
    <w:uiPriority w:val="99"/>
    <w:pPr>
      <w:spacing w:after="0" w:line="240" w:lineRule="auto"/>
    </w:pPr>
  </w:style>
  <w:style w:type="table" w:customStyle="1" w:styleId="207">
    <w:name w:val="List Table 7 Colorful - Accent 6"/>
    <w:basedOn w:val="46"/>
    <w:uiPriority w:val="99"/>
    <w:pPr>
      <w:spacing w:after="0" w:line="240" w:lineRule="auto"/>
    </w:pPr>
  </w:style>
  <w:style w:type="table" w:customStyle="1" w:styleId="208">
    <w:name w:val="Lined - Accent"/>
    <w:basedOn w:val="46"/>
    <w:qFormat/>
    <w:uiPriority w:val="99"/>
    <w:pPr>
      <w:spacing w:after="0" w:line="240" w:lineRule="auto"/>
    </w:pPr>
    <w:rPr>
      <w:color w:val="404040"/>
    </w:rPr>
  </w:style>
  <w:style w:type="table" w:customStyle="1" w:styleId="209">
    <w:name w:val="Lined - Accent 1"/>
    <w:basedOn w:val="46"/>
    <w:qFormat/>
    <w:uiPriority w:val="99"/>
    <w:pPr>
      <w:spacing w:after="0" w:line="240" w:lineRule="auto"/>
    </w:pPr>
    <w:rPr>
      <w:color w:val="404040"/>
    </w:rPr>
  </w:style>
  <w:style w:type="table" w:customStyle="1" w:styleId="210">
    <w:name w:val="Lined - Accent 2"/>
    <w:basedOn w:val="46"/>
    <w:uiPriority w:val="99"/>
    <w:pPr>
      <w:spacing w:after="0" w:line="240" w:lineRule="auto"/>
    </w:pPr>
    <w:rPr>
      <w:color w:val="404040"/>
    </w:rPr>
  </w:style>
  <w:style w:type="table" w:customStyle="1" w:styleId="211">
    <w:name w:val="Lined - Accent 3"/>
    <w:basedOn w:val="46"/>
    <w:uiPriority w:val="99"/>
    <w:pPr>
      <w:spacing w:after="0" w:line="240" w:lineRule="auto"/>
    </w:pPr>
    <w:rPr>
      <w:color w:val="404040"/>
    </w:rPr>
  </w:style>
  <w:style w:type="table" w:customStyle="1" w:styleId="212">
    <w:name w:val="Lined - Accent 4"/>
    <w:basedOn w:val="46"/>
    <w:qFormat/>
    <w:uiPriority w:val="99"/>
    <w:pPr>
      <w:spacing w:after="0" w:line="240" w:lineRule="auto"/>
    </w:pPr>
    <w:rPr>
      <w:color w:val="404040"/>
    </w:rPr>
  </w:style>
  <w:style w:type="table" w:customStyle="1" w:styleId="213">
    <w:name w:val="Lined - Accent 5"/>
    <w:basedOn w:val="46"/>
    <w:qFormat/>
    <w:uiPriority w:val="99"/>
    <w:pPr>
      <w:spacing w:after="0" w:line="240" w:lineRule="auto"/>
    </w:pPr>
    <w:rPr>
      <w:color w:val="404040"/>
    </w:rPr>
  </w:style>
  <w:style w:type="table" w:customStyle="1" w:styleId="214">
    <w:name w:val="Lined - Accent 6"/>
    <w:basedOn w:val="46"/>
    <w:qFormat/>
    <w:uiPriority w:val="99"/>
    <w:pPr>
      <w:spacing w:after="0" w:line="240" w:lineRule="auto"/>
    </w:pPr>
    <w:rPr>
      <w:color w:val="404040"/>
    </w:rPr>
  </w:style>
  <w:style w:type="table" w:customStyle="1" w:styleId="215">
    <w:name w:val="Bordered &amp; Lined - Accent"/>
    <w:basedOn w:val="46"/>
    <w:qFormat/>
    <w:uiPriority w:val="99"/>
    <w:pPr>
      <w:spacing w:after="0" w:line="240" w:lineRule="auto"/>
    </w:pPr>
    <w:rPr>
      <w:color w:val="404040"/>
    </w:rPr>
  </w:style>
  <w:style w:type="table" w:customStyle="1" w:styleId="216">
    <w:name w:val="Bordered &amp; Lined - Accent 1"/>
    <w:basedOn w:val="46"/>
    <w:qFormat/>
    <w:uiPriority w:val="99"/>
    <w:pPr>
      <w:spacing w:after="0" w:line="240" w:lineRule="auto"/>
    </w:pPr>
    <w:rPr>
      <w:color w:val="404040"/>
    </w:rPr>
  </w:style>
  <w:style w:type="table" w:customStyle="1" w:styleId="217">
    <w:name w:val="Bordered &amp; Lined - Accent 2"/>
    <w:basedOn w:val="46"/>
    <w:qFormat/>
    <w:uiPriority w:val="99"/>
    <w:pPr>
      <w:spacing w:after="0" w:line="240" w:lineRule="auto"/>
    </w:pPr>
    <w:rPr>
      <w:color w:val="404040"/>
    </w:rPr>
  </w:style>
  <w:style w:type="table" w:customStyle="1" w:styleId="218">
    <w:name w:val="Bordered &amp; Lined - Accent 3"/>
    <w:basedOn w:val="46"/>
    <w:qFormat/>
    <w:uiPriority w:val="99"/>
    <w:pPr>
      <w:spacing w:after="0" w:line="240" w:lineRule="auto"/>
    </w:pPr>
    <w:rPr>
      <w:color w:val="404040"/>
    </w:rPr>
  </w:style>
  <w:style w:type="table" w:customStyle="1" w:styleId="219">
    <w:name w:val="Bordered &amp; Lined - Accent 4"/>
    <w:basedOn w:val="46"/>
    <w:qFormat/>
    <w:uiPriority w:val="99"/>
    <w:pPr>
      <w:spacing w:after="0" w:line="240" w:lineRule="auto"/>
    </w:pPr>
    <w:rPr>
      <w:color w:val="404040"/>
    </w:rPr>
  </w:style>
  <w:style w:type="table" w:customStyle="1" w:styleId="220">
    <w:name w:val="Bordered &amp; Lined - Accent 5"/>
    <w:basedOn w:val="46"/>
    <w:qFormat/>
    <w:uiPriority w:val="99"/>
    <w:pPr>
      <w:spacing w:after="0" w:line="240" w:lineRule="auto"/>
    </w:pPr>
    <w:rPr>
      <w:color w:val="404040"/>
    </w:rPr>
  </w:style>
  <w:style w:type="table" w:customStyle="1" w:styleId="221">
    <w:name w:val="Bordered &amp; Lined - Accent 6"/>
    <w:basedOn w:val="46"/>
    <w:qFormat/>
    <w:uiPriority w:val="99"/>
    <w:pPr>
      <w:spacing w:after="0" w:line="240" w:lineRule="auto"/>
    </w:pPr>
    <w:rPr>
      <w:color w:val="404040"/>
    </w:rPr>
  </w:style>
  <w:style w:type="table" w:customStyle="1" w:styleId="222">
    <w:name w:val="Bordered"/>
    <w:basedOn w:val="46"/>
    <w:qFormat/>
    <w:uiPriority w:val="99"/>
    <w:pPr>
      <w:spacing w:after="0" w:line="240" w:lineRule="auto"/>
    </w:pPr>
  </w:style>
  <w:style w:type="table" w:customStyle="1" w:styleId="223">
    <w:name w:val="Bordered - Accent 1"/>
    <w:basedOn w:val="46"/>
    <w:qFormat/>
    <w:uiPriority w:val="99"/>
    <w:pPr>
      <w:spacing w:after="0" w:line="240" w:lineRule="auto"/>
    </w:pPr>
  </w:style>
  <w:style w:type="table" w:customStyle="1" w:styleId="224">
    <w:name w:val="Bordered - Accent 2"/>
    <w:basedOn w:val="46"/>
    <w:qFormat/>
    <w:uiPriority w:val="99"/>
    <w:pPr>
      <w:spacing w:after="0" w:line="240" w:lineRule="auto"/>
    </w:pPr>
  </w:style>
  <w:style w:type="table" w:customStyle="1" w:styleId="225">
    <w:name w:val="Bordered - Accent 3"/>
    <w:basedOn w:val="46"/>
    <w:qFormat/>
    <w:uiPriority w:val="99"/>
    <w:pPr>
      <w:spacing w:after="0" w:line="240" w:lineRule="auto"/>
    </w:pPr>
  </w:style>
  <w:style w:type="table" w:customStyle="1" w:styleId="226">
    <w:name w:val="Bordered - Accent 4"/>
    <w:basedOn w:val="46"/>
    <w:qFormat/>
    <w:uiPriority w:val="99"/>
    <w:pPr>
      <w:spacing w:after="0" w:line="240" w:lineRule="auto"/>
    </w:pPr>
  </w:style>
  <w:style w:type="table" w:customStyle="1" w:styleId="227">
    <w:name w:val="Bordered - Accent 5"/>
    <w:basedOn w:val="46"/>
    <w:qFormat/>
    <w:uiPriority w:val="99"/>
    <w:pPr>
      <w:spacing w:after="0" w:line="240" w:lineRule="auto"/>
    </w:pPr>
  </w:style>
  <w:style w:type="table" w:customStyle="1" w:styleId="228">
    <w:name w:val="Bordered - Accent 6"/>
    <w:basedOn w:val="46"/>
    <w:qFormat/>
    <w:uiPriority w:val="99"/>
    <w:pPr>
      <w:spacing w:after="0" w:line="240" w:lineRule="auto"/>
    </w:pPr>
  </w:style>
  <w:style w:type="paragraph" w:customStyle="1" w:styleId="229">
    <w:name w:val="TOC Heading"/>
    <w:unhideWhenUsed/>
    <w:qFormat/>
    <w:uiPriority w:val="39"/>
    <w:rPr>
      <w:rFonts w:hint="default" w:ascii="Times New Roman" w:hAnsi="Times New Roman" w:eastAsia="宋体" w:cs="Times New Roman"/>
    </w:rPr>
  </w:style>
  <w:style w:type="paragraph" w:customStyle="1" w:styleId="230">
    <w:name w:val="Default"/>
    <w:basedOn w:val="1"/>
    <w:semiHidden/>
    <w:qFormat/>
    <w:uiPriority w:val="0"/>
    <w:pPr>
      <w:jc w:val="left"/>
    </w:pPr>
    <w:rPr>
      <w:rFonts w:ascii="宋体" w:hAnsi="Calibri" w:cs="宋体"/>
      <w:color w:val="000000"/>
      <w:sz w:val="24"/>
    </w:rPr>
  </w:style>
  <w:style w:type="paragraph" w:customStyle="1" w:styleId="231">
    <w:name w:val="4"/>
    <w:basedOn w:val="1"/>
    <w:next w:val="81"/>
    <w:qFormat/>
    <w:uiPriority w:val="0"/>
    <w:pPr>
      <w:spacing w:line="360" w:lineRule="auto"/>
      <w:ind w:firstLine="420"/>
    </w:pPr>
    <w:rPr>
      <w:color w:val="FF0000"/>
      <w:sz w:val="24"/>
    </w:rPr>
  </w:style>
  <w:style w:type="paragraph" w:customStyle="1" w:styleId="232">
    <w:name w:val="纯文本1"/>
    <w:basedOn w:val="1"/>
    <w:qFormat/>
    <w:uiPriority w:val="0"/>
    <w:rPr>
      <w:rFonts w:ascii="宋体" w:hAnsi="Courier New" w:eastAsia="楷体_GB2312"/>
      <w:sz w:val="28"/>
      <w:szCs w:val="20"/>
    </w:rPr>
  </w:style>
  <w:style w:type="paragraph" w:customStyle="1" w:styleId="233">
    <w:name w:val="普通正文"/>
    <w:basedOn w:val="1"/>
    <w:qFormat/>
    <w:uiPriority w:val="0"/>
    <w:pPr>
      <w:spacing w:before="120" w:after="120" w:line="360" w:lineRule="auto"/>
      <w:ind w:firstLine="480"/>
      <w:jc w:val="left"/>
    </w:pPr>
    <w:rPr>
      <w:rFonts w:ascii="Arial" w:hAnsi="Arial" w:eastAsia="等线" w:cs="Arial"/>
      <w:sz w:val="24"/>
      <w:szCs w:val="24"/>
    </w:rPr>
  </w:style>
  <w:style w:type="paragraph" w:customStyle="1" w:styleId="234">
    <w:name w:val="正文首行缩进 21"/>
    <w:basedOn w:val="235"/>
    <w:qFormat/>
    <w:uiPriority w:val="0"/>
    <w:pPr>
      <w:ind w:firstLine="420"/>
    </w:pPr>
  </w:style>
  <w:style w:type="paragraph" w:customStyle="1" w:styleId="235">
    <w:name w:val="正文文本缩进1"/>
    <w:basedOn w:val="1"/>
    <w:qFormat/>
    <w:uiPriority w:val="0"/>
    <w:pPr>
      <w:spacing w:after="120"/>
      <w:ind w:left="420"/>
    </w:pPr>
  </w:style>
  <w:style w:type="character" w:customStyle="1" w:styleId="236">
    <w:name w:val="NormalCharacter1"/>
    <w:link w:val="1"/>
    <w:qFormat/>
    <w:uiPriority w:val="0"/>
  </w:style>
  <w:style w:type="paragraph" w:customStyle="1" w:styleId="237">
    <w:name w:val="首行缩进"/>
    <w:basedOn w:val="1"/>
    <w:qFormat/>
    <w:uiPriority w:val="0"/>
    <w:pPr>
      <w:spacing w:line="360" w:lineRule="auto"/>
      <w:ind w:firstLine="480"/>
    </w:pPr>
    <w:rPr>
      <w:rFonts w:ascii="宋体" w:hAnsi="宋体" w:eastAsia="宋体" w:cs="宋体"/>
      <w:sz w:val="24"/>
      <w:szCs w:val="24"/>
    </w:rPr>
  </w:style>
  <w:style w:type="paragraph" w:customStyle="1" w:styleId="238">
    <w:name w:val="PlainText1"/>
    <w:basedOn w:val="1"/>
    <w:qFormat/>
    <w:uiPriority w:val="0"/>
    <w:rPr>
      <w:rFonts w:ascii="宋体" w:hAnsi="Courier New"/>
    </w:rPr>
  </w:style>
  <w:style w:type="paragraph" w:customStyle="1" w:styleId="239">
    <w:name w:val="p16"/>
    <w:basedOn w:val="1"/>
    <w:qFormat/>
    <w:uiPriority w:val="0"/>
    <w:pPr>
      <w:widowControl/>
      <w:jc w:val="left"/>
    </w:pPr>
    <w:rPr>
      <w:rFonts w:ascii="宋体" w:hAnsi="宋体" w:cs="宋体"/>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P R</Company>
  <Pages>55</Pages>
  <Words>78</Words>
  <Characters>107</Characters>
  <TotalTime>3</TotalTime>
  <ScaleCrop>false</ScaleCrop>
  <LinksUpToDate>false</LinksUpToDate>
  <CharactersWithSpaces>151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2024-01-18T02:05:00Z</dcterms:created>
  <dc:creator>Adminis</dc:creator>
  <cp:lastModifiedBy>熊伟</cp:lastModifiedBy>
  <cp:lastPrinted>2026-04-08T02:26:00Z</cp:lastPrinted>
  <dcterms:modified xsi:type="dcterms:W3CDTF">2026-04-10T06:28:16Z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eyJoZGlkIjoiMWJkMGVkMTlhYTkwZTc4MWYxOGFkZDg5YjM5NzYyODAiLCJ1c2VySWQiOiIxNDYyMzk2OTEzIn0=</vt:lpwstr>
  </property>
  <property fmtid="{D5CDD505-2E9C-101B-9397-08002B2CF9AE}" pid="3" name="KSOProductBuildVer">
    <vt:lpwstr>2052-12.1.0.25225</vt:lpwstr>
  </property>
  <property fmtid="{D5CDD505-2E9C-101B-9397-08002B2CF9AE}" pid="4" name="ICV">
    <vt:lpwstr>9BE4CA6676C04E1BAA8DE68CEEEB8AC9_12</vt:lpwstr>
  </property>
</Properties>
</file>