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5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656"/>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项目名称：省数字交通统一平台一体化政务服务考试模块建设项目</w:t>
      </w:r>
      <w:r>
        <w:rPr>
          <w:rFonts w:hint="eastAsia" w:ascii="Arial" w:hAnsi="Arial"/>
          <w:b/>
          <w:bCs/>
          <w:sz w:val="32"/>
          <w:szCs w:val="24"/>
        </w:rPr>
        <w:tab/>
      </w:r>
      <w:r>
        <w:rPr>
          <w:rFonts w:hint="eastAsia" w:ascii="Arial" w:hAnsi="Arial"/>
          <w:b/>
          <w:bCs/>
          <w:sz w:val="32"/>
          <w:szCs w:val="24"/>
        </w:rPr>
      </w:r>
      <w:r/>
    </w:p>
    <w:p>
      <w:pPr>
        <w:pStyle w:val="656"/>
        <w:rPr>
          <w:rFonts w:hint="eastAsia" w:ascii="Times New Roman" w:hAnsi="Times New Roman"/>
          <w:b/>
          <w:color w:val="ff0000"/>
          <w:sz w:val="24"/>
          <w:szCs w:val="24"/>
        </w:rPr>
      </w:pPr>
      <w:r>
        <w:rPr>
          <w:rFonts w:hint="eastAsia" w:ascii="Arial" w:hAnsi="Arial"/>
          <w:b/>
          <w:bCs/>
          <w:sz w:val="32"/>
          <w:szCs w:val="24"/>
        </w:rPr>
        <w:t xml:space="preserve">采购编号：JSZC-320000-SCZX-C2026-0159</w:t>
      </w:r>
      <w:r>
        <w:rPr>
          <w:rFonts w:hint="eastAsia" w:ascii="Arial" w:hAnsi="Arial"/>
          <w:b/>
          <w:bCs/>
          <w:sz w:val="32"/>
          <w:szCs w:val="24"/>
        </w:rPr>
        <w:tab/>
      </w:r>
      <w:r>
        <w:rPr>
          <w:rFonts w:hint="eastAsia" w:ascii="Times New Roman" w:hAnsi="Times New Roman"/>
          <w:b/>
          <w:color w:val="ff0000"/>
          <w:sz w:val="24"/>
          <w:szCs w:val="24"/>
        </w:rPr>
      </w:r>
      <w:r/>
    </w:p>
    <w:p>
      <w:pPr>
        <w:pStyle w:val="656"/>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r>
      <w:r/>
    </w:p>
    <w:p>
      <w:pPr>
        <w:pStyle w:val="656"/>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656"/>
        <w:jc w:val="center"/>
        <w:spacing w:before="120" w:after="120" w:line="360" w:lineRule="auto"/>
        <w:rPr>
          <w:rFonts w:hint="eastAsia" w:ascii="Arial" w:hAnsi="Arial"/>
          <w:b/>
          <w:bCs/>
          <w:sz w:val="32"/>
          <w:szCs w:val="24"/>
        </w:rPr>
      </w:pPr>
      <w:r>
        <w:rPr>
          <w:rFonts w:hint="eastAsia" w:ascii="Arial" w:hAnsi="Arial"/>
          <w:b/>
          <w:bCs/>
          <w:sz w:val="32"/>
          <w:szCs w:val="24"/>
        </w:rPr>
        <w:t xml:space="preserve">2026年4月</w:t>
      </w:r>
      <w:r>
        <w:rPr>
          <w:rFonts w:hint="eastAsia" w:ascii="Arial" w:hAnsi="Arial"/>
          <w:b/>
          <w:bCs/>
          <w:sz w:val="32"/>
          <w:szCs w:val="24"/>
        </w:rPr>
      </w:r>
      <w:r/>
    </w:p>
    <w:p>
      <w:pPr>
        <w:pStyle w:val="65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6"/>
        <w:jc w:val="center"/>
        <w:spacing w:before="120" w:after="120" w:line="360" w:lineRule="auto"/>
        <w:rPr>
          <w:rFonts w:hint="eastAsia" w:ascii="Arial" w:hAnsi="Arial"/>
          <w:sz w:val="24"/>
          <w:szCs w:val="24"/>
        </w:rPr>
      </w:pPr>
      <w:r>
        <w:rPr>
          <w:rFonts w:hint="eastAsia" w:ascii="Arial" w:hAnsi="Arial"/>
          <w:sz w:val="24"/>
          <w:szCs w:val="24"/>
        </w:rPr>
      </w:r>
      <w:r/>
    </w:p>
    <w:p>
      <w:pPr>
        <w:pStyle w:val="656"/>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656"/>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6"/>
        <w:numPr>
          <w:ilvl w:val="0"/>
          <w:numId w:val="5"/>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56"/>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6"/>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19</w:t>
      </w:r>
      <w:r>
        <w:rPr>
          <w:rFonts w:hint="eastAsia" w:ascii="黑体" w:hAnsi="Showcard Gothic" w:eastAsia="黑体"/>
          <w:sz w:val="36"/>
          <w:szCs w:val="21"/>
        </w:rPr>
      </w:r>
      <w:r/>
    </w:p>
    <w:p>
      <w:pPr>
        <w:pStyle w:val="656"/>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22</w:t>
      </w:r>
      <w:r>
        <w:rPr>
          <w:rFonts w:hint="eastAsia" w:ascii="黑体" w:hAnsi="Showcard Gothic" w:eastAsia="黑体"/>
          <w:sz w:val="36"/>
          <w:szCs w:val="21"/>
        </w:rPr>
      </w:r>
      <w:r/>
    </w:p>
    <w:p>
      <w:pPr>
        <w:pStyle w:val="656"/>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28</w:t>
      </w:r>
      <w:r>
        <w:rPr>
          <w:rFonts w:hint="eastAsia" w:ascii="黑体" w:hAnsi="Showcard Gothic" w:eastAsia="黑体"/>
          <w:sz w:val="36"/>
          <w:szCs w:val="21"/>
        </w:rPr>
      </w:r>
      <w:r/>
    </w:p>
    <w:p>
      <w:pPr>
        <w:pStyle w:val="656"/>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33</w:t>
      </w:r>
      <w:r>
        <w:rPr>
          <w:rFonts w:hint="eastAsia" w:ascii="黑体" w:hAnsi="Showcard Gothic" w:eastAsia="黑体"/>
          <w:sz w:val="36"/>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656"/>
        <w:ind w:firstLine="480"/>
        <w:rPr>
          <w:rFonts w:ascii="宋体" w:hAnsi="宋体"/>
          <w:sz w:val="24"/>
          <w:szCs w:val="24"/>
        </w:rPr>
      </w:pPr>
      <w:r>
        <w:rPr>
          <w:rFonts w:hint="eastAsia" w:ascii="宋体" w:hAnsi="宋体"/>
          <w:sz w:val="24"/>
          <w:szCs w:val="24"/>
        </w:rPr>
        <w:t xml:space="preserve">受江苏省交通通信信息中心的委托，江苏省政府采购中心就省数字交通统一平台一体化政务服务考试模块建设项目</w:t>
      </w:r>
      <w:r>
        <w:rPr>
          <w:rFonts w:hint="eastAsia" w:ascii="宋体" w:hAnsi="宋体"/>
          <w:sz w:val="24"/>
          <w:szCs w:val="24"/>
        </w:rPr>
        <w:t xml:space="preserve">(JSZC-320000-SCZX-C2026-0159)项目进行竞争性磋商采购，欢迎符合条件的供应商参加磋商。</w:t>
      </w:r>
      <w:r>
        <w:rPr>
          <w:rFonts w:ascii="宋体" w:hAnsi="宋体"/>
          <w:sz w:val="24"/>
          <w:szCs w:val="24"/>
        </w:rPr>
      </w:r>
      <w:r/>
    </w:p>
    <w:p>
      <w:pPr>
        <w:pStyle w:val="65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省数字交通统一平台一体化政务服务考试模块建设项目</w:t>
      </w:r>
      <w:r>
        <w:rPr>
          <w:rFonts w:hint="eastAsia" w:ascii="宋体" w:hAnsi="宋体"/>
          <w:sz w:val="24"/>
          <w:szCs w:val="24"/>
          <w:u w:val="single"/>
        </w:rPr>
        <w:tab/>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年5月7日9点30分（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6"/>
        <w:ind w:firstLine="498"/>
        <w:keepLines/>
        <w:keepNext/>
        <w:spacing w:before="156" w:after="156" w:line="360" w:lineRule="auto"/>
        <w:rPr>
          <w:rFonts w:ascii="Times New Roman" w:hAnsi="Times New Roman"/>
          <w:b/>
          <w:bCs/>
          <w:sz w:val="32"/>
          <w:szCs w:val="32"/>
        </w:rPr>
        <w:outlineLvl w:val="2"/>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56"/>
        <w:ind w:firstLine="480"/>
        <w:rPr>
          <w:rFonts w:ascii="宋体" w:hAnsi="宋体"/>
          <w:sz w:val="24"/>
          <w:szCs w:val="24"/>
        </w:rPr>
      </w:pPr>
      <w:r>
        <w:rPr>
          <w:rFonts w:hint="eastAsia" w:ascii="宋体" w:hAnsi="宋体"/>
          <w:sz w:val="24"/>
          <w:szCs w:val="24"/>
        </w:rPr>
        <w:t xml:space="preserve">1.采购编号：JSZC-320000-SCZX-C2026-0159</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2.项目名称：省数字交通统一平台一体化政务服务考试模块建设项目</w:t>
      </w:r>
      <w:r>
        <w:rPr>
          <w:rFonts w:ascii="宋体" w:hAnsi="宋体"/>
          <w:sz w:val="24"/>
          <w:szCs w:val="24"/>
        </w:rPr>
      </w:r>
      <w:r/>
    </w:p>
    <w:p>
      <w:pPr>
        <w:pStyle w:val="656"/>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56"/>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656"/>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656"/>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656"/>
              <w:jc w:val="center"/>
              <w:rPr>
                <w:rFonts w:ascii="宋体" w:hAnsi="宋体"/>
                <w:szCs w:val="21"/>
              </w:rPr>
            </w:pPr>
            <w:r>
              <w:rPr>
                <w:rFonts w:hint="eastAsia" w:ascii="宋体" w:hAnsi="宋体"/>
                <w:szCs w:val="21"/>
              </w:rPr>
              <w:t xml:space="preserve">40</w:t>
            </w:r>
            <w:r>
              <w:rPr>
                <w:rFonts w:ascii="宋体" w:hAnsi="宋体"/>
                <w:szCs w:val="21"/>
              </w:rPr>
            </w:r>
            <w:r/>
          </w:p>
        </w:tc>
      </w:tr>
    </w:tbl>
    <w:p>
      <w:pPr>
        <w:pStyle w:val="656"/>
        <w:ind w:firstLine="480"/>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656"/>
              <w:rPr>
                <w:rFonts w:hint="eastAsia" w:ascii="宋体" w:hAnsi="宋体"/>
                <w:sz w:val="22"/>
              </w:rPr>
            </w:pPr>
            <w:r>
              <w:rPr>
                <w:rFonts w:hint="eastAsia" w:ascii="宋体" w:hAnsi="宋体"/>
                <w:sz w:val="22"/>
              </w:rPr>
              <w:t xml:space="preserve">采购包号</w:t>
            </w:r>
            <w:r>
              <w:rPr>
                <w:rFonts w:hint="eastAsia" w:ascii="宋体" w:hAnsi="宋体"/>
                <w:sz w:val="22"/>
              </w:rPr>
            </w:r>
            <w:r/>
          </w:p>
        </w:tc>
        <w:tc>
          <w:tcPr>
            <w:tcW w:w="3135" w:type="dxa"/>
            <w:vAlign w:val="top"/>
            <w:textDirection w:val="lrTb"/>
            <w:noWrap w:val="false"/>
          </w:tcPr>
          <w:p>
            <w:pPr>
              <w:pStyle w:val="656"/>
              <w:rPr>
                <w:rFonts w:hint="eastAsia" w:ascii="宋体" w:hAnsi="宋体"/>
                <w:sz w:val="22"/>
              </w:rPr>
            </w:pPr>
            <w:r>
              <w:rPr>
                <w:rFonts w:hint="eastAsia" w:ascii="宋体" w:hAnsi="宋体"/>
                <w:sz w:val="22"/>
              </w:rPr>
              <w:t xml:space="preserve">最高限价（人民币：万元）</w:t>
            </w:r>
            <w:r>
              <w:rPr>
                <w:rFonts w:hint="eastAsia" w:ascii="宋体" w:hAnsi="宋体"/>
                <w:sz w:val="22"/>
              </w:rPr>
            </w:r>
            <w:r/>
          </w:p>
        </w:tc>
      </w:tr>
      <w:tr>
        <w:trPr/>
        <w:tc>
          <w:tcPr>
            <w:tcW w:w="1148" w:type="dxa"/>
            <w:vAlign w:val="top"/>
            <w:textDirection w:val="lrTb"/>
            <w:noWrap w:val="false"/>
          </w:tcPr>
          <w:p>
            <w:pPr>
              <w:pStyle w:val="656"/>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35" w:type="dxa"/>
            <w:vAlign w:val="top"/>
            <w:textDirection w:val="lrTb"/>
            <w:noWrap w:val="false"/>
          </w:tcPr>
          <w:p>
            <w:pPr>
              <w:pStyle w:val="656"/>
              <w:ind w:firstLine="480"/>
              <w:rPr>
                <w:rFonts w:hint="eastAsia" w:ascii="宋体" w:hAnsi="宋体"/>
                <w:sz w:val="24"/>
                <w:szCs w:val="24"/>
              </w:rPr>
            </w:pPr>
            <w:r>
              <w:rPr>
                <w:rFonts w:hint="eastAsia" w:ascii="宋体" w:hAnsi="宋体"/>
                <w:sz w:val="24"/>
                <w:szCs w:val="24"/>
              </w:rPr>
              <w:t xml:space="preserve">35.32</w:t>
            </w:r>
            <w:r>
              <w:rPr>
                <w:rFonts w:hint="eastAsia" w:ascii="宋体" w:hAnsi="宋体"/>
                <w:sz w:val="24"/>
                <w:szCs w:val="24"/>
              </w:rPr>
            </w:r>
            <w:r/>
          </w:p>
        </w:tc>
      </w:tr>
    </w:tbl>
    <w:p>
      <w:pPr>
        <w:pStyle w:val="656"/>
        <w:ind w:firstLine="480"/>
        <w:rPr>
          <w:rFonts w:ascii="宋体" w:hAnsi="宋体"/>
          <w:sz w:val="24"/>
          <w:szCs w:val="24"/>
          <w:u w:val="single"/>
        </w:rPr>
      </w:pPr>
      <w:r>
        <w:rPr>
          <w:rFonts w:hint="eastAsia" w:ascii="宋体" w:hAnsi="宋体"/>
          <w:sz w:val="24"/>
          <w:szCs w:val="24"/>
        </w:rPr>
        <w:t xml:space="preserve">5.采购需求（简介）：本项目将依托省数字交通统一平台一体化政务服务平台建设考试模块，为交通从业人员和经营业户提供pc端线上考试服务，实现从报名、审核、组考、考试、评分到查分的交通运输从业人员考试全生命周期数字化管理，为考生、考试机构、监管部门和用人单位提供高效、透明、安全的考试服务。</w:t>
      </w:r>
      <w:r>
        <w:rPr>
          <w:rFonts w:hint="eastAsia" w:ascii="宋体" w:hAnsi="宋体" w:cs="宋体"/>
          <w:sz w:val="24"/>
          <w:szCs w:val="24"/>
        </w:rPr>
        <w:t xml:space="preserve">（详细内容见本磋商文件第四章）</w:t>
      </w:r>
      <w:r>
        <w:rPr>
          <w:rFonts w:ascii="宋体" w:hAnsi="宋体"/>
          <w:sz w:val="24"/>
          <w:szCs w:val="24"/>
          <w:u w:val="single"/>
        </w:rPr>
      </w:r>
      <w:r/>
    </w:p>
    <w:p>
      <w:pPr>
        <w:pStyle w:val="656"/>
        <w:ind w:firstLine="480"/>
        <w:rPr>
          <w:rFonts w:ascii="宋体" w:hAnsi="宋体"/>
          <w:sz w:val="24"/>
          <w:szCs w:val="24"/>
          <w:u w:val="single"/>
        </w:rPr>
      </w:pPr>
      <w:r>
        <w:rPr>
          <w:rFonts w:hint="eastAsia" w:ascii="宋体" w:hAnsi="宋体"/>
          <w:sz w:val="24"/>
          <w:szCs w:val="24"/>
        </w:rPr>
        <w:t xml:space="preserve">6.合同履行期限：自合同签订之日起3个月内。</w:t>
      </w:r>
      <w:r>
        <w:rPr>
          <w:rFonts w:ascii="宋体" w:hAnsi="宋体"/>
          <w:sz w:val="24"/>
          <w:szCs w:val="24"/>
          <w:u w:val="single"/>
        </w:rPr>
      </w:r>
      <w:r/>
    </w:p>
    <w:p>
      <w:pPr>
        <w:pStyle w:val="656"/>
        <w:ind w:firstLine="498"/>
        <w:keepLines/>
        <w:keepNext/>
        <w:spacing w:before="156" w:after="156" w:line="360" w:lineRule="auto"/>
        <w:rPr>
          <w:rFonts w:ascii="Times New Roman" w:hAnsi="Times New Roman"/>
          <w:b/>
          <w:bCs/>
          <w:sz w:val="32"/>
          <w:szCs w:val="32"/>
        </w:rPr>
        <w:outlineLvl w:val="2"/>
      </w:pPr>
      <w:r/>
      <w:bookmarkStart w:id="12" w:name="_Toc35393791"/>
      <w:r/>
      <w:bookmarkStart w:id="13" w:name="_Toc28359003"/>
      <w:r/>
      <w:bookmarkStart w:id="14" w:name="_Toc38985264"/>
      <w:r/>
      <w:bookmarkStart w:id="15" w:name="_Toc28359080"/>
      <w:r/>
      <w:bookmarkStart w:id="16" w:name="_Toc35393622"/>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56"/>
        <w:ind w:firstLine="480"/>
        <w:rPr>
          <w:rFonts w:hint="eastAsia" w:ascii="宋体" w:hAnsi="宋体"/>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656"/>
        <w:ind w:firstLine="480"/>
        <w:rPr>
          <w:rFonts w:hint="eastAsia" w:ascii="宋体" w:hAnsi="宋体" w:cs="宋体"/>
          <w:sz w:val="24"/>
          <w:szCs w:val="24"/>
        </w:rPr>
      </w:pPr>
      <w:r>
        <w:rPr>
          <w:rFonts w:hint="eastAsia" w:ascii="宋体" w:hAnsi="宋体"/>
          <w:sz w:val="24"/>
          <w:szCs w:val="24"/>
        </w:rPr>
        <w:t xml:space="preserve">3. 落实政府采购政策需满足的资格要求：无。</w:t>
      </w:r>
      <w:r>
        <w:rPr>
          <w:rFonts w:hint="eastAsia" w:ascii="宋体" w:hAnsi="宋体" w:cs="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4.本项目不接受联合体参与磋商。</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56"/>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656"/>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65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656"/>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656"/>
        <w:ind w:firstLine="480"/>
        <w:rPr>
          <w:rFonts w:ascii="宋体" w:hAnsi="宋体" w:cs="宋体"/>
          <w:sz w:val="24"/>
          <w:szCs w:val="24"/>
        </w:rPr>
      </w:pPr>
      <w:r>
        <w:rPr>
          <w:rFonts w:hint="eastAsia" w:ascii="宋体" w:hAnsi="宋体"/>
          <w:bCs/>
          <w:sz w:val="24"/>
          <w:szCs w:val="24"/>
          <w:u w:val="single"/>
        </w:rPr>
        <w:t xml:space="preserve">1.</w:t>
      </w:r>
      <w:r>
        <w:rPr>
          <w:rFonts w:hint="eastAsia" w:ascii="宋体" w:hAnsi="宋体"/>
          <w:sz w:val="24"/>
          <w:szCs w:val="24"/>
        </w:rPr>
      </w:r>
      <w:r>
        <w:rPr>
          <w:rFonts w:ascii="宋体" w:hAnsi="宋体"/>
          <w:sz w:val="24"/>
          <w:szCs w:val="24"/>
          <w:u w:val="single"/>
        </w:rPr>
        <w:t xml:space="preserve">2026</w:t>
      </w:r>
      <w:r>
        <w:rPr>
          <w:rFonts w:hint="eastAsia" w:ascii="宋体" w:hAnsi="宋体"/>
          <w:bCs/>
          <w:sz w:val="24"/>
          <w:szCs w:val="24"/>
          <w:u w:val="single"/>
        </w:rPr>
        <w:t xml:space="preserve">年5月7日9点30分</w:t>
      </w:r>
      <w:r/>
      <w:r>
        <w:rPr>
          <w:rFonts w:hint="eastAsia" w:ascii="宋体" w:hAnsi="宋体"/>
          <w:bCs/>
          <w:sz w:val="24"/>
          <w:szCs w:val="24"/>
          <w:u w:val="single"/>
        </w:rPr>
      </w:r>
      <w:r>
        <w:rPr>
          <w:rFonts w:hint="eastAsia" w:ascii="宋体" w:hAnsi="宋体"/>
          <w:bCs/>
          <w:sz w:val="24"/>
          <w:szCs w:val="24"/>
        </w:rPr>
        <w:t xml:space="preserve">（北京时间）。</w:t>
      </w:r>
      <w:r>
        <w:rPr>
          <w:rFonts w:ascii="宋体" w:hAnsi="宋体" w:cs="宋体"/>
          <w:sz w:val="24"/>
          <w:szCs w:val="24"/>
        </w:rPr>
      </w:r>
      <w:r/>
    </w:p>
    <w:p>
      <w:pPr>
        <w:pStyle w:val="656"/>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56"/>
        <w:ind w:firstLine="498"/>
        <w:keepLines/>
        <w:keepNext/>
        <w:spacing w:before="156" w:after="156" w:line="360" w:lineRule="auto"/>
        <w:rPr>
          <w:rFonts w:ascii="Times New Roman" w:hAnsi="Times New Roman"/>
          <w:b/>
          <w:bCs/>
          <w:sz w:val="32"/>
          <w:szCs w:val="32"/>
        </w:rPr>
        <w:outlineLvl w:val="2"/>
      </w:pPr>
      <w:r/>
      <w:bookmarkStart w:id="27" w:name="_Toc28359084"/>
      <w:r/>
      <w:bookmarkStart w:id="28" w:name="_Toc28359007"/>
      <w:r/>
      <w:bookmarkStart w:id="29" w:name="_Toc35393625"/>
      <w:r/>
      <w:bookmarkStart w:id="30" w:name="_Toc35393794"/>
      <w:r/>
      <w:bookmarkStart w:id="31" w:name="_Toc38985267"/>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656"/>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656"/>
        <w:ind w:firstLine="498"/>
        <w:keepLines/>
        <w:keepNext/>
        <w:spacing w:before="156" w:after="156" w:line="360" w:lineRule="auto"/>
        <w:rPr>
          <w:rFonts w:ascii="Times New Roman" w:hAnsi="Times New Roman"/>
          <w:b/>
          <w:bCs/>
          <w:sz w:val="32"/>
          <w:szCs w:val="32"/>
        </w:rPr>
        <w:outlineLvl w:val="2"/>
      </w:pPr>
      <w:r/>
      <w:bookmarkStart w:id="32" w:name="_Toc38985268"/>
      <w:r/>
      <w:bookmarkStart w:id="33" w:name="_Toc35393795"/>
      <w:r/>
      <w:bookmarkStart w:id="34" w:name="_Toc35393626"/>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65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56"/>
        <w:ind w:firstLine="498"/>
        <w:keepLines/>
        <w:keepNext/>
        <w:spacing w:before="156" w:after="156" w:line="360" w:lineRule="auto"/>
        <w:rPr>
          <w:rFonts w:ascii="Times New Roman" w:hAnsi="Times New Roman"/>
          <w:b/>
          <w:bCs/>
          <w:sz w:val="32"/>
          <w:szCs w:val="32"/>
        </w:rPr>
        <w:outlineLvl w:val="2"/>
      </w:pPr>
      <w:r/>
      <w:bookmarkStart w:id="35" w:name="_Toc35393627"/>
      <w:r/>
      <w:bookmarkStart w:id="36" w:name="_Toc28359085"/>
      <w:r/>
      <w:bookmarkStart w:id="37" w:name="_Toc38985269"/>
      <w:r/>
      <w:bookmarkStart w:id="38" w:name="_Toc28359008"/>
      <w:r/>
      <w:bookmarkStart w:id="39" w:name="_Toc35393796"/>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65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江苏省交通通信信息中心</w:t>
      </w:r>
      <w:r>
        <w:rPr>
          <w:rFonts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南京市秦淮区升州路16号</w:t>
      </w:r>
      <w:r>
        <w:rPr>
          <w:rFonts w:ascii="宋体" w:hAnsi="宋体"/>
          <w:sz w:val="24"/>
          <w:szCs w:val="24"/>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朱老师 </w:t>
      </w:r>
      <w:r>
        <w:rPr>
          <w:rFonts w:ascii="宋体" w:hAnsi="宋体"/>
          <w:sz w:val="24"/>
          <w:szCs w:val="24"/>
        </w:rPr>
      </w:r>
      <w:r/>
    </w:p>
    <w:p>
      <w:pPr>
        <w:pStyle w:val="65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025-52853223 </w:t>
      </w:r>
      <w:bookmarkStart w:id="40" w:name="_Toc28359086"/>
      <w:r/>
      <w:bookmarkStart w:id="41" w:name="_Toc28359009"/>
      <w:r>
        <w:rPr>
          <w:rFonts w:ascii="宋体" w:hAnsi="宋体"/>
          <w:sz w:val="24"/>
          <w:szCs w:val="24"/>
          <w:u w:val="single"/>
        </w:rPr>
      </w:r>
      <w:r/>
    </w:p>
    <w:p>
      <w:pPr>
        <w:pStyle w:val="656"/>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56"/>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rPr>
          <w:rFonts w:ascii="宋体" w:hAnsi="宋体"/>
          <w:sz w:val="24"/>
          <w:szCs w:val="24"/>
        </w:rPr>
      </w:r>
      <w:r/>
    </w:p>
    <w:p>
      <w:pPr>
        <w:pStyle w:val="656"/>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rPr>
          <w:rFonts w:hint="eastAsia" w:ascii="宋体" w:hAnsi="宋体"/>
          <w:sz w:val="24"/>
          <w:szCs w:val="24"/>
          <w:u w:val="single"/>
        </w:rPr>
      </w:r>
      <w:r/>
    </w:p>
    <w:p>
      <w:pPr>
        <w:pStyle w:val="656"/>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025-83668550、83668519</w:t>
      </w:r>
      <w:r>
        <w:rPr>
          <w:rFonts w:ascii="宋体" w:hAnsi="宋体"/>
          <w:sz w:val="24"/>
          <w:szCs w:val="24"/>
        </w:rPr>
      </w:r>
      <w:r/>
    </w:p>
    <w:p>
      <w:pPr>
        <w:pStyle w:val="656"/>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656"/>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656"/>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56"/>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56"/>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656"/>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ind w:right="840"/>
        <w:rPr>
          <w:rFonts w:hint="eastAsia" w:ascii="宋体" w:hAnsi="宋体"/>
          <w:sz w:val="24"/>
          <w:szCs w:val="24"/>
        </w:rPr>
      </w:pPr>
      <w:r>
        <w:rPr>
          <w:rFonts w:hint="eastAsia" w:ascii="宋体" w:hAnsi="宋体"/>
          <w:sz w:val="24"/>
          <w:szCs w:val="24"/>
        </w:rPr>
      </w:r>
      <w:r/>
    </w:p>
    <w:p>
      <w:pPr>
        <w:pStyle w:val="656"/>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6"/>
        <w:ind w:firstLine="498"/>
        <w:keepLines/>
        <w:keepNext/>
        <w:spacing w:before="156" w:after="156" w:line="360" w:lineRule="auto"/>
        <w:rPr>
          <w:rFonts w:hint="eastAsia" w:ascii="Times New Roman" w:hAnsi="Times New Roman"/>
          <w:b/>
          <w:bCs/>
          <w:sz w:val="32"/>
          <w:szCs w:val="32"/>
        </w:rPr>
        <w:outlineLvl w:val="2"/>
      </w:pPr>
      <w:r/>
      <w:bookmarkStart w:id="45" w:name="_Toc120614214"/>
      <w:r/>
      <w:bookmarkStart w:id="46" w:name="_Toc20823275"/>
      <w:r/>
      <w:bookmarkStart w:id="47" w:name="_Toc16938519"/>
      <w:r/>
      <w:bookmarkStart w:id="48" w:name="_Toc513029203"/>
      <w:r>
        <w:rPr>
          <w:rFonts w:hint="eastAsia" w:ascii="Times New Roman" w:hAnsi="Times New Roman"/>
          <w:b/>
          <w:bCs/>
          <w:sz w:val="32"/>
          <w:szCs w:val="32"/>
        </w:rPr>
        <w:t xml:space="preserve">一、总则</w:t>
      </w:r>
      <w:bookmarkEnd w:id="45"/>
      <w:r/>
      <w:bookmarkEnd w:id="46"/>
      <w:r/>
      <w:bookmarkEnd w:id="47"/>
      <w:r/>
      <w:bookmarkEnd w:id="48"/>
      <w:r>
        <w:rPr>
          <w:rFonts w:hint="eastAsia" w:ascii="Times New Roman" w:hAnsi="Times New Roman"/>
          <w:b/>
          <w:bCs/>
          <w:sz w:val="32"/>
          <w:szCs w:val="32"/>
        </w:rPr>
      </w:r>
      <w:r/>
    </w:p>
    <w:p>
      <w:pPr>
        <w:pStyle w:val="656"/>
        <w:ind w:firstLine="420"/>
        <w:keepLines/>
        <w:keepNext/>
        <w:rPr>
          <w:rFonts w:hint="eastAsia" w:ascii="Arial" w:hAnsi="Arial" w:eastAsia="黑体" w:cs="Arial"/>
          <w:sz w:val="28"/>
          <w:szCs w:val="28"/>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54" w:name="_Toc20823277"/>
      <w:r/>
      <w:bookmarkStart w:id="55" w:name="_Toc513029205"/>
      <w:r/>
      <w:bookmarkStart w:id="56" w:name="_Toc16938521"/>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57" w:name="_Toc16938522"/>
      <w:r/>
      <w:bookmarkStart w:id="58" w:name="_Toc20823278"/>
      <w:r/>
      <w:bookmarkStart w:id="59" w:name="_Toc513029206"/>
      <w:r/>
      <w:bookmarkStart w:id="60" w:name="_Toc513029207"/>
      <w:r/>
      <w:bookmarkStart w:id="61" w:name="_Toc20823279"/>
      <w:r/>
      <w:bookmarkStart w:id="62" w:name="_Toc16938523"/>
      <w:r/>
      <w:bookmarkStart w:id="63" w:name="_Toc462564067"/>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rPr>
        <w:t xml:space="preserve">和标准</w:t>
      </w:r>
      <w:r>
        <w:rPr>
          <w:rFonts w:hint="eastAsia" w:ascii="Arial" w:hAnsi="Arial" w:eastAsia="黑体" w:cs="Arial"/>
          <w:sz w:val="28"/>
          <w:szCs w:val="28"/>
        </w:rPr>
      </w:r>
      <w:r/>
    </w:p>
    <w:p>
      <w:pPr>
        <w:pStyle w:val="656"/>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656"/>
        <w:ind w:firstLine="420"/>
        <w:spacing w:line="400" w:lineRule="exact"/>
        <w:rPr>
          <w:rFonts w:hint="eastAsia" w:ascii="宋体" w:hAnsi="宋体"/>
          <w:sz w:val="24"/>
          <w:szCs w:val="21"/>
        </w:rPr>
      </w:pPr>
      <w:r>
        <w:rPr>
          <w:rFonts w:hint="eastAsia" w:ascii="宋体" w:hAnsi="宋体"/>
          <w:sz w:val="24"/>
          <w:szCs w:val="21"/>
        </w:rPr>
        <w:t xml:space="preserve">3.2  在本项目政府采购活动过程中，如果所执行的标准有更新的，按照最新标准执行。</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4、磋商费用</w:t>
      </w:r>
      <w:bookmarkEnd w:id="60"/>
      <w:r/>
      <w:bookmarkEnd w:id="61"/>
      <w:r/>
      <w:bookmarkEnd w:id="62"/>
      <w:r/>
      <w:bookmarkEnd w:id="63"/>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656"/>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56"/>
        <w:ind w:firstLine="321"/>
        <w:keepLines/>
        <w:keepNext/>
        <w:spacing w:before="156" w:after="156" w:line="360" w:lineRule="auto"/>
        <w:rPr>
          <w:rFonts w:hint="eastAsia" w:ascii="Times New Roman" w:hAnsi="Times New Roman"/>
          <w:b/>
          <w:bCs/>
          <w:sz w:val="32"/>
          <w:szCs w:val="32"/>
        </w:rPr>
        <w:outlineLvl w:val="2"/>
      </w:pPr>
      <w:r/>
      <w:bookmarkStart w:id="64" w:name="_Toc120614215"/>
      <w:r/>
      <w:bookmarkStart w:id="65" w:name="_Toc20823281"/>
      <w:r/>
      <w:bookmarkStart w:id="66" w:name="_Toc16938525"/>
      <w:r/>
      <w:bookmarkStart w:id="67" w:name="_Toc513029209"/>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656"/>
        <w:ind w:firstLine="420"/>
        <w:keepLines/>
        <w:keepNext/>
        <w:rPr>
          <w:rFonts w:hint="eastAsia" w:ascii="Arial" w:hAnsi="Arial" w:eastAsia="黑体" w:cs="Arial"/>
          <w:sz w:val="28"/>
          <w:szCs w:val="28"/>
        </w:rPr>
        <w:outlineLvl w:val="3"/>
      </w:pPr>
      <w:r/>
      <w:bookmarkStart w:id="68" w:name="_Toc16938526"/>
      <w:r/>
      <w:bookmarkStart w:id="69" w:name="_Toc513029210"/>
      <w:r/>
      <w:bookmarkStart w:id="70" w:name="_Toc20823282"/>
      <w:r>
        <w:rPr>
          <w:rFonts w:hint="eastAsia" w:ascii="Arial" w:hAnsi="Arial" w:eastAsia="黑体" w:cs="Arial"/>
          <w:sz w:val="28"/>
          <w:szCs w:val="28"/>
        </w:rPr>
        <w:t xml:space="preserve">6、磋商文件构成</w:t>
      </w:r>
      <w:bookmarkEnd w:id="68"/>
      <w:r/>
      <w:bookmarkEnd w:id="69"/>
      <w:r/>
      <w:bookmarkEnd w:id="70"/>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56"/>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56"/>
        <w:ind w:firstLine="560"/>
        <w:keepLines/>
        <w:keepNext/>
        <w:rPr>
          <w:rFonts w:hint="eastAsia" w:ascii="Arial" w:hAnsi="Arial" w:eastAsia="黑体" w:cs="Arial"/>
          <w:sz w:val="28"/>
          <w:szCs w:val="28"/>
        </w:rPr>
        <w:outlineLvl w:val="3"/>
      </w:pPr>
      <w:r/>
      <w:bookmarkStart w:id="71" w:name="_Toc513029212"/>
      <w:r/>
      <w:bookmarkStart w:id="72" w:name="_Toc20823284"/>
      <w:r/>
      <w:bookmarkStart w:id="73" w:name="_Toc462564071"/>
      <w:r/>
      <w:bookmarkStart w:id="74" w:name="_Toc16938528"/>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656"/>
        <w:ind w:firstLine="482"/>
        <w:keepLines/>
        <w:keepNext/>
        <w:spacing w:before="156" w:after="156" w:line="360" w:lineRule="auto"/>
        <w:rPr>
          <w:rFonts w:hint="eastAsia" w:ascii="Times New Roman" w:hAnsi="Times New Roman"/>
          <w:b/>
          <w:bCs/>
          <w:sz w:val="32"/>
          <w:szCs w:val="32"/>
        </w:rPr>
        <w:outlineLvl w:val="2"/>
      </w:pPr>
      <w:r/>
      <w:bookmarkStart w:id="75" w:name="_Toc513029213"/>
      <w:r/>
      <w:bookmarkStart w:id="76" w:name="_Toc20823285"/>
      <w:r/>
      <w:bookmarkStart w:id="77" w:name="_Toc120614216"/>
      <w:r/>
      <w:bookmarkStart w:id="78" w:name="_Toc462564072"/>
      <w:r/>
      <w:bookmarkStart w:id="79" w:name="_Toc16938529"/>
      <w:r>
        <w:rPr>
          <w:rFonts w:hint="eastAsia" w:ascii="Times New Roman" w:hAnsi="Times New Roman"/>
          <w:b/>
          <w:bCs/>
          <w:sz w:val="32"/>
          <w:szCs w:val="32"/>
        </w:rPr>
        <w:t xml:space="preserve">三、响应文件的编制</w:t>
      </w:r>
      <w:bookmarkEnd w:id="75"/>
      <w:r/>
      <w:bookmarkEnd w:id="76"/>
      <w:r/>
      <w:bookmarkEnd w:id="77"/>
      <w:r/>
      <w:bookmarkEnd w:id="78"/>
      <w:r/>
      <w:bookmarkEnd w:id="79"/>
      <w:r>
        <w:rPr>
          <w:rFonts w:hint="eastAsia" w:ascii="Times New Roman" w:hAnsi="Times New Roman"/>
          <w:b/>
          <w:bCs/>
          <w:sz w:val="32"/>
          <w:szCs w:val="32"/>
        </w:rPr>
      </w:r>
      <w:r/>
    </w:p>
    <w:p>
      <w:pPr>
        <w:pStyle w:val="656"/>
        <w:ind w:firstLine="560"/>
        <w:keepLines/>
        <w:keepNext/>
        <w:rPr>
          <w:rFonts w:hint="eastAsia" w:ascii="Arial" w:hAnsi="Arial" w:eastAsia="黑体" w:cs="Arial"/>
          <w:b/>
          <w:sz w:val="28"/>
          <w:szCs w:val="28"/>
        </w:rPr>
        <w:outlineLvl w:val="3"/>
      </w:pPr>
      <w:r/>
      <w:bookmarkStart w:id="80" w:name="_Toc16938530"/>
      <w:r/>
      <w:bookmarkStart w:id="81" w:name="_Toc513029214"/>
      <w:r/>
      <w:bookmarkStart w:id="82" w:name="_Toc462564073"/>
      <w:r/>
      <w:bookmarkStart w:id="83" w:name="_Toc20823286"/>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Pr>
          <w:rFonts w:hint="eastAsia" w:ascii="Arial" w:hAnsi="Arial" w:eastAsia="黑体" w:cs="Arial"/>
          <w:b/>
          <w:sz w:val="28"/>
          <w:szCs w:val="28"/>
        </w:rPr>
      </w:r>
      <w:r/>
    </w:p>
    <w:p>
      <w:pPr>
        <w:pStyle w:val="656"/>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6"/>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84" w:name="_Toc16938531"/>
      <w:r/>
      <w:bookmarkStart w:id="85" w:name="_Toc462564074"/>
      <w:r/>
      <w:bookmarkStart w:id="86" w:name="_Toc513029215"/>
      <w:r/>
      <w:bookmarkStart w:id="87" w:name="_Toc20823287"/>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Pr>
          <w:rFonts w:hint="eastAsia" w:ascii="Arial" w:hAnsi="Arial" w:eastAsia="黑体" w:cs="Arial"/>
          <w:sz w:val="28"/>
          <w:szCs w:val="28"/>
        </w:rPr>
      </w:r>
      <w:r/>
    </w:p>
    <w:p>
      <w:pPr>
        <w:pStyle w:val="656"/>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656"/>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Start w:id="88" w:name="_Hlt26670360"/>
      <w:r/>
      <w:bookmarkEnd w:id="88"/>
      <w:r/>
      <w:bookmarkStart w:id="89" w:name="_Hlt26668975"/>
      <w:r/>
      <w:bookmarkEnd w:id="89"/>
      <w:r/>
      <w:bookmarkStart w:id="90" w:name="_Hlt26954838"/>
      <w:r/>
      <w:bookmarkEnd w:id="90"/>
      <w:r/>
      <w:bookmarkStart w:id="91" w:name="_Toc14577357"/>
      <w:r/>
      <w:bookmarkStart w:id="92" w:name="_Toc49090509"/>
      <w:r/>
      <w:bookmarkStart w:id="93" w:name="_Toc513029219"/>
      <w:r/>
      <w:bookmarkStart w:id="94" w:name="_Toc513029216"/>
      <w:r/>
      <w:bookmarkStart w:id="95" w:name="_Toc49090507"/>
      <w:r/>
      <w:bookmarkStart w:id="96" w:name="_Toc14577354"/>
      <w:r/>
      <w:bookmarkStart w:id="97" w:name="_Toc14577355"/>
      <w:r/>
      <w:bookmarkStart w:id="98" w:name="_Toc490905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1"/>
      <w:r/>
      <w:bookmarkEnd w:id="92"/>
      <w:r/>
      <w:bookmarkEnd w:id="93"/>
      <w:r>
        <w:rPr>
          <w:rFonts w:hint="eastAsia" w:ascii="Arial" w:hAnsi="Arial" w:eastAsia="黑体" w:cs="Arial"/>
          <w:sz w:val="28"/>
          <w:szCs w:val="28"/>
        </w:rPr>
      </w:r>
      <w:r/>
    </w:p>
    <w:p>
      <w:pPr>
        <w:pStyle w:val="656"/>
        <w:spacing w:line="480" w:lineRule="exact"/>
        <w:rPr>
          <w:rFonts w:hint="eastAsia" w:ascii="宋体" w:hAnsi="宋体"/>
          <w:sz w:val="24"/>
          <w:szCs w:val="24"/>
        </w:rPr>
      </w:pPr>
      <w:r/>
      <w:bookmarkEnd w:id="94"/>
      <w:r/>
      <w:bookmarkEnd w:id="95"/>
      <w:r/>
      <w:bookmarkEnd w:id="9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End w:id="97"/>
      <w:r/>
      <w:bookmarkEnd w:id="98"/>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99" w:name="_Hlt26954846"/>
      <w:r/>
      <w:bookmarkEnd w:id="99"/>
      <w:r/>
      <w:bookmarkStart w:id="100" w:name="_Hlt26670482"/>
      <w:r/>
      <w:bookmarkEnd w:id="100"/>
      <w:r/>
      <w:bookmarkStart w:id="101" w:name="_Hlt26670486"/>
      <w:r/>
      <w:bookmarkEnd w:id="101"/>
      <w:r/>
      <w:bookmarkStart w:id="102" w:name="_Hlt26954731"/>
      <w:r/>
      <w:bookmarkEnd w:id="102"/>
      <w:r/>
      <w:bookmarkStart w:id="103" w:name="_Hlt26954848"/>
      <w:r/>
      <w:bookmarkEnd w:id="10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656"/>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656"/>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104" w:name="_Toc49090510"/>
      <w:r/>
      <w:bookmarkStart w:id="105"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656"/>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bookmarkEnd w:id="104"/>
      <w:r/>
      <w:bookmarkEnd w:id="105"/>
      <w:r/>
      <w:bookmarkStart w:id="106" w:name="_Toc49090511"/>
      <w:r/>
      <w:bookmarkStart w:id="107"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6"/>
      <w:r/>
      <w:bookmarkEnd w:id="107"/>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6"/>
        <w:ind w:firstLine="482"/>
        <w:keepLines/>
        <w:keepNext/>
        <w:spacing w:before="156" w:after="156" w:line="360" w:lineRule="auto"/>
        <w:rPr>
          <w:rFonts w:hint="eastAsia" w:ascii="Times New Roman" w:hAnsi="Times New Roman"/>
          <w:b/>
          <w:bCs/>
          <w:sz w:val="32"/>
          <w:szCs w:val="32"/>
        </w:rPr>
        <w:outlineLvl w:val="2"/>
      </w:pPr>
      <w:r/>
      <w:bookmarkStart w:id="108" w:name="_Hlt26954739"/>
      <w:r/>
      <w:bookmarkEnd w:id="108"/>
      <w:r/>
      <w:bookmarkStart w:id="109" w:name="_Hlt26954852"/>
      <w:r/>
      <w:bookmarkEnd w:id="109"/>
      <w:r/>
      <w:bookmarkStart w:id="110" w:name="_Toc120614217"/>
      <w:r/>
      <w:bookmarkStart w:id="111" w:name="_Toc513029224"/>
      <w:r/>
      <w:bookmarkStart w:id="112" w:name="_Toc20823296"/>
      <w:r/>
      <w:bookmarkStart w:id="113" w:name="_Toc16938540"/>
      <w:r>
        <w:rPr>
          <w:rFonts w:hint="eastAsia" w:ascii="Times New Roman" w:hAnsi="Times New Roman"/>
          <w:b/>
          <w:bCs/>
          <w:sz w:val="32"/>
          <w:szCs w:val="32"/>
        </w:rPr>
        <w:t xml:space="preserve">四、响应文件的递交</w:t>
      </w:r>
      <w:bookmarkEnd w:id="110"/>
      <w:r/>
      <w:bookmarkEnd w:id="111"/>
      <w:r/>
      <w:bookmarkEnd w:id="112"/>
      <w:r/>
      <w:bookmarkEnd w:id="113"/>
      <w:r>
        <w:rPr>
          <w:rFonts w:hint="eastAsia" w:ascii="Times New Roman" w:hAnsi="Times New Roman"/>
          <w:b/>
          <w:bCs/>
          <w:sz w:val="32"/>
          <w:szCs w:val="32"/>
        </w:rPr>
      </w:r>
      <w:r/>
    </w:p>
    <w:p>
      <w:pPr>
        <w:pStyle w:val="656"/>
        <w:ind w:firstLine="560"/>
        <w:keepLines/>
        <w:keepNext/>
        <w:rPr>
          <w:rFonts w:hint="eastAsia" w:ascii="黑体" w:hAnsi="Arial" w:eastAsia="黑体" w:cs="Arial"/>
          <w:sz w:val="28"/>
          <w:szCs w:val="28"/>
        </w:rPr>
        <w:outlineLvl w:val="3"/>
      </w:pPr>
      <w:r/>
      <w:bookmarkStart w:id="114" w:name="_Toc16938541"/>
      <w:r/>
      <w:bookmarkStart w:id="115" w:name="_Toc513029225"/>
      <w:r/>
      <w:bookmarkStart w:id="116" w:name="_Toc462564084"/>
      <w:r/>
      <w:bookmarkStart w:id="117"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56"/>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8" w:name="_Toc513029226"/>
      <w:r/>
      <w:bookmarkStart w:id="119" w:name="_Toc16938542"/>
      <w:r/>
      <w:bookmarkStart w:id="120" w:name="_Toc20823298"/>
      <w:r>
        <w:rPr>
          <w:rFonts w:ascii="宋体" w:hAnsi="宋体"/>
          <w:bCs/>
          <w:sz w:val="24"/>
          <w:szCs w:val="21"/>
        </w:rPr>
      </w:r>
      <w:r/>
    </w:p>
    <w:p>
      <w:pPr>
        <w:pStyle w:val="656"/>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Pr>
          <w:rFonts w:hint="eastAsia" w:ascii="宋体" w:hAnsi="宋体" w:eastAsia="黑体" w:cs="Arial"/>
          <w:bCs/>
          <w:sz w:val="24"/>
          <w:szCs w:val="28"/>
        </w:rPr>
      </w:r>
      <w:r/>
    </w:p>
    <w:p>
      <w:pPr>
        <w:pStyle w:val="656"/>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21" w:name="_Toc20823299"/>
      <w:r/>
      <w:bookmarkStart w:id="122" w:name="_Toc16938543"/>
      <w:r/>
      <w:bookmarkStart w:id="123"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6"/>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656"/>
        <w:ind w:firstLine="420"/>
        <w:keepLines/>
        <w:keepNext/>
        <w:rPr>
          <w:rFonts w:hint="eastAsia" w:ascii="Arial" w:hAnsi="Arial" w:eastAsia="黑体" w:cs="Arial"/>
          <w:sz w:val="28"/>
          <w:szCs w:val="28"/>
        </w:rPr>
        <w:outlineLvl w:val="3"/>
      </w:pPr>
      <w:r/>
      <w:bookmarkStart w:id="124" w:name="_Toc513029228"/>
      <w:r/>
      <w:bookmarkStart w:id="125" w:name="_Toc20823300"/>
      <w:r/>
      <w:bookmarkStart w:id="126"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4"/>
      <w:r/>
      <w:bookmarkEnd w:id="125"/>
      <w:r/>
      <w:bookmarkEnd w:id="126"/>
      <w:r>
        <w:rPr>
          <w:rFonts w:hint="eastAsia" w:ascii="Arial" w:hAnsi="Arial" w:eastAsia="黑体" w:cs="Arial"/>
          <w:sz w:val="28"/>
          <w:szCs w:val="28"/>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656"/>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56"/>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656"/>
        <w:ind w:firstLine="482"/>
        <w:keepLines/>
        <w:keepNext/>
        <w:spacing w:before="156" w:after="156" w:line="360" w:lineRule="auto"/>
        <w:rPr>
          <w:rFonts w:hint="eastAsia" w:ascii="Times New Roman" w:hAnsi="Times New Roman"/>
          <w:b/>
          <w:bCs/>
          <w:sz w:val="32"/>
          <w:szCs w:val="32"/>
        </w:rPr>
        <w:outlineLvl w:val="2"/>
      </w:pPr>
      <w:r/>
      <w:bookmarkStart w:id="127" w:name="_Toc20823301"/>
      <w:r/>
      <w:bookmarkStart w:id="128" w:name="_Toc513029229"/>
      <w:r/>
      <w:bookmarkStart w:id="129" w:name="_Toc16938545"/>
      <w:r/>
      <w:bookmarkStart w:id="130" w:name="_Toc120614218"/>
      <w:r>
        <w:rPr>
          <w:rFonts w:hint="eastAsia" w:ascii="Times New Roman" w:hAnsi="Times New Roman"/>
          <w:b/>
          <w:bCs/>
          <w:sz w:val="32"/>
          <w:szCs w:val="32"/>
        </w:rPr>
        <w:t xml:space="preserve">五、响应文件的解密与评审</w:t>
      </w:r>
      <w:bookmarkEnd w:id="127"/>
      <w:r/>
      <w:bookmarkEnd w:id="128"/>
      <w:r/>
      <w:bookmarkEnd w:id="129"/>
      <w:r/>
      <w:bookmarkEnd w:id="130"/>
      <w:r>
        <w:rPr>
          <w:rFonts w:hint="eastAsia" w:ascii="Times New Roman" w:hAnsi="Times New Roman"/>
          <w:b/>
          <w:bCs/>
          <w:sz w:val="32"/>
          <w:szCs w:val="32"/>
        </w:rPr>
      </w:r>
      <w:r/>
    </w:p>
    <w:p>
      <w:pPr>
        <w:pStyle w:val="656"/>
        <w:ind w:firstLine="420"/>
        <w:keepLines/>
        <w:keepNext/>
        <w:rPr>
          <w:rFonts w:hint="eastAsia" w:ascii="Arial" w:hAnsi="Arial" w:eastAsia="黑体" w:cs="Arial"/>
          <w:sz w:val="28"/>
          <w:szCs w:val="28"/>
        </w:rPr>
        <w:outlineLvl w:val="3"/>
      </w:pPr>
      <w:r/>
      <w:bookmarkStart w:id="131" w:name="_Toc20823302"/>
      <w:r/>
      <w:bookmarkStart w:id="132" w:name="_Toc513029230"/>
      <w:r/>
      <w:bookmarkStart w:id="133"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6"/>
        <w:ind w:firstLine="360"/>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134" w:name="_Toc20823303"/>
      <w:r/>
      <w:bookmarkStart w:id="135" w:name="_Toc16938547"/>
      <w:r/>
      <w:bookmarkStart w:id="136"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65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656"/>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56"/>
        <w:ind w:firstLine="480"/>
        <w:spacing w:line="500" w:lineRule="exact"/>
        <w:rPr>
          <w:rFonts w:hint="eastAsia" w:ascii="宋体" w:hAnsi="宋体"/>
          <w:bCs/>
          <w:sz w:val="24"/>
          <w:szCs w:val="21"/>
        </w:rPr>
      </w:pPr>
      <w:r/>
      <w:bookmarkEnd w:id="134"/>
      <w:r/>
      <w:bookmarkEnd w:id="135"/>
      <w:r/>
      <w:bookmarkEnd w:id="13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137" w:name="_Toc513029232"/>
      <w:r/>
      <w:bookmarkStart w:id="138" w:name="_Toc20823304"/>
      <w:r/>
      <w:bookmarkStart w:id="139"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37"/>
      <w:r/>
      <w:bookmarkEnd w:id="138"/>
      <w:r/>
      <w:bookmarkEnd w:id="139"/>
      <w:r>
        <w:rPr>
          <w:rFonts w:hint="eastAsia" w:ascii="Arial" w:hAnsi="Arial" w:eastAsia="黑体" w:cs="Arial"/>
          <w:sz w:val="28"/>
          <w:szCs w:val="28"/>
        </w:rPr>
      </w:r>
      <w:r/>
    </w:p>
    <w:p>
      <w:pPr>
        <w:pStyle w:val="656"/>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56"/>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656"/>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6"/>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接到磋商小组澄清、说明和更正要求的供应商如未按规定做出澄清、说明和 更正，其风险由供应商自行承担。</w:t>
      </w:r>
      <w:r>
        <w:rPr>
          <w:rFonts w:hint="eastAsia" w:ascii="宋体" w:hAnsi="宋体"/>
          <w:sz w:val="24"/>
          <w:szCs w:val="24"/>
        </w:rPr>
      </w:r>
      <w:r/>
    </w:p>
    <w:p>
      <w:pPr>
        <w:pStyle w:val="656"/>
        <w:ind w:firstLine="420"/>
        <w:keepLines/>
        <w:keepNext/>
        <w:rPr>
          <w:rFonts w:hint="eastAsia" w:ascii="Arial" w:hAnsi="Arial" w:eastAsia="黑体" w:cs="Arial"/>
          <w:sz w:val="28"/>
          <w:szCs w:val="28"/>
        </w:rPr>
        <w:outlineLvl w:val="3"/>
      </w:pPr>
      <w:r/>
      <w:bookmarkStart w:id="140" w:name="_Toc20823305"/>
      <w:r/>
      <w:bookmarkStart w:id="141" w:name="_Toc16938549"/>
      <w:r/>
      <w:bookmarkStart w:id="142"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rPr>
          <w:rFonts w:hint="eastAsia" w:ascii="Arial" w:hAnsi="Arial" w:eastAsia="黑体" w:cs="Arial"/>
          <w:sz w:val="28"/>
          <w:szCs w:val="28"/>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656"/>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25.3.10 供应商所提供的服务不符合磋商文件中所列国家强制性标准的。</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656"/>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656"/>
        <w:ind w:firstLine="480"/>
        <w:spacing w:line="460" w:lineRule="exact"/>
        <w:rPr>
          <w:rFonts w:hint="eastAsia" w:ascii="宋体" w:hAnsi="宋体"/>
          <w:sz w:val="24"/>
          <w:szCs w:val="21"/>
        </w:rPr>
      </w:pPr>
      <w:r/>
      <w:bookmarkStart w:id="143" w:name="_Toc16938550"/>
      <w:r/>
      <w:bookmarkStart w:id="144" w:name="_Toc513029234"/>
      <w:r/>
      <w:bookmarkStart w:id="145" w:name="_Toc20823306"/>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65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磋商程序及评审方法与评审标准</w:t>
      </w:r>
      <w:r>
        <w:rPr>
          <w:rFonts w:hint="eastAsia" w:ascii="Arial" w:hAnsi="Arial" w:eastAsia="黑体" w:cs="Arial"/>
          <w:sz w:val="28"/>
          <w:szCs w:val="28"/>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656"/>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656"/>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26.1.4 异常低价响应审查</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26.1.4.1 评审过程中出现下列情形之一的，磋商小组应当启动异常低价响应审查程序：</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（1）响应报价低于全部通过符合性审查供应商响应报价平均值</w:t>
      </w:r>
      <w:r>
        <w:rPr>
          <w:rFonts w:hint="eastAsia" w:ascii="宋体" w:hAnsi="宋体" w:cs="宋体"/>
          <w:sz w:val="24"/>
          <w:szCs w:val="21"/>
          <w:u w:val="single"/>
        </w:rPr>
        <w:t xml:space="preserve">50%</w:t>
      </w:r>
      <w:r>
        <w:rPr>
          <w:rFonts w:hint="eastAsia" w:ascii="宋体" w:hAnsi="宋体" w:cs="宋体"/>
          <w:sz w:val="24"/>
          <w:szCs w:val="21"/>
        </w:rPr>
        <w:t xml:space="preserve">的，即响应报价&lt;全部通过符合性审查供应商响应报价平均值×</w:t>
      </w:r>
      <w:r>
        <w:rPr>
          <w:rFonts w:hint="eastAsia" w:ascii="宋体" w:hAnsi="宋体" w:cs="宋体"/>
          <w:sz w:val="24"/>
          <w:szCs w:val="21"/>
          <w:u w:val="single"/>
        </w:rPr>
        <w:t xml:space="preserve">50%</w:t>
      </w:r>
      <w:r>
        <w:rPr>
          <w:rFonts w:hint="eastAsia" w:ascii="宋体" w:hAnsi="宋体" w:cs="宋体"/>
          <w:sz w:val="24"/>
          <w:szCs w:val="21"/>
        </w:rPr>
        <w:t xml:space="preserve">；</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（2）响应报价低于通过符合性审查的次低报价供应商响应报价</w:t>
      </w:r>
      <w:r>
        <w:rPr>
          <w:rFonts w:hint="eastAsia" w:ascii="宋体" w:hAnsi="宋体" w:cs="宋体"/>
          <w:sz w:val="24"/>
          <w:szCs w:val="21"/>
          <w:u w:val="single"/>
        </w:rPr>
        <w:t xml:space="preserve">50%</w:t>
      </w:r>
      <w:r>
        <w:rPr>
          <w:rFonts w:hint="eastAsia" w:ascii="宋体" w:hAnsi="宋体" w:cs="宋体"/>
          <w:sz w:val="24"/>
          <w:szCs w:val="21"/>
        </w:rPr>
        <w:t xml:space="preserve">的，即响应报价&lt;通过符合性审查的次低报价供应商响应报价×</w:t>
      </w:r>
      <w:r>
        <w:rPr>
          <w:rFonts w:hint="eastAsia" w:ascii="宋体" w:hAnsi="宋体" w:cs="宋体"/>
          <w:sz w:val="24"/>
          <w:szCs w:val="21"/>
          <w:u w:val="single"/>
        </w:rPr>
        <w:t xml:space="preserve">50%</w:t>
      </w:r>
      <w:r>
        <w:rPr>
          <w:rFonts w:hint="eastAsia" w:ascii="宋体" w:hAnsi="宋体" w:cs="宋体"/>
          <w:sz w:val="24"/>
          <w:szCs w:val="21"/>
        </w:rPr>
        <w:t xml:space="preserve">；</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（3）响应报价低于采购项目最高限价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的，即响应报价&lt;采购项目最高限价×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（4）磋商小组基于专业判断，认为供应商报价过低，有可能影响产品质量或者不能诚信履约的其他情形。</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cs="宋体"/>
          <w:sz w:val="24"/>
          <w:szCs w:val="21"/>
        </w:rPr>
      </w:r>
      <w:r/>
    </w:p>
    <w:p>
      <w:pPr>
        <w:pStyle w:val="656"/>
        <w:ind w:firstLine="420"/>
        <w:spacing w:line="400" w:lineRule="exact"/>
        <w:rPr>
          <w:rFonts w:hint="eastAsia" w:ascii="宋体" w:hAnsi="宋体" w:cs="宋体"/>
          <w:sz w:val="24"/>
          <w:szCs w:val="21"/>
        </w:rPr>
      </w:pPr>
      <w:r>
        <w:rPr>
          <w:rFonts w:hint="eastAsia" w:ascii="宋体" w:hAnsi="宋体" w:cs="宋体"/>
          <w:sz w:val="24"/>
          <w:szCs w:val="21"/>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cs="宋体"/>
          <w:sz w:val="24"/>
          <w:szCs w:val="21"/>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评审方法与评审标准</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656"/>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656"/>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656"/>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656"/>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656"/>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656"/>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56"/>
        <w:ind w:firstLine="482"/>
        <w:keepLines/>
        <w:keepNext/>
        <w:spacing w:before="156" w:after="156" w:line="360" w:lineRule="auto"/>
        <w:rPr>
          <w:rFonts w:hint="eastAsia" w:ascii="Times New Roman" w:hAnsi="Times New Roman"/>
          <w:b/>
          <w:bCs/>
          <w:sz w:val="32"/>
          <w:szCs w:val="32"/>
        </w:rPr>
        <w:outlineLvl w:val="2"/>
      </w:pPr>
      <w:r/>
      <w:bookmarkStart w:id="146" w:name="_Toc513029235"/>
      <w:r/>
      <w:bookmarkStart w:id="147" w:name="_Toc20823307"/>
      <w:r/>
      <w:bookmarkStart w:id="148" w:name="_Toc120614219"/>
      <w:r/>
      <w:bookmarkStart w:id="149" w:name="_Toc16938551"/>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656"/>
        <w:ind w:firstLine="600"/>
        <w:keepLines/>
        <w:keepNext/>
        <w:rPr>
          <w:rFonts w:hint="eastAsia" w:ascii="黑体" w:hAnsi="宋体" w:eastAsia="黑体"/>
          <w:bCs/>
          <w:sz w:val="30"/>
          <w:szCs w:val="30"/>
        </w:rPr>
        <w:outlineLvl w:val="3"/>
      </w:pPr>
      <w:r/>
      <w:bookmarkStart w:id="150" w:name="_Toc513029238"/>
      <w:r/>
      <w:bookmarkStart w:id="151" w:name="_Toc16938554"/>
      <w:r/>
      <w:bookmarkStart w:id="152"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rPr>
          <w:rFonts w:hint="eastAsia" w:ascii="黑体" w:hAnsi="宋体" w:eastAsia="黑体"/>
          <w:bCs/>
          <w:sz w:val="30"/>
          <w:szCs w:val="30"/>
        </w:rPr>
      </w:r>
      <w:r/>
    </w:p>
    <w:p>
      <w:pPr>
        <w:pStyle w:val="656"/>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656"/>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656"/>
        <w:ind w:firstLine="600"/>
        <w:keepLines/>
        <w:keepNex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56"/>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56"/>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656"/>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656"/>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56"/>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56"/>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6"/>
        <w:keepLines/>
        <w:keepNext/>
        <w:spacing w:before="156" w:after="156" w:line="360" w:lineRule="auto"/>
        <w:rPr>
          <w:rFonts w:hint="eastAsia" w:ascii="Times New Roman" w:hAnsi="Times New Roman"/>
          <w:b/>
          <w:bCs/>
          <w:sz w:val="32"/>
          <w:szCs w:val="32"/>
        </w:rPr>
        <w:outlineLvl w:val="2"/>
      </w:pPr>
      <w:r/>
      <w:bookmarkStart w:id="154" w:name="_Toc120614220"/>
      <w:r/>
      <w:bookmarkStart w:id="155" w:name="_Toc513029236"/>
      <w:r/>
      <w:bookmarkStart w:id="156" w:name="_Toc20823308"/>
      <w:r/>
      <w:bookmarkStart w:id="157" w:name="_Toc16938552"/>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656"/>
        <w:ind w:firstLine="600"/>
        <w:keepLines/>
        <w:keepNext/>
        <w:rPr>
          <w:rFonts w:hint="eastAsia" w:ascii="黑体" w:hAnsi="宋体" w:eastAsia="黑体"/>
          <w:bCs/>
          <w:sz w:val="30"/>
          <w:szCs w:val="30"/>
        </w:rPr>
        <w:outlineLvl w:val="3"/>
      </w:pPr>
      <w:r/>
      <w:bookmarkEnd w:id="155"/>
      <w:r/>
      <w:bookmarkEnd w:id="156"/>
      <w:r/>
      <w:bookmarkEnd w:id="157"/>
      <w:r/>
      <w:bookmarkStart w:id="158" w:name="_Toc513029237"/>
      <w:r/>
      <w:bookmarkStart w:id="159" w:name="_Toc20823309"/>
      <w:r/>
      <w:bookmarkStart w:id="160"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56"/>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5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6"/>
        <w:ind w:firstLine="600"/>
        <w:keepLines/>
        <w:keepNext/>
        <w:rPr>
          <w:rFonts w:ascii="黑体" w:hAnsi="宋体" w:eastAsia="黑体"/>
          <w:bCs/>
          <w:sz w:val="30"/>
          <w:szCs w:val="30"/>
        </w:rPr>
        <w:outlineLvl w:val="3"/>
      </w:pPr>
      <w:r/>
      <w:bookmarkEnd w:id="158"/>
      <w:r/>
      <w:bookmarkEnd w:id="159"/>
      <w:r/>
      <w:bookmarkEnd w:id="160"/>
      <w:r/>
      <w:bookmarkStart w:id="161" w:name="_Toc120614221"/>
      <w:r/>
      <w:bookmarkStart w:id="162" w:name="_Toc479757207"/>
      <w:r/>
      <w:bookmarkStart w:id="163" w:name="_Toc513029242"/>
      <w:r/>
      <w:bookmarkStart w:id="164" w:name="_Toc16938558"/>
      <w:r/>
      <w:bookmarkStart w:id="165" w:name="_Toc20823314"/>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6"/>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6"/>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1"/>
      <w:r/>
      <w:bookmarkEnd w:id="162"/>
      <w:r/>
      <w:bookmarkEnd w:id="163"/>
      <w:r/>
      <w:bookmarkEnd w:id="164"/>
      <w:r/>
      <w:bookmarkEnd w:id="165"/>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56"/>
        <w:jc w:val="center"/>
        <w:spacing w:before="156" w:after="156"/>
        <w:rPr>
          <w:rFonts w:ascii="宋体" w:hAnsi="宋体"/>
          <w:b/>
          <w:sz w:val="30"/>
          <w:szCs w:val="21"/>
        </w:rPr>
        <w:outlineLvl w:val="0"/>
      </w:pPr>
      <w:r/>
      <w:bookmarkStart w:id="166" w:name="_Toc513029243"/>
      <w:r/>
      <w:bookmarkStart w:id="167" w:name="_Toc16938559"/>
      <w:r/>
      <w:bookmarkStart w:id="168" w:name="_Toc20823315"/>
      <w:r>
        <w:rPr>
          <w:rFonts w:hint="eastAsia" w:ascii="宋体" w:hAnsi="宋体"/>
          <w:b/>
          <w:sz w:val="30"/>
          <w:szCs w:val="21"/>
        </w:rPr>
        <w:t xml:space="preserve">江苏省政府采购合同（合同编号）</w:t>
      </w:r>
      <w:r>
        <w:rPr>
          <w:rFonts w:ascii="宋体" w:hAnsi="宋体"/>
          <w:b/>
          <w:sz w:val="30"/>
          <w:szCs w:val="21"/>
        </w:rPr>
      </w:r>
      <w:r/>
    </w:p>
    <w:p>
      <w:pPr>
        <w:pStyle w:val="656"/>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656"/>
        <w:spacing w:before="120" w:after="120"/>
        <w:rPr>
          <w:rFonts w:ascii="宋体" w:hAnsi="宋体" w:cs="Courier New"/>
          <w:sz w:val="24"/>
          <w:szCs w:val="24"/>
        </w:rPr>
      </w:pPr>
      <w:r>
        <w:rPr>
          <w:rFonts w:ascii="宋体" w:hAnsi="宋体" w:cs="Courier New"/>
          <w:sz w:val="24"/>
          <w:szCs w:val="24"/>
        </w:rPr>
        <w:t xml:space="preserve">项目名称： ****                                    </w:t>
      </w:r>
      <w:r>
        <w:rPr>
          <w:rFonts w:ascii="宋体" w:hAnsi="宋体" w:cs="Courier New"/>
          <w:sz w:val="24"/>
          <w:szCs w:val="24"/>
        </w:rPr>
      </w:r>
      <w:r/>
    </w:p>
    <w:p>
      <w:pPr>
        <w:pStyle w:val="656"/>
        <w:spacing w:before="120" w:after="120"/>
        <w:rPr>
          <w:rFonts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rPr>
          <w:rFonts w:ascii="宋体" w:hAnsi="宋体" w:cs="Courier New"/>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656"/>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56"/>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56"/>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56"/>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56"/>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56"/>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56"/>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56"/>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56"/>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656"/>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656"/>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656"/>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656"/>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6"/>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56"/>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656"/>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56"/>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56"/>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656"/>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预付款支付时间：合同签订后，在采购人收到发票后</w:t>
      </w:r>
      <w:r>
        <w:rPr>
          <w:rFonts w:ascii="宋体" w:hAnsi="宋体"/>
          <w:color w:val="000000"/>
          <w:sz w:val="24"/>
          <w:szCs w:val="24"/>
        </w:rPr>
        <w:t xml:space="preserve">20</w:t>
      </w:r>
      <w:r>
        <w:rPr>
          <w:rFonts w:hint="eastAsia" w:ascii="宋体" w:hAnsi="宋体"/>
          <w:color w:val="000000"/>
          <w:sz w:val="24"/>
          <w:szCs w:val="24"/>
        </w:rPr>
        <w:t xml:space="preserve">日内，预付款支付比例：合同金额的50%。</w:t>
      </w:r>
      <w:r>
        <w:rPr>
          <w:rFonts w:hint="eastAsia" w:ascii="宋体" w:hAnsi="宋体"/>
          <w:color w:val="000000"/>
          <w:sz w:val="24"/>
          <w:szCs w:val="24"/>
        </w:rPr>
      </w:r>
      <w:r/>
    </w:p>
    <w:p>
      <w:pPr>
        <w:pStyle w:val="656"/>
        <w:spacing w:before="156" w:after="156"/>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尾款支付时间：通过采购人组织验后，在采购人收到发票后</w:t>
      </w:r>
      <w:r>
        <w:rPr>
          <w:rFonts w:ascii="宋体" w:hAnsi="宋体"/>
          <w:color w:val="000000"/>
          <w:sz w:val="24"/>
          <w:szCs w:val="24"/>
        </w:rPr>
        <w:t xml:space="preserve">2</w:t>
      </w:r>
      <w:r>
        <w:rPr>
          <w:rFonts w:hint="eastAsia" w:ascii="宋体" w:hAnsi="宋体"/>
          <w:color w:val="000000"/>
          <w:sz w:val="24"/>
          <w:szCs w:val="24"/>
        </w:rPr>
        <w:t xml:space="preserve">0日内，支付剩余款项。</w:t>
      </w:r>
      <w:r>
        <w:rPr>
          <w:rFonts w:hint="eastAsia" w:ascii="宋体" w:hAnsi="宋体"/>
          <w:color w:val="000000"/>
          <w:sz w:val="24"/>
          <w:szCs w:val="24"/>
        </w:rPr>
      </w:r>
      <w:r/>
    </w:p>
    <w:p>
      <w:pPr>
        <w:pStyle w:val="656"/>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6"/>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656"/>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56"/>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56"/>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56"/>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656"/>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56"/>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656"/>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656"/>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56"/>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56"/>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56"/>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56"/>
        <w:ind w:firstLine="420"/>
        <w:spacing w:line="500" w:lineRule="exact"/>
        <w:rPr>
          <w:rFonts w:ascii="Times New Roman" w:hAnsi="Times New Roman"/>
          <w:sz w:val="24"/>
          <w:szCs w:val="24"/>
        </w:rPr>
      </w:pPr>
      <w:r>
        <w:rPr>
          <w:rFonts w:hint="eastAsia" w:ascii="Times New Roman" w:hAnsi="Times New Roman"/>
          <w:szCs w:val="21"/>
        </w:rPr>
        <w:t xml:space="preserve">                                      </w:t>
      </w: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656"/>
        <w:jc w:val="center"/>
        <w:spacing w:before="120" w:after="120" w:line="0" w:lineRule="atLeast"/>
        <w:rPr>
          <w:rFonts w:hint="eastAsia" w:ascii="黑体" w:hAnsi="Courier New" w:eastAsia="黑体" w:cs="Courier New"/>
          <w:bCs/>
          <w:sz w:val="44"/>
          <w:szCs w:val="21"/>
        </w:rPr>
      </w:pPr>
      <w:r/>
      <w:bookmarkEnd w:id="166"/>
      <w:r/>
      <w:bookmarkEnd w:id="167"/>
      <w:r/>
      <w:bookmarkEnd w:id="168"/>
      <w:r/>
      <w:bookmarkStart w:id="169" w:name="_Hlt16619369"/>
      <w:r/>
      <w:bookmarkEnd w:id="169"/>
      <w:r/>
      <w:bookmarkStart w:id="170" w:name="_Hlt16619350"/>
      <w:r/>
      <w:bookmarkStart w:id="171" w:name="_Toc120614244"/>
      <w:r/>
      <w:bookmarkStart w:id="172" w:name="_Toc16938590"/>
      <w:r/>
      <w:bookmarkStart w:id="173" w:name="_Toc20823346"/>
      <w:r/>
      <w:bookmarkStart w:id="174" w:name="_Toc462564139"/>
      <w:r/>
      <w:bookmarkStart w:id="175" w:name="_Toc479757211"/>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四章 采购需求</w:t>
      </w:r>
      <w:bookmarkEnd w:id="171"/>
      <w:r/>
      <w:bookmarkEnd w:id="172"/>
      <w:r/>
      <w:bookmarkEnd w:id="173"/>
      <w:r/>
      <w:bookmarkStart w:id="176" w:name="_Toc26554093"/>
      <w:r/>
      <w:bookmarkStart w:id="177" w:name="_Toc49090575"/>
      <w:r>
        <w:rPr>
          <w:rFonts w:hint="eastAsia" w:ascii="黑体" w:hAnsi="Courier New" w:eastAsia="黑体" w:cs="Courier New"/>
          <w:bCs/>
          <w:sz w:val="44"/>
          <w:szCs w:val="21"/>
        </w:rPr>
      </w:r>
      <w:r/>
    </w:p>
    <w:p>
      <w:pPr>
        <w:pStyle w:val="656"/>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91"/>
        <w:gridCol w:w="2852"/>
      </w:tblGrid>
      <w:tr>
        <w:trPr>
          <w:cantSplit/>
        </w:trPr>
        <w:tc>
          <w:tcPr>
            <w:tcW w:w="1056" w:type="dxa"/>
            <w:vAlign w:val="top"/>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329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056" w:type="dxa"/>
            <w:vAlign w:val="top"/>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656"/>
              <w:jc w:val="left"/>
              <w:spacing w:line="0" w:lineRule="atLeast"/>
              <w:tabs>
                <w:tab w:val="left" w:pos="2020" w:leader="none"/>
              </w:tabs>
              <w:rPr>
                <w:rFonts w:ascii="宋体" w:hAnsi="宋体"/>
                <w:sz w:val="24"/>
                <w:szCs w:val="24"/>
              </w:rPr>
            </w:pPr>
            <w:r>
              <w:rPr>
                <w:rFonts w:hint="eastAsia" w:ascii="宋体" w:hAnsi="宋体"/>
                <w:sz w:val="24"/>
                <w:szCs w:val="24"/>
              </w:rPr>
              <w:t xml:space="preserve">省数字交通统一平台一体化政务服务考试模块</w:t>
            </w:r>
            <w:r>
              <w:rPr>
                <w:rFonts w:ascii="宋体" w:hAnsi="宋体"/>
                <w:sz w:val="24"/>
                <w:szCs w:val="24"/>
              </w:rPr>
            </w:r>
            <w:r/>
          </w:p>
        </w:tc>
        <w:tc>
          <w:tcPr>
            <w:tcW w:w="2852" w:type="dxa"/>
            <w:vAlign w:val="top"/>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656"/>
        <w:spacing w:line="0" w:lineRule="atLeast"/>
        <w:rPr>
          <w:rFonts w:ascii="宋体" w:hAnsi="宋体"/>
          <w:b/>
          <w:color w:val="000000"/>
          <w:sz w:val="24"/>
          <w:szCs w:val="24"/>
        </w:rPr>
      </w:pPr>
      <w:r>
        <w:rPr>
          <w:rFonts w:ascii="宋体" w:hAnsi="宋体"/>
          <w:b/>
          <w:color w:val="000000"/>
          <w:sz w:val="24"/>
          <w:szCs w:val="24"/>
        </w:rPr>
      </w:r>
      <w:r/>
    </w:p>
    <w:p>
      <w:pPr>
        <w:pStyle w:val="771"/>
        <w:numPr>
          <w:ilvl w:val="0"/>
          <w:numId w:val="0"/>
        </w:numPr>
        <w:ind w:hanging="141"/>
        <w:rPr>
          <w:rFonts w:hint="eastAsia" w:eastAsia="宋体"/>
          <w:b/>
          <w:color w:val="000000"/>
        </w:rPr>
        <w:outlineLvl w:val="2"/>
      </w:pPr>
      <w:r/>
      <w:bookmarkStart w:id="178" w:name="_Toc226532665"/>
      <w:r>
        <w:rPr>
          <w:rFonts w:hint="eastAsia" w:eastAsia="宋体"/>
          <w:b/>
          <w:color w:val="000000"/>
        </w:rPr>
        <w:t xml:space="preserve">二、项目背景</w:t>
      </w:r>
      <w:bookmarkEnd w:id="178"/>
      <w:r>
        <w:rPr>
          <w:rFonts w:hint="eastAsia" w:eastAsia="宋体"/>
          <w:b/>
          <w:color w:val="000000"/>
        </w:rPr>
      </w:r>
      <w:r/>
    </w:p>
    <w:p>
      <w:pPr>
        <w:pStyle w:val="656"/>
        <w:ind w:firstLine="480"/>
        <w:spacing w:line="360" w:lineRule="auto"/>
        <w:rPr>
          <w:rFonts w:cs="仿宋"/>
          <w:color w:val="000000"/>
          <w:sz w:val="24"/>
          <w:szCs w:val="24"/>
        </w:rPr>
      </w:pPr>
      <w:r>
        <w:rPr>
          <w:rFonts w:hint="eastAsia" w:cs="仿宋"/>
          <w:color w:val="000000"/>
          <w:sz w:val="24"/>
          <w:szCs w:val="24"/>
        </w:rPr>
        <w:t xml:space="preserve">为深入贯彻落实国务院及省级层面关于优化政务服务、提升行政效能、推进“互联网+政务服务”的决策部署，严格对照省厅关于推进政务服务事项全流程“智能网办”工作要求，依托省数字交通统一平台一体化政务服务模块，拓展</w:t>
      </w:r>
      <w:r>
        <w:rPr>
          <w:rFonts w:cs="仿宋"/>
          <w:color w:val="000000"/>
          <w:sz w:val="24"/>
          <w:szCs w:val="24"/>
        </w:rPr>
        <w:t xml:space="preserve">PC</w:t>
      </w:r>
      <w:r>
        <w:rPr>
          <w:rFonts w:hint="eastAsia" w:cs="仿宋"/>
          <w:color w:val="000000"/>
          <w:sz w:val="24"/>
          <w:szCs w:val="24"/>
        </w:rPr>
        <w:t xml:space="preserve">端考试功能，支撑交通运输政务服务资质类从业人员考试扎口统一管理。</w:t>
      </w:r>
      <w:r>
        <w:rPr>
          <w:rFonts w:cs="仿宋"/>
          <w:color w:val="000000"/>
          <w:sz w:val="24"/>
          <w:szCs w:val="24"/>
        </w:rPr>
      </w:r>
      <w:r/>
    </w:p>
    <w:p>
      <w:pPr>
        <w:pStyle w:val="771"/>
        <w:numPr>
          <w:ilvl w:val="0"/>
          <w:numId w:val="0"/>
        </w:numPr>
        <w:ind w:hanging="141"/>
        <w:rPr>
          <w:rFonts w:eastAsia="宋体"/>
          <w:b/>
          <w:color w:val="000000"/>
        </w:rPr>
        <w:outlineLvl w:val="2"/>
      </w:pPr>
      <w:r/>
      <w:bookmarkStart w:id="179" w:name="_Toc226532666"/>
      <w:r>
        <w:rPr>
          <w:rFonts w:hint="eastAsia" w:eastAsia="宋体"/>
          <w:b/>
          <w:color w:val="000000"/>
        </w:rPr>
        <w:t xml:space="preserve">三、履约能力要求</w:t>
      </w:r>
      <w:bookmarkEnd w:id="179"/>
      <w:r>
        <w:rPr>
          <w:rFonts w:eastAsia="宋体"/>
          <w:b/>
          <w:color w:val="000000"/>
        </w:rPr>
      </w:r>
      <w:r/>
    </w:p>
    <w:p>
      <w:pPr>
        <w:pStyle w:val="772"/>
        <w:spacing w:line="500" w:lineRule="exact"/>
        <w:rPr>
          <w:rFonts w:hint="eastAsia" w:eastAsia="宋体" w:cs="仿宋"/>
          <w:color w:val="000000"/>
          <w:sz w:val="24"/>
          <w:szCs w:val="24"/>
        </w:rPr>
      </w:pPr>
      <w:r>
        <w:rPr>
          <w:rFonts w:hint="eastAsia" w:eastAsia="宋体" w:cs="仿宋"/>
          <w:color w:val="000000"/>
          <w:sz w:val="24"/>
          <w:szCs w:val="24"/>
        </w:rPr>
        <w:t xml:space="preserve">1、供应商应具有相应</w:t>
      </w:r>
      <w:r>
        <w:rPr>
          <w:rFonts w:eastAsia="宋体" w:cs="仿宋"/>
          <w:color w:val="000000"/>
          <w:sz w:val="24"/>
          <w:szCs w:val="24"/>
        </w:rPr>
        <w:t xml:space="preserve">的</w:t>
      </w:r>
      <w:r>
        <w:rPr>
          <w:rFonts w:hint="eastAsia" w:eastAsia="宋体" w:cs="仿宋"/>
          <w:color w:val="000000"/>
          <w:sz w:val="24"/>
          <w:szCs w:val="24"/>
        </w:rPr>
        <w:t xml:space="preserve">管理资质</w:t>
      </w:r>
      <w:r>
        <w:rPr>
          <w:rFonts w:eastAsia="宋体" w:cs="仿宋"/>
          <w:color w:val="000000"/>
          <w:sz w:val="24"/>
          <w:szCs w:val="24"/>
        </w:rPr>
        <w:t xml:space="preserve">证书</w:t>
      </w:r>
      <w:r>
        <w:rPr>
          <w:rFonts w:hint="eastAsia" w:eastAsia="宋体" w:cs="仿宋"/>
          <w:color w:val="000000"/>
          <w:sz w:val="24"/>
          <w:szCs w:val="24"/>
        </w:rPr>
        <w:t xml:space="preserve">，包含有效期内的ISO9001质量管理体系认证证书、有效期内的ISO27001信息安全管理体系认证证书、有效期内的ISO20000信息技术服务管理体系认证证书。建立相关规范完整的开发流程，按照要求及时输出各阶段开发文档。使用科学工具管理项目计划与进度、需求跟踪、缺陷预防、风险管理和缺陷闭环跟踪等事务。</w:t>
      </w:r>
      <w:r>
        <w:rPr>
          <w:rFonts w:hint="eastAsia" w:eastAsia="宋体" w:cs="仿宋"/>
          <w:color w:val="000000"/>
          <w:sz w:val="24"/>
          <w:szCs w:val="24"/>
        </w:rPr>
      </w:r>
      <w:r/>
    </w:p>
    <w:p>
      <w:pPr>
        <w:pStyle w:val="772"/>
        <w:spacing w:line="500" w:lineRule="exact"/>
        <w:rPr>
          <w:rFonts w:eastAsia="宋体" w:cs="仿宋"/>
          <w:color w:val="000000"/>
          <w:sz w:val="24"/>
          <w:szCs w:val="24"/>
        </w:rPr>
      </w:pPr>
      <w:r>
        <w:rPr>
          <w:rFonts w:hint="eastAsia" w:eastAsia="宋体" w:cs="仿宋"/>
          <w:color w:val="000000"/>
          <w:sz w:val="24"/>
          <w:szCs w:val="24"/>
        </w:rPr>
        <w:t xml:space="preserve">2、供应商为本项目配置专职项目经理、需求人员、开发人员、测试人员和运维人员等项目角色，项目经理应具有相应</w:t>
      </w:r>
      <w:r>
        <w:rPr>
          <w:rFonts w:eastAsia="宋体" w:cs="仿宋"/>
          <w:color w:val="000000"/>
          <w:sz w:val="24"/>
          <w:szCs w:val="24"/>
        </w:rPr>
        <w:t xml:space="preserve">的项目</w:t>
      </w:r>
      <w:r>
        <w:rPr>
          <w:rFonts w:hint="eastAsia" w:eastAsia="宋体" w:cs="仿宋"/>
          <w:color w:val="000000"/>
          <w:sz w:val="24"/>
          <w:szCs w:val="24"/>
        </w:rPr>
        <w:t xml:space="preserve">管理资质具有信息系统项目管理师证书（人力资源和社会保障部与工业和信息化部联合颁发）、系统分析师证书（高级（人力资源和社会保障部与工业和信息化部联合颁发）），团队成员应具有相应的</w:t>
      </w:r>
      <w:r>
        <w:rPr>
          <w:rFonts w:eastAsia="宋体" w:cs="仿宋"/>
          <w:color w:val="000000"/>
          <w:sz w:val="24"/>
          <w:szCs w:val="24"/>
        </w:rPr>
        <w:t xml:space="preserve">专业技术能力。</w:t>
      </w:r>
      <w:r>
        <w:rPr>
          <w:rFonts w:hint="eastAsia" w:eastAsia="宋体" w:cs="仿宋"/>
          <w:color w:val="000000"/>
          <w:sz w:val="24"/>
          <w:szCs w:val="24"/>
        </w:rPr>
        <w:t xml:space="preserve">包含系统集成项目管理工程师（中级（人力资源和社会保障部与工业和信息化部联合颁发））、网络工程师（人力资源和社会保障厅颁发）、系统分析师（高级（人力资源和社会保障部与工业和信息化部联合颁发））、中级软件设计师（人力资源和社会保障部颁发）、软件测试技术（高级（工业和信息化部教育与考试中心颁发））证书等。并能够提供近六个月内任意一个月为其缴纳的社保证明材料、加盖供应商公章。</w:t>
      </w:r>
      <w:r>
        <w:rPr>
          <w:rFonts w:eastAsia="宋体" w:cs="仿宋"/>
          <w:color w:val="000000"/>
          <w:sz w:val="24"/>
          <w:szCs w:val="24"/>
        </w:rPr>
      </w:r>
      <w:r/>
    </w:p>
    <w:p>
      <w:pPr>
        <w:pStyle w:val="772"/>
        <w:spacing w:line="360" w:lineRule="auto"/>
        <w:rPr>
          <w:rFonts w:hint="eastAsia" w:eastAsia="方正仿宋_GBK" w:cs="宋体"/>
          <w:color w:val="000000"/>
          <w:sz w:val="28"/>
          <w:szCs w:val="28"/>
        </w:rPr>
      </w:pPr>
      <w:r>
        <w:rPr>
          <w:rFonts w:hint="eastAsia" w:eastAsia="宋体" w:cs="仿宋"/>
          <w:color w:val="000000"/>
          <w:sz w:val="24"/>
          <w:szCs w:val="24"/>
        </w:rPr>
        <w:t xml:space="preserve">3、相关业绩要求</w:t>
      </w:r>
      <w:r>
        <w:rPr>
          <w:rFonts w:hint="eastAsia" w:eastAsia="宋体" w:cs="仿宋"/>
          <w:color w:val="000000"/>
          <w:sz w:val="24"/>
          <w:szCs w:val="24"/>
          <w:lang w:eastAsia="zh-CN"/>
        </w:rPr>
        <w:t xml:space="preserve">：</w:t>
      </w:r>
      <w:r>
        <w:rPr>
          <w:rFonts w:hint="eastAsia" w:eastAsia="宋体" w:cs="仿宋"/>
          <w:color w:val="000000"/>
          <w:sz w:val="24"/>
          <w:szCs w:val="24"/>
        </w:rPr>
        <w:t xml:space="preserve">供应商需提供自</w:t>
      </w:r>
      <w:r>
        <w:rPr>
          <w:rFonts w:eastAsia="宋体" w:cs="仿宋"/>
          <w:color w:val="000000"/>
          <w:sz w:val="24"/>
          <w:szCs w:val="24"/>
        </w:rPr>
        <w:t xml:space="preserve">2020</w:t>
      </w:r>
      <w:r>
        <w:rPr>
          <w:rFonts w:hint="eastAsia" w:eastAsia="宋体" w:cs="仿宋"/>
          <w:color w:val="000000"/>
          <w:sz w:val="24"/>
          <w:szCs w:val="24"/>
        </w:rPr>
        <w:t xml:space="preserve">年</w:t>
      </w:r>
      <w:r>
        <w:rPr>
          <w:rFonts w:eastAsia="宋体" w:cs="仿宋"/>
          <w:color w:val="000000"/>
          <w:sz w:val="24"/>
          <w:szCs w:val="24"/>
        </w:rPr>
        <w:t xml:space="preserve">1</w:t>
      </w:r>
      <w:r>
        <w:rPr>
          <w:rFonts w:hint="eastAsia" w:eastAsia="宋体" w:cs="仿宋"/>
          <w:color w:val="000000"/>
          <w:sz w:val="24"/>
          <w:szCs w:val="24"/>
        </w:rPr>
        <w:t xml:space="preserve">月</w:t>
      </w:r>
      <w:r>
        <w:rPr>
          <w:rFonts w:eastAsia="宋体" w:cs="仿宋"/>
          <w:color w:val="000000"/>
          <w:sz w:val="24"/>
          <w:szCs w:val="24"/>
        </w:rPr>
        <w:t xml:space="preserve">1</w:t>
      </w:r>
      <w:r>
        <w:rPr>
          <w:rFonts w:hint="eastAsia" w:eastAsia="宋体" w:cs="仿宋"/>
          <w:color w:val="000000"/>
          <w:sz w:val="24"/>
          <w:szCs w:val="24"/>
        </w:rPr>
        <w:t xml:space="preserve">日以来（以合同签订时间为准）承接过信息化软件开发项目业绩证明。</w:t>
      </w:r>
      <w:r>
        <w:rPr>
          <w:rFonts w:hint="eastAsia" w:eastAsia="方正仿宋_GBK" w:cs="宋体"/>
          <w:color w:val="000000"/>
          <w:sz w:val="28"/>
          <w:szCs w:val="28"/>
        </w:rPr>
      </w:r>
      <w:r/>
    </w:p>
    <w:p>
      <w:pPr>
        <w:pStyle w:val="771"/>
        <w:numPr>
          <w:ilvl w:val="0"/>
          <w:numId w:val="0"/>
        </w:numPr>
        <w:ind w:hanging="141"/>
        <w:rPr>
          <w:rFonts w:hint="eastAsia" w:eastAsia="宋体"/>
          <w:b/>
          <w:color w:val="000000"/>
        </w:rPr>
        <w:outlineLvl w:val="2"/>
      </w:pPr>
      <w:r/>
      <w:bookmarkStart w:id="180" w:name="_Toc226532667"/>
      <w:r>
        <w:rPr>
          <w:rFonts w:hint="eastAsia" w:eastAsia="宋体"/>
          <w:b/>
          <w:color w:val="000000"/>
        </w:rPr>
        <w:t xml:space="preserve">四、建设内容</w:t>
      </w:r>
      <w:bookmarkEnd w:id="180"/>
      <w:r>
        <w:rPr>
          <w:rFonts w:hint="eastAsia" w:eastAsia="宋体"/>
          <w:b/>
          <w:color w:val="000000"/>
        </w:rPr>
      </w:r>
      <w:r/>
    </w:p>
    <w:p>
      <w:pPr>
        <w:pStyle w:val="772"/>
        <w:ind w:firstLine="482"/>
        <w:rPr>
          <w:rFonts w:hint="eastAsia" w:eastAsia="宋体" w:cs="仿宋"/>
          <w:color w:val="000000"/>
          <w:sz w:val="24"/>
          <w:szCs w:val="24"/>
        </w:rPr>
      </w:pPr>
      <w:r>
        <w:rPr>
          <w:rFonts w:hint="eastAsia" w:eastAsia="宋体" w:cs="仿宋"/>
          <w:color w:val="000000"/>
          <w:sz w:val="24"/>
          <w:szCs w:val="24"/>
        </w:rPr>
        <w:t xml:space="preserve">本项目需要充分依托省数字交通统一平台一体化政务服务模块，建设PC端考试子模块：面向行业内部管理人员的考试管理端，面向从业企业和人员的考试申报端与在线考试端，为从业企业和人员提供便捷、规范的考试服务。主要包括：</w:t>
      </w:r>
      <w:r>
        <w:rPr>
          <w:rFonts w:hint="eastAsia" w:eastAsia="宋体" w:cs="仿宋"/>
          <w:color w:val="000000"/>
          <w:sz w:val="24"/>
          <w:szCs w:val="24"/>
        </w:rPr>
      </w:r>
      <w:r/>
    </w:p>
    <w:p>
      <w:pPr>
        <w:pStyle w:val="772"/>
        <w:ind w:firstLine="482"/>
        <w:rPr>
          <w:rFonts w:hint="eastAsia" w:eastAsia="宋体" w:cs="仿宋"/>
          <w:color w:val="000000"/>
          <w:sz w:val="24"/>
          <w:szCs w:val="24"/>
        </w:rPr>
      </w:pPr>
      <w:r>
        <w:rPr>
          <w:rFonts w:hint="eastAsia" w:eastAsia="宋体" w:cs="仿宋"/>
          <w:color w:val="000000"/>
          <w:sz w:val="24"/>
          <w:szCs w:val="24"/>
        </w:rPr>
        <w:t xml:space="preserve">1.考试管理端：面向行业管理人员，承担考试全过程的组织、监控与监管职能，保障考试工作规范、高效、安全运行。主要包括考务管理、考试人员管理、试卷管理、题库管理、考场管理与统计分析等功能，提供完整的记录与追溯能力，以支撑全流程管理与监督。</w:t>
      </w:r>
      <w:r>
        <w:rPr>
          <w:rFonts w:hint="eastAsia" w:eastAsia="宋体" w:cs="仿宋"/>
          <w:color w:val="000000"/>
          <w:sz w:val="24"/>
          <w:szCs w:val="24"/>
        </w:rPr>
      </w:r>
      <w:r/>
    </w:p>
    <w:p>
      <w:pPr>
        <w:pStyle w:val="772"/>
        <w:ind w:firstLine="482"/>
        <w:rPr>
          <w:rFonts w:hint="eastAsia" w:eastAsia="宋体" w:cs="仿宋"/>
          <w:color w:val="000000"/>
          <w:sz w:val="24"/>
          <w:szCs w:val="24"/>
        </w:rPr>
      </w:pPr>
      <w:r>
        <w:rPr>
          <w:rFonts w:hint="eastAsia" w:eastAsia="宋体" w:cs="仿宋"/>
          <w:color w:val="000000"/>
          <w:sz w:val="24"/>
          <w:szCs w:val="24"/>
        </w:rPr>
        <w:t xml:space="preserve">2.考试申报端：面向从业企业与考生，通过江苏政务服务网或省交通综合旗舰店统一入口，采用统一身份认证获取企业/个人信息，提供企业与人员关系绑定、在线报名、报名进度查询、准考证下载打印以及成绩查询等便捷服务功能。报名信息支持自动同步到政务服务审批模块，并与相关审批事项绑定。</w:t>
      </w:r>
      <w:r>
        <w:rPr>
          <w:rFonts w:hint="eastAsia" w:eastAsia="宋体" w:cs="仿宋"/>
          <w:color w:val="000000"/>
          <w:sz w:val="24"/>
          <w:szCs w:val="24"/>
        </w:rPr>
      </w:r>
      <w:r/>
    </w:p>
    <w:p>
      <w:pPr>
        <w:pStyle w:val="772"/>
        <w:ind w:firstLine="482"/>
        <w:jc w:val="both"/>
        <w:rPr>
          <w:rFonts w:eastAsia="宋体" w:cs="仿宋"/>
          <w:color w:val="000000"/>
          <w:sz w:val="24"/>
          <w:szCs w:val="24"/>
        </w:rPr>
      </w:pPr>
      <w:r>
        <w:rPr>
          <w:rFonts w:hint="eastAsia" w:eastAsia="宋体" w:cs="仿宋"/>
          <w:color w:val="000000"/>
          <w:sz w:val="24"/>
          <w:szCs w:val="24"/>
        </w:rPr>
        <w:t xml:space="preserve">3.在线考试端：面向全部考生，报名审核通过后考生凭准考证号与身份证登录进行考试；系统提供答题、自动保存、考试倒计时、在线提交等功能；考试成绩支持自动同步到政务服务审批模块，为后续的审批发证提供依据。为保障考试公平，系统提供屏幕/窗口切换检测、异常行为识别，并配套考后人工复核机制以处理异常与违纪证据。</w:t>
      </w:r>
      <w:r>
        <w:rPr>
          <w:rFonts w:eastAsia="宋体" w:cs="仿宋"/>
          <w:color w:val="000000"/>
          <w:sz w:val="24"/>
          <w:szCs w:val="24"/>
        </w:rPr>
      </w:r>
      <w:r/>
    </w:p>
    <w:p>
      <w:pPr>
        <w:pStyle w:val="771"/>
        <w:numPr>
          <w:ilvl w:val="0"/>
          <w:numId w:val="0"/>
        </w:numPr>
        <w:ind w:left="851" w:hanging="851"/>
        <w:rPr>
          <w:rFonts w:eastAsia="宋体"/>
          <w:b/>
          <w:color w:val="000000"/>
        </w:rPr>
        <w:outlineLvl w:val="2"/>
      </w:pPr>
      <w:r/>
      <w:bookmarkStart w:id="181" w:name="_Toc226532668"/>
      <w:r>
        <w:rPr>
          <w:rFonts w:hint="eastAsia" w:eastAsia="宋体"/>
          <w:b/>
          <w:color w:val="000000"/>
        </w:rPr>
        <w:t xml:space="preserve">五、技术要求</w:t>
      </w:r>
      <w:bookmarkEnd w:id="181"/>
      <w:r>
        <w:rPr>
          <w:rFonts w:eastAsia="宋体"/>
          <w:b/>
          <w:color w:val="000000"/>
        </w:rPr>
      </w:r>
      <w:r/>
    </w:p>
    <w:p>
      <w:pPr>
        <w:pStyle w:val="773"/>
        <w:numPr>
          <w:ilvl w:val="0"/>
          <w:numId w:val="0"/>
        </w:numPr>
        <w:rPr>
          <w:rFonts w:hint="eastAsia" w:eastAsia="宋体" w:cs="仿宋"/>
          <w:b/>
          <w:bCs/>
          <w:color w:val="000000"/>
        </w:rPr>
        <w:outlineLvl w:val="3"/>
      </w:pPr>
      <w:r/>
      <w:bookmarkStart w:id="182" w:name="_Toc226532669"/>
      <w:r>
        <w:rPr>
          <w:rFonts w:hint="eastAsia" w:eastAsia="宋体" w:cs="仿宋"/>
          <w:b/>
          <w:bCs/>
          <w:color w:val="000000"/>
        </w:rPr>
        <w:t xml:space="preserve">1．系统可用性</w:t>
      </w:r>
      <w:bookmarkEnd w:id="182"/>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易安装，流程和应用软件能够快速敏捷部署；易学习性和理解性，提供系统默认配置</w:t>
      </w:r>
      <w:r>
        <w:rPr>
          <w:rFonts w:hint="eastAsia" w:ascii="宋体" w:hAnsi="宋体"/>
          <w:color w:val="000000"/>
          <w:sz w:val="24"/>
          <w:szCs w:val="24"/>
        </w:rPr>
        <w:t xml:space="preserve">导入、导出实现简易配置；具有可配置能力，显示界面、显示格式、报表格式等可调整；提供个性化服务，应用门户、操作界面、功能模块可以根据用户的角色和工作任务的不同而实现灵活定制；用户界面友好，界面风格保持一致；提供联机帮助，软件操作方便；各种提示信息准确，术语规范；友好的图形用户界面和多语种支持，支持中华人民共和国国标《信息技术中文编码字符集》（GB18030）所规定的二级汉字的所有符号；对于常用不变的数据项、重复数据项、可枚举数据项、自动产生的数据项，应设置为缺省值、自动提供及拼音自动获取等方式，简化用户输入；</w:t>
      </w:r>
      <w:r>
        <w:rPr>
          <w:rFonts w:hint="eastAsia" w:ascii="宋体" w:hAnsi="宋体"/>
          <w:color w:val="000000"/>
          <w:sz w:val="24"/>
          <w:szCs w:val="24"/>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当出现质量问题或非人为因素故障时，工作日期间，技术人员在1小时内响应，2小时内到场，非工作日期间，技术人员在2小时内响应，4小时内到场。一般性技术故障，需在2小时内解决问题，特殊重大技术故障，需在4小时内提出修改方案，并在24小时内解决问题。</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83" w:name="_Toc226532670"/>
      <w:r>
        <w:rPr>
          <w:rFonts w:hint="eastAsia" w:eastAsia="宋体" w:cs="仿宋"/>
          <w:b/>
          <w:bCs/>
          <w:color w:val="000000"/>
        </w:rPr>
        <w:t xml:space="preserve">2．系统可靠性</w:t>
      </w:r>
      <w:bookmarkEnd w:id="183"/>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整个系统运行过程中，应保证无故障运行时间占总运行时间的95%以上，并在系统出现故障时应能及时告警，具有完整的操作权限管理功能和完善的系统安全机制；可屏蔽用户操作错误，输入数据时能进行有效性检查；具有失效恢复能力及容错性，在发生错误时能够快速地恢复正常运行，故障可追溯；提供运行日志管理及审计功能；系统运行稳定，操作错误不会导致死机或系统异常退出现象；具备数据备份及数据恢复能力，数据安全可靠，不丢失；具备缓存数据与数据库数据一致性；具备接口服务错误调用容错能力，保证接口服务的稳定可靠。</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84" w:name="_Toc226532671"/>
      <w:r>
        <w:rPr>
          <w:rFonts w:hint="eastAsia" w:eastAsia="宋体" w:cs="仿宋"/>
          <w:b/>
          <w:bCs/>
          <w:color w:val="000000"/>
        </w:rPr>
        <w:t xml:space="preserve">3．系统并发处理能力</w:t>
      </w:r>
      <w:bookmarkEnd w:id="184"/>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按照目前的网络带宽、服务器性能和系统访问量的预测，系统建设应支持不低于200用户并发和不低于500用户同时在线。</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85" w:name="_Toc226532672"/>
      <w:r>
        <w:rPr>
          <w:rFonts w:hint="eastAsia" w:eastAsia="宋体" w:cs="仿宋"/>
          <w:b/>
          <w:bCs/>
          <w:color w:val="000000"/>
        </w:rPr>
        <w:t xml:space="preserve">4．系统响应时间</w:t>
      </w:r>
      <w:bookmarkEnd w:id="185"/>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系统应具有良好的运行速度，能够完成所要求的所有操作功能，考虑到不同类型用户对响应时间的忍耐程度，结合业务对系统响应时间的要求，平台访问应用响应时间&lt;5秒；事务处理查询平均3秒，复杂分析查询最长&lt;30秒。在网络稳定的环境下，操作性界面单一操作的系统响应时间&lt;3秒，高峰期&lt;4秒。</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86" w:name="_Toc226532673"/>
      <w:r>
        <w:rPr>
          <w:rFonts w:hint="eastAsia" w:eastAsia="宋体" w:cs="仿宋"/>
          <w:b/>
          <w:bCs/>
          <w:color w:val="000000"/>
        </w:rPr>
        <w:t xml:space="preserve">5．系统可扩展性</w:t>
      </w:r>
      <w:bookmarkEnd w:id="186"/>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系统通过合理的模块功能划分，实现了高内聚、低耦合的设计原则。每个模块都负责特定的功能，模块之间通过标准化的接口进行通信，这样在需要增加新功能或优化现有功能时，只需要对相应的模块进行操作，而不影响其他模块的正常运行；系统设计了完善的用户权限管理机制，可以灵活地配置用户的访问权限和操作权限。通过角色管理和权限控制，系统可以实现对不同用户的差异化授权，确保数据的安全性和系统的稳定性。</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87" w:name="_Toc226532674"/>
      <w:r>
        <w:rPr>
          <w:rFonts w:hint="eastAsia" w:eastAsia="宋体" w:cs="仿宋"/>
          <w:b/>
          <w:bCs/>
          <w:color w:val="000000"/>
        </w:rPr>
        <w:t xml:space="preserve">6.可维护性</w:t>
      </w:r>
      <w:bookmarkEnd w:id="187"/>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易分析，软件具有自我诊断与查错能力；易修改，当软件出现故障或环境变化时，修改软件的容易；升级维护方便；应用系统的基础数据代码化，便于数据维护。</w:t>
      </w:r>
      <w:r>
        <w:rPr>
          <w:rFonts w:hint="eastAsia" w:ascii="宋体" w:hAnsi="宋体"/>
          <w:color w:val="000000"/>
          <w:sz w:val="24"/>
          <w:szCs w:val="24"/>
        </w:rPr>
      </w:r>
      <w:r/>
    </w:p>
    <w:p>
      <w:pPr>
        <w:pStyle w:val="771"/>
        <w:numPr>
          <w:ilvl w:val="0"/>
          <w:numId w:val="0"/>
        </w:numPr>
        <w:ind w:left="851" w:hanging="709"/>
        <w:rPr>
          <w:rFonts w:eastAsia="宋体"/>
          <w:b/>
          <w:color w:val="000000"/>
        </w:rPr>
        <w:outlineLvl w:val="2"/>
      </w:pPr>
      <w:r/>
      <w:bookmarkStart w:id="188" w:name="_Toc226532675"/>
      <w:r>
        <w:rPr>
          <w:rFonts w:hint="eastAsia" w:eastAsia="宋体"/>
          <w:b/>
          <w:color w:val="000000"/>
        </w:rPr>
        <w:t xml:space="preserve">六、商务</w:t>
      </w:r>
      <w:r>
        <w:rPr>
          <w:rFonts w:eastAsia="宋体"/>
          <w:b/>
          <w:color w:val="000000"/>
        </w:rPr>
        <w:t xml:space="preserve">要求</w:t>
      </w:r>
      <w:bookmarkEnd w:id="188"/>
      <w:r>
        <w:rPr>
          <w:rFonts w:eastAsia="宋体"/>
          <w:b/>
          <w:color w:val="000000"/>
        </w:rPr>
      </w:r>
      <w:r/>
    </w:p>
    <w:p>
      <w:pPr>
        <w:pStyle w:val="774"/>
        <w:ind w:firstLine="480"/>
        <w:spacing w:line="360" w:lineRule="auto"/>
        <w:rPr>
          <w:rFonts w:ascii="宋体" w:hAnsi="宋体"/>
          <w:bCs/>
          <w:color w:val="000000"/>
          <w:sz w:val="24"/>
        </w:rPr>
      </w:pPr>
      <w:r/>
      <w:bookmarkStart w:id="189" w:name="_Hlk14872540"/>
      <w:r>
        <w:rPr>
          <w:rFonts w:hint="eastAsia" w:ascii="宋体" w:hAnsi="宋体"/>
          <w:bCs/>
          <w:color w:val="000000"/>
          <w:sz w:val="24"/>
        </w:rPr>
        <w:t xml:space="preserve">（一）维保期：2年（自本项目验收合格之日起计）；</w:t>
      </w:r>
      <w:r>
        <w:rPr>
          <w:rFonts w:ascii="宋体" w:hAnsi="宋体"/>
          <w:bCs/>
          <w:color w:val="000000"/>
          <w:sz w:val="24"/>
        </w:rPr>
      </w:r>
      <w:r/>
    </w:p>
    <w:p>
      <w:pPr>
        <w:pStyle w:val="774"/>
        <w:ind w:firstLine="480"/>
        <w:spacing w:line="360" w:lineRule="auto"/>
        <w:rPr>
          <w:rFonts w:ascii="宋体" w:hAnsi="宋体"/>
          <w:bCs/>
          <w:color w:val="000000"/>
          <w:sz w:val="24"/>
        </w:rPr>
      </w:pPr>
      <w:r>
        <w:rPr>
          <w:rFonts w:hint="eastAsia" w:ascii="宋体" w:hAnsi="宋体"/>
          <w:bCs/>
          <w:color w:val="000000"/>
          <w:sz w:val="24"/>
        </w:rPr>
        <w:t xml:space="preserve">（二）交付要求：合同签订之日起3个月内，在采购人指定地点完成本项目的交付；</w:t>
      </w:r>
      <w:r>
        <w:rPr>
          <w:rFonts w:ascii="宋体" w:hAnsi="宋体"/>
          <w:bCs/>
          <w:color w:val="000000"/>
          <w:sz w:val="24"/>
        </w:rPr>
      </w:r>
      <w:r/>
    </w:p>
    <w:p>
      <w:pPr>
        <w:pStyle w:val="774"/>
        <w:ind w:firstLine="480"/>
        <w:spacing w:line="360" w:lineRule="auto"/>
        <w:rPr>
          <w:rFonts w:ascii="宋体" w:hAnsi="宋体"/>
          <w:bCs/>
          <w:color w:val="000000"/>
          <w:sz w:val="24"/>
        </w:rPr>
      </w:pPr>
      <w:r>
        <w:rPr>
          <w:rFonts w:hint="eastAsia" w:ascii="宋体" w:hAnsi="宋体"/>
          <w:bCs/>
          <w:color w:val="000000"/>
          <w:sz w:val="24"/>
        </w:rPr>
        <w:t xml:space="preserve">（三）付款方式</w:t>
      </w:r>
      <w:bookmarkEnd w:id="189"/>
      <w:r>
        <w:rPr>
          <w:rFonts w:ascii="宋体" w:hAnsi="宋体"/>
          <w:bCs/>
          <w:color w:val="000000"/>
          <w:sz w:val="24"/>
        </w:rPr>
      </w:r>
      <w:r/>
    </w:p>
    <w:p>
      <w:pPr>
        <w:pStyle w:val="774"/>
        <w:ind w:firstLine="480"/>
        <w:spacing w:line="360" w:lineRule="auto"/>
        <w:rPr>
          <w:rFonts w:ascii="宋体" w:hAnsi="宋体"/>
          <w:bCs/>
          <w:color w:val="000000"/>
          <w:sz w:val="24"/>
        </w:rPr>
      </w:pPr>
      <w:r>
        <w:rPr>
          <w:rFonts w:hint="eastAsia" w:ascii="宋体" w:hAnsi="宋体"/>
          <w:bCs/>
          <w:color w:val="000000"/>
          <w:sz w:val="24"/>
        </w:rPr>
        <w:t xml:space="preserve">1、合同签订后，支付合同总价的50</w:t>
      </w:r>
      <w:r>
        <w:rPr>
          <w:rFonts w:ascii="宋体" w:hAnsi="宋体"/>
          <w:bCs/>
          <w:color w:val="000000"/>
          <w:sz w:val="24"/>
        </w:rPr>
        <w:t xml:space="preserve"> </w:t>
      </w:r>
      <w:r>
        <w:rPr>
          <w:rFonts w:hint="eastAsia" w:ascii="宋体" w:hAnsi="宋体"/>
          <w:bCs/>
          <w:color w:val="000000"/>
          <w:sz w:val="24"/>
        </w:rPr>
        <w:t xml:space="preserve">%；</w:t>
      </w:r>
      <w:r>
        <w:rPr>
          <w:rFonts w:ascii="宋体" w:hAnsi="宋体"/>
          <w:bCs/>
          <w:color w:val="000000"/>
          <w:sz w:val="24"/>
        </w:rPr>
      </w:r>
      <w:r/>
    </w:p>
    <w:p>
      <w:pPr>
        <w:pStyle w:val="774"/>
        <w:ind w:firstLine="480"/>
        <w:spacing w:line="360" w:lineRule="auto"/>
        <w:rPr>
          <w:rFonts w:ascii="宋体" w:hAnsi="宋体"/>
          <w:bCs/>
          <w:color w:val="000000"/>
          <w:sz w:val="24"/>
        </w:rPr>
      </w:pPr>
      <w:r>
        <w:rPr>
          <w:rFonts w:hint="eastAsia" w:ascii="宋体" w:hAnsi="宋体"/>
          <w:bCs/>
          <w:color w:val="000000"/>
          <w:sz w:val="24"/>
        </w:rPr>
        <w:t xml:space="preserve">2、供应商完成产品的交付，经采购人验收合格后，支付合同剩余款项。</w:t>
      </w:r>
      <w:r>
        <w:rPr>
          <w:rFonts w:ascii="宋体" w:hAnsi="宋体"/>
          <w:bCs/>
          <w:color w:val="000000"/>
          <w:sz w:val="24"/>
        </w:rPr>
      </w:r>
      <w:r/>
    </w:p>
    <w:p>
      <w:pPr>
        <w:pStyle w:val="774"/>
        <w:ind w:firstLine="480"/>
        <w:spacing w:line="360" w:lineRule="auto"/>
        <w:rPr>
          <w:rFonts w:hint="eastAsia" w:ascii="宋体" w:hAnsi="宋体"/>
          <w:bCs/>
          <w:color w:val="000000"/>
          <w:sz w:val="24"/>
        </w:rPr>
      </w:pPr>
      <w:r>
        <w:rPr>
          <w:rFonts w:hint="eastAsia" w:ascii="宋体" w:hAnsi="宋体"/>
          <w:bCs/>
          <w:color w:val="000000"/>
          <w:sz w:val="24"/>
        </w:rPr>
        <w:t xml:space="preserve">（四）</w:t>
      </w:r>
      <w:r>
        <w:rPr>
          <w:rFonts w:ascii="宋体" w:hAnsi="宋体"/>
          <w:bCs/>
          <w:color w:val="000000"/>
          <w:sz w:val="24"/>
        </w:rPr>
        <w:t xml:space="preserve">其他要求</w:t>
      </w:r>
      <w:r>
        <w:rPr>
          <w:rFonts w:hint="eastAsia" w:ascii="宋体" w:hAnsi="宋体"/>
          <w:bCs/>
          <w:color w:val="000000"/>
          <w:sz w:val="24"/>
        </w:rPr>
      </w:r>
      <w:r/>
    </w:p>
    <w:p>
      <w:pPr>
        <w:pStyle w:val="774"/>
        <w:ind w:firstLine="480"/>
        <w:spacing w:line="360" w:lineRule="auto"/>
        <w:rPr>
          <w:rFonts w:hint="eastAsia" w:ascii="宋体" w:hAnsi="宋体"/>
          <w:bCs/>
          <w:color w:val="000000"/>
          <w:sz w:val="24"/>
        </w:rPr>
      </w:pPr>
      <w:r>
        <w:rPr>
          <w:rFonts w:hint="eastAsia" w:ascii="宋体" w:hAnsi="宋体"/>
          <w:bCs/>
          <w:color w:val="000000"/>
          <w:sz w:val="24"/>
        </w:rPr>
        <w:t xml:space="preserve">1、项目属性:服务类项目。</w:t>
      </w:r>
      <w:r>
        <w:rPr>
          <w:rFonts w:hint="eastAsia" w:ascii="宋体" w:hAnsi="宋体"/>
          <w:bCs/>
          <w:color w:val="000000"/>
          <w:sz w:val="24"/>
        </w:rPr>
      </w:r>
      <w:r/>
    </w:p>
    <w:p>
      <w:pPr>
        <w:pStyle w:val="774"/>
        <w:ind w:firstLine="480"/>
        <w:spacing w:line="360" w:lineRule="auto"/>
        <w:rPr>
          <w:rFonts w:hint="eastAsia" w:ascii="宋体" w:hAnsi="宋体"/>
          <w:color w:val="000000"/>
          <w:sz w:val="24"/>
          <w:szCs w:val="24"/>
        </w:rPr>
      </w:pPr>
      <w:r>
        <w:rPr>
          <w:rFonts w:ascii="宋体" w:hAnsi="宋体"/>
          <w:bCs/>
          <w:color w:val="000000"/>
          <w:sz w:val="24"/>
        </w:rPr>
        <w:t xml:space="preserve">2</w:t>
      </w:r>
      <w:r>
        <w:rPr>
          <w:rFonts w:hint="eastAsia" w:ascii="宋体" w:hAnsi="宋体"/>
          <w:bCs/>
          <w:color w:val="000000"/>
          <w:sz w:val="24"/>
        </w:rPr>
        <w:t xml:space="preserve">、进口</w:t>
      </w:r>
      <w:r>
        <w:rPr>
          <w:rFonts w:ascii="宋体" w:hAnsi="宋体"/>
          <w:bCs/>
          <w:color w:val="000000"/>
          <w:sz w:val="24"/>
        </w:rPr>
        <w:t xml:space="preserve">产品</w:t>
      </w:r>
      <w:r>
        <w:rPr>
          <w:rFonts w:hint="eastAsia" w:ascii="宋体" w:hAnsi="宋体"/>
          <w:bCs/>
          <w:color w:val="000000"/>
          <w:sz w:val="24"/>
        </w:rPr>
        <w:t xml:space="preserve">投标：不接受</w:t>
      </w:r>
      <w:r>
        <w:rPr>
          <w:rFonts w:ascii="宋体" w:hAnsi="宋体"/>
          <w:bCs/>
          <w:color w:val="000000"/>
          <w:sz w:val="24"/>
        </w:rPr>
        <w:t xml:space="preserve">进口产品投标</w:t>
      </w:r>
      <w:r>
        <w:rPr>
          <w:rFonts w:hint="eastAsia" w:ascii="宋体" w:hAnsi="宋体"/>
          <w:color w:val="000000"/>
          <w:sz w:val="24"/>
          <w:szCs w:val="24"/>
        </w:rPr>
      </w:r>
      <w:r/>
    </w:p>
    <w:p>
      <w:pPr>
        <w:pStyle w:val="771"/>
        <w:numPr>
          <w:ilvl w:val="0"/>
          <w:numId w:val="0"/>
        </w:numPr>
        <w:ind w:left="851" w:hanging="851"/>
        <w:rPr>
          <w:rFonts w:eastAsia="宋体"/>
          <w:b/>
          <w:color w:val="000000"/>
        </w:rPr>
        <w:outlineLvl w:val="2"/>
      </w:pPr>
      <w:r/>
      <w:bookmarkStart w:id="190" w:name="_Toc226532677"/>
      <w:r>
        <w:rPr>
          <w:rFonts w:hint="eastAsia" w:eastAsia="宋体"/>
          <w:b/>
          <w:color w:val="000000"/>
        </w:rPr>
        <w:t xml:space="preserve">七、方案要求</w:t>
      </w:r>
      <w:bookmarkEnd w:id="190"/>
      <w:r>
        <w:rPr>
          <w:rFonts w:eastAsia="宋体"/>
          <w:b/>
          <w:color w:val="000000"/>
        </w:rPr>
      </w:r>
      <w:r/>
    </w:p>
    <w:p>
      <w:pPr>
        <w:pStyle w:val="773"/>
        <w:numPr>
          <w:ilvl w:val="0"/>
          <w:numId w:val="0"/>
        </w:numPr>
        <w:rPr>
          <w:rFonts w:hint="eastAsia" w:eastAsia="宋体" w:cs="仿宋"/>
          <w:b/>
          <w:bCs/>
          <w:color w:val="000000"/>
        </w:rPr>
        <w:outlineLvl w:val="3"/>
      </w:pPr>
      <w:r/>
      <w:bookmarkStart w:id="191" w:name="_Toc226532678"/>
      <w:r>
        <w:rPr>
          <w:rFonts w:hint="eastAsia" w:eastAsia="宋体" w:cs="仿宋"/>
          <w:b/>
          <w:bCs/>
          <w:color w:val="000000"/>
        </w:rPr>
        <w:t xml:space="preserve">1．项目理解</w:t>
      </w:r>
      <w:bookmarkEnd w:id="191"/>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bCs/>
          <w:color w:val="000000"/>
          <w:sz w:val="24"/>
        </w:rPr>
        <w:t xml:space="preserve">供应商</w:t>
      </w:r>
      <w:r>
        <w:rPr>
          <w:rFonts w:hint="eastAsia" w:ascii="宋体" w:hAnsi="宋体"/>
          <w:color w:val="000000"/>
          <w:sz w:val="24"/>
          <w:szCs w:val="24"/>
        </w:rPr>
        <w:t xml:space="preserve">应对项目背景、项目建设内容、建设目标、项目必要性相关内容进行充分梳理和理解。通过系统性阐述项目建设背景，梳理项目具体建设内容，全面覆盖招标人实际建设需求，体现项目建设的目标和必要性。</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92" w:name="_Toc226532679"/>
      <w:r>
        <w:rPr>
          <w:rFonts w:hint="eastAsia" w:eastAsia="宋体" w:cs="仿宋"/>
          <w:b/>
          <w:bCs/>
          <w:color w:val="000000"/>
        </w:rPr>
        <w:t xml:space="preserve">2．项目重难点问题分析</w:t>
      </w:r>
      <w:bookmarkEnd w:id="192"/>
      <w:r>
        <w:rPr>
          <w:rFonts w:hint="eastAsia"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bCs/>
          <w:color w:val="000000"/>
          <w:sz w:val="24"/>
        </w:rPr>
        <w:t xml:space="preserve">供应商</w:t>
      </w:r>
      <w:r>
        <w:rPr>
          <w:rFonts w:hint="eastAsia" w:ascii="宋体" w:hAnsi="宋体"/>
          <w:color w:val="000000"/>
          <w:sz w:val="24"/>
          <w:szCs w:val="24"/>
        </w:rPr>
        <w:t xml:space="preserve">应围绕项目实施过程中存在的重难点问题进行分析，并就相关问题描述相关应对措施。</w:t>
      </w:r>
      <w:r>
        <w:rPr>
          <w:rFonts w:hint="eastAsia" w:ascii="宋体" w:hAnsi="宋体"/>
          <w:color w:val="000000"/>
          <w:sz w:val="24"/>
          <w:szCs w:val="24"/>
        </w:rPr>
      </w:r>
      <w:r/>
    </w:p>
    <w:p>
      <w:pPr>
        <w:pStyle w:val="77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（1）重难点问题分析：供应商根据项目需求，梳理项目实施过程中潜在的重难点问题，并提供重难点问题分析方案。</w:t>
      </w:r>
      <w:r>
        <w:rPr>
          <w:rFonts w:hint="eastAsia" w:ascii="宋体" w:hAnsi="宋体"/>
          <w:color w:val="000000"/>
          <w:sz w:val="24"/>
          <w:szCs w:val="24"/>
        </w:rPr>
      </w:r>
      <w:r/>
    </w:p>
    <w:p>
      <w:pPr>
        <w:pStyle w:val="774"/>
        <w:ind w:firstLine="480"/>
        <w:spacing w:line="360" w:lineRule="auto"/>
        <w:rPr>
          <w:rFonts w:hint="eastAsia" w:ascii="宋体" w:hAnsi="宋体"/>
          <w:bCs/>
          <w:color w:val="000000"/>
          <w:sz w:val="24"/>
        </w:rPr>
      </w:pPr>
      <w:r>
        <w:rPr>
          <w:rFonts w:hint="eastAsia" w:ascii="宋体" w:hAnsi="宋体"/>
          <w:color w:val="000000"/>
          <w:sz w:val="24"/>
          <w:szCs w:val="24"/>
        </w:rPr>
        <w:t xml:space="preserve">（2）重难点问题应对措施：供应商围绕重难点问题分析内容，针对性提出各类实施过程重难点问题的解决措施，解决措施应科学合理。</w:t>
      </w:r>
      <w:r>
        <w:rPr>
          <w:rFonts w:hint="eastAsia" w:ascii="宋体" w:hAnsi="宋体"/>
          <w:bCs/>
          <w:color w:val="000000"/>
          <w:sz w:val="24"/>
        </w:rPr>
      </w:r>
      <w:r/>
    </w:p>
    <w:p>
      <w:pPr>
        <w:pStyle w:val="773"/>
        <w:numPr>
          <w:ilvl w:val="0"/>
          <w:numId w:val="0"/>
        </w:numPr>
        <w:rPr>
          <w:rFonts w:hint="eastAsia" w:eastAsia="宋体" w:cs="仿宋"/>
          <w:b/>
          <w:bCs/>
          <w:color w:val="000000"/>
        </w:rPr>
        <w:outlineLvl w:val="3"/>
      </w:pPr>
      <w:r/>
      <w:bookmarkStart w:id="193" w:name="_Toc226532680"/>
      <w:r>
        <w:rPr>
          <w:rFonts w:hint="eastAsia" w:eastAsia="宋体" w:cs="仿宋"/>
          <w:b/>
          <w:bCs/>
          <w:color w:val="000000"/>
        </w:rPr>
        <w:t xml:space="preserve">3．制订项目总体设计方案</w:t>
      </w:r>
      <w:bookmarkEnd w:id="193"/>
      <w:r>
        <w:rPr>
          <w:rFonts w:hint="eastAsia" w:eastAsia="宋体" w:cs="仿宋"/>
          <w:b/>
          <w:bCs/>
          <w:color w:val="000000"/>
        </w:rPr>
      </w:r>
      <w:r/>
    </w:p>
    <w:p>
      <w:pPr>
        <w:pStyle w:val="774"/>
        <w:ind w:firstLine="480"/>
        <w:spacing w:line="360" w:lineRule="auto"/>
        <w:rPr>
          <w:rFonts w:ascii="宋体" w:hAnsi="宋体"/>
          <w:color w:val="000000"/>
          <w:sz w:val="24"/>
          <w:szCs w:val="24"/>
        </w:rPr>
      </w:pPr>
      <w:r>
        <w:rPr>
          <w:rFonts w:hint="eastAsia" w:ascii="宋体" w:hAnsi="宋体"/>
          <w:color w:val="000000"/>
          <w:sz w:val="24"/>
          <w:szCs w:val="24"/>
        </w:rPr>
        <w:t xml:space="preserve">供应商应</w:t>
      </w:r>
      <w:r>
        <w:rPr>
          <w:rFonts w:ascii="宋体" w:hAnsi="宋体"/>
          <w:color w:val="000000"/>
          <w:sz w:val="24"/>
          <w:szCs w:val="24"/>
        </w:rPr>
        <w:t xml:space="preserve">根据</w:t>
      </w:r>
      <w:r>
        <w:rPr>
          <w:rFonts w:hint="eastAsia" w:ascii="宋体" w:hAnsi="宋体"/>
          <w:color w:val="000000"/>
          <w:sz w:val="24"/>
          <w:szCs w:val="24"/>
        </w:rPr>
        <w:t xml:space="preserve">招标建设内容要求及本项目特点</w:t>
      </w:r>
      <w:r>
        <w:rPr>
          <w:rFonts w:ascii="宋体" w:hAnsi="宋体"/>
          <w:color w:val="000000"/>
          <w:sz w:val="24"/>
          <w:szCs w:val="24"/>
        </w:rPr>
        <w:t xml:space="preserve">，</w:t>
      </w:r>
      <w:r>
        <w:rPr>
          <w:rFonts w:hint="eastAsia" w:ascii="宋体" w:hAnsi="宋体"/>
          <w:color w:val="000000"/>
          <w:sz w:val="24"/>
          <w:szCs w:val="24"/>
        </w:rPr>
        <w:t xml:space="preserve">制订项目总体设计方案，从总体系统架构、总体业务架构、总体功能架构、总体部署架构和总体业务流程等方面内容进行详细设计和阐述。</w:t>
      </w:r>
      <w:r>
        <w:rPr>
          <w:rFonts w:ascii="宋体" w:hAnsi="宋体"/>
          <w:color w:val="000000"/>
          <w:sz w:val="24"/>
          <w:szCs w:val="24"/>
        </w:rPr>
      </w:r>
      <w:r/>
    </w:p>
    <w:p>
      <w:pPr>
        <w:pStyle w:val="773"/>
        <w:numPr>
          <w:ilvl w:val="0"/>
          <w:numId w:val="0"/>
        </w:numPr>
        <w:rPr>
          <w:rFonts w:eastAsia="宋体" w:cs="仿宋"/>
          <w:b/>
          <w:bCs/>
          <w:color w:val="000000"/>
        </w:rPr>
        <w:outlineLvl w:val="3"/>
      </w:pPr>
      <w:r>
        <w:rPr>
          <w:rFonts w:hint="eastAsia" w:eastAsia="宋体" w:cs="仿宋"/>
          <w:b/>
          <w:bCs/>
          <w:color w:val="000000"/>
        </w:rPr>
        <w:t xml:space="preserve">4．</w:t>
      </w:r>
      <w:r>
        <w:rPr>
          <w:rFonts w:hint="eastAsia" w:eastAsia="宋体" w:cs="仿宋"/>
          <w:b/>
          <w:bCs/>
          <w:color w:val="000000"/>
          <w:szCs w:val="22"/>
          <w:lang w:bidi="ar-SA"/>
        </w:rPr>
        <w:t xml:space="preserve">考试管理端方案</w:t>
      </w:r>
      <w:r>
        <w:rPr>
          <w:rFonts w:eastAsia="宋体" w:cs="仿宋"/>
          <w:b/>
          <w:bCs/>
          <w:color w:val="000000"/>
        </w:rPr>
      </w:r>
      <w:r/>
    </w:p>
    <w:p>
      <w:pPr>
        <w:pStyle w:val="774"/>
        <w:ind w:firstLine="480"/>
        <w:spacing w:line="360" w:lineRule="auto"/>
        <w:rPr>
          <w:rFonts w:ascii="宋体" w:hAnsi="宋体" w:cs="Times New Roman"/>
          <w:color w:val="000000"/>
          <w:sz w:val="24"/>
          <w:szCs w:val="24"/>
          <w:lang w:bidi="ar-SA"/>
        </w:rPr>
      </w:pPr>
      <w:r>
        <w:rPr>
          <w:rFonts w:hint="eastAsia" w:ascii="宋体" w:hAnsi="宋体" w:cs="Times New Roman"/>
          <w:color w:val="000000"/>
          <w:sz w:val="24"/>
          <w:szCs w:val="24"/>
          <w:lang w:bidi="ar-SA"/>
        </w:rPr>
        <w:t xml:space="preserve">考试管理端各功能模块，主要包括考务管理、考试人员管理、试卷管理、题库管理、考场管理与统计分析等功能，提供完整的记录与追溯能力，以支撑全流程管理与监督等。</w:t>
      </w:r>
      <w:r>
        <w:rPr>
          <w:rFonts w:ascii="宋体" w:hAnsi="宋体" w:cs="Times New Roman"/>
          <w:color w:val="000000"/>
          <w:sz w:val="24"/>
          <w:szCs w:val="24"/>
          <w:lang w:bidi="ar-SA"/>
        </w:rPr>
      </w:r>
      <w:r/>
    </w:p>
    <w:p>
      <w:pPr>
        <w:pStyle w:val="773"/>
        <w:numPr>
          <w:ilvl w:val="0"/>
          <w:numId w:val="0"/>
        </w:numPr>
        <w:rPr>
          <w:rFonts w:eastAsia="宋体" w:cs="仿宋"/>
          <w:b/>
          <w:bCs/>
          <w:color w:val="000000"/>
        </w:rPr>
        <w:outlineLvl w:val="3"/>
      </w:pPr>
      <w:r>
        <w:rPr>
          <w:rFonts w:hint="eastAsia" w:eastAsia="宋体" w:cs="仿宋"/>
          <w:b/>
          <w:bCs/>
          <w:color w:val="000000"/>
        </w:rPr>
        <w:t xml:space="preserve">5．考试申报端方案</w:t>
      </w:r>
      <w:r>
        <w:rPr>
          <w:rFonts w:eastAsia="宋体" w:cs="仿宋"/>
          <w:b/>
          <w:bCs/>
          <w:color w:val="000000"/>
        </w:rPr>
      </w:r>
      <w:r/>
    </w:p>
    <w:p>
      <w:pPr>
        <w:pStyle w:val="774"/>
        <w:ind w:firstLine="480"/>
        <w:spacing w:line="360" w:lineRule="auto"/>
        <w:rPr>
          <w:rFonts w:ascii="宋体" w:hAnsi="宋体" w:cs="Times New Roman"/>
          <w:color w:val="000000"/>
          <w:sz w:val="24"/>
          <w:szCs w:val="24"/>
          <w:lang w:bidi="ar-SA"/>
        </w:rPr>
      </w:pPr>
      <w:r>
        <w:rPr>
          <w:rFonts w:hint="eastAsia" w:ascii="宋体" w:hAnsi="宋体" w:cs="Times New Roman"/>
          <w:color w:val="000000"/>
          <w:sz w:val="24"/>
          <w:szCs w:val="24"/>
          <w:lang w:bidi="ar-SA"/>
        </w:rPr>
        <w:t xml:space="preserve">考试申报端各功能模块，面向从业企业与考生，通过江苏政务服务网或省交通综合旗舰店统一入口，采用统一身份认证获取企业/个人信息，提供企业与人员关系绑定、在线报名、报名进度查询、准考证下载打印以及成绩查询等便捷服务功能。报名信息支持自动同步到政务服务审批模块，并与相关审批事项绑定。</w:t>
      </w:r>
      <w:r>
        <w:rPr>
          <w:rFonts w:ascii="宋体" w:hAnsi="宋体" w:cs="Times New Roman"/>
          <w:color w:val="000000"/>
          <w:sz w:val="24"/>
          <w:szCs w:val="24"/>
          <w:lang w:bidi="ar-SA"/>
        </w:rPr>
      </w:r>
      <w:r/>
    </w:p>
    <w:p>
      <w:pPr>
        <w:pStyle w:val="773"/>
        <w:numPr>
          <w:ilvl w:val="0"/>
          <w:numId w:val="0"/>
        </w:numPr>
        <w:rPr>
          <w:rFonts w:eastAsia="宋体" w:cs="仿宋"/>
          <w:b/>
          <w:bCs/>
          <w:color w:val="000000"/>
        </w:rPr>
        <w:outlineLvl w:val="3"/>
      </w:pPr>
      <w:r/>
      <w:bookmarkStart w:id="194" w:name="OLE_LINK1"/>
      <w:r>
        <w:rPr>
          <w:rFonts w:hint="eastAsia" w:eastAsia="宋体" w:cs="仿宋"/>
          <w:b/>
          <w:bCs/>
          <w:color w:val="000000"/>
        </w:rPr>
        <w:t xml:space="preserve">6．在线考试端方案</w:t>
      </w:r>
      <w:r>
        <w:rPr>
          <w:rFonts w:eastAsia="宋体" w:cs="仿宋"/>
          <w:b/>
          <w:bCs/>
          <w:color w:val="000000"/>
        </w:rPr>
      </w:r>
      <w:r/>
    </w:p>
    <w:p>
      <w:pPr>
        <w:pStyle w:val="774"/>
        <w:ind w:firstLine="480"/>
        <w:spacing w:line="360" w:lineRule="auto"/>
        <w:rPr>
          <w:rFonts w:hint="eastAsia" w:ascii="宋体" w:hAnsi="宋体"/>
          <w:color w:val="000000"/>
          <w:sz w:val="24"/>
          <w:szCs w:val="24"/>
        </w:rPr>
      </w:pPr>
      <w:r>
        <w:rPr>
          <w:rFonts w:hint="eastAsia" w:ascii="宋体" w:hAnsi="宋体" w:cs="Times New Roman"/>
          <w:color w:val="000000"/>
          <w:sz w:val="24"/>
          <w:szCs w:val="24"/>
          <w:lang w:bidi="ar-SA"/>
        </w:rPr>
        <w:t xml:space="preserve">在线考试端各功能模块，面向全部考生，报名审核通过后考生凭准考证号与身份证登录进行考试；系统提供答题、自动保存、考试倒计时、在线提交等功能；考试成绩支持自动同步到政务服务审批模块，为后续的审批发证提供依据。为保障考试公平，系统提供屏幕/窗口切换检测、异常行为识别，并配套考后人工复核机制以处理异常与违纪证据。</w:t>
      </w:r>
      <w:r>
        <w:rPr>
          <w:rFonts w:hint="eastAsia" w:ascii="宋体" w:hAnsi="宋体"/>
          <w:color w:val="000000"/>
          <w:sz w:val="24"/>
          <w:szCs w:val="24"/>
        </w:rPr>
      </w:r>
      <w:r/>
    </w:p>
    <w:p>
      <w:pPr>
        <w:pStyle w:val="773"/>
        <w:numPr>
          <w:ilvl w:val="0"/>
          <w:numId w:val="0"/>
        </w:numPr>
        <w:rPr>
          <w:rFonts w:eastAsia="宋体" w:cs="仿宋"/>
          <w:b/>
          <w:bCs/>
          <w:color w:val="000000"/>
        </w:rPr>
        <w:outlineLvl w:val="3"/>
      </w:pPr>
      <w:r/>
      <w:bookmarkEnd w:id="194"/>
      <w:r/>
      <w:bookmarkStart w:id="195" w:name="_Toc226532681"/>
      <w:r>
        <w:rPr>
          <w:rFonts w:hint="eastAsia" w:eastAsia="宋体" w:cs="仿宋"/>
          <w:b/>
          <w:bCs/>
          <w:color w:val="000000"/>
        </w:rPr>
        <w:t xml:space="preserve">7．制订系统对接方案</w:t>
      </w:r>
      <w:bookmarkEnd w:id="195"/>
      <w:r>
        <w:rPr>
          <w:rFonts w:eastAsia="宋体" w:cs="仿宋"/>
          <w:b/>
          <w:bCs/>
          <w:color w:val="000000"/>
        </w:rPr>
      </w:r>
      <w:r/>
    </w:p>
    <w:p>
      <w:pPr>
        <w:pStyle w:val="774"/>
        <w:ind w:firstLine="480"/>
        <w:jc w:val="both"/>
        <w:spacing w:line="360" w:lineRule="auto"/>
        <w:rPr>
          <w:rFonts w:hint="eastAsia" w:ascii="宋体" w:hAnsi="宋体"/>
          <w:color w:val="000000"/>
          <w:sz w:val="24"/>
          <w:szCs w:val="24"/>
        </w:rPr>
      </w:pPr>
      <w:r>
        <w:rPr>
          <w:rFonts w:hint="eastAsia" w:ascii="宋体" w:hAnsi="宋体"/>
          <w:bCs/>
          <w:color w:val="000000"/>
          <w:sz w:val="24"/>
        </w:rPr>
        <w:t xml:space="preserve">供应商应根据磋商文件要求及本项目特点，制订系统对接方案。包含与省数字交通统一平台一体化政务服务平台审批模块以及星火云课堂的对接设计方案，方案中能够有效衔接建管审批模块，预留与住建、人社部门数据核验接口，为全流程“智能网办”打好基础。</w:t>
      </w:r>
      <w:r>
        <w:rPr>
          <w:rFonts w:hint="eastAsia" w:ascii="宋体" w:hAnsi="宋体"/>
          <w:color w:val="000000"/>
          <w:sz w:val="24"/>
          <w:szCs w:val="24"/>
        </w:rPr>
      </w:r>
      <w:r/>
    </w:p>
    <w:p>
      <w:pPr>
        <w:pStyle w:val="773"/>
        <w:numPr>
          <w:ilvl w:val="0"/>
          <w:numId w:val="0"/>
        </w:numPr>
        <w:rPr>
          <w:rFonts w:hint="eastAsia" w:eastAsia="宋体" w:cs="仿宋"/>
          <w:b/>
          <w:bCs/>
          <w:color w:val="000000"/>
        </w:rPr>
        <w:outlineLvl w:val="3"/>
      </w:pPr>
      <w:r/>
      <w:bookmarkStart w:id="196" w:name="_Toc226532682"/>
      <w:r>
        <w:rPr>
          <w:rFonts w:hint="eastAsia" w:eastAsia="宋体" w:cs="仿宋"/>
          <w:b/>
          <w:bCs/>
          <w:color w:val="000000"/>
        </w:rPr>
        <w:t xml:space="preserve">8．制订项目实施方案</w:t>
      </w:r>
      <w:bookmarkEnd w:id="196"/>
      <w:r>
        <w:rPr>
          <w:rFonts w:hint="eastAsia" w:eastAsia="宋体" w:cs="仿宋"/>
          <w:b/>
          <w:bCs/>
          <w:color w:val="000000"/>
        </w:rPr>
      </w:r>
      <w:r/>
    </w:p>
    <w:p>
      <w:pPr>
        <w:pStyle w:val="774"/>
        <w:ind w:firstLine="480"/>
        <w:spacing w:line="360" w:lineRule="auto"/>
        <w:rPr>
          <w:rFonts w:hint="eastAsia" w:ascii="宋体" w:hAnsi="宋体"/>
          <w:bCs/>
          <w:color w:val="000000"/>
          <w:sz w:val="24"/>
        </w:rPr>
      </w:pPr>
      <w:r>
        <w:rPr>
          <w:rFonts w:hint="eastAsia" w:ascii="宋体" w:hAnsi="宋体"/>
          <w:bCs/>
          <w:color w:val="000000"/>
          <w:sz w:val="24"/>
        </w:rPr>
        <w:t xml:space="preserve">供应商应根据磋商文件要求及本项目特点，制订完整、科学、可行且具有针对性的项目实施方案，内容至少包含进度计划与实施保障措施、质量保障措施、风险管理体系、关键节点时间安排、人员配置方案等。</w:t>
      </w:r>
      <w:r>
        <w:rPr>
          <w:rFonts w:hint="eastAsia" w:ascii="宋体" w:hAnsi="宋体"/>
          <w:bCs/>
          <w:color w:val="000000"/>
          <w:sz w:val="24"/>
        </w:rPr>
      </w:r>
      <w:r/>
    </w:p>
    <w:p>
      <w:pPr>
        <w:pStyle w:val="774"/>
        <w:ind w:firstLine="480"/>
        <w:spacing w:line="360" w:lineRule="auto"/>
        <w:rPr>
          <w:rFonts w:hint="eastAsia" w:ascii="宋体" w:hAnsi="宋体"/>
          <w:bCs/>
          <w:color w:val="000000"/>
          <w:sz w:val="24"/>
        </w:rPr>
      </w:pPr>
      <w:r>
        <w:rPr>
          <w:rFonts w:hint="eastAsia" w:ascii="宋体" w:hAnsi="宋体"/>
          <w:bCs/>
          <w:color w:val="000000"/>
          <w:sz w:val="24"/>
        </w:rPr>
        <w:t xml:space="preserve">实施方案需明确项目总工期，严格按照交付时限倒排计划，明确各阶段交付物清单及完成时限。</w:t>
      </w:r>
      <w:r>
        <w:rPr>
          <w:rFonts w:hint="eastAsia" w:ascii="宋体" w:hAnsi="宋体"/>
          <w:bCs/>
          <w:color w:val="000000"/>
          <w:sz w:val="24"/>
        </w:rPr>
      </w:r>
      <w:r/>
    </w:p>
    <w:p>
      <w:pPr>
        <w:pStyle w:val="774"/>
        <w:ind w:firstLine="480"/>
        <w:spacing w:line="360" w:lineRule="auto"/>
        <w:rPr>
          <w:rFonts w:ascii="宋体" w:hAnsi="宋体"/>
          <w:bCs/>
          <w:color w:val="000000"/>
          <w:sz w:val="24"/>
        </w:rPr>
      </w:pPr>
      <w:r>
        <w:rPr>
          <w:rFonts w:hint="eastAsia" w:ascii="宋体" w:hAnsi="宋体"/>
          <w:bCs/>
          <w:color w:val="000000"/>
          <w:sz w:val="24"/>
        </w:rPr>
        <w:t xml:space="preserve">人员配置上，须配备具有同类项目 3 年及以上实施经验的专职项目经理，以及具备相应专业资质或 2 年以上相关技术服务经验的技术团队，不得随意更换；确需调整的，须提前7 个工作日书面征得采购人同意，且继任人员资质与经验不低于前任水平。</w:t>
      </w:r>
      <w:r>
        <w:rPr>
          <w:rFonts w:ascii="宋体" w:hAnsi="宋体"/>
          <w:bCs/>
          <w:color w:val="000000"/>
          <w:sz w:val="24"/>
        </w:rPr>
      </w:r>
      <w:r/>
    </w:p>
    <w:p>
      <w:pPr>
        <w:pStyle w:val="773"/>
        <w:numPr>
          <w:ilvl w:val="0"/>
          <w:numId w:val="0"/>
        </w:numPr>
        <w:rPr>
          <w:rFonts w:eastAsia="宋体" w:cs="仿宋"/>
          <w:b/>
          <w:bCs/>
          <w:color w:val="000000"/>
        </w:rPr>
        <w:outlineLvl w:val="3"/>
      </w:pPr>
      <w:r>
        <w:rPr>
          <w:rFonts w:hint="eastAsia" w:eastAsia="宋体" w:cs="仿宋"/>
          <w:b/>
          <w:bCs/>
          <w:color w:val="000000"/>
        </w:rPr>
        <w:t xml:space="preserve">9．制定项目测试方案</w:t>
      </w:r>
      <w:r>
        <w:rPr>
          <w:rFonts w:eastAsia="宋体" w:cs="仿宋"/>
          <w:b/>
          <w:bCs/>
          <w:color w:val="000000"/>
        </w:rPr>
      </w:r>
      <w:r/>
    </w:p>
    <w:p>
      <w:pPr>
        <w:pStyle w:val="774"/>
        <w:ind w:firstLine="480"/>
        <w:spacing w:line="360" w:lineRule="auto"/>
        <w:rPr>
          <w:rFonts w:hint="eastAsia" w:ascii="宋体" w:hAnsi="宋体"/>
          <w:bCs/>
          <w:color w:val="000000"/>
          <w:sz w:val="24"/>
        </w:rPr>
      </w:pPr>
      <w:r>
        <w:rPr>
          <w:rFonts w:hint="eastAsia" w:ascii="宋体" w:hAnsi="宋体"/>
          <w:color w:val="000000"/>
          <w:sz w:val="24"/>
          <w:szCs w:val="24"/>
        </w:rPr>
        <w:t xml:space="preserve">供应商提交完整测试方案，明确测试目标、方法、与交付物；测试范围至少包含单元测试、集成测试、系统测试、验收测试、性能测试、安全测试；方案须列明测试环境与工具，包括所需硬件、操作系统/中间件、自动化与性能测试工具等。</w:t>
      </w:r>
      <w:r>
        <w:rPr>
          <w:rFonts w:hint="eastAsia" w:ascii="宋体" w:hAnsi="宋体"/>
          <w:bCs/>
          <w:color w:val="000000"/>
          <w:sz w:val="24"/>
        </w:rPr>
      </w:r>
      <w:r/>
    </w:p>
    <w:p>
      <w:pPr>
        <w:pStyle w:val="773"/>
        <w:numPr>
          <w:ilvl w:val="0"/>
          <w:numId w:val="0"/>
        </w:numPr>
        <w:rPr>
          <w:rFonts w:eastAsia="宋体" w:cs="仿宋"/>
          <w:b/>
          <w:bCs/>
          <w:color w:val="000000"/>
        </w:rPr>
        <w:outlineLvl w:val="3"/>
      </w:pPr>
      <w:r/>
      <w:bookmarkStart w:id="197" w:name="_Toc226532683"/>
      <w:r>
        <w:rPr>
          <w:rFonts w:hint="eastAsia" w:eastAsia="宋体" w:cs="仿宋"/>
          <w:b/>
          <w:bCs/>
          <w:color w:val="000000"/>
        </w:rPr>
        <w:t xml:space="preserve">10．制订项目验收方案</w:t>
      </w:r>
      <w:bookmarkEnd w:id="197"/>
      <w:r>
        <w:rPr>
          <w:rFonts w:eastAsia="宋体" w:cs="仿宋"/>
          <w:b/>
          <w:bCs/>
          <w:color w:val="000000"/>
        </w:rPr>
      </w:r>
      <w:r/>
    </w:p>
    <w:p>
      <w:pPr>
        <w:pStyle w:val="774"/>
        <w:ind w:firstLine="480"/>
        <w:jc w:val="both"/>
        <w:spacing w:line="360" w:lineRule="auto"/>
        <w:rPr>
          <w:rFonts w:hint="eastAsia" w:ascii="宋体" w:hAnsi="宋体"/>
          <w:bCs/>
          <w:color w:val="000000"/>
          <w:sz w:val="24"/>
        </w:rPr>
      </w:pPr>
      <w:r>
        <w:rPr>
          <w:rFonts w:hint="eastAsia" w:ascii="宋体" w:hAnsi="宋体"/>
          <w:bCs/>
          <w:color w:val="000000"/>
          <w:sz w:val="24"/>
        </w:rPr>
        <w:t xml:space="preserve">供应商应根据磋商文件要求及本项目特点，制订项目验收方案。验收方案要体现本项目的全过程质量管控，并成立验收小组，对包括前期开发、系统调试等实施验收并进行全过程记录，以及收集整理全套材料，确保本项目达到各项响应承诺要求。</w:t>
      </w:r>
      <w:r>
        <w:rPr>
          <w:rFonts w:hint="eastAsia" w:ascii="宋体" w:hAnsi="宋体"/>
          <w:bCs/>
          <w:color w:val="000000"/>
          <w:sz w:val="24"/>
        </w:rPr>
      </w:r>
      <w:r/>
    </w:p>
    <w:p>
      <w:pPr>
        <w:pStyle w:val="773"/>
        <w:numPr>
          <w:ilvl w:val="0"/>
          <w:numId w:val="0"/>
        </w:numPr>
        <w:rPr>
          <w:rFonts w:hint="eastAsia" w:eastAsia="宋体" w:cs="仿宋"/>
          <w:b/>
          <w:bCs/>
          <w:color w:val="000000"/>
        </w:rPr>
        <w:outlineLvl w:val="3"/>
      </w:pPr>
      <w:r/>
      <w:bookmarkStart w:id="198" w:name="_Toc226532684"/>
      <w:r>
        <w:rPr>
          <w:rFonts w:hint="eastAsia" w:eastAsia="宋体" w:cs="仿宋"/>
          <w:b/>
          <w:bCs/>
          <w:color w:val="000000"/>
        </w:rPr>
        <w:t xml:space="preserve">11．制定项目培训方案</w:t>
      </w:r>
      <w:bookmarkEnd w:id="198"/>
      <w:r>
        <w:rPr>
          <w:rFonts w:hint="eastAsia" w:eastAsia="宋体" w:cs="仿宋"/>
          <w:b/>
          <w:bCs/>
          <w:color w:val="000000"/>
        </w:rPr>
      </w:r>
      <w:r/>
    </w:p>
    <w:p>
      <w:pPr>
        <w:pStyle w:val="774"/>
        <w:ind w:firstLine="480"/>
        <w:jc w:val="both"/>
        <w:spacing w:line="360" w:lineRule="auto"/>
        <w:rPr>
          <w:rFonts w:ascii="宋体" w:hAnsi="宋体"/>
          <w:bCs/>
          <w:color w:val="000000"/>
          <w:sz w:val="24"/>
        </w:rPr>
      </w:pPr>
      <w:r>
        <w:rPr>
          <w:rFonts w:hint="eastAsia" w:ascii="宋体" w:hAnsi="宋体"/>
          <w:bCs/>
          <w:color w:val="000000"/>
          <w:sz w:val="24"/>
        </w:rPr>
        <w:t xml:space="preserve">供应商应根据磋商文件要求及本项目特点，制订项目的培训计划、培训内容并提供培训课程不少于3次。供应商应安排具备相应资质和经验的技术人员，对采购单位的使用部门人员进行全流程使用培训，确保相关人员能熟练系统的日常使用及维护。</w:t>
      </w:r>
      <w:r>
        <w:rPr>
          <w:rFonts w:ascii="宋体" w:hAnsi="宋体"/>
          <w:bCs/>
          <w:color w:val="000000"/>
          <w:sz w:val="24"/>
        </w:rPr>
      </w:r>
      <w:r/>
    </w:p>
    <w:p>
      <w:pPr>
        <w:pStyle w:val="773"/>
        <w:numPr>
          <w:ilvl w:val="0"/>
          <w:numId w:val="0"/>
        </w:numPr>
        <w:rPr>
          <w:rFonts w:hint="eastAsia" w:eastAsia="宋体" w:cs="仿宋"/>
          <w:b/>
          <w:bCs/>
          <w:color w:val="000000"/>
        </w:rPr>
        <w:outlineLvl w:val="3"/>
      </w:pPr>
      <w:r/>
      <w:bookmarkStart w:id="199" w:name="_Toc226532685"/>
      <w:r>
        <w:rPr>
          <w:rFonts w:hint="eastAsia" w:eastAsia="宋体" w:cs="仿宋"/>
          <w:b/>
          <w:bCs/>
          <w:color w:val="000000"/>
        </w:rPr>
        <w:t xml:space="preserve">12．制定售后服务方案</w:t>
      </w:r>
      <w:bookmarkEnd w:id="199"/>
      <w:r>
        <w:rPr>
          <w:rFonts w:hint="eastAsia" w:eastAsia="宋体" w:cs="仿宋"/>
          <w:b/>
          <w:bCs/>
          <w:color w:val="000000"/>
        </w:rPr>
      </w:r>
      <w:r/>
    </w:p>
    <w:p>
      <w:pPr>
        <w:pStyle w:val="774"/>
        <w:ind w:firstLine="480"/>
        <w:jc w:val="both"/>
        <w:spacing w:line="360" w:lineRule="auto"/>
        <w:rPr>
          <w:rFonts w:hint="eastAsia" w:ascii="宋体" w:hAnsi="宋体"/>
          <w:bCs/>
          <w:color w:val="000000"/>
          <w:sz w:val="24"/>
        </w:rPr>
      </w:pPr>
      <w:r>
        <w:rPr>
          <w:rFonts w:hint="eastAsia" w:ascii="宋体" w:hAnsi="宋体"/>
          <w:bCs/>
          <w:color w:val="000000"/>
          <w:sz w:val="24"/>
        </w:rPr>
        <w:t xml:space="preserve">供应商应制订有关售后服务的管理制度，提供售后服务人员的数量、素质、技术水平及售后服务的</w:t>
      </w:r>
      <w:r>
        <w:rPr>
          <w:rFonts w:ascii="宋体" w:hAnsi="宋体"/>
          <w:bCs/>
          <w:color w:val="000000"/>
          <w:sz w:val="24"/>
        </w:rPr>
        <w:t xml:space="preserve">响应标准、</w:t>
      </w:r>
      <w:r>
        <w:rPr>
          <w:rFonts w:hint="eastAsia" w:ascii="宋体" w:hAnsi="宋体"/>
          <w:bCs/>
          <w:color w:val="000000"/>
          <w:sz w:val="24"/>
        </w:rPr>
        <w:t xml:space="preserve">服务体系、</w:t>
      </w:r>
      <w:r>
        <w:rPr>
          <w:rFonts w:ascii="宋体" w:hAnsi="宋体"/>
          <w:bCs/>
          <w:color w:val="000000"/>
          <w:sz w:val="24"/>
        </w:rPr>
        <w:t xml:space="preserve">故障解决方案等</w:t>
      </w:r>
      <w:r>
        <w:rPr>
          <w:rFonts w:hint="eastAsia" w:ascii="宋体" w:hAnsi="宋体"/>
          <w:bCs/>
          <w:color w:val="000000"/>
          <w:sz w:val="24"/>
        </w:rPr>
        <w:t xml:space="preserve">服务方案；服务方案应科学合理、具备针对性，并指定专门的售后服务人员，技术人员在1小时内响应，2小时内到场，非工作日期间，技术人员在2小时内响应，4小时内到场。一般性技术故障，需在2小时内解决问题，特殊重大技术故障，需在4小时内提出修改方案，并在24小时内解决问题。</w:t>
      </w:r>
      <w:r>
        <w:rPr>
          <w:rFonts w:hint="eastAsia" w:ascii="宋体" w:hAnsi="宋体"/>
          <w:bCs/>
          <w:color w:val="000000"/>
          <w:sz w:val="24"/>
        </w:rPr>
      </w:r>
      <w:r/>
    </w:p>
    <w:p>
      <w:pPr>
        <w:pStyle w:val="656"/>
        <w:tabs>
          <w:tab w:val="left" w:pos="6200" w:leader="none"/>
        </w:tabs>
        <w:rPr>
          <w:rFonts w:ascii="Arial" w:hAnsi="Arial" w:cs="Arial"/>
          <w:b/>
          <w:sz w:val="32"/>
          <w:szCs w:val="21"/>
        </w:rPr>
      </w:pPr>
      <w:r>
        <w:rPr>
          <w:rFonts w:ascii="Arial" w:hAnsi="Arial" w:cs="Arial"/>
          <w:b/>
          <w:sz w:val="32"/>
          <w:szCs w:val="21"/>
        </w:rPr>
      </w:r>
      <w:r/>
    </w:p>
    <w:p>
      <w:pPr>
        <w:pStyle w:val="656"/>
        <w:tabs>
          <w:tab w:val="left" w:pos="6200" w:leader="none"/>
        </w:tabs>
        <w:rPr>
          <w:rFonts w:hint="eastAsia" w:ascii="Arial" w:hAnsi="Arial" w:cs="Arial"/>
          <w:b/>
          <w:sz w:val="32"/>
          <w:szCs w:val="21"/>
        </w:rPr>
      </w:pPr>
      <w:r>
        <w:rPr>
          <w:rFonts w:hint="eastAsia" w:ascii="Arial" w:hAnsi="Arial" w:cs="Arial"/>
          <w:b/>
          <w:sz w:val="32"/>
          <w:szCs w:val="21"/>
        </w:rPr>
      </w:r>
      <w:r/>
    </w:p>
    <w:p>
      <w:pPr>
        <w:pStyle w:val="656"/>
        <w:tabs>
          <w:tab w:val="left" w:pos="6200" w:leader="none"/>
        </w:tabs>
        <w:rPr>
          <w:rFonts w:hint="eastAsia" w:ascii="Arial" w:hAnsi="Arial" w:cs="Arial"/>
          <w:b/>
          <w:sz w:val="32"/>
          <w:szCs w:val="21"/>
        </w:rPr>
      </w:pPr>
      <w:r>
        <w:rPr>
          <w:rFonts w:hint="eastAsia" w:ascii="Arial" w:hAnsi="Arial" w:cs="Arial"/>
          <w:b/>
          <w:sz w:val="32"/>
          <w:szCs w:val="21"/>
        </w:rPr>
      </w:r>
      <w:r/>
    </w:p>
    <w:p>
      <w:pPr>
        <w:pStyle w:val="656"/>
        <w:jc w:val="center"/>
        <w:keepNext/>
        <w:rPr>
          <w:rFonts w:hint="eastAsia" w:ascii="黑体" w:hAnsi="Times New Roman" w:eastAsia="黑体"/>
          <w:bCs/>
          <w:sz w:val="44"/>
          <w:szCs w:val="28"/>
        </w:rPr>
        <w:outlineLvl w:val="0"/>
      </w:pPr>
      <w:r/>
      <w:bookmarkStart w:id="200" w:name="_Toc120614281"/>
      <w:r>
        <w:rPr>
          <w:rFonts w:hint="eastAsia" w:ascii="黑体" w:hAnsi="Times New Roman" w:eastAsia="黑体"/>
          <w:bCs/>
          <w:sz w:val="44"/>
          <w:szCs w:val="28"/>
        </w:rPr>
        <w:t xml:space="preserve">第五章  评审方法与评审标准</w:t>
      </w:r>
      <w:r>
        <w:rPr>
          <w:rFonts w:hint="eastAsia" w:ascii="黑体" w:hAnsi="Times New Roman" w:eastAsia="黑体"/>
          <w:bCs/>
          <w:sz w:val="44"/>
          <w:szCs w:val="28"/>
        </w:rPr>
      </w:r>
      <w:r/>
    </w:p>
    <w:p>
      <w:pPr>
        <w:pStyle w:val="656"/>
        <w:rPr>
          <w:rFonts w:hint="eastAsia" w:ascii="Times New Roman" w:hAnsi="Times New Roman"/>
          <w:szCs w:val="21"/>
        </w:rPr>
      </w:pPr>
      <w:r>
        <w:rPr>
          <w:rFonts w:hint="eastAsia" w:ascii="Times New Roman" w:hAnsi="Times New Roman"/>
          <w:szCs w:val="21"/>
        </w:rPr>
      </w:r>
      <w:r/>
    </w:p>
    <w:p>
      <w:pPr>
        <w:pStyle w:val="656"/>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56"/>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656"/>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656"/>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rPr>
          <w:rFonts w:hint="eastAsia" w:ascii="宋体" w:hAnsi="宋体"/>
          <w:sz w:val="24"/>
          <w:szCs w:val="24"/>
        </w:rPr>
      </w:r>
      <w:r/>
    </w:p>
    <w:p>
      <w:pPr>
        <w:pStyle w:val="656"/>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656"/>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56"/>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656"/>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656"/>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656"/>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56"/>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656"/>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656"/>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656"/>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656"/>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656"/>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p>
      <w:pPr>
        <w:pStyle w:val="656"/>
        <w:ind w:firstLine="480"/>
        <w:spacing w:line="360" w:lineRule="auto"/>
        <w:rPr>
          <w:rFonts w:hint="eastAsia" w:ascii="宋体" w:hAnsi="宋体"/>
          <w:color w:val="000000"/>
          <w:sz w:val="24"/>
        </w:rPr>
      </w:pPr>
      <w:r>
        <w:rPr>
          <w:rFonts w:hint="eastAsia" w:ascii="宋体" w:hAnsi="宋体"/>
          <w:color w:val="000000"/>
          <w:sz w:val="24"/>
        </w:rPr>
        <w:t xml:space="preserve">本项目采用综合评分法确定成交候选人。磋商小组会将按下列评分办法和标准进行评分，总分值为100分。</w:t>
      </w:r>
      <w:r>
        <w:rPr>
          <w:rFonts w:hint="eastAsia" w:ascii="宋体" w:hAnsi="宋体"/>
          <w:color w:val="000000"/>
          <w:sz w:val="24"/>
        </w:rPr>
      </w:r>
      <w:r/>
    </w:p>
    <w:tbl>
      <w:tblPr>
        <w:tblW w:w="52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31"/>
        <w:gridCol w:w="646"/>
        <w:gridCol w:w="5488"/>
        <w:gridCol w:w="742"/>
      </w:tblGrid>
      <w:tr>
        <w:trPr>
          <w:trHeight w:val="458"/>
          <w:tblHeader/>
        </w:trPr>
        <w:tc>
          <w:tcPr>
            <w:tcW w:w="864" w:type="dxa"/>
            <w:vAlign w:val="center"/>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序号</w:t>
            </w:r>
            <w:r>
              <w:rPr>
                <w:rFonts w:ascii="宋体" w:hAnsi="宋体"/>
                <w:b/>
                <w:bCs/>
                <w:color w:val="000000"/>
                <w:szCs w:val="21"/>
              </w:rPr>
            </w:r>
            <w:r/>
          </w:p>
        </w:tc>
        <w:tc>
          <w:tcPr>
            <w:tcW w:w="1131" w:type="dxa"/>
            <w:vAlign w:val="center"/>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评分因素</w:t>
            </w:r>
            <w:r>
              <w:rPr>
                <w:rFonts w:ascii="宋体" w:hAnsi="宋体"/>
                <w:b/>
                <w:bCs/>
                <w:color w:val="000000"/>
                <w:szCs w:val="21"/>
              </w:rPr>
            </w:r>
            <w:r/>
          </w:p>
        </w:tc>
        <w:tc>
          <w:tcPr>
            <w:gridSpan w:val="2"/>
            <w:tcW w:w="6134" w:type="dxa"/>
            <w:vAlign w:val="center"/>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评审标准</w:t>
            </w:r>
            <w:r>
              <w:rPr>
                <w:rFonts w:ascii="宋体" w:hAnsi="宋体"/>
                <w:b/>
                <w:bCs/>
                <w:color w:val="000000"/>
                <w:szCs w:val="21"/>
              </w:rPr>
            </w:r>
            <w:r/>
          </w:p>
        </w:tc>
        <w:tc>
          <w:tcPr>
            <w:tcW w:w="742" w:type="dxa"/>
            <w:vAlign w:val="center"/>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分值</w:t>
            </w:r>
            <w:r>
              <w:rPr>
                <w:rFonts w:ascii="宋体" w:hAnsi="宋体"/>
                <w:b/>
                <w:bCs/>
                <w:color w:val="000000"/>
                <w:szCs w:val="21"/>
              </w:rPr>
            </w:r>
            <w:r/>
          </w:p>
        </w:tc>
      </w:tr>
      <w:tr>
        <w:trPr>
          <w:trHeight w:val="90"/>
        </w:trPr>
        <w:tc>
          <w:tcPr>
            <w:gridSpan w:val="5"/>
            <w:tcW w:w="8871" w:type="dxa"/>
            <w:vAlign w:val="center"/>
            <w:textDirection w:val="lrTb"/>
            <w:noWrap w:val="false"/>
          </w:tcPr>
          <w:p>
            <w:pPr>
              <w:pStyle w:val="656"/>
              <w:jc w:val="center"/>
              <w:spacing w:line="360" w:lineRule="auto"/>
              <w:rPr>
                <w:rFonts w:ascii="宋体" w:hAnsi="宋体"/>
                <w:b/>
                <w:bCs/>
                <w:color w:val="000000"/>
                <w:szCs w:val="21"/>
              </w:rPr>
            </w:pPr>
            <w:r>
              <w:rPr>
                <w:rFonts w:hint="eastAsia" w:ascii="宋体" w:hAnsi="宋体"/>
                <w:b/>
                <w:bCs/>
                <w:color w:val="000000"/>
                <w:szCs w:val="21"/>
              </w:rPr>
              <w:t xml:space="preserve">1.价格（10分）</w:t>
            </w:r>
            <w:r>
              <w:rPr>
                <w:rFonts w:ascii="宋体" w:hAnsi="宋体"/>
                <w:b/>
                <w:bCs/>
                <w:color w:val="000000"/>
                <w:szCs w:val="21"/>
              </w:rPr>
            </w:r>
            <w:r/>
          </w:p>
        </w:tc>
      </w:tr>
      <w:tr>
        <w:trPr>
          <w:trHeight w:val="919"/>
        </w:trPr>
        <w:tc>
          <w:tcPr>
            <w:tcW w:w="864" w:type="dxa"/>
            <w:vAlign w:val="center"/>
            <w:textDirection w:val="lrTb"/>
            <w:noWrap w:val="false"/>
          </w:tcPr>
          <w:p>
            <w:pPr>
              <w:pStyle w:val="656"/>
              <w:jc w:val="center"/>
              <w:spacing w:line="360" w:lineRule="auto"/>
              <w:rPr>
                <w:rFonts w:hint="eastAsia"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w:t>
            </w:r>
            <w:r>
              <w:rPr>
                <w:rFonts w:hint="eastAsia" w:ascii="宋体" w:hAnsi="宋体"/>
                <w:b/>
                <w:bCs/>
                <w:color w:val="000000"/>
                <w:szCs w:val="21"/>
              </w:rPr>
            </w:r>
            <w:r/>
          </w:p>
        </w:tc>
        <w:tc>
          <w:tcPr>
            <w:tcW w:w="1131" w:type="dxa"/>
            <w:vAlign w:val="center"/>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价格</w:t>
            </w:r>
            <w:r>
              <w:rPr>
                <w:rFonts w:ascii="宋体" w:hAnsi="宋体"/>
                <w:b/>
                <w:bCs/>
                <w:color w:val="000000"/>
                <w:szCs w:val="21"/>
              </w:rPr>
            </w:r>
            <w:r/>
          </w:p>
        </w:tc>
        <w:tc>
          <w:tcPr>
            <w:gridSpan w:val="2"/>
            <w:tcW w:w="6134" w:type="dxa"/>
            <w:vAlign w:val="center"/>
            <w:textDirection w:val="lrTb"/>
            <w:noWrap w:val="false"/>
          </w:tcPr>
          <w:p>
            <w:pPr>
              <w:pStyle w:val="656"/>
              <w:spacing w:line="360" w:lineRule="auto"/>
              <w:rPr>
                <w:rFonts w:ascii="宋体" w:hAnsi="宋体"/>
                <w:color w:val="000000"/>
                <w:szCs w:val="21"/>
              </w:rPr>
            </w:pPr>
            <w:r>
              <w:rPr>
                <w:rFonts w:hint="eastAsia" w:ascii="宋体" w:hAnsi="宋体"/>
                <w:color w:val="000000"/>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10（小数点保留两位）。</w:t>
            </w:r>
            <w:r>
              <w:rPr>
                <w:rFonts w:ascii="宋体" w:hAnsi="宋体"/>
                <w:color w:val="000000"/>
                <w:szCs w:val="21"/>
              </w:rPr>
            </w:r>
            <w:r/>
          </w:p>
        </w:tc>
        <w:tc>
          <w:tcPr>
            <w:tcW w:w="742" w:type="dxa"/>
            <w:vAlign w:val="center"/>
            <w:textDirection w:val="lrTb"/>
            <w:noWrap w:val="false"/>
          </w:tcPr>
          <w:p>
            <w:pPr>
              <w:pStyle w:val="656"/>
              <w:jc w:val="center"/>
              <w:spacing w:line="360" w:lineRule="auto"/>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0</w:t>
            </w:r>
            <w:r>
              <w:rPr>
                <w:rFonts w:ascii="宋体" w:hAnsi="宋体"/>
                <w:b/>
                <w:bCs/>
                <w:color w:val="000000"/>
                <w:szCs w:val="21"/>
              </w:rPr>
            </w:r>
            <w:r/>
          </w:p>
        </w:tc>
      </w:tr>
      <w:tr>
        <w:trPr>
          <w:trHeight w:val="117"/>
        </w:trPr>
        <w:tc>
          <w:tcPr>
            <w:gridSpan w:val="5"/>
            <w:tcW w:w="8871"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商务评审</w:t>
            </w:r>
            <w:r>
              <w:rPr>
                <w:rFonts w:hint="eastAsia" w:ascii="宋体" w:hAnsi="宋体"/>
                <w:b/>
                <w:bCs/>
                <w:color w:val="000000"/>
                <w:szCs w:val="21"/>
              </w:rPr>
              <w:t xml:space="preserve">（</w:t>
            </w:r>
            <w:r>
              <w:rPr>
                <w:rFonts w:hint="eastAsia" w:ascii="宋体" w:hAnsi="宋体"/>
                <w:b/>
                <w:bCs/>
                <w:color w:val="000000"/>
                <w:szCs w:val="21"/>
                <w:lang w:val="en-US" w:eastAsia="zh-CN"/>
              </w:rPr>
              <w:t xml:space="preserve">3</w:t>
            </w:r>
            <w:r>
              <w:rPr>
                <w:rFonts w:hint="eastAsia" w:ascii="宋体" w:hAnsi="宋体"/>
                <w:b/>
                <w:bCs/>
                <w:color w:val="000000"/>
                <w:szCs w:val="21"/>
                <w:lang w:val="en-US" w:eastAsia="zh-CN"/>
              </w:rPr>
              <w:t xml:space="preserve">0</w:t>
            </w:r>
            <w:r>
              <w:rPr>
                <w:rFonts w:hint="eastAsia" w:ascii="宋体" w:hAnsi="宋体"/>
                <w:b/>
                <w:bCs/>
                <w:color w:val="000000"/>
                <w:szCs w:val="21"/>
              </w:rPr>
              <w:t xml:space="preserve">分）</w:t>
            </w:r>
            <w:r>
              <w:rPr>
                <w:rFonts w:hint="eastAsia" w:ascii="宋体" w:hAnsi="宋体"/>
                <w:b/>
                <w:bCs/>
                <w:color w:val="000000"/>
                <w:szCs w:val="21"/>
              </w:rPr>
            </w:r>
            <w:r/>
          </w:p>
        </w:tc>
      </w:tr>
      <w:tr>
        <w:trPr>
          <w:trHeight w:val="589"/>
        </w:trPr>
        <w:tc>
          <w:tcPr>
            <w:tcW w:w="864" w:type="dxa"/>
            <w:vAlign w:val="center"/>
            <w:vMerge w:val="restart"/>
            <w:textDirection w:val="lrTb"/>
            <w:noWrap w:val="false"/>
          </w:tcPr>
          <w:p>
            <w:pPr>
              <w:pStyle w:val="656"/>
              <w:jc w:val="center"/>
              <w:spacing w:line="360" w:lineRule="auto"/>
              <w:rPr>
                <w:rFonts w:hint="eastAsia"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w:t>
            </w:r>
            <w:r>
              <w:rPr>
                <w:rFonts w:hint="eastAsia" w:ascii="宋体" w:hAnsi="宋体"/>
                <w:b/>
                <w:bCs/>
                <w:color w:val="000000"/>
                <w:szCs w:val="21"/>
              </w:rPr>
            </w:r>
            <w:r/>
          </w:p>
        </w:tc>
        <w:tc>
          <w:tcPr>
            <w:tcW w:w="1131" w:type="dxa"/>
            <w:vAlign w:val="center"/>
            <w:vMerge w:val="restart"/>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商务</w:t>
            </w:r>
            <w:r>
              <w:rPr>
                <w:rFonts w:ascii="宋体" w:hAnsi="宋体"/>
                <w:b/>
                <w:bCs/>
                <w:color w:val="000000"/>
                <w:szCs w:val="21"/>
              </w:rPr>
            </w:r>
            <w:r/>
          </w:p>
          <w:p>
            <w:pPr>
              <w:pStyle w:val="656"/>
              <w:jc w:val="center"/>
              <w:spacing w:line="360" w:lineRule="auto"/>
              <w:rPr>
                <w:rFonts w:ascii="宋体" w:hAnsi="宋体"/>
                <w:b/>
                <w:bCs/>
                <w:color w:val="000000"/>
                <w:szCs w:val="21"/>
              </w:rPr>
            </w:pPr>
            <w:r>
              <w:rPr>
                <w:rFonts w:ascii="宋体" w:hAnsi="宋体"/>
                <w:b/>
                <w:bCs/>
                <w:color w:val="000000"/>
                <w:szCs w:val="21"/>
              </w:rPr>
              <w:t xml:space="preserve">评审</w:t>
            </w:r>
            <w:r>
              <w:rPr>
                <w:rFonts w:ascii="宋体" w:hAnsi="宋体"/>
                <w:b/>
                <w:bCs/>
                <w:color w:val="000000"/>
                <w:szCs w:val="21"/>
              </w:rPr>
            </w:r>
            <w:r/>
          </w:p>
        </w:tc>
        <w:tc>
          <w:tcPr>
            <w:tcW w:w="646" w:type="dxa"/>
            <w:vAlign w:val="center"/>
            <w:textDirection w:val="lrTb"/>
            <w:noWrap w:val="false"/>
          </w:tcPr>
          <w:p>
            <w:pPr>
              <w:pStyle w:val="656"/>
              <w:jc w:val="center"/>
              <w:spacing w:line="360" w:lineRule="auto"/>
              <w:rPr>
                <w:rFonts w:ascii="宋体" w:hAnsi="宋体"/>
                <w:bCs/>
                <w:color w:val="000000"/>
                <w:szCs w:val="21"/>
              </w:rPr>
            </w:pPr>
            <w:r>
              <w:rPr>
                <w:rFonts w:hint="eastAsia" w:ascii="宋体" w:hAnsi="宋体"/>
                <w:bCs/>
                <w:color w:val="000000"/>
                <w:szCs w:val="21"/>
              </w:rPr>
              <w:t xml:space="preserve">2.1企业资质</w:t>
            </w:r>
            <w:r>
              <w:rPr>
                <w:rFonts w:ascii="宋体" w:hAnsi="宋体"/>
                <w:bCs/>
                <w:color w:val="000000"/>
                <w:szCs w:val="21"/>
              </w:rPr>
            </w:r>
            <w:r/>
          </w:p>
        </w:tc>
        <w:tc>
          <w:tcPr>
            <w:tcW w:w="5488" w:type="dxa"/>
            <w:vAlign w:val="center"/>
            <w:textDirection w:val="lrTb"/>
            <w:noWrap w:val="false"/>
          </w:tcPr>
          <w:p>
            <w:pPr>
              <w:pStyle w:val="656"/>
              <w:spacing w:line="360" w:lineRule="auto"/>
              <w:rPr>
                <w:rFonts w:hint="eastAsia" w:ascii="宋体" w:hAnsi="宋体"/>
                <w:bCs/>
                <w:color w:val="000000"/>
                <w:szCs w:val="21"/>
              </w:rPr>
            </w:pPr>
            <w:r>
              <w:rPr>
                <w:rFonts w:hint="eastAsia" w:ascii="宋体" w:hAnsi="宋体"/>
                <w:bCs/>
                <w:color w:val="000000"/>
                <w:szCs w:val="21"/>
              </w:rPr>
              <w:t xml:space="preserve">2.1.1供应商具有有效期内的ISO9001质量管理体系认证证书的，得3分。（提供有效证书复印件并加盖供应商公章，未提供不得分）。</w:t>
            </w:r>
            <w:r>
              <w:rPr>
                <w:rFonts w:hint="eastAsia" w:ascii="宋体" w:hAnsi="宋体"/>
                <w:bCs/>
                <w:color w:val="000000"/>
                <w:szCs w:val="21"/>
              </w:rPr>
            </w:r>
            <w:r/>
          </w:p>
          <w:p>
            <w:pPr>
              <w:pStyle w:val="656"/>
              <w:spacing w:line="360" w:lineRule="auto"/>
              <w:rPr>
                <w:rFonts w:hint="eastAsia" w:ascii="宋体" w:hAnsi="宋体"/>
                <w:bCs/>
                <w:color w:val="000000"/>
                <w:szCs w:val="21"/>
              </w:rPr>
            </w:pPr>
            <w:r>
              <w:rPr>
                <w:rFonts w:hint="eastAsia" w:ascii="宋体" w:hAnsi="宋体"/>
                <w:bCs/>
                <w:color w:val="000000"/>
                <w:szCs w:val="21"/>
              </w:rPr>
              <w:t xml:space="preserve">2.1.2供应商具有有效期内的ISO27001信息安全管理体系认证证书的，得3分。（提供有效证书复印件并加盖供应商公章，未提供不得分）。</w:t>
            </w:r>
            <w:r>
              <w:rPr>
                <w:rFonts w:hint="eastAsia" w:ascii="宋体" w:hAnsi="宋体"/>
                <w:bCs/>
                <w:color w:val="000000"/>
                <w:szCs w:val="21"/>
              </w:rPr>
            </w:r>
            <w:r/>
          </w:p>
          <w:p>
            <w:pPr>
              <w:pStyle w:val="656"/>
              <w:spacing w:line="360" w:lineRule="auto"/>
              <w:rPr>
                <w:rFonts w:ascii="宋体" w:hAnsi="宋体"/>
                <w:b/>
                <w:color w:val="000000"/>
                <w:szCs w:val="21"/>
              </w:rPr>
            </w:pPr>
            <w:r>
              <w:rPr>
                <w:rFonts w:hint="eastAsia" w:ascii="宋体" w:hAnsi="宋体"/>
                <w:bCs/>
                <w:color w:val="000000"/>
                <w:szCs w:val="21"/>
              </w:rPr>
              <w:t xml:space="preserve">2.1.3供应商具有有效期内的ISO20000信息技术服务管理体系认证证书的，得3分。（提供有效证书复印件并加盖供应商公章，未提供不得分）。</w:t>
            </w:r>
            <w:r>
              <w:rPr>
                <w:rFonts w:ascii="宋体" w:hAnsi="宋体"/>
                <w:b/>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9</w:t>
            </w:r>
            <w:r>
              <w:rPr>
                <w:rFonts w:hint="eastAsia" w:ascii="宋体" w:hAnsi="宋体"/>
                <w:b/>
                <w:bCs/>
                <w:color w:val="000000"/>
                <w:szCs w:val="21"/>
              </w:rPr>
            </w:r>
            <w:r/>
          </w:p>
        </w:tc>
      </w:tr>
      <w:tr>
        <w:trPr>
          <w:trHeight w:val="919"/>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spacing w:line="360" w:lineRule="auto"/>
              <w:rPr>
                <w:rFonts w:ascii="宋体" w:hAnsi="宋体"/>
                <w:color w:val="000000"/>
                <w:szCs w:val="21"/>
              </w:rPr>
            </w:pPr>
            <w:r>
              <w:rPr>
                <w:rFonts w:hint="eastAsia" w:ascii="宋体" w:hAnsi="宋体"/>
                <w:color w:val="000000"/>
                <w:szCs w:val="21"/>
              </w:rPr>
              <w:t xml:space="preserve">2.2项目团队情况</w:t>
            </w:r>
            <w:r>
              <w:rPr>
                <w:rFonts w:ascii="宋体" w:hAnsi="宋体"/>
                <w:color w:val="000000"/>
                <w:szCs w:val="21"/>
              </w:rPr>
            </w:r>
            <w:r/>
          </w:p>
        </w:tc>
        <w:tc>
          <w:tcPr>
            <w:tcW w:w="5488" w:type="dxa"/>
            <w:vAlign w:val="center"/>
            <w:textDirection w:val="lrTb"/>
            <w:noWrap w:val="false"/>
          </w:tcPr>
          <w:p>
            <w:pPr>
              <w:pStyle w:val="656"/>
              <w:spacing w:line="360" w:lineRule="auto"/>
              <w:widowControl/>
              <w:rPr>
                <w:rFonts w:ascii="宋体" w:hAnsi="宋体"/>
                <w:bCs/>
                <w:color w:val="000000"/>
                <w:szCs w:val="21"/>
              </w:rPr>
            </w:pPr>
            <w:r>
              <w:rPr>
                <w:rFonts w:hint="eastAsia" w:ascii="宋体" w:hAnsi="宋体"/>
                <w:b/>
                <w:color w:val="000000"/>
                <w:szCs w:val="21"/>
              </w:rPr>
              <w:t xml:space="preserve">2.2.1项目经理</w:t>
            </w:r>
            <w:r>
              <w:rPr>
                <w:rFonts w:hint="eastAsia" w:ascii="宋体" w:hAnsi="宋体"/>
                <w:bCs/>
                <w:color w:val="000000"/>
                <w:szCs w:val="21"/>
              </w:rPr>
              <w:t xml:space="preserve">：项目经理</w:t>
            </w:r>
            <w:r>
              <w:rPr>
                <w:rFonts w:hint="eastAsia"/>
                <w:color w:val="000000"/>
              </w:rPr>
              <w:t xml:space="preserve">1名</w:t>
            </w:r>
            <w:r>
              <w:rPr>
                <w:color w:val="000000"/>
              </w:rPr>
              <w:t xml:space="preserve">，</w:t>
            </w:r>
            <w:r>
              <w:rPr>
                <w:rFonts w:hint="eastAsia" w:ascii="宋体" w:hAnsi="宋体"/>
                <w:bCs/>
                <w:color w:val="000000"/>
                <w:szCs w:val="21"/>
              </w:rPr>
              <w:t xml:space="preserve">具有信息系统项目管理师证书（人力资源和社会保障部与工业和信息化部联合颁发）、系统分析师证书（高级（人力资源和社会保障部与工业和信息化部联合颁发）），每提供一项得2分，最多得4分。（提供证书复印件及供应商近六个月内任意一个月为其缴纳的社保证明材料并加盖供应商公章，未按要求提供的不得分）</w:t>
            </w:r>
            <w:r>
              <w:rPr>
                <w:rFonts w:ascii="宋体" w:hAnsi="宋体"/>
                <w:bCs/>
                <w:color w:val="000000"/>
                <w:szCs w:val="21"/>
              </w:rPr>
            </w:r>
            <w:r/>
          </w:p>
          <w:p>
            <w:pPr>
              <w:pStyle w:val="656"/>
              <w:spacing w:line="360" w:lineRule="auto"/>
              <w:widowControl/>
              <w:rPr>
                <w:rFonts w:ascii="宋体" w:hAnsi="宋体"/>
                <w:bCs/>
                <w:color w:val="000000"/>
                <w:szCs w:val="21"/>
              </w:rPr>
            </w:pPr>
            <w:r>
              <w:rPr>
                <w:rFonts w:hint="eastAsia" w:ascii="宋体" w:hAnsi="宋体"/>
                <w:b/>
                <w:color w:val="000000"/>
                <w:szCs w:val="21"/>
              </w:rPr>
              <w:t xml:space="preserve">2.2.2项目组其他成员</w:t>
            </w:r>
            <w:r>
              <w:rPr>
                <w:rFonts w:hint="eastAsia" w:ascii="宋体" w:hAnsi="宋体"/>
                <w:bCs/>
                <w:color w:val="000000"/>
                <w:szCs w:val="21"/>
              </w:rPr>
              <w:t xml:space="preserve">：除项目经理外的团队成员具有系统集成项目管理工程师（中级（人力资源和社会保障部与工业和信息化部联合颁发））、网络工程师（人力资源和社会保障厅颁发）、系统分析师（高级（人力资源和社会保障部与工业和信息化部联合颁发））、中级软件设计师（人力资源和社会保障部颁发）、软件测试技术（高级（工业和信息化部教育与考试中心颁发））证书，每提供一人得1分，最多得7分，一个人提供多个证书，只能计1分。</w:t>
            </w:r>
            <w:r>
              <w:rPr>
                <w:rFonts w:ascii="宋体" w:hAnsi="宋体"/>
                <w:bCs/>
                <w:color w:val="000000"/>
                <w:szCs w:val="21"/>
              </w:rPr>
            </w:r>
            <w:r/>
          </w:p>
          <w:p>
            <w:pPr>
              <w:pStyle w:val="656"/>
              <w:spacing w:line="360" w:lineRule="auto"/>
              <w:widowControl/>
              <w:rPr>
                <w:rFonts w:ascii="宋体" w:hAnsi="宋体"/>
                <w:b/>
                <w:color w:val="000000"/>
                <w:szCs w:val="21"/>
              </w:rPr>
            </w:pPr>
            <w:r>
              <w:rPr>
                <w:rFonts w:hint="eastAsia" w:ascii="宋体" w:hAnsi="宋体"/>
                <w:b/>
                <w:color w:val="000000"/>
                <w:szCs w:val="21"/>
              </w:rPr>
              <w:t xml:space="preserve">提供相应证书的复印件及供应商近六个月内任意一个月为其缴纳的社保证明材料复印件并加盖供应商公章，未按要求提供不得分</w:t>
            </w:r>
            <w:r>
              <w:rPr>
                <w:rFonts w:ascii="宋体" w:hAnsi="宋体"/>
                <w:b/>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1</w:t>
            </w:r>
            <w:r>
              <w:rPr>
                <w:rFonts w:hint="eastAsia" w:ascii="宋体" w:hAnsi="宋体"/>
                <w:b/>
                <w:bCs/>
                <w:color w:val="000000"/>
                <w:szCs w:val="21"/>
              </w:rPr>
            </w:r>
            <w:r/>
          </w:p>
        </w:tc>
      </w:tr>
      <w:tr>
        <w:trPr>
          <w:trHeight w:val="649"/>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spacing w:line="360" w:lineRule="auto"/>
              <w:rPr>
                <w:rFonts w:ascii="宋体" w:hAnsi="宋体"/>
                <w:color w:val="000000"/>
                <w:szCs w:val="21"/>
              </w:rPr>
            </w:pPr>
            <w:r>
              <w:rPr>
                <w:rFonts w:hint="eastAsia" w:ascii="宋体" w:hAnsi="宋体"/>
                <w:color w:val="000000"/>
                <w:szCs w:val="21"/>
              </w:rPr>
              <w:t xml:space="preserve">2.3相关业绩</w:t>
            </w:r>
            <w:r>
              <w:rPr>
                <w:rFonts w:ascii="宋体" w:hAnsi="宋体"/>
                <w:color w:val="000000"/>
                <w:szCs w:val="21"/>
              </w:rPr>
            </w:r>
            <w:r/>
          </w:p>
        </w:tc>
        <w:tc>
          <w:tcPr>
            <w:tcW w:w="5488" w:type="dxa"/>
            <w:vAlign w:val="center"/>
            <w:textDirection w:val="lrTb"/>
            <w:noWrap w:val="false"/>
          </w:tcPr>
          <w:p>
            <w:pPr>
              <w:pStyle w:val="656"/>
              <w:spacing w:line="360" w:lineRule="auto"/>
              <w:rPr>
                <w:rFonts w:ascii="宋体" w:hAnsi="宋体"/>
                <w:bCs/>
                <w:color w:val="000000"/>
                <w:szCs w:val="21"/>
              </w:rPr>
            </w:pPr>
            <w:r>
              <w:rPr>
                <w:rFonts w:hint="eastAsia" w:ascii="宋体" w:hAnsi="宋体"/>
                <w:bCs/>
                <w:color w:val="000000"/>
                <w:szCs w:val="21"/>
              </w:rPr>
              <w:t xml:space="preserve">供应商自2020年1月1日以来（以合同签订时间为准）承接过信息化软件开发项目业绩的，每提供一项得2分，最高得10分。</w:t>
            </w:r>
            <w:r>
              <w:rPr>
                <w:rFonts w:ascii="宋体" w:hAnsi="宋体"/>
                <w:bCs/>
                <w:color w:val="000000"/>
                <w:szCs w:val="21"/>
              </w:rPr>
            </w:r>
            <w:r/>
          </w:p>
          <w:p>
            <w:pPr>
              <w:pStyle w:val="656"/>
              <w:spacing w:line="360" w:lineRule="auto"/>
              <w:rPr>
                <w:rFonts w:ascii="宋体" w:hAnsi="宋体"/>
                <w:color w:val="000000"/>
                <w:szCs w:val="21"/>
              </w:rPr>
            </w:pPr>
            <w:r>
              <w:rPr>
                <w:rFonts w:ascii="宋体" w:hAnsi="宋体"/>
                <w:b/>
                <w:bCs/>
                <w:color w:val="000000"/>
                <w:szCs w:val="21"/>
              </w:rPr>
              <w:t xml:space="preserve">提供合同复印件</w:t>
            </w:r>
            <w:r>
              <w:rPr>
                <w:rFonts w:hint="eastAsia" w:ascii="宋体" w:hAnsi="宋体"/>
                <w:b/>
                <w:bCs/>
                <w:color w:val="000000"/>
                <w:szCs w:val="21"/>
              </w:rPr>
              <w:t xml:space="preserve">加盖公章</w:t>
            </w:r>
            <w:r>
              <w:rPr>
                <w:rFonts w:ascii="宋体" w:hAnsi="宋体"/>
                <w:b/>
                <w:bCs/>
                <w:color w:val="000000"/>
                <w:szCs w:val="21"/>
              </w:rPr>
              <w:t xml:space="preserve">，内容清晰可见，未提供不得分</w:t>
            </w:r>
            <w:r>
              <w:rPr>
                <w:rFonts w:ascii="宋体" w:hAnsi="宋体"/>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10</w:t>
            </w:r>
            <w:r>
              <w:rPr>
                <w:rFonts w:hint="eastAsia" w:ascii="宋体" w:hAnsi="宋体"/>
                <w:b/>
                <w:bCs/>
                <w:color w:val="000000"/>
                <w:szCs w:val="21"/>
              </w:rPr>
            </w:r>
            <w:r/>
          </w:p>
        </w:tc>
      </w:tr>
      <w:tr>
        <w:trPr>
          <w:trHeight w:val="649"/>
        </w:trPr>
        <w:tc>
          <w:tcPr>
            <w:gridSpan w:val="5"/>
            <w:tcW w:w="8871"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3.</w:t>
            </w:r>
            <w:r>
              <w:rPr>
                <w:rFonts w:ascii="宋体" w:hAnsi="宋体"/>
                <w:b/>
                <w:bCs/>
                <w:color w:val="000000"/>
                <w:szCs w:val="21"/>
              </w:rPr>
              <w:t xml:space="preserve">技术评审</w:t>
            </w:r>
            <w:r>
              <w:rPr>
                <w:rFonts w:hint="eastAsia" w:ascii="宋体" w:hAnsi="宋体"/>
                <w:b/>
                <w:bCs/>
                <w:color w:val="000000"/>
                <w:szCs w:val="21"/>
              </w:rPr>
              <w:t xml:space="preserve">（</w:t>
            </w:r>
            <w:r>
              <w:rPr>
                <w:rFonts w:hint="eastAsia" w:ascii="宋体" w:hAnsi="宋体"/>
                <w:b/>
                <w:bCs/>
                <w:color w:val="000000"/>
                <w:szCs w:val="21"/>
                <w:lang w:val="en-US" w:eastAsia="zh-CN"/>
              </w:rPr>
              <w:t xml:space="preserve">6</w:t>
            </w:r>
            <w:r>
              <w:rPr>
                <w:rFonts w:hint="eastAsia" w:ascii="宋体" w:hAnsi="宋体"/>
                <w:b/>
                <w:bCs/>
                <w:color w:val="000000"/>
                <w:szCs w:val="21"/>
                <w:lang w:val="en-US" w:eastAsia="zh-CN"/>
              </w:rPr>
              <w:t xml:space="preserve">0</w:t>
            </w:r>
            <w:r>
              <w:rPr>
                <w:rFonts w:hint="eastAsia" w:ascii="宋体" w:hAnsi="宋体"/>
                <w:b/>
                <w:bCs/>
                <w:color w:val="000000"/>
                <w:szCs w:val="21"/>
              </w:rPr>
              <w:t xml:space="preserve">分）</w:t>
            </w:r>
            <w:r>
              <w:rPr>
                <w:rFonts w:hint="eastAsia" w:ascii="宋体" w:hAnsi="宋体"/>
                <w:b/>
                <w:bCs/>
                <w:color w:val="000000"/>
                <w:szCs w:val="21"/>
              </w:rPr>
            </w:r>
            <w:r/>
          </w:p>
        </w:tc>
      </w:tr>
      <w:tr>
        <w:trPr>
          <w:trHeight w:val="354"/>
        </w:trPr>
        <w:tc>
          <w:tcPr>
            <w:tcW w:w="864" w:type="dxa"/>
            <w:vAlign w:val="center"/>
            <w:vMerge w:val="restart"/>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3</w:t>
            </w:r>
            <w:r>
              <w:rPr>
                <w:rFonts w:ascii="宋体" w:hAnsi="宋体"/>
                <w:b/>
                <w:bCs/>
                <w:color w:val="000000"/>
                <w:szCs w:val="21"/>
              </w:rPr>
            </w:r>
            <w:r/>
          </w:p>
        </w:tc>
        <w:tc>
          <w:tcPr>
            <w:tcW w:w="1131" w:type="dxa"/>
            <w:vAlign w:val="center"/>
            <w:vMerge w:val="restart"/>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t xml:space="preserve">技术</w:t>
            </w:r>
            <w:r>
              <w:rPr>
                <w:rFonts w:ascii="宋体" w:hAnsi="宋体"/>
                <w:b/>
                <w:bCs/>
                <w:color w:val="000000"/>
                <w:szCs w:val="21"/>
              </w:rPr>
            </w:r>
            <w:r/>
          </w:p>
          <w:p>
            <w:pPr>
              <w:pStyle w:val="656"/>
              <w:jc w:val="center"/>
              <w:spacing w:line="360" w:lineRule="auto"/>
              <w:rPr>
                <w:rFonts w:ascii="宋体" w:hAnsi="宋体"/>
                <w:b/>
                <w:bCs/>
                <w:color w:val="000000"/>
                <w:szCs w:val="21"/>
              </w:rPr>
            </w:pPr>
            <w:r>
              <w:rPr>
                <w:rFonts w:ascii="宋体" w:hAnsi="宋体"/>
                <w:b/>
                <w:bCs/>
                <w:color w:val="000000"/>
                <w:szCs w:val="21"/>
              </w:rPr>
              <w:t xml:space="preserve">评审</w:t>
            </w:r>
            <w:r>
              <w:rPr>
                <w:rFonts w:ascii="宋体" w:hAnsi="宋体"/>
                <w:b/>
                <w:bCs/>
                <w:color w:val="000000"/>
                <w:szCs w:val="21"/>
              </w:rPr>
            </w:r>
            <w:r/>
          </w:p>
        </w:tc>
        <w:tc>
          <w:tcPr>
            <w:tcW w:w="646" w:type="dxa"/>
            <w:vAlign w:val="center"/>
            <w:textDirection w:val="lrTb"/>
            <w:noWrap w:val="false"/>
          </w:tcPr>
          <w:p>
            <w:pPr>
              <w:pStyle w:val="656"/>
              <w:jc w:val="center"/>
              <w:widowControl/>
              <w:rPr>
                <w:rFonts w:ascii="宋体" w:hAnsi="宋体"/>
                <w:color w:val="000000"/>
                <w:szCs w:val="21"/>
              </w:rPr>
            </w:pPr>
            <w:r>
              <w:rPr>
                <w:rFonts w:hint="eastAsia" w:ascii="宋体" w:hAnsi="宋体" w:cs="宋体"/>
                <w:color w:val="000000"/>
                <w:szCs w:val="21"/>
                <w:lang w:bidi="ar"/>
              </w:rPr>
              <w:t xml:space="preserve">3.1项目理解</w:t>
            </w:r>
            <w:r>
              <w:rPr>
                <w:rFonts w:ascii="宋体" w:hAnsi="宋体"/>
                <w:color w:val="000000"/>
                <w:szCs w:val="21"/>
              </w:rPr>
            </w:r>
            <w:r/>
          </w:p>
        </w:tc>
        <w:tc>
          <w:tcPr>
            <w:tcW w:w="5488" w:type="dxa"/>
            <w:vAlign w:val="center"/>
            <w:textDirection w:val="lrTb"/>
            <w:noWrap w:val="false"/>
          </w:tcPr>
          <w:p>
            <w:pPr>
              <w:pStyle w:val="656"/>
              <w:widowControl/>
              <w:rPr>
                <w:rFonts w:ascii="宋体" w:hAnsi="宋体"/>
                <w:bCs/>
                <w:color w:val="000000"/>
                <w:szCs w:val="21"/>
              </w:rPr>
            </w:pPr>
            <w:r>
              <w:rPr>
                <w:rFonts w:hint="eastAsia" w:ascii="宋体" w:hAnsi="宋体" w:cs="宋体"/>
                <w:color w:val="000000"/>
                <w:szCs w:val="21"/>
                <w:lang w:bidi="ar"/>
              </w:rPr>
              <w:t xml:space="preserve">供应商对省数字交通统一平台一体化政务服务考试模块进行需求分析，考察供应商对项目是否理解全面、充分，根据分析情况进行综合评分。优于采购需求得5分，符合采购需求得3分，不符合或未提供得0分。</w:t>
            </w:r>
            <w:r>
              <w:rPr>
                <w:rFonts w:ascii="宋体" w:hAnsi="宋体"/>
                <w:bCs/>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897"/>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ascii="宋体" w:hAnsi="宋体"/>
                <w:color w:val="000000"/>
                <w:szCs w:val="21"/>
              </w:rPr>
            </w:pPr>
            <w:r>
              <w:rPr>
                <w:rFonts w:hint="eastAsia" w:ascii="宋体" w:hAnsi="宋体" w:cs="宋体"/>
                <w:color w:val="000000"/>
                <w:szCs w:val="21"/>
                <w:lang w:bidi="ar"/>
              </w:rPr>
              <w:t xml:space="preserve">3.2</w:t>
            </w:r>
            <w:r>
              <w:rPr>
                <w:rStyle w:val="775"/>
                <w:lang w:bidi="ar"/>
              </w:rPr>
              <w:t xml:space="preserve">项目重难点问题分析</w:t>
            </w:r>
            <w:r>
              <w:rPr>
                <w:rFonts w:ascii="宋体" w:hAnsi="宋体"/>
                <w:color w:val="000000"/>
                <w:szCs w:val="21"/>
              </w:rPr>
            </w:r>
            <w:r/>
          </w:p>
        </w:tc>
        <w:tc>
          <w:tcPr>
            <w:tcW w:w="5488" w:type="dxa"/>
            <w:vAlign w:val="center"/>
            <w:textDirection w:val="lrTb"/>
            <w:noWrap w:val="false"/>
          </w:tcPr>
          <w:p>
            <w:pPr>
              <w:pStyle w:val="656"/>
              <w:widowControl/>
              <w:rPr>
                <w:rFonts w:hint="eastAsia" w:ascii="宋体" w:hAnsi="宋体"/>
                <w:color w:val="000000"/>
                <w:szCs w:val="21"/>
              </w:rPr>
            </w:pPr>
            <w:r>
              <w:rPr>
                <w:rFonts w:hint="eastAsia" w:ascii="宋体" w:hAnsi="宋体" w:cs="宋体"/>
                <w:color w:val="000000"/>
                <w:szCs w:val="21"/>
                <w:lang w:bidi="ar"/>
              </w:rPr>
              <w:t xml:space="preserve">围绕项目实施过程中存在的重难点问题进行分析，并就相关问题系统描述相关应对措施。优于采购需求得5分，符合采购需求得3分，不符合或未提供得0分。</w:t>
            </w:r>
            <w:r>
              <w:rPr>
                <w:rFonts w:hint="eastAsia" w:ascii="宋体" w:hAnsi="宋体"/>
                <w:color w:val="000000"/>
                <w:szCs w:val="21"/>
              </w:rPr>
            </w:r>
            <w:r/>
          </w:p>
        </w:tc>
        <w:tc>
          <w:tcPr>
            <w:tcW w:w="742" w:type="dxa"/>
            <w:vAlign w:val="center"/>
            <w:textDirection w:val="lrTb"/>
            <w:noWrap w:val="false"/>
          </w:tcPr>
          <w:p>
            <w:pPr>
              <w:pStyle w:val="656"/>
              <w:jc w:val="center"/>
              <w:spacing w:line="360" w:lineRule="auto"/>
              <w:rPr>
                <w:rFonts w:ascii="宋体" w:hAnsi="宋体"/>
                <w:b/>
                <w:bCs/>
                <w:color w:val="000000"/>
                <w:szCs w:val="21"/>
              </w:rPr>
            </w:pPr>
            <w:r>
              <w:rPr>
                <w:rFonts w:hint="eastAsia" w:ascii="宋体" w:hAnsi="宋体"/>
                <w:b/>
                <w:bCs/>
                <w:color w:val="000000"/>
                <w:szCs w:val="21"/>
              </w:rPr>
              <w:t xml:space="preserve">5</w:t>
            </w:r>
            <w:r>
              <w:rPr>
                <w:rFonts w:ascii="宋体" w:hAnsi="宋体"/>
                <w:b/>
                <w:bCs/>
                <w:color w:val="000000"/>
                <w:szCs w:val="21"/>
              </w:rPr>
            </w:r>
            <w:r/>
          </w:p>
        </w:tc>
      </w:tr>
      <w:tr>
        <w:trPr>
          <w:trHeight w:val="897"/>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ascii="宋体" w:hAnsi="宋体"/>
                <w:color w:val="000000"/>
                <w:szCs w:val="21"/>
              </w:rPr>
            </w:pPr>
            <w:r>
              <w:rPr>
                <w:rFonts w:hint="eastAsia" w:ascii="宋体" w:hAnsi="宋体" w:cs="宋体"/>
                <w:color w:val="000000"/>
                <w:szCs w:val="21"/>
                <w:lang w:bidi="ar"/>
              </w:rPr>
              <w:t xml:space="preserve">3.3</w:t>
            </w:r>
            <w:r>
              <w:rPr>
                <w:rStyle w:val="775"/>
                <w:lang w:bidi="ar"/>
              </w:rPr>
              <w:t xml:space="preserve">项目总体设计方案</w:t>
            </w:r>
            <w:r>
              <w:rPr>
                <w:rFonts w:ascii="宋体" w:hAnsi="宋体"/>
                <w:color w:val="000000"/>
                <w:szCs w:val="21"/>
              </w:rPr>
            </w:r>
            <w:r/>
          </w:p>
        </w:tc>
        <w:tc>
          <w:tcPr>
            <w:tcW w:w="5488" w:type="dxa"/>
            <w:vAlign w:val="center"/>
            <w:textDirection w:val="lrTb"/>
            <w:noWrap w:val="false"/>
          </w:tcPr>
          <w:p>
            <w:pPr>
              <w:pStyle w:val="656"/>
              <w:widowControl/>
              <w:rPr>
                <w:rFonts w:ascii="宋体" w:hAnsi="宋体"/>
                <w:color w:val="000000"/>
                <w:szCs w:val="21"/>
              </w:rPr>
            </w:pPr>
            <w:r>
              <w:rPr>
                <w:rFonts w:hint="eastAsia" w:ascii="宋体" w:hAnsi="宋体" w:cs="宋体"/>
                <w:color w:val="000000"/>
                <w:szCs w:val="21"/>
                <w:lang w:bidi="ar"/>
              </w:rPr>
              <w:t xml:space="preserve">总体设计方案是否目标明确、内容全面、架构合理、可扩展性强、建设思路合理可行,从总体系统架构、总体业务架构、总体功能架构、总体部署架构和总体业务流程等方面内容进行详细设计和阐述。根据方案情况进行综合评分。优于采购需求得5分，符合采购需求得3分，不符合或未提供得0分。</w:t>
            </w:r>
            <w:r>
              <w:rPr>
                <w:rFonts w:ascii="宋体" w:hAnsi="宋体"/>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bCs/>
                <w:color w:val="000000"/>
                <w:szCs w:val="21"/>
              </w:rPr>
            </w:pPr>
            <w:r>
              <w:rPr>
                <w:rFonts w:hint="eastAsia" w:ascii="宋体" w:hAnsi="宋体" w:cs="宋体"/>
                <w:color w:val="000000"/>
                <w:szCs w:val="21"/>
                <w:lang w:bidi="ar"/>
              </w:rPr>
              <w:t xml:space="preserve">3.4考试管理端功能设计</w:t>
            </w:r>
            <w:r>
              <w:rPr>
                <w:rFonts w:hint="eastAsia" w:ascii="宋体" w:hAnsi="宋体"/>
                <w:bCs/>
                <w:color w:val="000000"/>
                <w:szCs w:val="21"/>
              </w:rPr>
            </w:r>
            <w:r/>
          </w:p>
        </w:tc>
        <w:tc>
          <w:tcPr>
            <w:tcW w:w="5488" w:type="dxa"/>
            <w:vAlign w:val="center"/>
            <w:textDirection w:val="lrTb"/>
            <w:noWrap w:val="false"/>
          </w:tcPr>
          <w:p>
            <w:pPr>
              <w:pStyle w:val="656"/>
              <w:widowControl/>
              <w:rPr>
                <w:rFonts w:hint="eastAsia" w:ascii="宋体" w:hAnsi="宋体"/>
                <w:bCs/>
                <w:color w:val="000000"/>
                <w:szCs w:val="21"/>
              </w:rPr>
            </w:pPr>
            <w:r>
              <w:rPr>
                <w:rFonts w:hint="eastAsia" w:ascii="宋体" w:hAnsi="宋体" w:cs="宋体"/>
                <w:color w:val="000000"/>
                <w:szCs w:val="21"/>
                <w:lang w:bidi="ar"/>
              </w:rPr>
              <w:t xml:space="preserve">供应商提供考试管理端方案里面包含完整的考试管理端各功能模块，主要包括考务管理、考试人员管理、试卷管理、题库管理、考场管理与统计分析等功能，提供完整的记录与追溯能力，以支撑全流程管理与监督等。优于采购需求得5分，符合采购需求得3分，不符合或未提供得0分。</w:t>
            </w:r>
            <w:r>
              <w:rPr>
                <w:rFonts w:hint="eastAsia" w:ascii="宋体" w:hAnsi="宋体"/>
                <w:bCs/>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bCs/>
                <w:color w:val="000000"/>
                <w:szCs w:val="21"/>
                <w:highlight w:val="none"/>
              </w:rPr>
            </w:pPr>
            <w:r>
              <w:rPr>
                <w:rFonts w:hint="eastAsia" w:ascii="宋体" w:hAnsi="宋体" w:cs="宋体"/>
                <w:color w:val="000000"/>
                <w:szCs w:val="21"/>
                <w:highlight w:val="none"/>
                <w:lang w:bidi="ar"/>
              </w:rPr>
              <w:t xml:space="preserve">3.5考试申报端功能设计</w:t>
            </w:r>
            <w:r>
              <w:rPr>
                <w:rFonts w:hint="eastAsia" w:ascii="宋体" w:hAnsi="宋体"/>
                <w:bCs/>
                <w:color w:val="000000"/>
                <w:szCs w:val="21"/>
                <w:highlight w:val="none"/>
              </w:rPr>
            </w:r>
            <w:r/>
          </w:p>
        </w:tc>
        <w:tc>
          <w:tcPr>
            <w:tcW w:w="5488" w:type="dxa"/>
            <w:vAlign w:val="center"/>
            <w:textDirection w:val="lrTb"/>
            <w:noWrap w:val="false"/>
          </w:tcPr>
          <w:p>
            <w:pPr>
              <w:pStyle w:val="656"/>
              <w:widowControl/>
              <w:rPr>
                <w:rFonts w:hint="eastAsia" w:ascii="宋体" w:hAnsi="宋体"/>
                <w:bCs/>
                <w:color w:val="000000"/>
                <w:szCs w:val="21"/>
              </w:rPr>
            </w:pPr>
            <w:r>
              <w:rPr>
                <w:rFonts w:hint="eastAsia" w:ascii="宋体" w:hAnsi="宋体" w:cs="宋体"/>
                <w:color w:val="000000"/>
                <w:szCs w:val="21"/>
                <w:lang w:bidi="ar"/>
              </w:rPr>
              <w:t xml:space="preserve">供应商提供考试申报端方案里面包含完整的考试申报端各功能模块，面向从业企业与考生，通过江苏政务服务网或省交通综合旗舰店统一入口，采用统一身份认证获取企业/个人信息，提供企业与人员关系绑定、在线报名、报名进度查询、准考证下载打印以及成绩查询等便捷服务功能。报名信息支持自动同步到政务服务审批模块，并与相关审批事项绑定。建设详细方案。优于采购需求得5分，符合采购需求得3分，不符合或未提供得0分。</w:t>
            </w:r>
            <w:r>
              <w:rPr>
                <w:rFonts w:hint="eastAsia" w:ascii="宋体" w:hAnsi="宋体"/>
                <w:bCs/>
                <w:color w:val="000000"/>
                <w:szCs w:val="21"/>
              </w:rPr>
            </w:r>
            <w:r/>
          </w:p>
        </w:tc>
        <w:tc>
          <w:tcPr>
            <w:tcW w:w="742" w:type="dxa"/>
            <w:vAlign w:val="center"/>
            <w:textDirection w:val="lrTb"/>
            <w:noWrap w:val="false"/>
          </w:tcPr>
          <w:p>
            <w:pPr>
              <w:pStyle w:val="656"/>
              <w:jc w:val="center"/>
              <w:spacing w:line="360" w:lineRule="auto"/>
              <w:rPr>
                <w:rFonts w:ascii="宋体" w:hAnsi="宋体"/>
                <w:b/>
                <w:bCs/>
                <w:color w:val="000000"/>
                <w:szCs w:val="21"/>
              </w:rPr>
            </w:pPr>
            <w:r>
              <w:rPr>
                <w:rFonts w:hint="eastAsia" w:ascii="宋体" w:hAnsi="宋体"/>
                <w:b/>
                <w:bCs/>
                <w:color w:val="000000"/>
                <w:szCs w:val="21"/>
              </w:rPr>
              <w:t xml:space="preserve">5</w:t>
            </w:r>
            <w:r>
              <w:rPr>
                <w:rFonts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color w:val="000000"/>
                <w:spacing w:val="-5"/>
                <w:szCs w:val="21"/>
                <w:highlight w:val="none"/>
              </w:rPr>
            </w:pPr>
            <w:r>
              <w:rPr>
                <w:rFonts w:hint="eastAsia" w:ascii="宋体" w:hAnsi="宋体" w:cs="宋体"/>
                <w:color w:val="000000"/>
                <w:szCs w:val="21"/>
                <w:highlight w:val="none"/>
                <w:lang w:bidi="ar"/>
              </w:rPr>
              <w:t xml:space="preserve">3.6在线考试端功能设计</w:t>
            </w:r>
            <w:r>
              <w:rPr>
                <w:rFonts w:hint="eastAsia" w:ascii="宋体" w:hAnsi="宋体"/>
                <w:color w:val="000000"/>
                <w:spacing w:val="-5"/>
                <w:szCs w:val="21"/>
                <w:highlight w:val="none"/>
              </w:rPr>
            </w:r>
            <w:r/>
          </w:p>
        </w:tc>
        <w:tc>
          <w:tcPr>
            <w:tcW w:w="5488" w:type="dxa"/>
            <w:vAlign w:val="center"/>
            <w:textDirection w:val="lrTb"/>
            <w:noWrap w:val="false"/>
          </w:tcPr>
          <w:p>
            <w:pPr>
              <w:pStyle w:val="656"/>
              <w:widowControl/>
              <w:rPr>
                <w:rFonts w:hint="eastAsia" w:ascii="宋体" w:hAnsi="宋体"/>
                <w:bCs/>
                <w:color w:val="000000"/>
                <w:szCs w:val="21"/>
              </w:rPr>
            </w:pPr>
            <w:r>
              <w:rPr>
                <w:rFonts w:hint="eastAsia" w:ascii="宋体" w:hAnsi="宋体" w:cs="宋体"/>
                <w:color w:val="000000"/>
                <w:szCs w:val="21"/>
                <w:lang w:bidi="ar"/>
              </w:rPr>
              <w:t xml:space="preserve">供应商提供在线考试端方案里面包含完整的在线考试端各功能模块，面向全部考生，报名审核通过后考生凭准考证号与身份证登录进行考试；系统提供答题、自动保存、考试倒计时、在线提交等功能；考试成绩支持自动同步到政务服务审批模块，为后续的审批发证提供依据。为保障考试公平，系统提供屏幕/窗口切换检测、异常行为识别，并配套考后人工复核机制以处理异常与违纪证据。优于采购需求得5分，符合采购需求得3分，不符合或未提供得0分。</w:t>
            </w:r>
            <w:r>
              <w:rPr>
                <w:rFonts w:hint="eastAsia" w:ascii="宋体" w:hAnsi="宋体"/>
                <w:bCs/>
                <w:color w:val="000000"/>
                <w:szCs w:val="21"/>
              </w:rPr>
            </w:r>
            <w:r/>
          </w:p>
        </w:tc>
        <w:tc>
          <w:tcPr>
            <w:tcW w:w="742" w:type="dxa"/>
            <w:vAlign w:val="center"/>
            <w:textDirection w:val="lrTb"/>
            <w:noWrap w:val="false"/>
          </w:tcPr>
          <w:p>
            <w:pPr>
              <w:pStyle w:val="656"/>
              <w:jc w:val="center"/>
              <w:spacing w:line="360" w:lineRule="auto"/>
              <w:rPr>
                <w:rFonts w:ascii="宋体" w:hAnsi="宋体"/>
                <w:b/>
                <w:bCs/>
                <w:color w:val="000000"/>
                <w:szCs w:val="21"/>
              </w:rPr>
            </w:pPr>
            <w:r>
              <w:rPr>
                <w:rFonts w:hint="eastAsia" w:ascii="宋体" w:hAnsi="宋体"/>
                <w:b/>
                <w:bCs/>
                <w:color w:val="000000"/>
                <w:szCs w:val="21"/>
              </w:rPr>
              <w:t xml:space="preserve">5</w:t>
            </w:r>
            <w:r>
              <w:rPr>
                <w:rFonts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color w:val="000000"/>
                <w:spacing w:val="-5"/>
                <w:szCs w:val="21"/>
              </w:rPr>
            </w:pPr>
            <w:r>
              <w:rPr>
                <w:rFonts w:hint="eastAsia" w:ascii="宋体" w:hAnsi="宋体" w:cs="宋体"/>
                <w:color w:val="000000"/>
                <w:szCs w:val="21"/>
                <w:lang w:bidi="ar"/>
              </w:rPr>
              <w:t xml:space="preserve">3.7系统对接设计</w:t>
            </w:r>
            <w:r>
              <w:rPr>
                <w:rFonts w:hint="eastAsia" w:ascii="宋体" w:hAnsi="宋体"/>
                <w:color w:val="000000"/>
                <w:spacing w:val="-5"/>
                <w:szCs w:val="21"/>
              </w:rPr>
            </w:r>
            <w:r/>
          </w:p>
        </w:tc>
        <w:tc>
          <w:tcPr>
            <w:tcW w:w="5488" w:type="dxa"/>
            <w:vAlign w:val="center"/>
            <w:textDirection w:val="lrTb"/>
            <w:noWrap w:val="false"/>
          </w:tcPr>
          <w:p>
            <w:pPr>
              <w:pStyle w:val="656"/>
              <w:widowControl/>
              <w:rPr>
                <w:rFonts w:hint="eastAsia" w:ascii="宋体" w:hAnsi="宋体"/>
                <w:bCs/>
                <w:color w:val="000000"/>
                <w:szCs w:val="21"/>
              </w:rPr>
            </w:pPr>
            <w:r>
              <w:rPr>
                <w:rFonts w:hint="eastAsia" w:ascii="宋体" w:hAnsi="宋体" w:cs="宋体"/>
                <w:color w:val="000000"/>
                <w:szCs w:val="21"/>
                <w:lang w:bidi="ar"/>
              </w:rPr>
              <w:t xml:space="preserve">供应商提供方案里面包含与省数字交通统一平台一体化政务服务平台审批模块以及其他相关系统的对接设计方案，考察方案是否全面、合理，贴切用户的需求，根据方案情况进行综合评分。优于采购需求得5分，符合采购需求得3分，不符合或未提供得0分。</w:t>
            </w:r>
            <w:r>
              <w:rPr>
                <w:rFonts w:hint="eastAsia" w:ascii="宋体" w:hAnsi="宋体"/>
                <w:bCs/>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bCs/>
                <w:color w:val="000000"/>
                <w:szCs w:val="21"/>
              </w:rPr>
            </w:pPr>
            <w:r>
              <w:rPr>
                <w:rFonts w:hint="eastAsia" w:ascii="宋体" w:hAnsi="宋体" w:cs="宋体"/>
                <w:color w:val="000000"/>
                <w:szCs w:val="21"/>
                <w:lang w:bidi="ar"/>
              </w:rPr>
              <w:t xml:space="preserve">3.8项目实施方案</w:t>
            </w:r>
            <w:r>
              <w:rPr>
                <w:rFonts w:hint="eastAsia" w:ascii="宋体" w:hAnsi="宋体"/>
                <w:bCs/>
                <w:color w:val="000000"/>
                <w:szCs w:val="21"/>
              </w:rPr>
            </w:r>
            <w:r/>
          </w:p>
        </w:tc>
        <w:tc>
          <w:tcPr>
            <w:tcW w:w="5488" w:type="dxa"/>
            <w:vAlign w:val="center"/>
            <w:textDirection w:val="lrTb"/>
            <w:noWrap w:val="false"/>
          </w:tcPr>
          <w:p>
            <w:pPr>
              <w:pStyle w:val="656"/>
              <w:jc w:val="left"/>
              <w:widowControl/>
              <w:rPr>
                <w:rFonts w:hint="eastAsia" w:ascii="宋体" w:hAnsi="宋体"/>
                <w:bCs/>
                <w:color w:val="000000"/>
                <w:szCs w:val="21"/>
              </w:rPr>
            </w:pPr>
            <w:r>
              <w:rPr>
                <w:rFonts w:hint="eastAsia" w:ascii="宋体" w:hAnsi="宋体" w:cs="宋体"/>
                <w:color w:val="000000"/>
                <w:szCs w:val="21"/>
                <w:lang w:bidi="ar"/>
              </w:rPr>
              <w:t xml:space="preserve">供应商提供项目实施方案，应包括进度计划和实施保证措施、质量保证措施、风险管理体系、各节点时间进度、人员配置安排等。优于采购需求得5分，符合采购需求得3分，不符合或未提供得0分。</w:t>
            </w:r>
            <w:r>
              <w:rPr>
                <w:rFonts w:hint="eastAsia" w:ascii="宋体" w:hAnsi="宋体"/>
                <w:bCs/>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3.9项目测试方案</w:t>
            </w:r>
            <w:r>
              <w:rPr>
                <w:rFonts w:hint="eastAsia" w:ascii="宋体" w:hAnsi="宋体" w:cs="宋体"/>
                <w:color w:val="000000"/>
                <w:szCs w:val="21"/>
                <w:lang w:bidi="ar"/>
              </w:rPr>
            </w:r>
            <w:r/>
          </w:p>
        </w:tc>
        <w:tc>
          <w:tcPr>
            <w:tcW w:w="5488" w:type="dxa"/>
            <w:vAlign w:val="center"/>
            <w:textDirection w:val="lrTb"/>
            <w:noWrap w:val="false"/>
          </w:tcPr>
          <w:p>
            <w:pPr>
              <w:pStyle w:val="656"/>
              <w:jc w:val="left"/>
              <w:widowControl/>
              <w:rPr>
                <w:rFonts w:hint="eastAsia" w:ascii="宋体" w:hAnsi="宋体" w:cs="宋体"/>
                <w:color w:val="000000"/>
                <w:szCs w:val="21"/>
                <w:lang w:bidi="ar"/>
              </w:rPr>
            </w:pPr>
            <w:r>
              <w:rPr>
                <w:rFonts w:hint="eastAsia" w:ascii="宋体" w:hAnsi="宋体" w:cs="宋体"/>
                <w:color w:val="000000"/>
                <w:sz w:val="21"/>
                <w:szCs w:val="21"/>
                <w:lang w:bidi="ar"/>
              </w:rPr>
              <w:t xml:space="preserve">供应商提交完整测试方案，明确测试目标、方法、与交付物；测试范围至少包含单元测试、集成测试、系统测试、验收测试、性能测试、安全测试；方案须列明测试环境与工具，包括所需硬件、操作系统/中间件、自动化与性能测试工具等。</w:t>
            </w:r>
            <w:r>
              <w:rPr>
                <w:rFonts w:hint="eastAsia" w:ascii="宋体" w:hAnsi="宋体" w:cs="宋体"/>
                <w:color w:val="000000"/>
                <w:szCs w:val="21"/>
                <w:lang w:bidi="ar"/>
              </w:rPr>
              <w:t xml:space="preserve">优于采购需求得5分，符合采购需求得3分，不符合或未提供得0分。</w:t>
            </w:r>
            <w:r>
              <w:rPr>
                <w:rFonts w:hint="eastAsia" w:ascii="宋体" w:hAnsi="宋体" w:cs="宋体"/>
                <w:color w:val="000000"/>
                <w:szCs w:val="21"/>
                <w:lang w:bidi="ar"/>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3.10项目验收方案</w:t>
            </w:r>
            <w:r>
              <w:rPr>
                <w:rFonts w:hint="eastAsia" w:ascii="宋体" w:hAnsi="宋体" w:cs="宋体"/>
                <w:color w:val="000000"/>
                <w:szCs w:val="21"/>
                <w:lang w:bidi="ar"/>
              </w:rPr>
            </w:r>
            <w:r/>
          </w:p>
        </w:tc>
        <w:tc>
          <w:tcPr>
            <w:tcW w:w="5488" w:type="dxa"/>
            <w:vAlign w:val="center"/>
            <w:textDirection w:val="lrTb"/>
            <w:noWrap w:val="false"/>
          </w:tcPr>
          <w:p>
            <w:pPr>
              <w:pStyle w:val="65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供应商提供项目验收方案，应包括全过程质量管控，对包括前期开发、系统调试等实施验收并进行全过程记录，以及收集整理全套材料等。优于采购需求得5分，符合采购需求得3分，不符合或未提供得0分。</w:t>
            </w:r>
            <w:r>
              <w:rPr>
                <w:rFonts w:hint="eastAsia" w:ascii="宋体" w:hAnsi="宋体" w:cs="宋体"/>
                <w:color w:val="000000"/>
                <w:szCs w:val="21"/>
                <w:lang w:bidi="ar"/>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3.11项目培训方案</w:t>
            </w:r>
            <w:r>
              <w:rPr>
                <w:rFonts w:hint="eastAsia" w:ascii="宋体" w:hAnsi="宋体" w:cs="宋体"/>
                <w:color w:val="000000"/>
                <w:szCs w:val="21"/>
              </w:rPr>
            </w:r>
            <w:r/>
          </w:p>
        </w:tc>
        <w:tc>
          <w:tcPr>
            <w:tcW w:w="5488"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供应商提供项目培训方案，应根据磋商文件要求及本项目特点，制订项目的培训计划、培训内容并提供培训课程和培训人员明细。优于采购需求得5分；符合采购需求得3分；不符合或未提供得0分。</w:t>
            </w:r>
            <w:r>
              <w:rPr>
                <w:rFonts w:hint="eastAsia" w:ascii="宋体" w:hAnsi="宋体" w:cs="宋体"/>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556"/>
        </w:trPr>
        <w:tc>
          <w:tcPr>
            <w:tcW w:w="864"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1131" w:type="dxa"/>
            <w:vAlign w:val="center"/>
            <w:vMerge w:val="continue"/>
            <w:textDirection w:val="lrTb"/>
            <w:noWrap w:val="false"/>
          </w:tcPr>
          <w:p>
            <w:pPr>
              <w:pStyle w:val="656"/>
              <w:jc w:val="center"/>
              <w:spacing w:line="360" w:lineRule="auto"/>
              <w:rPr>
                <w:rFonts w:ascii="宋体" w:hAnsi="宋体"/>
                <w:b/>
                <w:bCs/>
                <w:color w:val="000000"/>
                <w:szCs w:val="21"/>
              </w:rPr>
            </w:pPr>
            <w:r>
              <w:rPr>
                <w:rFonts w:ascii="宋体" w:hAnsi="宋体"/>
                <w:b/>
                <w:bCs/>
                <w:color w:val="000000"/>
                <w:szCs w:val="21"/>
              </w:rPr>
            </w:r>
            <w:r/>
          </w:p>
        </w:tc>
        <w:tc>
          <w:tcPr>
            <w:tcW w:w="646" w:type="dxa"/>
            <w:vAlign w:val="center"/>
            <w:textDirection w:val="lrTb"/>
            <w:noWrap w:val="false"/>
          </w:tcPr>
          <w:p>
            <w:pPr>
              <w:pStyle w:val="656"/>
              <w:jc w:val="center"/>
              <w:widowControl/>
              <w:rPr>
                <w:rFonts w:ascii="宋体" w:hAnsi="宋体"/>
                <w:color w:val="000000"/>
                <w:szCs w:val="21"/>
              </w:rPr>
            </w:pPr>
            <w:r>
              <w:rPr>
                <w:rFonts w:hint="eastAsia" w:ascii="宋体" w:hAnsi="宋体" w:cs="宋体"/>
                <w:color w:val="000000"/>
                <w:szCs w:val="21"/>
                <w:lang w:bidi="ar"/>
              </w:rPr>
              <w:t xml:space="preserve">3.12售后服务方案</w:t>
            </w:r>
            <w:r>
              <w:rPr>
                <w:rFonts w:ascii="宋体" w:hAnsi="宋体"/>
                <w:color w:val="000000"/>
                <w:szCs w:val="21"/>
              </w:rPr>
            </w:r>
            <w:r/>
          </w:p>
        </w:tc>
        <w:tc>
          <w:tcPr>
            <w:tcW w:w="5488" w:type="dxa"/>
            <w:vAlign w:val="center"/>
            <w:textDirection w:val="lrTb"/>
            <w:noWrap w:val="false"/>
          </w:tcPr>
          <w:p>
            <w:pPr>
              <w:pStyle w:val="656"/>
              <w:jc w:val="left"/>
              <w:widowControl/>
              <w:rPr>
                <w:rFonts w:hint="eastAsia" w:ascii="宋体" w:hAnsi="宋体"/>
                <w:color w:val="000000"/>
                <w:szCs w:val="21"/>
              </w:rPr>
            </w:pPr>
            <w:r>
              <w:rPr>
                <w:rFonts w:hint="eastAsia" w:ascii="宋体" w:hAnsi="宋体" w:cs="宋体"/>
                <w:color w:val="000000"/>
                <w:szCs w:val="21"/>
                <w:lang w:bidi="ar"/>
              </w:rPr>
              <w:t xml:space="preserve">供应商</w:t>
            </w:r>
            <w:r>
              <w:rPr>
                <w:rStyle w:val="775"/>
                <w:lang w:bidi="ar"/>
              </w:rPr>
              <w:t xml:space="preserve">具有完善的售后服务体系，针对该项目提供详尽的售后方案及服务承诺。优于采购需求得5分，符合采购需求得3分，不符合或未提供得0分。</w:t>
            </w:r>
            <w:r>
              <w:rPr>
                <w:rFonts w:hint="eastAsia" w:ascii="宋体" w:hAnsi="宋体"/>
                <w:color w:val="000000"/>
                <w:szCs w:val="21"/>
              </w:rPr>
            </w:r>
            <w:r/>
          </w:p>
        </w:tc>
        <w:tc>
          <w:tcPr>
            <w:tcW w:w="742" w:type="dxa"/>
            <w:vAlign w:val="center"/>
            <w:textDirection w:val="lrTb"/>
            <w:noWrap w:val="false"/>
          </w:tcPr>
          <w:p>
            <w:pPr>
              <w:pStyle w:val="656"/>
              <w:jc w:val="center"/>
              <w:spacing w:line="360" w:lineRule="auto"/>
              <w:rPr>
                <w:rFonts w:hint="eastAsia" w:ascii="宋体" w:hAnsi="宋体"/>
                <w:b/>
                <w:bCs/>
                <w:color w:val="000000"/>
                <w:szCs w:val="21"/>
              </w:rPr>
            </w:pPr>
            <w:r>
              <w:rPr>
                <w:rFonts w:hint="eastAsia" w:ascii="宋体" w:hAnsi="宋体"/>
                <w:b/>
                <w:bCs/>
                <w:color w:val="000000"/>
                <w:szCs w:val="21"/>
              </w:rPr>
              <w:t xml:space="preserve">5</w:t>
            </w:r>
            <w:r>
              <w:rPr>
                <w:rFonts w:hint="eastAsia" w:ascii="宋体" w:hAnsi="宋体"/>
                <w:b/>
                <w:bCs/>
                <w:color w:val="000000"/>
                <w:szCs w:val="21"/>
              </w:rPr>
            </w:r>
            <w:r/>
          </w:p>
        </w:tc>
      </w:tr>
      <w:tr>
        <w:trPr>
          <w:trHeight w:val="421"/>
        </w:trPr>
        <w:tc>
          <w:tcPr>
            <w:gridSpan w:val="4"/>
            <w:tcW w:w="8129" w:type="dxa"/>
            <w:vAlign w:val="center"/>
            <w:textDirection w:val="lrTb"/>
            <w:noWrap w:val="false"/>
          </w:tcPr>
          <w:p>
            <w:pPr>
              <w:pStyle w:val="656"/>
              <w:jc w:val="center"/>
              <w:spacing w:line="360" w:lineRule="auto"/>
              <w:rPr>
                <w:rFonts w:ascii="宋体" w:hAnsi="宋体"/>
                <w:color w:val="000000"/>
                <w:szCs w:val="21"/>
              </w:rPr>
            </w:pPr>
            <w:r>
              <w:rPr>
                <w:rFonts w:ascii="宋体" w:hAnsi="宋体"/>
                <w:b/>
                <w:bCs/>
                <w:color w:val="000000"/>
                <w:szCs w:val="21"/>
              </w:rPr>
              <w:t xml:space="preserve">总分</w:t>
            </w:r>
            <w:r>
              <w:rPr>
                <w:rFonts w:ascii="宋体" w:hAnsi="宋体"/>
                <w:color w:val="000000"/>
                <w:szCs w:val="21"/>
              </w:rPr>
            </w:r>
            <w:r/>
          </w:p>
        </w:tc>
        <w:tc>
          <w:tcPr>
            <w:tcW w:w="742" w:type="dxa"/>
            <w:vAlign w:val="center"/>
            <w:textDirection w:val="lrTb"/>
            <w:noWrap w:val="false"/>
          </w:tcPr>
          <w:p>
            <w:pPr>
              <w:pStyle w:val="656"/>
              <w:jc w:val="center"/>
              <w:spacing w:line="360" w:lineRule="auto"/>
              <w:rPr>
                <w:rFonts w:ascii="宋体" w:hAnsi="宋体"/>
                <w:b/>
                <w:color w:val="000000"/>
                <w:szCs w:val="21"/>
              </w:rPr>
            </w:pPr>
            <w:r>
              <w:rPr>
                <w:rFonts w:ascii="宋体" w:hAnsi="宋体"/>
                <w:b/>
                <w:color w:val="000000"/>
                <w:szCs w:val="21"/>
              </w:rPr>
              <w:t xml:space="preserve">100</w:t>
            </w:r>
            <w:r>
              <w:rPr>
                <w:rFonts w:ascii="宋体" w:hAnsi="宋体"/>
                <w:b/>
                <w:color w:val="000000"/>
                <w:szCs w:val="21"/>
              </w:rPr>
            </w:r>
            <w:r/>
          </w:p>
        </w:tc>
      </w:tr>
    </w:tbl>
    <w:p>
      <w:pPr>
        <w:pStyle w:val="656"/>
        <w:rPr>
          <w:color w:val="000000"/>
          <w:szCs w:val="21"/>
        </w:rPr>
      </w:pPr>
      <w:r>
        <w:rPr>
          <w:color w:val="000000"/>
          <w:szCs w:val="21"/>
        </w:rPr>
      </w:r>
      <w:r/>
    </w:p>
    <w:p>
      <w:pPr>
        <w:pStyle w:val="656"/>
        <w:rPr>
          <w:rFonts w:hint="eastAsia"/>
          <w:color w:val="000000"/>
          <w:szCs w:val="21"/>
        </w:rPr>
      </w:pPr>
      <w:r>
        <w:rPr>
          <w:rFonts w:hint="eastAsia"/>
          <w:color w:val="000000"/>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ascii="Times New Roman" w:hAnsi="Times New Roman"/>
          <w:szCs w:val="21"/>
        </w:rPr>
      </w:pPr>
      <w:r>
        <w:rPr>
          <w:rFonts w:ascii="Times New Roman" w:hAnsi="Times New Roman"/>
          <w:szCs w:val="21"/>
        </w:rPr>
      </w:r>
      <w:r/>
    </w:p>
    <w:p>
      <w:pPr>
        <w:pStyle w:val="656"/>
        <w:rPr>
          <w:rFonts w:hint="eastAsia" w:ascii="Times New Roman" w:hAnsi="Times New Roman"/>
          <w:szCs w:val="21"/>
        </w:rPr>
      </w:pPr>
      <w:r>
        <w:rPr>
          <w:rFonts w:hint="eastAsia" w:ascii="Times New Roman" w:hAnsi="Times New Roman"/>
          <w:szCs w:val="21"/>
        </w:rPr>
      </w:r>
      <w:r/>
    </w:p>
    <w:p>
      <w:pPr>
        <w:pStyle w:val="656"/>
        <w:jc w:val="center"/>
        <w:keepNext/>
        <w:rPr>
          <w:rFonts w:ascii="黑体" w:hAnsi="Times New Roman" w:eastAsia="黑体"/>
          <w:bCs/>
          <w:sz w:val="44"/>
          <w:szCs w:val="28"/>
        </w:rPr>
        <w:outlineLvl w:val="0"/>
      </w:pPr>
      <w:r>
        <w:rPr>
          <w:rFonts w:ascii="黑体" w:hAnsi="Times New Roman" w:eastAsia="黑体"/>
          <w:bCs/>
          <w:sz w:val="44"/>
          <w:szCs w:val="28"/>
        </w:rPr>
      </w:r>
      <w:r/>
    </w:p>
    <w:p>
      <w:pPr>
        <w:pStyle w:val="656"/>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6"/>
      <w:r/>
      <w:bookmarkEnd w:id="177"/>
      <w:r/>
      <w:bookmarkEnd w:id="200"/>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56"/>
        <w:jc w:val="center"/>
        <w:rPr>
          <w:rFonts w:hint="eastAsia" w:ascii="宋体" w:hAnsi="宋体"/>
          <w:b/>
          <w:sz w:val="72"/>
          <w:szCs w:val="21"/>
        </w:rPr>
      </w:pPr>
      <w:r/>
      <w:bookmarkStart w:id="201" w:name="_Hlt26955039"/>
      <w:r/>
      <w:bookmarkEnd w:id="201"/>
      <w:r/>
      <w:bookmarkStart w:id="202" w:name="_Hlt26671244"/>
      <w:r/>
      <w:bookmarkEnd w:id="202"/>
      <w:r/>
      <w:bookmarkStart w:id="203" w:name="_Toc49090576"/>
      <w:r/>
      <w:bookmarkStart w:id="204" w:name="_Toc120614282"/>
      <w:r/>
      <w:bookmarkStart w:id="205" w:name="_Toc26554094"/>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r>
      <w:r/>
    </w:p>
    <w:p>
      <w:pPr>
        <w:pStyle w:val="656"/>
        <w:jc w:val="center"/>
        <w:rPr>
          <w:rFonts w:hint="eastAsia" w:ascii="宋体" w:hAnsi="宋体"/>
          <w:b/>
          <w:sz w:val="72"/>
          <w:szCs w:val="21"/>
        </w:rPr>
      </w:pPr>
      <w:r>
        <w:rPr>
          <w:rFonts w:hint="eastAsia" w:ascii="宋体" w:hAnsi="宋体"/>
          <w:b/>
          <w:sz w:val="72"/>
          <w:szCs w:val="21"/>
        </w:rPr>
      </w:r>
      <w:r/>
    </w:p>
    <w:p>
      <w:pPr>
        <w:pStyle w:val="656"/>
        <w:jc w:val="center"/>
        <w:rPr>
          <w:rFonts w:hint="eastAsia" w:ascii="宋体" w:hAnsi="宋体"/>
          <w:b/>
          <w:sz w:val="36"/>
          <w:szCs w:val="21"/>
        </w:rPr>
      </w:pPr>
      <w:r>
        <w:rPr>
          <w:rFonts w:hint="eastAsia" w:ascii="宋体" w:hAnsi="宋体"/>
          <w:b/>
          <w:sz w:val="36"/>
          <w:szCs w:val="21"/>
        </w:rPr>
      </w:r>
      <w:r/>
    </w:p>
    <w:p>
      <w:pPr>
        <w:pStyle w:val="656"/>
        <w:jc w:val="center"/>
        <w:rPr>
          <w:rFonts w:hint="eastAsia" w:ascii="宋体" w:hAnsi="宋体"/>
          <w:b/>
          <w:sz w:val="36"/>
          <w:szCs w:val="21"/>
        </w:rPr>
      </w:pPr>
      <w:r>
        <w:rPr>
          <w:rFonts w:hint="eastAsia" w:ascii="宋体" w:hAnsi="宋体"/>
          <w:b/>
          <w:sz w:val="36"/>
          <w:szCs w:val="21"/>
        </w:rPr>
      </w:r>
      <w:r/>
    </w:p>
    <w:p>
      <w:pPr>
        <w:pStyle w:val="656"/>
        <w:jc w:val="center"/>
        <w:rPr>
          <w:rFonts w:hint="eastAsia" w:ascii="宋体" w:hAnsi="宋体"/>
          <w:b/>
          <w:sz w:val="36"/>
          <w:szCs w:val="21"/>
        </w:rPr>
      </w:pPr>
      <w:r>
        <w:rPr>
          <w:rFonts w:hint="eastAsia" w:ascii="宋体" w:hAnsi="宋体"/>
          <w:b/>
          <w:sz w:val="36"/>
          <w:szCs w:val="21"/>
        </w:rPr>
      </w:r>
      <w:r/>
    </w:p>
    <w:p>
      <w:pPr>
        <w:pStyle w:val="656"/>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6"/>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56"/>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6"/>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spacing w:line="440" w:lineRule="exact"/>
        <w:rPr>
          <w:rFonts w:ascii="宋体" w:hAnsi="宋体"/>
          <w:szCs w:val="21"/>
        </w:rPr>
      </w:pPr>
      <w:r>
        <w:rPr>
          <w:rFonts w:ascii="宋体" w:hAnsi="宋体"/>
          <w:szCs w:val="21"/>
        </w:rPr>
      </w:r>
      <w:r/>
    </w:p>
    <w:p>
      <w:pPr>
        <w:pStyle w:val="656"/>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56"/>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656"/>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56"/>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56"/>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56"/>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56"/>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2024或2025年度的财务状况报告（供应商成立不满一年无需提供）</w:t>
      </w:r>
      <w:r>
        <w:rPr>
          <w:rFonts w:hint="eastAsia" w:ascii="宋体" w:hAnsi="宋体"/>
          <w:sz w:val="24"/>
          <w:szCs w:val="21"/>
        </w:rPr>
      </w:r>
      <w:r/>
    </w:p>
    <w:p>
      <w:pPr>
        <w:pStyle w:val="656"/>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656"/>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656"/>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56"/>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656"/>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656"/>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656"/>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656"/>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656"/>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56"/>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中提供相关材料，否则作无效响应处理；6条如磋商文件要求必须提供相关材料而未提供的，作无效响应处理。</w:t>
      </w:r>
      <w:r>
        <w:rPr>
          <w:rFonts w:ascii="宋体" w:hAnsi="宋体"/>
          <w:sz w:val="24"/>
          <w:szCs w:val="24"/>
        </w:rPr>
      </w:r>
      <w:r/>
    </w:p>
    <w:p>
      <w:pPr>
        <w:pStyle w:val="656"/>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56"/>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656"/>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56"/>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656"/>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56"/>
        <w:rPr>
          <w:rFonts w:ascii="宋体" w:hAnsi="宋体"/>
          <w:b/>
          <w:sz w:val="24"/>
          <w:szCs w:val="21"/>
        </w:rPr>
      </w:pPr>
      <w:r>
        <w:rPr>
          <w:rFonts w:ascii="宋体" w:hAnsi="宋体"/>
          <w:b/>
          <w:sz w:val="24"/>
          <w:szCs w:val="21"/>
        </w:rPr>
      </w:r>
      <w:r/>
    </w:p>
    <w:p>
      <w:pPr>
        <w:pStyle w:val="656"/>
        <w:ind w:left="480"/>
        <w:rPr>
          <w:rFonts w:ascii="宋体" w:hAnsi="宋体"/>
          <w:b/>
          <w:sz w:val="24"/>
          <w:szCs w:val="21"/>
        </w:rPr>
      </w:pPr>
      <w:r>
        <w:rPr>
          <w:rFonts w:ascii="宋体" w:hAnsi="宋体"/>
          <w:b/>
          <w:sz w:val="24"/>
          <w:szCs w:val="21"/>
        </w:rPr>
      </w:r>
      <w:r/>
    </w:p>
    <w:p>
      <w:pPr>
        <w:pStyle w:val="656"/>
        <w:ind w:left="480"/>
        <w:rPr>
          <w:rFonts w:ascii="宋体" w:hAnsi="宋体"/>
          <w:b/>
          <w:sz w:val="24"/>
          <w:szCs w:val="21"/>
        </w:rPr>
      </w:pPr>
      <w:r>
        <w:rPr>
          <w:rFonts w:hint="eastAsia" w:ascii="宋体" w:hAnsi="宋体"/>
          <w:b/>
          <w:sz w:val="24"/>
          <w:szCs w:val="21"/>
        </w:rPr>
        <w:t xml:space="preserve">附件1 分项报价表（服务类项目）</w:t>
      </w:r>
      <w:r>
        <w:rPr>
          <w:rFonts w:hint="eastAsia" w:ascii="宋体" w:hAnsi="宋体"/>
          <w:b/>
          <w:sz w:val="24"/>
          <w:szCs w:val="24"/>
        </w:rPr>
        <w:t xml:space="preserve">（采购包号：**）</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56"/>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56"/>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6"/>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656"/>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9053" w:type="dxa"/>
            <w:vAlign w:val="center"/>
            <w:textDirection w:val="lrTb"/>
            <w:noWrap w:val="false"/>
          </w:tcPr>
          <w:p>
            <w:pPr>
              <w:pStyle w:val="656"/>
              <w:spacing w:line="0" w:lineRule="atLeast"/>
              <w:rPr>
                <w:rFonts w:ascii="宋体" w:hAnsi="宋体"/>
                <w:sz w:val="24"/>
                <w:szCs w:val="24"/>
                <w:u w:val="single"/>
              </w:rPr>
            </w:pPr>
            <w:r>
              <w:rPr>
                <w:rFonts w:hint="eastAsia" w:ascii="宋体" w:hAnsi="宋体"/>
                <w:sz w:val="24"/>
                <w:szCs w:val="24"/>
              </w:rPr>
              <w:t xml:space="preserve">磋商总报价（人民币：元）</w:t>
            </w:r>
            <w:r>
              <w:rPr>
                <w:rFonts w:hint="eastAsia" w:ascii="宋体" w:hAnsi="宋体"/>
                <w:sz w:val="24"/>
                <w:szCs w:val="24"/>
                <w:u w:val="single"/>
              </w:rPr>
              <w:t xml:space="preserve">                </w:t>
            </w:r>
            <w:r>
              <w:rPr>
                <w:rFonts w:ascii="宋体" w:hAnsi="宋体"/>
                <w:sz w:val="24"/>
                <w:szCs w:val="24"/>
                <w:u w:val="single"/>
              </w:rPr>
            </w:r>
            <w:r/>
          </w:p>
        </w:tc>
      </w:tr>
    </w:tbl>
    <w:p>
      <w:pPr>
        <w:pStyle w:val="656"/>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656"/>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宋体" w:hAnsi="宋体"/>
          <w:sz w:val="24"/>
          <w:szCs w:val="24"/>
        </w:rPr>
      </w:r>
      <w:r/>
    </w:p>
    <w:p>
      <w:pPr>
        <w:pStyle w:val="656"/>
      </w:pPr>
      <w:r/>
      <w:r/>
    </w:p>
    <w:p>
      <w:pPr>
        <w:pStyle w:val="656"/>
        <w:jc w:val="center"/>
        <w:rPr>
          <w:rFonts w:hint="eastAsia" w:ascii="宋体" w:hAnsi="宋体"/>
          <w:b/>
          <w:sz w:val="24"/>
          <w:szCs w:val="24"/>
        </w:rPr>
      </w:pPr>
      <w:r>
        <w:rPr>
          <w:rFonts w:hint="eastAsia" w:ascii="宋体" w:hAnsi="宋体"/>
          <w:b/>
          <w:sz w:val="24"/>
          <w:szCs w:val="24"/>
        </w:rPr>
      </w:r>
      <w:r/>
    </w:p>
    <w:p>
      <w:pPr>
        <w:pStyle w:val="65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bl>
    <w:p>
      <w:pPr>
        <w:pStyle w:val="65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6"/>
        <w:spacing w:line="400" w:lineRule="exact"/>
        <w:rPr>
          <w:rFonts w:ascii="宋体" w:hAnsi="宋体"/>
          <w:sz w:val="24"/>
          <w:szCs w:val="24"/>
        </w:rPr>
      </w:pPr>
      <w:r>
        <w:rPr>
          <w:rFonts w:hint="eastAsia" w:ascii="宋体" w:hAnsi="宋体" w:cs="宋体"/>
          <w:sz w:val="24"/>
          <w:szCs w:val="24"/>
        </w:rPr>
        <w:t xml:space="preserve">1.供应商需对磋商文件技术要求中的非实质性要求（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6"/>
        <w:ind w:left="480"/>
        <w:rPr>
          <w:rFonts w:ascii="宋体" w:hAnsi="宋体"/>
          <w:b/>
          <w:i/>
          <w:color w:val="ff0000"/>
          <w:sz w:val="24"/>
          <w:szCs w:val="21"/>
          <w:u w:val="single"/>
        </w:rPr>
      </w:pPr>
      <w:r>
        <w:rPr>
          <w:rFonts w:ascii="宋体" w:hAnsi="宋体"/>
          <w:b/>
          <w:i/>
          <w:color w:val="ff0000"/>
          <w:sz w:val="24"/>
          <w:szCs w:val="21"/>
          <w:u w:val="single"/>
        </w:rPr>
      </w:r>
      <w:r/>
    </w:p>
    <w:p>
      <w:pPr>
        <w:pStyle w:val="65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bl>
    <w:p>
      <w:pPr>
        <w:pStyle w:val="65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6"/>
        <w:spacing w:line="400" w:lineRule="exact"/>
        <w:rPr>
          <w:rFonts w:ascii="宋体" w:hAnsi="宋体"/>
          <w:sz w:val="24"/>
          <w:szCs w:val="24"/>
        </w:rPr>
      </w:pPr>
      <w:r>
        <w:rPr>
          <w:rFonts w:hint="eastAsia" w:ascii="宋体" w:hAnsi="宋体" w:cs="宋体"/>
          <w:sz w:val="24"/>
          <w:szCs w:val="24"/>
        </w:rPr>
        <w:t xml:space="preserve">1.供应商需对磋商文件商务要求中的非实质性要求（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6"/>
        <w:rPr>
          <w:rFonts w:hint="eastAsia" w:ascii="宋体" w:hAnsi="宋体"/>
          <w:b/>
          <w:color w:val="000000"/>
          <w:sz w:val="24"/>
          <w:szCs w:val="21"/>
        </w:rPr>
      </w:pPr>
      <w:r>
        <w:rPr>
          <w:rFonts w:hint="eastAsia" w:ascii="宋体" w:hAnsi="宋体"/>
          <w:b/>
          <w:color w:val="000000"/>
          <w:sz w:val="24"/>
          <w:szCs w:val="21"/>
        </w:rPr>
      </w:r>
      <w:r/>
    </w:p>
    <w:p>
      <w:pPr>
        <w:pStyle w:val="656"/>
        <w:ind w:left="480"/>
        <w:rPr>
          <w:rFonts w:ascii="宋体" w:hAnsi="宋体"/>
          <w:b/>
          <w:color w:val="000000"/>
          <w:sz w:val="24"/>
          <w:szCs w:val="21"/>
        </w:rPr>
      </w:pPr>
      <w:r>
        <w:rPr>
          <w:rFonts w:ascii="宋体" w:hAnsi="宋体"/>
          <w:b/>
          <w:color w:val="000000"/>
          <w:sz w:val="24"/>
          <w:szCs w:val="21"/>
        </w:rPr>
      </w:r>
      <w:r/>
    </w:p>
    <w:p>
      <w:pPr>
        <w:pStyle w:val="656"/>
        <w:ind w:left="480"/>
        <w:rPr>
          <w:rFonts w:hint="eastAsia" w:ascii="宋体" w:hAnsi="宋体"/>
          <w:b/>
          <w:color w:val="000000"/>
          <w:sz w:val="24"/>
          <w:szCs w:val="21"/>
        </w:rPr>
      </w:pPr>
      <w:r>
        <w:rPr>
          <w:rFonts w:hint="eastAsia" w:ascii="宋体" w:hAnsi="宋体"/>
          <w:b/>
          <w:color w:val="000000"/>
          <w:sz w:val="24"/>
          <w:szCs w:val="21"/>
        </w:rPr>
      </w:r>
      <w:r/>
    </w:p>
    <w:p>
      <w:pPr>
        <w:pStyle w:val="656"/>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65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65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56"/>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56"/>
        <w:ind w:firstLine="492"/>
        <w:spacing w:line="460" w:lineRule="exact"/>
        <w:rPr>
          <w:rFonts w:ascii="宋体" w:hAnsi="宋体"/>
          <w:bCs/>
          <w:color w:val="000000"/>
          <w:sz w:val="24"/>
          <w:szCs w:val="21"/>
        </w:rPr>
      </w:pPr>
      <w:r>
        <w:rPr>
          <w:rFonts w:ascii="宋体" w:hAnsi="宋体"/>
          <w:bCs/>
          <w:color w:val="000000"/>
          <w:sz w:val="24"/>
          <w:szCs w:val="21"/>
        </w:rPr>
      </w:r>
      <w:r/>
    </w:p>
    <w:p>
      <w:pPr>
        <w:pStyle w:val="656"/>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65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656"/>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6"/>
        <w:rPr>
          <w:rFonts w:hint="eastAsia" w:ascii="宋体" w:hAnsi="宋体"/>
          <w:b/>
          <w:color w:val="000000"/>
          <w:sz w:val="24"/>
          <w:szCs w:val="21"/>
        </w:rPr>
      </w:pPr>
      <w:r/>
      <w:bookmarkEnd w:id="203"/>
      <w:r/>
      <w:bookmarkEnd w:id="204"/>
      <w:r/>
      <w:bookmarkEnd w:id="205"/>
      <w:r/>
      <w:bookmarkStart w:id="206" w:name="_Toc120614284"/>
      <w:r>
        <w:rPr>
          <w:rFonts w:hint="eastAsia" w:ascii="宋体" w:hAnsi="宋体"/>
          <w:b/>
          <w:color w:val="000000"/>
          <w:sz w:val="24"/>
          <w:szCs w:val="21"/>
        </w:rPr>
      </w:r>
      <w:r/>
    </w:p>
    <w:p>
      <w:pPr>
        <w:pStyle w:val="656"/>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656"/>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Times New Roman" w:hAnsi="Times New Roman"/>
          <w:sz w:val="24"/>
          <w:szCs w:val="24"/>
        </w:rPr>
        <w:t xml:space="preserve">采购活动的合法代理人，以本单位名义全权处理一切与该项目采购有关的事务。</w:t>
      </w:r>
      <w:r>
        <w:rPr>
          <w:rFonts w:hint="eastAsia" w:ascii="Times New Roman" w:hAnsi="Times New Roman"/>
          <w:sz w:val="24"/>
          <w:szCs w:val="24"/>
        </w:rPr>
      </w:r>
      <w:r/>
    </w:p>
    <w:p>
      <w:pPr>
        <w:pStyle w:val="656"/>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656"/>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56"/>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656"/>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color w:val="ff0000"/>
          <w:sz w:val="24"/>
          <w:szCs w:val="24"/>
          <w:u w:val="single"/>
        </w:rPr>
      </w:r>
      <w:r/>
    </w:p>
    <w:p>
      <w:pPr>
        <w:pStyle w:val="656"/>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656"/>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56"/>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207" w:name="_Hlt26955070"/>
      <w:r/>
      <w:bookmarkEnd w:id="207"/>
      <w:r/>
      <w:bookmarkStart w:id="208" w:name="_Hlt26671380"/>
      <w:r/>
      <w:bookmarkEnd w:id="208"/>
      <w:r/>
      <w:bookmarkStart w:id="209" w:name="_格式3__银行出具的资信证明"/>
      <w:r/>
      <w:bookmarkEnd w:id="209"/>
      <w:r>
        <w:rPr>
          <w:rFonts w:hint="eastAsia" w:ascii="Times New Roman" w:hAnsi="Times New Roman"/>
          <w:sz w:val="24"/>
          <w:szCs w:val="24"/>
          <w:u w:val="single"/>
        </w:rPr>
        <w:t xml:space="preserve">                                         </w:t>
      </w:r>
      <w:r>
        <w:rPr>
          <w:rFonts w:ascii="Times New Roman" w:hAnsi="Times New Roman"/>
          <w:sz w:val="24"/>
          <w:szCs w:val="24"/>
          <w:u w:val="single"/>
        </w:rPr>
      </w:r>
      <w:r/>
    </w:p>
    <w:p>
      <w:pPr>
        <w:pStyle w:val="656"/>
        <w:ind w:firstLine="360"/>
        <w:spacing w:line="0" w:lineRule="atLeast"/>
        <w:rPr>
          <w:rFonts w:ascii="宋体" w:hAnsi="宋体"/>
          <w:sz w:val="24"/>
          <w:szCs w:val="24"/>
          <w:highlight w:val="yellow"/>
        </w:rPr>
      </w:pPr>
      <w:r>
        <w:rPr>
          <w:rFonts w:ascii="宋体" w:hAnsi="宋体"/>
          <w:sz w:val="24"/>
          <w:szCs w:val="24"/>
          <w:highlight w:val="yellow"/>
        </w:rPr>
      </w:r>
      <w:r/>
    </w:p>
    <w:p>
      <w:pPr>
        <w:pStyle w:val="656"/>
        <w:rPr>
          <w:rFonts w:hint="eastAsia" w:ascii="Times New Roman" w:hAnsi="Times New Roman"/>
          <w:szCs w:val="21"/>
        </w:rPr>
      </w:pPr>
      <w:r>
        <w:rPr>
          <w:rFonts w:hint="eastAsia" w:ascii="Times New Roman" w:hAnsi="Times New Roman"/>
          <w:szCs w:val="21"/>
        </w:rPr>
      </w:r>
      <w:r/>
    </w:p>
    <w:p>
      <w:pPr>
        <w:pStyle w:val="656"/>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656"/>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sz w:val="24"/>
          <w:szCs w:val="21"/>
        </w:rPr>
        <w:t xml:space="preserve">的磋商文件，正式授权下述签字人______(姓名)代表我方______________（供应商的名称），全权处理本次项目磋商的有关事宜。</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656"/>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656"/>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6"/>
        <w:ind w:left="420" w:firstLine="480"/>
        <w:jc w:val="left"/>
        <w:spacing w:line="420" w:lineRule="exact"/>
        <w:rPr>
          <w:rFonts w:hint="eastAsia" w:ascii="宋体" w:hAnsi="宋体"/>
          <w:sz w:val="24"/>
          <w:szCs w:val="21"/>
        </w:rPr>
      </w:pPr>
      <w:r>
        <w:rPr>
          <w:rFonts w:hint="eastAsia" w:ascii="宋体" w:hAnsi="宋体"/>
          <w:sz w:val="24"/>
          <w:szCs w:val="21"/>
        </w:rPr>
        <w:t xml:space="preserve">日           期：____年____月____日</w:t>
      </w:r>
      <w:r>
        <w:rPr>
          <w:rFonts w:hint="eastAsia" w:ascii="宋体" w:hAnsi="宋体"/>
          <w:sz w:val="24"/>
          <w:szCs w:val="21"/>
        </w:rPr>
      </w:r>
      <w:r/>
    </w:p>
    <w:p>
      <w:pPr>
        <w:pStyle w:val="656"/>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pStyle w:val="656"/>
        <w:jc w:val="center"/>
        <w:rPr>
          <w:rFonts w:hint="eastAsia" w:ascii="黑体" w:hAnsi="黑体" w:eastAsia="黑体"/>
          <w:b/>
          <w:sz w:val="32"/>
          <w:szCs w:val="32"/>
          <w:highlight w:val="cyan"/>
        </w:rPr>
      </w:pPr>
      <w:r>
        <w:rPr>
          <w:rFonts w:hint="eastAsia" w:ascii="宋体" w:hAnsi="宋体"/>
          <w:sz w:val="24"/>
          <w:szCs w:val="24"/>
        </w:rPr>
        <w:t xml:space="preserve"> </w:t>
      </w: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rPr>
          <w:rFonts w:hint="eastAsia" w:ascii="黑体" w:hAnsi="黑体" w:eastAsia="黑体"/>
          <w:b/>
          <w:sz w:val="32"/>
          <w:szCs w:val="32"/>
          <w:highlight w:val="cyan"/>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56"/>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56"/>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6"/>
        <w:ind w:right="720"/>
        <w:spacing w:line="400" w:lineRule="exact"/>
        <w:rPr>
          <w:rFonts w:hint="eastAsia" w:ascii="宋体" w:hAnsi="宋体"/>
          <w:sz w:val="24"/>
          <w:szCs w:val="24"/>
        </w:rPr>
      </w:pPr>
      <w:r>
        <w:rPr>
          <w:rFonts w:hint="eastAsia" w:ascii="宋体" w:hAnsi="宋体"/>
          <w:sz w:val="24"/>
          <w:szCs w:val="24"/>
        </w:rPr>
      </w:r>
      <w:r/>
    </w:p>
    <w:p>
      <w:pPr>
        <w:pStyle w:val="656"/>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656"/>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656"/>
        <w:ind w:firstLine="240"/>
        <w:spacing w:line="400" w:lineRule="exact"/>
        <w:rPr>
          <w:rFonts w:hint="eastAsia" w:ascii="宋体" w:hAnsi="宋体"/>
          <w:sz w:val="24"/>
          <w:szCs w:val="24"/>
        </w:rPr>
      </w:pPr>
      <w:r>
        <w:rPr>
          <w:rFonts w:hint="eastAsia" w:ascii="宋体" w:hAnsi="宋体"/>
          <w:sz w:val="24"/>
          <w:szCs w:val="24"/>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56"/>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56"/>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656"/>
        <w:spacing w:line="400" w:lineRule="exact"/>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r>
      <w:r/>
    </w:p>
    <w:p>
      <w:pPr>
        <w:pStyle w:val="656"/>
        <w:spacing w:line="400" w:lineRule="exact"/>
        <w:rPr>
          <w:rFonts w:ascii="黑体" w:hAnsi="黑体" w:eastAsia="黑体"/>
          <w:b/>
          <w:sz w:val="32"/>
          <w:szCs w:val="32"/>
        </w:rPr>
      </w:pPr>
      <w:r>
        <w:rPr>
          <w:rFonts w:ascii="黑体" w:hAnsi="黑体" w:eastAsia="黑体"/>
          <w:b/>
          <w:sz w:val="32"/>
          <w:szCs w:val="32"/>
        </w:rPr>
      </w:r>
      <w:r/>
    </w:p>
    <w:p>
      <w:pPr>
        <w:pStyle w:val="656"/>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656"/>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（采购包号：**）采购活动由本单位提供服务。</w:t>
      </w:r>
      <w:r>
        <w:rPr>
          <w:rFonts w:hint="eastAsia" w:ascii="宋体" w:hAnsi="宋体"/>
          <w:sz w:val="24"/>
          <w:szCs w:val="21"/>
        </w:rPr>
      </w:r>
      <w:r/>
    </w:p>
    <w:p>
      <w:pPr>
        <w:pStyle w:val="656"/>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56"/>
        <w:ind w:firstLine="480"/>
        <w:spacing w:line="0" w:lineRule="atLeast"/>
        <w:rPr>
          <w:rFonts w:hint="eastAsia" w:ascii="宋体" w:hAnsi="宋体"/>
          <w:sz w:val="24"/>
          <w:szCs w:val="21"/>
        </w:rPr>
      </w:pPr>
      <w:r>
        <w:rPr>
          <w:rFonts w:hint="eastAsia" w:ascii="宋体" w:hAnsi="宋体"/>
          <w:sz w:val="24"/>
          <w:szCs w:val="21"/>
        </w:rPr>
      </w:r>
      <w:r/>
    </w:p>
    <w:p>
      <w:pPr>
        <w:pStyle w:val="656"/>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56"/>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56"/>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56"/>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656"/>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656"/>
        <w:ind w:right="1559" w:firstLine="480"/>
        <w:jc w:val="center"/>
        <w:spacing w:line="0" w:lineRule="atLeast"/>
        <w:tabs>
          <w:tab w:val="left" w:pos="4860" w:leader="none"/>
        </w:tabs>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  </w:t>
      </w:r>
      <w:r>
        <w:rPr>
          <w:rFonts w:hint="eastAsia" w:ascii="宋体" w:hAnsi="宋体"/>
          <w:sz w:val="24"/>
          <w:szCs w:val="21"/>
        </w:rPr>
      </w:r>
      <w:r/>
    </w:p>
    <w:p>
      <w:pPr>
        <w:pStyle w:val="656"/>
        <w:ind w:right="1559" w:firstLine="480"/>
        <w:jc w:val="center"/>
        <w:spacing w:line="0" w:lineRule="atLeast"/>
        <w:tabs>
          <w:tab w:val="left" w:pos="4860" w:leader="none"/>
        </w:tabs>
        <w:rPr>
          <w:rFonts w:hint="eastAsia" w:ascii="宋体" w:hAnsi="宋体"/>
          <w:sz w:val="24"/>
          <w:szCs w:val="24"/>
        </w:rPr>
      </w:pPr>
      <w:r>
        <w:rPr>
          <w:rFonts w:hint="eastAsia" w:ascii="宋体" w:hAnsi="宋体"/>
          <w:sz w:val="24"/>
          <w:szCs w:val="21"/>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656"/>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656"/>
        <w:jc w:val="center"/>
        <w:spacing w:line="0" w:lineRule="atLeast"/>
        <w:rPr>
          <w:rFonts w:hint="eastAsia" w:ascii="宋体" w:hAnsi="宋体"/>
          <w:b/>
          <w:sz w:val="24"/>
          <w:szCs w:val="24"/>
        </w:rPr>
      </w:pPr>
      <w:r>
        <w:rPr>
          <w:rFonts w:hint="eastAsia" w:ascii="宋体" w:hAnsi="宋体"/>
          <w:b/>
          <w:sz w:val="24"/>
          <w:szCs w:val="24"/>
        </w:rPr>
      </w:r>
      <w:r/>
    </w:p>
    <w:p>
      <w:pPr>
        <w:pStyle w:val="656"/>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656"/>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56"/>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56"/>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56"/>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56"/>
        <w:ind w:firstLine="645"/>
        <w:spacing w:line="0" w:lineRule="atLeast"/>
        <w:rPr>
          <w:rFonts w:hint="eastAsia" w:ascii="宋体" w:hAnsi="宋体"/>
          <w:sz w:val="24"/>
          <w:szCs w:val="21"/>
        </w:rPr>
      </w:pPr>
      <w:r>
        <w:rPr>
          <w:rFonts w:hint="eastAsia" w:ascii="宋体" w:hAnsi="宋体"/>
          <w:sz w:val="24"/>
          <w:szCs w:val="21"/>
        </w:rPr>
      </w:r>
      <w:r/>
    </w:p>
    <w:p>
      <w:pPr>
        <w:pStyle w:val="656"/>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56"/>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56"/>
        <w:ind w:firstLine="645"/>
        <w:jc w:val="center"/>
        <w:spacing w:line="0" w:lineRule="atLeast"/>
        <w:rPr>
          <w:rFonts w:ascii="宋体" w:hAnsi="宋体"/>
          <w:sz w:val="24"/>
          <w:szCs w:val="21"/>
        </w:rPr>
      </w:pPr>
      <w:r>
        <w:rPr>
          <w:rFonts w:hint="eastAsia" w:ascii="宋体" w:hAnsi="宋体"/>
          <w:sz w:val="24"/>
          <w:szCs w:val="21"/>
        </w:rPr>
        <w:t xml:space="preserve">                                联合体中各供应商全称（公章）：</w:t>
      </w:r>
      <w:r>
        <w:rPr>
          <w:rFonts w:ascii="宋体" w:hAnsi="宋体"/>
          <w:sz w:val="24"/>
          <w:szCs w:val="21"/>
        </w:rPr>
        <w:t xml:space="preserve">     </w:t>
      </w:r>
      <w:r>
        <w:rPr>
          <w:rFonts w:ascii="宋体" w:hAnsi="宋体"/>
          <w:sz w:val="24"/>
          <w:szCs w:val="21"/>
        </w:rPr>
      </w:r>
      <w:r/>
    </w:p>
    <w:p>
      <w:pPr>
        <w:pStyle w:val="656"/>
        <w:ind w:right="480"/>
        <w:spacing w:line="40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656"/>
        <w:ind w:firstLine="645"/>
        <w:spacing w:line="0" w:lineRule="atLeast"/>
        <w:rPr>
          <w:rFonts w:ascii="宋体" w:hAnsi="宋体"/>
          <w:sz w:val="24"/>
          <w:szCs w:val="21"/>
        </w:rPr>
      </w:pPr>
      <w:r>
        <w:rPr>
          <w:rFonts w:ascii="宋体" w:hAnsi="宋体"/>
          <w:sz w:val="24"/>
          <w:szCs w:val="21"/>
        </w:rPr>
      </w:r>
      <w:r/>
    </w:p>
    <w:p>
      <w:pPr>
        <w:pStyle w:val="656"/>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56"/>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6"/>
              <w:jc w:val="center"/>
              <w:spacing w:line="400" w:lineRule="exact"/>
              <w:rPr>
                <w:rFonts w:hint="eastAsia" w:ascii="宋体" w:hAnsi="宋体"/>
                <w:sz w:val="24"/>
                <w:szCs w:val="24"/>
              </w:rPr>
            </w:pPr>
            <w:r>
              <w:rPr>
                <w:rFonts w:hint="eastAsia" w:ascii="宋体" w:hAnsi="宋体"/>
                <w:sz w:val="24"/>
                <w:szCs w:val="24"/>
              </w:rPr>
            </w:r>
            <w:r/>
          </w:p>
        </w:tc>
      </w:tr>
    </w:tbl>
    <w:p>
      <w:pPr>
        <w:pStyle w:val="656"/>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56"/>
        <w:spacing w:line="400" w:lineRule="exact"/>
        <w:rPr>
          <w:rFonts w:ascii="宋体" w:hAnsi="宋体"/>
          <w:sz w:val="24"/>
          <w:szCs w:val="24"/>
        </w:rPr>
      </w:pPr>
      <w:r>
        <w:rPr>
          <w:rFonts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656"/>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656"/>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656"/>
        <w:spacing w:line="460" w:lineRule="exact"/>
        <w:rPr>
          <w:rFonts w:hint="eastAsia" w:ascii="宋体" w:hAnsi="宋体"/>
          <w:bCs/>
          <w:sz w:val="24"/>
          <w:szCs w:val="21"/>
        </w:rPr>
      </w:pPr>
      <w:r>
        <w:rPr>
          <w:rFonts w:hint="eastAsia" w:ascii="宋体" w:hAnsi="宋体"/>
          <w:bCs/>
          <w:sz w:val="24"/>
          <w:szCs w:val="21"/>
        </w:rPr>
      </w:r>
      <w:r/>
    </w:p>
    <w:p>
      <w:pPr>
        <w:pStyle w:val="656"/>
        <w:jc w:val="center"/>
        <w:rPr>
          <w:rFonts w:ascii="宋体" w:hAnsi="宋体" w:cs="仿宋"/>
          <w:b/>
          <w:bCs/>
          <w:sz w:val="32"/>
          <w:szCs w:val="32"/>
        </w:rPr>
      </w:pPr>
      <w:r/>
      <w:bookmarkEnd w:id="174"/>
      <w:r/>
      <w:bookmarkEnd w:id="175"/>
      <w:r/>
      <w:bookmarkEnd w:id="206"/>
      <w:r>
        <w:rPr>
          <w:rFonts w:hint="eastAsia" w:ascii="宋体" w:hAnsi="宋体" w:cs="仿宋"/>
          <w:b/>
          <w:bCs/>
          <w:sz w:val="32"/>
          <w:szCs w:val="32"/>
        </w:rPr>
        <w:t xml:space="preserve">质疑函范本</w:t>
      </w:r>
      <w:r>
        <w:rPr>
          <w:rFonts w:ascii="宋体" w:hAnsi="宋体" w:cs="仿宋"/>
          <w:b/>
          <w:bCs/>
          <w:sz w:val="32"/>
          <w:szCs w:val="32"/>
        </w:rPr>
      </w:r>
      <w:r/>
    </w:p>
    <w:p>
      <w:pPr>
        <w:pStyle w:val="656"/>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p>
      <w:pPr>
        <w:pStyle w:val="656"/>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23</w:t>
    </w:r>
    <w:r>
      <w:rPr>
        <w:rFonts w:ascii="宋体" w:hAnsi="宋体"/>
      </w:rPr>
      <w:fldChar w:fldCharType="end"/>
    </w:r>
    <w:r>
      <w:rPr>
        <w:rStyle w:val="728"/>
        <w:rFonts w:ascii="宋体" w:hAnsi="宋体"/>
      </w:rPr>
    </w:r>
    <w:r/>
  </w:p>
  <w:p>
    <w:pPr>
      <w:pStyle w:val="7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4"/>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1"/>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2">
    <w:multiLevelType w:val="hybridMultilevel"/>
    <w:lvl w:ilvl="0">
      <w:start w:val="1"/>
      <w:numFmt w:val="chineseCountingThousand"/>
      <w:pStyle w:val="771"/>
      <w:isLgl w:val="false"/>
      <w:suff w:val="nothing"/>
      <w:lvlText w:val="%1、"/>
      <w:lvlJc w:val="left"/>
      <w:pPr>
        <w:pStyle w:val="656"/>
        <w:ind w:left="851" w:firstLine="0"/>
      </w:pPr>
      <w:rPr>
        <w:rFonts w:hint="eastAsia"/>
      </w:rPr>
    </w:lvl>
    <w:lvl w:ilvl="1">
      <w:start w:val="1"/>
      <w:numFmt w:val="decimal"/>
      <w:pStyle w:val="773"/>
      <w:isLgl w:val="false"/>
      <w:suff w:val="space"/>
      <w:lvlText w:val="%1.%2"/>
      <w:lvlJc w:val="left"/>
      <w:pPr>
        <w:pStyle w:val="656"/>
        <w:ind w:left="142" w:firstLine="0"/>
      </w:pPr>
      <w:rPr>
        <w:rFonts w:hint="eastAsia"/>
        <w:b w:val="0"/>
        <w:bCs w:val="0"/>
      </w:rPr>
    </w:lvl>
    <w:lvl w:ilvl="2">
      <w:start w:val="1"/>
      <w:numFmt w:val="decimal"/>
      <w:isLgl w:val="false"/>
      <w:suff w:val="space"/>
      <w:lvlText w:val="%1.%2.%3"/>
      <w:lvlJc w:val="left"/>
      <w:pPr>
        <w:pStyle w:val="656"/>
        <w:ind w:left="2978" w:firstLine="0"/>
      </w:pPr>
      <w:rPr>
        <w:rFonts w:hint="eastAsia"/>
      </w:rPr>
    </w:lvl>
    <w:lvl w:ilvl="3">
      <w:start w:val="1"/>
      <w:numFmt w:val="decimal"/>
      <w:isLgl w:val="false"/>
      <w:suff w:val="space"/>
      <w:lvlText w:val="%1.%2.%3.%4"/>
      <w:lvlJc w:val="left"/>
      <w:pPr>
        <w:pStyle w:val="656"/>
        <w:ind w:left="0" w:firstLine="0"/>
      </w:pPr>
      <w:rPr>
        <w:rFonts w:hint="eastAsia"/>
      </w:rPr>
    </w:lvl>
    <w:lvl w:ilvl="4">
      <w:start w:val="1"/>
      <w:numFmt w:val="decimal"/>
      <w:isLgl w:val="false"/>
      <w:suff w:val="space"/>
      <w:lvlText w:val="%1.%2.%3.%4.%5"/>
      <w:lvlJc w:val="left"/>
      <w:pPr>
        <w:pStyle w:val="656"/>
        <w:ind w:left="0" w:firstLine="0"/>
      </w:pPr>
      <w:rPr>
        <w:rFonts w:hint="eastAsia"/>
      </w:rPr>
    </w:lvl>
    <w:lvl w:ilvl="5">
      <w:start w:val="1"/>
      <w:numFmt w:val="decimal"/>
      <w:isLgl w:val="false"/>
      <w:suff w:val="space"/>
      <w:lvlText w:val="%1.%2.%3.%4.%5.%6."/>
      <w:lvlJc w:val="left"/>
      <w:pPr>
        <w:pStyle w:val="656"/>
        <w:ind w:left="0" w:firstLine="0"/>
      </w:pPr>
      <w:rPr>
        <w:rFonts w:hint="eastAsia"/>
      </w:rPr>
    </w:lvl>
    <w:lvl w:ilvl="6">
      <w:start w:val="1"/>
      <w:numFmt w:val="decimal"/>
      <w:isLgl w:val="false"/>
      <w:suff w:val="space"/>
      <w:lvlText w:val="（%7）"/>
      <w:lvlJc w:val="left"/>
      <w:pPr>
        <w:pStyle w:val="656"/>
        <w:ind w:left="0" w:firstLine="0"/>
      </w:pPr>
      <w:rPr>
        <w:rFonts w:hint="eastAsia"/>
      </w:rPr>
    </w:lvl>
    <w:lvl w:ilvl="7">
      <w:start w:val="1"/>
      <w:numFmt w:val="decimal"/>
      <w:isLgl w:val="false"/>
      <w:suff w:val="space"/>
      <w:lvlText w:val="%8）"/>
      <w:lvlJc w:val="left"/>
      <w:pPr>
        <w:pStyle w:val="656"/>
        <w:ind w:left="0" w:firstLine="0"/>
      </w:pPr>
      <w:rPr>
        <w:rFonts w:hint="eastAsia"/>
      </w:rPr>
    </w:lvl>
    <w:lvl w:ilvl="8">
      <w:start w:val="1"/>
      <w:numFmt w:val="decimal"/>
      <w:isLgl w:val="false"/>
      <w:suff w:val="tab"/>
      <w:lvlText w:val="%1.%2.%3.%4.%5.%6.%7.%8.%9."/>
      <w:lvlJc w:val="left"/>
      <w:pPr>
        <w:pStyle w:val="656"/>
        <w:ind w:left="1559" w:hanging="1559"/>
      </w:pPr>
      <w:rPr>
        <w:rFonts w:hint="eastAsia"/>
      </w:rPr>
    </w:lvl>
  </w:abstractNum>
  <w:abstractNum w:abstractNumId="3">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56"/>
    <w:link w:val="656"/>
    <w:qFormat/>
    <w:pPr>
      <w:jc w:val="both"/>
      <w:widowControl w:val="off"/>
    </w:pPr>
    <w:rPr>
      <w:sz w:val="21"/>
      <w:szCs w:val="22"/>
      <w:lang w:val="en-US" w:eastAsia="zh-CN" w:bidi="ar-SA"/>
    </w:rPr>
  </w:style>
  <w:style w:type="paragraph" w:styleId="657">
    <w:name w:val="标题 1"/>
    <w:basedOn w:val="656"/>
    <w:next w:val="656"/>
    <w:link w:val="668"/>
    <w:qFormat/>
    <w:pPr>
      <w:jc w:val="center"/>
      <w:keepNext/>
      <w:outlineLvl w:val="0"/>
    </w:pPr>
    <w:rPr>
      <w:rFonts w:ascii="楷体_GB2312" w:hAnsi="Times New Roman" w:eastAsia="楷体_GB2312" w:cs="Times New Roman"/>
      <w:sz w:val="28"/>
      <w:szCs w:val="28"/>
    </w:rPr>
  </w:style>
  <w:style w:type="paragraph" w:styleId="658">
    <w:name w:val="标题 2"/>
    <w:basedOn w:val="656"/>
    <w:next w:val="670"/>
    <w:link w:val="669"/>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70"/>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0">
    <w:name w:val="标题 4"/>
    <w:basedOn w:val="656"/>
    <w:next w:val="670"/>
    <w:link w:val="673"/>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0"/>
    <w:link w:val="674"/>
    <w:qFormat/>
    <w:pPr>
      <w:keepNext/>
      <w:outlineLvl w:val="4"/>
    </w:pPr>
    <w:rPr>
      <w:rFonts w:ascii="宋体" w:hAnsi="Times New Roman" w:eastAsia="宋体" w:cs="Times New Roman"/>
      <w:color w:val="000000"/>
      <w:sz w:val="28"/>
      <w:szCs w:val="28"/>
    </w:rPr>
  </w:style>
  <w:style w:type="paragraph" w:styleId="662">
    <w:name w:val="标题 6"/>
    <w:basedOn w:val="656"/>
    <w:next w:val="656"/>
    <w:link w:val="6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3">
    <w:name w:val="标题 7"/>
    <w:basedOn w:val="656"/>
    <w:next w:val="656"/>
    <w:link w:val="6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4">
    <w:name w:val="标题 8"/>
    <w:basedOn w:val="656"/>
    <w:next w:val="656"/>
    <w:link w:val="6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5">
    <w:name w:val="标题 9"/>
    <w:basedOn w:val="656"/>
    <w:next w:val="656"/>
    <w:link w:val="678"/>
    <w:qFormat/>
    <w:pPr>
      <w:numPr>
        <w:ilvl w:val="8"/>
        <w:numId w:val="1"/>
      </w:numPr>
      <w:keepLines/>
      <w:keepNext/>
      <w:spacing w:before="240" w:after="64" w:line="320" w:lineRule="auto"/>
      <w:outlineLvl w:val="8"/>
    </w:pPr>
    <w:rPr>
      <w:rFonts w:ascii="Arial" w:hAnsi="Arial" w:eastAsia="黑体" w:cs="Times New Roman"/>
      <w:szCs w:val="21"/>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character" w:styleId="668">
    <w:name w:val="标题 1 字符"/>
    <w:next w:val="668"/>
    <w:link w:val="657"/>
    <w:rPr>
      <w:rFonts w:ascii="楷体_GB2312" w:hAnsi="Times New Roman" w:eastAsia="楷体_GB2312" w:cs="Times New Roman"/>
      <w:sz w:val="28"/>
      <w:szCs w:val="28"/>
    </w:rPr>
  </w:style>
  <w:style w:type="character" w:styleId="669">
    <w:name w:val="标题 2 字符"/>
    <w:next w:val="669"/>
    <w:link w:val="658"/>
    <w:rPr>
      <w:rFonts w:ascii="Arial" w:hAnsi="Arial" w:eastAsia="幼圆" w:cs="Arial"/>
      <w:b/>
      <w:bCs/>
      <w:sz w:val="44"/>
      <w:szCs w:val="44"/>
    </w:rPr>
  </w:style>
  <w:style w:type="paragraph" w:styleId="670">
    <w:name w:val="正文缩进"/>
    <w:basedOn w:val="656"/>
    <w:next w:val="670"/>
    <w:link w:val="671"/>
    <w:pPr>
      <w:ind w:firstLine="420"/>
    </w:pPr>
    <w:rPr>
      <w:szCs w:val="21"/>
    </w:rPr>
  </w:style>
  <w:style w:type="character" w:styleId="671">
    <w:name w:val="正文缩进 字符"/>
    <w:next w:val="671"/>
    <w:link w:val="670"/>
    <w:rPr>
      <w:szCs w:val="21"/>
    </w:rPr>
  </w:style>
  <w:style w:type="character" w:styleId="672">
    <w:name w:val="标题 3 字符"/>
    <w:next w:val="672"/>
    <w:link w:val="659"/>
    <w:rPr>
      <w:rFonts w:ascii="Times New Roman" w:hAnsi="Times New Roman" w:eastAsia="宋体" w:cs="Times New Roman"/>
      <w:b/>
      <w:bCs/>
      <w:sz w:val="32"/>
      <w:szCs w:val="32"/>
    </w:rPr>
  </w:style>
  <w:style w:type="character" w:styleId="673">
    <w:name w:val="标题 4 字符"/>
    <w:next w:val="673"/>
    <w:link w:val="660"/>
    <w:rPr>
      <w:rFonts w:ascii="Arial" w:hAnsi="Arial" w:eastAsia="黑体" w:cs="Arial"/>
      <w:b/>
      <w:bCs/>
      <w:sz w:val="28"/>
      <w:szCs w:val="28"/>
    </w:rPr>
  </w:style>
  <w:style w:type="character" w:styleId="674">
    <w:name w:val="标题 5 字符"/>
    <w:next w:val="674"/>
    <w:link w:val="661"/>
    <w:rPr>
      <w:rFonts w:ascii="宋体" w:hAnsi="Times New Roman" w:eastAsia="宋体" w:cs="Times New Roman"/>
      <w:color w:val="000000"/>
      <w:sz w:val="28"/>
      <w:szCs w:val="28"/>
    </w:rPr>
  </w:style>
  <w:style w:type="character" w:styleId="675">
    <w:name w:val="标题 6 字符"/>
    <w:next w:val="675"/>
    <w:link w:val="662"/>
    <w:rPr>
      <w:rFonts w:ascii="Arial" w:hAnsi="Arial" w:eastAsia="黑体" w:cs="Times New Roman"/>
      <w:b/>
      <w:bCs/>
      <w:sz w:val="24"/>
      <w:szCs w:val="24"/>
    </w:rPr>
  </w:style>
  <w:style w:type="character" w:styleId="676">
    <w:name w:val="标题 7 字符"/>
    <w:next w:val="676"/>
    <w:link w:val="663"/>
    <w:rPr>
      <w:rFonts w:ascii="Times New Roman" w:hAnsi="Times New Roman" w:eastAsia="宋体" w:cs="Times New Roman"/>
      <w:b/>
      <w:bCs/>
      <w:sz w:val="24"/>
      <w:szCs w:val="24"/>
    </w:rPr>
  </w:style>
  <w:style w:type="character" w:styleId="677">
    <w:name w:val="标题 8 字符"/>
    <w:next w:val="677"/>
    <w:link w:val="664"/>
    <w:rPr>
      <w:rFonts w:ascii="Arial" w:hAnsi="Arial" w:eastAsia="黑体" w:cs="Times New Roman"/>
      <w:sz w:val="24"/>
      <w:szCs w:val="24"/>
    </w:rPr>
  </w:style>
  <w:style w:type="character" w:styleId="678">
    <w:name w:val="标题 9 字符"/>
    <w:next w:val="678"/>
    <w:link w:val="665"/>
    <w:rPr>
      <w:rFonts w:ascii="Arial" w:hAnsi="Arial" w:eastAsia="黑体" w:cs="Times New Roman"/>
      <w:szCs w:val="21"/>
    </w:rPr>
  </w:style>
  <w:style w:type="paragraph" w:styleId="679">
    <w:name w:val="列表 3"/>
    <w:basedOn w:val="656"/>
    <w:next w:val="679"/>
    <w:link w:val="656"/>
    <w:pPr>
      <w:ind w:left="100" w:hanging="200"/>
    </w:pPr>
    <w:rPr>
      <w:rFonts w:ascii="Times New Roman" w:hAnsi="Times New Roman" w:eastAsia="宋体" w:cs="Times New Roman"/>
      <w:szCs w:val="21"/>
    </w:rPr>
  </w:style>
  <w:style w:type="paragraph" w:styleId="680">
    <w:name w:val="目录 7"/>
    <w:basedOn w:val="656"/>
    <w:next w:val="656"/>
    <w:link w:val="656"/>
    <w:semiHidden/>
    <w:pPr>
      <w:ind w:left="1260"/>
      <w:jc w:val="left"/>
    </w:pPr>
    <w:rPr>
      <w:rFonts w:ascii="Times New Roman" w:hAnsi="Times New Roman" w:eastAsia="宋体" w:cs="Times New Roman"/>
      <w:szCs w:val="21"/>
    </w:rPr>
  </w:style>
  <w:style w:type="paragraph" w:styleId="681">
    <w:name w:val="文档结构图"/>
    <w:basedOn w:val="656"/>
    <w:next w:val="681"/>
    <w:link w:val="682"/>
    <w:semiHidden/>
    <w:pPr>
      <w:shd w:val="clear" w:color="auto" w:fill="000080"/>
    </w:pPr>
    <w:rPr>
      <w:rFonts w:ascii="Times New Roman" w:hAnsi="Times New Roman" w:eastAsia="宋体" w:cs="Times New Roman"/>
      <w:szCs w:val="21"/>
    </w:rPr>
  </w:style>
  <w:style w:type="character" w:styleId="682">
    <w:name w:val="文档结构图 字符"/>
    <w:next w:val="682"/>
    <w:link w:val="681"/>
    <w:semiHidden/>
    <w:rPr>
      <w:rFonts w:ascii="Times New Roman" w:hAnsi="Times New Roman" w:eastAsia="宋体" w:cs="Times New Roman"/>
      <w:szCs w:val="21"/>
      <w:shd w:val="clear" w:color="auto" w:fill="000080"/>
    </w:rPr>
  </w:style>
  <w:style w:type="paragraph" w:styleId="683">
    <w:name w:val="批注文字"/>
    <w:basedOn w:val="656"/>
    <w:next w:val="683"/>
    <w:link w:val="684"/>
    <w:unhideWhenUsed/>
    <w:pPr>
      <w:jc w:val="left"/>
    </w:pPr>
  </w:style>
  <w:style w:type="character" w:styleId="684">
    <w:name w:val="批注文字 字符"/>
    <w:next w:val="684"/>
    <w:link w:val="683"/>
    <w:uiPriority w:val="99"/>
    <w:semiHidden/>
  </w:style>
  <w:style w:type="paragraph" w:styleId="685">
    <w:name w:val="正文文本 3"/>
    <w:basedOn w:val="656"/>
    <w:next w:val="685"/>
    <w:link w:val="686"/>
    <w:rPr>
      <w:rFonts w:ascii="仿宋_GB2312" w:hAnsi="Arial" w:eastAsia="仿宋_GB2312" w:cs="Times New Roman"/>
      <w:sz w:val="32"/>
      <w:szCs w:val="32"/>
    </w:rPr>
  </w:style>
  <w:style w:type="character" w:styleId="686">
    <w:name w:val="正文文本 3 字符"/>
    <w:next w:val="686"/>
    <w:link w:val="685"/>
    <w:rPr>
      <w:rFonts w:ascii="仿宋_GB2312" w:hAnsi="Arial" w:eastAsia="仿宋_GB2312" w:cs="Times New Roman"/>
      <w:sz w:val="32"/>
      <w:szCs w:val="32"/>
    </w:rPr>
  </w:style>
  <w:style w:type="paragraph" w:styleId="687">
    <w:name w:val="正文文本"/>
    <w:basedOn w:val="656"/>
    <w:next w:val="687"/>
    <w:link w:val="688"/>
    <w:rPr>
      <w:rFonts w:ascii="楷体_GB2312" w:hAnsi="Arial" w:eastAsia="楷体_GB2312" w:cs="Times New Roman"/>
      <w:sz w:val="28"/>
      <w:szCs w:val="28"/>
    </w:rPr>
  </w:style>
  <w:style w:type="character" w:styleId="688">
    <w:name w:val="正文文本 字符"/>
    <w:next w:val="688"/>
    <w:link w:val="687"/>
    <w:rPr>
      <w:rFonts w:ascii="楷体_GB2312" w:hAnsi="Arial" w:eastAsia="楷体_GB2312" w:cs="Times New Roman"/>
      <w:sz w:val="28"/>
      <w:szCs w:val="28"/>
    </w:rPr>
  </w:style>
  <w:style w:type="paragraph" w:styleId="689">
    <w:name w:val="正文文本缩进"/>
    <w:basedOn w:val="656"/>
    <w:next w:val="689"/>
    <w:link w:val="690"/>
    <w:unhideWhenUsed/>
    <w:pPr>
      <w:ind w:left="420"/>
      <w:spacing w:after="120"/>
    </w:pPr>
  </w:style>
  <w:style w:type="character" w:styleId="690">
    <w:name w:val="正文文本缩进 字符"/>
    <w:next w:val="690"/>
    <w:link w:val="689"/>
    <w:uiPriority w:val="99"/>
    <w:semiHidden/>
  </w:style>
  <w:style w:type="paragraph" w:styleId="691">
    <w:name w:val="列表 2"/>
    <w:basedOn w:val="656"/>
    <w:next w:val="691"/>
    <w:link w:val="656"/>
    <w:pPr>
      <w:ind w:left="100" w:hanging="200"/>
    </w:pPr>
    <w:rPr>
      <w:rFonts w:ascii="Times New Roman" w:hAnsi="Times New Roman" w:eastAsia="宋体" w:cs="Times New Roman"/>
      <w:szCs w:val="21"/>
    </w:rPr>
  </w:style>
  <w:style w:type="paragraph" w:styleId="692">
    <w:name w:val="目录 5"/>
    <w:basedOn w:val="656"/>
    <w:next w:val="656"/>
    <w:link w:val="656"/>
    <w:semiHidden/>
    <w:pPr>
      <w:ind w:left="840"/>
      <w:jc w:val="left"/>
    </w:pPr>
    <w:rPr>
      <w:rFonts w:ascii="Times New Roman" w:hAnsi="Times New Roman" w:eastAsia="宋体" w:cs="Times New Roman"/>
      <w:szCs w:val="21"/>
    </w:rPr>
  </w:style>
  <w:style w:type="paragraph" w:styleId="693">
    <w:name w:val="目录 3"/>
    <w:basedOn w:val="656"/>
    <w:next w:val="656"/>
    <w:link w:val="656"/>
    <w:semiHidden/>
    <w:pPr>
      <w:ind w:left="420"/>
      <w:jc w:val="left"/>
    </w:pPr>
    <w:rPr>
      <w:rFonts w:ascii="Times New Roman" w:hAnsi="Times New Roman" w:eastAsia="宋体" w:cs="Times New Roman"/>
      <w:i/>
      <w:iCs/>
      <w:szCs w:val="24"/>
    </w:rPr>
  </w:style>
  <w:style w:type="paragraph" w:styleId="694">
    <w:name w:val="纯文本"/>
    <w:basedOn w:val="656"/>
    <w:next w:val="694"/>
    <w:link w:val="695"/>
    <w:qFormat/>
    <w:rPr>
      <w:rFonts w:ascii="宋体" w:hAnsi="Courier New" w:eastAsia="宋体" w:cs="Courier New"/>
      <w:szCs w:val="21"/>
    </w:rPr>
  </w:style>
  <w:style w:type="character" w:styleId="695">
    <w:name w:val="纯文本 字符"/>
    <w:next w:val="695"/>
    <w:link w:val="694"/>
    <w:rPr>
      <w:rFonts w:ascii="宋体" w:hAnsi="Courier New" w:eastAsia="宋体" w:cs="Courier New"/>
      <w:szCs w:val="21"/>
    </w:rPr>
  </w:style>
  <w:style w:type="paragraph" w:styleId="696">
    <w:name w:val="目录 8"/>
    <w:basedOn w:val="656"/>
    <w:next w:val="656"/>
    <w:link w:val="656"/>
    <w:semiHidden/>
    <w:pPr>
      <w:ind w:left="1470"/>
      <w:jc w:val="left"/>
    </w:pPr>
    <w:rPr>
      <w:rFonts w:ascii="Times New Roman" w:hAnsi="Times New Roman" w:eastAsia="宋体" w:cs="Times New Roman"/>
      <w:szCs w:val="21"/>
    </w:rPr>
  </w:style>
  <w:style w:type="paragraph" w:styleId="697">
    <w:name w:val="日期"/>
    <w:basedOn w:val="656"/>
    <w:next w:val="656"/>
    <w:link w:val="698"/>
    <w:rPr>
      <w:rFonts w:ascii="Times New Roman" w:hAnsi="Times New Roman" w:eastAsia="宋体" w:cs="Times New Roman"/>
      <w:sz w:val="24"/>
      <w:szCs w:val="24"/>
    </w:rPr>
  </w:style>
  <w:style w:type="character" w:styleId="698">
    <w:name w:val="日期 字符"/>
    <w:next w:val="698"/>
    <w:link w:val="697"/>
    <w:rPr>
      <w:rFonts w:ascii="Times New Roman" w:hAnsi="Times New Roman" w:eastAsia="宋体" w:cs="Times New Roman"/>
      <w:sz w:val="24"/>
      <w:szCs w:val="24"/>
    </w:rPr>
  </w:style>
  <w:style w:type="paragraph" w:styleId="699">
    <w:name w:val="正文文本缩进 2"/>
    <w:basedOn w:val="656"/>
    <w:next w:val="699"/>
    <w:link w:val="700"/>
    <w:pPr>
      <w:ind w:left="630" w:firstLine="645"/>
    </w:pPr>
    <w:rPr>
      <w:rFonts w:ascii="Arial" w:hAnsi="Arial" w:eastAsia="仿宋_GB2312" w:cs="Arial"/>
      <w:sz w:val="32"/>
      <w:szCs w:val="32"/>
    </w:rPr>
  </w:style>
  <w:style w:type="character" w:styleId="700">
    <w:name w:val="正文文本缩进 2 字符"/>
    <w:next w:val="700"/>
    <w:link w:val="699"/>
    <w:rPr>
      <w:rFonts w:ascii="Arial" w:hAnsi="Arial" w:eastAsia="仿宋_GB2312" w:cs="Arial"/>
      <w:sz w:val="32"/>
      <w:szCs w:val="32"/>
    </w:rPr>
  </w:style>
  <w:style w:type="paragraph" w:styleId="701">
    <w:name w:val="批注框文本"/>
    <w:basedOn w:val="656"/>
    <w:next w:val="701"/>
    <w:link w:val="702"/>
    <w:semiHidden/>
    <w:rPr>
      <w:rFonts w:ascii="Times New Roman" w:hAnsi="Times New Roman" w:eastAsia="宋体" w:cs="Times New Roman"/>
      <w:sz w:val="18"/>
      <w:szCs w:val="18"/>
    </w:rPr>
  </w:style>
  <w:style w:type="character" w:styleId="702">
    <w:name w:val="批注框文本 字符"/>
    <w:next w:val="702"/>
    <w:link w:val="701"/>
    <w:semiHidden/>
    <w:rPr>
      <w:rFonts w:ascii="Times New Roman" w:hAnsi="Times New Roman" w:eastAsia="宋体" w:cs="Times New Roman"/>
      <w:sz w:val="18"/>
      <w:szCs w:val="18"/>
    </w:rPr>
  </w:style>
  <w:style w:type="paragraph" w:styleId="703">
    <w:name w:val="页脚"/>
    <w:basedOn w:val="656"/>
    <w:next w:val="703"/>
    <w:link w:val="70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04">
    <w:name w:val="页脚 字符"/>
    <w:next w:val="704"/>
    <w:link w:val="703"/>
    <w:uiPriority w:val="99"/>
    <w:rPr>
      <w:rFonts w:ascii="Times New Roman" w:hAnsi="Times New Roman" w:eastAsia="宋体" w:cs="Times New Roman"/>
      <w:sz w:val="18"/>
      <w:szCs w:val="18"/>
    </w:rPr>
  </w:style>
  <w:style w:type="paragraph" w:styleId="705">
    <w:name w:val="页眉"/>
    <w:basedOn w:val="656"/>
    <w:next w:val="705"/>
    <w:link w:val="70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6">
    <w:name w:val="页眉 字符"/>
    <w:next w:val="706"/>
    <w:link w:val="705"/>
    <w:rPr>
      <w:rFonts w:ascii="Times New Roman" w:hAnsi="Times New Roman" w:eastAsia="宋体" w:cs="Times New Roman"/>
      <w:sz w:val="18"/>
      <w:szCs w:val="18"/>
    </w:rPr>
  </w:style>
  <w:style w:type="paragraph" w:styleId="707">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6"/>
    <w:next w:val="656"/>
    <w:link w:val="656"/>
    <w:semiHidden/>
    <w:pPr>
      <w:ind w:left="630"/>
      <w:jc w:val="left"/>
    </w:pPr>
    <w:rPr>
      <w:rFonts w:ascii="Times New Roman" w:hAnsi="Times New Roman" w:eastAsia="宋体" w:cs="Times New Roman"/>
      <w:szCs w:val="21"/>
    </w:rPr>
  </w:style>
  <w:style w:type="paragraph" w:styleId="709">
    <w:name w:val="列表"/>
    <w:basedOn w:val="656"/>
    <w:next w:val="709"/>
    <w:link w:val="656"/>
    <w:pPr>
      <w:ind w:left="200" w:hanging="200"/>
    </w:pPr>
    <w:rPr>
      <w:rFonts w:ascii="Times New Roman" w:hAnsi="Times New Roman" w:eastAsia="宋体" w:cs="Times New Roman"/>
      <w:szCs w:val="21"/>
    </w:rPr>
  </w:style>
  <w:style w:type="paragraph" w:styleId="710">
    <w:name w:val="目录 6"/>
    <w:basedOn w:val="656"/>
    <w:next w:val="656"/>
    <w:link w:val="656"/>
    <w:semiHidden/>
    <w:pPr>
      <w:ind w:left="1050"/>
      <w:jc w:val="left"/>
    </w:pPr>
    <w:rPr>
      <w:rFonts w:ascii="Times New Roman" w:hAnsi="Times New Roman" w:eastAsia="宋体" w:cs="Times New Roman"/>
      <w:szCs w:val="21"/>
    </w:rPr>
  </w:style>
  <w:style w:type="paragraph" w:styleId="711">
    <w:name w:val="正文文本缩进 3"/>
    <w:basedOn w:val="656"/>
    <w:next w:val="711"/>
    <w:link w:val="712"/>
    <w:pPr>
      <w:ind w:left="645" w:firstLine="645"/>
    </w:pPr>
    <w:rPr>
      <w:rFonts w:ascii="Arial" w:hAnsi="Arial" w:eastAsia="仿宋_GB2312" w:cs="Arial"/>
      <w:color w:val="ffff00"/>
      <w:sz w:val="32"/>
      <w:szCs w:val="32"/>
    </w:rPr>
  </w:style>
  <w:style w:type="character" w:styleId="712">
    <w:name w:val="正文文本缩进 3 字符"/>
    <w:next w:val="712"/>
    <w:link w:val="711"/>
    <w:rPr>
      <w:rFonts w:ascii="Arial" w:hAnsi="Arial" w:eastAsia="仿宋_GB2312" w:cs="Arial"/>
      <w:color w:val="ffff00"/>
      <w:sz w:val="32"/>
      <w:szCs w:val="32"/>
    </w:rPr>
  </w:style>
  <w:style w:type="paragraph" w:styleId="713">
    <w:name w:val="图表目录"/>
    <w:basedOn w:val="656"/>
    <w:next w:val="656"/>
    <w:link w:val="656"/>
    <w:semiHidden/>
    <w:pPr>
      <w:ind w:left="840" w:hanging="420"/>
    </w:pPr>
    <w:rPr>
      <w:rFonts w:ascii="Times New Roman" w:hAnsi="Times New Roman" w:eastAsia="宋体" w:cs="Times New Roman"/>
      <w:szCs w:val="21"/>
    </w:rPr>
  </w:style>
  <w:style w:type="paragraph" w:styleId="714">
    <w:name w:val="目录 2"/>
    <w:basedOn w:val="656"/>
    <w:next w:val="656"/>
    <w:link w:val="656"/>
    <w:semiHidden/>
    <w:pPr>
      <w:ind w:left="210"/>
      <w:jc w:val="left"/>
    </w:pPr>
    <w:rPr>
      <w:rFonts w:ascii="Times New Roman" w:hAnsi="Times New Roman" w:eastAsia="宋体" w:cs="Times New Roman"/>
      <w:smallCaps/>
      <w:szCs w:val="24"/>
    </w:rPr>
  </w:style>
  <w:style w:type="paragraph" w:styleId="715">
    <w:name w:val="目录 9"/>
    <w:basedOn w:val="656"/>
    <w:next w:val="656"/>
    <w:link w:val="656"/>
    <w:semiHidden/>
    <w:pPr>
      <w:ind w:left="1680"/>
      <w:jc w:val="left"/>
    </w:pPr>
    <w:rPr>
      <w:rFonts w:ascii="Times New Roman" w:hAnsi="Times New Roman" w:eastAsia="宋体" w:cs="Times New Roman"/>
      <w:szCs w:val="21"/>
    </w:rPr>
  </w:style>
  <w:style w:type="paragraph" w:styleId="716">
    <w:name w:val="正文文本 2"/>
    <w:basedOn w:val="656"/>
    <w:next w:val="716"/>
    <w:link w:val="717"/>
    <w:pPr>
      <w:jc w:val="center"/>
      <w:widowControl/>
    </w:pPr>
    <w:rPr>
      <w:rFonts w:ascii="楷体_GB2312" w:hAnsi="Times New Roman" w:eastAsia="楷体_GB2312" w:cs="Times New Roman"/>
      <w:sz w:val="28"/>
      <w:szCs w:val="28"/>
    </w:rPr>
  </w:style>
  <w:style w:type="character" w:styleId="717">
    <w:name w:val="正文文本 2 字符"/>
    <w:next w:val="717"/>
    <w:link w:val="716"/>
    <w:rPr>
      <w:rFonts w:ascii="楷体_GB2312" w:hAnsi="Times New Roman" w:eastAsia="楷体_GB2312" w:cs="Times New Roman"/>
      <w:sz w:val="28"/>
      <w:szCs w:val="28"/>
    </w:rPr>
  </w:style>
  <w:style w:type="paragraph" w:styleId="718">
    <w:name w:val="普通(网站)"/>
    <w:basedOn w:val="656"/>
    <w:next w:val="718"/>
    <w:link w:val="656"/>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6"/>
    <w:next w:val="656"/>
    <w:link w:val="656"/>
    <w:semiHidden/>
    <w:pPr>
      <w:spacing w:line="240" w:lineRule="atLeast"/>
    </w:pPr>
    <w:rPr>
      <w:rFonts w:ascii="Times New Roman" w:hAnsi="Times New Roman" w:eastAsia="宋体" w:cs="Times New Roman"/>
      <w:b/>
      <w:bCs/>
      <w:szCs w:val="21"/>
    </w:rPr>
  </w:style>
  <w:style w:type="paragraph" w:styleId="720">
    <w:name w:val="批注主题"/>
    <w:basedOn w:val="683"/>
    <w:next w:val="683"/>
    <w:link w:val="721"/>
    <w:semiHidden/>
    <w:rPr>
      <w:rFonts w:ascii="Times New Roman" w:hAnsi="Times New Roman" w:eastAsia="宋体" w:cs="Times New Roman"/>
      <w:b/>
      <w:bCs/>
      <w:szCs w:val="21"/>
    </w:rPr>
  </w:style>
  <w:style w:type="character" w:styleId="721">
    <w:name w:val="批注主题 字符"/>
    <w:next w:val="721"/>
    <w:link w:val="720"/>
    <w:semiHidden/>
    <w:rPr>
      <w:rFonts w:ascii="Times New Roman" w:hAnsi="Times New Roman" w:eastAsia="宋体" w:cs="Times New Roman"/>
      <w:b/>
      <w:bCs/>
      <w:szCs w:val="21"/>
    </w:rPr>
  </w:style>
  <w:style w:type="paragraph" w:styleId="722">
    <w:name w:val="正文首行缩进"/>
    <w:basedOn w:val="656"/>
    <w:next w:val="722"/>
    <w:link w:val="723"/>
    <w:pPr>
      <w:ind w:firstLine="200"/>
      <w:spacing w:line="360" w:lineRule="auto"/>
    </w:pPr>
    <w:rPr>
      <w:rFonts w:ascii="仿宋_GB2312" w:hAnsi="Times New Roman" w:eastAsia="仿宋_GB2312" w:cs="Times New Roman"/>
      <w:sz w:val="30"/>
      <w:szCs w:val="30"/>
    </w:rPr>
  </w:style>
  <w:style w:type="character" w:styleId="723">
    <w:name w:val="正文文本首行缩进 字符"/>
    <w:next w:val="723"/>
    <w:link w:val="722"/>
    <w:rPr>
      <w:rFonts w:ascii="仿宋_GB2312" w:hAnsi="Times New Roman" w:eastAsia="仿宋_GB2312" w:cs="Times New Roman"/>
      <w:sz w:val="30"/>
      <w:szCs w:val="30"/>
    </w:rPr>
  </w:style>
  <w:style w:type="paragraph" w:styleId="724">
    <w:name w:val="正文首行缩进 2"/>
    <w:basedOn w:val="689"/>
    <w:next w:val="724"/>
    <w:link w:val="725"/>
    <w:pPr>
      <w:ind w:left="0" w:firstLine="420"/>
      <w:spacing w:after="0" w:line="360" w:lineRule="auto"/>
    </w:pPr>
    <w:rPr>
      <w:rFonts w:ascii="宋体" w:hAnsi="宋体" w:eastAsia="宋体" w:cs="Times New Roman"/>
      <w:szCs w:val="20"/>
    </w:rPr>
  </w:style>
  <w:style w:type="character" w:styleId="725">
    <w:name w:val="正文文本首行缩进 2 字符"/>
    <w:next w:val="725"/>
    <w:link w:val="724"/>
    <w:rPr>
      <w:rFonts w:ascii="宋体" w:hAnsi="宋体" w:eastAsia="宋体" w:cs="Times New Roman"/>
      <w:szCs w:val="20"/>
    </w:rPr>
  </w:style>
  <w:style w:type="table" w:styleId="726">
    <w:name w:val="网格型"/>
    <w:basedOn w:val="667"/>
    <w:next w:val="726"/>
    <w:link w:val="656"/>
    <w:pPr>
      <w:jc w:val="both"/>
      <w:widowControl w:val="off"/>
    </w:pPr>
    <w:rPr>
      <w:rFonts w:ascii="Times New Roman" w:hAnsi="Times New Roman" w:eastAsia="宋体" w:cs="Times New Roman"/>
      <w:sz w:val="20"/>
      <w:szCs w:val="20"/>
    </w:rPr>
    <w:tblPr/>
  </w:style>
  <w:style w:type="character" w:styleId="727">
    <w:name w:val="要点"/>
    <w:next w:val="727"/>
    <w:link w:val="656"/>
    <w:qFormat/>
    <w:rPr>
      <w:b/>
      <w:bCs/>
    </w:rPr>
  </w:style>
  <w:style w:type="character" w:styleId="728">
    <w:name w:val="页码"/>
    <w:next w:val="728"/>
    <w:link w:val="656"/>
  </w:style>
  <w:style w:type="character" w:styleId="729">
    <w:name w:val="已访问的超链接"/>
    <w:next w:val="729"/>
    <w:link w:val="656"/>
    <w:rPr>
      <w:color w:val="800080"/>
      <w:u w:val="single"/>
    </w:rPr>
  </w:style>
  <w:style w:type="character" w:styleId="730">
    <w:name w:val="超链接"/>
    <w:next w:val="730"/>
    <w:link w:val="656"/>
    <w:rPr>
      <w:color w:val="0000ff"/>
      <w:u w:val="single"/>
    </w:rPr>
  </w:style>
  <w:style w:type="character" w:styleId="731">
    <w:name w:val="批注引用"/>
    <w:next w:val="731"/>
    <w:link w:val="656"/>
    <w:semiHidden/>
    <w:rPr>
      <w:sz w:val="21"/>
      <w:szCs w:val="21"/>
    </w:rPr>
  </w:style>
  <w:style w:type="character" w:styleId="732">
    <w:name w:val="font5 Char"/>
    <w:next w:val="732"/>
    <w:link w:val="656"/>
    <w:rPr>
      <w:rFonts w:ascii="宋体" w:hAnsi="宋体" w:eastAsia="宋体"/>
      <w:sz w:val="28"/>
      <w:szCs w:val="28"/>
      <w:lang w:val="en-US" w:eastAsia="zh-CN" w:bidi="ar-SA"/>
    </w:rPr>
  </w:style>
  <w:style w:type="character" w:styleId="733">
    <w:name w:val="二级目录 Char"/>
    <w:next w:val="733"/>
    <w:link w:val="734"/>
    <w:rPr>
      <w:b/>
      <w:sz w:val="30"/>
      <w:szCs w:val="28"/>
    </w:rPr>
  </w:style>
  <w:style w:type="paragraph" w:styleId="734">
    <w:name w:val="二级目录"/>
    <w:next w:val="656"/>
    <w:link w:val="733"/>
    <w:pPr>
      <w:numPr>
        <w:ilvl w:val="0"/>
        <w:numId w:val="2"/>
      </w:numPr>
      <w:tabs>
        <w:tab w:val="left" w:pos="907" w:leader="none"/>
        <w:tab w:val="left" w:pos="1145" w:leader="none"/>
      </w:tabs>
      <w:outlineLvl w:val="1"/>
    </w:pPr>
    <w:rPr>
      <w:b/>
      <w:sz w:val="30"/>
      <w:szCs w:val="28"/>
      <w:lang w:val="en-US" w:eastAsia="zh-CN" w:bidi="ar-SA"/>
    </w:rPr>
  </w:style>
  <w:style w:type="character" w:styleId="735">
    <w:name w:val="列出段落 Char,Bullet List Char,numbered Char,FooterText Char,List Paragraph1 Char,Paragraphe de liste1 Char"/>
    <w:next w:val="735"/>
    <w:link w:val="736"/>
    <w:rPr>
      <w:rFonts w:ascii="Calibri" w:hAnsi="Calibri"/>
      <w:sz w:val="24"/>
      <w:szCs w:val="24"/>
      <w:lang w:eastAsia="en-US" w:bidi="en-US"/>
    </w:rPr>
  </w:style>
  <w:style w:type="paragraph" w:styleId="736">
    <w:name w:val="列出段落1"/>
    <w:basedOn w:val="656"/>
    <w:next w:val="736"/>
    <w:link w:val="735"/>
    <w:qFormat/>
    <w:pPr>
      <w:contextualSpacing/>
      <w:ind w:left="720"/>
      <w:jc w:val="left"/>
      <w:widowControl/>
    </w:pPr>
    <w:rPr>
      <w:rFonts w:ascii="Calibri" w:hAnsi="Calibri"/>
      <w:sz w:val="24"/>
      <w:szCs w:val="24"/>
      <w:lang w:eastAsia="en-US" w:bidi="en-US"/>
    </w:rPr>
  </w:style>
  <w:style w:type="paragraph" w:styleId="737">
    <w:name w:val="Body Text(ch)"/>
    <w:basedOn w:val="656"/>
    <w:next w:val="687"/>
    <w:link w:val="656"/>
    <w:pPr>
      <w:spacing w:after="120"/>
    </w:pPr>
    <w:rPr>
      <w:rFonts w:ascii="宋体" w:hAnsi="Arial" w:eastAsia="宋体" w:cs="Times New Roman"/>
      <w:bCs/>
      <w:iCs/>
      <w:szCs w:val="24"/>
    </w:rPr>
  </w:style>
  <w:style w:type="paragraph" w:styleId="738">
    <w:name w:val="xl27"/>
    <w:basedOn w:val="656"/>
    <w:next w:val="738"/>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9">
    <w:name w:val="xl26"/>
    <w:basedOn w:val="656"/>
    <w:next w:val="739"/>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Char"/>
    <w:basedOn w:val="656"/>
    <w:next w:val="740"/>
    <w:link w:val="656"/>
    <w:pPr>
      <w:ind w:firstLine="200"/>
      <w:tabs>
        <w:tab w:val="left" w:pos="360" w:leader="none"/>
      </w:tabs>
    </w:pPr>
    <w:rPr>
      <w:rFonts w:ascii="Times New Roman" w:hAnsi="Times New Roman" w:eastAsia="宋体" w:cs="Times New Roman"/>
      <w:sz w:val="28"/>
      <w:szCs w:val="30"/>
    </w:rPr>
  </w:style>
  <w:style w:type="paragraph" w:styleId="741">
    <w:name w:val=" Char"/>
    <w:basedOn w:val="681"/>
    <w:next w:val="741"/>
    <w:link w:val="656"/>
    <w:rPr>
      <w:rFonts w:ascii="Tahoma" w:hAnsi="Tahoma"/>
      <w:sz w:val="24"/>
      <w:szCs w:val="24"/>
    </w:rPr>
  </w:style>
  <w:style w:type="paragraph" w:styleId="742">
    <w:name w:val="普通正文"/>
    <w:basedOn w:val="656"/>
    <w:next w:val="742"/>
    <w:link w:val="656"/>
    <w:pPr>
      <w:ind w:firstLine="480"/>
      <w:jc w:val="left"/>
      <w:spacing w:before="120" w:after="120" w:line="360" w:lineRule="auto"/>
    </w:pPr>
    <w:rPr>
      <w:rFonts w:ascii="Arial" w:hAnsi="Arial" w:eastAsia="宋体" w:cs="Times New Roman"/>
      <w:sz w:val="24"/>
      <w:szCs w:val="24"/>
    </w:rPr>
  </w:style>
  <w:style w:type="paragraph" w:styleId="743">
    <w:name w:val="table_lines"/>
    <w:basedOn w:val="656"/>
    <w:next w:val="743"/>
    <w:link w:val="656"/>
    <w:pPr>
      <w:jc w:val="left"/>
      <w:widowControl/>
    </w:pPr>
    <w:rPr>
      <w:rFonts w:ascii="Times New Roman" w:hAnsi="Times New Roman" w:eastAsia="宋体" w:cs="Times New Roman"/>
      <w:sz w:val="20"/>
      <w:szCs w:val="20"/>
      <w:lang w:val="de-DE" w:eastAsia="de-DE"/>
    </w:rPr>
  </w:style>
  <w:style w:type="paragraph" w:styleId="744">
    <w:name w:val="附录1"/>
    <w:next w:val="744"/>
    <w:link w:val="6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5">
    <w:name w:val="font7"/>
    <w:basedOn w:val="656"/>
    <w:next w:val="745"/>
    <w:link w:val="656"/>
    <w:pPr>
      <w:jc w:val="left"/>
      <w:spacing w:before="100" w:beforeAutospacing="1" w:after="100" w:afterAutospacing="1"/>
      <w:widowControl/>
    </w:pPr>
    <w:rPr>
      <w:rFonts w:hint="eastAsia" w:ascii="宋体" w:hAnsi="宋体" w:eastAsia="宋体" w:cs="Times New Roman"/>
      <w:sz w:val="18"/>
      <w:szCs w:val="18"/>
    </w:rPr>
  </w:style>
  <w:style w:type="paragraph" w:styleId="746">
    <w:name w:val=" Char Char Char Char"/>
    <w:basedOn w:val="681"/>
    <w:next w:val="746"/>
    <w:link w:val="656"/>
    <w:pPr>
      <w:spacing w:line="360" w:lineRule="auto"/>
    </w:pPr>
    <w:rPr>
      <w:rFonts w:ascii="Tahoma" w:hAnsi="Tahoma"/>
      <w:sz w:val="24"/>
      <w:szCs w:val="24"/>
    </w:rPr>
  </w:style>
  <w:style w:type="paragraph" w:styleId="747">
    <w:name w:val="列表段落"/>
    <w:basedOn w:val="656"/>
    <w:next w:val="747"/>
    <w:link w:val="656"/>
    <w:qFormat/>
    <w:pPr>
      <w:contextualSpacing/>
      <w:ind w:left="720"/>
      <w:jc w:val="left"/>
      <w:widowControl/>
    </w:pPr>
    <w:rPr>
      <w:rFonts w:ascii="Calibri" w:hAnsi="Calibri" w:eastAsia="宋体" w:cs="Times New Roman"/>
      <w:sz w:val="24"/>
      <w:szCs w:val="24"/>
      <w:lang w:eastAsia="en-US" w:bidi="en-US"/>
    </w:rPr>
  </w:style>
  <w:style w:type="paragraph" w:styleId="748">
    <w:name w:val="4"/>
    <w:basedOn w:val="656"/>
    <w:next w:val="711"/>
    <w:link w:val="656"/>
    <w:pPr>
      <w:ind w:firstLine="420"/>
      <w:spacing w:line="360" w:lineRule="auto"/>
    </w:pPr>
    <w:rPr>
      <w:rFonts w:ascii="Times New Roman" w:hAnsi="Times New Roman" w:eastAsia="宋体" w:cs="Times New Roman"/>
      <w:color w:val="ff0000"/>
      <w:sz w:val="24"/>
      <w:szCs w:val="24"/>
    </w:rPr>
  </w:style>
  <w:style w:type="paragraph" w:styleId="749">
    <w:name w:val="普通 (Web)"/>
    <w:basedOn w:val="656"/>
    <w:next w:val="749"/>
    <w:link w:val="656"/>
    <w:pPr>
      <w:jc w:val="left"/>
      <w:spacing w:before="100" w:beforeAutospacing="1" w:after="100" w:afterAutospacing="1"/>
      <w:widowControl/>
    </w:pPr>
    <w:rPr>
      <w:rFonts w:ascii="宋体" w:hAnsi="宋体" w:eastAsia="宋体" w:cs="Times New Roman"/>
      <w:sz w:val="24"/>
      <w:szCs w:val="24"/>
    </w:rPr>
  </w:style>
  <w:style w:type="paragraph" w:styleId="750">
    <w:name w:val=" Char Char Char Char Char Char Char Char Char Char"/>
    <w:basedOn w:val="656"/>
    <w:next w:val="750"/>
    <w:link w:val="656"/>
    <w:pPr>
      <w:spacing w:line="360" w:lineRule="auto"/>
    </w:pPr>
    <w:rPr>
      <w:rFonts w:ascii="Times New Roman" w:hAnsi="Times New Roman" w:eastAsia="宋体" w:cs="Times New Roman"/>
      <w:sz w:val="24"/>
      <w:szCs w:val="20"/>
    </w:rPr>
  </w:style>
  <w:style w:type="paragraph" w:styleId="751">
    <w:name w:val="样式1"/>
    <w:basedOn w:val="656"/>
    <w:next w:val="751"/>
    <w:link w:val="656"/>
    <w:pPr>
      <w:numPr>
        <w:ilvl w:val="0"/>
        <w:numId w:val="3"/>
      </w:numPr>
      <w:tabs>
        <w:tab w:val="left" w:pos="709" w:leader="none"/>
      </w:tabs>
    </w:pPr>
    <w:rPr>
      <w:rFonts w:ascii="宋体" w:hAnsi="宋体" w:eastAsia="宋体" w:cs="Times New Roman"/>
      <w:szCs w:val="21"/>
    </w:rPr>
  </w:style>
  <w:style w:type="paragraph" w:styleId="752">
    <w:name w:val="font6"/>
    <w:basedOn w:val="656"/>
    <w:next w:val="752"/>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53">
    <w:name w:val="xl25"/>
    <w:basedOn w:val="656"/>
    <w:next w:val="753"/>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4">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5">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56">
    <w:name w:val="xl24"/>
    <w:basedOn w:val="656"/>
    <w:next w:val="756"/>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xl29"/>
    <w:basedOn w:val="656"/>
    <w:next w:val="757"/>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8">
    <w:name w:val="Char Char Char Char Char Char Char Char"/>
    <w:basedOn w:val="656"/>
    <w:next w:val="758"/>
    <w:link w:val="656"/>
    <w:pPr>
      <w:jc w:val="left"/>
      <w:spacing w:after="160" w:line="240" w:lineRule="exact"/>
      <w:widowControl/>
    </w:pPr>
    <w:rPr>
      <w:rFonts w:ascii="Verdana" w:hAnsi="Verdana" w:eastAsia="宋体" w:cs="Times New Roman"/>
      <w:sz w:val="20"/>
      <w:szCs w:val="20"/>
      <w:lang w:eastAsia="en-US"/>
    </w:rPr>
  </w:style>
  <w:style w:type="paragraph" w:styleId="759">
    <w:name w:val="xl28"/>
    <w:basedOn w:val="656"/>
    <w:next w:val="759"/>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0">
    <w:name w:val=" Char Char Char Char Char Char Char Char"/>
    <w:basedOn w:val="656"/>
    <w:next w:val="760"/>
    <w:link w:val="656"/>
    <w:pPr>
      <w:jc w:val="left"/>
      <w:spacing w:after="160" w:line="240" w:lineRule="exact"/>
      <w:widowControl/>
    </w:pPr>
    <w:rPr>
      <w:rFonts w:ascii="Verdana" w:hAnsi="Verdana" w:eastAsia="宋体" w:cs="Times New Roman"/>
      <w:sz w:val="20"/>
      <w:szCs w:val="20"/>
      <w:lang w:eastAsia="en-US"/>
    </w:rPr>
  </w:style>
  <w:style w:type="paragraph" w:styleId="761">
    <w:name w:val="xl30"/>
    <w:basedOn w:val="656"/>
    <w:next w:val="761"/>
    <w:link w:val="656"/>
    <w:pPr>
      <w:jc w:val="center"/>
      <w:spacing w:before="100" w:beforeAutospacing="1" w:after="100" w:afterAutospacing="1"/>
      <w:widowControl/>
    </w:pPr>
    <w:rPr>
      <w:rFonts w:ascii="宋体" w:hAnsi="宋体" w:eastAsia="宋体" w:cs="Times New Roman"/>
      <w:b/>
      <w:bCs/>
      <w:sz w:val="36"/>
      <w:szCs w:val="36"/>
    </w:rPr>
  </w:style>
  <w:style w:type="paragraph" w:styleId="762">
    <w:name w:val="Char Char Char Char"/>
    <w:basedOn w:val="681"/>
    <w:next w:val="762"/>
    <w:link w:val="656"/>
    <w:pPr>
      <w:spacing w:line="360" w:lineRule="auto"/>
    </w:pPr>
    <w:rPr>
      <w:rFonts w:ascii="Tahoma" w:hAnsi="Tahoma"/>
      <w:sz w:val="24"/>
      <w:szCs w:val="24"/>
    </w:rPr>
  </w:style>
  <w:style w:type="paragraph" w:styleId="763">
    <w:name w:val="table_1stline"/>
    <w:basedOn w:val="656"/>
    <w:next w:val="763"/>
    <w:link w:val="656"/>
    <w:pPr>
      <w:jc w:val="left"/>
      <w:spacing w:before="120"/>
      <w:widowControl/>
    </w:pPr>
    <w:rPr>
      <w:rFonts w:ascii="Times New Roman" w:hAnsi="Times New Roman" w:eastAsia="宋体" w:cs="Times New Roman"/>
      <w:bCs/>
      <w:sz w:val="20"/>
      <w:szCs w:val="20"/>
      <w:lang w:val="de-DE" w:eastAsia="de-DE"/>
    </w:rPr>
  </w:style>
  <w:style w:type="paragraph" w:styleId="764">
    <w:name w:val="font5"/>
    <w:basedOn w:val="656"/>
    <w:next w:val="764"/>
    <w:link w:val="656"/>
    <w:pPr>
      <w:jc w:val="left"/>
      <w:spacing w:before="100" w:beforeAutospacing="1" w:after="100" w:afterAutospacing="1"/>
      <w:widowControl/>
    </w:pPr>
    <w:rPr>
      <w:rFonts w:hint="eastAsia" w:ascii="宋体" w:hAnsi="宋体" w:eastAsia="宋体" w:cs="Times New Roman"/>
      <w:sz w:val="28"/>
      <w:szCs w:val="28"/>
    </w:rPr>
  </w:style>
  <w:style w:type="paragraph" w:styleId="765">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6">
    <w:name w:val="修订"/>
    <w:next w:val="766"/>
    <w:link w:val="656"/>
    <w:uiPriority w:val="99"/>
    <w:semiHidden/>
    <w:rPr>
      <w:rFonts w:ascii="Times New Roman" w:hAnsi="Times New Roman"/>
      <w:sz w:val="21"/>
      <w:szCs w:val="21"/>
      <w:lang w:val="en-US" w:eastAsia="zh-CN" w:bidi="ar-SA"/>
    </w:rPr>
  </w:style>
  <w:style w:type="paragraph" w:styleId="767">
    <w:name w:val="无间隔"/>
    <w:next w:val="767"/>
    <w:link w:val="656"/>
    <w:uiPriority w:val="99"/>
    <w:qFormat/>
    <w:pPr>
      <w:jc w:val="both"/>
      <w:widowControl w:val="off"/>
    </w:pPr>
    <w:rPr>
      <w:rFonts w:ascii="Times New Roman" w:hAnsi="Times New Roman"/>
      <w:sz w:val="21"/>
      <w:szCs w:val="21"/>
      <w:lang w:val="en-US" w:eastAsia="zh-CN" w:bidi="ar-SA"/>
    </w:rPr>
  </w:style>
  <w:style w:type="paragraph" w:styleId="768">
    <w:name w:val="AONormal"/>
    <w:next w:val="768"/>
    <w:link w:val="656"/>
    <w:qFormat/>
    <w:pPr>
      <w:ind w:firstLine="440"/>
      <w:spacing w:line="400" w:lineRule="exact"/>
    </w:pPr>
    <w:rPr>
      <w:rFonts w:ascii="华文楷体" w:hAnsi="华文楷体" w:eastAsia="华文楷体" w:cs="华文楷体"/>
      <w:sz w:val="22"/>
      <w:szCs w:val="21"/>
      <w:lang w:val="en-US" w:eastAsia="zh-CN" w:bidi="ar-SA"/>
    </w:rPr>
  </w:style>
  <w:style w:type="paragraph" w:styleId="769">
    <w:name w:val="标题 41"/>
    <w:basedOn w:val="656"/>
    <w:next w:val="770"/>
    <w:link w:val="656"/>
    <w:qFormat/>
    <w:pPr>
      <w:keepLines/>
      <w:keepNext/>
      <w:spacing w:before="280" w:after="290" w:line="376" w:lineRule="auto"/>
      <w:outlineLvl w:val="3"/>
    </w:pPr>
    <w:rPr>
      <w:rFonts w:ascii="Arial" w:hAnsi="Arial" w:eastAsia="黑体" w:cs="Arial"/>
      <w:b/>
      <w:bCs/>
      <w:sz w:val="28"/>
      <w:szCs w:val="28"/>
    </w:rPr>
  </w:style>
  <w:style w:type="paragraph" w:styleId="770">
    <w:name w:val="正文缩进1"/>
    <w:basedOn w:val="656"/>
    <w:next w:val="770"/>
    <w:link w:val="656"/>
    <w:qFormat/>
    <w:pPr>
      <w:ind w:firstLine="420"/>
    </w:pPr>
  </w:style>
  <w:style w:type="paragraph" w:styleId="771">
    <w:name w:val="1级"/>
    <w:basedOn w:val="656"/>
    <w:next w:val="772"/>
    <w:link w:val="656"/>
    <w:qFormat/>
    <w:pPr>
      <w:numPr>
        <w:ilvl w:val="0"/>
        <w:numId w:val="4"/>
      </w:numPr>
      <w:jc w:val="left"/>
      <w:spacing w:line="360" w:lineRule="auto"/>
      <w:outlineLvl w:val="0"/>
    </w:pPr>
    <w:rPr>
      <w:rFonts w:ascii="宋体" w:hAnsi="宋体" w:eastAsia="方正小标宋_GBK" w:cs="宋体"/>
      <w:sz w:val="32"/>
      <w:szCs w:val="22"/>
    </w:rPr>
  </w:style>
  <w:style w:type="paragraph" w:styleId="772">
    <w:name w:val="标准正文"/>
    <w:basedOn w:val="656"/>
    <w:next w:val="772"/>
    <w:link w:val="656"/>
    <w:qFormat/>
    <w:pPr>
      <w:ind w:firstLine="480"/>
      <w:jc w:val="left"/>
      <w:spacing w:line="360" w:lineRule="auto"/>
    </w:pPr>
    <w:rPr>
      <w:rFonts w:ascii="宋体" w:hAnsi="宋体" w:eastAsia="方正仿宋_GBK" w:cs="宋体"/>
      <w:sz w:val="28"/>
      <w:szCs w:val="28"/>
    </w:rPr>
  </w:style>
  <w:style w:type="paragraph" w:styleId="773">
    <w:name w:val="2级"/>
    <w:basedOn w:val="771"/>
    <w:next w:val="772"/>
    <w:link w:val="656"/>
    <w:qFormat/>
    <w:pPr>
      <w:numPr>
        <w:ilvl w:val="1"/>
        <w:numId w:val="4"/>
      </w:numPr>
      <w:outlineLvl w:val="1"/>
    </w:pPr>
    <w:rPr>
      <w:sz w:val="30"/>
    </w:rPr>
  </w:style>
  <w:style w:type="paragraph" w:styleId="774">
    <w:name w:val="0正文"/>
    <w:next w:val="774"/>
    <w:link w:val="656"/>
    <w:qFormat/>
    <w:pPr>
      <w:ind w:firstLine="200"/>
    </w:pPr>
    <w:rPr>
      <w:rFonts w:ascii="Times New Roman" w:hAnsi="Times New Roman"/>
      <w:sz w:val="21"/>
      <w:szCs w:val="21"/>
      <w:lang w:val="en-US" w:eastAsia="zh-CN" w:bidi="ar-SA"/>
    </w:rPr>
  </w:style>
  <w:style w:type="character" w:styleId="775">
    <w:name w:val="font11"/>
    <w:next w:val="775"/>
    <w:link w:val="656"/>
    <w:qFormat/>
    <w:rPr>
      <w:rFonts w:hint="eastAsia" w:ascii="宋体" w:hAnsi="宋体" w:eastAsia="宋体" w:cs="宋体"/>
      <w:color w:val="000000"/>
      <w:sz w:val="21"/>
      <w:szCs w:val="21"/>
      <w:u w:val="none"/>
    </w:rPr>
  </w:style>
  <w:style w:type="character" w:styleId="7920" w:default="1">
    <w:name w:val="Default Paragraph Font"/>
    <w:uiPriority w:val="1"/>
    <w:semiHidden/>
    <w:unhideWhenUsed/>
  </w:style>
  <w:style w:type="numbering" w:styleId="7921" w:default="1">
    <w:name w:val="No List"/>
    <w:uiPriority w:val="99"/>
    <w:semiHidden/>
    <w:unhideWhenUsed/>
  </w:style>
  <w:style w:type="table" w:styleId="7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2</cp:revision>
  <dcterms:created xsi:type="dcterms:W3CDTF">2026-04-21T07:29:00Z</dcterms:created>
  <dcterms:modified xsi:type="dcterms:W3CDTF">2026-04-23T03:05:15Z</dcterms:modified>
</cp:coreProperties>
</file>