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ind w:firstLine="0"/>
        <w:jc w:val="center"/>
        <w:keepLines w:val="0"/>
        <w:keepNext w:val="0"/>
        <w:pageBreakBefore w:val="0"/>
        <w:spacing w:before="0" w:after="0"/>
        <w:widowControl w:val="off"/>
        <w:rPr>
          <w:rFonts w:hint="eastAsia" w:ascii="宋体" w:hAnsi="宋体" w:eastAsia="宋体" w:cs="宋体"/>
          <w:b/>
          <w:bCs/>
          <w:sz w:val="44"/>
          <w:szCs w:val="44"/>
          <w:lang w:eastAsia="zh-CN"/>
        </w:rPr>
      </w:pPr>
      <w:r>
        <w:rPr>
          <w:rFonts w:hint="eastAsia" w:ascii="宋体" w:hAnsi="宋体" w:eastAsia="宋体" w:cs="宋体"/>
          <w:b/>
          <w:bCs/>
          <w:sz w:val="44"/>
          <w:szCs w:val="44"/>
          <w:lang w:eastAsia="zh-CN"/>
        </w:rPr>
        <w:t xml:space="preserve">灌云县高新区高级中学建设项目设备</w:t>
      </w:r>
      <w:r/>
    </w:p>
    <w:p>
      <w:pPr>
        <w:pStyle w:val="876"/>
        <w:ind w:firstLine="0"/>
        <w:jc w:val="center"/>
        <w:keepLines w:val="0"/>
        <w:keepNext w:val="0"/>
        <w:pageBreakBefore w:val="0"/>
        <w:spacing w:before="0" w:after="0"/>
        <w:widowControl w:val="off"/>
        <w:rPr>
          <w:rFonts w:hint="eastAsia" w:ascii="宋体" w:hAnsi="宋体" w:eastAsia="宋体" w:cs="宋体"/>
          <w:b/>
          <w:bCs/>
          <w:sz w:val="44"/>
          <w:szCs w:val="44"/>
          <w:lang w:eastAsia="zh-CN"/>
        </w:rPr>
      </w:pPr>
      <w:r>
        <w:rPr>
          <w:rFonts w:hint="eastAsia" w:ascii="宋体" w:hAnsi="宋体" w:eastAsia="宋体" w:cs="宋体"/>
          <w:b/>
          <w:bCs/>
          <w:sz w:val="44"/>
          <w:szCs w:val="44"/>
          <w:lang w:eastAsia="zh-CN"/>
        </w:rPr>
        <w:t xml:space="preserve">采购项目</w:t>
      </w:r>
      <w:r/>
    </w:p>
    <w:p>
      <w:pPr>
        <w:pStyle w:val="876"/>
        <w:ind w:firstLine="0"/>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（专门面向中小企业）</w:t>
      </w:r>
      <w:r/>
    </w:p>
    <w:p>
      <w:pPr>
        <w:pStyle w:val="876"/>
        <w:ind w:firstLine="0"/>
        <w:jc w:val="both"/>
        <w:rPr>
          <w:rFonts w:hint="eastAsia" w:ascii="宋体" w:hAnsi="宋体" w:eastAsia="宋体" w:cs="宋体"/>
          <w:b/>
          <w:bCs/>
          <w:sz w:val="72"/>
          <w:szCs w:val="22"/>
        </w:rPr>
      </w:pPr>
      <w:r>
        <w:rPr>
          <w:rFonts w:hint="eastAsia" w:ascii="宋体" w:hAnsi="宋体" w:eastAsia="宋体" w:cs="宋体"/>
          <w:b/>
          <w:bCs/>
          <w:sz w:val="72"/>
          <w:szCs w:val="22"/>
        </w:rPr>
      </w:r>
      <w:r/>
    </w:p>
    <w:p>
      <w:pPr>
        <w:pStyle w:val="876"/>
        <w:ind w:firstLine="0"/>
        <w:jc w:val="center"/>
        <w:rPr>
          <w:rFonts w:hint="eastAsia" w:ascii="宋体" w:hAnsi="宋体" w:eastAsia="宋体" w:cs="宋体"/>
          <w:b/>
          <w:bCs/>
          <w:sz w:val="72"/>
          <w:szCs w:val="22"/>
        </w:rPr>
      </w:pPr>
      <w:r>
        <w:rPr>
          <w:rFonts w:hint="eastAsia" w:ascii="宋体" w:hAnsi="宋体" w:eastAsia="宋体" w:cs="宋体"/>
          <w:b/>
          <w:bCs/>
          <w:sz w:val="72"/>
          <w:szCs w:val="22"/>
        </w:rPr>
      </w:r>
      <w:r/>
    </w:p>
    <w:p>
      <w:pPr>
        <w:pStyle w:val="876"/>
        <w:ind w:firstLine="0"/>
        <w:jc w:val="center"/>
        <w:rPr>
          <w:rFonts w:hint="eastAsia" w:ascii="宋体" w:hAnsi="宋体" w:eastAsia="宋体" w:cs="宋体"/>
          <w:b/>
          <w:bCs/>
          <w:sz w:val="72"/>
          <w:szCs w:val="22"/>
        </w:rPr>
      </w:pPr>
      <w:r>
        <w:rPr>
          <w:rFonts w:hint="eastAsia" w:ascii="宋体" w:hAnsi="宋体" w:eastAsia="宋体" w:cs="宋体"/>
          <w:b/>
          <w:bCs/>
          <w:sz w:val="72"/>
          <w:szCs w:val="22"/>
        </w:rPr>
        <w:t xml:space="preserve">招标文件</w:t>
      </w:r>
      <w:r/>
    </w:p>
    <w:p>
      <w:pPr>
        <w:pStyle w:val="876"/>
        <w:ind w:left="0" w:firstLine="0"/>
        <w:rPr>
          <w:rFonts w:hint="eastAsia" w:ascii="宋体" w:hAnsi="宋体" w:eastAsia="宋体" w:cs="宋体"/>
          <w:b/>
          <w:bCs/>
          <w:sz w:val="32"/>
        </w:rPr>
      </w:pPr>
      <w:r>
        <w:rPr>
          <w:rFonts w:hint="eastAsia" w:ascii="宋体" w:hAnsi="宋体" w:eastAsia="宋体" w:cs="宋体"/>
          <w:b/>
          <w:bCs/>
          <w:sz w:val="32"/>
        </w:rPr>
      </w:r>
      <w:r/>
    </w:p>
    <w:p>
      <w:pPr>
        <w:jc w:val="center"/>
        <w:rPr>
          <w:rFonts w:hint="eastAsia" w:ascii="宋体" w:hAnsi="宋体" w:eastAsia="宋体" w:cs="宋体"/>
          <w:b/>
          <w:color w:val="auto"/>
          <w:sz w:val="30"/>
          <w:szCs w:val="30"/>
        </w:rPr>
      </w:pPr>
      <w:r>
        <w:rPr>
          <w:rFonts w:hint="eastAsia" w:ascii="宋体" w:hAnsi="宋体" w:eastAsia="宋体" w:cs="宋体"/>
          <w:b/>
          <w:bCs/>
          <w:color w:val="auto"/>
          <w:sz w:val="32"/>
          <w:szCs w:val="32"/>
        </w:rPr>
        <w:t xml:space="preserve">项目编号：JSZC-320723-HRGJ-G2026-0002</w:t>
      </w:r>
      <w:r/>
    </w:p>
    <w:p>
      <w:pPr>
        <w:pStyle w:val="876"/>
        <w:ind w:firstLine="0"/>
        <w:spacing w:before="0" w:after="0"/>
        <w:rPr>
          <w:rFonts w:hint="eastAsia" w:ascii="宋体" w:hAnsi="宋体" w:eastAsia="宋体" w:cs="宋体"/>
        </w:rPr>
      </w:pPr>
      <w:r>
        <w:rPr>
          <w:rFonts w:hint="eastAsia" w:ascii="宋体" w:hAnsi="宋体" w:eastAsia="宋体" w:cs="宋体"/>
        </w:rPr>
      </w:r>
      <w:r/>
    </w:p>
    <w:p>
      <w:pPr>
        <w:pStyle w:val="876"/>
        <w:ind w:left="0" w:firstLine="0"/>
        <w:jc w:val="both"/>
        <w:rPr>
          <w:rFonts w:hint="eastAsia" w:ascii="宋体" w:hAnsi="宋体" w:eastAsia="宋体" w:cs="宋体"/>
          <w:b/>
          <w:bCs/>
          <w:sz w:val="32"/>
        </w:rPr>
        <w:outlineLvl w:val="0"/>
      </w:pPr>
      <w:r/>
      <w:bookmarkStart w:id="0" w:name="_Toc10532"/>
      <w:r/>
      <w:bookmarkStart w:id="1" w:name="_Toc17408"/>
      <w:r/>
      <w:bookmarkStart w:id="2" w:name="_Toc7719"/>
      <w:r/>
      <w:bookmarkStart w:id="3" w:name="_Toc13903"/>
      <w:r/>
      <w:r/>
    </w:p>
    <w:p>
      <w:pPr>
        <w:pStyle w:val="876"/>
        <w:ind w:left="0" w:firstLine="1606"/>
        <w:jc w:val="both"/>
        <w:rPr>
          <w:rFonts w:hint="eastAsia" w:ascii="宋体" w:hAnsi="宋体" w:eastAsia="宋体" w:cs="宋体"/>
          <w:b/>
          <w:bCs/>
          <w:sz w:val="32"/>
        </w:rPr>
        <w:outlineLvl w:val="0"/>
      </w:pPr>
      <w:r>
        <w:rPr>
          <w:rFonts w:hint="eastAsia" w:ascii="宋体" w:hAnsi="宋体" w:eastAsia="宋体" w:cs="宋体"/>
          <w:b/>
          <w:bCs/>
          <w:sz w:val="32"/>
        </w:rPr>
      </w:r>
      <w:r/>
    </w:p>
    <w:p>
      <w:pPr>
        <w:pStyle w:val="876"/>
        <w:jc w:val="both"/>
        <w:rPr>
          <w:rFonts w:hint="eastAsia" w:ascii="宋体" w:hAnsi="宋体" w:eastAsia="宋体" w:cs="宋体"/>
          <w:b/>
          <w:bCs/>
          <w:sz w:val="32"/>
        </w:rPr>
        <w:outlineLvl w:val="0"/>
      </w:pPr>
      <w:r>
        <w:rPr>
          <w:rFonts w:hint="eastAsia" w:ascii="宋体" w:hAnsi="宋体" w:eastAsia="宋体" w:cs="宋体"/>
          <w:b/>
          <w:bCs/>
          <w:sz w:val="32"/>
        </w:rPr>
      </w:r>
      <w:r/>
    </w:p>
    <w:p>
      <w:pPr>
        <w:pStyle w:val="876"/>
        <w:ind w:left="0" w:firstLine="1285"/>
        <w:jc w:val="both"/>
        <w:rPr>
          <w:rFonts w:hint="eastAsia" w:ascii="宋体" w:hAnsi="宋体" w:eastAsia="宋体" w:cs="宋体"/>
          <w:b/>
          <w:bCs/>
          <w:sz w:val="32"/>
          <w:lang w:eastAsia="zh-CN"/>
        </w:rPr>
        <w:outlineLvl w:val="0"/>
      </w:pPr>
      <w:r>
        <w:rPr>
          <w:rFonts w:hint="eastAsia" w:ascii="宋体" w:hAnsi="宋体" w:eastAsia="宋体" w:cs="宋体"/>
          <w:b/>
          <w:bCs/>
          <w:sz w:val="32"/>
        </w:rPr>
        <w:t xml:space="preserve">招</w:t>
      </w:r>
      <w:r>
        <w:rPr>
          <w:rFonts w:hint="eastAsia" w:ascii="宋体" w:hAnsi="宋体" w:eastAsia="宋体" w:cs="宋体"/>
          <w:b/>
          <w:bCs/>
          <w:sz w:val="32"/>
          <w:lang w:val="en-US" w:eastAsia="zh-CN"/>
        </w:rPr>
        <w:t xml:space="preserve">   </w:t>
      </w:r>
      <w:r>
        <w:rPr>
          <w:rFonts w:hint="eastAsia" w:ascii="宋体" w:hAnsi="宋体" w:eastAsia="宋体" w:cs="宋体"/>
          <w:b/>
          <w:bCs/>
          <w:sz w:val="32"/>
        </w:rPr>
        <w:t xml:space="preserve">标</w:t>
      </w:r>
      <w:r>
        <w:rPr>
          <w:rFonts w:hint="eastAsia" w:ascii="宋体" w:hAnsi="宋体" w:eastAsia="宋体" w:cs="宋体"/>
          <w:b/>
          <w:bCs/>
          <w:sz w:val="32"/>
          <w:lang w:val="en-US" w:eastAsia="zh-CN"/>
        </w:rPr>
        <w:t xml:space="preserve">   </w:t>
      </w:r>
      <w:r>
        <w:rPr>
          <w:rFonts w:hint="eastAsia" w:ascii="宋体" w:hAnsi="宋体" w:eastAsia="宋体" w:cs="宋体"/>
          <w:b/>
          <w:bCs/>
          <w:sz w:val="32"/>
        </w:rPr>
        <w:t xml:space="preserve">人：</w:t>
      </w:r>
      <w:bookmarkEnd w:id="0"/>
      <w:r/>
      <w:bookmarkEnd w:id="1"/>
      <w:r/>
      <w:bookmarkEnd w:id="2"/>
      <w:r/>
      <w:bookmarkEnd w:id="3"/>
      <w:r/>
      <w:bookmarkStart w:id="4" w:name="_Toc2460"/>
      <w:r/>
      <w:bookmarkStart w:id="5" w:name="_Toc1689"/>
      <w:r/>
      <w:bookmarkStart w:id="6" w:name="_Toc14767"/>
      <w:r/>
      <w:bookmarkStart w:id="7" w:name="_Toc1865"/>
      <w:r/>
      <w:bookmarkStart w:id="8" w:name="_Toc17956"/>
      <w:r/>
      <w:bookmarkStart w:id="9" w:name="_Toc25504"/>
      <w:r/>
      <w:bookmarkStart w:id="10" w:name="_Toc31270"/>
      <w:r/>
      <w:bookmarkStart w:id="11" w:name="_Toc931"/>
      <w:r>
        <w:rPr>
          <w:rFonts w:hint="eastAsia" w:ascii="宋体" w:hAnsi="宋体" w:eastAsia="宋体" w:cs="宋体"/>
          <w:b/>
          <w:bCs/>
          <w:sz w:val="32"/>
          <w:lang w:eastAsia="zh-CN"/>
        </w:rPr>
        <w:t xml:space="preserve">灌云县教育局</w:t>
      </w:r>
      <w:r/>
    </w:p>
    <w:p>
      <w:pPr>
        <w:pStyle w:val="876"/>
        <w:jc w:val="center"/>
        <w:rPr>
          <w:rFonts w:hint="eastAsia" w:ascii="宋体" w:hAnsi="宋体" w:eastAsia="宋体" w:cs="宋体"/>
          <w:b/>
          <w:bCs/>
          <w:sz w:val="32"/>
        </w:rPr>
        <w:outlineLvl w:val="0"/>
      </w:pPr>
      <w:r>
        <w:rPr>
          <w:rFonts w:hint="eastAsia" w:ascii="宋体" w:hAnsi="宋体" w:eastAsia="宋体" w:cs="宋体"/>
          <w:b/>
          <w:bCs/>
          <w:sz w:val="32"/>
          <w:lang w:val="en-US" w:eastAsia="zh-CN"/>
        </w:rPr>
        <w:t xml:space="preserve">   </w:t>
      </w:r>
      <w:r>
        <w:rPr>
          <w:rFonts w:hint="eastAsia" w:ascii="宋体" w:hAnsi="宋体" w:eastAsia="宋体" w:cs="宋体"/>
          <w:b/>
          <w:bCs/>
          <w:sz w:val="32"/>
        </w:rPr>
        <w:t xml:space="preserve">招标代理机构：</w:t>
      </w:r>
      <w:bookmarkEnd w:id="4"/>
      <w:r/>
      <w:bookmarkEnd w:id="5"/>
      <w:r/>
      <w:bookmarkEnd w:id="6"/>
      <w:r/>
      <w:bookmarkEnd w:id="7"/>
      <w:r/>
      <w:bookmarkEnd w:id="8"/>
      <w:r/>
      <w:bookmarkEnd w:id="9"/>
      <w:r/>
      <w:bookmarkEnd w:id="10"/>
      <w:r/>
      <w:bookmarkEnd w:id="11"/>
      <w:r>
        <w:rPr>
          <w:rFonts w:hint="eastAsia" w:ascii="宋体" w:hAnsi="宋体" w:eastAsia="宋体" w:cs="宋体"/>
          <w:b/>
          <w:bCs/>
          <w:sz w:val="32"/>
        </w:rPr>
        <w:t xml:space="preserve">华瑞国际工程咨询集团有限公司</w:t>
      </w:r>
      <w:r/>
    </w:p>
    <w:p>
      <w:pPr>
        <w:pStyle w:val="876"/>
        <w:ind w:firstLine="0"/>
        <w:jc w:val="center"/>
        <w:rPr>
          <w:rFonts w:hint="eastAsia" w:ascii="宋体" w:hAnsi="宋体" w:eastAsia="宋体" w:cs="宋体"/>
          <w:b w:val="0"/>
        </w:rPr>
      </w:pPr>
      <w:r>
        <w:rPr>
          <w:rFonts w:hint="eastAsia" w:ascii="宋体" w:hAnsi="宋体" w:eastAsia="宋体" w:cs="宋体"/>
          <w:b/>
          <w:bCs/>
          <w:sz w:val="32"/>
          <w:lang w:val="en-US" w:eastAsia="zh-CN"/>
        </w:rPr>
        <w:t xml:space="preserve">2026</w:t>
      </w:r>
      <w:r>
        <w:rPr>
          <w:rFonts w:hint="eastAsia" w:ascii="宋体" w:hAnsi="宋体" w:eastAsia="宋体" w:cs="宋体"/>
          <w:b/>
          <w:bCs/>
          <w:sz w:val="32"/>
        </w:rPr>
        <w:t xml:space="preserve">年</w:t>
      </w:r>
      <w:r>
        <w:rPr>
          <w:rFonts w:hint="eastAsia" w:ascii="宋体" w:hAnsi="宋体" w:eastAsia="宋体" w:cs="宋体"/>
          <w:b/>
          <w:bCs/>
          <w:sz w:val="32"/>
          <w:lang w:val="en-US" w:eastAsia="zh-CN"/>
        </w:rPr>
        <w:t xml:space="preserve">4</w:t>
      </w:r>
      <w:r>
        <w:rPr>
          <w:rFonts w:hint="eastAsia" w:ascii="宋体" w:hAnsi="宋体" w:eastAsia="宋体" w:cs="宋体"/>
          <w:b/>
          <w:bCs/>
          <w:sz w:val="32"/>
        </w:rPr>
        <w:t xml:space="preserve">月7日</w:t>
      </w: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r/>
    </w:p>
    <w:p>
      <w:pPr>
        <w:rPr>
          <w:rFonts w:hint="eastAsia" w:ascii="宋体" w:hAnsi="宋体" w:eastAsia="宋体" w:cs="宋体"/>
          <w:b w:val="0"/>
        </w:rPr>
      </w:pPr>
      <w:r>
        <w:rPr>
          <w:rFonts w:hint="eastAsia" w:ascii="宋体" w:hAnsi="宋体" w:eastAsia="宋体" w:cs="宋体"/>
          <w:b w:val="0"/>
        </w:rPr>
        <w:br w:type="page" w:clear="all"/>
      </w:r>
      <w:r/>
    </w:p>
    <w:p>
      <w:pPr>
        <w:pStyle w:val="649"/>
        <w:ind w:left="0" w:right="0"/>
        <w:jc w:val="center"/>
        <w:pageBreakBefore w:val="0"/>
        <w:spacing w:before="0" w:after="0" w:line="490" w:lineRule="exact"/>
        <w:rPr>
          <w:rFonts w:hint="eastAsia" w:ascii="宋体" w:hAnsi="宋体" w:eastAsia="宋体" w:cs="宋体"/>
          <w:b w:val="0"/>
        </w:rPr>
      </w:pPr>
      <w:r>
        <w:rPr>
          <w:rFonts w:hint="eastAsia" w:ascii="宋体" w:hAnsi="宋体" w:eastAsia="宋体" w:cs="宋体"/>
          <w:b w:val="0"/>
        </w:rPr>
        <w:t xml:space="preserve">目  录</w:t>
      </w:r>
      <w:r/>
    </w:p>
    <w:p>
      <w:pPr>
        <w:pStyle w:val="676"/>
        <w:ind w:left="0" w:right="0"/>
        <w:pageBreakBefore w:val="0"/>
        <w:spacing w:line="490" w:lineRule="exact"/>
        <w:tabs>
          <w:tab w:val="right" w:pos="8296" w:leader="dot"/>
        </w:tabs>
        <w:rPr>
          <w:rFonts w:hint="eastAsia" w:ascii="宋体" w:hAnsi="宋体" w:eastAsia="宋体" w:cs="宋体"/>
          <w:sz w:val="32"/>
        </w:rPr>
      </w:pPr>
      <w:r>
        <w:rPr>
          <w:rFonts w:hint="eastAsia" w:ascii="宋体" w:hAnsi="宋体" w:eastAsia="宋体" w:cs="宋体"/>
          <w:sz w:val="32"/>
        </w:rPr>
      </w:r>
      <w:r/>
    </w:p>
    <w:p>
      <w:pPr>
        <w:pStyle w:val="676"/>
        <w:ind w:left="0" w:right="0"/>
        <w:pageBreakBefore w:val="0"/>
        <w:spacing w:line="490" w:lineRule="exact"/>
        <w:tabs>
          <w:tab w:val="right" w:pos="8296" w:leader="dot"/>
        </w:tabs>
        <w:rPr>
          <w:rFonts w:hint="eastAsia" w:ascii="宋体" w:hAnsi="宋体" w:eastAsia="宋体" w:cs="宋体"/>
          <w:sz w:val="32"/>
        </w:rPr>
      </w:pPr>
      <w:r>
        <w:rPr>
          <w:rFonts w:hint="eastAsia" w:ascii="宋体" w:hAnsi="宋体" w:eastAsia="宋体" w:cs="宋体"/>
          <w:sz w:val="32"/>
        </w:rPr>
        <w:t xml:space="preserve">第一章</w:t>
      </w:r>
      <w:r>
        <w:rPr>
          <w:rFonts w:hint="eastAsia" w:ascii="宋体" w:hAnsi="宋体" w:eastAsia="宋体" w:cs="宋体"/>
          <w:sz w:val="32"/>
          <w:lang w:val="en-US" w:eastAsia="zh-CN"/>
        </w:rPr>
        <w:t xml:space="preserve"> </w:t>
      </w:r>
      <w:r>
        <w:rPr>
          <w:rFonts w:hint="eastAsia" w:ascii="宋体" w:hAnsi="宋体" w:eastAsia="宋体" w:cs="宋体"/>
          <w:sz w:val="32"/>
        </w:rPr>
        <w:t xml:space="preserve">投标邀请</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_Toc155796356 \h </w:instrText>
      </w:r>
      <w:r>
        <w:rPr>
          <w:rFonts w:hint="eastAsia" w:ascii="宋体" w:hAnsi="宋体" w:eastAsia="宋体" w:cs="宋体"/>
          <w:sz w:val="32"/>
        </w:rPr>
        <w:fldChar w:fldCharType="separate"/>
      </w:r>
      <w:r>
        <w:rPr>
          <w:rFonts w:hint="eastAsia" w:ascii="宋体" w:hAnsi="宋体" w:eastAsia="宋体" w:cs="宋体"/>
          <w:sz w:val="32"/>
        </w:rPr>
        <w:t xml:space="preserve">1</w:t>
      </w:r>
      <w:r>
        <w:rPr>
          <w:rFonts w:hint="eastAsia" w:ascii="宋体" w:hAnsi="宋体" w:eastAsia="宋体" w:cs="宋体"/>
          <w:sz w:val="32"/>
        </w:rPr>
        <w:fldChar w:fldCharType="end"/>
      </w:r>
      <w:r/>
    </w:p>
    <w:p>
      <w:pPr>
        <w:pStyle w:val="676"/>
        <w:ind w:left="0" w:right="0"/>
        <w:pageBreakBefore w:val="0"/>
        <w:spacing w:line="490" w:lineRule="exact"/>
        <w:tabs>
          <w:tab w:val="right" w:pos="8296" w:leader="dot"/>
        </w:tabs>
        <w:rPr>
          <w:rFonts w:hint="eastAsia" w:ascii="宋体" w:hAnsi="宋体" w:eastAsia="宋体" w:cs="宋体"/>
          <w:sz w:val="32"/>
        </w:rPr>
      </w:pPr>
      <w:r>
        <w:rPr>
          <w:rFonts w:hint="eastAsia" w:ascii="宋体" w:hAnsi="宋体" w:eastAsia="宋体" w:cs="宋体"/>
          <w:sz w:val="32"/>
        </w:rPr>
        <w:t xml:space="preserve">第二章</w:t>
      </w:r>
      <w:r>
        <w:rPr>
          <w:rFonts w:hint="eastAsia" w:ascii="宋体" w:hAnsi="宋体" w:eastAsia="宋体" w:cs="宋体"/>
          <w:sz w:val="32"/>
          <w:lang w:val="en-US" w:eastAsia="zh-CN"/>
        </w:rPr>
        <w:t xml:space="preserve"> </w:t>
      </w:r>
      <w:r>
        <w:rPr>
          <w:rFonts w:hint="eastAsia" w:ascii="宋体" w:hAnsi="宋体" w:eastAsia="宋体" w:cs="宋体"/>
          <w:sz w:val="32"/>
        </w:rPr>
        <w:t xml:space="preserve">投标人须知</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_Toc155796357 \h </w:instrText>
      </w:r>
      <w:r>
        <w:rPr>
          <w:rFonts w:hint="eastAsia" w:ascii="宋体" w:hAnsi="宋体" w:eastAsia="宋体" w:cs="宋体"/>
          <w:sz w:val="32"/>
        </w:rPr>
        <w:fldChar w:fldCharType="separate"/>
      </w:r>
      <w:r>
        <w:rPr>
          <w:rFonts w:hint="eastAsia" w:ascii="宋体" w:hAnsi="宋体" w:eastAsia="宋体" w:cs="宋体"/>
          <w:sz w:val="32"/>
        </w:rPr>
        <w:t xml:space="preserve">5</w:t>
      </w:r>
      <w:r>
        <w:rPr>
          <w:rFonts w:hint="eastAsia" w:ascii="宋体" w:hAnsi="宋体" w:eastAsia="宋体" w:cs="宋体"/>
          <w:sz w:val="32"/>
        </w:rPr>
        <w:fldChar w:fldCharType="end"/>
      </w:r>
      <w:r/>
    </w:p>
    <w:p>
      <w:pPr>
        <w:pStyle w:val="676"/>
        <w:ind w:left="0" w:right="0"/>
        <w:pageBreakBefore w:val="0"/>
        <w:spacing w:line="490" w:lineRule="exact"/>
        <w:tabs>
          <w:tab w:val="right" w:pos="8296" w:leader="dot"/>
        </w:tabs>
        <w:rPr>
          <w:rFonts w:hint="eastAsia" w:ascii="宋体" w:hAnsi="宋体" w:eastAsia="宋体" w:cs="宋体"/>
          <w:sz w:val="32"/>
        </w:rPr>
      </w:pPr>
      <w:r>
        <w:rPr>
          <w:rFonts w:hint="eastAsia" w:ascii="宋体" w:hAnsi="宋体" w:eastAsia="宋体" w:cs="宋体"/>
          <w:sz w:val="32"/>
        </w:rPr>
        <w:t xml:space="preserve">第三章</w:t>
      </w:r>
      <w:r>
        <w:rPr>
          <w:rFonts w:hint="eastAsia" w:ascii="宋体" w:hAnsi="宋体" w:eastAsia="宋体" w:cs="宋体"/>
          <w:sz w:val="32"/>
          <w:lang w:val="en-US" w:eastAsia="zh-CN"/>
        </w:rPr>
        <w:t xml:space="preserve"> </w:t>
      </w:r>
      <w:r>
        <w:rPr>
          <w:rFonts w:hint="eastAsia" w:ascii="宋体" w:hAnsi="宋体" w:eastAsia="宋体" w:cs="宋体"/>
          <w:sz w:val="32"/>
        </w:rPr>
        <w:t xml:space="preserve">合同文本</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_Toc155796358 \h </w:instrText>
      </w:r>
      <w:r>
        <w:rPr>
          <w:rFonts w:hint="eastAsia" w:ascii="宋体" w:hAnsi="宋体" w:eastAsia="宋体" w:cs="宋体"/>
          <w:sz w:val="32"/>
        </w:rPr>
        <w:fldChar w:fldCharType="separate"/>
      </w:r>
      <w:r>
        <w:rPr>
          <w:rFonts w:hint="eastAsia" w:ascii="宋体" w:hAnsi="宋体" w:eastAsia="宋体" w:cs="宋体"/>
          <w:sz w:val="32"/>
        </w:rPr>
        <w:t xml:space="preserve">23</w:t>
      </w:r>
      <w:r>
        <w:rPr>
          <w:rFonts w:hint="eastAsia" w:ascii="宋体" w:hAnsi="宋体" w:eastAsia="宋体" w:cs="宋体"/>
          <w:sz w:val="32"/>
        </w:rPr>
        <w:fldChar w:fldCharType="end"/>
      </w:r>
      <w:r/>
    </w:p>
    <w:p>
      <w:pPr>
        <w:pStyle w:val="676"/>
        <w:ind w:left="0" w:right="0"/>
        <w:pageBreakBefore w:val="0"/>
        <w:spacing w:line="490" w:lineRule="exact"/>
        <w:tabs>
          <w:tab w:val="right" w:pos="8296" w:leader="dot"/>
        </w:tabs>
        <w:rPr>
          <w:rFonts w:hint="eastAsia" w:ascii="宋体" w:hAnsi="宋体" w:eastAsia="宋体" w:cs="宋体"/>
          <w:sz w:val="32"/>
        </w:rPr>
      </w:pPr>
      <w:r>
        <w:rPr>
          <w:rFonts w:hint="eastAsia" w:ascii="宋体" w:hAnsi="宋体" w:eastAsia="宋体" w:cs="宋体"/>
          <w:sz w:val="32"/>
        </w:rPr>
        <w:t xml:space="preserve">第四章</w:t>
      </w:r>
      <w:r>
        <w:rPr>
          <w:rFonts w:hint="eastAsia" w:ascii="宋体" w:hAnsi="宋体" w:eastAsia="宋体" w:cs="宋体"/>
          <w:sz w:val="32"/>
          <w:lang w:val="en-US" w:eastAsia="zh-CN"/>
        </w:rPr>
        <w:t xml:space="preserve"> </w:t>
      </w:r>
      <w:r>
        <w:rPr>
          <w:rFonts w:hint="eastAsia" w:ascii="宋体" w:hAnsi="宋体" w:eastAsia="宋体" w:cs="宋体"/>
          <w:sz w:val="32"/>
        </w:rPr>
        <w:t xml:space="preserve">采购需求</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_Toc155796359 \h </w:instrText>
      </w:r>
      <w:r>
        <w:rPr>
          <w:rFonts w:hint="eastAsia" w:ascii="宋体" w:hAnsi="宋体" w:eastAsia="宋体" w:cs="宋体"/>
          <w:sz w:val="32"/>
        </w:rPr>
        <w:fldChar w:fldCharType="separate"/>
      </w:r>
      <w:r>
        <w:rPr>
          <w:rFonts w:hint="eastAsia" w:ascii="宋体" w:hAnsi="宋体" w:eastAsia="宋体" w:cs="宋体"/>
          <w:sz w:val="32"/>
        </w:rPr>
        <w:t xml:space="preserve">29</w:t>
      </w:r>
      <w:r>
        <w:rPr>
          <w:rFonts w:hint="eastAsia" w:ascii="宋体" w:hAnsi="宋体" w:eastAsia="宋体" w:cs="宋体"/>
          <w:sz w:val="32"/>
        </w:rPr>
        <w:fldChar w:fldCharType="end"/>
      </w:r>
      <w:r/>
    </w:p>
    <w:p>
      <w:pPr>
        <w:pStyle w:val="676"/>
        <w:ind w:left="0" w:right="0"/>
        <w:pageBreakBefore w:val="0"/>
        <w:spacing w:line="490" w:lineRule="exact"/>
        <w:tabs>
          <w:tab w:val="right" w:pos="8296" w:leader="dot"/>
        </w:tabs>
        <w:rPr>
          <w:rFonts w:hint="eastAsia" w:ascii="宋体" w:hAnsi="宋体" w:eastAsia="宋体" w:cs="宋体"/>
          <w:sz w:val="32"/>
        </w:rPr>
      </w:pPr>
      <w:r>
        <w:rPr>
          <w:rFonts w:hint="eastAsia" w:ascii="宋体" w:hAnsi="宋体" w:eastAsia="宋体" w:cs="宋体"/>
          <w:sz w:val="32"/>
        </w:rPr>
        <w:t xml:space="preserve">第五章</w:t>
      </w:r>
      <w:r>
        <w:rPr>
          <w:rFonts w:hint="eastAsia" w:ascii="宋体" w:hAnsi="宋体" w:eastAsia="宋体" w:cs="宋体"/>
          <w:sz w:val="32"/>
          <w:lang w:val="en-US" w:eastAsia="zh-CN"/>
        </w:rPr>
        <w:t xml:space="preserve"> </w:t>
      </w:r>
      <w:r>
        <w:rPr>
          <w:rFonts w:hint="eastAsia" w:ascii="宋体" w:hAnsi="宋体" w:eastAsia="宋体" w:cs="宋体"/>
          <w:sz w:val="32"/>
        </w:rPr>
        <w:t xml:space="preserve">评标方法与评标标准</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_Toc155796360 \h </w:instrText>
      </w:r>
      <w:r>
        <w:rPr>
          <w:rFonts w:hint="eastAsia" w:ascii="宋体" w:hAnsi="宋体" w:eastAsia="宋体" w:cs="宋体"/>
          <w:sz w:val="32"/>
        </w:rPr>
        <w:fldChar w:fldCharType="separate"/>
      </w:r>
      <w:r>
        <w:rPr>
          <w:rFonts w:hint="eastAsia" w:ascii="宋体" w:hAnsi="宋体" w:eastAsia="宋体" w:cs="宋体"/>
          <w:sz w:val="32"/>
        </w:rPr>
        <w:t xml:space="preserve">34</w:t>
      </w:r>
      <w:r>
        <w:rPr>
          <w:rFonts w:hint="eastAsia" w:ascii="宋体" w:hAnsi="宋体" w:eastAsia="宋体" w:cs="宋体"/>
          <w:sz w:val="32"/>
        </w:rPr>
        <w:fldChar w:fldCharType="end"/>
      </w:r>
      <w:r/>
    </w:p>
    <w:p>
      <w:pPr>
        <w:pStyle w:val="676"/>
        <w:ind w:left="0" w:right="0"/>
        <w:pageBreakBefore w:val="0"/>
        <w:spacing w:line="490" w:lineRule="exact"/>
        <w:tabs>
          <w:tab w:val="right" w:pos="8296" w:leader="dot"/>
        </w:tabs>
        <w:rPr>
          <w:rFonts w:hint="eastAsia" w:ascii="宋体" w:hAnsi="宋体" w:eastAsia="宋体" w:cs="宋体"/>
          <w:sz w:val="32"/>
        </w:rPr>
      </w:pPr>
      <w:r>
        <w:rPr>
          <w:rFonts w:hint="eastAsia" w:ascii="宋体" w:hAnsi="宋体" w:eastAsia="宋体" w:cs="宋体"/>
          <w:sz w:val="32"/>
        </w:rPr>
        <w:t xml:space="preserve">第六章</w:t>
      </w:r>
      <w:r>
        <w:rPr>
          <w:rFonts w:hint="eastAsia" w:ascii="宋体" w:hAnsi="宋体" w:eastAsia="宋体" w:cs="宋体"/>
          <w:sz w:val="32"/>
          <w:lang w:val="en-US" w:eastAsia="zh-CN"/>
        </w:rPr>
        <w:t xml:space="preserve"> </w:t>
      </w:r>
      <w:r>
        <w:rPr>
          <w:rFonts w:hint="eastAsia" w:ascii="宋体" w:hAnsi="宋体" w:eastAsia="宋体" w:cs="宋体"/>
          <w:sz w:val="32"/>
        </w:rPr>
        <w:t xml:space="preserve">投标文件格式</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_Toc155796361 \h </w:instrText>
      </w:r>
      <w:r>
        <w:rPr>
          <w:rFonts w:hint="eastAsia" w:ascii="宋体" w:hAnsi="宋体" w:eastAsia="宋体" w:cs="宋体"/>
          <w:sz w:val="32"/>
        </w:rPr>
        <w:fldChar w:fldCharType="separate"/>
      </w:r>
      <w:r>
        <w:rPr>
          <w:rFonts w:hint="eastAsia" w:ascii="宋体" w:hAnsi="宋体" w:eastAsia="宋体" w:cs="宋体"/>
          <w:sz w:val="32"/>
        </w:rPr>
        <w:t xml:space="preserve">36</w:t>
      </w:r>
      <w:r>
        <w:rPr>
          <w:rFonts w:hint="eastAsia" w:ascii="宋体" w:hAnsi="宋体" w:eastAsia="宋体" w:cs="宋体"/>
          <w:sz w:val="32"/>
        </w:rPr>
        <w:fldChar w:fldCharType="end"/>
      </w:r>
      <w:r/>
    </w:p>
    <w:p>
      <w:pPr>
        <w:ind w:left="0" w:right="0"/>
        <w:jc w:val="left"/>
        <w:pageBreakBefore w:val="0"/>
        <w:spacing w:line="490" w:lineRule="exact"/>
        <w:widowControl/>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r/>
    </w:p>
    <w:p>
      <w:pPr>
        <w:pStyle w:val="649"/>
        <w:ind w:left="0" w:right="0"/>
        <w:jc w:val="center"/>
        <w:pageBreakBefore w:val="0"/>
        <w:spacing w:before="0" w:after="0" w:line="490" w:lineRule="exact"/>
        <w:rPr>
          <w:rFonts w:hint="eastAsia" w:ascii="宋体" w:hAnsi="宋体" w:eastAsia="宋体" w:cs="宋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12" w:name="_Toc155796356"/>
      <w:r/>
      <w:r/>
    </w:p>
    <w:p>
      <w:pPr>
        <w:pStyle w:val="649"/>
        <w:ind w:left="0" w:right="0"/>
        <w:jc w:val="center"/>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第一章  投标邀请</w:t>
      </w:r>
      <w:bookmarkEnd w:id="12"/>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u w:val="single"/>
          <w:lang w:eastAsia="zh-CN"/>
        </w:rPr>
        <w:t xml:space="preserve">灌云县教育局</w:t>
      </w:r>
      <w:r>
        <w:rPr>
          <w:rFonts w:hint="eastAsia" w:ascii="宋体" w:hAnsi="宋体" w:eastAsia="宋体" w:cs="宋体"/>
          <w:sz w:val="24"/>
          <w:szCs w:val="24"/>
        </w:rPr>
        <w:t xml:space="preserve">的委托，</w:t>
      </w:r>
      <w:r>
        <w:rPr>
          <w:rFonts w:hint="eastAsia" w:ascii="宋体" w:hAnsi="宋体" w:eastAsia="宋体" w:cs="宋体"/>
          <w:sz w:val="24"/>
          <w:szCs w:val="24"/>
          <w:u w:val="single"/>
          <w:lang w:eastAsia="zh-CN"/>
        </w:rPr>
        <w:t xml:space="preserve">华瑞国际工程咨询集团有限公司</w:t>
      </w:r>
      <w:r>
        <w:rPr>
          <w:rFonts w:hint="eastAsia" w:ascii="宋体" w:hAnsi="宋体" w:eastAsia="宋体" w:cs="宋体"/>
          <w:sz w:val="24"/>
          <w:szCs w:val="24"/>
        </w:rPr>
        <w:t xml:space="preserve">就</w:t>
      </w:r>
      <w:r>
        <w:rPr>
          <w:rFonts w:hint="eastAsia" w:ascii="宋体" w:hAnsi="宋体" w:eastAsia="宋体" w:cs="宋体"/>
          <w:sz w:val="24"/>
          <w:szCs w:val="24"/>
          <w:u w:val="single"/>
          <w:lang w:eastAsia="zh-CN"/>
        </w:rPr>
        <w:t xml:space="preserve">灌云县高新区高级中学建设项目设备采购项目</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JSZC-320723-HRGJ-G2026-0002</w:t>
      </w:r>
      <w:r>
        <w:rPr>
          <w:rFonts w:hint="eastAsia" w:ascii="宋体" w:hAnsi="宋体" w:eastAsia="宋体" w:cs="宋体"/>
          <w:sz w:val="24"/>
          <w:szCs w:val="24"/>
        </w:rPr>
        <w:t xml:space="preserve">）进行公开招标采购，欢迎符合条件的</w:t>
      </w:r>
      <w:r>
        <w:rPr>
          <w:rFonts w:hint="eastAsia" w:ascii="宋体" w:hAnsi="宋体" w:eastAsia="宋体" w:cs="宋体"/>
          <w:sz w:val="24"/>
          <w:szCs w:val="24"/>
          <w:lang w:eastAsia="zh-CN"/>
        </w:rPr>
        <w:t xml:space="preserve">投标人参与投标</w:t>
      </w:r>
      <w:r>
        <w:rPr>
          <w:rFonts w:hint="eastAsia" w:ascii="宋体" w:hAnsi="宋体" w:eastAsia="宋体" w:cs="宋体"/>
          <w:sz w:val="24"/>
          <w:szCs w:val="24"/>
        </w:rPr>
        <w:t xml:space="preserve">。</w:t>
      </w:r>
      <w:r/>
    </w:p>
    <w:tbl>
      <w:tblPr>
        <w:tblStyle w:val="689"/>
        <w:tblW w:w="9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4"/>
      </w:tblGrid>
      <w:tr>
        <w:trPr>
          <w:trHeight w:val="1564"/>
        </w:trPr>
        <w:tc>
          <w:tcPr>
            <w:tcW w:w="9174" w:type="dxa"/>
            <w:textDirection w:val="lrTb"/>
            <w:noWrap w:val="false"/>
          </w:tcPr>
          <w:p>
            <w:pPr>
              <w:ind w:left="0" w:righ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项目概况</w:t>
            </w:r>
            <w:r/>
          </w:p>
          <w:p>
            <w:pPr>
              <w:ind w:left="0" w:righ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u w:val="single"/>
                <w:lang w:eastAsia="zh-CN"/>
              </w:rPr>
              <w:t xml:space="preserve">灌云县高新区高级中学建设项目设备采购项目</w:t>
            </w:r>
            <w:r>
              <w:rPr>
                <w:rFonts w:hint="eastAsia" w:ascii="宋体" w:hAnsi="宋体" w:eastAsia="宋体" w:cs="宋体"/>
                <w:sz w:val="24"/>
                <w:szCs w:val="24"/>
              </w:rPr>
              <w:t xml:space="preserve">的潜在投标人应在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年</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12</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:00</w:t>
            </w:r>
            <w:r>
              <w:rPr>
                <w:rFonts w:hint="eastAsia" w:ascii="宋体" w:hAnsi="宋体" w:eastAsia="宋体" w:cs="宋体"/>
                <w:sz w:val="24"/>
                <w:szCs w:val="24"/>
                <w:u w:val="single"/>
                <w:lang w:eastAsia="zh-CN"/>
              </w:rPr>
              <w:t xml:space="preserve">分</w:t>
            </w:r>
            <w:r>
              <w:rPr>
                <w:rFonts w:hint="eastAsia" w:ascii="宋体" w:hAnsi="宋体" w:eastAsia="宋体" w:cs="宋体"/>
                <w:sz w:val="24"/>
                <w:szCs w:val="24"/>
              </w:rPr>
              <w:t xml:space="preserve">（北京时间）前递交（上传）投标文件。</w:t>
            </w:r>
            <w:r/>
          </w:p>
        </w:tc>
      </w:tr>
    </w:tbl>
    <w:p>
      <w:pPr>
        <w:pStyle w:val="650"/>
        <w:ind w:left="0" w:right="0"/>
        <w:pageBreakBefore w:val="0"/>
        <w:spacing w:before="0" w:after="0" w:line="360" w:lineRule="auto"/>
        <w:widowControl w:val="off"/>
        <w:rPr>
          <w:rFonts w:hint="eastAsia" w:ascii="宋体" w:hAnsi="宋体" w:eastAsia="宋体" w:cs="宋体"/>
          <w:b w:val="0"/>
          <w:sz w:val="28"/>
          <w:szCs w:val="28"/>
        </w:rPr>
      </w:pPr>
      <w:r>
        <w:rPr>
          <w:rFonts w:hint="eastAsia" w:ascii="宋体" w:hAnsi="宋体" w:eastAsia="宋体" w:cs="宋体"/>
          <w:b w:val="0"/>
          <w:sz w:val="28"/>
          <w:szCs w:val="28"/>
        </w:rPr>
        <w:t xml:space="preserve">一、</w:t>
      </w:r>
      <w:r>
        <w:rPr>
          <w:rFonts w:hint="eastAsia" w:ascii="宋体" w:hAnsi="宋体" w:eastAsia="宋体" w:cs="宋体"/>
          <w:b/>
          <w:bCs w:val="0"/>
          <w:sz w:val="28"/>
          <w:szCs w:val="28"/>
        </w:rPr>
        <w:t xml:space="preserve">项目基本情况</w:t>
      </w:r>
      <w:r/>
    </w:p>
    <w:p>
      <w:pPr>
        <w:ind w:right="0"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val="en-US" w:eastAsia="zh-CN"/>
        </w:rPr>
        <w:t xml:space="preserve">JSZC-320723-HRGJ-G2026-0002 </w:t>
      </w:r>
      <w:r/>
    </w:p>
    <w:p>
      <w:pPr>
        <w:ind w:right="0"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灌云县高新区高级中学建设项目设备采购项目</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w:t>
      </w:r>
      <w:r>
        <w:rPr>
          <w:rFonts w:hint="eastAsia" w:ascii="宋体" w:hAnsi="宋体" w:eastAsia="宋体" w:cs="宋体"/>
          <w:color w:val="auto"/>
          <w:sz w:val="24"/>
          <w:szCs w:val="24"/>
          <w:lang w:val="en-US" w:eastAsia="zh-CN"/>
        </w:rPr>
        <w:t xml:space="preserve">220</w:t>
      </w:r>
      <w:r>
        <w:rPr>
          <w:rFonts w:hint="eastAsia" w:ascii="宋体" w:hAnsi="宋体" w:eastAsia="宋体" w:cs="宋体"/>
          <w:color w:val="auto"/>
          <w:sz w:val="24"/>
          <w:szCs w:val="24"/>
        </w:rPr>
        <w:t xml:space="preserve">万元</w:t>
      </w:r>
      <w:r/>
    </w:p>
    <w:p>
      <w:pPr>
        <w:ind w:right="0" w:firstLine="48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本项目设定最高限价，最高限价为2161606.31元，投标报价超过最高限价的视为无效标。</w:t>
      </w:r>
      <w:r/>
    </w:p>
    <w:p>
      <w:pPr>
        <w:ind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采购需求：</w:t>
      </w:r>
      <w:r>
        <w:rPr>
          <w:rFonts w:hint="eastAsia" w:ascii="宋体" w:hAnsi="宋体" w:eastAsia="宋体" w:cs="宋体"/>
          <w:sz w:val="24"/>
          <w:szCs w:val="24"/>
          <w:lang w:eastAsia="zh-CN"/>
        </w:rPr>
        <w:t xml:space="preserve">采</w:t>
      </w:r>
      <w:r>
        <w:rPr>
          <w:rFonts w:hint="eastAsia" w:ascii="宋体" w:hAnsi="宋体" w:eastAsia="宋体" w:cs="宋体"/>
          <w:color w:val="auto"/>
          <w:sz w:val="24"/>
          <w:szCs w:val="24"/>
          <w:lang w:eastAsia="zh-CN"/>
        </w:rPr>
        <w:t xml:space="preserve">购</w:t>
      </w:r>
      <w:r>
        <w:rPr>
          <w:rFonts w:hint="eastAsia" w:ascii="宋体" w:hAnsi="宋体" w:eastAsia="宋体" w:cs="宋体"/>
          <w:sz w:val="24"/>
          <w:szCs w:val="24"/>
        </w:rPr>
        <w:t xml:space="preserve">食堂</w:t>
      </w:r>
      <w:r>
        <w:rPr>
          <w:rFonts w:hint="eastAsia" w:ascii="宋体" w:hAnsi="宋体" w:eastAsia="宋体" w:cs="宋体"/>
          <w:color w:val="auto"/>
          <w:sz w:val="24"/>
          <w:szCs w:val="24"/>
          <w:lang w:eastAsia="zh-CN"/>
        </w:rPr>
        <w:t xml:space="preserve">相关</w:t>
      </w:r>
      <w:r>
        <w:rPr>
          <w:rFonts w:hint="eastAsia" w:ascii="宋体" w:hAnsi="宋体" w:eastAsia="宋体" w:cs="宋体"/>
          <w:color w:val="auto"/>
          <w:sz w:val="24"/>
          <w:szCs w:val="24"/>
        </w:rPr>
        <w:t xml:space="preserve">设备</w:t>
      </w:r>
      <w:r>
        <w:rPr>
          <w:rFonts w:hint="eastAsia" w:ascii="宋体" w:hAnsi="宋体" w:eastAsia="宋体" w:cs="宋体"/>
          <w:sz w:val="24"/>
          <w:szCs w:val="24"/>
        </w:rPr>
        <w:t xml:space="preserve">及安装</w:t>
      </w:r>
      <w:r>
        <w:rPr>
          <w:rFonts w:hint="eastAsia" w:ascii="宋体" w:hAnsi="宋体" w:eastAsia="宋体" w:cs="宋体"/>
          <w:sz w:val="24"/>
          <w:szCs w:val="24"/>
          <w:lang w:eastAsia="zh-CN"/>
        </w:rPr>
        <w:t xml:space="preserve">，具体详见</w:t>
      </w:r>
      <w:r>
        <w:rPr>
          <w:rFonts w:hint="eastAsia" w:ascii="宋体" w:hAnsi="宋体" w:eastAsia="宋体" w:cs="宋体"/>
          <w:color w:val="000000"/>
          <w:sz w:val="24"/>
          <w:szCs w:val="24"/>
        </w:rPr>
        <w:t xml:space="preserve">招标文件第四章。</w:t>
      </w:r>
      <w:r/>
    </w:p>
    <w:p>
      <w:pPr>
        <w:ind w:right="0"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对本项目资格要求、采购需求、评标方法与评标标准等部分的询问、质疑请与</w:t>
      </w:r>
      <w:r>
        <w:rPr>
          <w:rFonts w:hint="eastAsia" w:ascii="宋体" w:hAnsi="宋体" w:eastAsia="宋体" w:cs="宋体"/>
          <w:b/>
          <w:sz w:val="24"/>
          <w:szCs w:val="24"/>
          <w:lang w:eastAsia="zh-CN"/>
        </w:rPr>
        <w:t xml:space="preserve">招标人</w:t>
      </w:r>
      <w:r>
        <w:rPr>
          <w:rFonts w:hint="eastAsia" w:ascii="宋体" w:hAnsi="宋体" w:eastAsia="宋体" w:cs="宋体"/>
          <w:b/>
          <w:sz w:val="24"/>
          <w:szCs w:val="24"/>
        </w:rPr>
        <w:t xml:space="preserve">联系，由</w:t>
      </w:r>
      <w:r>
        <w:rPr>
          <w:rFonts w:hint="eastAsia" w:ascii="宋体" w:hAnsi="宋体" w:eastAsia="宋体" w:cs="宋体"/>
          <w:b/>
          <w:sz w:val="24"/>
          <w:szCs w:val="24"/>
          <w:lang w:eastAsia="zh-CN"/>
        </w:rPr>
        <w:t xml:space="preserve">招标人</w:t>
      </w:r>
      <w:r>
        <w:rPr>
          <w:rFonts w:hint="eastAsia" w:ascii="宋体" w:hAnsi="宋体" w:eastAsia="宋体" w:cs="宋体"/>
          <w:b/>
          <w:sz w:val="24"/>
          <w:szCs w:val="24"/>
        </w:rPr>
        <w:t xml:space="preserve">负责答复。</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sz w:val="24"/>
          <w:szCs w:val="24"/>
          <w:lang w:eastAsia="zh-CN"/>
        </w:rPr>
        <w:t xml:space="preserve">供货安装</w:t>
      </w:r>
      <w:r>
        <w:rPr>
          <w:rFonts w:hint="eastAsia" w:ascii="宋体" w:hAnsi="宋体" w:eastAsia="宋体" w:cs="宋体"/>
          <w:color w:val="auto"/>
          <w:sz w:val="24"/>
          <w:szCs w:val="24"/>
          <w:lang w:eastAsia="zh-CN"/>
        </w:rPr>
        <w:t xml:space="preserve">地点：招标人指定地点；</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合同履行期限：自合同签订之日起</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日内完成供货、安装、调试、验收合格并交付使用</w:t>
      </w:r>
      <w:r>
        <w:rPr>
          <w:rFonts w:hint="eastAsia" w:ascii="宋体" w:hAnsi="宋体" w:eastAsia="宋体" w:cs="宋体"/>
          <w:color w:val="auto"/>
          <w:sz w:val="24"/>
          <w:szCs w:val="24"/>
          <w:lang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本项目不接受联合体投标</w:t>
      </w:r>
      <w:r>
        <w:rPr>
          <w:rFonts w:hint="eastAsia" w:ascii="宋体" w:hAnsi="宋体" w:eastAsia="宋体" w:cs="宋体"/>
          <w:sz w:val="24"/>
          <w:szCs w:val="24"/>
          <w:lang w:eastAsia="zh-CN"/>
        </w:rPr>
        <w:t xml:space="preserve">。</w:t>
      </w:r>
      <w:r/>
    </w:p>
    <w:p>
      <w:pPr>
        <w:pStyle w:val="650"/>
        <w:ind w:left="0" w:right="0"/>
        <w:pageBreakBefore w:val="0"/>
        <w:spacing w:before="0" w:after="0" w:line="360" w:lineRule="auto"/>
        <w:widowControl w:val="off"/>
        <w:rPr>
          <w:rFonts w:hint="eastAsia" w:ascii="宋体" w:hAnsi="宋体" w:eastAsia="宋体" w:cs="宋体"/>
          <w:b w:val="0"/>
          <w:color w:val="auto"/>
          <w:sz w:val="28"/>
          <w:szCs w:val="28"/>
        </w:rPr>
      </w:pPr>
      <w:r>
        <w:rPr>
          <w:rFonts w:hint="eastAsia" w:ascii="宋体" w:hAnsi="宋体" w:eastAsia="宋体" w:cs="宋体"/>
          <w:b w:val="0"/>
          <w:color w:val="auto"/>
          <w:sz w:val="28"/>
          <w:szCs w:val="28"/>
        </w:rPr>
        <w:t xml:space="preserve">二、</w:t>
      </w:r>
      <w:r>
        <w:rPr>
          <w:rFonts w:hint="eastAsia" w:ascii="宋体" w:hAnsi="宋体" w:eastAsia="宋体" w:cs="宋体"/>
          <w:b/>
          <w:bCs w:val="0"/>
          <w:color w:val="auto"/>
          <w:sz w:val="28"/>
          <w:szCs w:val="28"/>
        </w:rPr>
        <w:t xml:space="preserve">申请人的资格要求</w:t>
      </w:r>
      <w:r/>
    </w:p>
    <w:p>
      <w:pPr>
        <w:ind w:left="0" w:right="0"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满足《中华人民共和国政府采购法》第二十二条规定，并提供下列材料：</w:t>
      </w:r>
      <w:r/>
    </w:p>
    <w:p>
      <w:pPr>
        <w:ind w:left="0" w:right="0"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left="0" w:right="0"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具有良好的商业信誉和健全的财务会计制度；</w:t>
      </w:r>
      <w:r/>
    </w:p>
    <w:p>
      <w:pPr>
        <w:ind w:left="0" w:right="0"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依法缴纳税收和社会保障资金的相关材料；</w:t>
      </w:r>
      <w:r/>
    </w:p>
    <w:p>
      <w:pPr>
        <w:ind w:left="0" w:right="0"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具备履行合同所必需的设备和专业技术能力的书面声明；</w:t>
      </w:r>
      <w:r/>
    </w:p>
    <w:p>
      <w:pPr>
        <w:ind w:left="0" w:right="0"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参加政府采购活动前三年内在经营活动中没有重大违法记录的书面声明；</w:t>
      </w:r>
      <w:r/>
    </w:p>
    <w:p>
      <w:pPr>
        <w:ind w:right="0"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根据连财购〔2023〕4号文件精神，第</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、3项可以提供《财务状况报告及税收、社会保障资金缴纳情况承诺函》，详见</w:t>
      </w:r>
      <w:r>
        <w:rPr>
          <w:rFonts w:hint="eastAsia" w:ascii="宋体" w:hAnsi="宋体" w:eastAsia="宋体" w:cs="宋体"/>
          <w:b/>
          <w:bCs/>
          <w:sz w:val="24"/>
          <w:szCs w:val="24"/>
          <w:lang w:eastAsia="zh-CN"/>
        </w:rPr>
        <w:t xml:space="preserve">招标</w:t>
      </w:r>
      <w:r>
        <w:rPr>
          <w:rFonts w:hint="eastAsia" w:ascii="宋体" w:hAnsi="宋体" w:eastAsia="宋体" w:cs="宋体"/>
          <w:b/>
          <w:bCs/>
          <w:sz w:val="24"/>
          <w:szCs w:val="24"/>
        </w:rPr>
        <w:t xml:space="preserve">文件格式。</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落实政府采购政策需满足的资格要求：</w:t>
      </w:r>
      <w:r/>
    </w:p>
    <w:p>
      <w:pPr>
        <w:ind w:left="0" w:right="0" w:firstLine="480"/>
        <w:jc w:val="left"/>
        <w:keepLines w:val="0"/>
        <w:keepNext w:val="0"/>
        <w:pageBreakBefore w:val="0"/>
        <w:spacing w:line="360" w:lineRule="auto"/>
        <w:widowControl w:val="off"/>
        <w:rPr>
          <w:rFonts w:hint="eastAsia" w:ascii="宋体" w:hAnsi="宋体" w:eastAsia="宋体" w:cs="宋体"/>
          <w:b/>
          <w:bCs/>
          <w:strike w:val="0"/>
          <w:color w:val="auto"/>
          <w:sz w:val="24"/>
          <w:szCs w:val="24"/>
          <w:lang w:val="en-US" w:eastAsia="zh-CN"/>
        </w:rPr>
      </w:pPr>
      <w:r>
        <w:rPr>
          <w:rFonts w:hint="eastAsia" w:ascii="宋体" w:hAnsi="宋体" w:eastAsia="宋体" w:cs="宋体"/>
          <w:b/>
          <w:bCs/>
          <w:strike w:val="0"/>
          <w:color w:val="auto"/>
          <w:sz w:val="24"/>
          <w:szCs w:val="24"/>
          <w:lang w:val="en-US" w:eastAsia="zh-CN"/>
        </w:rPr>
        <w:t xml:space="preserve">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投标无效</w:t>
      </w:r>
      <w:r>
        <w:rPr>
          <w:rFonts w:hint="eastAsia" w:ascii="宋体" w:hAnsi="宋体" w:eastAsia="宋体" w:cs="宋体"/>
          <w:b/>
          <w:bCs/>
          <w:strike w:val="0"/>
          <w:color w:val="auto"/>
          <w:sz w:val="24"/>
          <w:szCs w:val="24"/>
          <w:lang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三</w:t>
      </w:r>
      <w:r>
        <w:rPr>
          <w:rFonts w:hint="eastAsia" w:ascii="宋体" w:hAnsi="宋体" w:eastAsia="宋体" w:cs="宋体"/>
          <w:sz w:val="24"/>
          <w:szCs w:val="24"/>
        </w:rPr>
        <w:t xml:space="preserve">）本项目的特定资格要求：</w:t>
      </w:r>
      <w:r/>
    </w:p>
    <w:p>
      <w:pPr>
        <w:ind w:left="0" w:right="0" w:firstLine="482"/>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资格审查现场查询信用中国，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left="0" w:right="0" w:firstLine="480"/>
        <w:jc w:val="left"/>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2.单位负责人为同一人或者存在直接控股、管理关系的不同供应商，不得参加同一合同项下的政府采购活动。</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3.若投标人法定代表人参与投标，则仅需提供法定代表人身份证；若授权代理人参与投标，则需提供企业法人委托书、授权人身份证、被授权人身份证</w:t>
      </w:r>
      <w:r>
        <w:rPr>
          <w:rFonts w:hint="eastAsia" w:ascii="宋体" w:hAnsi="宋体" w:eastAsia="宋体" w:cs="宋体"/>
          <w:sz w:val="24"/>
          <w:szCs w:val="24"/>
        </w:rPr>
        <w:t xml:space="preserve">。</w:t>
      </w:r>
      <w:r/>
    </w:p>
    <w:p>
      <w:pPr>
        <w:ind w:left="0" w:right="0" w:firstLine="480"/>
        <w:jc w:val="left"/>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4.本项目不接受进口产品（进口产品是指通过中国海关报关验放进入中国境内且产自关境外的产品）投标，中标后不允许分包或转包。</w:t>
      </w:r>
      <w:r/>
    </w:p>
    <w:p>
      <w:pPr>
        <w:pStyle w:val="650"/>
        <w:ind w:left="0" w:right="0"/>
        <w:pageBreakBefore w:val="0"/>
        <w:spacing w:before="0" w:after="0" w:line="360" w:lineRule="auto"/>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三、获取招标文件</w:t>
      </w:r>
      <w:r/>
    </w:p>
    <w:p>
      <w:pPr>
        <w:ind w:left="0" w:right="0" w:firstLine="480"/>
        <w:jc w:val="left"/>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时间：自招标文件公告发布之日起</w:t>
      </w:r>
      <w:r>
        <w:rPr>
          <w:rFonts w:hint="eastAsia" w:ascii="宋体" w:hAnsi="宋体" w:eastAsia="宋体" w:cs="宋体"/>
          <w:sz w:val="24"/>
          <w:szCs w:val="24"/>
          <w:lang w:val="en-US" w:eastAsia="zh-CN"/>
        </w:rPr>
        <w:t xml:space="preserve">5个工作日</w:t>
      </w:r>
      <w:r>
        <w:rPr>
          <w:rFonts w:hint="eastAsia" w:ascii="宋体" w:hAnsi="宋体" w:eastAsia="宋体" w:cs="宋体"/>
          <w:sz w:val="24"/>
          <w:szCs w:val="24"/>
          <w:lang w:eastAsia="zh-CN"/>
        </w:rPr>
        <w:t xml:space="preserve">。</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方式：在“江苏政府采购网”自行免费下载招标文件。</w:t>
      </w:r>
      <w:r/>
    </w:p>
    <w:p>
      <w:pPr>
        <w:pStyle w:val="650"/>
        <w:ind w:left="0" w:right="0"/>
        <w:pageBreakBefore w:val="0"/>
        <w:spacing w:before="0" w:after="0" w:line="360" w:lineRule="auto"/>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四、提交投标文件截止时间、开标时间和地点</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年</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12</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10点</w:t>
      </w:r>
      <w:r>
        <w:rPr>
          <w:rFonts w:hint="eastAsia" w:ascii="宋体" w:hAnsi="宋体" w:eastAsia="宋体" w:cs="宋体"/>
          <w:sz w:val="24"/>
          <w:szCs w:val="24"/>
          <w:u w:val="single"/>
        </w:rPr>
        <w:t xml:space="preserve">00</w:t>
      </w:r>
      <w:r>
        <w:rPr>
          <w:rFonts w:hint="eastAsia" w:ascii="宋体" w:hAnsi="宋体" w:eastAsia="宋体" w:cs="宋体"/>
          <w:sz w:val="24"/>
          <w:szCs w:val="24"/>
          <w:u w:val="single"/>
          <w:lang w:eastAsia="zh-CN"/>
        </w:rPr>
        <w:t xml:space="preserve">分</w:t>
      </w:r>
      <w:r>
        <w:rPr>
          <w:rFonts w:hint="eastAsia" w:ascii="宋体" w:hAnsi="宋体" w:eastAsia="宋体" w:cs="宋体"/>
          <w:sz w:val="24"/>
          <w:szCs w:val="24"/>
        </w:rPr>
        <w:t xml:space="preserve">（北京时间）</w:t>
      </w:r>
      <w:r/>
    </w:p>
    <w:p>
      <w:pPr>
        <w:ind w:left="0" w:right="0" w:firstLine="480"/>
        <w:jc w:val="left"/>
        <w:pageBreakBefore w:val="0"/>
        <w:spacing w:line="360" w:lineRule="auto"/>
        <w:widowControl w:val="off"/>
        <w:rPr>
          <w:rFonts w:hint="eastAsia" w:ascii="宋体" w:hAnsi="宋体" w:eastAsia="宋体" w:cs="宋体"/>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开标地点：“苏采云”政府采购交易系统网上开标大厅</w:t>
      </w:r>
      <w:r>
        <w:rPr>
          <w:rFonts w:hint="eastAsia" w:ascii="宋体" w:hAnsi="宋体" w:eastAsia="宋体" w:cs="宋体"/>
          <w:sz w:val="24"/>
          <w:szCs w:val="24"/>
          <w:lang w:eastAsia="zh-CN"/>
        </w:rPr>
        <w:t xml:space="preserve">。</w:t>
      </w:r>
      <w:r/>
    </w:p>
    <w:p>
      <w:pPr>
        <w:pStyle w:val="650"/>
        <w:ind w:left="0" w:right="0"/>
        <w:pageBreakBefore w:val="0"/>
        <w:spacing w:before="0" w:after="0" w:line="360" w:lineRule="auto"/>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五、公告期限</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650"/>
        <w:ind w:left="0" w:right="0"/>
        <w:pageBreakBefore w:val="0"/>
        <w:spacing w:before="0" w:after="0" w:line="360" w:lineRule="auto"/>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六、其他补充事宜</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1.本次招标不收取投标保证金。</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2.本招标文件中标注★号的部分为实质性要求和条件，由</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人根据实际情况设置，投标人须逐条明确作出满足实质性要求和条件的响应，否则将按无效响应处理。</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3.无论出于何种原因，</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人及其委托的</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right="0"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http://www.ccgp-jiangsu.gov.cn/jiangsu/zlxz/ee/ee3a4bc5a3454aa2b0d9312230633ce9.html</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50"/>
        <w:ind w:left="0" w:right="0"/>
        <w:pageBreakBefore w:val="0"/>
        <w:spacing w:before="0" w:after="0" w:line="360" w:lineRule="auto"/>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七、对本次招标提出询问，请按以下方式联系</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信息</w:t>
      </w:r>
      <w:r/>
    </w:p>
    <w:p>
      <w:pPr>
        <w:ind w:left="0" w:right="0" w:firstLine="480"/>
        <w:jc w:val="left"/>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灌云县教育局</w:t>
      </w:r>
      <w:r/>
    </w:p>
    <w:p>
      <w:pPr>
        <w:ind w:left="0" w:right="0" w:firstLine="480"/>
        <w:jc w:val="left"/>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地址：连云港</w:t>
      </w:r>
      <w:r>
        <w:rPr>
          <w:rFonts w:hint="eastAsia" w:ascii="宋体" w:hAnsi="宋体" w:eastAsia="宋体" w:cs="宋体"/>
          <w:sz w:val="24"/>
          <w:szCs w:val="24"/>
          <w:lang w:eastAsia="zh-CN"/>
        </w:rPr>
        <w:t xml:space="preserve">市灌云县</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信息</w:t>
      </w:r>
      <w:r/>
    </w:p>
    <w:p>
      <w:pPr>
        <w:ind w:left="0" w:right="0" w:firstLine="480"/>
        <w:jc w:val="left"/>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华瑞国际工程咨询集团有限公司</w:t>
      </w:r>
      <w:r/>
    </w:p>
    <w:p>
      <w:pPr>
        <w:ind w:left="0" w:right="0" w:firstLine="480"/>
        <w:jc w:val="left"/>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地址：连云港市海州区海连东路9号商务大厦15楼</w:t>
      </w:r>
      <w:r/>
    </w:p>
    <w:p>
      <w:pPr>
        <w:ind w:left="0" w:right="0" w:firstLine="480"/>
        <w:jc w:val="left"/>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eastAsia="zh-CN"/>
        </w:rPr>
        <w:t xml:space="preserve">朱工</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联系电话：15251212583</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left="0" w:right="0" w:firstLine="480"/>
        <w:jc w:val="left"/>
        <w:pageBreakBefore w:val="0"/>
        <w:spacing w:line="360" w:lineRule="auto"/>
        <w:widowControl w:val="off"/>
        <w:rPr>
          <w:rFonts w:hint="default" w:ascii="宋体" w:hAnsi="宋体" w:eastAsia="宋体" w:cs="宋体"/>
          <w:sz w:val="24"/>
          <w:szCs w:val="24"/>
          <w:lang w:val="en-US"/>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谷主任</w:t>
      </w:r>
      <w:r/>
    </w:p>
    <w:p>
      <w:pPr>
        <w:ind w:left="0" w:right="0" w:firstLine="480"/>
        <w:jc w:val="left"/>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联系方式</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0518-88822909</w:t>
      </w:r>
      <w:r/>
    </w:p>
    <w:p>
      <w:pPr>
        <w:ind w:left="0" w:right="0" w:firstLine="480"/>
        <w:jc w:val="left"/>
        <w:pageBreakBefore w:val="0"/>
        <w:spacing w:line="490" w:lineRule="exact"/>
        <w:rPr>
          <w:rFonts w:hint="eastAsia" w:ascii="宋体" w:hAnsi="宋体" w:eastAsia="宋体" w:cs="宋体"/>
          <w:sz w:val="24"/>
          <w:szCs w:val="24"/>
        </w:rPr>
      </w:pPr>
      <w:r>
        <w:rPr>
          <w:rFonts w:hint="eastAsia" w:ascii="宋体" w:hAnsi="宋体" w:eastAsia="宋体" w:cs="宋体"/>
          <w:sz w:val="24"/>
          <w:szCs w:val="24"/>
        </w:rPr>
      </w:r>
      <w:r/>
    </w:p>
    <w:p>
      <w:pPr>
        <w:ind w:left="0" w:right="0"/>
        <w:jc w:val="left"/>
        <w:pageBreakBefore w:val="0"/>
        <w:spacing w:line="490" w:lineRule="exact"/>
        <w:widowControl/>
        <w:rPr>
          <w:rFonts w:hint="eastAsia" w:ascii="宋体" w:hAnsi="宋体" w:eastAsia="宋体" w:cs="宋体"/>
          <w:bCs/>
          <w:sz w:val="44"/>
          <w:szCs w:val="44"/>
        </w:rPr>
      </w:pPr>
      <w:r/>
      <w:bookmarkStart w:id="13" w:name="_Toc155796357"/>
      <w:r>
        <w:rPr>
          <w:rFonts w:hint="eastAsia" w:ascii="宋体" w:hAnsi="宋体" w:eastAsia="宋体" w:cs="宋体"/>
          <w:b/>
        </w:rPr>
        <w:br w:type="page" w:clear="all"/>
      </w:r>
      <w:r/>
    </w:p>
    <w:p>
      <w:pPr>
        <w:pStyle w:val="649"/>
        <w:ind w:left="0" w:right="0"/>
        <w:jc w:val="center"/>
        <w:pageBreakBefore w:val="0"/>
        <w:spacing w:before="0" w:after="0" w:line="490" w:lineRule="exact"/>
        <w:rPr>
          <w:rFonts w:hint="eastAsia" w:ascii="宋体" w:hAnsi="宋体" w:eastAsia="宋体" w:cs="宋体"/>
          <w:b w:val="0"/>
        </w:rPr>
      </w:pPr>
      <w:r>
        <w:rPr>
          <w:rFonts w:hint="eastAsia" w:ascii="宋体" w:hAnsi="宋体" w:eastAsia="宋体" w:cs="宋体"/>
          <w:b w:val="0"/>
        </w:rPr>
        <w:t xml:space="preserve">第二章  投标人须知</w:t>
      </w:r>
      <w:bookmarkEnd w:id="13"/>
      <w:r/>
      <w:r/>
    </w:p>
    <w:p>
      <w:pPr>
        <w:pStyle w:val="650"/>
        <w:ind w:left="0" w:right="0"/>
        <w:pageBreakBefore w:val="0"/>
        <w:spacing w:before="0" w:after="0" w:line="480" w:lineRule="exact"/>
        <w:widowControl w:val="off"/>
        <w:rPr>
          <w:rFonts w:hint="eastAsia" w:ascii="宋体" w:hAnsi="宋体" w:eastAsia="宋体" w:cs="宋体"/>
          <w:b w:val="0"/>
        </w:rPr>
      </w:pPr>
      <w:r>
        <w:rPr>
          <w:rFonts w:hint="eastAsia" w:ascii="宋体" w:hAnsi="宋体" w:eastAsia="宋体" w:cs="宋体"/>
          <w:b w:val="0"/>
        </w:rPr>
        <w:t xml:space="preserve">一、总则</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1、采购方式</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2、合格的投标人</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3、适用法律</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4、投标费用</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投标人应自行承担所有与参与投标有关的费用，无论投标过程中的做法和结果如何，</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和</w:t>
      </w:r>
      <w:r>
        <w:rPr>
          <w:rFonts w:hint="eastAsia" w:ascii="宋体" w:hAnsi="宋体" w:eastAsia="宋体" w:cs="宋体"/>
          <w:sz w:val="24"/>
          <w:szCs w:val="24"/>
          <w:lang w:eastAsia="zh-CN"/>
        </w:rPr>
        <w:t xml:space="preserve">华瑞国际工程咨询集团有限公司</w:t>
      </w:r>
      <w:r>
        <w:rPr>
          <w:rFonts w:hint="eastAsia" w:ascii="宋体" w:hAnsi="宋体" w:eastAsia="宋体" w:cs="宋体"/>
          <w:sz w:val="24"/>
          <w:szCs w:val="24"/>
        </w:rPr>
        <w:t xml:space="preserve">（以下简称</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）在任何情况下均无义务和责任承担这些费用。</w:t>
      </w:r>
      <w:r/>
    </w:p>
    <w:p>
      <w:pPr>
        <w:ind w:left="0" w:right="0" w:firstLine="480"/>
        <w:jc w:val="left"/>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 本项目的招标</w:t>
      </w:r>
      <w:r>
        <w:rPr>
          <w:rFonts w:hint="eastAsia" w:ascii="宋体" w:hAnsi="宋体" w:eastAsia="宋体" w:cs="宋体"/>
          <w:color w:val="auto"/>
          <w:sz w:val="24"/>
          <w:szCs w:val="24"/>
          <w:lang w:eastAsia="zh-CN"/>
        </w:rPr>
        <w:t xml:space="preserve">代理</w:t>
      </w:r>
      <w:r>
        <w:rPr>
          <w:rFonts w:hint="eastAsia" w:ascii="宋体" w:hAnsi="宋体" w:eastAsia="宋体" w:cs="宋体"/>
          <w:color w:val="auto"/>
          <w:sz w:val="24"/>
          <w:szCs w:val="24"/>
        </w:rPr>
        <w:t xml:space="preserve">服务费按“苏招协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2022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002《江苏省招标代理服务收费指导价》”标准</w:t>
      </w:r>
      <w:r>
        <w:rPr>
          <w:rFonts w:hint="eastAsia" w:ascii="宋体" w:hAnsi="宋体" w:eastAsia="宋体" w:cs="宋体"/>
          <w:color w:val="auto"/>
          <w:sz w:val="24"/>
          <w:szCs w:val="24"/>
          <w:lang w:val="en-US" w:eastAsia="zh-CN"/>
        </w:rPr>
        <w:t xml:space="preserve">收费</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lang w:val="en-US" w:eastAsia="zh-CN"/>
        </w:rPr>
        <w:t xml:space="preserve">37%</w:t>
      </w:r>
      <w:r>
        <w:rPr>
          <w:rFonts w:hint="eastAsia" w:ascii="宋体" w:hAnsi="宋体" w:eastAsia="宋体" w:cs="宋体"/>
          <w:color w:val="auto"/>
          <w:sz w:val="24"/>
          <w:szCs w:val="24"/>
        </w:rPr>
        <w:t xml:space="preserve">计取；由中标人在领取中标通知书时一次性支付；投标单位须将此部分费用综合考虑在投标报价中，不得单列。</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5、招标文件的约束力</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pStyle w:val="650"/>
        <w:ind w:left="0" w:right="0"/>
        <w:pageBreakBefore w:val="0"/>
        <w:spacing w:before="0" w:after="0" w:line="480" w:lineRule="exact"/>
        <w:widowControl w:val="off"/>
        <w:rPr>
          <w:rFonts w:hint="eastAsia" w:ascii="宋体" w:hAnsi="宋体" w:eastAsia="宋体" w:cs="宋体"/>
          <w:b w:val="0"/>
        </w:rPr>
      </w:pPr>
      <w:r>
        <w:rPr>
          <w:rFonts w:hint="eastAsia" w:ascii="宋体" w:hAnsi="宋体" w:eastAsia="宋体" w:cs="宋体"/>
          <w:b w:val="0"/>
        </w:rPr>
        <w:t xml:space="preserve">二、招标文件</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6、招标文件的构成</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 招标文件由以下部分构成：</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7、招标文件的澄清</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或者</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8、招标文件的修改</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8.1 在投标截止时间前，</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和</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可以对招标文件进行修改。</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8.2 </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和</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有权按照法定的要求推迟投标截止时间和开标时间。</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650"/>
        <w:ind w:left="0" w:right="0"/>
        <w:pageBreakBefore w:val="0"/>
        <w:spacing w:before="0" w:after="0" w:line="480" w:lineRule="exact"/>
        <w:widowControl w:val="off"/>
        <w:rPr>
          <w:rFonts w:hint="eastAsia" w:ascii="宋体" w:hAnsi="宋体" w:eastAsia="宋体" w:cs="宋体"/>
          <w:b w:val="0"/>
        </w:rPr>
      </w:pPr>
      <w:r>
        <w:rPr>
          <w:rFonts w:hint="eastAsia" w:ascii="宋体" w:hAnsi="宋体" w:eastAsia="宋体" w:cs="宋体"/>
          <w:b w:val="0"/>
        </w:rPr>
        <w:t xml:space="preserve">三、投标文件编制</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9、投标文件编写注意事项</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对招标文件提出的实质性要求和条件作出响应是指投标人必须对招标文件中标明实质性要求和条件的技术参数等内容逐条作出满足原要求和条件的响应。</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10、投标文件的语言及度量衡单位</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和</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11、投标文件的构成</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12、证明投标人及投标标的符合招标文件规定的文件</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pStyle w:val="651"/>
        <w:ind w:left="0" w:right="0" w:firstLine="562"/>
        <w:jc w:val="left"/>
        <w:pageBreakBefore w:val="0"/>
        <w:spacing w:before="0" w:after="0" w:line="480" w:lineRule="exact"/>
        <w:widowControl w:val="off"/>
        <w:rPr>
          <w:rFonts w:hint="eastAsia" w:ascii="宋体" w:hAnsi="宋体" w:eastAsia="宋体" w:cs="宋体"/>
        </w:rPr>
      </w:pPr>
      <w:r>
        <w:rPr>
          <w:rFonts w:hint="eastAsia" w:ascii="宋体" w:hAnsi="宋体" w:eastAsia="宋体" w:cs="宋体"/>
          <w:sz w:val="28"/>
          <w:szCs w:val="28"/>
        </w:rPr>
        <w:t xml:space="preserve">13、投标分项报价表</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 投标人应根据投标报价要求在投标分项报价表中列明各项投标单价、总价等，未全部列示的作无效响应处理。</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 投标文件中的单价和总价无特殊规定的采用人民币报价，以元为单位标注。招标文件中另有规定的按规定执行。</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14、技术要求响应及偏离表、商务要求响应及偏离表</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15、服务承诺、培训计划、人员安排及其他</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16、投标函和开标一览表</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17、投标有效期</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17.2 在特殊情况下，</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pStyle w:val="650"/>
        <w:ind w:left="0" w:right="0"/>
        <w:pageBreakBefore w:val="0"/>
        <w:spacing w:before="0" w:after="0" w:line="480" w:lineRule="exact"/>
        <w:widowControl w:val="off"/>
        <w:rPr>
          <w:rFonts w:hint="eastAsia" w:ascii="宋体" w:hAnsi="宋体" w:eastAsia="宋体" w:cs="宋体"/>
          <w:b w:val="0"/>
        </w:rPr>
      </w:pPr>
      <w:r>
        <w:rPr>
          <w:rFonts w:hint="eastAsia" w:ascii="宋体" w:hAnsi="宋体" w:eastAsia="宋体" w:cs="宋体"/>
          <w:b w:val="0"/>
        </w:rPr>
        <w:t xml:space="preserve">四、投标文件递交</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18、电子投标文件的递交</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19、投标截止时间</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19.2 </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和</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20、投标文件的拒收</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拒绝接收在招标文件规定的投标截止时间后递交（上传）的任何投标文件。</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21、投标文件的撤回和修改</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pStyle w:val="650"/>
        <w:ind w:left="0" w:right="0"/>
        <w:pageBreakBefore w:val="0"/>
        <w:spacing w:before="0" w:after="0" w:line="480" w:lineRule="exact"/>
        <w:widowControl w:val="off"/>
        <w:rPr>
          <w:rFonts w:hint="eastAsia" w:ascii="宋体" w:hAnsi="宋体" w:eastAsia="宋体" w:cs="宋体"/>
          <w:b w:val="0"/>
        </w:rPr>
      </w:pPr>
      <w:r>
        <w:rPr>
          <w:rFonts w:hint="eastAsia" w:ascii="宋体" w:hAnsi="宋体" w:eastAsia="宋体" w:cs="宋体"/>
          <w:b w:val="0"/>
        </w:rPr>
        <w:t xml:space="preserve">五、开标与评标</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22、开标</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将在招标公告中规定的时间和地点组织公开开标。投标人应当按时参加开标活动，并在“苏采云”系统规定的时间内对其投标文件进行解密。</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22.2 开标仪式由</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组织。“苏采云”系统将自动对项目进行开标，并宣布各投标人名称和投标价格。</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22.6 投标人在开标、评标全过程中应保持通讯畅通，及时登录“苏采云”系统查阅、答复相关信息，并安排专人与</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及评委会联系。</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23、评标委员会</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23.1 开标后，</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将组织评委会进行评标。</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 评委会由</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代表和有关技术、经济等方面的评审专家组成，且人员构成符合政府采购有关规定。</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23.3 评委会按照</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规定的评审程序、评审方法和评审标准进行独立评审并确定中标候选人。</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24、评标过程的保密与公正</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、评审专家、</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均不得向投标人或与评标无关的其他人员透露。</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和评委会不向未中标的投标人解释未中标原因，也不公布评标过程中的相关细节。</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25、投标文件的澄清</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25.2 需要</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进行澄清、说明或者补正的，评委会将通过“苏采云”系统向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发出“澄清要求函”，接到“澄清要求函”的投标人应当按照要求在“苏采云”系统中提交“澄清响应函”，并加盖CA电子公章。澄清、说明或者补正的内容作为投标文件的补充部分，具体操作方法见《操作手册》。</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26、对投标文件的初审</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（1）资格审查：</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依据法律法规和招标文件的规定，对投标文件中的资格证明文件进行审查。资格审查的结论，</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以书面形式向评委会进行反馈。</w:t>
      </w:r>
      <w:r/>
    </w:p>
    <w:p>
      <w:pPr>
        <w:ind w:left="0" w:right="0" w:firstLine="482"/>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在进行资格审查的同时，将在信用中国网站查询投标人的信用记录，以确定投标人是否具备投标资格，查询结果留存并归档。</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的身份共同参与政府采购活动的，联合体成员中任何一方存在不良信用记录的，视同联合体存在不良信用记录。</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（2）符合性审查：评委会依据招标文件的规定，从投标文件的有效性、完整性和对招标文件的响应程度进行审查，以确定其是否对招标文件的全部实质性要求作出响应。</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left="0" w:right="-315" w:firstLine="482"/>
        <w:jc w:val="left"/>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26.7 异常低价投标审查</w:t>
      </w:r>
      <w:r/>
    </w:p>
    <w:p>
      <w:pPr>
        <w:ind w:left="0" w:right="-315" w:firstLine="482"/>
        <w:jc w:val="left"/>
        <w:keepLines w:val="0"/>
        <w:keepNext w:val="0"/>
        <w:pageBreakBefore w:val="0"/>
        <w:spacing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（一）政府采购评审中出现下列情形之一的，评审委员会应当启动异常低价投标审查程序：</w:t>
      </w:r>
      <w:r/>
    </w:p>
    <w:p>
      <w:pPr>
        <w:ind w:left="0" w:right="-315" w:firstLine="482"/>
        <w:jc w:val="left"/>
        <w:keepLines w:val="0"/>
        <w:keepNext w:val="0"/>
        <w:pageBreakBefore w:val="0"/>
        <w:spacing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1.投标报价低于全部通过符合性审查供应商投标报价平均值65%的，即投标报价&lt;全部通过符合性审查供应商投标报价平均值×65%；</w:t>
      </w:r>
      <w:r/>
    </w:p>
    <w:p>
      <w:pPr>
        <w:ind w:left="0" w:right="-315" w:firstLine="482"/>
        <w:jc w:val="left"/>
        <w:keepLines w:val="0"/>
        <w:keepNext w:val="0"/>
        <w:pageBreakBefore w:val="0"/>
        <w:spacing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2.投标报价低于通过符合性审查的次低报价供应商投标报价65%的，即投标报价&lt;通过符合性审查的次低报价供应商投标报价×65%；</w:t>
      </w:r>
      <w:r/>
    </w:p>
    <w:p>
      <w:pPr>
        <w:ind w:left="0" w:right="-315" w:firstLine="482"/>
        <w:jc w:val="left"/>
        <w:keepLines w:val="0"/>
        <w:keepNext w:val="0"/>
        <w:pageBreakBefore w:val="0"/>
        <w:spacing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3.投标报价低于采购项目最高限价65%的，即投标报价&lt;采购项目最高限价×65%；</w:t>
      </w:r>
      <w:r/>
    </w:p>
    <w:p>
      <w:pPr>
        <w:ind w:left="0" w:right="-315" w:firstLine="482"/>
        <w:jc w:val="left"/>
        <w:keepLines w:val="0"/>
        <w:keepNext w:val="0"/>
        <w:pageBreakBefore w:val="0"/>
        <w:spacing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4.评审委员会基于专业判断，认为供应商报价过低，有可能影响产品质量或者不能诚信履约的其他情形。</w:t>
      </w:r>
      <w:r/>
    </w:p>
    <w:p>
      <w:pPr>
        <w:ind w:left="0" w:right="-315" w:firstLine="482"/>
        <w:jc w:val="left"/>
        <w:keepLines w:val="0"/>
        <w:keepNext w:val="0"/>
        <w:pageBreakBefore w:val="0"/>
        <w:spacing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right="-315" w:firstLine="482"/>
        <w:jc w:val="left"/>
        <w:keepLines w:val="0"/>
        <w:keepNext w:val="0"/>
        <w:pageBreakBefore w:val="0"/>
        <w:spacing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315" w:firstLine="482"/>
        <w:jc w:val="left"/>
        <w:keepLines w:val="0"/>
        <w:keepNext w:val="0"/>
        <w:pageBreakBefore w:val="0"/>
        <w:spacing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315" w:firstLine="482"/>
        <w:jc w:val="left"/>
        <w:keepLines w:val="0"/>
        <w:keepNext w:val="0"/>
        <w:pageBreakBefore w:val="0"/>
        <w:spacing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27、无效投标条款和废标条款</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left="0" w:right="0" w:firstLine="480"/>
        <w:jc w:val="left"/>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.1.1 投标人在苏采云系统规定的时间内未成功解密电子投标文件的。</w:t>
      </w:r>
      <w:r/>
    </w:p>
    <w:p>
      <w:pPr>
        <w:ind w:left="0" w:right="0" w:firstLine="480"/>
        <w:jc w:val="left"/>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.1.2 投标人未按照招标文件要求上传电子投标文件的。</w:t>
      </w:r>
      <w:r/>
    </w:p>
    <w:p>
      <w:pPr>
        <w:ind w:left="0" w:right="0" w:firstLine="480"/>
        <w:jc w:val="left"/>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.1.3 投标人同一采购包提交两个（含两个）以上不同的投标报价的。</w:t>
      </w:r>
      <w:r/>
    </w:p>
    <w:p>
      <w:pPr>
        <w:ind w:left="0" w:right="0" w:firstLine="480"/>
        <w:jc w:val="left"/>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.1.4投标人不具备招标文件中规定资格要求的。</w:t>
      </w:r>
      <w:r/>
    </w:p>
    <w:p>
      <w:pPr>
        <w:ind w:left="0" w:right="0" w:firstLine="480"/>
        <w:jc w:val="left"/>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.1.5投标人的报价超过了采购预算或最高限价的。</w:t>
      </w:r>
      <w:r/>
    </w:p>
    <w:p>
      <w:pPr>
        <w:ind w:left="0" w:right="0" w:firstLine="480"/>
        <w:jc w:val="left"/>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.1.6未通过符合性审查的。</w:t>
      </w:r>
      <w:r/>
    </w:p>
    <w:p>
      <w:pPr>
        <w:ind w:left="0" w:right="0" w:firstLine="480"/>
        <w:jc w:val="left"/>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.1.7不符合招标文件中规定的实质性要求的（本招标文件中斜体且有下划线部分或加★号条款为实质性要求）</w:t>
      </w:r>
      <w:r/>
    </w:p>
    <w:p>
      <w:pPr>
        <w:ind w:left="0" w:right="0" w:firstLine="480"/>
        <w:jc w:val="left"/>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left"/>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.1.9  投标文件含有采购人不能接受的附加条件的。</w:t>
      </w:r>
      <w:r/>
    </w:p>
    <w:p>
      <w:pPr>
        <w:ind w:left="0" w:right="0" w:firstLine="480"/>
        <w:jc w:val="left"/>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.1.10 评标委员会按照本招标文件规定对投标人进行异常低价投标审查后，认为投标人不能证明其报价合理性的。</w:t>
      </w:r>
      <w:r/>
    </w:p>
    <w:p>
      <w:pPr>
        <w:ind w:left="0" w:right="0" w:firstLine="480"/>
        <w:jc w:val="left"/>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left"/>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.1.12 投标文件未按照招标文件要求加盖CA电子公章的。</w:t>
      </w:r>
      <w:r/>
    </w:p>
    <w:p>
      <w:pPr>
        <w:ind w:left="0" w:right="0" w:firstLine="480"/>
        <w:jc w:val="left"/>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.1.13 投标人所投标产品不符合招标文件中所列国家强制性标准的。</w:t>
      </w:r>
      <w:r/>
    </w:p>
    <w:p>
      <w:pPr>
        <w:ind w:left="0" w:right="0" w:firstLine="480"/>
        <w:jc w:val="left"/>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.1.14其他法律、法规及本招标文件规定的属无效投标的情形。</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（3）符合专业条件的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或者对招标文件作实质响应的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不足三家的。</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或者在评标期间对招标文件做出实质响应的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不足三家情况的，按照政府采购有关规定执行。</w:t>
      </w:r>
      <w:r/>
    </w:p>
    <w:p>
      <w:pPr>
        <w:pStyle w:val="650"/>
        <w:ind w:left="0" w:right="0"/>
        <w:pageBreakBefore w:val="0"/>
        <w:spacing w:before="0" w:after="0" w:line="480" w:lineRule="exact"/>
        <w:widowControl w:val="off"/>
        <w:rPr>
          <w:rFonts w:hint="eastAsia" w:ascii="宋体" w:hAnsi="宋体" w:eastAsia="宋体" w:cs="宋体"/>
          <w:b w:val="0"/>
        </w:rPr>
      </w:pPr>
      <w:r>
        <w:rPr>
          <w:rFonts w:hint="eastAsia" w:ascii="宋体" w:hAnsi="宋体" w:eastAsia="宋体" w:cs="宋体"/>
          <w:b w:val="0"/>
        </w:rPr>
        <w:t xml:space="preserve">六、定标</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28、确定中标单位</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 </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应根据评委会推荐的中标候选人确定中标人。</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将在江苏政府采购网发布中标公告，公告期限为1个工作日。</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若有充分证据证明，中标人存在下列情形之一的，一经查实，将被取消中标资格：</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（1）提供虚假材料谋取中标的。</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（2）向采购人、采购中心行贿或者提供其他不正当利益的。</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（3）属于本文件规定的无效条件，但在评标过程中又未被评委会发现的。</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（4）与采购人或者其他供应商恶意串通的。</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（5）采取不正当手段诋毁、排挤其他供应商的。</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29、中标通知书</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29.1 中标结果确定后，</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和中标人均具有法律效力。中标通知书发出后，</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改变中标结果的，或者中标人放弃中标项目的，应当依法承担法律责任。</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29.3 中标人应在中标后七个工作日内，向</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各提供一份与电子投标文件一致的纸质打印胶装投标文件</w:t>
      </w:r>
      <w:r>
        <w:rPr>
          <w:rFonts w:hint="eastAsia" w:ascii="宋体" w:hAnsi="宋体" w:eastAsia="宋体" w:cs="宋体"/>
          <w:sz w:val="24"/>
          <w:szCs w:val="24"/>
          <w:lang w:eastAsia="zh-CN"/>
        </w:rPr>
        <w:t xml:space="preserve">（一正二副）</w:t>
      </w:r>
      <w:r>
        <w:rPr>
          <w:rFonts w:hint="eastAsia" w:ascii="宋体" w:hAnsi="宋体" w:eastAsia="宋体" w:cs="宋体"/>
          <w:sz w:val="24"/>
          <w:szCs w:val="24"/>
        </w:rPr>
        <w:t xml:space="preserve">，封面、骑缝需加盖公章。</w:t>
      </w:r>
      <w:r/>
    </w:p>
    <w:p>
      <w:pPr>
        <w:pStyle w:val="650"/>
        <w:ind w:left="0" w:right="0"/>
        <w:pageBreakBefore w:val="0"/>
        <w:spacing w:before="0" w:after="0" w:line="480" w:lineRule="exact"/>
        <w:widowControl w:val="off"/>
        <w:rPr>
          <w:rFonts w:hint="eastAsia" w:ascii="宋体" w:hAnsi="宋体" w:eastAsia="宋体" w:cs="宋体"/>
          <w:b w:val="0"/>
        </w:rPr>
      </w:pPr>
      <w:r>
        <w:rPr>
          <w:rFonts w:hint="eastAsia" w:ascii="宋体" w:hAnsi="宋体" w:eastAsia="宋体" w:cs="宋体"/>
          <w:b w:val="0"/>
        </w:rPr>
        <w:t xml:space="preserve">七、授予合同</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30、签订合同</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签订政府采购合同。</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30.2 招标文件、中标人的投标文件及招标过程中有关澄清、承诺等文件均应作为合同附件。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30.3 采购人应当在合同签订后2</w:t>
      </w:r>
      <w:r>
        <w:rPr>
          <w:rFonts w:hint="eastAsia" w:ascii="宋体" w:hAnsi="宋体" w:eastAsia="宋体" w:cs="宋体"/>
          <w:sz w:val="24"/>
          <w:szCs w:val="24"/>
          <w:lang w:eastAsia="zh-CN"/>
        </w:rPr>
        <w:t xml:space="preserve">工作</w:t>
      </w:r>
      <w:r>
        <w:rPr>
          <w:rFonts w:hint="eastAsia" w:ascii="宋体" w:hAnsi="宋体" w:eastAsia="宋体" w:cs="宋体"/>
          <w:sz w:val="24"/>
          <w:szCs w:val="24"/>
        </w:rPr>
        <w:t xml:space="preserve">日内上传合同至苏采云公示。</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31、合同标的的追加</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31.1 政府采购合同履行中，</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需追加与合同标的相同的货物、工程或者服务的，在不改变合同其他条款的前提下，可以按照《中华人民共和国政府采购法》第四十九条规定，与</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协商签订补充合同，但所有补充合同的采购金额不得超过原合同采购金额的百分之十。</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32、政府采购履约资金扶持政策</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650"/>
        <w:ind w:left="0" w:right="0"/>
        <w:pageBreakBefore w:val="0"/>
        <w:spacing w:before="0" w:after="0" w:line="480" w:lineRule="exact"/>
        <w:widowControl w:val="off"/>
        <w:rPr>
          <w:rFonts w:hint="eastAsia" w:ascii="宋体" w:hAnsi="宋体" w:eastAsia="宋体" w:cs="宋体"/>
          <w:b w:val="0"/>
        </w:rPr>
      </w:pPr>
      <w:r>
        <w:rPr>
          <w:rFonts w:hint="eastAsia" w:ascii="宋体" w:hAnsi="宋体" w:eastAsia="宋体" w:cs="宋体"/>
          <w:b w:val="0"/>
        </w:rPr>
        <w:t xml:space="preserve">八、询问与质疑</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33、询问</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33.1 </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对政府采购活动事项有疑问的，可以提出询问，</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或者</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应当在3个工作日内对投标人依法提出的询问作出答复，但答复的内容不得涉及商业秘密。</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提出的询问超出</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对</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委托授权范围的，</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应当告知其向</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提出。</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34、质疑提出</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34.1 提出质疑的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应当是参与所质疑项目采购活动的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34.2 </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认为</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、采购过程、采购结果使自己的权益受到损害的，可以在知道或者应知其权益受到损害之日（获取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之日、中标公告发布之日）起七个工作日内以书面形式向</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提出质疑。</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应当在法定质疑期内一次性提出针对同一采购程序环节的质疑，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如在法定期限内对同一采购程序环节提出多次质疑的，</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将只对</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第一次质疑作出答复。</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未按照采购公告要求获取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，视为未参与该项目采购活动，不具备对该</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提出质疑的法定权利。</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应当依法申请具有法定职权的部门查清、认定，并将相关结果提供给</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不具有法定调查、认定权限。</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34.4 质疑函的接收方式为</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书面原件提交。联系部门、联系电话和通讯地址详见招标文件第一章。质疑实行实名制，不得进行虚假、恶意质疑。</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质疑函应当使用范本，详见招标文件第六章。</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提出质疑应当提交质疑函和必要的证明材料，应当包括下列内容：</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的姓名或者名称、地址、邮编、联系人及联系电话；</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为自然人的，应当由本人签字；</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为法人或者其他组织的，应当由法定代表人、主要负责人，或者其委托代理人签字或者盖章，并加盖单位公章。</w:t>
      </w:r>
      <w:r/>
    </w:p>
    <w:p>
      <w:pPr>
        <w:pStyle w:val="651"/>
        <w:ind w:left="0" w:right="0" w:firstLine="562"/>
        <w:jc w:val="left"/>
        <w:pageBreakBefore w:val="0"/>
        <w:spacing w:before="0" w:after="0" w:line="480" w:lineRule="exact"/>
        <w:widowControl w:val="off"/>
        <w:rPr>
          <w:rFonts w:hint="eastAsia" w:ascii="宋体" w:hAnsi="宋体" w:eastAsia="宋体" w:cs="宋体"/>
          <w:sz w:val="24"/>
          <w:szCs w:val="24"/>
        </w:rPr>
      </w:pPr>
      <w:r>
        <w:rPr>
          <w:rFonts w:hint="eastAsia" w:ascii="宋体" w:hAnsi="宋体" w:eastAsia="宋体" w:cs="宋体"/>
          <w:sz w:val="28"/>
          <w:szCs w:val="28"/>
        </w:rPr>
        <w:t xml:space="preserve">35、质疑函的受理和答复</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35.1 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不负责搜集必要的证明材料等工作。</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35.2 对符合法定要求的质疑，</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接收并登记《质疑函登记表》。在处理过程中，发现需要质疑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进一步补充必要的证明材料的，质疑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应在法定的时间内提供，质疑答复时间相应顺延。质疑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不能按时提供必要的证明材料的，视同放弃质疑。</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35.3 对不符合质疑要求的，</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有权要求其补充必要的证明材料，质疑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未在法定时间内补充必要的证明材料的，视同放弃质疑。</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提出的质疑。</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组成联合体，联合体中任何一方或多方未按要求签字（盖章）、加盖公章的质疑。</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35.5 </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招标代理机构</w:t>
      </w:r>
      <w:r>
        <w:rPr>
          <w:rFonts w:hint="eastAsia" w:ascii="宋体" w:hAnsi="宋体" w:eastAsia="宋体" w:cs="宋体"/>
          <w:sz w:val="24"/>
          <w:szCs w:val="24"/>
        </w:rPr>
        <w:t xml:space="preserve">依法受理的质疑，将按照政府采购有关规定，在法定期限内作出答复。</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36、质疑处理</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36.1 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未按照法定程序进行质疑投诉的，视为一般失信行为。</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36.2 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不配合或者采取不正当手段干扰政府采购质疑、投诉处理工作的，视为一般失信行为。</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36.3 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投诉受理期间，就同一事项多头举报，干扰财政部门投诉处理的，视为一般失信行为。</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36.4 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在全国范围12个月内三次以上质疑查无实据的，视为一般失信行为。</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36.5 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36.6 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在全国范围12个月内三次以上投诉查无实据的，视为严重失信行为。</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36.7 未尽事宜，依照有关法律、法规执行。</w:t>
      </w:r>
      <w:r/>
    </w:p>
    <w:p>
      <w:pPr>
        <w:pStyle w:val="650"/>
        <w:ind w:left="0" w:right="0"/>
        <w:pageBreakBefore w:val="0"/>
        <w:spacing w:before="0" w:after="0" w:line="480" w:lineRule="exact"/>
        <w:widowControl w:val="off"/>
        <w:rPr>
          <w:rFonts w:hint="eastAsia" w:ascii="宋体" w:hAnsi="宋体" w:eastAsia="宋体" w:cs="宋体"/>
          <w:b w:val="0"/>
        </w:rPr>
      </w:pPr>
      <w:r>
        <w:rPr>
          <w:rFonts w:hint="eastAsia" w:ascii="宋体" w:hAnsi="宋体" w:eastAsia="宋体" w:cs="宋体"/>
          <w:b w:val="0"/>
        </w:rPr>
        <w:t xml:space="preserve">九、政府采购政策功能</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37、促进中小企业发展</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37.2 参加本项目政府采购活动的供应商应当提供的材料： </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（1）投标人提供的货物全部由中型企业、小型企业、微型企业制造的，提供《中小企业声明函》（第六章 投标文件格式）。</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bidi="ar-SA"/>
        </w:rPr>
        <w:t xml:space="preserve">37.3 享受扶持政策获得政府采购合同的，小微型企业不得将合同分包给大中型企业，中型企业不得将合同分包给大型企业</w:t>
      </w:r>
      <w:r>
        <w:rPr>
          <w:rFonts w:hint="eastAsia" w:ascii="宋体" w:hAnsi="宋体" w:eastAsia="宋体" w:cs="宋体"/>
          <w:sz w:val="24"/>
          <w:szCs w:val="24"/>
        </w:rPr>
        <w:t xml:space="preserve">。</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38、采购本国产品的支持政策</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38.3 供应商需按照招标文件的要求提供《关于符合本国产品标准的声明函》（以下简称《声明函》），如不提供将不享受本国产品价格评审优惠。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38.6政府采购中的本国产品标准及其他未尽事宜详见《国务院办公厅关于在政府采购中实施本国产品标准及相关政策的通知》（国办发〔2025〕34号）</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、支持绿色发展</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jc w:val="left"/>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40</w:t>
      </w:r>
      <w:r>
        <w:rPr>
          <w:rFonts w:hint="eastAsia" w:ascii="宋体" w:hAnsi="宋体" w:eastAsia="宋体" w:cs="宋体"/>
          <w:sz w:val="28"/>
          <w:szCs w:val="28"/>
        </w:rPr>
        <w:t xml:space="preserve">、政府采购需求标准</w:t>
      </w:r>
      <w:r/>
    </w:p>
    <w:p>
      <w:pPr>
        <w:ind w:left="0" w:right="0" w:firstLine="482"/>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.1 本项目执行《绿色数据中心政府采购</w:t>
      </w:r>
      <w:r>
        <w:rPr>
          <w:rFonts w:hint="eastAsia" w:ascii="宋体" w:hAnsi="宋体" w:eastAsia="宋体" w:cs="宋体"/>
          <w:sz w:val="24"/>
          <w:szCs w:val="24"/>
        </w:rPr>
        <w:t xml:space="preserve">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w:t>
      </w:r>
      <w:r/>
    </w:p>
    <w:p>
      <w:pPr>
        <w:pStyle w:val="651"/>
        <w:ind w:left="0" w:right="0" w:firstLine="562"/>
        <w:jc w:val="left"/>
        <w:pageBreakBefore w:val="0"/>
        <w:spacing w:before="0" w:after="0"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41、解释权</w:t>
      </w:r>
      <w:r/>
    </w:p>
    <w:p>
      <w:pPr>
        <w:ind w:left="0" w:right="0" w:firstLine="482"/>
        <w:jc w:val="left"/>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本招标文件是参照《中华人民共和国政府采购法》、《中华人民共和国政府采购法实施条例》、《政府采购货物和服务招标投标管理办法》及相关法律法规编制，解释权属招标人。</w:t>
      </w:r>
      <w:r/>
    </w:p>
    <w:p>
      <w:pPr>
        <w:ind w:left="0" w:right="0" w:firstLine="482"/>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政府采购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r>
        <w:rPr>
          <w:rFonts w:hint="eastAsia" w:ascii="宋体" w:hAnsi="宋体" w:eastAsia="宋体" w:cs="宋体"/>
          <w:sz w:val="24"/>
          <w:szCs w:val="24"/>
        </w:rPr>
        <w:br w:type="page" w:clear="all"/>
      </w:r>
      <w:r/>
    </w:p>
    <w:p>
      <w:pPr>
        <w:pStyle w:val="649"/>
        <w:ind w:left="0" w:right="0"/>
        <w:jc w:val="center"/>
        <w:pageBreakBefore w:val="0"/>
        <w:spacing w:before="0" w:after="0" w:line="490" w:lineRule="exact"/>
        <w:rPr>
          <w:rFonts w:hint="eastAsia" w:ascii="宋体" w:hAnsi="宋体" w:eastAsia="宋体" w:cs="宋体"/>
          <w:b w:val="0"/>
        </w:rPr>
      </w:pPr>
      <w:r/>
      <w:bookmarkStart w:id="14" w:name="_Toc165205796"/>
      <w:r/>
      <w:bookmarkStart w:id="15" w:name="_Toc155796359"/>
      <w:r>
        <w:rPr>
          <w:rFonts w:hint="eastAsia" w:ascii="宋体" w:hAnsi="宋体" w:eastAsia="宋体" w:cs="宋体"/>
          <w:b w:val="0"/>
        </w:rPr>
        <w:t xml:space="preserve">第三章  合同文本</w:t>
      </w:r>
      <w:bookmarkEnd w:id="14"/>
      <w:r/>
      <w:r/>
    </w:p>
    <w:p>
      <w:pPr>
        <w:pStyle w:val="665"/>
        <w:ind w:left="0" w:right="0"/>
        <w:jc w:val="center"/>
        <w:pageBreakBefore w:val="0"/>
        <w:spacing w:after="0" w:line="490" w:lineRule="exact"/>
        <w:rPr>
          <w:rFonts w:hint="eastAsia" w:ascii="宋体" w:hAnsi="宋体" w:eastAsia="宋体" w:cs="宋体"/>
          <w:b/>
          <w:bCs/>
          <w:spacing w:val="-20"/>
          <w:sz w:val="48"/>
          <w:szCs w:val="48"/>
        </w:rPr>
      </w:pPr>
      <w:r/>
      <w:bookmarkStart w:id="16" w:name="_Toc3995"/>
      <w:r/>
      <w:bookmarkEnd w:id="16"/>
      <w:r/>
    </w:p>
    <w:p>
      <w:pP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br w:type="page" w:clear="all"/>
      </w:r>
      <w:r/>
    </w:p>
    <w:p>
      <w:pPr>
        <w:ind w:left="0" w:right="0"/>
        <w:jc w:val="center"/>
        <w:pageBreakBefore w:val="0"/>
        <w:spacing w:after="0" w:line="490" w:lineRule="exact"/>
        <w:widowControl w:val="off"/>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政府采购货物合同</w:t>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项目名称：</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甲方：</w:t>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乙方：</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签订时间：</w:t>
      </w:r>
      <w:r/>
    </w:p>
    <w:p>
      <w:pPr>
        <w:ind w:left="0" w:right="0"/>
        <w:jc w:val="left"/>
        <w:pageBreakBefore w:val="0"/>
        <w:spacing w:line="49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第一节 政府采购合同协议书</w:t>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甲方（全称）：</w:t>
      </w:r>
      <w:r>
        <w:rPr>
          <w:rFonts w:hint="eastAsia" w:ascii="宋体" w:hAnsi="宋体" w:eastAsia="宋体" w:cs="宋体"/>
          <w:color w:val="auto"/>
          <w:sz w:val="24"/>
          <w:szCs w:val="24"/>
          <w:highlight w:val="none"/>
          <w:u w:val="single"/>
          <w:lang w:val="en-US" w:eastAsia="zh-CN" w:bidi="ar-SA"/>
        </w:rPr>
        <w:t xml:space="preserve">                        </w:t>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乙方（全称）：</w:t>
      </w:r>
      <w:r>
        <w:rPr>
          <w:rFonts w:hint="eastAsia" w:ascii="宋体" w:hAnsi="宋体" w:eastAsia="宋体" w:cs="宋体"/>
          <w:color w:val="auto"/>
          <w:sz w:val="24"/>
          <w:szCs w:val="24"/>
          <w:highlight w:val="none"/>
          <w:u w:val="single"/>
          <w:lang w:val="en-US" w:eastAsia="zh-CN" w:bidi="ar-SA"/>
        </w:rPr>
        <w:t xml:space="preserve">                       </w:t>
      </w:r>
      <w:r/>
    </w:p>
    <w:p>
      <w:p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依据《中华人民共和国民法典》、《中华人民共和国政府采购法》等有关的法律法规，以及</w:t>
      </w:r>
      <w:r>
        <w:rPr>
          <w:rFonts w:hint="eastAsia" w:ascii="宋体" w:hAnsi="宋体" w:eastAsia="宋体" w:cs="宋体"/>
          <w:i w:val="0"/>
          <w:iCs w:val="0"/>
          <w:color w:val="auto"/>
          <w:sz w:val="24"/>
          <w:szCs w:val="24"/>
          <w:highlight w:val="none"/>
          <w:u w:val="none"/>
          <w:lang w:val="en-US" w:eastAsia="zh-CN" w:bidi="ar-SA"/>
        </w:rPr>
        <w:t xml:space="preserve">本采购项目</w:t>
      </w:r>
      <w:r>
        <w:rPr>
          <w:rFonts w:hint="eastAsia" w:ascii="宋体" w:hAnsi="宋体" w:eastAsia="宋体" w:cs="宋体"/>
          <w:color w:val="auto"/>
          <w:sz w:val="24"/>
          <w:szCs w:val="24"/>
          <w:highlight w:val="none"/>
          <w:lang w:val="en-US" w:eastAsia="zh-CN" w:bidi="ar-SA"/>
        </w:rPr>
        <w:t xml:space="preserve">的招标文件、乙方的《投标文件》及《成交通知书》，甲乙双方同意签订本合同。具体情况及要求如下：     </w:t>
      </w:r>
      <w:r/>
    </w:p>
    <w:p>
      <w:pPr>
        <w:numPr>
          <w:ilvl w:val="0"/>
          <w:numId w:val="0"/>
        </w:numPr>
        <w:ind w:left="0"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1.项目信息</w:t>
      </w:r>
      <w:r/>
    </w:p>
    <w:p>
      <w:pPr>
        <w:numPr>
          <w:ilvl w:val="0"/>
          <w:numId w:val="0"/>
        </w:num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（1）采购项目名称：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采购项目编号：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（2）采购计划编号：</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（3）项目内容：</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采购标的及数量（台/套</w:t>
      </w:r>
      <w:r>
        <w:rPr>
          <w:rFonts w:hint="eastAsia" w:ascii="宋体" w:hAnsi="宋体" w:eastAsia="宋体" w:cs="宋体"/>
          <w:color w:val="auto"/>
          <w:sz w:val="24"/>
          <w:szCs w:val="24"/>
          <w:highlight w:val="none"/>
          <w:lang w:val="en" w:eastAsia="zh-CN" w:bidi="ar-SA"/>
        </w:rPr>
        <w:t xml:space="preserve">/个/架/组等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 w:eastAsia="zh-CN" w:bidi="ar-SA"/>
        </w:rPr>
      </w:pP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lang w:val="en-US" w:eastAsia="zh-CN" w:bidi="ar-SA"/>
        </w:rPr>
        <w:t xml:space="preserve">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采购标的的技术要求、商务要求具体见附件。</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①涉及信息类产品，请填写该产品关键部件的品牌、型号：</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标的名称：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（注：关键部件是指财政部会同有关部门发布的政府采购需求标准规定的需要通过国家有关部门指定的测评机构开展的安全可靠测评的软硬件，如CPU芯片、操作系统、数据库等。）</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②涉及车辆采购，请填写是否属于新能源汽车：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数量：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4</w:t>
      </w:r>
      <w:r>
        <w:rPr>
          <w:rFonts w:hint="eastAsia" w:ascii="宋体" w:hAnsi="宋体" w:eastAsia="宋体" w:cs="宋体"/>
          <w:iCs w:val="0"/>
          <w:color w:val="auto"/>
          <w:sz w:val="24"/>
          <w:szCs w:val="24"/>
          <w:highlight w:val="none"/>
          <w:lang w:val="en-US" w:eastAsia="zh-CN" w:bidi="ar-SA"/>
        </w:rPr>
        <w:t xml:space="preserve">）政府采购组织形式：</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政府集中采购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部门集中采购  </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分散采购</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5</w:t>
      </w:r>
      <w:r>
        <w:rPr>
          <w:rFonts w:hint="eastAsia" w:ascii="宋体" w:hAnsi="宋体" w:eastAsia="宋体" w:cs="宋体"/>
          <w:iCs w:val="0"/>
          <w:color w:val="auto"/>
          <w:sz w:val="24"/>
          <w:szCs w:val="24"/>
          <w:highlight w:val="none"/>
          <w:lang w:val="en-US" w:eastAsia="zh-CN" w:bidi="ar-SA"/>
        </w:rPr>
        <w:t xml:space="preserve">）政府采购方式：</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公开招标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邀请招标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竞争性谈判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竞争性磋商</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询价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单一来源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框架协议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其他：</w:t>
      </w:r>
      <w:r>
        <w:rPr>
          <w:rFonts w:hint="eastAsia" w:ascii="宋体" w:hAnsi="宋体" w:eastAsia="宋体" w:cs="宋体"/>
          <w:iCs w:val="0"/>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6</w:t>
      </w:r>
      <w:r>
        <w:rPr>
          <w:rFonts w:hint="eastAsia" w:ascii="宋体" w:hAnsi="宋体" w:eastAsia="宋体" w:cs="宋体"/>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本合同是否为专门面向中小企业的采</w:t>
      </w:r>
      <w:r>
        <w:rPr>
          <w:rFonts w:hint="eastAsia" w:ascii="宋体" w:hAnsi="宋体" w:eastAsia="宋体" w:cs="宋体"/>
          <w:color w:val="auto"/>
          <w:sz w:val="24"/>
          <w:szCs w:val="24"/>
          <w:highlight w:val="none"/>
          <w:shd w:val="clear" w:color="auto"/>
          <w:lang w:val="en-US" w:eastAsia="zh-CN" w:bidi="ar-SA"/>
        </w:rPr>
        <w:t xml:space="preserve">购合同（中小企业预留合同）：</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若本项目不专门面向中小企业采购，是否给予小微企业评审优惠：</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中标（成交）采购标的制造商是否为残疾人福利性单位：</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中标（成交）采购标的制造商是否为监狱企业：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7</w:t>
      </w:r>
      <w:r>
        <w:rPr>
          <w:rFonts w:hint="eastAsia" w:ascii="宋体" w:hAnsi="宋体" w:eastAsia="宋体" w:cs="宋体"/>
          <w:color w:val="auto"/>
          <w:sz w:val="24"/>
          <w:szCs w:val="24"/>
          <w:highlight w:val="none"/>
          <w:lang w:val="en-US" w:eastAsia="zh-CN" w:bidi="ar-SA"/>
        </w:rPr>
        <w:t xml:space="preserve">）合同是否分包：</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分包主要内容：</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分包供应商/制造商名称（如供应商和制造商不同，请分别填写）：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分包供应商/制造商类型（如果供应商和制造商不同，只填写制造商类型）：</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大型企业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中型企业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小微型企业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残疾人福利性单位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监狱企业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其他</w:t>
      </w:r>
      <w:r/>
    </w:p>
    <w:p>
      <w:pPr>
        <w:numPr>
          <w:ilvl w:val="0"/>
          <w:numId w:val="1"/>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SA"/>
        </w:rPr>
        <w:t xml:space="preserve">中标（成交）供应商是否为外商投资企业：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SA"/>
        </w:rPr>
        <w:t xml:space="preserve">外商投资企业类型：</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全部由外国投资者投资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部分由外国投资者投资</w:t>
      </w:r>
      <w:r/>
    </w:p>
    <w:p>
      <w:pPr>
        <w:numPr>
          <w:ilvl w:val="0"/>
          <w:numId w:val="1"/>
        </w:numPr>
        <w:ind w:left="0" w:firstLine="480"/>
        <w:keepLines w:val="0"/>
        <w:keepNext w:val="0"/>
        <w:pageBreakBefore w:val="0"/>
        <w:spacing w:line="360" w:lineRule="auto"/>
        <w:tabs>
          <w:tab w:val="left" w:pos="13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是否涉及进口产品：</w:t>
      </w:r>
      <w:r/>
    </w:p>
    <w:p>
      <w:pPr>
        <w:numPr>
          <w:ilvl w:val="0"/>
          <w:numId w:val="0"/>
        </w:numPr>
        <w:ind w:left="0" w:firstLine="720"/>
        <w:keepLines w:val="0"/>
        <w:keepNext w:val="0"/>
        <w:pageBreakBefore w:val="0"/>
        <w:spacing w:line="360" w:lineRule="auto"/>
        <w:tabs>
          <w:tab w:val="left" w:pos="1340" w:leader="none"/>
        </w:tabs>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国别：</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ind w:left="0" w:firstLine="72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（1</w:t>
      </w:r>
      <w:r>
        <w:rPr>
          <w:rFonts w:hint="eastAsia" w:ascii="宋体" w:hAnsi="宋体" w:eastAsia="宋体" w:cs="宋体"/>
          <w:b w:val="0"/>
          <w:bCs w:val="0"/>
          <w:color w:val="auto"/>
          <w:sz w:val="24"/>
          <w:szCs w:val="24"/>
          <w:highlight w:val="none"/>
          <w:u w:val="none"/>
          <w:lang w:val="en" w:eastAsia="zh-CN" w:bidi="ar-SA"/>
        </w:rPr>
        <w:t xml:space="preserve">0</w:t>
      </w:r>
      <w:r>
        <w:rPr>
          <w:rFonts w:hint="eastAsia" w:ascii="宋体" w:hAnsi="宋体" w:eastAsia="宋体" w:cs="宋体"/>
          <w:b w:val="0"/>
          <w:bCs w:val="0"/>
          <w:color w:val="auto"/>
          <w:sz w:val="24"/>
          <w:szCs w:val="24"/>
          <w:highlight w:val="none"/>
          <w:u w:val="none"/>
          <w:lang w:val="en-US" w:eastAsia="zh-CN" w:bidi="ar-SA"/>
        </w:rPr>
        <w:t xml:space="preserve">）是否涉及节能产品：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是，《节能产品政府采购品目清单》的底级品目名称：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是否涉及环境标志产品：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是，《环境标志产品政府采购品目清单》的底级品目名称：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是否涉及绿色产品：</w:t>
      </w:r>
      <w:r>
        <w:rPr>
          <w:rFonts w:hint="eastAsia" w:ascii="宋体" w:hAnsi="宋体" w:eastAsia="宋体" w:cs="宋体"/>
          <w:iCs w:val="0"/>
          <w:color w:val="auto"/>
          <w:sz w:val="24"/>
          <w:szCs w:val="24"/>
          <w:highlight w:val="none"/>
          <w:u w:val="none"/>
          <w:lang w:val="en-US" w:eastAsia="zh-CN" w:bidi="ar-SA"/>
        </w:rPr>
        <w:t xml:space="preserve"> </w:t>
      </w:r>
      <w:r/>
    </w:p>
    <w:p>
      <w:pPr>
        <w:ind w:left="0" w:firstLine="720"/>
        <w:keepLines w:val="0"/>
        <w:keepNext w:val="0"/>
        <w:pageBreakBefore w:val="0"/>
        <w:spacing w:line="360" w:lineRule="auto"/>
        <w:rPr>
          <w:rFonts w:hint="eastAsia" w:ascii="宋体" w:hAnsi="宋体" w:eastAsia="宋体" w:cs="宋体"/>
          <w:color w:val="auto"/>
          <w:sz w:val="24"/>
          <w:szCs w:val="24"/>
          <w:highlight w:val="none"/>
          <w:u w:val="singl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是，绿色产品政府采购相关政策确定的底级品目名称：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ind w:left="0" w:firstLine="720"/>
        <w:keepLines w:val="0"/>
        <w:keepNext w:val="0"/>
        <w:pageBreakBefore w:val="0"/>
        <w:spacing w:line="360" w:lineRule="auto"/>
        <w:rPr>
          <w:rFonts w:hint="eastAsia" w:ascii="宋体" w:hAnsi="宋体" w:eastAsia="宋体" w:cs="宋体"/>
          <w:iCs w:val="0"/>
          <w:color w:val="auto"/>
          <w:sz w:val="24"/>
          <w:szCs w:val="24"/>
          <w:highlight w:val="none"/>
          <w:u w:val="non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否</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 w:eastAsia="zh-CN" w:bidi="ar-SA"/>
        </w:rPr>
        <w:t xml:space="preserve">1</w:t>
      </w:r>
      <w:r>
        <w:rPr>
          <w:rFonts w:hint="eastAsia" w:ascii="宋体" w:hAnsi="宋体" w:eastAsia="宋体" w:cs="宋体"/>
          <w:color w:val="auto"/>
          <w:sz w:val="24"/>
          <w:szCs w:val="24"/>
          <w:highlight w:val="none"/>
          <w:lang w:val="en-US" w:eastAsia="zh-CN" w:bidi="ar-SA"/>
        </w:rPr>
        <w:t xml:space="preserve">）涉及商品包装和快递包装的，是否参考《商品包装政府采购需求标准（试行）》、《快递包装政府采购需求标准（试行）》明确产品及相关快递服务的具体包装要求：</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不涉及</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2.合同金额</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（1）合同金额小写：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大写：</w:t>
      </w:r>
      <w:r>
        <w:rPr>
          <w:rFonts w:hint="eastAsia" w:ascii="宋体" w:hAnsi="宋体" w:eastAsia="宋体" w:cs="宋体"/>
          <w:color w:val="auto"/>
          <w:sz w:val="24"/>
          <w:szCs w:val="24"/>
          <w:highlight w:val="none"/>
          <w:u w:val="single"/>
          <w:lang w:val="en-US" w:eastAsia="zh-CN" w:bidi="ar-SA"/>
        </w:rPr>
        <w:t xml:space="preserve">                           </w:t>
      </w:r>
      <w:r/>
    </w:p>
    <w:p>
      <w:pPr>
        <w:ind w:firstLine="480"/>
        <w:keepLines w:val="0"/>
        <w:keepNext w:val="0"/>
        <w:pageBreakBefore w:val="0"/>
        <w:spacing w:before="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（2）合同定价方式：</w:t>
      </w:r>
      <w:r>
        <w:rPr>
          <w:rFonts w:ascii="Wingdings 2" w:hAnsi="Wingdings 2" w:eastAsia="Wingdings 2" w:cs="Wingdings 2"/>
          <w:b/>
          <w:bCs/>
          <w:iCs/>
          <w:color w:val="auto"/>
          <w:sz w:val="24"/>
          <w:szCs w:val="24"/>
          <w:highlight w:val="none"/>
          <w:u w:val="single"/>
          <w:lang w:val="en-US" w:eastAsia="zh-CN" w:bidi="ar-SA"/>
        </w:rPr>
        <w:t xml:space="preserve">£</w:t>
      </w:r>
      <w:r>
        <w:rPr>
          <w:rFonts w:hint="eastAsia" w:ascii="宋体" w:hAnsi="宋体" w:eastAsia="宋体" w:cs="宋体"/>
          <w:b/>
          <w:bCs/>
          <w:iCs/>
          <w:color w:val="auto"/>
          <w:sz w:val="24"/>
          <w:szCs w:val="24"/>
          <w:highlight w:val="none"/>
          <w:u w:val="single"/>
          <w:lang w:val="en-US" w:eastAsia="zh-CN" w:bidi="ar-SA"/>
        </w:rPr>
        <w:t xml:space="preserve">固定总价  </w:t>
      </w:r>
      <w:r>
        <w:rPr>
          <w:rFonts w:ascii="Wingdings 2" w:hAnsi="Wingdings 2" w:eastAsia="Wingdings 2" w:cs="Wingdings 2"/>
          <w:b/>
          <w:bCs/>
          <w:iCs/>
          <w:color w:val="auto"/>
          <w:sz w:val="24"/>
          <w:szCs w:val="24"/>
          <w:highlight w:val="none"/>
          <w:u w:val="single"/>
          <w:lang w:val="en-US" w:eastAsia="zh-CN" w:bidi="ar-SA"/>
        </w:rPr>
        <w:t xml:space="preserve">R</w:t>
      </w:r>
      <w:r>
        <w:rPr>
          <w:rFonts w:hint="eastAsia" w:ascii="宋体" w:hAnsi="宋体" w:eastAsia="宋体" w:cs="宋体"/>
          <w:b/>
          <w:bCs/>
          <w:iCs/>
          <w:color w:val="auto"/>
          <w:sz w:val="24"/>
          <w:szCs w:val="24"/>
          <w:highlight w:val="none"/>
          <w:u w:val="single"/>
          <w:lang w:val="en-US" w:eastAsia="zh-CN" w:bidi="ar-SA"/>
        </w:rPr>
        <w:t xml:space="preserve">固定单价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（3）付款方式：</w:t>
      </w:r>
      <w:r/>
    </w:p>
    <w:p>
      <w:pPr>
        <w:ind w:firstLine="482"/>
        <w:keepLines w:val="0"/>
        <w:keepNext w:val="0"/>
        <w:pageBreakBefore w:val="0"/>
        <w:spacing w:before="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                                       。</w:t>
      </w:r>
      <w:r/>
    </w:p>
    <w:p>
      <w:pPr>
        <w:ind w:firstLine="482"/>
        <w:keepLines w:val="0"/>
        <w:keepNext w:val="0"/>
        <w:pageBreakBefore w:val="0"/>
        <w:spacing w:before="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付款时由乙方提供增值税发票，甲方按相关财务支付规定办理支付手续。</w:t>
      </w:r>
      <w:r/>
    </w:p>
    <w:p>
      <w:pPr>
        <w:ind w:firstLine="480"/>
        <w:keepLines w:val="0"/>
        <w:keepNext w:val="0"/>
        <w:pageBreakBefore w:val="0"/>
        <w:spacing w:before="0" w:line="36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当采购数量与实际使用数量不一致时，乙方根据实际使用量提供产品和服务，合同的最终结算金额按实际使用量乘以中标单价进行计算。</w:t>
      </w:r>
      <w:r/>
    </w:p>
    <w:p>
      <w:pPr>
        <w:numPr>
          <w:ilvl w:val="0"/>
          <w:numId w:val="0"/>
        </w:numPr>
        <w:ind w:firstLine="482"/>
        <w:keepLines w:val="0"/>
        <w:keepNext w:val="0"/>
        <w:pageBreakBefore w:val="0"/>
        <w:spacing w:before="0" w:line="360" w:lineRule="auto"/>
        <w:rPr>
          <w:rFonts w:hint="eastAsia" w:ascii="宋体" w:hAnsi="宋体" w:eastAsia="宋体" w:cs="宋体"/>
          <w:b/>
          <w:bCs w:val="0"/>
          <w:color w:val="auto"/>
          <w:sz w:val="24"/>
          <w:szCs w:val="24"/>
          <w:highlight w:val="none"/>
          <w:u w:val="single"/>
          <w:lang w:val="en-US" w:eastAsia="zh-CN" w:bidi="ar-SA"/>
        </w:rPr>
      </w:pPr>
      <w:r>
        <w:rPr>
          <w:rFonts w:hint="eastAsia" w:ascii="宋体" w:hAnsi="宋体" w:eastAsia="宋体" w:cs="宋体"/>
          <w:b/>
          <w:bCs w:val="0"/>
          <w:color w:val="auto"/>
          <w:sz w:val="24"/>
          <w:szCs w:val="24"/>
          <w:highlight w:val="none"/>
          <w:lang w:val="en-US" w:eastAsia="zh-CN" w:bidi="ar-SA"/>
        </w:rPr>
        <w:t xml:space="preserve">3.合同履行</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（1）起始日期：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日，完成日期：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（2）履约地点</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灌云县高新区高级中学新校区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（3）履约担保：</w:t>
      </w:r>
      <w:r>
        <w:rPr>
          <w:rFonts w:hint="eastAsia" w:ascii="宋体" w:hAnsi="宋体" w:eastAsia="宋体" w:cs="宋体"/>
          <w:color w:val="auto"/>
          <w:sz w:val="24"/>
          <w:szCs w:val="24"/>
          <w:highlight w:val="none"/>
          <w:lang w:val="en-US" w:eastAsia="zh-CN" w:bidi="ar-SA"/>
        </w:rPr>
        <w:t xml:space="preserve">是否收取履约保证金：</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收取履约保证金形式：</w:t>
      </w:r>
      <w:r>
        <w:rPr>
          <w:rFonts w:hint="eastAsia" w:ascii="宋体" w:hAnsi="宋体" w:eastAsia="宋体" w:cs="宋体"/>
          <w:bCs/>
          <w:color w:val="auto"/>
          <w:sz w:val="24"/>
          <w:szCs w:val="24"/>
          <w:highlight w:val="none"/>
          <w:u w:val="single"/>
          <w:lang w:val="en-US" w:eastAsia="zh-CN" w:bidi="ar-SA"/>
        </w:rPr>
        <w:t xml:space="preserve">支票、汇票、本票或者金融机构、担保机构出具的保函等非现金形式。</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收取履约保证金金额：</w:t>
      </w:r>
      <w:r>
        <w:rPr>
          <w:rFonts w:hint="eastAsia" w:ascii="宋体" w:hAnsi="宋体" w:eastAsia="宋体" w:cs="宋体"/>
          <w:bCs/>
          <w:color w:val="auto"/>
          <w:sz w:val="24"/>
          <w:szCs w:val="24"/>
          <w:highlight w:val="none"/>
          <w:u w:val="single"/>
          <w:lang w:val="en-US" w:eastAsia="zh-CN" w:bidi="ar-SA"/>
        </w:rPr>
        <w:t xml:space="preserve">政府采购合同金额的10%</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履约担保的退还：</w:t>
      </w:r>
      <w:r>
        <w:rPr>
          <w:rFonts w:hint="eastAsia" w:ascii="宋体" w:hAnsi="宋体" w:eastAsia="宋体" w:cs="宋体"/>
          <w:bCs/>
          <w:color w:val="auto"/>
          <w:sz w:val="24"/>
          <w:szCs w:val="24"/>
          <w:highlight w:val="none"/>
          <w:u w:val="single"/>
          <w:lang w:val="en-US" w:eastAsia="zh-CN"/>
        </w:rPr>
        <w:t xml:space="preserve">全部货物供货完成并经</w:t>
      </w:r>
      <w:r>
        <w:rPr>
          <w:rFonts w:hint="eastAsia" w:ascii="宋体" w:hAnsi="宋体" w:eastAsia="宋体" w:cs="宋体"/>
          <w:color w:val="auto"/>
          <w:sz w:val="24"/>
          <w:szCs w:val="24"/>
          <w:highlight w:val="none"/>
          <w:u w:val="single"/>
        </w:rPr>
        <w:t xml:space="preserve">验收合格后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15日内退还</w:t>
      </w:r>
      <w:r>
        <w:rPr>
          <w:rFonts w:hint="eastAsia" w:ascii="宋体" w:hAnsi="宋体" w:eastAsia="宋体" w:cs="宋体"/>
          <w:bCs/>
          <w:color w:val="auto"/>
          <w:sz w:val="24"/>
          <w:szCs w:val="24"/>
          <w:highlight w:val="none"/>
          <w:u w:val="single"/>
          <w:lang w:val="en-US" w:eastAsia="zh-CN" w:bidi="ar-SA"/>
        </w:rPr>
        <w:t xml:space="preserve">。</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4.合同验收</w:t>
      </w:r>
      <w:r/>
    </w:p>
    <w:p>
      <w:pPr>
        <w:numPr>
          <w:ilvl w:val="0"/>
          <w:numId w:val="2"/>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验收组织方式：</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自行组织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委托第三方组织</w:t>
      </w:r>
      <w:r/>
    </w:p>
    <w:p>
      <w:pPr>
        <w:numPr>
          <w:ilvl w:val="0"/>
          <w:numId w:val="0"/>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验收主体：</w:t>
      </w:r>
      <w:r>
        <w:rPr>
          <w:rFonts w:hint="eastAsia" w:ascii="宋体" w:hAnsi="宋体" w:eastAsia="宋体" w:cs="宋体"/>
          <w:bCs/>
          <w:color w:val="auto"/>
          <w:sz w:val="24"/>
          <w:szCs w:val="24"/>
          <w:highlight w:val="none"/>
          <w:u w:val="single"/>
          <w:lang w:val="en-US" w:eastAsia="zh-CN" w:bidi="ar-SA"/>
        </w:rPr>
        <w:t xml:space="preserve"> 灌云县教育局 </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是否邀请本项目的其他供应商参加验收：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是否邀请专家参加验收：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是否邀请服务对象参加验收：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是否邀请第三方检测机构参加验收：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是否进行抽查检测：</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是，抽查比例：</w:t>
      </w:r>
      <w:r>
        <w:rPr>
          <w:rFonts w:hint="eastAsia" w:ascii="宋体" w:hAnsi="宋体" w:eastAsia="宋体" w:cs="宋体"/>
          <w:bCs/>
          <w:color w:val="auto"/>
          <w:sz w:val="24"/>
          <w:szCs w:val="24"/>
          <w:highlight w:val="none"/>
          <w:u w:val="single"/>
          <w:lang w:val="en-US" w:eastAsia="zh-CN" w:bidi="ar-SA"/>
        </w:rPr>
        <w:t xml:space="preserve">按甲方要求</w:t>
      </w:r>
      <w:r>
        <w:rPr>
          <w:rFonts w:hint="eastAsia" w:ascii="宋体" w:hAnsi="宋体" w:eastAsia="宋体" w:cs="宋体"/>
          <w:bCs/>
          <w:color w:val="auto"/>
          <w:sz w:val="24"/>
          <w:szCs w:val="24"/>
          <w:highlight w:val="none"/>
          <w:lang w:val="en-US" w:eastAsia="zh-CN" w:bidi="ar-SA"/>
        </w:rPr>
        <w:t xml:space="preserve">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是否存在破坏性检测：</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验收组织的其他事项：</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（2）履约验收时间：</w:t>
      </w:r>
      <w:r>
        <w:rPr>
          <w:rFonts w:hint="eastAsia" w:ascii="宋体" w:hAnsi="宋体" w:eastAsia="宋体" w:cs="宋体"/>
          <w:bCs/>
          <w:szCs w:val="21"/>
          <w:u w:val="single"/>
          <w:lang w:val="en-US" w:eastAsia="zh-CN"/>
        </w:rPr>
        <w:t xml:space="preserve">采购人依法组织验收</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（3）履约验收方式：</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一次性验收        </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（4）履约验收程序：</w:t>
      </w:r>
      <w:r>
        <w:rPr>
          <w:rFonts w:hint="eastAsia" w:ascii="宋体" w:hAnsi="宋体" w:eastAsia="宋体" w:cs="宋体"/>
          <w:bCs/>
          <w:szCs w:val="21"/>
          <w:u w:val="single"/>
          <w:lang w:val="en-US" w:eastAsia="zh-CN"/>
        </w:rPr>
        <w:t xml:space="preserve">详见招标文件</w:t>
      </w:r>
      <w:r>
        <w:rPr>
          <w:rFonts w:hint="eastAsia" w:ascii="宋体" w:hAnsi="宋体" w:eastAsia="宋体" w:cs="宋体"/>
          <w:bCs/>
          <w:color w:val="auto"/>
          <w:sz w:val="24"/>
          <w:szCs w:val="24"/>
          <w:highlight w:val="none"/>
          <w:u w:val="single"/>
          <w:lang w:val="en-US" w:eastAsia="zh-CN" w:bidi="ar-SA"/>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（5）履约验收标准：</w:t>
      </w:r>
      <w:r>
        <w:rPr>
          <w:rFonts w:hint="eastAsia" w:ascii="宋体" w:hAnsi="宋体" w:eastAsia="宋体" w:cs="宋体"/>
          <w:bCs/>
          <w:color w:val="auto"/>
          <w:sz w:val="24"/>
          <w:szCs w:val="24"/>
          <w:highlight w:val="none"/>
          <w:u w:val="single"/>
          <w:lang w:val="en-US" w:eastAsia="zh-CN" w:bidi="ar-SA"/>
        </w:rPr>
        <w:t xml:space="preserve">符合招标文件技术要求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（6）是否以采购活动中供应商提供的样品作为参考：</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（7）履约验收其他事项：</w:t>
      </w:r>
      <w:r>
        <w:rPr>
          <w:rFonts w:hint="eastAsia" w:ascii="宋体" w:hAnsi="宋体" w:eastAsia="宋体" w:cs="宋体"/>
          <w:bCs/>
          <w:color w:val="auto"/>
          <w:sz w:val="24"/>
          <w:szCs w:val="24"/>
          <w:highlight w:val="none"/>
          <w:u w:val="single"/>
          <w:lang w:val="en-US" w:eastAsia="zh-CN" w:bidi="ar-SA"/>
        </w:rPr>
        <w:t xml:space="preserve">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5.组成合同的文件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本协议书与下列文件一起构成合同文件，如下述文件之间有任何抵触、矛盾或歧义，应按以下顺序解释：</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（1）政府采购合同协议书及其变更、补充协议</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（2）政府采购合同专用条款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（3）政府采购合同通用条款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（4）中标（成交）通知书</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（5）投标（响应）文件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（6）招标文件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（7）有关技术文件，图纸</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6.合同生效</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本合同自</w:t>
      </w:r>
      <w:r>
        <w:rPr>
          <w:rFonts w:hint="eastAsia" w:ascii="宋体" w:hAnsi="宋体" w:eastAsia="宋体" w:cs="宋体"/>
          <w:color w:val="auto"/>
          <w:sz w:val="24"/>
          <w:szCs w:val="24"/>
          <w:highlight w:val="none"/>
          <w:u w:val="single"/>
          <w:lang w:val="en-US" w:eastAsia="zh-CN" w:bidi="ar-SA"/>
        </w:rPr>
        <w:t xml:space="preserve"> 双方签字盖章后 </w:t>
      </w:r>
      <w:r>
        <w:rPr>
          <w:rFonts w:hint="eastAsia" w:ascii="宋体" w:hAnsi="宋体" w:eastAsia="宋体" w:cs="宋体"/>
          <w:color w:val="auto"/>
          <w:sz w:val="24"/>
          <w:szCs w:val="24"/>
          <w:highlight w:val="none"/>
          <w:lang w:val="en-US" w:eastAsia="zh-CN" w:bidi="ar-SA"/>
        </w:rPr>
        <w:t xml:space="preserve">生效。</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7.合同份数</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本合同一式</w:t>
      </w:r>
      <w:r>
        <w:rPr>
          <w:rFonts w:hint="eastAsia" w:ascii="宋体" w:hAnsi="宋体" w:eastAsia="宋体" w:cs="宋体"/>
          <w:color w:val="auto"/>
          <w:sz w:val="24"/>
          <w:szCs w:val="24"/>
          <w:highlight w:val="none"/>
          <w:u w:val="single"/>
          <w:lang w:val="en-US" w:eastAsia="zh-CN" w:bidi="ar-SA"/>
        </w:rPr>
        <w:t xml:space="preserve"> 陆 </w:t>
      </w:r>
      <w:r>
        <w:rPr>
          <w:rFonts w:hint="eastAsia" w:ascii="宋体" w:hAnsi="宋体" w:eastAsia="宋体" w:cs="宋体"/>
          <w:color w:val="auto"/>
          <w:sz w:val="24"/>
          <w:szCs w:val="24"/>
          <w:highlight w:val="none"/>
          <w:lang w:val="en-US" w:eastAsia="zh-CN" w:bidi="ar-SA"/>
        </w:rPr>
        <w:t xml:space="preserve">份，甲方执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份，乙方执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份，均具有同等法律效力。</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合同订立时间：</w:t>
      </w:r>
      <w:r>
        <w:rPr>
          <w:rFonts w:hint="eastAsia" w:ascii="宋体" w:hAnsi="宋体" w:eastAsia="宋体" w:cs="宋体"/>
          <w:color w:val="auto"/>
          <w:sz w:val="24"/>
          <w:szCs w:val="24"/>
          <w:highlight w:val="none"/>
          <w:u w:val="single"/>
          <w:lang w:val="en-US" w:eastAsia="zh-CN" w:bidi="ar-SA"/>
        </w:rPr>
        <w:t xml:space="preserve"> 2026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合同订立地点：</w:t>
      </w:r>
      <w:r>
        <w:rPr>
          <w:rFonts w:hint="eastAsia" w:ascii="宋体" w:hAnsi="宋体" w:eastAsia="宋体" w:cs="宋体"/>
          <w:color w:val="auto"/>
          <w:sz w:val="24"/>
          <w:szCs w:val="24"/>
          <w:highlight w:val="none"/>
          <w:u w:val="single"/>
          <w:lang w:val="en-US" w:eastAsia="zh-CN" w:bidi="ar-SA"/>
        </w:rPr>
        <w:t xml:space="preserve">  灌云县教育局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附件：具体标的及其</w:t>
      </w:r>
      <w:r>
        <w:rPr>
          <w:rFonts w:hint="eastAsia" w:ascii="宋体" w:hAnsi="宋体" w:eastAsia="宋体" w:cs="宋体"/>
          <w:color w:val="auto"/>
          <w:sz w:val="24"/>
          <w:szCs w:val="24"/>
          <w:highlight w:val="none"/>
          <w:u w:val="none"/>
          <w:lang w:val="en-US" w:eastAsia="zh-CN" w:bidi="ar-SA"/>
        </w:rPr>
        <w:t xml:space="preserve">技术要求和商务要求</w:t>
      </w:r>
      <w:r>
        <w:rPr>
          <w:rFonts w:hint="eastAsia" w:ascii="宋体" w:hAnsi="宋体" w:eastAsia="宋体" w:cs="宋体"/>
          <w:color w:val="auto"/>
          <w:sz w:val="24"/>
          <w:szCs w:val="24"/>
          <w:highlight w:val="none"/>
          <w:lang w:val="en-US" w:eastAsia="zh-CN" w:bidi="ar-SA"/>
        </w:rPr>
        <w:t xml:space="preserve">等。</w:t>
      </w:r>
      <w:r/>
    </w:p>
    <w:p>
      <w:pPr>
        <w:ind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 w:eastAsia="zh-CN" w:bidi="ar-SA"/>
        </w:rPr>
        <w:t xml:space="preserve">   </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bl>
      <w:tblPr>
        <w:tblStyle w:val="659"/>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437"/>
        <w:gridCol w:w="2149"/>
        <w:gridCol w:w="2300"/>
      </w:tblGrid>
      <w:tr>
        <w:trPr>
          <w:jc w:val="cente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乙方（供应商）</w:t>
            </w:r>
            <w:r/>
          </w:p>
        </w:tc>
      </w:tr>
      <w:tr>
        <w:trPr>
          <w:jc w:val="center"/>
          <w:trHeight w:val="917"/>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1171"/>
        </w:trPr>
        <w:tc>
          <w:tcPr>
            <w:tcBorders>
              <w:top w:val="single" w:color="auto" w:sz="2" w:space="0"/>
              <w:right w:val="single" w:color="auto" w:sz="2" w:space="0"/>
            </w:tcBorders>
            <w:tcW w:w="122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ind w:firstLine="115"/>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right w:val="single" w:color="auto" w:sz="2" w:space="0"/>
            </w:tcBorders>
            <w:tcW w:w="133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3"/>
        </w:trPr>
        <w:tc>
          <w:tcPr>
            <w:tcBorders>
              <w:bottom w:val="single" w:color="auto" w:sz="2" w:space="0"/>
              <w:right w:val="single" w:color="auto" w:sz="2" w:space="0"/>
            </w:tcBorders>
            <w:tcW w:w="122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2" w:space="0"/>
              <w:bottom w:val="single" w:color="auto" w:sz="2" w:space="0"/>
              <w:right w:val="single" w:color="auto" w:sz="2" w:space="0"/>
            </w:tcBorders>
            <w:tcW w:w="133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注：涉及联合体或其他合同主体的信息应按上表格式加列。</w:t>
            </w:r>
            <w:r/>
          </w:p>
        </w:tc>
      </w:tr>
    </w:tbl>
    <w:p>
      <w:pPr>
        <w:jc w:val="center"/>
        <w:keepLines/>
        <w:keepNext/>
        <w:spacing w:before="156"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u w:val="single"/>
          <w:lang w:val="en-US" w:eastAsia="zh-CN" w:bidi="ar-SA"/>
        </w:rPr>
        <w:br w:type="page" w:clear="all"/>
      </w:r>
      <w:bookmarkStart w:id="17" w:name="_Toc27624"/>
      <w:r>
        <w:rPr>
          <w:rFonts w:hint="eastAsia" w:ascii="宋体" w:hAnsi="宋体" w:eastAsia="宋体" w:cs="宋体"/>
          <w:b w:val="0"/>
          <w:bCs w:val="0"/>
          <w:color w:val="auto"/>
          <w:sz w:val="24"/>
          <w:szCs w:val="24"/>
          <w:highlight w:val="none"/>
          <w:lang w:val="en-US" w:eastAsia="zh-CN" w:bidi="ar-SA"/>
        </w:rPr>
        <w:t xml:space="preserve">第二节 政府采购合同通用条款</w:t>
      </w:r>
      <w:bookmarkEnd w:id="17"/>
      <w:r/>
      <w:r/>
    </w:p>
    <w:p>
      <w:pPr>
        <w:ind w:firstLine="482"/>
        <w:jc w:val="left"/>
        <w:pageBreakBefore w:val="0"/>
        <w:spacing w:line="360" w:lineRule="auto"/>
        <w:tabs>
          <w:tab w:val="left" w:pos="8820" w:leader="none"/>
          <w:tab w:val="left" w:pos="9345" w:leader="none"/>
          <w:tab w:val="left" w:pos="9765"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 </w:t>
      </w:r>
      <w:r>
        <w:rPr>
          <w:rFonts w:hint="eastAsia" w:ascii="宋体" w:hAnsi="宋体" w:eastAsia="宋体" w:cs="宋体"/>
          <w:b/>
          <w:bCs/>
          <w:color w:val="auto"/>
          <w:sz w:val="24"/>
          <w:szCs w:val="24"/>
          <w:highlight w:val="none"/>
          <w:lang w:val="en-US" w:eastAsia="zh-CN" w:bidi="ar-SA"/>
        </w:rPr>
        <w:t xml:space="preserve">定义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1.1合同当事人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（1）采购人（以下称甲方）是指使用财政性资金，通过政府采购方式向供应商购买货物及其相关服务的国家机关、事业单位、团体组织。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（2）供应商（以下称乙方）是指参加政府采购活动并且中标（成交），向采购人提供合同约定的货物及其相关服务的法人、非法人组织或者自然人。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（3）其他合同主体是指除采购人和供应商以外，</w:t>
      </w:r>
      <w:r>
        <w:rPr>
          <w:rFonts w:hint="eastAsia" w:ascii="宋体" w:hAnsi="宋体" w:eastAsia="宋体" w:cs="宋体"/>
          <w:bCs/>
          <w:color w:val="auto"/>
          <w:sz w:val="24"/>
          <w:szCs w:val="24"/>
          <w:highlight w:val="none"/>
          <w:lang w:val="en-US" w:eastAsia="zh-CN" w:bidi="ar-SA"/>
        </w:rPr>
        <w:t xml:space="preserve">依法参与合同缔结或履行，享有权利、承担义务的合同当事人</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1.2本合同下列术语应解释为：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（1）“合同”系指</w:t>
      </w:r>
      <w:r>
        <w:rPr>
          <w:rFonts w:hint="eastAsia" w:ascii="宋体" w:hAnsi="宋体" w:eastAsia="宋体" w:cs="宋体"/>
          <w:bCs/>
          <w:color w:val="auto"/>
          <w:sz w:val="24"/>
          <w:szCs w:val="24"/>
          <w:highlight w:val="none"/>
          <w:lang w:val="en-US" w:eastAsia="zh-CN" w:bidi="ar-SA"/>
        </w:rPr>
        <w:t xml:space="preserve">合同当事人意思表示达成一致的任何协议，包括签署的</w:t>
      </w:r>
      <w:r>
        <w:rPr>
          <w:rFonts w:hint="eastAsia" w:ascii="宋体" w:hAnsi="宋体" w:eastAsia="宋体" w:cs="宋体"/>
          <w:color w:val="auto"/>
          <w:sz w:val="24"/>
          <w:szCs w:val="24"/>
          <w:highlight w:val="none"/>
          <w:lang w:val="en-US" w:eastAsia="zh-CN" w:bidi="ar-SA"/>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（2）“合同价款”系指根据本合同规定乙方在全面履行合同义务后甲方应支付给乙方的价款。</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技术资料和材料等。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（4）“相关服务”系指根据合同规定，乙方应提供的与货物有关的技术、管理和</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（7）其他术语解释，见【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val="en-US" w:eastAsia="zh-CN" w:bidi="ar-SA"/>
        </w:rPr>
        <w:t xml:space="preserve">合同标的及金额</w:t>
      </w:r>
      <w:r/>
    </w:p>
    <w:p>
      <w:pPr>
        <w:ind w:firstLine="480"/>
        <w:jc w:val="left"/>
        <w:pageBreakBefore w:val="0"/>
        <w:spacing w:line="360" w:lineRule="auto"/>
        <w:rPr>
          <w:rFonts w:hint="eastAsia" w:ascii="宋体" w:hAnsi="宋体" w:eastAsia="宋体" w:cs="宋体"/>
          <w:b/>
          <w:bCs/>
          <w:i/>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任何费用。</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 履行合同的时间、地点和方式</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乙方应当在约定的时间、地点，按照约定方式履行合同。</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 甲方的权利和义务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 甲方有权要求乙方对缺陷部分予以修复，并按合同约定享有货物保修及其他合同约定的权利。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 甲方应当按照合同约定及时对交付的货物进行验收，</w:t>
      </w:r>
      <w:r>
        <w:rPr>
          <w:rFonts w:hint="eastAsia" w:ascii="宋体" w:hAnsi="宋体" w:eastAsia="宋体" w:cs="宋体"/>
          <w:b w:val="0"/>
          <w:bCs w:val="0"/>
          <w:color w:val="auto"/>
          <w:sz w:val="24"/>
          <w:szCs w:val="24"/>
          <w:highlight w:val="none"/>
          <w:lang w:val="en-US" w:eastAsia="zh-CN" w:bidi="ar-SA"/>
        </w:rPr>
        <w:t xml:space="preserve">未</w:t>
      </w:r>
      <w:r>
        <w:rPr>
          <w:rFonts w:hint="eastAsia" w:ascii="宋体" w:hAnsi="宋体" w:eastAsia="宋体" w:cs="宋体"/>
          <w:color w:val="auto"/>
          <w:sz w:val="24"/>
          <w:szCs w:val="24"/>
          <w:highlight w:val="none"/>
          <w:lang w:val="en-US" w:eastAsia="zh-CN" w:bidi="ar-SA"/>
        </w:rPr>
        <w:t xml:space="preserve">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约定的期限内对乙方履约提出任何异议或者向乙方作出任何说明的，</w:t>
      </w:r>
      <w:r>
        <w:rPr>
          <w:rFonts w:hint="eastAsia" w:ascii="宋体" w:hAnsi="宋体" w:eastAsia="宋体" w:cs="宋体"/>
          <w:color w:val="auto"/>
          <w:sz w:val="24"/>
          <w:szCs w:val="24"/>
          <w:highlight w:val="none"/>
          <w:lang w:val="en-US" w:eastAsia="zh-CN" w:bidi="ar-SA"/>
        </w:rPr>
        <w:t xml:space="preserve">视为验收通过。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4.5 甲方应当根据合同约定及时向乙方支付合同价款，不得以内部人员变更、履行内部付款流程等为由，拒绝或迟延支付。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4.6 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约定应由甲方承担的其他义务和责任。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 乙方的权利和义务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 签署合同后，乙方应确定项目负责人（或项目联系人），负责与本合同有关的事务。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5.3乙方有权根据合同约定向甲方收取合同价款。</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约定应</w:t>
      </w:r>
      <w:r>
        <w:rPr>
          <w:rFonts w:hint="eastAsia" w:ascii="宋体" w:hAnsi="宋体" w:eastAsia="宋体" w:cs="宋体"/>
          <w:color w:val="auto"/>
          <w:sz w:val="24"/>
          <w:szCs w:val="24"/>
          <w:highlight w:val="none"/>
          <w:lang w:val="en-US" w:eastAsia="zh-CN" w:bidi="ar-SA"/>
        </w:rPr>
        <w:t xml:space="preserve">由乙方承担的其他义务和责任。</w:t>
      </w:r>
      <w:r/>
    </w:p>
    <w:p>
      <w:pPr>
        <w:numPr>
          <w:ilvl w:val="0"/>
          <w:numId w:val="3"/>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 甲乙双方应当按照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约定顺序履行合同义务；如果没有先后顺序的，应当同时履行。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 货物包装、运输、保险和交付要求</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本合同</w:t>
      </w:r>
      <w:r>
        <w:rPr>
          <w:rFonts w:hint="eastAsia" w:ascii="宋体" w:hAnsi="宋体" w:eastAsia="宋体" w:cs="宋体"/>
          <w:bCs/>
          <w:color w:val="auto"/>
          <w:sz w:val="24"/>
          <w:szCs w:val="24"/>
          <w:highlight w:val="none"/>
          <w:lang w:val="en-US" w:eastAsia="zh-CN" w:bidi="ar-SA"/>
        </w:rPr>
        <w:t xml:space="preserve">涉及商品包装、快递包装的，</w:t>
      </w:r>
      <w:r>
        <w:rPr>
          <w:rFonts w:hint="eastAsia" w:ascii="宋体" w:hAnsi="宋体" w:eastAsia="宋体" w:cs="宋体"/>
          <w:color w:val="auto"/>
          <w:sz w:val="24"/>
          <w:szCs w:val="24"/>
          <w:highlight w:val="none"/>
          <w:lang w:val="en-US" w:eastAsia="zh-CN" w:bidi="ar-SA"/>
        </w:rPr>
        <w:t xml:space="preserve">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约定的</w:t>
      </w:r>
      <w:r>
        <w:rPr>
          <w:rFonts w:hint="eastAsia" w:ascii="宋体" w:hAnsi="宋体" w:eastAsia="宋体" w:cs="宋体"/>
          <w:color w:val="auto"/>
          <w:sz w:val="24"/>
          <w:szCs w:val="24"/>
          <w:highlight w:val="none"/>
          <w:lang w:val="en-US" w:eastAsia="zh-CN" w:bidi="ar-SA"/>
        </w:rPr>
        <w:t xml:space="preserve">指定现场。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 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乙方负责办理将货物运抵本合同规定的交货地点，并装卸、交付至甲方的一切运输事项，相关费用应包含在合同价款中。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 货物保险要求按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规定执行</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 乙方在运输到达之前应提前通知甲方，并提示货物运输装卸的注意事项，甲方配合乙方做好货物的接收工作。</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7.6 如因包装、运输问题导致货物损毁、丢失或者品质下降，甲方有权要求降价、换货、拒收部分或整批货物，由此产生的费用和损失，均由乙方承担。</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8. 质量标准和保证</w:t>
      </w:r>
      <w:r/>
    </w:p>
    <w:p>
      <w:pPr>
        <w:ind w:firstLine="480"/>
        <w:jc w:val="left"/>
        <w:pageBreakBefore w:val="0"/>
        <w:spacing w:before="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 质量标准</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（2）采用中华人民共和国法定计量单位。</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（3）乙方所提供的货物应符合国家有关安全、环保、卫生的规定。</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 保证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规定或乙方书面承诺（两者以较长的为准）的质量保证期内，本保证保持有效。</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（2）在质量保证期内所发现的缺陷，甲方应尽快以书面形式通知乙方。</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（3）乙方收到通知后，应在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规定的响应时间内以合理的速度免费维修或更换有缺陷的货物或部件。</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（5）乙方在约定的时间内未能弥补缺陷，甲方可采取必要的补救措施，但其风险和费用将由乙方承担，甲方根据合同约定对乙方行使的其他权利不受影响。</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9. 权利瑕疵担保</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 乙方保证对其出售的货物享有合法的权利。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 乙方保证在交付的货物上不存在抵押权等担保物权。</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 如甲方使用上述货物构成对第三人侵权的，则由乙方承担全部责任。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10. 知识产权保护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 乙方对其所销售的货物应当享有知识产权或经权利人合法授权，保证没有侵犯任何第三人的知识产权等权利。</w:t>
      </w:r>
      <w:bookmarkStart w:id="18" w:name="_Hlk163047038"/>
      <w:r>
        <w:rPr>
          <w:rFonts w:hint="eastAsia" w:ascii="宋体" w:hAnsi="宋体" w:eastAsia="宋体" w:cs="宋体"/>
          <w:color w:val="auto"/>
          <w:sz w:val="24"/>
          <w:szCs w:val="24"/>
          <w:highlight w:val="none"/>
          <w:lang w:val="en-US" w:eastAsia="zh-CN" w:bidi="ar-SA"/>
        </w:rPr>
        <w:t xml:space="preserve">因违反前述约定对第三人构成侵权的，应当由乙方向第三人承担法律责任；甲方依法向第三人赔偿后，有权向乙方追偿。甲方有其他损失的，乙方应当赔偿</w:t>
      </w:r>
      <w:bookmarkEnd w:id="18"/>
      <w:r>
        <w:rPr>
          <w:rFonts w:hint="eastAsia" w:ascii="宋体" w:hAnsi="宋体" w:eastAsia="宋体" w:cs="宋体"/>
          <w:color w:val="auto"/>
          <w:sz w:val="24"/>
          <w:szCs w:val="24"/>
          <w:highlight w:val="none"/>
          <w:lang w:val="en-US" w:eastAsia="zh-CN" w:bidi="ar-SA"/>
        </w:rPr>
        <w:t xml:space="preserve">。</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 保密义务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中约定。</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12. 合同价款支付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合同价款支付按照国库集中支付制度及财政管理相关规定执行。</w:t>
      </w:r>
      <w:r/>
    </w:p>
    <w:p>
      <w:pPr>
        <w:ind w:firstLine="480"/>
        <w:jc w:val="both"/>
        <w:keepLines/>
        <w:keepNext/>
        <w:pageBreakBefore w:val="0"/>
        <w:spacing w:before="0"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12.2 对于满足合同约定支付条件的，甲方</w:t>
      </w:r>
      <w:r>
        <w:rPr>
          <w:rFonts w:hint="eastAsia" w:ascii="宋体" w:hAnsi="宋体" w:eastAsia="宋体" w:cs="宋体"/>
          <w:b w:val="0"/>
          <w:bCs w:val="0"/>
          <w:i w:val="0"/>
          <w:iCs w:val="0"/>
          <w:caps w:val="0"/>
          <w:color w:val="auto"/>
          <w:spacing w:val="0"/>
          <w:sz w:val="24"/>
          <w:szCs w:val="24"/>
          <w:highlight w:val="none"/>
          <w:shd w:val="clear" w:color="auto"/>
          <w:vertAlign w:val="baseline"/>
          <w:lang w:val="en-US" w:eastAsia="zh-CN" w:bidi="ar-SA"/>
        </w:rPr>
        <w:t xml:space="preserve">原则上应当自收到发票后10个工作日内</w:t>
      </w:r>
      <w:r>
        <w:rPr>
          <w:rFonts w:hint="eastAsia" w:ascii="宋体" w:hAnsi="宋体" w:eastAsia="宋体" w:cs="宋体"/>
          <w:b w:val="0"/>
          <w:bCs w:val="0"/>
          <w:color w:val="auto"/>
          <w:sz w:val="24"/>
          <w:szCs w:val="24"/>
          <w:highlight w:val="none"/>
          <w:lang w:val="en-US" w:eastAsia="zh-CN" w:bidi="ar-SA"/>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】中约定。</w:t>
      </w:r>
      <w:r/>
    </w:p>
    <w:p>
      <w:pPr>
        <w:ind w:firstLine="482"/>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13. 履约保证金</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 乙方应当以支票、汇票、本票或者金融机构、担保机构出具的保函等非现金形式提交。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如果乙方出现</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约定情形的</w:t>
      </w:r>
      <w:r>
        <w:rPr>
          <w:rFonts w:hint="eastAsia" w:ascii="宋体" w:hAnsi="宋体" w:eastAsia="宋体" w:cs="宋体"/>
          <w:color w:val="auto"/>
          <w:sz w:val="24"/>
          <w:szCs w:val="24"/>
          <w:highlight w:val="none"/>
          <w:lang w:val="en-US" w:eastAsia="zh-CN" w:bidi="ar-SA"/>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 甲方在项目通过验收后按照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规定支付。</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 </w:t>
      </w:r>
      <w:r>
        <w:rPr>
          <w:rFonts w:hint="eastAsia" w:ascii="宋体" w:hAnsi="宋体" w:eastAsia="宋体" w:cs="宋体"/>
          <w:b/>
          <w:color w:val="auto"/>
          <w:sz w:val="24"/>
          <w:szCs w:val="24"/>
          <w:highlight w:val="none"/>
          <w:lang w:val="en-US" w:eastAsia="zh-CN" w:bidi="ar-SA"/>
        </w:rPr>
        <w:t xml:space="preserve">售后服务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除项目不涉及或采购活动中明确约定无须承担外，乙方还应提供下列服务：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（1）货物的现场移动、安装、调试、启动监督及技术支持；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（2）提供货物组装和维修所需的专用工具和辅助材料；</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约定的期限内对所有的货物实施运行监督、维修，但前提条件是该服务并不能免除乙方在质量保证期内所承担的义务；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（4）在制造商所在地或指定现场就货物的安装、启动、运营、维护、废弃处置等对甲方操作人员进行培训；</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（5）依照法律、行政法规的规定或者按照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约定，货物在有效使用年限届满后应予回收的，乙方负有自行或者委托第三人对货物予以回收的义务；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规定由乙方提供的其他服务。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乙方提供的售后服务的费用已包含在合同价款中，甲方不再另行支付。</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15. 违约责任</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15.1质量瑕疵的违约责任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要求</w:t>
      </w:r>
      <w:r>
        <w:rPr>
          <w:rFonts w:hint="eastAsia" w:ascii="宋体" w:hAnsi="宋体" w:eastAsia="宋体" w:cs="宋体"/>
          <w:color w:val="auto"/>
          <w:sz w:val="24"/>
          <w:szCs w:val="24"/>
          <w:highlight w:val="none"/>
          <w:lang w:val="en-US" w:eastAsia="zh-CN" w:bidi="ar-SA"/>
        </w:rPr>
        <w:t xml:space="preserve">及时修理、重作、更换，并承担由此给甲方造成的损失。</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15.2 迟延交货的违约责任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规定执行。如果涉及公共利益，且赔偿金额无法弥补公共利益损失，甲方可要求继续履行或者采取其他补救措施。</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 迟延支付的违约责任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甲方存在迟延支付乙方合同款项的，应当承担</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规定的逾期付款利息。</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15.4其他违约责任根据项目实际需要按</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w:t>
      </w:r>
      <w:r/>
    </w:p>
    <w:p>
      <w:pPr>
        <w:numPr>
          <w:ilvl w:val="0"/>
          <w:numId w:val="4"/>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合同变更、中止与终止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16.1合同的变更</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政府采购合同履行中，在不改变合同其他条款的前提下，甲方可以在合同价款10%的范围内追加与合同标的相同的货物，并就此与乙方协商一致后签订补充协议。</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16.2合同的中止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（1）合同履行过程中因供应商就采购文件、采购过程或结果提起投诉的，甲方认为有必要的，可以中止合同的履行。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（4）甲方不得以行政区划调整、政府换届、机构或者职能调整以及相关责任人更替为由中止合同。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16.3合同的终止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（1）合同因有效期限届满而终止；</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（2）乙方未按合同约定履行，构成根本性违约的，甲方有权终止合同，并追究乙方的违约责任。</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16.4 涉及国家利益、社会公共利益的情形</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17. 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 乙方不得将合同转包给其他供应商。涉及合同分包的，乙方应根据采购文件和投标（响应）文件规定进行合同分包。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 乙方执行政府采购政策向中小企业依法分包的，乙方应当按采购文件和投标（响应）文件签订分包意向协议，分包意向协议属于本合同组成部分。</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18. 不可抗力</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 不可抗力是指合同双方不能预见、不能避免且不能克服的客观情况。</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18.2 任何一方对由于不可抗力造成的部分或全部不能履行合同不承担违约责任。但迟延履行后发生不可抗力的，不能免除责任。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19. 解决争议的方法</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 选择仲裁的，应在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中明确仲裁机构及仲裁地；通过诉讼方式解决的，可以在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中进一步约定选择与争议有实际联系的地点的人民法院管辖，但管辖法院的约定不得违反级别管辖和专属管辖的规定。</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19.3 如甲乙双方有争议的事项不影响合同其他部分的履行，在争议解决期间，合同其他部分应当继续履行。</w:t>
      </w:r>
      <w:r/>
    </w:p>
    <w:p>
      <w:pPr>
        <w:ind w:firstLine="482"/>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20. 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w:t>
      </w:r>
      <w:r>
        <w:rPr>
          <w:rFonts w:hint="eastAsia" w:ascii="宋体" w:hAnsi="宋体" w:eastAsia="宋体" w:cs="宋体"/>
          <w:color w:val="auto"/>
          <w:sz w:val="24"/>
          <w:szCs w:val="24"/>
          <w:highlight w:val="none"/>
          <w:lang w:val="en-GB" w:eastAsia="zh-CN" w:bidi="ar-SA"/>
        </w:rPr>
        <w:t xml:space="preserve">本合同应当按照规定执行政府采购政策。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eastAsia="zh-CN" w:bidi="ar-SA"/>
        </w:rPr>
        <w:t xml:space="preserve">未按规定要求执行政府采购政策造成损失的</w:t>
      </w:r>
      <w:r>
        <w:rPr>
          <w:rFonts w:hint="eastAsia" w:ascii="宋体" w:hAnsi="宋体" w:eastAsia="宋体" w:cs="宋体"/>
          <w:color w:val="auto"/>
          <w:sz w:val="24"/>
          <w:szCs w:val="24"/>
          <w:highlight w:val="none"/>
          <w:lang w:val="en-US" w:eastAsia="zh-CN" w:bidi="ar-SA"/>
        </w:rPr>
        <w:t xml:space="preserve">，有过错的一方应当承担赔偿责任，双方都有过错的，各自承担相应的责任。</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21. 法律适用</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本合同的订立、生效、解释、履行及与本合同有关的争议解决，均适用法律、行政法规。</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 本合同条款与法律、行政法规的强制性规定不一致的，双方当事人应按照法律、行政法规的强制性规定修改本合同的相关条款。</w:t>
      </w:r>
      <w:r/>
    </w:p>
    <w:p>
      <w:pPr>
        <w:numPr>
          <w:ilvl w:val="-1"/>
          <w:numId w:val="0"/>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22. 通知</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 一方当事人变更名称、住所、联系人、联系电话或电子邮箱等信息的，应当在变更后3日内及时书面通知对方，对方实际收到变更通知前的送达仍为有效送达。</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22.3本合同一方给另一方的通知均应采用书面形式，传真或快递送到本合同中规定的对方的地址和办理签收手续。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22.4通知以送达之日或通知书中规定的生效之日起生效，两者中以较迟之日为准。</w:t>
      </w:r>
      <w:r/>
    </w:p>
    <w:p>
      <w:pPr>
        <w:numPr>
          <w:ilvl w:val="0"/>
          <w:numId w:val="5"/>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合同未尽事项</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23.1合同未尽事项见</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23.2 合同附件与合同正文具有同等的法律效力。</w:t>
      </w:r>
      <w:bookmarkStart w:id="19" w:name="_Toc20313"/>
      <w:r/>
      <w:r/>
    </w:p>
    <w:p>
      <w:pPr>
        <w:ind w:firstLine="480"/>
        <w:jc w:val="left"/>
        <w:pageBreakBefore w:val="0"/>
        <w:spacing w:line="360" w:lineRule="auto"/>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23.3 甲方保留对合同修改和完善的权利。</w:t>
      </w:r>
      <w:r/>
    </w:p>
    <w:p>
      <w:pPr>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jc w:val="center"/>
        <w:keepLines/>
        <w:keepNext/>
        <w:spacing w:line="360" w:lineRule="auto"/>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第三节 政府采购合同专用条款</w:t>
      </w:r>
      <w:bookmarkEnd w:id="19"/>
      <w:r/>
      <w:r/>
    </w:p>
    <w:tbl>
      <w:tblPr>
        <w:tblStyle w:val="659"/>
        <w:tblW w:w="9066"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36"/>
        <w:gridCol w:w="2520"/>
        <w:gridCol w:w="4710"/>
      </w:tblGrid>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联合体具体要求</w:t>
            </w:r>
            <w:r/>
          </w:p>
        </w:tc>
        <w:tc>
          <w:tcPr>
            <w:tcW w:w="4710" w:type="dxa"/>
            <w:vAlign w:val="center"/>
            <w:textDirection w:val="lrTb"/>
            <w:noWrap w:val="false"/>
          </w:tcPr>
          <w:p>
            <w:pPr>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不接受联合体</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第1.2（7）项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其他术语解释</w:t>
            </w:r>
            <w:r/>
          </w:p>
        </w:tc>
        <w:tc>
          <w:tcPr>
            <w:tcW w:w="4710" w:type="dxa"/>
            <w:vAlign w:val="center"/>
            <w:textDirection w:val="lrTb"/>
            <w:noWrap w:val="false"/>
          </w:tcPr>
          <w:p>
            <w:pPr>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履约验收中甲方提出异议或作出说明的期限</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如有质量异议,乙方应在接到甲方异议的3天内做出书面答复,逾期则视为乙方同意甲方提出的异议和处理意见</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第4.6款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约定甲方承担的其他义务和责任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（1）尊重乙方的正当合法权益，按照合同约定的条件，按时支付款项；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（2）接收货物的义务；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（3）根据合同约定的标准和时间，验收货物的义务；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（4）如发生验收不通过，返厂维修、退货时，有相关退货及重新验收的义务；</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第5.4款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约定乙方承担的其他义务和责任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1、乙方应按招标文件规定的时间向甲方提供使用货物的有关技术资料。</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2、乙方交货前应对产品作出全面检查和对验收文件进行整理，并列出清单，作为甲方收货验收和使用的技术条件依据，检验的结果应随货物交甲方。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应按招标文件规定的货物性能、技术要求、质量标准向甲方提供未经使用的全新产品。乙方需在货物定制（生产）2日前将中标项目所需供货技术参数、数量等报给甲方审核确认，如未经甲方许可进行生产，甲方有权拒绝其供货，且可以要求乙方赔偿给甲方造成的损失。</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第6.1款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履行合同义务的顺序</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按照国家法律法规要求执行</w:t>
            </w:r>
            <w:r/>
          </w:p>
        </w:tc>
      </w:tr>
      <w:tr>
        <w:trPr>
          <w:trHeight w:val="667"/>
        </w:trPr>
        <w:tc>
          <w:tcPr>
            <w:tcW w:w="1836"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包装特殊要求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绿色环保</w:t>
            </w:r>
            <w:r/>
          </w:p>
        </w:tc>
      </w:tr>
      <w:tr>
        <w:trPr>
          <w:trHeight w:val="667"/>
        </w:trPr>
        <w:tc>
          <w:tcPr>
            <w:tcW w:w="1836"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指定现场</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灌云县高新区高级中学</w:t>
            </w:r>
            <w:r/>
          </w:p>
        </w:tc>
      </w:tr>
      <w:tr>
        <w:trPr>
          <w:trHeight w:val="502"/>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运输特殊要求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1、使用说明书、质量检验证明书、随配附件和工具以及清单一并附于货物内。</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2、乙方在货物发运手续办理完毕后24小时内或货到甲方48小时前通知甲方，以准备接货。</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3、货物在交付甲方前发生的风险均由乙方负责。</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4、货物在规定的交付期限内由乙方送达甲方指定的地点视为交付，乙方同时需通知甲方货物已送达。</w:t>
            </w:r>
            <w:r/>
          </w:p>
        </w:tc>
      </w:tr>
      <w:tr>
        <w:trPr>
          <w:trHeight w:val="66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保险要求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装实施过程中发生的一切安全问题均由乙方自行承担；乙方必须安排具有相应资格人员参与安装实施，进场安装实施人员在本项目履约期间具有人身意外伤害险；在安装实施中要严格按行业规定进行安装实施，若出现任何安全事故，责任由乙方自行承担</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第8.2（1）项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质量保证期</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验收合格之日起  年</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货物质量缺陷响应时间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bookmarkStart w:id="20" w:name="auto_fouce_13"/>
            <w:r>
              <w:rPr>
                <w:rFonts w:hint="eastAsia" w:ascii="宋体" w:hAnsi="宋体" w:eastAsia="宋体" w:cs="宋体"/>
                <w:color w:val="auto"/>
                <w:sz w:val="24"/>
                <w:szCs w:val="24"/>
                <w:highlight w:val="none"/>
                <w:lang w:val="en-US" w:eastAsia="zh-CN" w:bidi="ar-SA"/>
              </w:rPr>
              <w:t xml:space="preserve">提供的货物在质保期内因产品本身的质量问题发生损坏，在接到甲方通知后响应时间不超过1小时内到达现场，2小时内完成甲方提出的维修或更换要求，并解决损坏。如未能在约定时间内响应，甲方有权自行委托第三方处理并扣除相应费用。若超过12个小时无法解决，由乙方提供性能不低于故障产品的备用产品供甲方使用直至设备维修完成。在质保期内，乙方应对货物出现的质量及安全问题负责处理解决并承担一切费用。</w:t>
            </w:r>
            <w:bookmarkEnd w:id="20"/>
            <w:r>
              <w:rPr>
                <w:rFonts w:hint="eastAsia" w:ascii="宋体" w:hAnsi="宋体" w:eastAsia="宋体" w:cs="宋体"/>
                <w:color w:val="auto"/>
                <w:sz w:val="24"/>
                <w:szCs w:val="24"/>
                <w:highlight w:val="none"/>
                <w:lang w:val="en-US" w:eastAsia="zh-CN" w:bidi="ar-SA"/>
              </w:rPr>
              <w:t xml:space="preserve"> </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ind w:firstLine="0"/>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第11.1款</w:t>
            </w:r>
            <w:r/>
          </w:p>
        </w:tc>
        <w:tc>
          <w:tcPr>
            <w:tcW w:w="2520"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其他应当保密的信息</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乙方应保证，甲方使用该货物或货物的任何一部分时，免受第三方提出的侵犯其专利权、商标权或其他知识产权的起诉。如发生此类纠纷，由乙方承担一切责任</w:t>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合同价款支付时间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合同签订后30日内，招标人支付合同价款的10%作为预付款；采购货物送至指定地点后支付至合同价款的50%，安装调试完成且经验收合格后一次性付清。（无息）</w:t>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履约保证金不予退还的情形</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(1)违反合同义务且未承担违约责任；(2)未按时履行违约责任；(3)未能履行与甲方签订的合同，且损失超出履约保证金金额</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履约保证金退还时间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全部货物供货完成并经验收合格后，15日内退还</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运行监督、维修期限</w:t>
            </w:r>
            <w:r/>
          </w:p>
        </w:tc>
        <w:tc>
          <w:tcPr>
            <w:tcW w:w="4710" w:type="dxa"/>
            <w:vAlign w:val="center"/>
            <w:textDirection w:val="lrTb"/>
            <w:noWrap w:val="false"/>
          </w:tcPr>
          <w:p>
            <w:pPr>
              <w:jc w:val="lef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同质保期</w:t>
            </w:r>
            <w:r/>
          </w:p>
        </w:tc>
      </w:tr>
      <w:tr>
        <w:trPr>
          <w:trHeight w:val="409"/>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第14.1（5）项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货物回收的约定</w:t>
            </w:r>
            <w:r/>
          </w:p>
        </w:tc>
        <w:tc>
          <w:tcPr>
            <w:tcW w:w="4710" w:type="dxa"/>
            <w:vAlign w:val="center"/>
            <w:textDirection w:val="lrTb"/>
            <w:noWrap w:val="false"/>
          </w:tcPr>
          <w:p>
            <w:pPr>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乙方提供的其他服务</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应甲方要求，乙方应提供下列服务，所有服务费用已包含在合同总价中。</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1.安装</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1.1乙方必须向甲方提供合同货物所需的材料及技术资料以及组装/维修所需工具。</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1.2乙方已对甲方现场进行详细考察，完全了解现场的状况及环境要求，并承诺不因上述原因对甲方索赔。</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1.3在合同规定的期限内对所提供的标的物实行使用监督、维修服务的前提条件是该服务并不能免除乙方在质量保证期内所承担的义务。</w:t>
            </w:r>
            <w:r/>
          </w:p>
        </w:tc>
      </w:tr>
      <w:tr>
        <w:trPr>
          <w:trHeight w:val="481"/>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修理、重作、更换相关具体规定</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乙方对所供货物与技术要求不符负有责任，如经检测证实不符或缺陷存在的，包括潜在的缺陷或使用不合适的材料，甲方可根据本</w:t>
            </w:r>
            <w:r>
              <w:rPr>
                <w:rFonts w:hint="eastAsia" w:ascii="宋体" w:hAnsi="宋体" w:eastAsia="宋体" w:cs="宋体"/>
                <w:color w:val="auto"/>
                <w:sz w:val="24"/>
                <w:szCs w:val="24"/>
                <w:highlight w:val="none"/>
                <w:lang w:val="en-US" w:eastAsia="zh-CN" w:bidi="ar-SA"/>
              </w:rPr>
              <w:t xml:space="preserve">合同有关质量保证或检验、安装的规定，在质量保证期内及时提出索赔，乙方同意甲方选择下述一种或多种结合的方法解决索赔事宜：1、乙方同意甲方退货，乙方承担由此发生的一切损失和费用，包括利息、银行手续费、运费、保险费、检验费、仓储费、装卸费以及为保管、维护和退回被拒收货物所发生的其他必要费用。2、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bookmarkStart w:id="21" w:name="auto_fouce_16"/>
            <w:r>
              <w:rPr>
                <w:rFonts w:hint="eastAsia" w:ascii="宋体" w:hAnsi="宋体" w:eastAsia="宋体" w:cs="宋体"/>
                <w:color w:val="auto"/>
                <w:sz w:val="24"/>
                <w:szCs w:val="24"/>
                <w:highlight w:val="none"/>
                <w:lang w:val="en-US" w:eastAsia="zh-CN" w:bidi="ar-SA"/>
              </w:rPr>
              <w:t xml:space="preserve">如质保期内同一部件出现三次以上质量问题，乙方除免费更换外需额外支付相当于该部件价值200%的质量处罚金。</w:t>
            </w:r>
            <w:bookmarkEnd w:id="21"/>
            <w:r>
              <w:rPr>
                <w:rFonts w:hint="eastAsia" w:ascii="宋体" w:hAnsi="宋体" w:eastAsia="宋体" w:cs="宋体"/>
                <w:color w:val="auto"/>
                <w:sz w:val="24"/>
                <w:szCs w:val="24"/>
                <w:highlight w:val="none"/>
                <w:lang w:val="en-US" w:eastAsia="zh-CN" w:bidi="ar-SA"/>
              </w:rPr>
              <w:t xml:space="preserve">3、乙方收到索赔通知后3天内，未给甲方答复的，视为索赔已被乙方接受。乙方未能在收到索赔通知后3天内，或征得甲方同意的延长期限内，按照甲方从上列方法中选择的方案解决索赔事宜的，甲方将有权从未付货款中扣回索赔金额，同时保留进一步要求索赔的权利。甲方有权优先选择解除合同并要求乙方支付合同总金额20%的违约金，且不排除同时主张损失赔偿的权利。若质量问题涉及安全隐患，乙方需按该批次货物价值的300%承担惩罚性赔偿责任。</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第15.2（2）项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迟延交货赔偿费</w:t>
            </w:r>
            <w:r/>
          </w:p>
        </w:tc>
        <w:tc>
          <w:tcPr>
            <w:tcW w:w="4710"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bidi="ar-SA"/>
              </w:rPr>
            </w:pPr>
            <w:r/>
            <w:bookmarkStart w:id="22" w:name="auto_fouce_17"/>
            <w:r>
              <w:rPr>
                <w:rFonts w:hint="eastAsia" w:ascii="宋体" w:hAnsi="宋体" w:eastAsia="宋体" w:cs="宋体"/>
                <w:color w:val="auto"/>
                <w:sz w:val="24"/>
                <w:szCs w:val="24"/>
                <w:highlight w:val="none"/>
                <w:u w:val="none"/>
                <w:lang w:val="en-US" w:eastAsia="zh-CN" w:bidi="ar-SA"/>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逾期违约金。违约金按迟延货物对应合同金额的每日0.3%累加计算（不低于5000元/天），最高不超过迟延部分合同金额的30%，且误期不能超出5个工作日。一旦达此限期，甲方有权解除合同。</w:t>
            </w:r>
            <w:bookmarkEnd w:id="22"/>
            <w:r/>
            <w:r/>
          </w:p>
        </w:tc>
      </w:tr>
      <w:tr>
        <w:trPr>
          <w:trHeight w:val="55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逾期付款利息</w:t>
            </w:r>
            <w:r/>
          </w:p>
        </w:tc>
        <w:tc>
          <w:tcPr>
            <w:tcW w:w="4710" w:type="dxa"/>
            <w:vAlign w:val="center"/>
            <w:textDirection w:val="lrTb"/>
            <w:noWrap w:val="false"/>
          </w:tcPr>
          <w:p>
            <w:pPr>
              <w:jc w:val="left"/>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w:t>
            </w:r>
            <w:r/>
          </w:p>
        </w:tc>
      </w:tr>
      <w:tr>
        <w:trPr>
          <w:trHeight w:val="876"/>
        </w:trPr>
        <w:tc>
          <w:tcPr>
            <w:tcBorders>
              <w:bottom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第15.4款</w:t>
            </w:r>
            <w:r/>
          </w:p>
        </w:tc>
        <w:tc>
          <w:tcPr>
            <w:tcBorders>
              <w:left w:val="single" w:color="auto" w:sz="2" w:space="0"/>
              <w:bottom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其他违约责任</w:t>
            </w:r>
            <w:r/>
          </w:p>
        </w:tc>
        <w:tc>
          <w:tcPr>
            <w:tcBorders>
              <w:left w:val="single" w:color="auto" w:sz="2" w:space="0"/>
              <w:bottom w:val="single" w:color="auto" w:sz="2" w:space="0"/>
            </w:tcBorders>
            <w:tcW w:w="4710" w:type="dxa"/>
            <w:vAlign w:val="center"/>
            <w:textDirection w:val="lrTb"/>
            <w:noWrap w:val="false"/>
          </w:tcPr>
          <w:p>
            <w:pPr>
              <w:jc w:val="left"/>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因乙方原因造成逾期交付货物的，乙方应按逾期交货总额每日千分之三向甲方支付违约金，由甲方从待付合同款中扣除，如逾期超过约定日期3个工作日不能交货的，甲方有权扣除履约保证金并解除本合同。乙方因逾期交货或因其他违约行为导致甲方解除合同的，乙方应向甲方支付合同总值5%的违约金，如造成甲方损失超过违约金的，超出部分由乙方继续承担赔偿责任</w:t>
            </w:r>
            <w:r/>
          </w:p>
          <w:p>
            <w:pPr>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并承担由此给甲方造成的全部损失。</w:t>
            </w:r>
            <w:r/>
          </w:p>
        </w:tc>
      </w:tr>
      <w:tr>
        <w:trPr>
          <w:trHeight w:val="90"/>
        </w:trPr>
        <w:tc>
          <w:tcPr>
            <w:tcBorders>
              <w:top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第19.2款</w:t>
            </w:r>
            <w:r/>
          </w:p>
        </w:tc>
        <w:tc>
          <w:tcPr>
            <w:tcBorders>
              <w:top w:val="single" w:color="auto" w:sz="2" w:space="0"/>
              <w:left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解决争议的方法</w:t>
            </w:r>
            <w:r/>
          </w:p>
        </w:tc>
        <w:tc>
          <w:tcPr>
            <w:tcBorders>
              <w:top w:val="single" w:color="auto" w:sz="2" w:space="0"/>
              <w:left w:val="single" w:color="auto" w:sz="2" w:space="0"/>
            </w:tcBorders>
            <w:tcW w:w="4710" w:type="dxa"/>
            <w:vAlign w:val="center"/>
            <w:textDirection w:val="lrTb"/>
            <w:noWrap w:val="false"/>
          </w:tcPr>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因本合同及合同有关事项发生的争议，按下列第</w:t>
            </w:r>
            <w:r>
              <w:rPr>
                <w:rFonts w:hint="eastAsia" w:ascii="宋体" w:hAnsi="宋体" w:eastAsia="宋体" w:cs="宋体"/>
                <w:b w:val="0"/>
                <w:bCs w:val="0"/>
                <w:iCs/>
                <w:color w:val="auto"/>
                <w:sz w:val="24"/>
                <w:szCs w:val="24"/>
                <w:highlight w:val="none"/>
                <w:u w:val="single"/>
                <w:lang w:val="en-US" w:eastAsia="zh-CN" w:bidi="ar-SA"/>
              </w:rPr>
              <w:t xml:space="preserve"> 2 </w:t>
            </w:r>
            <w:r>
              <w:rPr>
                <w:rFonts w:hint="eastAsia" w:ascii="宋体" w:hAnsi="宋体" w:eastAsia="宋体" w:cs="宋体"/>
                <w:b w:val="0"/>
                <w:bCs w:val="0"/>
                <w:iCs/>
                <w:color w:val="auto"/>
                <w:sz w:val="24"/>
                <w:szCs w:val="24"/>
                <w:highlight w:val="none"/>
                <w:lang w:val="en-US" w:eastAsia="zh-CN" w:bidi="ar-SA"/>
              </w:rPr>
              <w:t xml:space="preserve">种方式解决：</w:t>
            </w:r>
            <w:r/>
          </w:p>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（1）向</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仲裁委员会申请仲裁，仲裁地点为</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w:t>
            </w:r>
            <w:r/>
          </w:p>
          <w:p>
            <w:pPr>
              <w:ind w:firstLine="0"/>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（2）向</w:t>
            </w:r>
            <w:r>
              <w:rPr>
                <w:rFonts w:hint="eastAsia" w:ascii="宋体" w:hAnsi="宋体" w:eastAsia="宋体" w:cs="宋体"/>
                <w:b w:val="0"/>
                <w:bCs w:val="0"/>
                <w:iCs/>
                <w:color w:val="auto"/>
                <w:sz w:val="24"/>
                <w:szCs w:val="24"/>
                <w:highlight w:val="none"/>
                <w:u w:val="single"/>
                <w:lang w:val="en-US" w:eastAsia="zh-CN" w:bidi="ar-SA"/>
              </w:rPr>
              <w:t xml:space="preserve">连云港市灌云县</w:t>
            </w:r>
            <w:r>
              <w:rPr>
                <w:rFonts w:hint="eastAsia" w:ascii="宋体" w:hAnsi="宋体" w:eastAsia="宋体" w:cs="宋体"/>
                <w:b w:val="0"/>
                <w:bCs w:val="0"/>
                <w:iCs/>
                <w:color w:val="auto"/>
                <w:sz w:val="24"/>
                <w:szCs w:val="24"/>
                <w:highlight w:val="none"/>
                <w:lang w:val="en-US" w:eastAsia="zh-CN" w:bidi="ar-SA"/>
              </w:rPr>
              <w:t xml:space="preserve">人民法院起诉。</w:t>
            </w:r>
            <w:r/>
          </w:p>
        </w:tc>
      </w:tr>
      <w:tr>
        <w:trPr>
          <w:trHeight w:val="548"/>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第23.1款</w:t>
            </w:r>
            <w:r/>
          </w:p>
        </w:tc>
        <w:tc>
          <w:tcPr>
            <w:tcW w:w="2520"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其他专用条款</w:t>
            </w:r>
            <w:r/>
          </w:p>
        </w:tc>
        <w:tc>
          <w:tcPr>
            <w:tcW w:w="4710" w:type="dxa"/>
            <w:vAlign w:val="center"/>
            <w:textDirection w:val="lrTb"/>
            <w:noWrap w:val="false"/>
          </w:tcPr>
          <w:p>
            <w:pPr>
              <w:jc w:val="both"/>
              <w:keepLines w:val="0"/>
              <w:keepNext w:val="0"/>
              <w:pageBreakBefore w:val="0"/>
              <w:spacing w:after="0"/>
              <w:widowControl w:val="off"/>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color w:val="auto"/>
                <w:sz w:val="24"/>
                <w:szCs w:val="24"/>
                <w:highlight w:val="none"/>
                <w:lang w:val="en-US" w:eastAsia="zh-CN"/>
              </w:rPr>
            </w:r>
            <w:r/>
          </w:p>
        </w:tc>
      </w:tr>
    </w:tbl>
    <w:p>
      <w:pPr>
        <w:pStyle w:val="669"/>
        <w:ind w:firstLine="480"/>
        <w:jc w:val="left"/>
        <w:keepLines w:val="0"/>
        <w:keepNext w:val="0"/>
        <w:pageBreakBefore w:val="0"/>
        <w:spacing w:line="480" w:lineRule="exact"/>
        <w:shd w:val="clear" w:color="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left="0" w:right="0"/>
        <w:jc w:val="left"/>
        <w:pageBreakBefore w:val="0"/>
        <w:spacing w:line="490" w:lineRule="exact"/>
        <w:widowControl/>
        <w:rPr>
          <w:rFonts w:hint="eastAsia" w:ascii="宋体" w:hAnsi="宋体" w:eastAsia="宋体" w:cs="宋体"/>
          <w:szCs w:val="21"/>
        </w:rPr>
      </w:pPr>
      <w:r>
        <w:rPr>
          <w:rFonts w:hint="eastAsia" w:ascii="宋体" w:hAnsi="宋体" w:eastAsia="宋体" w:cs="宋体"/>
          <w:szCs w:val="21"/>
        </w:rPr>
        <w:br w:type="page" w:clear="all"/>
      </w:r>
      <w:r/>
    </w:p>
    <w:p>
      <w:pPr>
        <w:pStyle w:val="649"/>
        <w:ind w:left="0" w:right="0"/>
        <w:jc w:val="center"/>
        <w:keepLines/>
        <w:keepNext/>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第四章  采购需求</w:t>
      </w:r>
      <w:bookmarkEnd w:id="15"/>
      <w:r/>
      <w:r/>
    </w:p>
    <w:p>
      <w:pPr>
        <w:ind w:firstLine="482"/>
        <w:jc w:val="left"/>
        <w:keepLines w:val="0"/>
        <w:keepNext w:val="0"/>
        <w:pageBreakBefore w:val="0"/>
        <w:spacing w:line="360" w:lineRule="auto"/>
        <w:widowControl w:val="off"/>
        <w:rPr>
          <w:rFonts w:hint="eastAsia" w:ascii="宋体" w:hAnsi="宋体" w:eastAsia="宋体" w:cs="宋体"/>
          <w:strike w:val="0"/>
          <w:sz w:val="24"/>
          <w:szCs w:val="24"/>
          <w:highlight w:val="none"/>
        </w:rPr>
      </w:pPr>
      <w:r>
        <w:rPr>
          <w:rFonts w:hint="eastAsia" w:ascii="宋体" w:hAnsi="宋体" w:eastAsia="宋体" w:cs="宋体"/>
          <w:b/>
          <w:bCs/>
          <w:sz w:val="24"/>
          <w:szCs w:val="24"/>
          <w:highlight w:val="none"/>
        </w:rPr>
        <w:t xml:space="preserve">说明：本项目属性为货物，</w:t>
      </w:r>
      <w:r>
        <w:rPr>
          <w:rFonts w:hint="eastAsia" w:ascii="宋体" w:hAnsi="宋体" w:eastAsia="宋体" w:cs="宋体"/>
          <w:b/>
          <w:bCs/>
          <w:strike w:val="0"/>
          <w:sz w:val="24"/>
          <w:szCs w:val="24"/>
          <w:highlight w:val="none"/>
        </w:rPr>
        <w:t xml:space="preserve">采购标的对应的中小企业划分标准所属行业为工业。</w:t>
      </w:r>
      <w:r/>
    </w:p>
    <w:p>
      <w:pPr>
        <w:ind w:left="0" w:right="0"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根据《政府采购需求管理办法》等有关规定，</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确定采购需求。</w:t>
      </w:r>
      <w:r/>
    </w:p>
    <w:p>
      <w:p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2、本项目需求中标注★号的部分为实质性要求和条件（由采购人根据实际情况设置），投标人必须作出满足或者优于原要求和条件的响应，否则投标无效。</w:t>
      </w:r>
      <w:r/>
    </w:p>
    <w:p>
      <w:pPr>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特别提醒：为落实政府采购中实施本国产品标准及相关政策</w:t>
      </w:r>
      <w:r/>
    </w:p>
    <w:p>
      <w:pPr>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1.本项目对采购本国产品给予政策支持，具体内容见招标文件“第二章”。</w:t>
      </w:r>
      <w:r/>
    </w:p>
    <w:p>
      <w:pPr>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Start w:id="39" w:name="_GoBack"/>
      <w:r/>
      <w:bookmarkEnd w:id="39"/>
      <w:r/>
      <w:r/>
    </w:p>
    <w:p>
      <w:pPr>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一、项目概况</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eastAsia="zh-CN"/>
        </w:rPr>
        <w:t xml:space="preserve">灌云县高新区高级中学</w:t>
      </w:r>
      <w:r>
        <w:rPr>
          <w:rFonts w:hint="eastAsia" w:ascii="宋体" w:hAnsi="宋体" w:eastAsia="宋体" w:cs="宋体"/>
          <w:sz w:val="24"/>
          <w:szCs w:val="24"/>
        </w:rPr>
        <w:t xml:space="preserve">建设需要，现需对相关配套设备进行采购。</w:t>
      </w:r>
      <w:r/>
    </w:p>
    <w:p>
      <w:pPr>
        <w:ind w:right="0"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二、货物技术参数及功能指标</w:t>
      </w:r>
      <w:r/>
    </w:p>
    <w:tbl>
      <w:tblPr>
        <w:tblStyle w:val="659"/>
        <w:tblW w:w="9480" w:type="dxa"/>
        <w:tblInd w:w="-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3"/>
        <w:gridCol w:w="1100"/>
        <w:gridCol w:w="1457"/>
        <w:gridCol w:w="4736"/>
        <w:gridCol w:w="667"/>
        <w:gridCol w:w="747"/>
      </w:tblGrid>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bookmarkStart w:id="23" w:name="_Toc139966432"/>
            <w:r/>
            <w:bookmarkStart w:id="24" w:name="_Toc139967216"/>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left"/>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规格尺寸</w:t>
            </w:r>
            <w:r/>
          </w:p>
          <w:p>
            <w:pPr>
              <w:jc w:val="center"/>
              <w:keepLines w:val="0"/>
              <w:keepNext w:val="0"/>
              <w:pageBreakBefore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370"/>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A一层加工间</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1200*700*800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整体采用SUS304不锈钢制作，台面厚不低于1.0mm；星盆斗厚不低于1.0mm，配置提篮式不锈钢下水器；立柱采用48*1.0mm圆管，配不锈钢可调子弹脚；横撑采用32*1.0mm圆管</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12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去皮清洗机</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1200*814*1000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功率：2.2KW</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电压：220V</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产量：100kg/h</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eastAsia="zh-CN"/>
              </w:rPr>
              <w:t xml:space="preserve">具有</w:t>
            </w:r>
            <w:r>
              <w:rPr>
                <w:rFonts w:hint="eastAsia" w:ascii="宋体" w:hAnsi="宋体" w:eastAsia="宋体" w:cs="宋体"/>
                <w:i w:val="0"/>
                <w:iCs w:val="0"/>
                <w:color w:val="auto"/>
                <w:sz w:val="21"/>
                <w:szCs w:val="21"/>
                <w:highlight w:val="none"/>
                <w:u w:val="none"/>
                <w:lang w:val="en-US" w:eastAsia="zh-CN"/>
              </w:rPr>
              <w:t xml:space="preserve">食品接触产品卫生认证证书</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13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A03</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1300*700*1140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产能：1000kg/h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适合各种软硬的根茎叶类蔬菜和海带的加工，可切制成片、块、丝、丁、菱形、曲线型等多种花样。</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A05</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双层平板工作台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整体采用su304不锈钢制作；台面厚不低于1.0mm，内衬4mm防水机制板并用不低于1.0mm厚不锈钢板折成加强筋加固；下层板厚不低于1.2mm；脚管采用Ф48*1.0mm厚不锈钢圆管；配不锈钢可调子弹脚。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68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A06</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平板车</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850*600*850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钢片材料用SUS304不锈钢板，面板钢板厚不低于1.2mm，配4个4寸活动胶轮。           </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▲产品所用板材符合GB/T 232-2024《金属材料 弯曲试验方法》、GB/T 4340.1-2024《金属材料 维氏硬度试验 第1部分：试验方法》、GB/T 20878-2024《不锈钢 牌号及化学成分》的国家标准，弯心直径：5mm，弯曲角度：180°：试验后样品无裂纹，维氏硬度≤140。</w:t>
            </w:r>
            <w:r>
              <w:rPr>
                <w:rFonts w:hint="eastAsia" w:ascii="宋体" w:hAnsi="宋体" w:eastAsia="宋体" w:cs="宋体"/>
                <w:b/>
                <w:bCs/>
                <w:i w:val="0"/>
                <w:iCs w:val="0"/>
                <w:color w:val="auto"/>
                <w:sz w:val="21"/>
                <w:szCs w:val="21"/>
                <w:highlight w:val="none"/>
                <w:u w:val="none"/>
                <w:lang w:val="en-US" w:eastAsia="zh-CN" w:bidi="ar"/>
              </w:rPr>
              <w:t xml:space="preserve">注：提供具有CMA资质的第三方检测机构出具的304材质不锈钢板材的检测报告。</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29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A07</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四门高身雪柜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1220*760*1950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板材内外胆制成，优质压缩机，制冷效果强，冷藏温度5℃～-5℃，冷冻温度-6℃～-18℃，温控方式：电子温控，容积：1.0L，环保无氟制冷，无凝霜。蒸发器为铜管，凝聚器为铜管铝箔翘片式加风机散热。底部装轮子。</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49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A08</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双星工作台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2000*800*800+150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整体优质SUS304不锈钢制作；台面采用不低于1.0mm厚不锈钢板制作；星盆斗采用不低于1.0mm厚不锈钢板制作；立柱采用38*38mm方通，配可调式子弹脚；横撑采用25*38mm方通；不锈钢下水器。</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46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A09</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双星工作台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2000*700*800+150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整体优质SUS304不锈钢制作，台面采用不低于1.0mm厚不锈钢板制作；星盆斗采用不低于1.0mm厚不锈钢板制作；立柱采用38*38mm方通，配可调式子弹脚；横撑采用25*38mm方通；不锈钢下水器。</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24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A10</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绞切肉机</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1020*600*900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机身以及与肉类接触部件均为优质SUS304不锈钢，输送带及压菜带为无毒橡塑材料，可切片、切丝、绞馅，生产能力：切肉片400Kg/h,切肉丝200Kg/h,绞肉100Kg/h。</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防水等级不低于IPX1。</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8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C一层冷藏库</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1200*500*1550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整体采用SUS304不锈钢制作，平板厚度不低于1.0mm；立柱采用φ48mm，不低于1.0mm厚不锈钢圆管；配不锈钢可调子弹脚。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2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冷冻保鲜库</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8200*8200*2200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温度:+2～+6℃，</w:t>
            </w:r>
            <w:r/>
          </w:p>
          <w:p>
            <w:pPr>
              <w:jc w:val="left"/>
              <w:keepLines w:val="0"/>
              <w:keepNext w:val="0"/>
              <w:pageBreakBefore w:val="0"/>
              <w:widowControl/>
              <w:rPr>
                <w:rFonts w:hint="eastAsia"/>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保温:聚氨酯双面彩钢板不低于100mm厚/板0.5mm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防水:SBS沥青防水层2.5mm厚；地板覆压花铝板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制冷:采用电融霜指标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系统:外平衡式膨胀阀采用优质产品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系统:电磁阀采用优质产品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冷媒:制冷剂R404a指标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管道:冷媒连接紫铜管Φ16×1.0指标，螺纹内壁铜管便于导热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照明:冷库专用LED三防灯采用双灯管指示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控制:微电脑全自动控制器带超温低温报警</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82"/>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D一层验货区</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电子落地称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420*560*900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交直流两用，可充电，采用LED数码显示，带计价功能；量程：150kg</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82"/>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E预进间</w:t>
            </w:r>
            <w:r/>
          </w:p>
        </w:tc>
      </w:tr>
      <w:tr>
        <w:trPr>
          <w:trHeight w:val="143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660*128*380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工作方式：粘捕式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额定功率：0.008KW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覆盖面积：30-50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额定电压：220V-50HZ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材料等级：ABS阻燃材料</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76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洗手池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400*300*400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整体采用优质SUS304不锈钢制作，厚度不低于1.0mm（实厚）</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8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F一层售卖间</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五格售饭台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1、精准控温304不锈钢加热管迅速升温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2、三角结构设计，加厚称重板材，安全牢固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3、油渍污渍一擦就净，边角经过磨合防止划伤</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3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紫外线消毒灯</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920*130*80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电压:220V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功率:100W</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92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F03</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双门不锈钢门消毒柜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1380*680*1800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面板材质：不锈钢内外胆，整体发泡。消毒方式：高温消毒热风循环。消毒星级：二星级，消毒柜容量：300L</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88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F04</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单通移门荷台柜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1800*700*800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台面厚度不低于1.2mm，内衬15mm防水机制板并用不低于1.0mm厚不锈钢板折成加强筋加固；层板、底板、侧板及门面采用不低于1.0mm厚不锈钢板制作；加强筋厚度不低于1.0mm；配置不锈钢可调子弹脚。移门为双层结构。               </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▲产品所用板材符合GB/T 228.1-2021《金属材料 拉伸试验 第1部分：室温试验方法》的国家标准，抗拉强度≥780MPa,规定塑性延伸强度≥290MPa，断后伸长率≥62%。</w:t>
            </w:r>
            <w:r>
              <w:rPr>
                <w:rFonts w:hint="eastAsia" w:ascii="宋体" w:hAnsi="宋体" w:eastAsia="宋体" w:cs="宋体"/>
                <w:b/>
                <w:bCs/>
                <w:i w:val="0"/>
                <w:iCs w:val="0"/>
                <w:color w:val="auto"/>
                <w:sz w:val="21"/>
                <w:szCs w:val="21"/>
                <w:highlight w:val="none"/>
                <w:u w:val="none"/>
                <w:lang w:val="en-US" w:eastAsia="zh-CN" w:bidi="ar"/>
              </w:rPr>
              <w:t xml:space="preserve">注：提供具有CMA资质的第三方检测机构出具的304材质不锈钢板材的检测报告。</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04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F05</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双星水池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1200*600*800+150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整体优质SUS304不锈钢制作</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台面采用不低于1.0mm厚不锈钢板制作；</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星盆斗采用不低于1.0mm厚不锈钢板制作；</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立柱采用38*38mm方通，配可调式子弹脚；</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横撑采用25*38mm方通；</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不锈钢下水器；</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▲双星水池符合GB/T 4334-2020《金属和合金的腐蚀 奥氏体及铁素体-奥氏体（双相）不锈钢晶间腐蚀试验方法》的国家标准，无晶间腐蚀而产生的裂纹。</w:t>
            </w:r>
            <w:r>
              <w:rPr>
                <w:rFonts w:hint="eastAsia" w:ascii="宋体" w:hAnsi="宋体" w:eastAsia="宋体" w:cs="宋体"/>
                <w:b/>
                <w:bCs/>
                <w:i w:val="0"/>
                <w:iCs w:val="0"/>
                <w:color w:val="auto"/>
                <w:sz w:val="21"/>
                <w:szCs w:val="21"/>
                <w:highlight w:val="none"/>
                <w:u w:val="none"/>
                <w:lang w:val="en-US" w:eastAsia="zh-CN" w:bidi="ar"/>
              </w:rPr>
              <w:t xml:space="preserve">注：提供具有CMA资质的第三方检测机构出具检测报告。</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F06</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双门留样柜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1200*620*1830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采用电融霜技术，功率220v/0.25kw，温度：+1℃～+4℃风冷（带面板显示），优质压缩机，容量：438L，内外柜体:1.2㎜，SuS304不锈钢板材质，柱脚:D50*1.2㎜不锈钢管加可调子弹脚。</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eastAsia="zh-CN"/>
              </w:rPr>
              <w:t xml:space="preserve">具有</w:t>
            </w:r>
            <w:r>
              <w:rPr>
                <w:rFonts w:hint="eastAsia" w:ascii="宋体" w:hAnsi="宋体" w:eastAsia="宋体" w:cs="宋体"/>
                <w:i w:val="0"/>
                <w:iCs w:val="0"/>
                <w:color w:val="auto"/>
                <w:sz w:val="21"/>
                <w:szCs w:val="21"/>
                <w:highlight w:val="none"/>
                <w:u w:val="none"/>
                <w:lang w:val="en-US" w:eastAsia="zh-CN"/>
              </w:rPr>
              <w:t xml:space="preserve">食品接触产品卫生认证证书</w:t>
            </w:r>
            <w:r>
              <w:rPr>
                <w:rFonts w:hint="eastAsia" w:ascii="宋体" w:hAnsi="宋体" w:eastAsia="宋体" w:cs="宋体"/>
                <w:b/>
                <w:bCs/>
                <w:i w:val="0"/>
                <w:iCs w:val="0"/>
                <w:color w:val="auto"/>
                <w:sz w:val="21"/>
                <w:szCs w:val="21"/>
                <w:highlight w:val="none"/>
                <w:u w:val="none"/>
                <w:lang w:val="en-US" w:eastAsia="zh-CN" w:bidi="ar"/>
              </w:rPr>
              <w:t xml:space="preserve">，提供节能认证证书，提供一级能效检测报告。</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4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G一层洗碗间</w:t>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1200*600*800+100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整体采用SUS304不锈钢制作，台面厚不低于1.0mm；星盆斗厚不低于1.0mm，星盆斗尺寸：1000*500*280mm，配置提篮式不锈钢下水器；立柱采用48*1.0mm圆管，配不锈钢可调子弹脚；横撑采用32*1.0mm圆管</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44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传送带含回收口</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L*600*800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材料：sus304不锈钢制作，珐纹处理，台面厚度不低于δ=1.2mm</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57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G04</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餐具车</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400*600*800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选用优质不锈钢板制造，不低于δ=1.0mm,配万向脚轮。</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G05</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活动双层平板工作台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800*800*800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整体采用SUS304不锈钢制作；台面厚度不低于1.0mm，内衬15mm防水机制板并用不低于1.0mm厚不锈钢板折成加强筋加固；下层板厚度不低于1.0mm；脚管采用38*38*1.0mm不锈钢方管；配置刹车静音万向轮。</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1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G06</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长龙洗碗机</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4200*830*2150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1、清洗温度:65℃</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2、冲洗温度:85℃</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3、清洗耗水量不高于270 L/h</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4、外观材质：采用304优质不锈钢制造的机身，厚度不低于3毫米，提高机器的耐腐蚀性、耐磨性、延长机器寿命。</w:t>
            </w:r>
            <w:r/>
          </w:p>
          <w:p>
            <w:pPr>
              <w:jc w:val="left"/>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5、具有精准控制系统、热保护装置。</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所投洗碗机具备辐照强度测定、臭氧浓度测定。接通电源，开启紫外灯5min，测量距紫外线灯垂直高度50cm、70cm、100cm距离的紫外线强度，以及将臭氧发生器装置管放入加入装有适量水的容器中制臭氧时间30min、60min、90min、120min的臭氧浓度均符合《消毒技术规范》（2002年版）2.1.5.4.3、2.1.5.8.3要求。</w:t>
            </w:r>
            <w:r/>
          </w:p>
          <w:p>
            <w:pPr>
              <w:jc w:val="left"/>
              <w:keepLines w:val="0"/>
              <w:keepNext w:val="0"/>
              <w:pageBreakBefore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7、所投洗碗机板材依据 GB/T 2423.16-2022(IEC60068-2-10:2018，IDT)/方法 1严酷等级2,提供针对以下霉类检测为零的分析检测报告： 黑曲霉,土曲霉,绿色木霉,绳状青霉,球毛壳霉,宛氏拟青霉,短帚霉,树脂子囊菌。</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所投洗碗机用304不锈钢板依据GB/T 20123-2006，碳（C），%含量检测，检测结果≤0.04，硫（S），%含量检测，检测结果≤0.003；依据YB/T 4396-2014，硅（Si），%含量检测，检测结果≤0.40,锰（Mn），%含量检测，检测结果≤0.97,磷（P），%含量检测，检测结果≤0.022，镍（Ni），%含量检测，检测结果≥8.10；依据GB/T 223.11-</w:t>
            </w:r>
            <w:r>
              <w:rPr>
                <w:rFonts w:hint="eastAsia" w:ascii="宋体" w:hAnsi="宋体" w:cs="宋体"/>
                <w:i w:val="0"/>
                <w:iCs w:val="0"/>
                <w:color w:val="auto"/>
                <w:sz w:val="21"/>
                <w:szCs w:val="21"/>
                <w:highlight w:val="none"/>
                <w:u w:val="none"/>
                <w:lang w:val="en-US" w:eastAsia="zh-CN" w:bidi="ar"/>
              </w:rPr>
              <w:t xml:space="preserve">2025</w:t>
            </w:r>
            <w:r>
              <w:rPr>
                <w:rFonts w:hint="eastAsia" w:ascii="宋体" w:hAnsi="宋体" w:eastAsia="宋体" w:cs="宋体"/>
                <w:i w:val="0"/>
                <w:iCs w:val="0"/>
                <w:color w:val="auto"/>
                <w:sz w:val="21"/>
                <w:szCs w:val="21"/>
                <w:highlight w:val="none"/>
                <w:u w:val="none"/>
                <w:lang w:val="en-US" w:eastAsia="zh-CN" w:bidi="ar"/>
              </w:rPr>
              <w:t xml:space="preserve">方法一，铬（Cr），%含量检测，检</w:t>
            </w:r>
            <w:r>
              <w:rPr>
                <w:rFonts w:hint="eastAsia" w:ascii="宋体" w:hAnsi="宋体" w:eastAsia="宋体" w:cs="宋体"/>
                <w:i w:val="0"/>
                <w:iCs w:val="0"/>
                <w:color w:val="auto"/>
                <w:sz w:val="21"/>
                <w:szCs w:val="21"/>
                <w:highlight w:val="none"/>
                <w:u w:val="none"/>
                <w:lang w:val="en-US" w:eastAsia="zh-CN" w:bidi="ar"/>
              </w:rPr>
              <w:t xml:space="preserve">测结果≥18.00；依据GB/T 228.1-2021，进行抗拉强度Rm，MPa检测，检测结果≥735；依据GB/T 228.1-2021，进行规定塑性延伸强度Rp0.2，MPa检测，检测结果≥302；依据GB/T 228.1-2021，进行断后伸长率A50mm，%检测，检测结果≥54.5；依据GB/T 232-2024，进行弯曲试验，试样弯曲外表面应无可见裂纹，检测结果无缺欠，合格；依据GB/T 2653-2008，对焊接接头进行弯曲试验，试样外表面和侧面应无缺欠，检测结果无缺欠，合格；依据GB/T 25</w:t>
            </w:r>
            <w:r>
              <w:rPr>
                <w:rFonts w:hint="eastAsia" w:ascii="宋体" w:hAnsi="宋体" w:eastAsia="宋体" w:cs="宋体"/>
                <w:i w:val="0"/>
                <w:iCs w:val="0"/>
                <w:color w:val="auto"/>
                <w:sz w:val="21"/>
                <w:szCs w:val="21"/>
                <w:highlight w:val="none"/>
                <w:u w:val="none"/>
                <w:lang w:val="en-US" w:eastAsia="zh-CN" w:bidi="ar"/>
              </w:rPr>
              <w:t xml:space="preserve">23-2022，对样品进行表面粗糙度Ra，μm测试，检测结果≤0.07；用相应精度的量具测量门板厚度,检测结果≥1.417；依据GB/T 4334-2020 A法，进行晶间腐蚀A法测试，检测结果晶界形态：一类，阶梯组织：凹坑，形态：六类，凹坑组织I；依据GB/T 6394-2017比较法，进行晶粒度测试，检测结果≤8.5级；依据GB/T 4340.1-2024，进行维氏硬度（表面）测试，检测结果≤200HV0.5/10；依据GB/T 10125-2021和GB/T 6461-2002，进行盐雾试验（中性，≥</w:t>
            </w:r>
            <w:r>
              <w:rPr>
                <w:rFonts w:hint="eastAsia" w:ascii="宋体" w:hAnsi="宋体" w:cs="宋体"/>
                <w:i w:val="0"/>
                <w:iCs w:val="0"/>
                <w:color w:val="auto"/>
                <w:sz w:val="21"/>
                <w:szCs w:val="21"/>
                <w:highlight w:val="none"/>
                <w:u w:val="none"/>
                <w:lang w:val="en-US" w:eastAsia="zh-CN" w:bidi="ar"/>
              </w:rPr>
              <w:t xml:space="preserve">240</w:t>
            </w:r>
            <w:r>
              <w:rPr>
                <w:rFonts w:hint="eastAsia" w:ascii="宋体" w:hAnsi="宋体" w:eastAsia="宋体" w:cs="宋体"/>
                <w:i w:val="0"/>
                <w:iCs w:val="0"/>
                <w:color w:val="auto"/>
                <w:sz w:val="21"/>
                <w:szCs w:val="21"/>
                <w:highlight w:val="none"/>
                <w:u w:val="none"/>
                <w:lang w:val="en-US" w:eastAsia="zh-CN" w:bidi="ar"/>
              </w:rPr>
              <w:t xml:space="preserve">h），经≥</w:t>
            </w:r>
            <w:r>
              <w:rPr>
                <w:rFonts w:hint="eastAsia" w:ascii="宋体" w:hAnsi="宋体" w:cs="宋体"/>
                <w:i w:val="0"/>
                <w:iCs w:val="0"/>
                <w:color w:val="auto"/>
                <w:sz w:val="21"/>
                <w:szCs w:val="21"/>
                <w:highlight w:val="none"/>
                <w:u w:val="none"/>
                <w:lang w:val="en-US" w:eastAsia="zh-CN" w:bidi="ar"/>
              </w:rPr>
              <w:t xml:space="preserve">240</w:t>
            </w:r>
            <w:r>
              <w:rPr>
                <w:rFonts w:hint="eastAsia" w:ascii="宋体" w:hAnsi="宋体" w:eastAsia="宋体" w:cs="宋体"/>
                <w:i w:val="0"/>
                <w:iCs w:val="0"/>
                <w:color w:val="auto"/>
                <w:sz w:val="21"/>
                <w:szCs w:val="21"/>
                <w:highlight w:val="none"/>
                <w:u w:val="none"/>
                <w:lang w:val="en-US" w:eastAsia="zh-CN" w:bidi="ar"/>
              </w:rPr>
              <w:t xml:space="preserve">h中性盐雾试验后，检测结果：样品检验面未见锈蚀，保护评级Rp：10级</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36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G07</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单星盆水池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1000*700*800+150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整体SUS304不锈钢制作，台面采用不低于1.0mm厚不锈钢板制作；星盆斗采用不低于1.0mm厚不锈钢板制作；立柱采用38*38mm方通，配可调式子弹脚；横撑采用25*38mm方通；不锈钢下水器；</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G08</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单通上掀门三门碗柜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1200*500*1800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整体采用SUS304不锈钢制作；顶板、层板、底板、侧板均采用不低于1.0mm厚不锈钢板制作；面板厚度不低于1.2mm，并用不低于1.0mm厚不锈钢板折成加强筋加固；拉门为双层结构；配置不锈钢可调子弹脚。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G09</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660*128*380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工作方式：粘捕式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额定功率：0.008KW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覆盖面积：30-50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额定电压：220V-50HZ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材料等级：ABS阻燃材料</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0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G10</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油网烟罩</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4400*1500*610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壳体面板厚度不低于1.0mm，加强筋1.2mm；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配双层隔油网</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r>
      <w:tr>
        <w:trPr>
          <w:trHeight w:val="28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H一层消毒间</w:t>
            </w:r>
            <w:r/>
          </w:p>
        </w:tc>
      </w:tr>
      <w:tr>
        <w:trPr>
          <w:trHeight w:val="78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双门不锈钢门消毒柜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1380*680*1800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面板材质：不锈钢内外胆，整体发泡。消毒方式：高温消毒热风循环。消毒星级：二星级，消毒柜容量：300L</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3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I一层保洁间</w:t>
            </w:r>
            <w:r/>
          </w:p>
        </w:tc>
      </w:tr>
      <w:tr>
        <w:trPr>
          <w:trHeight w:val="66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拖把架</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1000*350*550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整体采用SUS304不锈钢制作，厚度不低于1.0mm；支撑管采用 Ф48*1.0mm食品级不锈钢圆管制作。</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36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拖把池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1300*500*600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整体SUS304不锈钢制作，台面采用不低于1.0mm厚不锈钢板制作；星盆斗采用不低于1.0mm厚不锈钢板制作；立柱采用38*38mm方通，配可调式子弹脚；横撑采用25*38mm方通；不锈钢下水器；</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02"/>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I03</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660*128*380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工作方式：粘捕式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额定功率：0.008KW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覆盖面积：30-50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额定电压：220V-50HZ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材料等级：ABS阻燃材料</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90"/>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J二层主厨房</w:t>
            </w:r>
            <w:r/>
          </w:p>
        </w:tc>
      </w:tr>
      <w:tr>
        <w:trPr>
          <w:trHeight w:val="54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油网烟罩</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17600*1500*610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优质不锈钢制造；壳体面板厚度不低于1.0mm，加强筋不低于1.2mm；配双层隔油网</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26.4</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冷藏四门高身柜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1220*760*1980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1.材质：采用优质不锈钢板材。硬质聚氨酯整体发泡，加厚保温层，箱体强度高，提高承重能力，自动回归门，底板、门衬板为一次性拉伸成型，内箱底板拐角处圆弧过渡，无卫生死角。</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2.耗电量：≤5.1kw/24h</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3.电子数字显示温控器，全铜管蒸发器</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4.压缩机配翅片式铜管蒸发器、冷凝器</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5.电子式温控器，层架高度可调，高压整体发</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6.冷藏室温度：0℃~5℃，有效容积：≥1400L，▲大肠杆菌灭活数值≥5.6，金黄色葡萄球菌≥5.0，鼠伤寒沙门氏菌≥5.3。</w:t>
            </w:r>
            <w:r>
              <w:rPr>
                <w:rFonts w:hint="eastAsia" w:ascii="宋体" w:hAnsi="宋体" w:eastAsia="宋体" w:cs="宋体"/>
                <w:b/>
                <w:bCs/>
                <w:i w:val="0"/>
                <w:iCs w:val="0"/>
                <w:color w:val="auto"/>
                <w:sz w:val="21"/>
                <w:szCs w:val="21"/>
                <w:highlight w:val="none"/>
                <w:u w:val="none"/>
                <w:lang w:val="en-US" w:eastAsia="zh-CN" w:bidi="ar"/>
              </w:rPr>
              <w:t xml:space="preserve">提供具有CMA资质的第三方测试机构出具检测报告。</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96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J03</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炉拼台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720*1400*800+450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整机采用优质SUS304不锈钢板，面板不低于1.5mm、侧板不低于1.2mm；横通采用￠25*1.2mm不锈钢管连接，立管采用￠38*1.2mm不锈钢管连可调节高度子弹脚。</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4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J04</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单头大锅灶</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1300*1300*800+450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1、锅径：φ1000大锅409板材厚</w:t>
            </w:r>
            <w:r>
              <w:rPr>
                <w:rFonts w:hint="eastAsia" w:ascii="宋体" w:hAnsi="宋体" w:eastAsia="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rPr>
              <w:t xml:space="preserve">3.0mm。</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、功率/电压：30KW/380V</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、材质：整机采用优质SUS304不锈钢板，面板用</w:t>
            </w:r>
            <w:r>
              <w:rPr>
                <w:rFonts w:hint="eastAsia" w:ascii="宋体" w:hAnsi="宋体" w:eastAsia="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rPr>
              <w:t xml:space="preserve">1.2mm厚不锈钢板，其余</w:t>
            </w:r>
            <w:r>
              <w:rPr>
                <w:rFonts w:hint="eastAsia" w:ascii="宋体" w:hAnsi="宋体" w:eastAsia="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rPr>
              <w:t xml:space="preserve">1.0mm厚不锈钢板。</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、机芯采用全封闭铝质材料制作，自带内循环热交换系统。</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、输入输出电流保护；纳秒相位跟踪、输出短路响应机制；数字锁相环引擎；动态谐振点跟踪；IGBT温度检测与极限电流保护。</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、所投</w:t>
            </w:r>
            <w:r>
              <w:rPr>
                <w:rFonts w:hint="eastAsia" w:ascii="宋体" w:hAnsi="宋体" w:eastAsia="宋体" w:cs="宋体"/>
                <w:i w:val="0"/>
                <w:iCs w:val="0"/>
                <w:color w:val="auto"/>
                <w:sz w:val="21"/>
                <w:szCs w:val="21"/>
                <w:highlight w:val="none"/>
                <w:u w:val="none"/>
                <w:lang w:val="en-US" w:eastAsia="zh-CN"/>
              </w:rPr>
              <w:t xml:space="preserve">单头大锅灶</w:t>
            </w:r>
            <w:r>
              <w:rPr>
                <w:rFonts w:hint="eastAsia" w:ascii="宋体" w:hAnsi="宋体" w:eastAsia="宋体" w:cs="宋体"/>
                <w:i w:val="0"/>
                <w:iCs w:val="0"/>
                <w:color w:val="auto"/>
                <w:sz w:val="21"/>
                <w:szCs w:val="21"/>
                <w:highlight w:val="none"/>
                <w:u w:val="none"/>
              </w:rPr>
              <w:t xml:space="preserve">技术要求如下：</w:t>
            </w:r>
            <w:r/>
          </w:p>
          <w:p>
            <w:pPr>
              <w:jc w:val="left"/>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b/>
                <w:bCs/>
                <w:i w:val="0"/>
                <w:iCs w:val="0"/>
                <w:color w:val="auto"/>
                <w:sz w:val="21"/>
                <w:szCs w:val="21"/>
                <w:highlight w:val="none"/>
                <w:u w:val="none"/>
              </w:rPr>
              <w:t xml:space="preserve">提供</w:t>
            </w:r>
            <w:r>
              <w:rPr>
                <w:rFonts w:hint="eastAsia" w:ascii="宋体" w:hAnsi="宋体" w:eastAsia="宋体" w:cs="宋体"/>
                <w:b/>
                <w:bCs/>
                <w:i w:val="0"/>
                <w:iCs w:val="0"/>
                <w:color w:val="auto"/>
                <w:sz w:val="21"/>
                <w:szCs w:val="21"/>
                <w:highlight w:val="none"/>
                <w:u w:val="none"/>
                <w:lang w:val="en-US" w:eastAsia="zh-CN"/>
              </w:rPr>
              <w:t xml:space="preserve">具有CMA资质的第三方测试机构出具</w:t>
            </w:r>
            <w:r>
              <w:rPr>
                <w:rFonts w:hint="eastAsia" w:ascii="宋体" w:hAnsi="宋体" w:eastAsia="宋体" w:cs="宋体"/>
                <w:b/>
                <w:bCs/>
                <w:i w:val="0"/>
                <w:iCs w:val="0"/>
                <w:color w:val="auto"/>
                <w:sz w:val="21"/>
                <w:szCs w:val="21"/>
                <w:highlight w:val="none"/>
                <w:u w:val="none"/>
              </w:rPr>
              <w:t xml:space="preserve">符合GB/T2423.16-2022要求的</w:t>
            </w:r>
            <w:r>
              <w:rPr>
                <w:rFonts w:hint="eastAsia" w:ascii="宋体" w:hAnsi="宋体" w:eastAsia="宋体" w:cs="宋体"/>
                <w:b/>
                <w:bCs/>
                <w:i w:val="0"/>
                <w:iCs w:val="0"/>
                <w:color w:val="auto"/>
                <w:sz w:val="21"/>
                <w:szCs w:val="21"/>
                <w:highlight w:val="none"/>
                <w:u w:val="none"/>
                <w:lang w:val="en-US" w:eastAsia="zh-CN"/>
              </w:rPr>
              <w:t xml:space="preserve">单头大锅灶</w:t>
            </w:r>
            <w:r>
              <w:rPr>
                <w:rFonts w:hint="eastAsia" w:ascii="宋体" w:hAnsi="宋体" w:eastAsia="宋体" w:cs="宋体"/>
                <w:b/>
                <w:bCs/>
                <w:i w:val="0"/>
                <w:iCs w:val="0"/>
                <w:color w:val="auto"/>
                <w:sz w:val="21"/>
                <w:szCs w:val="21"/>
                <w:highlight w:val="none"/>
                <w:u w:val="none"/>
              </w:rPr>
              <w:t xml:space="preserve">外壳在湿度95%RH，温度28℃，严酷等级2级环境下，</w:t>
            </w:r>
            <w:r>
              <w:rPr>
                <w:rFonts w:hint="eastAsia" w:ascii="宋体" w:hAnsi="宋体" w:eastAsia="宋体" w:cs="宋体"/>
                <w:b/>
                <w:bCs/>
                <w:i w:val="0"/>
                <w:iCs w:val="0"/>
                <w:color w:val="auto"/>
                <w:sz w:val="21"/>
                <w:szCs w:val="21"/>
                <w:highlight w:val="none"/>
                <w:u w:val="none"/>
                <w:lang w:val="en-US" w:eastAsia="zh-CN" w:bidi="ar"/>
              </w:rPr>
              <w:t xml:space="preserve">≥15</w:t>
            </w:r>
            <w:r>
              <w:rPr>
                <w:rFonts w:hint="eastAsia" w:ascii="宋体" w:hAnsi="宋体" w:eastAsia="宋体" w:cs="宋体"/>
                <w:b/>
                <w:bCs/>
                <w:i w:val="0"/>
                <w:iCs w:val="0"/>
                <w:color w:val="auto"/>
                <w:sz w:val="21"/>
                <w:szCs w:val="21"/>
                <w:highlight w:val="none"/>
                <w:u w:val="none"/>
              </w:rPr>
              <w:t xml:space="preserve">天后，外壳板材表面放大50倍下，没有发现明显长霉现象的检测报告。</w:t>
            </w:r>
            <w:r/>
          </w:p>
          <w:p>
            <w:pPr>
              <w:jc w:val="left"/>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▲产品线盘支架具有足够的机械强度，其结构能受住在正常使用中可能会出现的粗鲁对待和处置，并能提供</w:t>
            </w:r>
            <w:r>
              <w:rPr>
                <w:rFonts w:hint="eastAsia" w:ascii="宋体" w:hAnsi="宋体" w:eastAsia="宋体" w:cs="宋体"/>
                <w:b/>
                <w:bCs/>
                <w:i w:val="0"/>
                <w:iCs w:val="0"/>
                <w:color w:val="auto"/>
                <w:sz w:val="21"/>
                <w:szCs w:val="21"/>
                <w:highlight w:val="none"/>
                <w:u w:val="none"/>
                <w:lang w:val="en-US" w:eastAsia="zh-CN"/>
              </w:rPr>
              <w:t xml:space="preserve">具有CMA资质的第三方测试机构出具</w:t>
            </w:r>
            <w:r>
              <w:rPr>
                <w:rFonts w:hint="eastAsia" w:ascii="宋体" w:hAnsi="宋体" w:eastAsia="宋体" w:cs="宋体"/>
                <w:b/>
                <w:bCs/>
                <w:i w:val="0"/>
                <w:iCs w:val="0"/>
                <w:color w:val="auto"/>
                <w:sz w:val="21"/>
                <w:szCs w:val="21"/>
                <w:highlight w:val="none"/>
                <w:u w:val="none"/>
              </w:rPr>
              <w:t xml:space="preserve">的线盘支架耐热耐燃检测报告。</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b/>
                <w:bCs/>
                <w:i w:val="0"/>
                <w:iCs w:val="0"/>
                <w:color w:val="auto"/>
                <w:sz w:val="21"/>
                <w:szCs w:val="21"/>
                <w:highlight w:val="none"/>
                <w:u w:val="none"/>
              </w:rPr>
              <w:t xml:space="preserve">▲提供</w:t>
            </w:r>
            <w:r>
              <w:rPr>
                <w:rFonts w:hint="eastAsia" w:ascii="宋体" w:hAnsi="宋体" w:eastAsia="宋体" w:cs="宋体"/>
                <w:b/>
                <w:bCs/>
                <w:i w:val="0"/>
                <w:iCs w:val="0"/>
                <w:color w:val="auto"/>
                <w:sz w:val="21"/>
                <w:szCs w:val="21"/>
                <w:highlight w:val="none"/>
                <w:u w:val="none"/>
                <w:lang w:val="en-US" w:eastAsia="zh-CN"/>
              </w:rPr>
              <w:t xml:space="preserve">具有CMA资质的第三方测试机构出具的</w:t>
            </w:r>
            <w:r>
              <w:rPr>
                <w:rFonts w:hint="eastAsia" w:ascii="宋体" w:hAnsi="宋体" w:eastAsia="宋体" w:cs="宋体"/>
                <w:b/>
                <w:bCs/>
                <w:i w:val="0"/>
                <w:iCs w:val="0"/>
                <w:color w:val="auto"/>
                <w:sz w:val="21"/>
                <w:szCs w:val="21"/>
                <w:highlight w:val="none"/>
                <w:u w:val="none"/>
              </w:rPr>
              <w:t xml:space="preserve">符合GB/T4208-2017要求的外壳防护等级（IP</w:t>
            </w:r>
            <w:r>
              <w:rPr>
                <w:rFonts w:hint="eastAsia" w:ascii="宋体" w:hAnsi="宋体" w:eastAsia="宋体" w:cs="宋体"/>
                <w:b/>
                <w:bCs/>
                <w:i w:val="0"/>
                <w:iCs w:val="0"/>
                <w:color w:val="auto"/>
                <w:sz w:val="21"/>
                <w:szCs w:val="21"/>
                <w:highlight w:val="none"/>
                <w:u w:val="none"/>
                <w:lang w:val="en-US" w:eastAsia="zh-CN"/>
              </w:rPr>
              <w:t xml:space="preserve">68</w:t>
            </w:r>
            <w:r>
              <w:rPr>
                <w:rFonts w:hint="eastAsia" w:ascii="宋体" w:hAnsi="宋体" w:eastAsia="宋体" w:cs="宋体"/>
                <w:b/>
                <w:bCs/>
                <w:i w:val="0"/>
                <w:iCs w:val="0"/>
                <w:color w:val="auto"/>
                <w:sz w:val="21"/>
                <w:szCs w:val="21"/>
                <w:highlight w:val="none"/>
                <w:u w:val="none"/>
              </w:rPr>
              <w:t xml:space="preserve">)检测报告</w:t>
            </w:r>
            <w:r>
              <w:rPr>
                <w:rFonts w:hint="eastAsia" w:ascii="宋体" w:hAnsi="宋体" w:eastAsia="宋体" w:cs="宋体"/>
                <w:b/>
                <w:bCs/>
                <w:i w:val="0"/>
                <w:iCs w:val="0"/>
                <w:color w:val="auto"/>
                <w:sz w:val="21"/>
                <w:szCs w:val="21"/>
                <w:highlight w:val="none"/>
                <w:u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6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J06</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上翻门万能组合消毒柜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1200*620*1800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电压:220V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功率:3000W</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J07</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双星水池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1200*600*800+150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整体优质SUS304不锈钢制作；台面采用不低于1.0mm厚不锈钢板制作；星盆斗采用不低于1.0mm厚不锈钢板制作；立柱采用38*38mm方通，配可调式子弹脚；横撑采用25*38mm方通；不锈钢下水器；</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05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J08</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双层平板工作台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整体采用</w:t>
            </w:r>
            <w:r>
              <w:rPr>
                <w:rFonts w:hint="eastAsia" w:ascii="宋体" w:hAnsi="宋体" w:eastAsia="宋体" w:cs="宋体"/>
                <w:i w:val="0"/>
                <w:iCs w:val="0"/>
                <w:color w:val="auto"/>
                <w:sz w:val="21"/>
                <w:szCs w:val="21"/>
                <w:highlight w:val="none"/>
                <w:u w:val="none"/>
                <w:lang w:val="en-US" w:eastAsia="zh-CN"/>
              </w:rPr>
              <w:t xml:space="preserve">SU</w:t>
            </w:r>
            <w:r>
              <w:rPr>
                <w:rFonts w:hint="eastAsia" w:ascii="宋体" w:hAnsi="宋体" w:eastAsia="宋体" w:cs="宋体"/>
                <w:i w:val="0"/>
                <w:iCs w:val="0"/>
                <w:color w:val="auto"/>
                <w:sz w:val="21"/>
                <w:szCs w:val="21"/>
                <w:highlight w:val="none"/>
                <w:u w:val="none"/>
              </w:rPr>
              <w:t xml:space="preserve">304不锈钢制作；台面厚度</w:t>
            </w:r>
            <w:r>
              <w:rPr>
                <w:rFonts w:hint="eastAsia" w:ascii="宋体" w:hAnsi="宋体" w:eastAsia="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rPr>
              <w:t xml:space="preserve">1.0mm，内衬4mm防水机制板并用</w:t>
            </w:r>
            <w:r>
              <w:rPr>
                <w:rFonts w:hint="eastAsia" w:ascii="宋体" w:hAnsi="宋体" w:eastAsia="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rPr>
              <w:t xml:space="preserve">1.0mm厚不锈钢板折成加强筋加固；下层板厚度</w:t>
            </w:r>
            <w:r>
              <w:rPr>
                <w:rFonts w:hint="eastAsia" w:ascii="宋体" w:hAnsi="宋体" w:eastAsia="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rPr>
              <w:t xml:space="preserve">1.2mm；</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J09</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双通移门荷台柜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台面厚度不低于1.0mm，内衬15mm防水机制板并用不低于1.0mm厚不锈钢板折成加强筋加固；层板、底板、侧板及门面采用不低于1.0mm厚不锈钢板制作；加强筋厚度不低于1.0mm；配置不锈钢可调子弹脚。移门为钢化玻璃。</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02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J10</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炉拼台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500*1400*800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整体采用SUS304不锈钢制作，面板不低于1.5mm、侧板不低于1.2mm；横通采用￠25*1.2mm不锈钢管连接，立管采用￠38*1.2mm不锈钢管连可调节高度子弹脚。</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5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炉拼台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600*1000*800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整体采用SUS304不锈钢制作，面板不低于1.5mm、侧板不低于1.2mm；横通采用￠25*1.2mm不锈钢管连接，立管采用￠38*1.2mm不锈钢管连可调节高度子弹脚。</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6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油网烟罩</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4400*1500*610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优质不锈钢制造；壳体面板厚度不低于1.0mm，加强筋不低于1.2mm；配双层隔油网</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r>
      <w:tr>
        <w:trPr>
          <w:trHeight w:val="82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J13</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炉拼台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350*1400*800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1、整体采用优质SUS304不锈钢板，面板用不低于1.2mm厚不锈钢板，其余不低于1.0mm厚不锈钢板。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2、脚柱为不锈钢圆管Φ51mm。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3、四脚采用子弹式调节脚。</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16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J16</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双头单尾小炒灶</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1800*1000*800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功率/电压：功率：15KW*2/380V</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材质：整</w:t>
            </w:r>
            <w:r>
              <w:rPr>
                <w:rFonts w:hint="eastAsia" w:ascii="宋体" w:hAnsi="宋体" w:eastAsia="宋体" w:cs="宋体"/>
                <w:i w:val="0"/>
                <w:iCs w:val="0"/>
                <w:color w:val="auto"/>
                <w:sz w:val="21"/>
                <w:szCs w:val="21"/>
                <w:highlight w:val="none"/>
                <w:u w:val="none"/>
                <w:lang w:eastAsia="zh-CN"/>
              </w:rPr>
              <w:t xml:space="preserve">体</w:t>
            </w:r>
            <w:r>
              <w:rPr>
                <w:rFonts w:hint="eastAsia" w:ascii="宋体" w:hAnsi="宋体" w:eastAsia="宋体" w:cs="宋体"/>
                <w:i w:val="0"/>
                <w:iCs w:val="0"/>
                <w:color w:val="auto"/>
                <w:sz w:val="21"/>
                <w:szCs w:val="21"/>
                <w:highlight w:val="none"/>
                <w:u w:val="none"/>
              </w:rPr>
              <w:t xml:space="preserve">采用优质SUS304不锈钢板，面板用</w:t>
            </w:r>
            <w:r>
              <w:rPr>
                <w:rFonts w:hint="eastAsia" w:ascii="宋体" w:hAnsi="宋体" w:eastAsia="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rPr>
              <w:t xml:space="preserve">1.2mm厚不锈钢板，其余</w:t>
            </w:r>
            <w:r>
              <w:rPr>
                <w:rFonts w:hint="eastAsia" w:ascii="宋体" w:hAnsi="宋体" w:eastAsia="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rPr>
              <w:t xml:space="preserve">1.0mm厚不锈钢板。</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机芯采用全封闭铝质材料制作，自带内循环热交换系统。</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输入输出电流保护，纳秒相位跟踪、输出短路响应机制，数字锁相环引擎，动态谐振点跟踪，IGBT温度检测与极限电流保护。</w:t>
            </w:r>
            <w:r/>
          </w:p>
          <w:p>
            <w:pPr>
              <w:jc w:val="left"/>
              <w:keepLines w:val="0"/>
              <w:keepNext w:val="0"/>
              <w:pageBreakBefore w:val="0"/>
              <w:widowControl/>
              <w:rPr>
                <w:rFonts w:hint="eastAsia" w:ascii="宋体" w:hAnsi="宋体" w:eastAsia="宋体" w:cs="宋体"/>
                <w:b/>
                <w:bCs/>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b/>
                <w:bCs/>
                <w:i w:val="0"/>
                <w:iCs w:val="0"/>
                <w:color w:val="auto"/>
                <w:sz w:val="21"/>
                <w:szCs w:val="21"/>
                <w:highlight w:val="none"/>
                <w:u w:val="none"/>
              </w:rPr>
              <w:t xml:space="preserve">提供</w:t>
            </w:r>
            <w:r>
              <w:rPr>
                <w:rFonts w:hint="eastAsia" w:ascii="宋体" w:hAnsi="宋体" w:eastAsia="宋体" w:cs="宋体"/>
                <w:b/>
                <w:bCs/>
                <w:i w:val="0"/>
                <w:iCs w:val="0"/>
                <w:color w:val="auto"/>
                <w:sz w:val="21"/>
                <w:szCs w:val="21"/>
                <w:highlight w:val="none"/>
                <w:u w:val="none"/>
                <w:lang w:val="en-US" w:eastAsia="zh-CN"/>
              </w:rPr>
              <w:t xml:space="preserve">具有CMA资质的第三方测试机构出具</w:t>
            </w:r>
            <w:r>
              <w:rPr>
                <w:rFonts w:hint="eastAsia" w:ascii="宋体" w:hAnsi="宋体" w:eastAsia="宋体" w:cs="宋体"/>
                <w:b/>
                <w:bCs/>
                <w:i w:val="0"/>
                <w:iCs w:val="0"/>
                <w:color w:val="auto"/>
                <w:sz w:val="21"/>
                <w:szCs w:val="21"/>
                <w:highlight w:val="none"/>
                <w:u w:val="none"/>
              </w:rPr>
              <w:t xml:space="preserve">符合GB/T17626.11-2023要求的</w:t>
            </w:r>
            <w:r>
              <w:rPr>
                <w:rFonts w:hint="eastAsia" w:ascii="宋体" w:hAnsi="宋体" w:eastAsia="宋体" w:cs="宋体"/>
                <w:b/>
                <w:bCs/>
                <w:i w:val="0"/>
                <w:iCs w:val="0"/>
                <w:color w:val="auto"/>
                <w:sz w:val="21"/>
                <w:szCs w:val="21"/>
                <w:highlight w:val="none"/>
                <w:u w:val="none"/>
                <w:lang w:val="en-US" w:eastAsia="zh-CN"/>
              </w:rPr>
              <w:t xml:space="preserve">双头单尾小炒灶</w:t>
            </w:r>
            <w:r>
              <w:rPr>
                <w:rFonts w:hint="eastAsia" w:ascii="宋体" w:hAnsi="宋体" w:eastAsia="宋体" w:cs="宋体"/>
                <w:b/>
                <w:bCs/>
                <w:i w:val="0"/>
                <w:iCs w:val="0"/>
                <w:color w:val="auto"/>
                <w:sz w:val="21"/>
                <w:szCs w:val="21"/>
                <w:highlight w:val="none"/>
                <w:u w:val="none"/>
              </w:rPr>
              <w:t xml:space="preserve">电压暂降抗扰度检测报告</w:t>
            </w:r>
            <w:r>
              <w:rPr>
                <w:rFonts w:hint="eastAsia" w:ascii="宋体" w:hAnsi="宋体" w:eastAsia="宋体" w:cs="宋体"/>
                <w:b/>
                <w:bCs/>
                <w:i w:val="0"/>
                <w:iCs w:val="0"/>
                <w:color w:val="auto"/>
                <w:sz w:val="21"/>
                <w:szCs w:val="21"/>
                <w:highlight w:val="none"/>
                <w:u w:val="none"/>
                <w:lang w:eastAsia="zh-CN"/>
              </w:rPr>
              <w:t xml:space="preserve">。</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▲提供</w:t>
            </w:r>
            <w:r>
              <w:rPr>
                <w:rFonts w:hint="eastAsia" w:ascii="宋体" w:hAnsi="宋体" w:eastAsia="宋体" w:cs="宋体"/>
                <w:i w:val="0"/>
                <w:iCs w:val="0"/>
                <w:color w:val="auto"/>
                <w:sz w:val="21"/>
                <w:szCs w:val="21"/>
                <w:highlight w:val="none"/>
                <w:u w:val="none"/>
                <w:lang w:val="en-US" w:eastAsia="zh-CN"/>
              </w:rPr>
              <w:t xml:space="preserve">具有CMA资质的第三方测试机构出具</w:t>
            </w:r>
            <w:r>
              <w:rPr>
                <w:rFonts w:hint="eastAsia" w:ascii="宋体" w:hAnsi="宋体" w:eastAsia="宋体" w:cs="宋体"/>
                <w:i w:val="0"/>
                <w:iCs w:val="0"/>
                <w:color w:val="auto"/>
                <w:sz w:val="21"/>
                <w:szCs w:val="21"/>
                <w:highlight w:val="none"/>
                <w:u w:val="none"/>
              </w:rPr>
              <w:t xml:space="preserve">符合关于“对触及带电部件的防护、输入功率和电流、工作温度下的泄漏电流和电器强度、泄漏电流和电器强度、非正常工作（不包括第19.11.4条实验）、稳定性和机械危险、机械强度、结构（不包括第22、46条实验）、内部布线、电源连接和外部软线、外部导线用接线端子、接地措施、螺钉和连接”</w:t>
            </w:r>
            <w:r>
              <w:rPr>
                <w:rFonts w:hint="eastAsia" w:ascii="宋体" w:hAnsi="宋体" w:eastAsia="宋体" w:cs="宋体"/>
                <w:i w:val="0"/>
                <w:iCs w:val="0"/>
                <w:color w:val="auto"/>
                <w:sz w:val="21"/>
                <w:szCs w:val="21"/>
                <w:highlight w:val="none"/>
                <w:u w:val="none"/>
                <w:lang w:eastAsia="zh-CN"/>
              </w:rPr>
              <w:t xml:space="preserve">的检测报告。</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04"/>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J17</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可倾式电磁摇摆汤锅</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1650*1300*1000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功率/电压：45KW/380V</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倒料方式：电动</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容积：300L</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材质：整机采用优质SUS304不锈钢板，面板用</w:t>
            </w:r>
            <w:r>
              <w:rPr>
                <w:rFonts w:hint="eastAsia" w:ascii="宋体" w:hAnsi="宋体" w:eastAsia="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rPr>
              <w:t xml:space="preserve">1.5mm厚不锈钢板，坚固耐磨，显示屏边框整体冲压成型，美观大方防水性更好</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四面可直接喷淋。</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机芯采用全封闭铝质材料制作，自带内循环热交换系统。</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输入输出电流保护，纳秒相位跟踪，输出短路响应机制，数字锁相环引擎，动态谐振点跟踪，IGBT温度检测与极限电流保护。</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功能动态显示屏带工作电压、档位指示、档位功率、电量统计显示、风机动态工作显示、中文故障显示(线盘异常、线盘超温、请放锅具、锅具超温、机芯超温、开关异常、电压异常、400报修服务电话)。</w:t>
            </w:r>
            <w:r/>
          </w:p>
          <w:p>
            <w:pPr>
              <w:jc w:val="left"/>
              <w:keepLines w:val="0"/>
              <w:keepNext w:val="0"/>
              <w:pageBreakBefore w:val="0"/>
              <w:widowControl/>
              <w:rPr>
                <w:rFonts w:hint="eastAsia" w:ascii="宋体" w:hAnsi="宋体" w:eastAsia="宋体" w:cs="宋体"/>
                <w:b/>
                <w:bCs/>
                <w:i w:val="0"/>
                <w:iCs w:val="0"/>
                <w:color w:val="auto"/>
                <w:sz w:val="21"/>
                <w:szCs w:val="21"/>
                <w:highlight w:val="none"/>
                <w:u w:val="none"/>
                <w:lang w:eastAsia="zh-CN"/>
              </w:rPr>
              <w:suppressLineNumbers w:val="0"/>
            </w:pPr>
            <w:r>
              <w:rPr>
                <w:rFonts w:hint="eastAsia" w:ascii="宋体" w:hAnsi="宋体" w:eastAsia="宋体" w:cs="宋体"/>
                <w:b/>
                <w:bCs/>
                <w:i w:val="0"/>
                <w:iCs w:val="0"/>
                <w:color w:val="auto"/>
                <w:sz w:val="21"/>
                <w:szCs w:val="21"/>
                <w:highlight w:val="none"/>
                <w:u w:val="none"/>
              </w:rPr>
              <w:t xml:space="preserve">▲提供可倾式电磁摇摆汤锅由</w:t>
            </w:r>
            <w:r>
              <w:rPr>
                <w:rFonts w:hint="eastAsia" w:ascii="宋体" w:hAnsi="宋体" w:eastAsia="宋体" w:cs="宋体"/>
                <w:b/>
                <w:bCs/>
                <w:i w:val="0"/>
                <w:iCs w:val="0"/>
                <w:color w:val="auto"/>
                <w:sz w:val="21"/>
                <w:szCs w:val="21"/>
                <w:highlight w:val="none"/>
                <w:u w:val="none"/>
                <w:lang w:val="en-US" w:eastAsia="zh-CN"/>
              </w:rPr>
              <w:t xml:space="preserve">具有CMA资质的第三方测试机构出具</w:t>
            </w:r>
            <w:r>
              <w:rPr>
                <w:rFonts w:hint="eastAsia" w:ascii="宋体" w:hAnsi="宋体" w:eastAsia="宋体" w:cs="宋体"/>
                <w:b/>
                <w:bCs/>
                <w:i w:val="0"/>
                <w:iCs w:val="0"/>
                <w:color w:val="auto"/>
                <w:sz w:val="21"/>
                <w:szCs w:val="21"/>
                <w:highlight w:val="none"/>
                <w:u w:val="none"/>
              </w:rPr>
              <w:t xml:space="preserve">符合GB/T4208-2017标准在23.7℃-23.9℃，49%-52%R.H环境下IP67级别防护等级检测报告</w:t>
            </w:r>
            <w:r>
              <w:rPr>
                <w:rFonts w:hint="eastAsia" w:ascii="宋体" w:hAnsi="宋体" w:eastAsia="宋体" w:cs="宋体"/>
                <w:b/>
                <w:bCs/>
                <w:i w:val="0"/>
                <w:iCs w:val="0"/>
                <w:color w:val="auto"/>
                <w:sz w:val="21"/>
                <w:szCs w:val="21"/>
                <w:highlight w:val="none"/>
                <w:u w:val="none"/>
                <w:lang w:eastAsia="zh-CN"/>
              </w:rPr>
              <w:t xml:space="preserve">。</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b/>
                <w:bCs/>
                <w:i w:val="0"/>
                <w:iCs w:val="0"/>
                <w:color w:val="auto"/>
                <w:sz w:val="21"/>
                <w:szCs w:val="21"/>
                <w:highlight w:val="none"/>
                <w:u w:val="none"/>
              </w:rPr>
              <w:t xml:space="preserve">▲提供可倾式电磁摇摆汤锅由</w:t>
            </w:r>
            <w:r>
              <w:rPr>
                <w:rFonts w:hint="eastAsia" w:ascii="宋体" w:hAnsi="宋体" w:eastAsia="宋体" w:cs="宋体"/>
                <w:b/>
                <w:bCs/>
                <w:i w:val="0"/>
                <w:iCs w:val="0"/>
                <w:color w:val="auto"/>
                <w:sz w:val="21"/>
                <w:szCs w:val="21"/>
                <w:highlight w:val="none"/>
                <w:u w:val="none"/>
                <w:lang w:val="en-US" w:eastAsia="zh-CN"/>
              </w:rPr>
              <w:t xml:space="preserve">具有CMA资质的第三方测试机构出具</w:t>
            </w:r>
            <w:r>
              <w:rPr>
                <w:rFonts w:hint="eastAsia" w:ascii="宋体" w:hAnsi="宋体" w:eastAsia="宋体" w:cs="宋体"/>
                <w:b/>
                <w:bCs/>
                <w:i w:val="0"/>
                <w:iCs w:val="0"/>
                <w:color w:val="auto"/>
                <w:sz w:val="21"/>
                <w:szCs w:val="21"/>
                <w:highlight w:val="none"/>
                <w:u w:val="none"/>
              </w:rPr>
              <w:t xml:space="preserve">的304板材符合食品安全国家标准食品接触材料及制品砷、镉、铬、铅的测定和砷、镉、铬、镍、铅、锑、锌迁移量的测定的检测报告</w:t>
            </w:r>
            <w:r>
              <w:rPr>
                <w:rFonts w:hint="eastAsia" w:ascii="宋体" w:hAnsi="宋体" w:eastAsia="宋体" w:cs="宋体"/>
                <w:b/>
                <w:bCs/>
                <w:i w:val="0"/>
                <w:iCs w:val="0"/>
                <w:color w:val="auto"/>
                <w:sz w:val="21"/>
                <w:szCs w:val="21"/>
                <w:highlight w:val="none"/>
                <w:u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12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J18</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货架</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1200*500*1550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整体采用SUS304不锈钢制作，平板厚度不低于1.0mm；立柱采用φ48mm，不低于1.0mm厚不锈钢圆管；配不锈钢可调子弹脚。</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▲产品所用板材符合GB/T 10610-2009《产品几何技术规范（GPS）表面结构 轮廓法 评定表面结构的规则和方法》的国家标准，表面粗糙度Ra≤0.5。</w:t>
            </w:r>
            <w:r>
              <w:rPr>
                <w:rFonts w:hint="eastAsia" w:ascii="宋体" w:hAnsi="宋体" w:eastAsia="宋体" w:cs="宋体"/>
                <w:b/>
                <w:bCs/>
                <w:i w:val="0"/>
                <w:iCs w:val="0"/>
                <w:color w:val="auto"/>
                <w:sz w:val="21"/>
                <w:szCs w:val="21"/>
                <w:highlight w:val="none"/>
                <w:u w:val="none"/>
                <w:lang w:val="en-US" w:eastAsia="zh-CN" w:bidi="ar"/>
              </w:rPr>
              <w:t xml:space="preserve">注：提供具有CMA资质的第三方检测机构出具的304材质不锈钢板材的检测报告。</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8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M二层调料库</w:t>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660*128*380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工作方式：粘捕式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额定功率：0.008KW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覆盖面积：30-50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额定电压：220V-50HZ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材料等级：ABS阻燃材料</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8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N二层验货区</w:t>
            </w:r>
            <w:r/>
          </w:p>
        </w:tc>
      </w:tr>
      <w:tr>
        <w:trPr>
          <w:trHeight w:val="7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电子落地称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420*560*900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交直流两用，可充电，采用LED数码显示，带计价功能；量程：150kg</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5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E二层预进间</w:t>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660*128*380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工作方式：粘捕式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额定功率：0.008KW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覆盖面积：30-50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额定电压：220V-50HZ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材料等级：ABS阻燃材料</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75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洗手池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400*300*400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整体采用优质SUS304不锈钢制作，厚度不低于1.0mm（实厚）</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8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F二层售卖间</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五格售饭台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1、精准控温SUS304不锈钢加热管迅速升温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2、三角结构设计，加厚称重板材，安全牢固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3、油渍污渍一擦就净，边角经过磨合防止划伤</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3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紫外线消毒灯</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920*130*80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电压:220V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功率:100W</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9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F03</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双门不锈钢门消毒柜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1380*680*1800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面板材质：不锈钢内外胆，整体发泡。消毒方式：高温消毒热风循环。消毒星级：二星级，消毒柜容量：300L</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F04</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单通移门荷台柜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1800*700*800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台面厚度不低于1.2mm，内衬15mm防水机制板并用不低于1.0mm厚不锈钢板折成加强筋加固；层板、底板、侧板及门面采用不低于1.0mm厚不锈钢板制作；加强筋厚度不低于1.0mm；配置不锈钢可调子弹脚。移门为双层结构。</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31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F05</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双星水池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1200*600*800+150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整体采用SUS304不锈钢制作，台面厚不低于1.0mm；星盆斗厚不低于1.0mm，星盆斗尺寸：500*500*280mm，配置提篮式不锈钢下水器；立柱采用?48*1.0mm圆管，配不锈钢可调子弹脚；横撑采用?32*1.0mm圆管</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14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F06</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单门展示柜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660*620*1830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采用电融霜技术，功率220v/0.25kw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温度：+1℃～+4℃风冷，优质压缩机，容量：438L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内外柜体:1.2mm，S/S304不锈钢板材质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柱脚:D50*1.2mm不锈钢管加可调子弹脚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2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G二层洗碗间</w:t>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1200*600*800+100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整体采用SUS304不锈钢制作，台面厚不低于1.0mm；星盆斗厚不低于1.0mm，星盆斗尺寸：1000*500*280mm，配置提篮式不锈钢下水器；立柱采用?48*1.0mm圆管，配不锈钢可调子弹脚；横撑采用?32*1.0mm圆管</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传送带含回收口</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12000*600*800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材料：sus304不锈钢制作，珐纹处理，台面厚度不低于δ=1.2mm</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2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G04</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餐具车</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400*600*800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选用优质不锈钢板制造，不低于δ=1.0mm,配万向脚轮。</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G05</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活动双层平板工作台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800*800*800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整体采用SUS304不锈钢制作；台面厚度不低于1.0mm，内衬15mm防水机制板并用不低于1.0mm厚不锈钢板折成加强筋加固；下层板厚度不低于1.0mm；脚管采用38*38*1.0mm不锈钢方管；配置刹车静音万向轮。</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54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G06</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长龙洗碗机</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4200*830*2150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1、清洗温度:65℃</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2、冲洗温度:85℃</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3、清洗耗水量不高于270 L/h</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4、外观材质：采用304优质不锈钢制造的机身，厚度不低于3毫米，提高机器的耐腐蚀性、耐磨性、延长机器寿命。</w:t>
            </w:r>
            <w:r/>
          </w:p>
          <w:p>
            <w:pPr>
              <w:jc w:val="left"/>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5、具有精准控制系统、热保护装置。</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所投洗碗机具备辐照强度测定、臭氧浓度测定。接通电源，开启紫外灯5min，测量距紫外线灯垂直高度50cm、70cm、100cm距离的紫外线强度，以及将臭氧发生器装置管放入加入装有适量水的容器中制臭氧时间30min、60min、90min、120min的臭氧浓度均符合《消毒技术规范》（2002年版）2.1.5.4.3、2.1.5.8.3要求。</w:t>
            </w:r>
            <w:r/>
          </w:p>
          <w:p>
            <w:pPr>
              <w:jc w:val="left"/>
              <w:keepLines w:val="0"/>
              <w:keepNext w:val="0"/>
              <w:pageBreakBefore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7、所投洗碗机板材依据 GB/T 2423.16-2022(IEC60068-2-10:2018，IDT)/方法 1严酷等级2,提供针对以下霉类检测为零的分析检测报告： 黑曲霉,土曲霉,绿色木霉,绳状青霉,球毛壳霉,宛氏拟青霉,短帚霉,树脂子囊菌。</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所投洗碗机用304不锈钢板依据GB/T 20123-2006，碳（C），%含量检测，检测结果≤0.04，硫（S），%含量检测，检测结果≤0.003；依据YB/T 4396-2014，硅（Si），%含量检测，检测结果≤0.40,锰（Mn），%含量检测，检测结果≤0.97,磷（P），%含量检测，检测结果≤0.022，镍（Ni），%含量检测，检测结果≥8.10；依据GB/T 223.11-</w:t>
            </w:r>
            <w:r>
              <w:rPr>
                <w:rFonts w:hint="eastAsia" w:ascii="宋体" w:hAnsi="宋体" w:cs="宋体"/>
                <w:i w:val="0"/>
                <w:iCs w:val="0"/>
                <w:color w:val="auto"/>
                <w:sz w:val="21"/>
                <w:szCs w:val="21"/>
                <w:highlight w:val="none"/>
                <w:u w:val="none"/>
                <w:lang w:val="en-US" w:eastAsia="zh-CN" w:bidi="ar"/>
              </w:rPr>
              <w:t xml:space="preserve">2025</w:t>
            </w:r>
            <w:r>
              <w:rPr>
                <w:rFonts w:hint="eastAsia" w:ascii="宋体" w:hAnsi="宋体" w:eastAsia="宋体" w:cs="宋体"/>
                <w:i w:val="0"/>
                <w:iCs w:val="0"/>
                <w:color w:val="auto"/>
                <w:sz w:val="21"/>
                <w:szCs w:val="21"/>
                <w:highlight w:val="none"/>
                <w:u w:val="none"/>
                <w:lang w:val="en-US" w:eastAsia="zh-CN" w:bidi="ar"/>
              </w:rPr>
              <w:t xml:space="preserve">方法一，铬（Cr），%含量检测，检</w:t>
            </w:r>
            <w:r>
              <w:rPr>
                <w:rFonts w:hint="eastAsia" w:ascii="宋体" w:hAnsi="宋体" w:eastAsia="宋体" w:cs="宋体"/>
                <w:i w:val="0"/>
                <w:iCs w:val="0"/>
                <w:color w:val="auto"/>
                <w:sz w:val="21"/>
                <w:szCs w:val="21"/>
                <w:highlight w:val="none"/>
                <w:u w:val="none"/>
                <w:lang w:val="en-US" w:eastAsia="zh-CN" w:bidi="ar"/>
              </w:rPr>
              <w:t xml:space="preserve">测结果≥18.00；依据GB/T 228.1-2021，进行抗拉强度Rm，MPa检测，检测结果≥735；依据GB/T 228.1-2021，进行规定塑性延伸强度Rp0.2，MPa检测，检测结果≥302；依据GB/T 228.1-2021，进行断后伸长率A50mm，%检测，检测结果≥54.5；依据GB/T 232-2024，进行弯曲试验，试样弯曲外表面应无可见裂纹，检测结果无缺欠，合格；依据GB/T 2653-2008，对焊接接头进行弯曲试验，试样外表面和侧面应无缺欠，检测结果无缺欠，合格；依据GB/T 25</w:t>
            </w:r>
            <w:r>
              <w:rPr>
                <w:rFonts w:hint="eastAsia" w:ascii="宋体" w:hAnsi="宋体" w:eastAsia="宋体" w:cs="宋体"/>
                <w:i w:val="0"/>
                <w:iCs w:val="0"/>
                <w:color w:val="auto"/>
                <w:sz w:val="21"/>
                <w:szCs w:val="21"/>
                <w:highlight w:val="none"/>
                <w:u w:val="none"/>
                <w:lang w:val="en-US" w:eastAsia="zh-CN" w:bidi="ar"/>
              </w:rPr>
              <w:t xml:space="preserve">23-2022，对样品进行表面粗糙度Ra，μm测试，检测结果≤0.07；用相应精度的量具测量门板厚度,检测结果≥1.417；依据GB/T 4334-2020 A法，进行晶间腐蚀A法测试，检测结果晶界形态：一类，阶梯组织：凹坑，形态：六类，凹坑组织I；依据GB/T 6394-2017比较法，进行晶粒度测试，检测结果≤8.5级；依据GB/T 4340.1-2024，进行维氏硬度（表面）测试，检测结果≤200HV0.5/10；依据GB/T 10125-2021和GB/T 6461-2002，进行盐雾试验（中性，≥</w:t>
            </w:r>
            <w:r>
              <w:rPr>
                <w:rFonts w:hint="eastAsia" w:ascii="宋体" w:hAnsi="宋体" w:cs="宋体"/>
                <w:i w:val="0"/>
                <w:iCs w:val="0"/>
                <w:color w:val="auto"/>
                <w:sz w:val="21"/>
                <w:szCs w:val="21"/>
                <w:highlight w:val="none"/>
                <w:u w:val="none"/>
                <w:lang w:val="en-US" w:eastAsia="zh-CN" w:bidi="ar"/>
              </w:rPr>
              <w:t xml:space="preserve">240</w:t>
            </w:r>
            <w:r>
              <w:rPr>
                <w:rFonts w:hint="eastAsia" w:ascii="宋体" w:hAnsi="宋体" w:eastAsia="宋体" w:cs="宋体"/>
                <w:i w:val="0"/>
                <w:iCs w:val="0"/>
                <w:color w:val="auto"/>
                <w:sz w:val="21"/>
                <w:szCs w:val="21"/>
                <w:highlight w:val="none"/>
                <w:u w:val="none"/>
                <w:lang w:val="en-US" w:eastAsia="zh-CN" w:bidi="ar"/>
              </w:rPr>
              <w:t xml:space="preserve">h），经≥</w:t>
            </w:r>
            <w:r>
              <w:rPr>
                <w:rFonts w:hint="eastAsia" w:ascii="宋体" w:hAnsi="宋体" w:cs="宋体"/>
                <w:i w:val="0"/>
                <w:iCs w:val="0"/>
                <w:color w:val="auto"/>
                <w:sz w:val="21"/>
                <w:szCs w:val="21"/>
                <w:highlight w:val="none"/>
                <w:u w:val="none"/>
                <w:lang w:val="en-US" w:eastAsia="zh-CN" w:bidi="ar"/>
              </w:rPr>
              <w:t xml:space="preserve">240</w:t>
            </w:r>
            <w:r>
              <w:rPr>
                <w:rFonts w:hint="eastAsia" w:ascii="宋体" w:hAnsi="宋体" w:eastAsia="宋体" w:cs="宋体"/>
                <w:i w:val="0"/>
                <w:iCs w:val="0"/>
                <w:color w:val="auto"/>
                <w:sz w:val="21"/>
                <w:szCs w:val="21"/>
                <w:highlight w:val="none"/>
                <w:u w:val="none"/>
                <w:lang w:val="en-US" w:eastAsia="zh-CN" w:bidi="ar"/>
              </w:rPr>
              <w:t xml:space="preserve">h中性盐雾试验后，检测结果：样品检验面未见锈蚀，保护评级Rp：10级</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26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G07</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1000*700*800+150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整体SUS304不锈钢制作，台面采用不低于1.0mm厚不锈钢板制作；星盆斗采用不低于1.0mm厚不锈钢板制作；立柱采用38*38mm方通，配可调式子弹脚；横撑采用25*38mm方通；不锈钢下水器。</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31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G08</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单通上掀门三门碗柜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1200*500*1800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整体采用SUS304不锈钢制作；顶板、层板、底板、侧板均采用不低于1.0mm厚不锈钢板制作；面板厚度不低于1.2mm，并用不低于1.0mm厚不锈钢板折成加强筋加固；拉门为双层结构；配置不锈钢可调子弹脚。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G09</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660*128*380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工作方式：粘捕式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额定功率：0.008KW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覆盖面积：30-50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额定电压：220V-50HZ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材料等级：ABS阻燃材料</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77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G10</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油网烟罩</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4400*1500*610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壳体面板厚度不低于1.0mm，加强筋不低于1.2mm；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配双层隔油网</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r>
      <w:tr>
        <w:trPr>
          <w:trHeight w:val="30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H二层消毒间</w:t>
            </w:r>
            <w:r/>
          </w:p>
        </w:tc>
      </w:tr>
      <w:tr>
        <w:trPr>
          <w:trHeight w:val="85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双门不锈钢门消毒柜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1380*680*1800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面板材质：不锈钢内外胆，整体发泡。消毒方式：高温消毒热风循环。消毒星级：二星级，消毒柜容量：300L</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60"/>
        </w:trPr>
        <w:tc>
          <w:tcPr>
            <w:gridSpan w:val="2"/>
            <w:shd w:val="clear" w:color="auto" w:fill="ffffff"/>
            <w:tcBorders>
              <w:top w:val="single" w:color="000000" w:sz="4" w:space="0"/>
              <w:left w:val="single" w:color="000000" w:sz="4" w:space="0"/>
              <w:bottom w:val="single" w:color="000000" w:sz="4" w:space="0"/>
              <w:right w:val="single" w:color="000000" w:sz="4" w:space="0"/>
            </w:tcBorders>
            <w:tcW w:w="1873" w:type="dxa"/>
            <w:vAlign w:val="center"/>
            <w:textDirection w:val="lrTb"/>
            <w:noWrap/>
          </w:tcPr>
          <w:p>
            <w:pPr>
              <w:jc w:val="left"/>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I二层保洁间</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4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拖把架</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1000*350*550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整体采用SUS304不锈钢制作，厚度不低于1.0mm；支撑管采用Ф48*1.0mm食品级不锈钢圆管制作。</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拖把池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1300*500*600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整体SUS304不锈钢制作；台面采用不低于1.0mm厚不锈钢板制作；星盆斗采用不低于1.0mm厚不锈钢板制作；立柱采用38*38mm方通，配可调式子弹脚；横撑采用25*38mm方通；不锈钢下水器。</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I03</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660*128*380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工作方式：粘捕式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额定功率：0.008KW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覆盖面积：30-50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额定电压：220V-50HZ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材料等级：ABS阻燃材料</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3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三层验货区</w:t>
            </w:r>
            <w:r/>
          </w:p>
        </w:tc>
      </w:tr>
      <w:tr>
        <w:trPr>
          <w:trHeight w:val="60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O02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电子落地称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420*560*900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交直流两用，可充电，采用LED数码显示，带计价功能；量程：150kg</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8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P三层主食库</w:t>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P03</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不锈钢米面架</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1200*500*200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整体采用SUS304不锈钢制作，厚度不低于1.0mm；横柱用不低于38×25×0.8mm厚不锈钢；立柱采用不低于38×38×1.0mm厚不锈钢；配置塑胶脚垫。       </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▲产品所用管材符合GB/T 2651-2023《金属材料焊缝破坏性试验 横向拉伸试验》、GB/T 42675-2023《抗菌不锈钢焊接钢管及管件》的国家标准，抗拉强度≥560。</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注：提供具有CMA资质的第三方检测机构出具的304材质不锈钢板材的检测报告。</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42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R三层蒸饭间</w:t>
            </w:r>
            <w:r/>
          </w:p>
        </w:tc>
      </w:tr>
      <w:tr>
        <w:trPr>
          <w:trHeight w:val="69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油网烟罩</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6940*1200*610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优质不锈钢制造；壳体面板厚度不低于1.0mm，加强筋不低于1.2mm；配双层隔油网。</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r>
      <w:tr>
        <w:trPr>
          <w:trHeight w:val="215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电力24盘蒸饭车</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1390*620*1540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功率：12*2KW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最大蒸饭能力：米饭：72-96kg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面点：48-72kg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排骨：96-120kg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输入蒸汽压力：0.02MPa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蒸饭时间：25-50mins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重量：116Kg</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9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R03</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油网烟罩</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3100*1200*610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优质不锈钢制造；壳体面板厚度不低于1.0mm，加强筋不低于1.2mm；配双层隔油网</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r>
      <w:tr>
        <w:trPr>
          <w:trHeight w:val="67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R04</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油网烟罩</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3450*1200*610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优质不锈钢制造；壳体面板厚度不低于1.0mm，加强筋不低于1.2mm；配双层隔油网</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r>
      <w:tr>
        <w:trPr>
          <w:trHeight w:val="135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R05</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660*128*380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工作方式：粘捕式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额定功率：0.008KW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覆盖面积：30-50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额定电压：220V-50HZ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材料等级：ABS阻燃材料</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45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S三层面点间</w:t>
            </w:r>
            <w:r/>
          </w:p>
        </w:tc>
      </w:tr>
      <w:tr>
        <w:trPr>
          <w:trHeight w:val="86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包边木案工作台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整体采用SUS304不锈钢制作；台面采用银杏木，整体全包边；脚管采用不低于Ф48*1.0mm厚不锈钢圆管；配不锈钢可调子弹脚。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02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双层平板工作台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整体采用su304不锈钢制作；台面厚度不低于1.0mm，内衬4mm防水机制板并用不低于1.0mm厚不锈钢板折成加强筋加固；下层板厚度不低于1.2mm；脚管采用不低于Ф48*1.0mm厚不锈钢圆管；配不锈钢可调子弹脚。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8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S03</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双温四门高身柜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1220*760*1980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采用su304不锈钢，内箱圆弧设计机组独立模块化技术，外挂防尘网360°，冷冻门框加装发热丝。</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内箱尺寸(mm)：1100*590*1405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控温类型：电子数字温控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制冷剂：冷藏：R134a,冷冻：R404a</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26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S04</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双星盆水池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1200*700*800+150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整体优质SUS304不锈钢制作；台面采用不低于1.0mm厚不锈钢板制作；星盆斗采用不低于1.0mm厚不锈钢板制作；立柱采用38*38mm方通，配可调式子弹脚；横撑采用25*38mm方通；不锈钢下水器。</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S05</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双动和面机</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380*760*865</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料桶容积：35L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额定电压：220V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额定频率：50Hz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电机功率：1.5KW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最大和面量：12Kg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搅拌转速：200r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料桶转速：20r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整机重量：132kg</w:t>
            </w:r>
            <w:r/>
          </w:p>
          <w:p>
            <w:pPr>
              <w:pStyle w:val="665"/>
              <w:rPr>
                <w:rFonts w:hint="eastAsia"/>
                <w:color w:val="auto"/>
                <w:highlight w:val="none"/>
              </w:rPr>
            </w:pP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eastAsia="zh-CN"/>
              </w:rPr>
              <w:t xml:space="preserve">具有</w:t>
            </w:r>
            <w:r>
              <w:rPr>
                <w:rFonts w:hint="eastAsia" w:ascii="宋体" w:hAnsi="宋体" w:eastAsia="宋体" w:cs="宋体"/>
                <w:i w:val="0"/>
                <w:iCs w:val="0"/>
                <w:color w:val="auto"/>
                <w:sz w:val="21"/>
                <w:szCs w:val="21"/>
                <w:highlight w:val="none"/>
                <w:u w:val="none"/>
                <w:lang w:val="en-US" w:eastAsia="zh-CN"/>
              </w:rPr>
              <w:t xml:space="preserve">食品接触产品卫生认证证</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S06</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压面机</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750*960*1000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压面厚度 : 2~32mm；压面宽度 : 320mm；生产能力: 25~30kg/h；纯铜电机，外板采用1.2mm磨砂S304不锈钢制作，配3种规格不锈钢面刀，增设安全防护栏及紧急安全开关更提升操作者安全保障　自动连续压面机特色S型连续式折迭辗压，增加面团延展性及光泽,可增加面皮之筋性与组织的细密度,不锈钢机壳，符合食品卫生。</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eastAsia="zh-CN"/>
              </w:rPr>
              <w:t xml:space="preserve">具有</w:t>
            </w:r>
            <w:r>
              <w:rPr>
                <w:rFonts w:hint="eastAsia" w:ascii="宋体" w:hAnsi="宋体" w:eastAsia="宋体" w:cs="宋体"/>
                <w:i w:val="0"/>
                <w:iCs w:val="0"/>
                <w:color w:val="auto"/>
                <w:sz w:val="21"/>
                <w:szCs w:val="21"/>
                <w:highlight w:val="none"/>
                <w:u w:val="none"/>
                <w:lang w:val="en-US" w:eastAsia="zh-CN"/>
              </w:rPr>
              <w:t xml:space="preserve">食品接触产品卫生认证证</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7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S07</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油网烟罩</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8520*1000*610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优质不锈钢制造；壳体面板厚度不低于1.0mm，加强筋不低于1.2mm；配双层隔油网</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S08</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立式电炸炉</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1500*500*800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电压：380v</w:t>
            </w:r>
            <w:r/>
          </w:p>
          <w:p>
            <w:pPr>
              <w:jc w:val="left"/>
              <w:keepLines w:val="0"/>
              <w:keepNext w:val="0"/>
              <w:pageBreakBefore w:val="0"/>
              <w:widowControl/>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功率：12kw</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S09</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电饼铛</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720*655*745</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全不锈钢机身、不锈钢辊轴、安全节能、操作简便、装备恒温装置，工作温度：50℃-300℃ </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7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S11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和面机</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740*540*840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电机功率：2.2KW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额定电压：220V/3V-380V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最大和面量：25Kg</w:t>
            </w:r>
            <w:r/>
          </w:p>
          <w:p>
            <w:pPr>
              <w:pStyle w:val="665"/>
              <w:rPr>
                <w:rFonts w:hint="eastAsia"/>
                <w:color w:val="auto"/>
                <w:highlight w:val="none"/>
              </w:rPr>
            </w:pP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eastAsia="zh-CN"/>
              </w:rPr>
              <w:t xml:space="preserve">具有</w:t>
            </w:r>
            <w:r>
              <w:rPr>
                <w:rFonts w:hint="eastAsia" w:ascii="宋体" w:hAnsi="宋体" w:eastAsia="宋体" w:cs="宋体"/>
                <w:i w:val="0"/>
                <w:iCs w:val="0"/>
                <w:color w:val="auto"/>
                <w:sz w:val="21"/>
                <w:szCs w:val="21"/>
                <w:highlight w:val="none"/>
                <w:u w:val="none"/>
                <w:lang w:val="en-US" w:eastAsia="zh-CN"/>
              </w:rPr>
              <w:t xml:space="preserve">食品接触产品卫生认证证</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45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S12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馒头机</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1520*720*1100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整体采用SUS304不锈钢制作；400°高温烤制成型辊表面，附着力大，且不沾漆掉漆。国标铜芯电机，超强动力，经久耐用。智能一键式开关，方便易操作。</w:t>
            </w:r>
            <w:r/>
          </w:p>
          <w:p>
            <w:pPr>
              <w:pStyle w:val="665"/>
              <w:rPr>
                <w:rFonts w:hint="eastAsia"/>
                <w:color w:val="auto"/>
                <w:highlight w:val="none"/>
              </w:rPr>
            </w:pP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eastAsia="zh-CN"/>
              </w:rPr>
              <w:t xml:space="preserve">具有</w:t>
            </w:r>
            <w:r>
              <w:rPr>
                <w:rFonts w:hint="eastAsia" w:ascii="宋体" w:hAnsi="宋体" w:eastAsia="宋体" w:cs="宋体"/>
                <w:i w:val="0"/>
                <w:iCs w:val="0"/>
                <w:color w:val="auto"/>
                <w:sz w:val="21"/>
                <w:szCs w:val="21"/>
                <w:highlight w:val="none"/>
                <w:u w:val="none"/>
                <w:lang w:val="en-US" w:eastAsia="zh-CN"/>
              </w:rPr>
              <w:t xml:space="preserve">食品接触产品卫生认证证</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7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S13</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油网烟罩</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2810*1000*610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优质不锈钢制造；壳体面板厚度不低于1.0mm，加强筋不低于1.2mm；配双层隔油网</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r>
      <w:tr>
        <w:trPr>
          <w:trHeight w:val="103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S14</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三层六盘不锈钢烤箱</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1225*770*1540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功率：20.4KW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重量：290KG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规格：三层六盘</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S15</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饼盘车</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790*720*1700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整体采用SUS304不锈钢制作；片厚度为不低于1.2mm；脚管采用38*38*1.0mm不锈钢方通；配静音万向轮，带刹车。</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45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S16</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二十六盆醒发箱</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1000*790*1720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优质不锈钢制作，后板加固反冲击，湿度可调：30-85℃，功率2.5KW,热风循环喷雾型，顶部温控可调节旋钮，前面板可视防护钢化玻璃，水位槽恒温加湿，16CM加粗钢管架。</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8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E三层预进间</w:t>
            </w:r>
            <w:r/>
          </w:p>
        </w:tc>
      </w:tr>
      <w:tr>
        <w:trPr>
          <w:trHeight w:val="135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660*128*380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工作方式：粘捕式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额定功率：0.008KW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覆盖面积：30-50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额定电压：220V-50HZ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材料等级：ABS阻燃材料</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7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洗手池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400*300*400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整体采用优质SUS304不锈钢制作，厚度不低于1.0mm（实厚）</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8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F三层售卖间</w:t>
            </w:r>
            <w:r/>
          </w:p>
        </w:tc>
      </w:tr>
      <w:tr>
        <w:trPr>
          <w:trHeight w:val="73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电热保温热汤池柜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1、精准控温采用sus304不锈钢加热管迅速升温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2、三角结构设计，加厚称重板材，安全牢固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3、油渍污渍一擦就净，边角经过磨合防止划伤</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70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紫外线消毒灯</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920*130*80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电压:220V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功率:100W</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86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F03</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双门不锈钢门消毒柜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1380*680*1800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面板材质：不锈钢内外胆，整体发泡。消毒方式：高温消毒热风循环。消毒星级：二星级，消毒柜容量：300L</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35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F04</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单通移门荷台柜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1800*700*800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台面厚度不低于1.2mm，内衬15mm防水机制板并用不低于1.0mm厚不锈钢板折成加强筋加固；层板、底板、侧板及门面采用不低于1.0mm厚不锈钢板制作；加强筋厚度不低于1.0mm；配置不锈钢可调子弹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移门为双层结构。</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31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F05</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双星水池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1200*600*800+150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整体优质SUS304不锈钢制作；台面采用不低于1.0mm厚不锈钢板制作；星盆斗采用不低于1.0mm厚不锈钢板制作；立柱采用38*38mm方通，配可调式子弹脚；横撑采用25*38mm方通；不锈钢下水器。</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22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F06</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单门展示柜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660*620*1830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采用电融霜技术，功率220v/0.25kw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温度：+1℃～+4℃风冷，优质压缩机，容量：438L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内外柜体:1.2mm，304不锈钢板材质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柱脚:D50*1.2mm,不锈钢管加可调子弹脚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85"/>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G三层洗碗间</w:t>
            </w:r>
            <w:r/>
          </w:p>
        </w:tc>
      </w:tr>
      <w:tr>
        <w:trPr>
          <w:trHeight w:val="110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1200*600*800+100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整体采用SUS304不锈钢制作，台面厚不低于1.0mm；星盆斗厚不低于1.0mm，配置提篮式不锈钢下水器；柱采用48*1.0mm圆管，配不锈钢可调子弹脚；横撑采用32*1.0mm圆管。</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75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传送带含回收口</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L*600*800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材料：sus304不锈钢制作，珐纹处理，台面厚度不低于δ=1.2mm</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G04</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餐具车</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400*600*800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选用优质不锈钢板制造，不低于δ=1.0mm,配万向脚轮。</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G05</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活动双层平板工作台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800*800*800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整体采用SUS304不锈钢制作；台面厚度不低于1.0mm，内衬15mm防水机制板并用不低于1.0mm厚不锈钢板折成加强筋加固；下层板厚度不低于1.0mm；脚管采用38*38*1.0mm不锈钢方管；配置刹车静音万向轮。</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G06</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长龙洗碗机</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4200*830*2150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1、清洗温度:65℃</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2、冲洗温度:85℃</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3、清洗耗水量不高于270 L/h</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4、外观材质：采用304优质不锈钢制造的机身，厚度不低于3毫米，提高机器的耐腐蚀性、耐磨性、延长机器寿命。</w:t>
            </w:r>
            <w:r/>
          </w:p>
          <w:p>
            <w:pPr>
              <w:jc w:val="left"/>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5、具有精准控制系统、热保护装置。</w:t>
            </w:r>
            <w:r/>
          </w:p>
          <w:p>
            <w:pPr>
              <w:jc w:val="left"/>
              <w:keepLines w:val="0"/>
              <w:keepNext w:val="0"/>
              <w:pageBreakBefore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所投洗碗机具备辐照强度测定、臭氧浓度测定。接通电源，开启紫外灯5min，测量距紫外线灯垂直高度50cm、70cm、100cm距离的紫外线强度，以及将臭氧发生器装置管放入加入装有适量水的容器中制臭氧时间30min、60min、90min、120min的臭氧浓度均符合《消毒技术规范》（2002年版）2.1.5.4.3、2.1.5.8.3要求。</w:t>
            </w:r>
            <w:r>
              <w:rPr>
                <w:rFonts w:hint="eastAsia" w:ascii="宋体" w:hAnsi="宋体" w:eastAsia="宋体" w:cs="宋体"/>
                <w:b/>
                <w:bCs/>
                <w:i w:val="0"/>
                <w:iCs w:val="0"/>
                <w:color w:val="auto"/>
                <w:sz w:val="21"/>
                <w:szCs w:val="21"/>
                <w:highlight w:val="none"/>
                <w:u w:val="none"/>
                <w:lang w:val="en-US" w:eastAsia="zh-CN" w:bidi="ar"/>
              </w:rPr>
              <w:t xml:space="preserve">注：提供具有CMA资质的第三方检测机构出具的检测报告。</w:t>
            </w:r>
            <w:r/>
          </w:p>
          <w:p>
            <w:pPr>
              <w:jc w:val="left"/>
              <w:keepLines w:val="0"/>
              <w:keepNext w:val="0"/>
              <w:pageBreakBefore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7、▲所投洗碗机板材依据 GB/T 2423.16-2022(IEC60068-2-10:2018，IDT)/方法 1严酷等级2 ,提供针对以下霉类检测为零的分析检测报告： 黑曲霉,土曲霉,绿色木霉,绳状青霉,球毛壳霉,宛氏拟青霉,短帚霉,树脂子囊菌。</w:t>
            </w:r>
            <w:r>
              <w:rPr>
                <w:rFonts w:hint="eastAsia" w:ascii="宋体" w:hAnsi="宋体" w:eastAsia="宋体" w:cs="宋体"/>
                <w:b/>
                <w:bCs/>
                <w:i w:val="0"/>
                <w:iCs w:val="0"/>
                <w:color w:val="auto"/>
                <w:sz w:val="21"/>
                <w:szCs w:val="21"/>
                <w:highlight w:val="none"/>
                <w:u w:val="none"/>
                <w:lang w:val="en-US" w:eastAsia="zh-CN" w:bidi="ar"/>
              </w:rPr>
              <w:t xml:space="preserve">注：提供具有CMA资质的第三方检测机构出具的检测报告。</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所投洗碗机用304不锈钢板依据GB/T 20123-2006，碳（C），%含量检测，检测结果≤0.04，硫（S），%含量检测，检测结果≤0.003；依据YB/T 4396-2014，硅（Si），%含量检测，检测结果≤0.40,锰（Mn），%含量检测，检测结果≤0.97,磷（P），%含量检测，检测结果≤0.022，镍（Ni），%含量检测，检测结果≥8.10；依据GB/T 223.11-</w:t>
            </w:r>
            <w:r>
              <w:rPr>
                <w:rFonts w:hint="eastAsia" w:ascii="宋体" w:hAnsi="宋体" w:eastAsia="宋体" w:cs="宋体"/>
                <w:i w:val="0"/>
                <w:iCs w:val="0"/>
                <w:color w:val="auto"/>
                <w:sz w:val="21"/>
                <w:szCs w:val="21"/>
                <w:highlight w:val="none"/>
                <w:u w:val="none"/>
                <w:lang w:val="en-US" w:eastAsia="zh-CN" w:bidi="ar"/>
              </w:rPr>
              <w:t xml:space="preserve">2025方法一，铬（Cr），%含量检测，检</w:t>
            </w:r>
            <w:r>
              <w:rPr>
                <w:rFonts w:hint="eastAsia" w:ascii="宋体" w:hAnsi="宋体" w:eastAsia="宋体" w:cs="宋体"/>
                <w:i w:val="0"/>
                <w:iCs w:val="0"/>
                <w:color w:val="auto"/>
                <w:sz w:val="21"/>
                <w:szCs w:val="21"/>
                <w:highlight w:val="none"/>
                <w:u w:val="none"/>
                <w:lang w:val="en-US" w:eastAsia="zh-CN" w:bidi="ar"/>
              </w:rPr>
              <w:t xml:space="preserve">测结果≥18.00；依据GB/T 228.1-2021，进行抗拉强度Rm，MPa检测，检测结果≥735；依据GB/T 228.1-2021，进行规定塑性延伸强度Rp0.2，MPa检测，检测结果≥302；依据GB/T 228.1-2021，进行断后伸长率A50mm，%检测，检测结果≥54.5；依据GB/T 232-2024，进行弯曲试验，试样弯曲外表面应无可见裂纹，检测结果无缺欠，合格；依据GB/T 2653-2008，对焊接接头进行弯曲试验，试样外表面和侧面应无缺欠，检测结果无缺欠，合格；依据GB/T 25</w:t>
            </w:r>
            <w:r>
              <w:rPr>
                <w:rFonts w:hint="eastAsia" w:ascii="宋体" w:hAnsi="宋体" w:eastAsia="宋体" w:cs="宋体"/>
                <w:i w:val="0"/>
                <w:iCs w:val="0"/>
                <w:color w:val="auto"/>
                <w:sz w:val="21"/>
                <w:szCs w:val="21"/>
                <w:highlight w:val="none"/>
                <w:u w:val="none"/>
                <w:lang w:val="en-US" w:eastAsia="zh-CN" w:bidi="ar"/>
              </w:rPr>
              <w:t xml:space="preserve">23-2022，对样品进行表面粗糙度Ra，μm测试，检测结果≤0.07；用相应精度的量具测量门板厚度,检测结果≥1.417；依据GB/T 4334-2020 A法，进行晶间腐蚀A法测试，检测结果晶界形态：一类，阶梯组织：凹坑，形态：六类，凹坑组织I；依据GB/T 6394-2017比较法，进行晶粒度测试，检测结果≤8.5级；依据GB/T 4340.1-2024，进行维氏硬度（表面）测试，检测结果≤200HV0.5/10；依据GB/T 10125-2021和GB/T 6461-2002，进行盐雾试验（中性，≥</w:t>
            </w:r>
            <w:r>
              <w:rPr>
                <w:rFonts w:hint="eastAsia" w:ascii="宋体" w:hAnsi="宋体" w:cs="宋体"/>
                <w:i w:val="0"/>
                <w:iCs w:val="0"/>
                <w:color w:val="auto"/>
                <w:sz w:val="21"/>
                <w:szCs w:val="21"/>
                <w:highlight w:val="none"/>
                <w:u w:val="none"/>
                <w:lang w:val="en-US" w:eastAsia="zh-CN" w:bidi="ar"/>
              </w:rPr>
              <w:t xml:space="preserve">240</w:t>
            </w:r>
            <w:r>
              <w:rPr>
                <w:rFonts w:hint="eastAsia" w:ascii="宋体" w:hAnsi="宋体" w:eastAsia="宋体" w:cs="宋体"/>
                <w:i w:val="0"/>
                <w:iCs w:val="0"/>
                <w:color w:val="auto"/>
                <w:sz w:val="21"/>
                <w:szCs w:val="21"/>
                <w:highlight w:val="none"/>
                <w:u w:val="none"/>
                <w:lang w:val="en-US" w:eastAsia="zh-CN" w:bidi="ar"/>
              </w:rPr>
              <w:t xml:space="preserve">h），经≥</w:t>
            </w:r>
            <w:r>
              <w:rPr>
                <w:rFonts w:hint="eastAsia" w:ascii="宋体" w:hAnsi="宋体" w:cs="宋体"/>
                <w:i w:val="0"/>
                <w:iCs w:val="0"/>
                <w:color w:val="auto"/>
                <w:sz w:val="21"/>
                <w:szCs w:val="21"/>
                <w:highlight w:val="none"/>
                <w:u w:val="none"/>
                <w:lang w:val="en-US" w:eastAsia="zh-CN" w:bidi="ar"/>
              </w:rPr>
              <w:t xml:space="preserve">240</w:t>
            </w:r>
            <w:r>
              <w:rPr>
                <w:rFonts w:hint="eastAsia" w:ascii="宋体" w:hAnsi="宋体" w:eastAsia="宋体" w:cs="宋体"/>
                <w:i w:val="0"/>
                <w:iCs w:val="0"/>
                <w:color w:val="auto"/>
                <w:sz w:val="21"/>
                <w:szCs w:val="21"/>
                <w:highlight w:val="none"/>
                <w:u w:val="none"/>
                <w:lang w:val="en-US" w:eastAsia="zh-CN" w:bidi="ar"/>
              </w:rPr>
              <w:t xml:space="preserve">h中性盐雾试验后，检测结果：样品检验面未见锈蚀，保护评级Rp：10级</w:t>
            </w:r>
            <w:r>
              <w:rPr>
                <w:rFonts w:hint="eastAsia" w:ascii="宋体" w:hAnsi="宋体" w:eastAsia="宋体" w:cs="宋体"/>
                <w:b/>
                <w:bCs/>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28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G07</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大单星盆水池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1000*700*800+150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整体SUS304不锈钢制作；台面采用不低于1.0mm厚不锈钢板制作；星盆斗采用不低于1.0mm厚不锈钢板制作；立柱采用38*38mm方通，配可调式子弹脚；横撑采用25*38mm方通；不锈钢下水器。</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07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G08</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高身储物柜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1200*500*1800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整体采用304不锈钢制作；台面厚度不低于1.0mm；下层、侧板板厚度不低于1.0mm,并用不低于1.0mm厚不锈钢板折成加强筋加固；脚管采用Ф48*1.0mm厚不锈钢圆管。</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29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G09</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660*128*380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工作方式：粘捕式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额定功率：0.008KW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覆盖面积：30-50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额定电压：220V-50HZ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材料等级：ABS阻燃材料</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71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G10</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油网烟罩</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4400*1500*610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优质不锈钢制造；壳体面板厚度不低于1.0mm，加强筋不低于1.2mm；配双层隔油网</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r>
      <w:tr>
        <w:trPr>
          <w:trHeight w:val="320"/>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H三层消毒间</w:t>
            </w:r>
            <w:r/>
          </w:p>
        </w:tc>
      </w:tr>
      <w:tr>
        <w:trPr>
          <w:trHeight w:val="78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双门不锈钢门消毒柜</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1380*680*1800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面板材质：不锈钢内外胆，整体发泡。消毒方式：高温消毒热风循环。消毒星级：二星级，消毒柜容量：300L </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60"/>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I三层保洁间</w:t>
            </w:r>
            <w:r/>
          </w:p>
        </w:tc>
      </w:tr>
      <w:tr>
        <w:trPr>
          <w:trHeight w:val="74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I01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拖把架</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1000*350*550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整体采用SUS304不锈钢制作，厚度不低于1.0mm；支撑管采用Ф48*1.0mm食品级不锈钢圆管制作。</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39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I02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拖把池</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1300*500*600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整体SUS304不锈钢制作；台面采用不低于1.0mm厚不锈钢板制作；星盆斗采用不低于1.0mm厚不锈钢板制作；立柱采用38*38mm方通，配可调式子弹脚；横撑采用25*38mm方通；不锈钢下水器。</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27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I03</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660*128*380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工作方式：粘捕式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额定功率：0.008KW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覆盖面积：30-50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额定电压：220V-50HZ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材料等级：ABS阻燃材料</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110"/>
        </w:trPr>
        <w:tc>
          <w:tcPr>
            <w:gridSpan w:val="6"/>
            <w:shd w:val="clear" w:color="auto" w:fill="ffffff"/>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其他</w:t>
            </w:r>
            <w:r/>
          </w:p>
        </w:tc>
      </w:tr>
      <w:tr>
        <w:trPr>
          <w:trHeight w:val="42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三角阀</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DN15</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整体不锈钢，阀芯为铜制</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49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冷热水龙头</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default" w:eastAsia="宋体"/>
                <w:color w:val="auto"/>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全铜陶瓷片阀芯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整体不锈钢</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水管</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外壳不锈钢保护网，内里PPT管</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74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油烟排风机</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22kw</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numPr>
                <w:ilvl w:val="0"/>
                <w:numId w:val="6"/>
              </w:num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整机采用厚度1.0mm热镀锌烤漆板制作，可全拆件运输、装卸；</w:t>
            </w:r>
            <w:r/>
          </w:p>
          <w:p>
            <w:pPr>
              <w:numPr>
                <w:ilvl w:val="0"/>
                <w:numId w:val="6"/>
              </w:num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采用多翼式叶轮结构；</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3、轴承全部采用外球面滚动轴承，免维护且自带调芯功能；</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5、风机外壳及叶片均采用优质板钢板制造，具有良好的耐候耐腐蚀性；</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▲产品具有中国环境标志产品认证证书。</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▲所投产品依据《通风机等效限定值就能效等级》检测标准，检验风柜能效等级达到1级，</w:t>
            </w:r>
            <w:r>
              <w:rPr>
                <w:rFonts w:hint="eastAsia" w:ascii="宋体" w:hAnsi="宋体" w:eastAsia="宋体" w:cs="宋体"/>
                <w:b/>
                <w:bCs/>
                <w:i w:val="0"/>
                <w:iCs w:val="0"/>
                <w:color w:val="auto"/>
                <w:sz w:val="21"/>
                <w:szCs w:val="21"/>
                <w:highlight w:val="none"/>
                <w:u w:val="none"/>
                <w:lang w:val="en-US" w:eastAsia="zh-CN" w:bidi="ar"/>
              </w:rPr>
              <w:t xml:space="preserve">注：提供具有CMA资质的第三方检测机构出具的的检测报告。</w:t>
            </w:r>
            <w:r/>
          </w:p>
          <w:p>
            <w:pPr>
              <w:jc w:val="left"/>
              <w:keepLines w:val="0"/>
              <w:keepNext w:val="0"/>
              <w:pageBreakBefore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▲所投产品依据 GB/T 10125-2021标准进行测试，达到防腐蚀等级：户外1级。</w:t>
            </w:r>
            <w:r>
              <w:rPr>
                <w:rFonts w:hint="eastAsia" w:ascii="宋体" w:hAnsi="宋体" w:eastAsia="宋体" w:cs="宋体"/>
                <w:b/>
                <w:bCs/>
                <w:i w:val="0"/>
                <w:iCs w:val="0"/>
                <w:color w:val="auto"/>
                <w:sz w:val="21"/>
                <w:szCs w:val="21"/>
                <w:highlight w:val="none"/>
                <w:u w:val="none"/>
                <w:lang w:val="en-US" w:eastAsia="zh-CN" w:bidi="ar"/>
              </w:rPr>
              <w:t xml:space="preserve">注：提供具有CMA资质的第三方检测机构出具的的检测报告。</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▲所投产品依据GB/T23717.1-2009，GB/T2298-2010，GB/T16916.1-2014检测标准，检测机械振动测试、机械冲击测试、破皮测试、漏电、防止松动、外观、防触电保护、绝缘介电强度等项目，检测结果符合要求合格。</w:t>
            </w:r>
            <w:r>
              <w:rPr>
                <w:rFonts w:hint="eastAsia" w:ascii="宋体" w:hAnsi="宋体" w:eastAsia="宋体" w:cs="宋体"/>
                <w:b/>
                <w:bCs/>
                <w:i w:val="0"/>
                <w:iCs w:val="0"/>
                <w:color w:val="auto"/>
                <w:sz w:val="21"/>
                <w:szCs w:val="21"/>
                <w:highlight w:val="none"/>
                <w:u w:val="none"/>
                <w:lang w:val="en-US" w:eastAsia="zh-CN" w:bidi="ar"/>
              </w:rPr>
              <w:t xml:space="preserve">注：提供具有CMA资质的第三方检测机构出具的</w:t>
            </w:r>
            <w:r>
              <w:rPr>
                <w:rFonts w:hint="eastAsia" w:ascii="宋体" w:hAnsi="宋体" w:eastAsia="宋体" w:cs="宋体"/>
                <w:i w:val="0"/>
                <w:iCs w:val="0"/>
                <w:color w:val="auto"/>
                <w:sz w:val="21"/>
                <w:szCs w:val="21"/>
                <w:highlight w:val="none"/>
                <w:u w:val="none"/>
                <w:lang w:val="en-US" w:eastAsia="zh-CN" w:bidi="ar"/>
              </w:rPr>
              <w:t xml:space="preserve">的检测报告。</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▲提供所投产品依据GB/T 25384-2018标准，检测通风机叶轮超速实验后尺寸变形量、空气动力、性能等，通过GB/T 44848-2024标准对动平衡品质等级≤2.5，叶轮超速试验叶轮在规定最高工作转速的150%转速下运行，持续时间不少于24h，试验结果应符合焊缝、轮盘、轮盖、轮毂等不得有裂纹，铆钉不得有松动或有裂纹，噪声(比A声级)(dB)≤27的合格。</w:t>
            </w:r>
            <w:r>
              <w:rPr>
                <w:rFonts w:hint="eastAsia" w:ascii="宋体" w:hAnsi="宋体" w:eastAsia="宋体" w:cs="宋体"/>
                <w:b/>
                <w:bCs/>
                <w:i w:val="0"/>
                <w:iCs w:val="0"/>
                <w:color w:val="auto"/>
                <w:sz w:val="21"/>
                <w:szCs w:val="21"/>
                <w:highlight w:val="none"/>
                <w:u w:val="none"/>
                <w:lang w:val="en-US" w:eastAsia="zh-CN" w:bidi="ar"/>
              </w:rPr>
              <w:t xml:space="preserve">注：提供具有CMA资质的第三方检测机构出具的的检测报告</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集烟箱</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600*600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 材质201不锈钢 厚度不低于1.0mm</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252"/>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烟囱</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600*600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材质201不锈钢 厚度不低于1.0mm </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237"/>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弯头</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600*600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材质201不锈钢 厚度不低于1.0mm </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532"/>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不锈钢变径</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600*600+800*500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材质201不锈钢 厚度不低于1.0㎜ </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82"/>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法兰</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600*600</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三号镀锌角铁</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1105"/>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油烟净化器</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50000m³/h</w:t>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1、油烟净化器采用铝合金板式电场，油烟净化效率高达90%，达到目测无烟。</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2、所投油烟净化器为保证净化效率不低于95%，静电集成板需采用双滤芯双极净化，不能采用单滤芯净化。</w:t>
            </w:r>
            <w:r/>
          </w:p>
          <w:p>
            <w:pPr>
              <w:jc w:val="left"/>
              <w:keepLines w:val="0"/>
              <w:keepNext w:val="0"/>
              <w:pageBreakBefore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▲3、油烟净化器符合GB/T 4208-2017《外壳防护等级（IP代码）》标准，测试防水等级，防水等级达到IP66级别。</w:t>
            </w:r>
            <w:r>
              <w:rPr>
                <w:rFonts w:hint="eastAsia" w:ascii="宋体" w:hAnsi="宋体" w:eastAsia="宋体" w:cs="宋体"/>
                <w:b/>
                <w:bCs/>
                <w:i w:val="0"/>
                <w:iCs w:val="0"/>
                <w:color w:val="auto"/>
                <w:sz w:val="21"/>
                <w:szCs w:val="21"/>
                <w:highlight w:val="none"/>
                <w:u w:val="none"/>
                <w:lang w:val="en-US" w:eastAsia="zh-CN" w:bidi="ar"/>
              </w:rPr>
              <w:t xml:space="preserve">注：提供具有CMA资质的第三方检测机构出具的的检测报告</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▲4、油烟净化器臭氧浓度增加量符合GB/T14295-2019标准，臭氧增加量≤0.003mg/m3。</w:t>
            </w:r>
            <w:r>
              <w:rPr>
                <w:rFonts w:hint="eastAsia" w:ascii="宋体" w:hAnsi="宋体" w:eastAsia="宋体" w:cs="宋体"/>
                <w:b/>
                <w:bCs/>
                <w:i w:val="0"/>
                <w:iCs w:val="0"/>
                <w:color w:val="auto"/>
                <w:sz w:val="21"/>
                <w:szCs w:val="21"/>
                <w:highlight w:val="none"/>
                <w:u w:val="none"/>
                <w:lang w:val="en-US" w:eastAsia="zh-CN" w:bidi="ar"/>
              </w:rPr>
              <w:t xml:space="preserve">注：提供具有CMA资质的第三方检测机构出具的的检测报告</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▲5、为了保证使用中的安全性，净化器的绝缘柱依据HG/T3210-2002耐碱度不低于98%，耐酸度不低于92%,显气孔率和洛氏硬度依据GB/T2997-2015标准平均值不高于1.2%和3.6g/cm3。</w:t>
            </w:r>
            <w:r>
              <w:rPr>
                <w:rFonts w:hint="eastAsia" w:ascii="宋体" w:hAnsi="宋体" w:eastAsia="宋体" w:cs="宋体"/>
                <w:b/>
                <w:bCs/>
                <w:i w:val="0"/>
                <w:iCs w:val="0"/>
                <w:color w:val="auto"/>
                <w:sz w:val="21"/>
                <w:szCs w:val="21"/>
                <w:highlight w:val="none"/>
                <w:u w:val="none"/>
                <w:lang w:val="en-US" w:eastAsia="zh-CN" w:bidi="ar"/>
              </w:rPr>
              <w:t xml:space="preserve">注：提供具有CMA资质的第三方检测机构出具的的检测报告</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450"/>
        </w:trPr>
        <w:tc>
          <w:tcPr>
            <w:shd w:val="clear" w:color="auto" w:fill="ffffff"/>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安装辅材</w:t>
            </w:r>
            <w:r/>
          </w:p>
        </w:tc>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包含螺丝密封胶吊筋等</w:t>
            </w:r>
            <w:r/>
          </w:p>
        </w:tc>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ind w:left="0" w:right="0" w:firstLine="562"/>
        <w:jc w:val="left"/>
        <w:keepLines w:val="0"/>
        <w:keepNext w:val="0"/>
        <w:pageBreakBefore w:val="0"/>
        <w:spacing w:line="49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注</w:t>
      </w:r>
      <w:r>
        <w:rPr>
          <w:rFonts w:hint="eastAsia" w:ascii="宋体" w:hAnsi="宋体" w:eastAsia="宋体" w:cs="宋体"/>
          <w:b/>
          <w:sz w:val="24"/>
          <w:szCs w:val="24"/>
          <w:lang w:eastAsia="zh-CN"/>
        </w:rPr>
        <w:t xml:space="preserve">：根据财政部令87号第31条：供应商提供相同品牌产品且通过资格审查、符合性审查的不同的投标人参加同一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非单一产品采购项目，招标人应当根据采购项目技术构成、产品价格比重等合理确定核心产品，并在招标文件中载明，多家投标人提供的核心产品品牌相同的，按前两款规定处理。</w:t>
      </w:r>
      <w:r/>
    </w:p>
    <w:p>
      <w:pPr>
        <w:ind w:left="0" w:right="0" w:firstLine="562"/>
        <w:jc w:val="left"/>
        <w:keepLines w:val="0"/>
        <w:keepNext w:val="0"/>
        <w:pageBreakBefore w:val="0"/>
        <w:spacing w:line="490" w:lineRule="exact"/>
        <w:widowControl w:val="off"/>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核心产品：</w:t>
      </w:r>
      <w:r>
        <w:rPr>
          <w:rFonts w:hint="eastAsia" w:ascii="宋体" w:hAnsi="宋体" w:eastAsia="宋体" w:cs="宋体"/>
          <w:b/>
          <w:color w:val="auto"/>
          <w:sz w:val="24"/>
          <w:szCs w:val="24"/>
          <w:highlight w:val="none"/>
          <w:u w:val="single"/>
          <w:lang w:val="en-US" w:eastAsia="zh-CN"/>
        </w:rPr>
        <w:t xml:space="preserve">单头大锅灶。</w:t>
      </w:r>
      <w:r/>
    </w:p>
    <w:p>
      <w:pPr>
        <w:ind w:left="0" w:right="0" w:firstLine="480"/>
        <w:jc w:val="left"/>
        <w:keepLines w:val="0"/>
        <w:keepNext w:val="0"/>
        <w:pageBreakBefore w:val="0"/>
        <w:spacing w:line="490" w:lineRule="exact"/>
        <w:widowControl w:val="off"/>
        <w:rPr>
          <w:rFonts w:hint="eastAsia" w:ascii="宋体" w:hAnsi="宋体" w:eastAsia="宋体" w:cs="宋体"/>
          <w:b/>
          <w:bCs/>
          <w:sz w:val="24"/>
          <w:szCs w:val="24"/>
        </w:rPr>
      </w:pPr>
      <w:r>
        <w:rPr>
          <w:rFonts w:hint="eastAsia" w:ascii="楷体" w:hAnsi="楷体" w:eastAsia="楷体" w:cs="楷体"/>
          <w:b/>
          <w:bCs/>
          <w:sz w:val="24"/>
          <w:szCs w:val="24"/>
        </w:rPr>
        <w:t xml:space="preserve">★</w:t>
      </w:r>
      <w:r>
        <w:rPr>
          <w:rFonts w:hint="eastAsia" w:ascii="宋体" w:hAnsi="宋体" w:eastAsia="宋体" w:cs="宋体"/>
          <w:b/>
          <w:bCs/>
          <w:sz w:val="24"/>
          <w:szCs w:val="24"/>
        </w:rPr>
        <w:t xml:space="preserve">1.所列水龙头均为节能产品，投标文件中提供节能产品认证证书。</w:t>
      </w:r>
      <w:r/>
    </w:p>
    <w:p>
      <w:pPr>
        <w:ind w:left="0" w:right="0" w:firstLine="480"/>
        <w:jc w:val="left"/>
        <w:keepLines w:val="0"/>
        <w:keepNext w:val="0"/>
        <w:pageBreakBefore w:val="0"/>
        <w:spacing w:line="490" w:lineRule="exact"/>
        <w:widowControl w:val="off"/>
        <w:rPr>
          <w:rFonts w:hint="eastAsia" w:ascii="宋体" w:hAnsi="宋体" w:eastAsia="宋体" w:cs="宋体"/>
          <w:sz w:val="24"/>
          <w:szCs w:val="24"/>
          <w:lang w:eastAsia="zh-CN"/>
        </w:rPr>
      </w:pPr>
      <w:r>
        <w:rPr>
          <w:rFonts w:hint="eastAsia" w:ascii="楷体" w:hAnsi="楷体" w:eastAsia="楷体" w:cs="楷体"/>
          <w:b/>
          <w:bCs/>
          <w:sz w:val="24"/>
          <w:szCs w:val="24"/>
        </w:rPr>
        <w:t xml:space="preserve">★</w:t>
      </w:r>
      <w:r>
        <w:rPr>
          <w:rFonts w:hint="eastAsia" w:ascii="宋体" w:hAnsi="宋体" w:eastAsia="宋体" w:cs="宋体"/>
          <w:b/>
          <w:bCs/>
          <w:sz w:val="24"/>
          <w:szCs w:val="24"/>
        </w:rPr>
        <w:t xml:space="preserve">2.所列</w:t>
      </w:r>
      <w:r>
        <w:rPr>
          <w:rFonts w:hint="eastAsia" w:ascii="宋体" w:hAnsi="宋体" w:eastAsia="宋体" w:cs="宋体"/>
          <w:b/>
          <w:bCs/>
          <w:sz w:val="24"/>
          <w:szCs w:val="24"/>
          <w:lang w:eastAsia="zh-CN"/>
        </w:rPr>
        <w:t xml:space="preserve">消毒柜、紫外线消毒灯</w:t>
      </w:r>
      <w:r>
        <w:rPr>
          <w:rFonts w:hint="eastAsia" w:ascii="宋体" w:hAnsi="宋体" w:eastAsia="宋体" w:cs="宋体"/>
          <w:b/>
          <w:bCs/>
          <w:sz w:val="24"/>
          <w:szCs w:val="24"/>
        </w:rPr>
        <w:t xml:space="preserve">均</w:t>
      </w:r>
      <w:r>
        <w:rPr>
          <w:rFonts w:hint="eastAsia" w:ascii="宋体" w:hAnsi="宋体" w:eastAsia="宋体" w:cs="宋体"/>
          <w:b/>
          <w:bCs/>
          <w:sz w:val="24"/>
          <w:szCs w:val="24"/>
          <w:lang w:eastAsia="zh-CN"/>
        </w:rPr>
        <w:t xml:space="preserve">须提供消毒产品生产企业卫生许可证证书。</w:t>
      </w:r>
      <w:r/>
    </w:p>
    <w:p>
      <w:pPr>
        <w:ind w:left="0" w:right="0" w:firstLine="480"/>
        <w:jc w:val="left"/>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本项目所采购产品及产品原材料的有害物质含量、物理性能、力学性能、化学性能、抗菌性能等须满足相关国标要求。</w:t>
      </w:r>
      <w:r/>
    </w:p>
    <w:p>
      <w:pPr>
        <w:ind w:left="0" w:right="0" w:firstLine="562"/>
        <w:jc w:val="left"/>
        <w:keepLines w:val="0"/>
        <w:keepNext w:val="0"/>
        <w:pageBreakBefore w:val="0"/>
        <w:spacing w:line="49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四、交付要求</w:t>
      </w:r>
      <w:r/>
    </w:p>
    <w:p>
      <w:pPr>
        <w:ind w:left="0" w:right="0" w:firstLine="480"/>
        <w:jc w:val="left"/>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1.交货期：自合同签订之日起</w:t>
      </w:r>
      <w:r>
        <w:rPr>
          <w:rFonts w:hint="eastAsia" w:ascii="宋体" w:hAnsi="宋体" w:eastAsia="宋体" w:cs="宋体"/>
          <w:sz w:val="24"/>
          <w:szCs w:val="24"/>
          <w:lang w:val="en-US" w:eastAsia="zh-CN"/>
        </w:rPr>
        <w:t xml:space="preserve">30日</w:t>
      </w:r>
      <w:r>
        <w:rPr>
          <w:rFonts w:hint="eastAsia" w:ascii="宋体" w:hAnsi="宋体" w:eastAsia="宋体" w:cs="宋体"/>
          <w:sz w:val="24"/>
          <w:szCs w:val="24"/>
        </w:rPr>
        <w:t xml:space="preserve">内完成供货、安装、调试、验收合格并交付使用。</w:t>
      </w:r>
      <w:r/>
    </w:p>
    <w:p>
      <w:pPr>
        <w:ind w:left="0" w:right="0" w:firstLine="480"/>
        <w:jc w:val="left"/>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2.交货方式：现场验收。</w:t>
      </w:r>
      <w:r/>
    </w:p>
    <w:p>
      <w:pPr>
        <w:ind w:left="0" w:right="0" w:firstLine="480"/>
        <w:jc w:val="left"/>
        <w:keepLines w:val="0"/>
        <w:keepNext w:val="0"/>
        <w:pageBreakBefore w:val="0"/>
        <w:spacing w:line="49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3.交货地点</w:t>
      </w:r>
      <w:r>
        <w:rPr>
          <w:rFonts w:hint="eastAsia" w:ascii="宋体" w:hAnsi="宋体" w:eastAsia="宋体" w:cs="宋体"/>
          <w:sz w:val="24"/>
          <w:szCs w:val="24"/>
          <w:lang w:eastAsia="zh-CN"/>
        </w:rPr>
        <w:t xml:space="preserve">：招标人指定地点。</w:t>
      </w:r>
      <w:r/>
    </w:p>
    <w:p>
      <w:pPr>
        <w:ind w:left="0" w:right="0" w:firstLine="480"/>
        <w:jc w:val="left"/>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交货质量</w:t>
      </w:r>
      <w:r>
        <w:rPr>
          <w:rFonts w:hint="eastAsia" w:ascii="宋体" w:hAnsi="宋体" w:eastAsia="宋体" w:cs="宋体"/>
          <w:sz w:val="24"/>
          <w:szCs w:val="24"/>
        </w:rPr>
        <w:t xml:space="preserve">：</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负责将货物运到</w:t>
      </w:r>
      <w:r>
        <w:rPr>
          <w:rFonts w:hint="eastAsia" w:ascii="宋体" w:hAnsi="宋体" w:eastAsia="宋体" w:cs="宋体"/>
          <w:color w:val="000000"/>
          <w:sz w:val="24"/>
          <w:lang w:eastAsia="zh-CN"/>
        </w:rPr>
        <w:t xml:space="preserve">招标</w:t>
      </w:r>
      <w:r>
        <w:rPr>
          <w:rFonts w:hint="eastAsia" w:ascii="宋体" w:hAnsi="宋体" w:eastAsia="宋体" w:cs="宋体"/>
          <w:color w:val="000000"/>
          <w:sz w:val="24"/>
        </w:rPr>
        <w:t xml:space="preserve">人指定地点，由</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负责办理运输、装卸和安装等，费用由</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负责，由</w:t>
      </w:r>
      <w:r>
        <w:rPr>
          <w:rFonts w:hint="eastAsia" w:ascii="宋体" w:hAnsi="宋体" w:eastAsia="宋体" w:cs="宋体"/>
          <w:color w:val="000000"/>
          <w:sz w:val="24"/>
          <w:lang w:eastAsia="zh-CN"/>
        </w:rPr>
        <w:t xml:space="preserve">招标</w:t>
      </w:r>
      <w:r>
        <w:rPr>
          <w:rFonts w:hint="eastAsia" w:ascii="宋体" w:hAnsi="宋体" w:eastAsia="宋体" w:cs="宋体"/>
          <w:color w:val="000000"/>
          <w:sz w:val="24"/>
        </w:rPr>
        <w:t xml:space="preserve">人组织验收，检验不合格或不符合质量要求，</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除无条件退货外，还应承担</w:t>
      </w:r>
      <w:r>
        <w:rPr>
          <w:rFonts w:hint="eastAsia" w:ascii="宋体" w:hAnsi="宋体" w:eastAsia="宋体" w:cs="宋体"/>
          <w:color w:val="000000"/>
          <w:sz w:val="24"/>
          <w:lang w:eastAsia="zh-CN"/>
        </w:rPr>
        <w:t xml:space="preserve">招标</w:t>
      </w:r>
      <w:r>
        <w:rPr>
          <w:rFonts w:hint="eastAsia" w:ascii="宋体" w:hAnsi="宋体" w:eastAsia="宋体" w:cs="宋体"/>
          <w:color w:val="000000"/>
          <w:sz w:val="24"/>
        </w:rPr>
        <w:t xml:space="preserve">人的一切损失。</w:t>
      </w:r>
      <w:r/>
    </w:p>
    <w:p>
      <w:pPr>
        <w:ind w:left="0" w:right="0" w:firstLine="562"/>
        <w:jc w:val="left"/>
        <w:keepLines w:val="0"/>
        <w:keepNext w:val="0"/>
        <w:pageBreakBefore w:val="0"/>
        <w:spacing w:line="49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五</w:t>
      </w:r>
      <w:r>
        <w:rPr>
          <w:rFonts w:hint="eastAsia" w:ascii="宋体" w:hAnsi="宋体" w:eastAsia="宋体" w:cs="宋体"/>
          <w:b/>
          <w:sz w:val="24"/>
          <w:szCs w:val="24"/>
        </w:rPr>
        <w:t xml:space="preserve">、人员配备要求</w:t>
      </w:r>
      <w:r/>
    </w:p>
    <w:p>
      <w:pPr>
        <w:ind w:left="0" w:right="0" w:firstLine="480"/>
        <w:jc w:val="left"/>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1、安装实施过程中发生的一切安全问题均由投标人自行承担；</w:t>
      </w:r>
      <w:r/>
    </w:p>
    <w:p>
      <w:pPr>
        <w:ind w:right="0" w:firstLine="480"/>
        <w:jc w:val="left"/>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w:t>
      </w:r>
      <w:r>
        <w:rPr>
          <w:rFonts w:hint="eastAsia" w:ascii="宋体" w:hAnsi="宋体" w:eastAsia="宋体" w:cs="宋体"/>
          <w:sz w:val="24"/>
          <w:szCs w:val="24"/>
          <w:lang w:val="en-US" w:eastAsia="zh-CN"/>
        </w:rPr>
        <w:t xml:space="preserve">人必须安排具有相应资格的人员参与安装实施，进场安装实施人员在本项目履约期间具有人身意外伤害险；在安装实施中要严格按行业规定进行安装实施，若出现任何安全事故，责任由投标人自行承担</w:t>
      </w:r>
      <w:r>
        <w:rPr>
          <w:rFonts w:hint="eastAsia" w:ascii="宋体" w:hAnsi="宋体" w:eastAsia="宋体" w:cs="宋体"/>
          <w:sz w:val="24"/>
          <w:szCs w:val="24"/>
        </w:rPr>
        <w:t xml:space="preserve">。</w:t>
      </w:r>
      <w:r/>
    </w:p>
    <w:p>
      <w:pPr>
        <w:ind w:left="0" w:right="0" w:firstLine="562"/>
        <w:jc w:val="left"/>
        <w:keepLines w:val="0"/>
        <w:keepNext w:val="0"/>
        <w:pageBreakBefore w:val="0"/>
        <w:spacing w:line="49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六</w:t>
      </w:r>
      <w:r>
        <w:rPr>
          <w:rFonts w:hint="eastAsia" w:ascii="宋体" w:hAnsi="宋体" w:eastAsia="宋体" w:cs="宋体"/>
          <w:b/>
          <w:sz w:val="24"/>
          <w:szCs w:val="24"/>
        </w:rPr>
        <w:t xml:space="preserve">、履约验收要求</w:t>
      </w:r>
      <w:r/>
    </w:p>
    <w:p>
      <w:pPr>
        <w:ind w:left="0" w:right="0" w:firstLine="480"/>
        <w:jc w:val="left"/>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1、招标人以招标文件、中标人的投标文件、承诺、合同为依据，成立验收小组，负责对项目进行全面的验收。</w:t>
      </w:r>
      <w:r/>
    </w:p>
    <w:p>
      <w:pPr>
        <w:ind w:left="0" w:right="0" w:firstLine="480"/>
        <w:jc w:val="left"/>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2、货物的验收包括：数量、外观、质量、性能、包装等；所有设备和附（配）件应符合其规定的性能，无瑕疵和缺陷，质量为合格产品。</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对质量问题负责包退、包换和包修，因此发生的费用由</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自行负责。</w:t>
      </w:r>
      <w:r/>
    </w:p>
    <w:p>
      <w:pPr>
        <w:ind w:left="0" w:right="0" w:firstLine="480"/>
        <w:jc w:val="left"/>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left="0" w:right="0" w:firstLine="480"/>
        <w:jc w:val="left"/>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4、货物到达招标人指定地点并安装、调试工作完成后，通知招标人，由招标人根据相关部门规定的验收方案，严格按照有关要求及标准，对整个项目进行验收；交付使用时要同时向</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提供详细的技术文件、调试报告、安装记录、原厂保修卡、随机资料及配件。</w:t>
      </w:r>
      <w:r/>
    </w:p>
    <w:p>
      <w:pPr>
        <w:ind w:left="0" w:right="0" w:firstLine="480"/>
        <w:jc w:val="left"/>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按合同约定履约完成全部项目，并满足使用要求，须及时向</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人或合同签订的甲方提交验收申请。合同签订的甲方（使用者）须进行初步验收，完全达到符合采购合同约定的验收条件时，再向验收小组申请正式验收。</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须提交规范供货承诺书、合同签订的甲方（使用者）须向验收组提交规范验货承诺书。</w:t>
      </w:r>
      <w:r/>
    </w:p>
    <w:p>
      <w:pPr>
        <w:ind w:left="0" w:right="0" w:firstLine="562"/>
        <w:jc w:val="left"/>
        <w:keepLines w:val="0"/>
        <w:keepNext w:val="0"/>
        <w:pageBreakBefore w:val="0"/>
        <w:spacing w:line="49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七</w:t>
      </w:r>
      <w:r>
        <w:rPr>
          <w:rFonts w:hint="eastAsia" w:ascii="宋体" w:hAnsi="宋体" w:eastAsia="宋体" w:cs="宋体"/>
          <w:b/>
          <w:sz w:val="24"/>
          <w:szCs w:val="24"/>
        </w:rPr>
        <w:t xml:space="preserve">、售后服务要求</w:t>
      </w:r>
      <w:r/>
    </w:p>
    <w:p>
      <w:pPr>
        <w:ind w:left="0" w:right="0" w:firstLine="480"/>
        <w:jc w:val="left"/>
        <w:keepLines w:val="0"/>
        <w:keepNext w:val="0"/>
        <w:pageBreakBefore w:val="0"/>
        <w:spacing w:line="490" w:lineRule="exact"/>
        <w:widowControl w:val="off"/>
        <w:rPr>
          <w:rFonts w:hint="eastAsia" w:ascii="宋体" w:hAnsi="宋体" w:eastAsia="宋体" w:cs="宋体"/>
          <w:b/>
          <w:bCs w:val="0"/>
          <w:color w:val="ff0000"/>
          <w:sz w:val="24"/>
          <w:szCs w:val="24"/>
          <w:lang w:eastAsia="zh-CN"/>
        </w:rPr>
      </w:pPr>
      <w:r>
        <w:rPr>
          <w:rFonts w:hint="eastAsia" w:ascii="楷体" w:hAnsi="楷体" w:eastAsia="楷体" w:cs="楷体"/>
          <w:b/>
          <w:bCs/>
          <w:color w:val="auto"/>
          <w:sz w:val="24"/>
          <w:szCs w:val="24"/>
          <w:lang w:val="en-US" w:eastAsia="zh-CN"/>
        </w:rPr>
        <w:t xml:space="preserve">1、</w:t>
      </w:r>
      <w:r>
        <w:rPr>
          <w:rFonts w:hint="eastAsia" w:ascii="楷体" w:hAnsi="楷体" w:eastAsia="楷体" w:cs="楷体"/>
          <w:b/>
          <w:bCs/>
          <w:color w:val="auto"/>
          <w:sz w:val="24"/>
          <w:szCs w:val="24"/>
        </w:rPr>
        <w:t xml:space="preserve">★</w:t>
      </w:r>
      <w:r>
        <w:rPr>
          <w:rFonts w:hint="eastAsia" w:ascii="宋体" w:hAnsi="宋体" w:eastAsia="宋体" w:cs="宋体"/>
          <w:b/>
          <w:bCs/>
          <w:color w:val="auto"/>
          <w:sz w:val="24"/>
          <w:szCs w:val="24"/>
        </w:rPr>
        <w:t xml:space="preserve">质保期</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以验收合格之日起计算</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eastAsia="zh-CN"/>
        </w:rPr>
        <w:t xml:space="preserve">投标</w:t>
      </w:r>
      <w:r>
        <w:rPr>
          <w:rFonts w:hint="eastAsia" w:ascii="宋体" w:hAnsi="宋体" w:eastAsia="宋体" w:cs="宋体"/>
          <w:b/>
          <w:bCs/>
          <w:color w:val="auto"/>
          <w:sz w:val="24"/>
          <w:szCs w:val="24"/>
        </w:rPr>
        <w:t xml:space="preserve">人应对其提供的</w:t>
      </w:r>
      <w:r>
        <w:rPr>
          <w:rFonts w:hint="eastAsia" w:ascii="宋体" w:hAnsi="宋体" w:eastAsia="宋体" w:cs="宋体"/>
          <w:b/>
          <w:bCs/>
          <w:color w:val="auto"/>
          <w:sz w:val="24"/>
          <w:szCs w:val="24"/>
          <w:lang w:eastAsia="zh-CN"/>
        </w:rPr>
        <w:t xml:space="preserve">硬件设备</w:t>
      </w:r>
      <w:r>
        <w:rPr>
          <w:rFonts w:hint="eastAsia" w:ascii="宋体" w:hAnsi="宋体" w:eastAsia="宋体" w:cs="宋体"/>
          <w:b/>
          <w:bCs/>
          <w:color w:val="auto"/>
          <w:sz w:val="24"/>
          <w:szCs w:val="24"/>
        </w:rPr>
        <w:t xml:space="preserve">进行免</w:t>
      </w:r>
      <w:r>
        <w:rPr>
          <w:rFonts w:hint="eastAsia" w:ascii="宋体" w:hAnsi="宋体" w:eastAsia="宋体" w:cs="宋体"/>
          <w:b/>
          <w:bCs/>
          <w:color w:val="auto"/>
          <w:sz w:val="24"/>
          <w:szCs w:val="24"/>
          <w:highlight w:val="none"/>
        </w:rPr>
        <w:t xml:space="preserve">费</w:t>
      </w:r>
      <w:r>
        <w:rPr>
          <w:rFonts w:hint="eastAsia" w:ascii="宋体" w:hAnsi="宋体" w:eastAsia="宋体" w:cs="宋体"/>
          <w:b/>
          <w:bCs w:val="0"/>
          <w:color w:val="auto"/>
          <w:spacing w:val="-8"/>
          <w:sz w:val="24"/>
          <w:szCs w:val="24"/>
          <w:highlight w:val="none"/>
        </w:rPr>
        <w:t xml:space="preserve">维修、保养、安检、</w:t>
      </w:r>
      <w:r>
        <w:rPr>
          <w:rFonts w:hint="eastAsia" w:ascii="宋体" w:hAnsi="宋体" w:eastAsia="宋体" w:cs="宋体"/>
          <w:b/>
          <w:bCs w:val="0"/>
          <w:color w:val="auto"/>
          <w:spacing w:val="-8"/>
          <w:sz w:val="24"/>
          <w:szCs w:val="24"/>
          <w:highlight w:val="none"/>
          <w:lang w:val="en-US" w:eastAsia="zh-CN"/>
        </w:rPr>
        <w:t xml:space="preserve">更</w:t>
      </w:r>
      <w:r>
        <w:rPr>
          <w:rFonts w:hint="eastAsia" w:ascii="宋体" w:hAnsi="宋体" w:eastAsia="宋体" w:cs="宋体"/>
          <w:b/>
          <w:bCs w:val="0"/>
          <w:color w:val="auto"/>
          <w:spacing w:val="-8"/>
          <w:sz w:val="24"/>
          <w:szCs w:val="24"/>
          <w:highlight w:val="none"/>
        </w:rPr>
        <w:t xml:space="preserve">换</w:t>
      </w:r>
      <w:r>
        <w:rPr>
          <w:rFonts w:hint="eastAsia" w:ascii="宋体" w:hAnsi="宋体" w:eastAsia="宋体" w:cs="宋体"/>
          <w:b/>
          <w:bCs w:val="0"/>
          <w:color w:val="auto"/>
          <w:sz w:val="24"/>
          <w:szCs w:val="24"/>
          <w:highlight w:val="none"/>
          <w:lang w:eastAsia="zh-CN"/>
        </w:rPr>
        <w:t xml:space="preserve">等</w:t>
      </w:r>
      <w:r>
        <w:rPr>
          <w:rFonts w:hint="eastAsia" w:ascii="宋体" w:hAnsi="宋体" w:eastAsia="宋体" w:cs="宋体"/>
          <w:b/>
          <w:bCs w:val="0"/>
          <w:color w:val="auto"/>
          <w:sz w:val="24"/>
          <w:szCs w:val="24"/>
          <w:highlight w:val="none"/>
          <w:lang w:val="en-US" w:eastAsia="zh-CN"/>
        </w:rPr>
        <w:t xml:space="preserve">。</w:t>
      </w:r>
      <w:r/>
    </w:p>
    <w:p>
      <w:pPr>
        <w:ind w:left="0" w:right="0" w:firstLine="480"/>
        <w:jc w:val="left"/>
        <w:keepLines w:val="0"/>
        <w:keepNext w:val="0"/>
        <w:pageBreakBefore w:val="0"/>
        <w:spacing w:line="49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投标</w:t>
      </w:r>
      <w:r>
        <w:rPr>
          <w:rFonts w:hint="eastAsia" w:ascii="宋体" w:hAnsi="宋体" w:eastAsia="宋体" w:cs="宋体"/>
          <w:b w:val="0"/>
          <w:bCs w:val="0"/>
          <w:color w:val="auto"/>
          <w:sz w:val="24"/>
          <w:szCs w:val="24"/>
        </w:rPr>
        <w:t xml:space="preserve">人所提供的货物，若技术性能无特殊说明，则按生产企业或国家有关部门最新颁布的标准及规范为准。</w:t>
      </w:r>
      <w:r/>
    </w:p>
    <w:p>
      <w:pPr>
        <w:ind w:left="0" w:right="0" w:firstLine="480"/>
        <w:jc w:val="left"/>
        <w:keepLines w:val="0"/>
        <w:keepNext w:val="0"/>
        <w:pageBreakBefore w:val="0"/>
        <w:spacing w:line="490" w:lineRule="exact"/>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eastAsia="zh-CN"/>
        </w:rPr>
        <w:t xml:space="preserve">投标</w:t>
      </w:r>
      <w:r>
        <w:rPr>
          <w:rFonts w:hint="eastAsia" w:ascii="宋体" w:hAnsi="宋体" w:eastAsia="宋体" w:cs="宋体"/>
          <w:b w:val="0"/>
          <w:bCs w:val="0"/>
          <w:color w:val="auto"/>
          <w:sz w:val="24"/>
          <w:szCs w:val="24"/>
        </w:rPr>
        <w:t xml:space="preserve">人应按</w:t>
      </w:r>
      <w:r>
        <w:rPr>
          <w:rFonts w:hint="eastAsia" w:ascii="宋体" w:hAnsi="宋体" w:eastAsia="宋体" w:cs="宋体"/>
          <w:b w:val="0"/>
          <w:bCs w:val="0"/>
          <w:color w:val="auto"/>
          <w:sz w:val="24"/>
          <w:szCs w:val="24"/>
          <w:lang w:eastAsia="zh-CN"/>
        </w:rPr>
        <w:t xml:space="preserve">招标</w:t>
      </w:r>
      <w:r>
        <w:rPr>
          <w:rFonts w:hint="eastAsia" w:ascii="宋体" w:hAnsi="宋体" w:eastAsia="宋体" w:cs="宋体"/>
          <w:b w:val="0"/>
          <w:bCs w:val="0"/>
          <w:color w:val="auto"/>
          <w:sz w:val="24"/>
          <w:szCs w:val="24"/>
        </w:rPr>
        <w:t xml:space="preserve">文件规定的货物性能、技术要求、质量标准向</w:t>
      </w:r>
      <w:r>
        <w:rPr>
          <w:rFonts w:hint="eastAsia" w:ascii="宋体" w:hAnsi="宋体" w:eastAsia="宋体" w:cs="宋体"/>
          <w:b w:val="0"/>
          <w:bCs w:val="0"/>
          <w:color w:val="auto"/>
          <w:sz w:val="24"/>
          <w:szCs w:val="24"/>
          <w:lang w:eastAsia="zh-CN"/>
        </w:rPr>
        <w:t xml:space="preserve">招标</w:t>
      </w:r>
      <w:r>
        <w:rPr>
          <w:rFonts w:hint="eastAsia" w:ascii="宋体" w:hAnsi="宋体" w:eastAsia="宋体" w:cs="宋体"/>
          <w:b w:val="0"/>
          <w:bCs w:val="0"/>
          <w:color w:val="auto"/>
          <w:sz w:val="24"/>
          <w:szCs w:val="24"/>
        </w:rPr>
        <w:t xml:space="preserve">人提供未经使用的全新产品</w:t>
      </w:r>
      <w:r>
        <w:rPr>
          <w:rFonts w:hint="eastAsia" w:ascii="宋体" w:hAnsi="宋体" w:eastAsia="宋体" w:cs="宋体"/>
          <w:b w:val="0"/>
          <w:bCs w:val="0"/>
          <w:color w:val="auto"/>
          <w:sz w:val="24"/>
          <w:szCs w:val="24"/>
          <w:lang w:eastAsia="zh-CN"/>
        </w:rPr>
        <w:t xml:space="preserve">。</w:t>
      </w:r>
      <w:r/>
    </w:p>
    <w:p>
      <w:pPr>
        <w:ind w:left="0" w:right="0" w:firstLine="562"/>
        <w:jc w:val="left"/>
        <w:keepLines w:val="0"/>
        <w:keepNext w:val="0"/>
        <w:pageBreakBefore w:val="0"/>
        <w:spacing w:line="49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八</w:t>
      </w:r>
      <w:r>
        <w:rPr>
          <w:rFonts w:hint="eastAsia" w:ascii="宋体" w:hAnsi="宋体" w:eastAsia="宋体" w:cs="宋体"/>
          <w:b/>
          <w:sz w:val="24"/>
          <w:szCs w:val="24"/>
        </w:rPr>
        <w:t xml:space="preserve">、投标报价要求</w:t>
      </w:r>
      <w:r/>
    </w:p>
    <w:p>
      <w:pPr>
        <w:ind w:left="0" w:right="0" w:firstLine="480"/>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1、本项目报价不得超过预算价（最高限价）。</w:t>
      </w:r>
      <w:r/>
    </w:p>
    <w:p>
      <w:pPr>
        <w:ind w:left="0" w:right="0" w:firstLine="480"/>
        <w:jc w:val="left"/>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2、报价应包含与本次采购项目有关的所有费用。包含但不限于人员费用、全部硬件设备、辅助材料</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备品、备件、机械、运输、现场安装调试、</w:t>
      </w:r>
      <w:r>
        <w:rPr>
          <w:rFonts w:hint="eastAsia" w:ascii="宋体" w:hAnsi="宋体" w:eastAsia="宋体" w:cs="宋体"/>
          <w:sz w:val="24"/>
          <w:szCs w:val="24"/>
          <w:lang w:eastAsia="zh-CN"/>
        </w:rPr>
        <w:t xml:space="preserve">人员</w:t>
      </w:r>
      <w:r>
        <w:rPr>
          <w:rFonts w:hint="eastAsia" w:ascii="宋体" w:hAnsi="宋体" w:eastAsia="宋体" w:cs="宋体"/>
          <w:sz w:val="24"/>
          <w:szCs w:val="24"/>
        </w:rPr>
        <w:t xml:space="preserve">培训、管理、维护、利润、</w:t>
      </w:r>
      <w:r>
        <w:rPr>
          <w:rFonts w:hint="eastAsia" w:ascii="宋体" w:hAnsi="宋体" w:eastAsia="宋体" w:cs="宋体"/>
          <w:sz w:val="24"/>
          <w:szCs w:val="24"/>
          <w:lang w:eastAsia="zh-CN"/>
        </w:rPr>
        <w:t xml:space="preserve">技术支持、</w:t>
      </w:r>
      <w:r>
        <w:rPr>
          <w:rFonts w:hint="eastAsia" w:ascii="宋体" w:hAnsi="宋体" w:eastAsia="宋体" w:cs="宋体"/>
          <w:sz w:val="24"/>
          <w:szCs w:val="24"/>
        </w:rPr>
        <w:t xml:space="preserve">税金、保险、售后服务、政策性文件规定及合同包含的所有风险、责任等所有含税费用。同时，还应包含支付给员工的工资和国家强制缴纳的各种社会保障资金，以及</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认为需要的其他费用等；</w:t>
      </w:r>
      <w:r/>
    </w:p>
    <w:p>
      <w:pPr>
        <w:ind w:left="0" w:right="0" w:firstLine="480"/>
        <w:jc w:val="left"/>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的任何错漏、优惠、竞争性报价不得作为减轻责任、减少服务、增加收费、降低服务质量的理由；</w:t>
      </w:r>
      <w:r/>
    </w:p>
    <w:p>
      <w:pPr>
        <w:ind w:left="0" w:right="0" w:firstLine="480"/>
        <w:jc w:val="left"/>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报价除包含</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文件中列明的项目外还应包括保障服务正常运行应当具有的</w:t>
      </w:r>
      <w:r>
        <w:rPr>
          <w:rFonts w:hint="eastAsia" w:ascii="宋体" w:hAnsi="宋体" w:eastAsia="宋体" w:cs="宋体"/>
          <w:sz w:val="24"/>
          <w:szCs w:val="24"/>
          <w:lang w:eastAsia="zh-CN"/>
        </w:rPr>
        <w:t xml:space="preserve">备件</w:t>
      </w:r>
      <w:r>
        <w:rPr>
          <w:rFonts w:hint="eastAsia" w:ascii="宋体" w:hAnsi="宋体" w:eastAsia="宋体" w:cs="宋体"/>
          <w:sz w:val="24"/>
          <w:szCs w:val="24"/>
        </w:rPr>
        <w:t xml:space="preserve">和服务，对服务正常运行应当具有的</w:t>
      </w:r>
      <w:r>
        <w:rPr>
          <w:rFonts w:hint="eastAsia" w:ascii="宋体" w:hAnsi="宋体" w:eastAsia="宋体" w:cs="宋体"/>
          <w:sz w:val="24"/>
          <w:szCs w:val="24"/>
          <w:lang w:eastAsia="zh-CN"/>
        </w:rPr>
        <w:t xml:space="preserve">备件</w:t>
      </w:r>
      <w:r>
        <w:rPr>
          <w:rFonts w:hint="eastAsia" w:ascii="宋体" w:hAnsi="宋体" w:eastAsia="宋体" w:cs="宋体"/>
          <w:sz w:val="24"/>
          <w:szCs w:val="24"/>
        </w:rPr>
        <w:t xml:space="preserve">和服务理解不一致的以</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理解为准。</w:t>
      </w:r>
      <w:r/>
    </w:p>
    <w:p>
      <w:pPr>
        <w:ind w:left="0" w:right="0" w:firstLine="562"/>
        <w:jc w:val="left"/>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b/>
          <w:sz w:val="24"/>
          <w:szCs w:val="24"/>
          <w:lang w:eastAsia="zh-CN"/>
        </w:rPr>
        <w:t xml:space="preserve">九</w:t>
      </w:r>
      <w:r>
        <w:rPr>
          <w:rFonts w:hint="eastAsia" w:ascii="宋体" w:hAnsi="宋体" w:eastAsia="宋体" w:cs="宋体"/>
          <w:b/>
          <w:sz w:val="24"/>
          <w:szCs w:val="24"/>
        </w:rPr>
        <w:t xml:space="preserve">、付款方式</w:t>
      </w:r>
      <w:r>
        <w:rPr>
          <w:rFonts w:hint="eastAsia" w:ascii="宋体" w:hAnsi="宋体" w:eastAsia="宋体" w:cs="宋体"/>
          <w:b/>
          <w:sz w:val="24"/>
          <w:szCs w:val="24"/>
          <w:lang w:eastAsia="zh-CN"/>
        </w:rPr>
        <w:t xml:space="preserve">及履约保证金</w:t>
      </w:r>
      <w:r/>
    </w:p>
    <w:p>
      <w:pPr>
        <w:pStyle w:val="703"/>
        <w:ind w:right="0" w:firstLine="480"/>
        <w:jc w:val="left"/>
        <w:keepLines w:val="0"/>
        <w:keepNext w:val="0"/>
        <w:pageBreakBefore w:val="0"/>
        <w:spacing w:line="480" w:lineRule="exact"/>
        <w:shd w:val="clear" w:color="auto"/>
        <w:widowControl w:val="off"/>
        <w:rPr>
          <w:rFonts w:hint="eastAsia" w:ascii="宋体" w:hAnsi="宋体" w:cs="宋体"/>
          <w:b/>
          <w:bCs w:val="0"/>
          <w:color w:val="auto"/>
          <w:sz w:val="24"/>
          <w:szCs w:val="24"/>
          <w:highlight w:val="white"/>
          <w:lang w:eastAsia="zh-CN"/>
        </w:rPr>
        <w:outlineLvl w:val="9"/>
      </w:pPr>
      <w:r>
        <w:rPr>
          <w:rFonts w:hint="eastAsia" w:ascii="宋体" w:hAnsi="宋体" w:cs="宋体"/>
          <w:b/>
          <w:bCs w:val="0"/>
          <w:color w:val="auto"/>
          <w:sz w:val="24"/>
          <w:szCs w:val="24"/>
          <w:highlight w:val="white"/>
          <w:lang w:eastAsia="zh-CN"/>
        </w:rPr>
        <w:t xml:space="preserve">（</w:t>
      </w:r>
      <w:r>
        <w:rPr>
          <w:rFonts w:hint="eastAsia" w:ascii="宋体" w:hAnsi="宋体" w:cs="宋体"/>
          <w:b/>
          <w:bCs w:val="0"/>
          <w:color w:val="auto"/>
          <w:sz w:val="24"/>
          <w:szCs w:val="24"/>
          <w:highlight w:val="white"/>
          <w:lang w:val="en-US" w:eastAsia="zh-CN"/>
        </w:rPr>
        <w:t xml:space="preserve">1</w:t>
      </w:r>
      <w:r>
        <w:rPr>
          <w:rFonts w:hint="eastAsia" w:ascii="宋体" w:hAnsi="宋体" w:cs="宋体"/>
          <w:b/>
          <w:bCs w:val="0"/>
          <w:color w:val="auto"/>
          <w:sz w:val="24"/>
          <w:szCs w:val="24"/>
          <w:highlight w:val="white"/>
          <w:lang w:eastAsia="zh-CN"/>
        </w:rPr>
        <w:t xml:space="preserve">）付款方式</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合同签订后30日内，招标人支付合同价款的10%作为预付款；采购货物送至指定地点后支付至合同价款的50%，安装调试完成且经验收合格后一次性付清。（无息）</w:t>
      </w:r>
      <w:r/>
    </w:p>
    <w:p>
      <w:pPr>
        <w:ind w:left="0" w:right="0" w:firstLine="562"/>
        <w:jc w:val="left"/>
        <w:keepLines w:val="0"/>
        <w:keepNext w:val="0"/>
        <w:pageBreakBefore w:val="0"/>
        <w:spacing w:line="490" w:lineRule="exact"/>
        <w:widowControl w:val="off"/>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（2）履约保证金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1.履约保证金的金额：中标价的10%。</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履约保证金应当以支票、汇票、本票或者金融机构、担保机构出具的保函等非现金形式提交。依据《关于在全省政府采购领域推行电子履约保函(保险)的通知》（苏财购〔2023〕150号）鼓励投标人自愿使用履约保函(保险)代替缴纳约保证金。如以履约保函(保险)形式缴纳履约保证金，投标人可通过政府采购电子履约保函(保险)平台(www.jsdzbh.com)在线申请履约保函(保险)。</w:t>
      </w:r>
      <w:r/>
    </w:p>
    <w:p>
      <w:pPr>
        <w:ind w:left="0" w:right="0" w:firstLine="480"/>
        <w:jc w:val="left"/>
        <w:keepLines w:val="0"/>
        <w:keepNext w:val="0"/>
        <w:pageBreakBefore w:val="0"/>
        <w:spacing w:line="49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3.履约保证金提交时间：合同签订前提交履约保证金。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4.履约保证金的退还：完成合同范围内的所有内容，并经验收合格后，招标人退还投标人履约保证金。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不予退还的情形：投标人不履行合同，履约保证金不予退还。投标人违约的，招标人将按照招标文件及合同约定扣除其全部或部分履约保证金。如投标人违约给招标人造成的损失超过履约保证金的，应当依法赔偿超过部分的损失。</w:t>
      </w:r>
      <w:r/>
    </w:p>
    <w:p>
      <w:pPr>
        <w:ind w:left="0" w:right="0" w:firstLine="562"/>
        <w:jc w:val="left"/>
        <w:keepLines w:val="0"/>
        <w:keepNext w:val="0"/>
        <w:pageBreakBefore w:val="0"/>
        <w:spacing w:line="49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十、其他</w:t>
      </w:r>
      <w:bookmarkEnd w:id="23"/>
      <w:r/>
      <w:bookmarkEnd w:id="24"/>
      <w:r/>
      <w:r/>
    </w:p>
    <w:p>
      <w:pPr>
        <w:ind w:left="0" w:right="0" w:firstLine="480"/>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本项目报价不得超过预算价（最高限价）。</w:t>
      </w:r>
      <w:r/>
    </w:p>
    <w:p>
      <w:pPr>
        <w:ind w:left="0" w:right="0" w:firstLine="480"/>
        <w:jc w:val="left"/>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特别提醒投标人：应根据国家收费标准并结合市场实际进行报价。</w:t>
      </w:r>
      <w:r/>
    </w:p>
    <w:p>
      <w:pPr>
        <w:ind w:left="0" w:right="0" w:firstLine="480"/>
        <w:jc w:val="left"/>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工作中涉及的敏感资料、电子数据等相关信息，</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应严格执行保密的相关规定，不得以任何方式向任何第三人披露、泄露或许可第三人使用，否则追究其相应法律责任。</w:t>
      </w:r>
      <w:r/>
    </w:p>
    <w:p>
      <w:pPr>
        <w:ind w:left="0" w:right="0"/>
        <w:jc w:val="left"/>
        <w:pageBreakBefore w:val="0"/>
        <w:spacing w:line="490" w:lineRule="exac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pStyle w:val="649"/>
        <w:ind w:left="0" w:right="0"/>
        <w:jc w:val="center"/>
        <w:pageBreakBefore w:val="0"/>
        <w:spacing w:before="0" w:after="0" w:line="360" w:lineRule="auto"/>
        <w:widowControl w:val="off"/>
        <w:rPr>
          <w:rFonts w:hint="eastAsia" w:ascii="宋体" w:hAnsi="宋体" w:eastAsia="宋体" w:cs="宋体"/>
          <w:b w:val="0"/>
        </w:rPr>
      </w:pPr>
      <w:r/>
      <w:bookmarkStart w:id="25" w:name="_Toc155796360"/>
      <w:r>
        <w:rPr>
          <w:rFonts w:hint="eastAsia" w:ascii="宋体" w:hAnsi="宋体" w:eastAsia="宋体" w:cs="宋体"/>
          <w:b w:val="0"/>
        </w:rPr>
        <w:t xml:space="preserve">第五章  评标方法与评标标准</w:t>
      </w:r>
      <w:bookmarkEnd w:id="25"/>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一、评标方法</w:t>
      </w:r>
      <w:r/>
    </w:p>
    <w:p>
      <w:pPr>
        <w:ind w:left="0" w:right="0" w:firstLine="480"/>
        <w:jc w:val="left"/>
        <w:pageBreakBefore w:val="0"/>
        <w:spacing w:line="490" w:lineRule="exact"/>
        <w:rPr>
          <w:rFonts w:hint="eastAsia" w:ascii="宋体" w:hAnsi="宋体" w:eastAsia="宋体" w:cs="宋体"/>
          <w:sz w:val="24"/>
          <w:szCs w:val="24"/>
        </w:rPr>
      </w:pPr>
      <w:r>
        <w:rPr>
          <w:rFonts w:hint="eastAsia" w:ascii="宋体" w:hAnsi="宋体" w:eastAsia="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0"/>
        <w:jc w:val="left"/>
        <w:pageBreakBefore w:val="0"/>
        <w:spacing w:line="490" w:lineRule="exact"/>
        <w:rPr>
          <w:rFonts w:hint="eastAsia" w:ascii="宋体" w:hAnsi="宋体" w:eastAsia="宋体" w:cs="宋体"/>
          <w:sz w:val="24"/>
          <w:szCs w:val="24"/>
        </w:rPr>
      </w:pPr>
      <w:r>
        <w:rPr>
          <w:rFonts w:hint="eastAsia" w:ascii="宋体" w:hAnsi="宋体" w:eastAsia="宋体" w:cs="宋体"/>
          <w:sz w:val="24"/>
          <w:szCs w:val="24"/>
        </w:rPr>
        <w:t xml:space="preserve">二、评标标准</w:t>
      </w:r>
      <w:r/>
    </w:p>
    <w:p>
      <w:pPr>
        <w:ind w:left="0" w:right="0" w:firstLine="480"/>
        <w:jc w:val="left"/>
        <w:pageBreakBefore w:val="0"/>
        <w:spacing w:line="490" w:lineRule="exact"/>
        <w:rPr>
          <w:rFonts w:hint="eastAsia" w:ascii="宋体" w:hAnsi="宋体" w:eastAsia="宋体" w:cs="宋体"/>
          <w:sz w:val="24"/>
          <w:szCs w:val="24"/>
        </w:rP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left="0" w:right="0" w:firstLine="480"/>
        <w:jc w:val="left"/>
        <w:pageBreakBefore w:val="0"/>
        <w:spacing w:line="490" w:lineRule="exact"/>
        <w:rPr>
          <w:rFonts w:hint="eastAsia"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left="0" w:right="0" w:firstLine="480"/>
        <w:jc w:val="left"/>
        <w:pageBreakBefore w:val="0"/>
        <w:spacing w:line="490" w:lineRule="exact"/>
        <w:rPr>
          <w:rFonts w:hint="eastAsia" w:ascii="宋体" w:hAnsi="宋体" w:eastAsia="宋体" w:cs="宋体"/>
          <w:sz w:val="24"/>
          <w:szCs w:val="24"/>
        </w:rPr>
      </w:pPr>
      <w:r>
        <w:rPr>
          <w:rFonts w:hint="eastAsia" w:ascii="宋体" w:hAnsi="宋体" w:eastAsia="宋体" w:cs="宋体"/>
          <w:sz w:val="24"/>
          <w:szCs w:val="24"/>
        </w:rPr>
        <w:t xml:space="preserve">（3）总得分=价格分+技术分+商务分。</w:t>
      </w:r>
      <w:r/>
    </w:p>
    <w:p>
      <w:pPr>
        <w:ind w:left="0" w:right="0"/>
        <w:jc w:val="center"/>
        <w:pageBreakBefore w:val="0"/>
        <w:spacing w:line="490" w:lineRule="exact"/>
        <w:rPr>
          <w:rFonts w:hint="eastAsia" w:ascii="宋体" w:hAnsi="宋体" w:eastAsia="宋体" w:cs="宋体"/>
          <w:sz w:val="32"/>
          <w:szCs w:val="24"/>
        </w:rPr>
      </w:pPr>
      <w:r>
        <w:rPr>
          <w:rFonts w:hint="eastAsia" w:ascii="宋体" w:hAnsi="宋体" w:eastAsia="宋体" w:cs="宋体"/>
          <w:sz w:val="32"/>
          <w:szCs w:val="24"/>
        </w:rPr>
        <w:t xml:space="preserve">综合评分法</w:t>
      </w:r>
      <w:r/>
    </w:p>
    <w:p>
      <w:pPr>
        <w:ind w:left="0" w:right="0" w:firstLine="480"/>
        <w:jc w:val="left"/>
        <w:pageBreakBefore w:val="0"/>
        <w:spacing w:line="490" w:lineRule="exact"/>
        <w:rPr>
          <w:rFonts w:hint="eastAsia" w:ascii="宋体" w:hAnsi="宋体" w:eastAsia="宋体" w:cs="宋体"/>
          <w:sz w:val="24"/>
          <w:szCs w:val="24"/>
        </w:rPr>
      </w:pPr>
      <w:r>
        <w:rPr>
          <w:rFonts w:hint="eastAsia" w:ascii="宋体" w:hAnsi="宋体" w:eastAsia="宋体" w:cs="宋体"/>
          <w:sz w:val="24"/>
          <w:szCs w:val="24"/>
        </w:rPr>
        <w:t xml:space="preserve">（1）价格分（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p>
      <w:pPr>
        <w:ind w:left="0" w:right="0" w:firstLine="480"/>
        <w:jc w:val="left"/>
        <w:pageBreakBefore w:val="0"/>
        <w:spacing w:line="49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left="0" w:right="0" w:firstLine="480"/>
        <w:jc w:val="left"/>
        <w:pageBreakBefore w:val="0"/>
        <w:spacing w:line="49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p>
      <w:pPr>
        <w:ind w:left="0" w:right="0" w:firstLine="480"/>
        <w:jc w:val="left"/>
        <w:pageBreakBefore w:val="0"/>
        <w:spacing w:line="490" w:lineRule="exact"/>
        <w:rPr>
          <w:rFonts w:hint="eastAsia"/>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商务</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38</w:t>
      </w:r>
      <w:r>
        <w:rPr>
          <w:rFonts w:hint="eastAsia" w:ascii="宋体" w:hAnsi="宋体" w:eastAsia="宋体" w:cs="宋体"/>
          <w:sz w:val="24"/>
          <w:szCs w:val="24"/>
        </w:rPr>
        <w:t xml:space="preserve">分）</w:t>
      </w:r>
      <w:r/>
    </w:p>
    <w:tbl>
      <w:tblPr>
        <w:tblStyle w:val="659"/>
        <w:tblW w:w="89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5"/>
        <w:gridCol w:w="6960"/>
      </w:tblGrid>
      <w:tr>
        <w:trPr>
          <w:jc w:val="center"/>
          <w:trHeight w:val="90"/>
        </w:trPr>
        <w:tc>
          <w:tcPr>
            <w:tcW w:w="1965" w:type="dxa"/>
            <w:vAlign w:val="center"/>
            <w:textDirection w:val="lrTb"/>
            <w:noWrap/>
          </w:tcPr>
          <w:p>
            <w:pPr>
              <w:ind w:left="0" w:right="0"/>
              <w:jc w:val="center"/>
              <w:keepLines w:val="0"/>
              <w:keepNext w:val="0"/>
              <w:pageBreakBefore w:val="0"/>
              <w:spacing w:line="36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W w:w="6960" w:type="dxa"/>
            <w:vAlign w:val="center"/>
            <w:textDirection w:val="lrTb"/>
            <w:noWrap/>
          </w:tcPr>
          <w:p>
            <w:pPr>
              <w:ind w:left="0" w:right="0"/>
              <w:jc w:val="center"/>
              <w:keepLines w:val="0"/>
              <w:keepNext w:val="0"/>
              <w:pageBreakBefore w:val="0"/>
              <w:spacing w:line="36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评审标准</w:t>
            </w:r>
            <w:r/>
          </w:p>
        </w:tc>
      </w:tr>
      <w:tr>
        <w:trPr>
          <w:jc w:val="center"/>
          <w:trHeight w:val="281"/>
        </w:trPr>
        <w:tc>
          <w:tcPr>
            <w:tcW w:w="1965" w:type="dxa"/>
            <w:vAlign w:val="center"/>
            <w:textDirection w:val="lrTb"/>
            <w:noWrap/>
          </w:tcPr>
          <w:p>
            <w:pPr>
              <w:ind w:left="0" w:right="0"/>
              <w:jc w:val="center"/>
              <w:keepLines w:val="0"/>
              <w:keepNext w:val="0"/>
              <w:pageBreakBefore w:val="0"/>
              <w:spacing w:line="3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技术响应</w:t>
            </w:r>
            <w:r/>
          </w:p>
          <w:p>
            <w:pPr>
              <w:ind w:left="0" w:right="0"/>
              <w:jc w:val="center"/>
              <w:keepLines w:val="0"/>
              <w:keepNext w:val="0"/>
              <w:pageBreakBefore w:val="0"/>
              <w:spacing w:line="3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30分</w:t>
            </w:r>
            <w:r>
              <w:rPr>
                <w:rFonts w:hint="eastAsia" w:ascii="宋体" w:hAnsi="宋体" w:eastAsia="宋体" w:cs="宋体"/>
                <w:sz w:val="24"/>
                <w:szCs w:val="24"/>
                <w:lang w:eastAsia="zh-CN"/>
              </w:rPr>
              <w:t xml:space="preserve">）</w:t>
            </w:r>
            <w:r/>
          </w:p>
        </w:tc>
        <w:tc>
          <w:tcPr>
            <w:tcW w:w="6960" w:type="dxa"/>
            <w:vAlign w:val="center"/>
            <w:textDirection w:val="lrTb"/>
            <w:noWrap/>
          </w:tcPr>
          <w:p>
            <w:pPr>
              <w:ind w:right="0"/>
              <w:jc w:val="both"/>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sz w:val="24"/>
                <w:szCs w:val="24"/>
                <w:lang w:val="en-US" w:eastAsia="zh-CN"/>
              </w:rPr>
              <w:t xml:space="preserve">完全满足招标文件技术要求</w:t>
            </w:r>
            <w:r>
              <w:rPr>
                <w:rFonts w:hint="eastAsia" w:ascii="宋体" w:hAnsi="宋体" w:eastAsia="宋体" w:cs="宋体"/>
                <w:b w:val="0"/>
                <w:bCs/>
                <w:color w:val="auto"/>
                <w:sz w:val="24"/>
                <w:szCs w:val="24"/>
                <w:lang w:val="en-US" w:eastAsia="zh-CN"/>
              </w:rPr>
              <w:t xml:space="preserve">的，</w:t>
            </w:r>
            <w:r>
              <w:rPr>
                <w:rFonts w:hint="eastAsia" w:ascii="宋体" w:hAnsi="宋体" w:eastAsia="宋体" w:cs="宋体"/>
                <w:b w:val="0"/>
                <w:bCs/>
                <w:color w:val="auto"/>
                <w:sz w:val="24"/>
                <w:szCs w:val="24"/>
                <w:highlight w:val="none"/>
                <w:lang w:val="en-US" w:eastAsia="zh-CN"/>
              </w:rPr>
              <w:t xml:space="preserve">得30分；标“▲”的技术指标的，每有一项负偏离扣1分，扣完为止；</w:t>
            </w:r>
            <w:r/>
          </w:p>
          <w:p>
            <w:pPr>
              <w:ind w:right="0"/>
              <w:jc w:val="both"/>
              <w:keepLines w:val="0"/>
              <w:keepNext w:val="0"/>
              <w:pageBreakBefore w:val="0"/>
              <w:spacing w:line="36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注：投标人须提供投标产品的技术要求响应及偏离表。标“▲”指标要求按照采购需求中的具体参数需求响应，并按招标文件要求提供相关证明材料原件彩色扫描件，</w:t>
            </w:r>
            <w:r>
              <w:rPr>
                <w:rFonts w:hint="eastAsia" w:ascii="宋体" w:hAnsi="宋体" w:eastAsia="宋体" w:cs="宋体"/>
                <w:b/>
                <w:sz w:val="24"/>
                <w:szCs w:val="24"/>
                <w:lang w:val="en-GB" w:eastAsia="zh-CN"/>
              </w:rPr>
              <w:t xml:space="preserve">并标明证明材料在投标文件中的具体位置并做明显标识，便于评审。证明材料未提供的或提供与要求不符的视为负偏离。</w:t>
            </w:r>
            <w:r/>
          </w:p>
        </w:tc>
      </w:tr>
      <w:tr>
        <w:trPr>
          <w:jc w:val="center"/>
          <w:trHeight w:val="281"/>
        </w:trPr>
        <w:tc>
          <w:tcPr>
            <w:tcBorders>
              <w:bottom w:val="single" w:color="auto" w:sz="4" w:space="0"/>
            </w:tcBorders>
            <w:tcW w:w="1965" w:type="dxa"/>
            <w:vAlign w:val="center"/>
            <w:textDirection w:val="lrTb"/>
            <w:noWrap/>
          </w:tcPr>
          <w:p>
            <w:pPr>
              <w:ind w:left="0" w:right="0"/>
              <w:jc w:val="center"/>
              <w:keepLines w:val="0"/>
              <w:keepNext w:val="0"/>
              <w:pageBreakBefore w:val="0"/>
              <w:spacing w:line="4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质保期</w:t>
            </w:r>
            <w:r/>
          </w:p>
          <w:p>
            <w:pPr>
              <w:ind w:left="0" w:right="0"/>
              <w:jc w:val="center"/>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w:t>
            </w:r>
            <w:r/>
          </w:p>
        </w:tc>
        <w:tc>
          <w:tcPr>
            <w:tcBorders>
              <w:bottom w:val="single" w:color="auto" w:sz="4" w:space="0"/>
            </w:tcBorders>
            <w:tcW w:w="6960" w:type="dxa"/>
            <w:vAlign w:val="center"/>
            <w:textDirection w:val="lrTb"/>
            <w:noWrap/>
          </w:tcPr>
          <w:p>
            <w:pPr>
              <w:ind w:right="0"/>
              <w:jc w:val="left"/>
              <w:keepLines w:val="0"/>
              <w:keepNext w:val="0"/>
              <w:pageBreakBefore w:val="0"/>
              <w:spacing w:line="460" w:lineRule="exact"/>
              <w:widowControl w:val="off"/>
              <w:rPr>
                <w:rFonts w:hint="eastAsia" w:ascii="宋体" w:hAnsi="宋体" w:eastAsia="宋体" w:cs="宋体"/>
                <w:b/>
                <w:sz w:val="24"/>
                <w:szCs w:val="24"/>
                <w:lang w:val="en-US" w:eastAsia="zh-CN"/>
              </w:rPr>
            </w:pPr>
            <w:r>
              <w:rPr>
                <w:rFonts w:hint="eastAsia" w:ascii="宋体" w:hAnsi="宋体" w:eastAsia="宋体" w:cs="宋体"/>
                <w:b w:val="0"/>
                <w:bCs/>
                <w:color w:val="auto"/>
                <w:sz w:val="24"/>
                <w:szCs w:val="24"/>
                <w:lang w:val="en-US" w:eastAsia="zh-CN"/>
              </w:rPr>
              <w:t xml:space="preserve">本项目免费质保期2年，在此基础上每增加1年得1分，最高得2分。</w:t>
            </w:r>
            <w:r>
              <w:rPr>
                <w:rFonts w:hint="eastAsia" w:ascii="宋体" w:hAnsi="宋体" w:eastAsia="宋体" w:cs="宋体"/>
                <w:b/>
                <w:color w:val="auto"/>
                <w:sz w:val="24"/>
                <w:szCs w:val="24"/>
                <w:lang w:val="en-US" w:eastAsia="zh-CN"/>
              </w:rPr>
              <w:t xml:space="preserve">注：提供承诺书（格式自拟）原件扫描件并上传至投标文件中，未提供或未按要求提供此项不得分。</w:t>
            </w:r>
            <w:r/>
          </w:p>
        </w:tc>
      </w:tr>
      <w:tr>
        <w:trPr>
          <w:jc w:val="center"/>
          <w:trHeight w:val="281"/>
        </w:trPr>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left="0" w:right="0"/>
              <w:jc w:val="center"/>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类似业绩</w:t>
            </w:r>
            <w:r/>
          </w:p>
          <w:p>
            <w:pPr>
              <w:ind w:left="0" w:right="0"/>
              <w:jc w:val="center"/>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ind w:right="0"/>
              <w:jc w:val="left"/>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自202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年1月1日以来</w:t>
            </w:r>
            <w:r>
              <w:rPr>
                <w:rFonts w:hint="eastAsia" w:ascii="宋体" w:hAnsi="宋体" w:eastAsia="宋体" w:cs="宋体"/>
                <w:color w:val="auto"/>
                <w:sz w:val="24"/>
                <w:szCs w:val="24"/>
                <w:lang w:eastAsia="zh-CN"/>
              </w:rPr>
              <w:t xml:space="preserve">（时间以合同签订时间为准）</w:t>
            </w:r>
            <w:r>
              <w:rPr>
                <w:rFonts w:hint="eastAsia" w:ascii="宋体" w:hAnsi="宋体" w:eastAsia="宋体" w:cs="宋体"/>
                <w:color w:val="auto"/>
                <w:sz w:val="24"/>
                <w:szCs w:val="24"/>
              </w:rPr>
              <w:t xml:space="preserve">，投标人具</w:t>
            </w:r>
            <w:r>
              <w:rPr>
                <w:rFonts w:hint="eastAsia" w:ascii="宋体" w:hAnsi="宋体" w:eastAsia="宋体" w:cs="宋体"/>
                <w:color w:val="auto"/>
                <w:sz w:val="24"/>
                <w:szCs w:val="24"/>
                <w:lang w:eastAsia="zh-CN"/>
              </w:rPr>
              <w:t xml:space="preserve">有</w:t>
            </w:r>
            <w:r>
              <w:rPr>
                <w:rFonts w:hint="eastAsia" w:ascii="宋体" w:hAnsi="宋体" w:eastAsia="宋体" w:cs="宋体"/>
                <w:color w:val="auto"/>
                <w:sz w:val="24"/>
                <w:szCs w:val="24"/>
                <w:lang w:val="en-US" w:eastAsia="zh-CN"/>
              </w:rPr>
              <w:t xml:space="preserve">类似供货业绩的</w:t>
            </w:r>
            <w:r>
              <w:rPr>
                <w:rFonts w:hint="eastAsia" w:ascii="宋体" w:hAnsi="宋体" w:eastAsia="宋体" w:cs="宋体"/>
                <w:color w:val="000000"/>
                <w:sz w:val="24"/>
                <w:szCs w:val="24"/>
                <w:highlight w:val="none"/>
                <w:lang w:val="en-US" w:eastAsia="zh-CN"/>
              </w:rPr>
              <w:t xml:space="preserve">，每提供1个得2分，最高得6分。</w:t>
            </w:r>
            <w:r/>
          </w:p>
          <w:p>
            <w:pPr>
              <w:ind w:right="0"/>
              <w:jc w:val="left"/>
              <w:keepLines w:val="0"/>
              <w:keepNext w:val="0"/>
              <w:pageBreakBefore w:val="0"/>
              <w:spacing w:line="460" w:lineRule="exact"/>
              <w:widowControl w:val="off"/>
              <w:rPr>
                <w:rFonts w:hint="eastAsia" w:ascii="宋体" w:hAnsi="宋体" w:eastAsia="宋体" w:cs="宋体"/>
                <w:b/>
                <w:sz w:val="24"/>
                <w:szCs w:val="24"/>
                <w:lang w:val="en-US" w:eastAsia="zh-CN"/>
              </w:rPr>
            </w:pPr>
            <w:r>
              <w:rPr>
                <w:rFonts w:hint="eastAsia" w:ascii="宋体" w:hAnsi="宋体" w:eastAsia="宋体" w:cs="宋体"/>
                <w:b/>
                <w:color w:val="auto"/>
                <w:sz w:val="24"/>
                <w:szCs w:val="24"/>
                <w:lang w:eastAsia="zh-CN"/>
              </w:rPr>
              <w:t xml:space="preserve">注：</w:t>
            </w:r>
            <w:r>
              <w:rPr>
                <w:rFonts w:hint="eastAsia" w:ascii="宋体" w:hAnsi="宋体" w:eastAsia="宋体" w:cs="宋体"/>
                <w:b/>
                <w:color w:val="auto"/>
                <w:sz w:val="24"/>
                <w:szCs w:val="24"/>
              </w:rPr>
              <w:t xml:space="preserve">提供</w:t>
            </w:r>
            <w:r>
              <w:rPr>
                <w:rFonts w:hint="eastAsia" w:ascii="宋体" w:hAnsi="宋体" w:eastAsia="宋体" w:cs="宋体"/>
                <w:b/>
                <w:color w:val="auto"/>
                <w:sz w:val="24"/>
                <w:szCs w:val="24"/>
                <w:lang w:eastAsia="zh-CN"/>
              </w:rPr>
              <w:t xml:space="preserve">中标通知书及</w:t>
            </w:r>
            <w:r>
              <w:rPr>
                <w:rFonts w:hint="eastAsia" w:ascii="宋体" w:hAnsi="宋体" w:eastAsia="宋体" w:cs="宋体"/>
                <w:b/>
                <w:color w:val="auto"/>
                <w:sz w:val="24"/>
                <w:szCs w:val="24"/>
              </w:rPr>
              <w:t xml:space="preserve">合同原件</w:t>
            </w:r>
            <w:r>
              <w:rPr>
                <w:rFonts w:hint="eastAsia" w:ascii="宋体" w:hAnsi="宋体" w:eastAsia="宋体" w:cs="宋体"/>
                <w:b/>
                <w:color w:val="auto"/>
                <w:sz w:val="24"/>
                <w:szCs w:val="24"/>
                <w:lang w:eastAsia="zh-CN"/>
              </w:rPr>
              <w:t xml:space="preserve">彩色</w:t>
            </w:r>
            <w:r>
              <w:rPr>
                <w:rFonts w:hint="eastAsia" w:ascii="宋体" w:hAnsi="宋体" w:eastAsia="宋体" w:cs="宋体"/>
                <w:b/>
                <w:color w:val="auto"/>
                <w:sz w:val="24"/>
                <w:szCs w:val="24"/>
              </w:rPr>
              <w:t xml:space="preserve">扫描件</w:t>
            </w:r>
            <w:r>
              <w:rPr>
                <w:rFonts w:hint="eastAsia" w:ascii="宋体" w:hAnsi="宋体" w:eastAsia="宋体" w:cs="宋体"/>
                <w:b/>
                <w:bCs/>
                <w:color w:val="auto"/>
                <w:sz w:val="24"/>
                <w:szCs w:val="24"/>
                <w:highlight w:val="none"/>
                <w:lang w:val="en-US" w:eastAsia="zh-CN"/>
              </w:rPr>
              <w:t xml:space="preserve">上传至电子响应文件中</w:t>
            </w:r>
            <w:r>
              <w:rPr>
                <w:rFonts w:hint="eastAsia" w:ascii="宋体" w:hAnsi="宋体" w:eastAsia="宋体" w:cs="宋体"/>
                <w:b/>
                <w:color w:val="auto"/>
                <w:sz w:val="24"/>
                <w:szCs w:val="24"/>
              </w:rPr>
              <w:t xml:space="preserve">，合同的标的名称、</w:t>
            </w:r>
            <w:r>
              <w:rPr>
                <w:rFonts w:hint="eastAsia" w:ascii="宋体" w:hAnsi="宋体" w:eastAsia="宋体" w:cs="宋体"/>
                <w:b/>
                <w:color w:val="auto"/>
                <w:sz w:val="24"/>
                <w:szCs w:val="24"/>
                <w:lang w:eastAsia="zh-CN"/>
              </w:rPr>
              <w:t xml:space="preserve">内容、</w:t>
            </w:r>
            <w:r>
              <w:rPr>
                <w:rFonts w:hint="eastAsia" w:ascii="宋体" w:hAnsi="宋体" w:eastAsia="宋体" w:cs="宋体"/>
                <w:b/>
                <w:color w:val="auto"/>
                <w:sz w:val="24"/>
                <w:szCs w:val="24"/>
              </w:rPr>
              <w:t xml:space="preserve">签订时间等信息必须清晰，否则不得分。</w:t>
            </w:r>
            <w:r>
              <w:rPr>
                <w:rFonts w:hint="eastAsia" w:ascii="宋体" w:hAnsi="宋体" w:eastAsia="宋体" w:cs="宋体"/>
                <w:b/>
                <w:color w:val="auto"/>
                <w:sz w:val="24"/>
                <w:szCs w:val="24"/>
                <w:lang w:val="zh-CN"/>
              </w:rPr>
              <w:t xml:space="preserve">合同中产品</w:t>
            </w:r>
            <w:r>
              <w:rPr>
                <w:rFonts w:hint="eastAsia" w:ascii="宋体" w:hAnsi="宋体" w:eastAsia="宋体" w:cs="宋体"/>
                <w:b/>
                <w:color w:val="auto"/>
                <w:sz w:val="24"/>
                <w:szCs w:val="24"/>
              </w:rPr>
              <w:t xml:space="preserve">名称相同或类似，由评审委员会统一认定后给予得分。</w:t>
            </w:r>
            <w:r/>
          </w:p>
        </w:tc>
      </w:tr>
      <w:tr>
        <w:trPr>
          <w:jc w:val="center"/>
          <w:trHeight w:val="621"/>
        </w:trPr>
        <w:tc>
          <w:tcPr>
            <w:gridSpan w:val="2"/>
            <w:tcBorders>
              <w:top w:val="single" w:color="auto" w:sz="4" w:space="0"/>
              <w:left w:val="none" w:color="000000" w:sz="4" w:space="0"/>
              <w:bottom w:val="single" w:color="auto" w:sz="4" w:space="0"/>
              <w:right w:val="none" w:color="000000" w:sz="4" w:space="0"/>
            </w:tcBorders>
            <w:tcW w:w="8925" w:type="dxa"/>
            <w:vAlign w:val="center"/>
            <w:textDirection w:val="lrTb"/>
            <w:noWrap/>
          </w:tcPr>
          <w:p>
            <w:pPr>
              <w:ind w:right="0"/>
              <w:jc w:val="both"/>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（3）技术分（32分）</w:t>
            </w:r>
            <w:r/>
          </w:p>
        </w:tc>
      </w:tr>
      <w:tr>
        <w:trPr>
          <w:jc w:val="center"/>
          <w:trHeight w:val="621"/>
        </w:trPr>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实施方案</w:t>
            </w:r>
            <w:r/>
          </w:p>
          <w:p>
            <w:pPr>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（8分）</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投标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提供</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实施方案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eastAsia="zh-CN"/>
              </w:rPr>
              <w:t xml:space="preserve">内容包括但不限于组织和实施流程、进度计划、紧急预案等</w:t>
            </w:r>
            <w:r>
              <w:rPr>
                <w:rFonts w:hint="eastAsia" w:ascii="宋体" w:hAnsi="宋体" w:eastAsia="宋体" w:cs="宋体"/>
                <w:sz w:val="24"/>
                <w:szCs w:val="24"/>
                <w:lang w:val="en-US" w:eastAsia="zh-CN"/>
              </w:rPr>
              <w:t xml:space="preserve">方面</w:t>
            </w:r>
            <w:r>
              <w:rPr>
                <w:rFonts w:hint="eastAsia" w:ascii="宋体" w:hAnsi="宋体" w:eastAsia="宋体" w:cs="宋体"/>
                <w:sz w:val="24"/>
                <w:szCs w:val="24"/>
                <w:lang w:eastAsia="zh-CN"/>
              </w:rPr>
              <w:t xml:space="preserve">：</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1、整个实施方案完善、合理、科学，符合</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人需求的得8分；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2、整个实施方案比较合理，基本满足</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人需求的得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3、整个实施方案一般，与</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人需求存在偏差的得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4、整个实施方案较差，与招标人需求存在较大偏差的得2分；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内容与本项目基本无关联性得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hint="eastAsia" w:ascii="宋体" w:hAnsi="宋体" w:eastAsia="宋体" w:cs="宋体"/>
                <w:b/>
                <w:bCs/>
                <w:sz w:val="24"/>
                <w:szCs w:val="24"/>
              </w:rPr>
              <w:t xml:space="preserve">未见阐述不得分</w:t>
            </w:r>
            <w:r>
              <w:rPr>
                <w:rFonts w:hint="eastAsia" w:ascii="宋体" w:hAnsi="宋体" w:eastAsia="宋体" w:cs="宋体"/>
                <w:b/>
                <w:bCs/>
                <w:sz w:val="24"/>
                <w:szCs w:val="24"/>
                <w:lang w:eastAsia="zh-CN"/>
              </w:rPr>
              <w:t xml:space="preserve">。</w:t>
            </w:r>
            <w:r/>
          </w:p>
        </w:tc>
      </w:tr>
      <w:tr>
        <w:trPr>
          <w:jc w:val="center"/>
          <w:trHeight w:val="621"/>
        </w:trPr>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售后服务方案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（8分）</w:t>
            </w:r>
            <w:r/>
          </w:p>
        </w:tc>
        <w:tc>
          <w:tcPr>
            <w:tcBorders>
              <w:top w:val="single" w:color="auto" w:sz="4" w:space="0"/>
              <w:left w:val="single" w:color="auto" w:sz="4" w:space="0"/>
              <w:bottom w:val="single" w:color="auto" w:sz="4" w:space="0"/>
              <w:right w:val="single" w:color="auto" w:sz="4" w:space="0"/>
            </w:tcBorders>
            <w:tcW w:w="6960" w:type="dxa"/>
            <w:vAlign w:val="top"/>
            <w:textDirection w:val="lrTb"/>
            <w:noWrap/>
          </w:tcPr>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投标人提供详细的售后服务方案，</w:t>
            </w:r>
            <w:r>
              <w:rPr>
                <w:rFonts w:hint="eastAsia" w:ascii="宋体" w:hAnsi="宋体" w:eastAsia="宋体" w:cs="宋体"/>
                <w:sz w:val="24"/>
                <w:szCs w:val="24"/>
                <w:lang w:val="en-US" w:eastAsia="zh-CN"/>
              </w:rPr>
              <w:t xml:space="preserve">方案内容需包含但不仅限于售后响应时间、售后服务人员安排、售后服务配件管理等方面</w:t>
            </w:r>
            <w:r>
              <w:rPr>
                <w:rFonts w:hint="eastAsia" w:ascii="宋体" w:hAnsi="宋体" w:eastAsia="宋体" w:cs="宋体"/>
                <w:sz w:val="24"/>
                <w:szCs w:val="24"/>
                <w:lang w:eastAsia="zh-CN"/>
              </w:rPr>
              <w:t xml:space="preserve">：</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1、方案及计划完善合理，符合招标人需求：8分；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2、方案及计划比较合理，基本满足招标人需求：6分；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3、方案及计划一般，与招标人需求存在偏差：4分；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4、方案及计划较差，与</w:t>
            </w:r>
            <w:r>
              <w:rPr>
                <w:rFonts w:hint="eastAsia" w:ascii="宋体" w:hAnsi="宋体" w:eastAsia="宋体" w:cs="宋体"/>
                <w:sz w:val="24"/>
                <w:szCs w:val="24"/>
                <w:lang w:eastAsia="zh-CN"/>
              </w:rPr>
              <w:t xml:space="preserve">招标</w:t>
            </w:r>
            <w:r>
              <w:rPr>
                <w:rFonts w:hint="eastAsia" w:ascii="宋体" w:hAnsi="宋体" w:eastAsia="宋体" w:cs="宋体"/>
                <w:sz w:val="24"/>
                <w:szCs w:val="24"/>
                <w:lang w:val="en-US" w:eastAsia="zh-CN"/>
              </w:rPr>
              <w:t xml:space="preserve">人需求存在较大偏差：2分；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内容与本项目基本无关联性得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未见阐述不得分。</w:t>
            </w:r>
            <w:r/>
          </w:p>
        </w:tc>
      </w:tr>
      <w:tr>
        <w:trPr>
          <w:jc w:val="center"/>
          <w:trHeight w:val="621"/>
        </w:trPr>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安装调试方案（8分）</w:t>
            </w:r>
            <w:r/>
          </w:p>
        </w:tc>
        <w:tc>
          <w:tcPr>
            <w:tcBorders>
              <w:top w:val="single" w:color="auto" w:sz="4" w:space="0"/>
              <w:left w:val="single" w:color="auto" w:sz="4" w:space="0"/>
              <w:bottom w:val="single" w:color="auto" w:sz="4" w:space="0"/>
              <w:right w:val="single" w:color="auto" w:sz="4" w:space="0"/>
            </w:tcBorders>
            <w:tcW w:w="6960" w:type="dxa"/>
            <w:vAlign w:val="top"/>
            <w:textDirection w:val="lrTb"/>
            <w:noWrap/>
          </w:tcPr>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投标人提供详细的</w:t>
            </w:r>
            <w:r>
              <w:rPr>
                <w:rFonts w:hint="eastAsia" w:ascii="宋体" w:hAnsi="宋体" w:eastAsia="宋体" w:cs="宋体"/>
                <w:sz w:val="24"/>
                <w:szCs w:val="24"/>
                <w:lang w:val="en-US" w:eastAsia="zh-CN"/>
              </w:rPr>
              <w:t xml:space="preserve">安装调试方案，案内容包括但不限于安装调试手册、安装方式、调试方法等方面：</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1、方案及计划完善合理，符合招标人需求：</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2、方案及计划比较合理，基本满足招标人需求：</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3、方案及计划一般，与招标人需求存在偏差：</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4、方案及计划较差，与招标人需求存在较大偏差：2分；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内容与本项目基本无关联性得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未见阐述不得分。</w:t>
            </w:r>
            <w:r/>
          </w:p>
        </w:tc>
      </w:tr>
      <w:tr>
        <w:trPr>
          <w:jc w:val="center"/>
          <w:trHeight w:val="621"/>
        </w:trPr>
        <w:tc>
          <w:tcPr>
            <w:tcW w:w="1965" w:type="dxa"/>
            <w:vAlign w:val="center"/>
            <w:textDirection w:val="lrTb"/>
            <w:noWrap/>
          </w:tcPr>
          <w:p>
            <w:pPr>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本项目的重难点分析（8）</w:t>
            </w:r>
            <w:r/>
          </w:p>
        </w:tc>
        <w:tc>
          <w:tcPr>
            <w:tcW w:w="6960" w:type="dxa"/>
            <w:vAlign w:val="center"/>
            <w:textDirection w:val="lrTb"/>
            <w:noWrap/>
          </w:tcPr>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lang w:val="zh-CN"/>
              </w:rPr>
              <w:t xml:space="preserve">投标人针对本项目</w:t>
            </w:r>
            <w:r>
              <w:rPr>
                <w:rFonts w:hint="eastAsia" w:ascii="宋体" w:hAnsi="宋体" w:eastAsia="宋体" w:cs="宋体"/>
                <w:sz w:val="24"/>
                <w:szCs w:val="24"/>
              </w:rPr>
              <w:t xml:space="preserve">供货、使用、维保过程中的重难点分析</w:t>
            </w:r>
            <w:r>
              <w:rPr>
                <w:rFonts w:hint="eastAsia" w:ascii="宋体" w:hAnsi="宋体" w:eastAsia="宋体" w:cs="宋体"/>
                <w:sz w:val="24"/>
                <w:szCs w:val="24"/>
                <w:lang w:val="zh-CN"/>
              </w:rPr>
              <w:t xml:space="preserve">。</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计划内容全面具体，科学合理，可行性、可操作性强，措施完善</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CN"/>
              </w:rPr>
              <w:t xml:space="preserve">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计划内容具体，较科学合理，可行性、可操作性较强，措施较完善：</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计划内容有缺</w:t>
            </w:r>
            <w:r>
              <w:rPr>
                <w:rFonts w:hint="eastAsia" w:ascii="宋体" w:hAnsi="宋体" w:eastAsia="宋体" w:cs="宋体"/>
                <w:sz w:val="24"/>
                <w:szCs w:val="24"/>
                <w:lang w:val="zh-CN"/>
              </w:rPr>
              <w:t xml:space="preserve">失、可行性、可操作性较差：</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CN"/>
              </w:rPr>
              <w:t xml:space="preserve">计划内容极其不全面、可行性、可操作性差：</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内容与本项目基本无关联性得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b/>
                <w:bCs/>
                <w:sz w:val="24"/>
                <w:szCs w:val="24"/>
                <w:lang w:eastAsia="zh-CN"/>
              </w:rPr>
              <w:t xml:space="preserve">未见阐述不得分。</w:t>
            </w:r>
            <w:r/>
          </w:p>
        </w:tc>
      </w:tr>
    </w:tbl>
    <w:p>
      <w:pPr>
        <w:rPr>
          <w:rFonts w:hint="eastAsia" w:ascii="宋体" w:hAnsi="宋体" w:eastAsia="宋体" w:cs="宋体"/>
          <w:b w:val="0"/>
        </w:rPr>
      </w:pPr>
      <w:r>
        <w:rPr>
          <w:rFonts w:hint="eastAsia" w:ascii="宋体" w:hAnsi="宋体" w:eastAsia="宋体" w:cs="宋体"/>
          <w:b w:val="0"/>
        </w:rPr>
        <w:br w:type="page" w:clear="all"/>
      </w:r>
      <w:r/>
    </w:p>
    <w:p>
      <w:pPr>
        <w:pStyle w:val="649"/>
        <w:ind w:left="0" w:right="0"/>
        <w:jc w:val="center"/>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第六章  投标文件格式</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jc w:val="center"/>
        <w:pageBreakBefore w:val="0"/>
        <w:spacing w:line="360" w:lineRule="auto"/>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ind w:left="0" w:right="0"/>
        <w:jc w:val="center"/>
        <w:pageBreakBefore w:val="0"/>
        <w:spacing w:line="360" w:lineRule="auto"/>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ind w:left="0" w:right="0"/>
        <w:jc w:val="center"/>
        <w:pageBreakBefore w:val="0"/>
        <w:spacing w:line="360" w:lineRule="auto"/>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p>
    <w:p>
      <w:pPr>
        <w:ind w:left="0" w:right="0"/>
        <w:jc w:val="center"/>
        <w:pageBreakBefore w:val="0"/>
        <w:spacing w:line="360" w:lineRule="auto"/>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ind w:left="0" w:right="0"/>
        <w:jc w:val="center"/>
        <w:pageBreakBefore w:val="0"/>
        <w:spacing w:line="360" w:lineRule="auto"/>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ind w:left="0" w:right="0"/>
        <w:jc w:val="both"/>
        <w:pageBreakBefore w:val="0"/>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left="0" w:right="0"/>
        <w:jc w:val="center"/>
        <w:pageBreakBefore w:val="0"/>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left="0" w:right="0" w:firstLine="1084"/>
        <w:pageBreakBefore w:val="0"/>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p>
    <w:p>
      <w:pPr>
        <w:ind w:left="0" w:right="0" w:firstLine="1084"/>
        <w:pageBreakBefore w:val="0"/>
        <w:spacing w:line="360" w:lineRule="auto"/>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p>
    <w:p>
      <w:pPr>
        <w:ind w:left="0" w:right="0"/>
        <w:pageBreakBefore w:val="0"/>
        <w:spacing w:line="360" w:lineRule="auto"/>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（加盖CA电子公章）</w:t>
      </w:r>
      <w:r/>
    </w:p>
    <w:p>
      <w:pPr>
        <w:ind w:left="0" w:right="0"/>
        <w:pageBreakBefore w:val="0"/>
        <w:spacing w:line="360" w:lineRule="auto"/>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p>
    <w:p>
      <w:pPr>
        <w:ind w:left="0" w:right="0"/>
        <w:jc w:val="center"/>
        <w:pageBreakBefore w:val="0"/>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0" w:right="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一、法人或者其他组织的营业执照等证明文件，自然人的身份证明</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36"/>
          <w:u w:val="single"/>
        </w:rPr>
      </w:pPr>
      <w:r>
        <w:rPr>
          <w:rFonts w:hint="eastAsia" w:ascii="宋体" w:hAnsi="宋体" w:eastAsia="宋体" w:cs="宋体"/>
          <w:i/>
          <w:sz w:val="36"/>
          <w:u w:val="single"/>
        </w:rPr>
        <w:br w:type="page" w:clear="all"/>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二、具有良好的商业信誉和健全的财务会计制度</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三、依法缴纳税收和社会保障资金的相关材料</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p>
    <w:p>
      <w:pPr>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lang w:eastAsia="zh-CN"/>
        </w:rPr>
        <w:t xml:space="preserve">招标人</w:t>
      </w:r>
      <w:r>
        <w:rPr>
          <w:rFonts w:hint="eastAsia" w:ascii="宋体" w:hAnsi="宋体" w:eastAsia="宋体" w:cs="宋体"/>
          <w:i/>
          <w:sz w:val="24"/>
          <w:szCs w:val="24"/>
          <w:u w:val="single"/>
        </w:rPr>
        <w:t xml:space="preserve">名称</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lang w:eastAsia="zh-CN"/>
        </w:rPr>
        <w:t xml:space="preserve">投标人</w:t>
      </w:r>
      <w:r>
        <w:rPr>
          <w:rFonts w:hint="eastAsia" w:ascii="宋体" w:hAnsi="宋体" w:eastAsia="宋体" w:cs="宋体"/>
          <w:i/>
          <w:sz w:val="24"/>
          <w:szCs w:val="24"/>
          <w:u w:val="single"/>
        </w:rPr>
        <w:t xml:space="preserve">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（公章）：</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四、具备履行合同所必需的设备和专业技术能力的声明及证明材料</w:t>
      </w:r>
      <w:r/>
    </w:p>
    <w:p>
      <w:pPr>
        <w:ind w:left="0" w:right="0"/>
        <w:jc w:val="center"/>
        <w:pageBreakBefore w:val="0"/>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ind w:left="0" w:right="0"/>
        <w:jc w:val="center"/>
        <w:pageBreakBefore w:val="0"/>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具备履行合同所必需的设备和专业技术能力的声明</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主要设备有：。（须附证明材料）</w:t>
      </w:r>
      <w:r/>
    </w:p>
    <w:p>
      <w:pPr>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主要专业技术能力有：。（须附证明材料）</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附主要设备和主要专业技术能力的证明材料如下：</w:t>
      </w:r>
      <w:r/>
    </w:p>
    <w:p>
      <w:pPr>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五、参加政府采购活动前3年内在经营活动中没有重大违法记录的书面声明</w:t>
      </w:r>
      <w:r/>
    </w:p>
    <w:p>
      <w:pPr>
        <w:ind w:left="0" w:right="0"/>
        <w:jc w:val="center"/>
        <w:pageBreakBefore w:val="0"/>
        <w:spacing w:line="360" w:lineRule="auto"/>
        <w:rPr>
          <w:rFonts w:hint="eastAsia" w:ascii="宋体" w:hAnsi="宋体" w:eastAsia="宋体" w:cs="宋体"/>
          <w:b/>
          <w:bCs/>
          <w:color w:val="000000"/>
          <w:sz w:val="44"/>
          <w:szCs w:val="44"/>
        </w:rPr>
      </w:pPr>
      <w:r>
        <w:rPr>
          <w:rFonts w:hint="eastAsia" w:ascii="宋体" w:hAnsi="宋体" w:eastAsia="宋体" w:cs="宋体"/>
          <w:bCs/>
          <w:sz w:val="36"/>
          <w:szCs w:val="28"/>
        </w:rPr>
        <w:t xml:space="preserve">声  明</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六、法律、行政法规规定的其他条件的证明文件</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七、落实政府采购政策需满足的资格要求的证明文件</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八、特定资格要求的证明文件</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ind w:left="0" w:right="0"/>
        <w:jc w:val="left"/>
        <w:keepLines/>
        <w:keepNext/>
        <w:pageBreakBefore w:val="0"/>
        <w:spacing w:line="360" w:lineRule="auto"/>
        <w:rPr>
          <w:rFonts w:hint="eastAsia" w:ascii="宋体" w:hAnsi="宋体" w:eastAsia="宋体" w:cs="宋体"/>
          <w:i/>
          <w:iCs/>
          <w:sz w:val="36"/>
          <w:u w:val="single"/>
        </w:rPr>
        <w:outlineLvl w:val="1"/>
      </w:pPr>
      <w:r>
        <w:rPr>
          <w:rFonts w:hint="eastAsia" w:ascii="宋体" w:hAnsi="宋体" w:eastAsia="宋体" w:cs="宋体"/>
          <w:i/>
          <w:sz w:val="28"/>
          <w:szCs w:val="28"/>
          <w:u w:val="single"/>
        </w:rPr>
        <w:t xml:space="preserve">九、授权委托书与法定代表人（单位负责人）身份证明</w:t>
      </w:r>
      <w:r/>
    </w:p>
    <w:p>
      <w:pPr>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授权委托书</w:t>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采购单位</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本人</w:t>
      </w:r>
      <w:r>
        <w:rPr>
          <w:rFonts w:hint="eastAsia" w:ascii="宋体" w:hAnsi="宋体" w:eastAsia="宋体" w:cs="宋体"/>
          <w:sz w:val="24"/>
          <w:szCs w:val="24"/>
          <w:u w:val="single"/>
        </w:rPr>
        <w:t xml:space="preserve">（姓名）</w:t>
      </w: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的法定代表人（单位负责人），现委托</w:t>
      </w:r>
      <w:r>
        <w:rPr>
          <w:rFonts w:hint="eastAsia" w:ascii="宋体" w:hAnsi="宋体" w:eastAsia="宋体" w:cs="宋体"/>
          <w:sz w:val="24"/>
          <w:szCs w:val="24"/>
          <w:u w:val="single"/>
        </w:rPr>
        <w:t xml:space="preserve">（姓名）</w:t>
      </w:r>
      <w:r>
        <w:rPr>
          <w:rFonts w:hint="eastAsia" w:ascii="宋体" w:hAnsi="宋体" w:eastAsia="宋体" w:cs="宋体"/>
          <w:sz w:val="24"/>
          <w:szCs w:val="24"/>
        </w:rPr>
        <w:t xml:space="preserve">为我方代理人。代理人根据授权，以我方名义签署、澄清确认、递交、撤回、修改</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项目（项目编号：）投标文件和处理有关事宜，其法律后果由我方承担。</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br/>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w:t>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w:t>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委托代理人（签字/签章）：</w:t>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left="0" w:right="0" w:firstLine="480"/>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法定代表人（单位负责人）有效期内的身份证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p>
    <w:tbl>
      <w:tblPr>
        <w:tblStyle w:val="6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委托代理人有效期内的身份证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p>
    <w:tbl>
      <w:tblPr>
        <w:tblStyle w:val="6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ind w:left="0" w:right="0"/>
        <w:jc w:val="left"/>
        <w:pageBreakBefore w:val="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left="0" w:right="0" w:firstLine="480"/>
        <w:jc w:val="left"/>
        <w:pageBreakBefore w:val="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1、若</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为事业单位或其他组织或分支机构（仅当招标文件注明允许分支机构投标的），则法定代表人（单位负责人）处的签署人可为单位负责人。</w:t>
      </w:r>
      <w:r/>
    </w:p>
    <w:p>
      <w:pPr>
        <w:ind w:left="0" w:right="0" w:firstLine="480"/>
        <w:jc w:val="left"/>
        <w:pageBreakBefore w:val="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p>
    <w:p>
      <w:pPr>
        <w:ind w:left="0" w:right="0" w:firstLine="480"/>
        <w:jc w:val="left"/>
        <w:pageBreakBefore w:val="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为自然人的情形，可不提供本《授权委托书》。</w:t>
      </w:r>
      <w:r/>
    </w:p>
    <w:p>
      <w:pPr>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法定代表人（单位负责人）身份证明</w:t>
      </w:r>
      <w:r/>
    </w:p>
    <w:p>
      <w:pPr>
        <w:ind w:left="0" w:right="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r>
      <w:r/>
    </w:p>
    <w:p>
      <w:pPr>
        <w:ind w:left="0" w:right="0"/>
        <w:pageBreakBefore w:val="0"/>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sz w:val="24"/>
          <w:szCs w:val="24"/>
          <w:u w:val="single"/>
        </w:rPr>
        <w:t xml:space="preserve">采购单位</w:t>
      </w:r>
      <w:r/>
    </w:p>
    <w:p>
      <w:pPr>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p>
    <w:p>
      <w:pPr>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姓名：性别：年龄：职务：</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p>
    <w:tbl>
      <w:tblPr>
        <w:tblStyle w:val="6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w:t>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十、投标函</w:t>
      </w:r>
      <w:r/>
    </w:p>
    <w:p>
      <w:pPr>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投标函</w:t>
      </w:r>
      <w:r/>
    </w:p>
    <w:p>
      <w:pPr>
        <w:ind w:left="0" w:right="0"/>
        <w:jc w:val="left"/>
        <w:pageBreakBefore w:val="0"/>
        <w:spacing w:line="360" w:lineRule="auto"/>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致：</w:t>
      </w:r>
      <w:r>
        <w:rPr>
          <w:rFonts w:hint="eastAsia" w:ascii="宋体" w:hAnsi="宋体" w:eastAsia="宋体" w:cs="宋体"/>
          <w:color w:val="000000"/>
          <w:sz w:val="24"/>
          <w:szCs w:val="21"/>
          <w:lang w:val="en-US" w:eastAsia="zh-CN"/>
        </w:rPr>
        <w:t xml:space="preserve"> </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据此函，__________签字人兹宣布同意如下：</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1.按招标文件规定的各项要求，向买方提供所需货物（包含与货物相关的工程、服务）。</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2.我们完全理解贵方不一定将合同授予最低报价的投标人。</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3.我们已详细审核全部招标文件及其有效补充文件，我们知道必须放弃提出含糊不清或误解问题的权利。</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4.我们同意从规定的开标日期起遵循本投标文件，并在规定的投标有效期期满之前均具有约束力。</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5.同意向贵方提供贵方可能另外要求的与投标有关的任何证据或资料，并保证我方已提供和将要提供的文件是真实的、准确的。</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6.一旦我方中标,我方将根据招标文件的规定，严格履行合同的责任和义务,并保证在招标文件规定的时间完成项目，交付买方验收、使用。</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7.与本投标有关的正式通讯地址为：</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投标人开户行：</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账        号： </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十一、中小企业声明函</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中小企业声明函</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left="0" w:righ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1"/>
        </w:rPr>
        <w:t xml:space="preserve">……</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p>
    <w:p>
      <w:pPr>
        <w:ind w:left="0" w:right="0" w:firstLine="288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日   期：</w:t>
      </w:r>
      <w:r/>
    </w:p>
    <w:p>
      <w:pPr>
        <w:ind w:left="0" w:right="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p>
    <w:p>
      <w:pPr>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十二、残疾人福利性单位声明函</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ind w:left="0" w:right="0"/>
        <w:jc w:val="center"/>
        <w:pageBreakBefore w:val="0"/>
        <w:spacing w:line="360" w:lineRule="auto"/>
        <w:tabs>
          <w:tab w:val="left" w:pos="360" w:leader="none"/>
        </w:tabs>
        <w:rPr>
          <w:rFonts w:hint="eastAsia" w:ascii="宋体" w:hAnsi="宋体" w:eastAsia="宋体" w:cs="宋体"/>
          <w:color w:val="000000"/>
          <w:sz w:val="24"/>
          <w:szCs w:val="21"/>
        </w:rPr>
      </w:pPr>
      <w:r>
        <w:rPr>
          <w:rFonts w:hint="eastAsia" w:ascii="宋体" w:hAnsi="宋体" w:eastAsia="宋体" w:cs="宋体"/>
          <w:bCs/>
          <w:sz w:val="36"/>
          <w:szCs w:val="28"/>
        </w:rPr>
        <w:t xml:space="preserve">残疾人福利性单位声明函</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141号）的规定，本单位为符合条件的残疾人福利性单位，且本单位参加单位的项目（</w:t>
      </w:r>
      <w:r>
        <w:rPr>
          <w:rFonts w:hint="eastAsia" w:ascii="宋体" w:hAnsi="宋体" w:eastAsia="宋体" w:cs="宋体"/>
          <w:color w:val="000000"/>
          <w:sz w:val="24"/>
          <w:szCs w:val="24"/>
        </w:rPr>
        <w:t xml:space="preserve">项目编号：，分包号：</w:t>
      </w:r>
      <w:r>
        <w:rPr>
          <w:rFonts w:hint="eastAsia" w:ascii="宋体" w:hAnsi="宋体" w:eastAsia="宋体" w:cs="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 </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w:t>
      </w:r>
      <w:r/>
    </w:p>
    <w:p>
      <w:pPr>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p>
    <w:p>
      <w:pPr>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p>
    <w:p>
      <w:pPr>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p>
    <w:p>
      <w:pPr>
        <w:ind w:left="0" w:right="0" w:firstLine="480"/>
        <w:jc w:val="left"/>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36"/>
        </w:rPr>
      </w:pPr>
      <w:r>
        <w:rPr>
          <w:rFonts w:hint="eastAsia" w:ascii="宋体" w:hAnsi="宋体" w:eastAsia="宋体" w:cs="宋体"/>
          <w:sz w:val="36"/>
        </w:rPr>
        <w:br w:type="page" w:clear="all"/>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三</w:t>
      </w:r>
      <w:r>
        <w:rPr>
          <w:rFonts w:hint="eastAsia" w:ascii="宋体" w:hAnsi="宋体" w:eastAsia="宋体" w:cs="宋体"/>
          <w:i/>
          <w:sz w:val="28"/>
          <w:szCs w:val="28"/>
          <w:u w:val="single"/>
        </w:rPr>
        <w:t xml:space="preserve">、投标分项报价表</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投标分项报价表</w:t>
      </w:r>
      <w:r/>
    </w:p>
    <w:p>
      <w:pPr>
        <w:ind w:left="0" w:right="0" w:firstLine="21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w:t>
      </w:r>
      <w:r>
        <w:rPr>
          <w:rFonts w:hint="eastAsia" w:ascii="宋体" w:hAnsi="宋体" w:eastAsia="宋体" w:cs="宋体"/>
          <w:color w:val="000000"/>
          <w:sz w:val="21"/>
          <w:szCs w:val="21"/>
          <w:lang w:val="en-US" w:eastAsia="zh-CN"/>
        </w:rPr>
        <w:t xml:space="preserve">   项目编号：                                  </w:t>
      </w:r>
      <w:r>
        <w:rPr>
          <w:rFonts w:hint="eastAsia" w:ascii="宋体" w:hAnsi="宋体" w:eastAsia="宋体" w:cs="宋体"/>
          <w:color w:val="000000"/>
          <w:sz w:val="21"/>
          <w:szCs w:val="21"/>
        </w:rPr>
        <w:t xml:space="preserve">单位：元</w:t>
      </w:r>
      <w:r/>
    </w:p>
    <w:tbl>
      <w:tblPr>
        <w:tblStyle w:val="659"/>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jc w:val="center"/>
          <w:trHeight w:val="990"/>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序号</w:t>
            </w:r>
            <w:r/>
          </w:p>
        </w:tc>
        <w:tc>
          <w:tcPr>
            <w:tcW w:w="12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货物</w:t>
            </w:r>
            <w:r>
              <w:rPr>
                <w:rFonts w:hint="eastAsia" w:ascii="宋体" w:hAnsi="宋体" w:eastAsia="宋体" w:cs="宋体"/>
                <w:bCs/>
                <w:color w:val="000000"/>
                <w:szCs w:val="24"/>
                <w:lang w:val="en-US" w:eastAsia="zh-CN"/>
              </w:rPr>
              <w:t xml:space="preserve">  </w:t>
            </w:r>
            <w:r>
              <w:rPr>
                <w:rFonts w:hint="eastAsia" w:ascii="宋体" w:hAnsi="宋体" w:eastAsia="宋体" w:cs="宋体"/>
                <w:bCs/>
                <w:color w:val="000000"/>
                <w:szCs w:val="24"/>
              </w:rPr>
              <w:t xml:space="preserve">（标的）名称</w:t>
            </w:r>
            <w:r/>
          </w:p>
        </w:tc>
        <w:tc>
          <w:tcPr>
            <w:tcW w:w="70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品牌</w:t>
            </w:r>
            <w:r/>
          </w:p>
        </w:tc>
        <w:tc>
          <w:tcPr>
            <w:tcW w:w="121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
                <w:bCs w:val="0"/>
                <w:color w:val="000000"/>
                <w:szCs w:val="24"/>
              </w:rPr>
              <w:t xml:space="preserve">是否符合本国产品标准</w:t>
            </w:r>
            <w:r/>
          </w:p>
        </w:tc>
        <w:tc>
          <w:tcPr>
            <w:tcW w:w="82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规格型号</w:t>
            </w:r>
            <w:r/>
          </w:p>
        </w:tc>
        <w:tc>
          <w:tcPr>
            <w:tcW w:w="768"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w:t>
            </w:r>
            <w:r/>
          </w:p>
        </w:tc>
        <w:tc>
          <w:tcPr>
            <w:tcW w:w="927"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制造商企业类型</w:t>
            </w:r>
            <w:r/>
          </w:p>
        </w:tc>
        <w:tc>
          <w:tcPr>
            <w:tcW w:w="78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单价</w:t>
            </w:r>
            <w:r/>
          </w:p>
        </w:tc>
        <w:tc>
          <w:tcPr>
            <w:tcW w:w="76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数量</w:t>
            </w:r>
            <w:r/>
          </w:p>
        </w:tc>
        <w:tc>
          <w:tcPr>
            <w:tcW w:w="7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计量单位</w:t>
            </w:r>
            <w:r/>
          </w:p>
        </w:tc>
        <w:tc>
          <w:tcPr>
            <w:tcW w:w="793"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单项合计价</w:t>
            </w:r>
            <w:r/>
          </w:p>
        </w:tc>
      </w:tr>
      <w:tr>
        <w:trPr>
          <w:jc w:val="center"/>
          <w:trHeight w:val="58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1</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rHeight w:val="548"/>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2</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rHeight w:val="55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3</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rHeight w:val="547"/>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rHeight w:val="567"/>
        </w:trPr>
        <w:tc>
          <w:tcPr>
            <w:gridSpan w:val="6"/>
            <w:tcW w:w="5284"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总计（元）</w:t>
            </w:r>
            <w:r/>
          </w:p>
        </w:tc>
        <w:tc>
          <w:tcPr>
            <w:gridSpan w:val="5"/>
            <w:tcW w:w="4015" w:type="dxa"/>
            <w:vAlign w:val="center"/>
            <w:textDirection w:val="lrTb"/>
            <w:noWrap w:val="false"/>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rHeight w:val="567"/>
        </w:trPr>
        <w:tc>
          <w:tcPr>
            <w:gridSpan w:val="11"/>
            <w:tcW w:w="9299"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b/>
                <w:bCs/>
                <w:color w:val="ff0000"/>
                <w:sz w:val="21"/>
                <w:szCs w:val="21"/>
              </w:rPr>
              <w:t xml:space="preserve">本采购包中提供的符合本国产品标准的产品成本之和占该采购包提供的全部产品成本之和的比例为</w:t>
            </w:r>
            <w:r>
              <w:rPr>
                <w:rFonts w:hint="eastAsia" w:ascii="宋体" w:hAnsi="宋体" w:cs="宋体"/>
                <w:b/>
                <w:bCs/>
                <w:color w:val="ff0000"/>
                <w:sz w:val="21"/>
                <w:szCs w:val="21"/>
                <w:lang w:val="en-US" w:eastAsia="zh-CN"/>
              </w:rPr>
              <w:t xml:space="preserve">  </w:t>
            </w:r>
            <w:r>
              <w:rPr>
                <w:rFonts w:hint="eastAsia" w:ascii="宋体" w:hAnsi="宋体" w:eastAsia="宋体" w:cs="宋体"/>
                <w:b/>
                <w:bCs/>
                <w:color w:val="ff0000"/>
                <w:sz w:val="21"/>
                <w:szCs w:val="21"/>
              </w:rPr>
              <w:t xml:space="preserve">%。</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val="en-US" w:eastAsia="zh-CN"/>
              </w:rPr>
              <w:t xml:space="preserve">该部分供应商填写）</w:t>
            </w:r>
            <w:r/>
          </w:p>
        </w:tc>
      </w:tr>
    </w:tbl>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日期：年月日</w:t>
      </w:r>
      <w:r/>
    </w:p>
    <w:p>
      <w:pPr>
        <w:ind w:left="0" w:right="0"/>
        <w:pageBreakBefore w:val="0"/>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ind w:left="0" w:right="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以上报价包含但不限于人员费用、全部软硬件设备、辅助材料、备品、备件、机械、运输、现场安装调试、人员培训、管理、维护、利润、技术支持、税金、保险、售后服务、政策性文件规定及合同包含的所有风险、责任等各项应有费用。</w:t>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3、请</w:t>
      </w:r>
      <w:r>
        <w:rPr>
          <w:rFonts w:hint="eastAsia" w:ascii="宋体" w:hAnsi="宋体" w:eastAsia="宋体" w:cs="宋体"/>
          <w:color w:val="000000"/>
          <w:szCs w:val="24"/>
          <w:lang w:eastAsia="zh-CN"/>
        </w:rPr>
        <w:t xml:space="preserve">投标人</w:t>
      </w:r>
      <w:r>
        <w:rPr>
          <w:rFonts w:hint="eastAsia" w:ascii="宋体" w:hAnsi="宋体" w:eastAsia="宋体" w:cs="宋体"/>
          <w:color w:val="000000"/>
          <w:szCs w:val="24"/>
        </w:rPr>
        <w:t xml:space="preserve">如实、正确填写本表，所填内容将作为评审的依据，其内容应与对应的证明资料相符。</w:t>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4、行数或事项不够，可自行增加。</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四</w:t>
      </w:r>
      <w:r>
        <w:rPr>
          <w:rFonts w:hint="eastAsia" w:ascii="宋体" w:hAnsi="宋体" w:eastAsia="宋体" w:cs="宋体"/>
          <w:i/>
          <w:sz w:val="28"/>
          <w:szCs w:val="28"/>
          <w:u w:val="single"/>
        </w:rPr>
        <w:t xml:space="preserve">、关于符合本国产品标准的声明函</w:t>
      </w:r>
      <w:r/>
    </w:p>
    <w:p>
      <w:pPr>
        <w:ind w:firstLine="420"/>
        <w:jc w:val="left"/>
        <w:spacing w:before="0" w:beforeAutospacing="0" w:after="0" w:afterAutospacing="0"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ind w:firstLine="420"/>
        <w:jc w:val="left"/>
        <w:spacing w:before="0" w:beforeAutospacing="0" w:after="0" w:afterAutospacing="0" w:line="360" w:lineRule="auto"/>
        <w:rPr>
          <w:rFonts w:ascii="宋体" w:hAnsi="宋体" w:eastAsia="宋体" w:cs="宋体"/>
          <w:szCs w:val="24"/>
          <w:lang w:val="en-US" w:eastAsia="zh-CN" w:bidi="ar-SA"/>
        </w:rPr>
      </w:pPr>
      <w:r>
        <w:rPr>
          <w:rFonts w:hint="eastAsia" w:ascii="宋体" w:hAnsi="宋体" w:eastAsia="宋体" w:cs="宋体"/>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635" t="4445" r="1905" b="6350"/>
                <wp:wrapNone/>
                <wp:docPr id="1" name="AutoShape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60288;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635" t="4445" r="1905" b="14604"/>
                <wp:wrapNone/>
                <wp:docPr id="2" name="AutoShape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1270" t="4445" r="4445" b="17145"/>
                <wp:wrapNone/>
                <wp:docPr id="3" name="AutoShape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1564005</wp:posOffset>
                </wp:positionH>
                <wp:positionV relativeFrom="paragraph">
                  <wp:posOffset>741045</wp:posOffset>
                </wp:positionV>
                <wp:extent cx="876300" cy="120015"/>
                <wp:effectExtent l="635" t="4445" r="18415" b="8890"/>
                <wp:wrapNone/>
                <wp:docPr id="4" name="AutoShape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23.1pt;mso-position-horizontal:absolute;mso-position-vertical-relative:text;margin-top:58.3pt;mso-position-vertical:absolute;width:69.0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695960</wp:posOffset>
                </wp:positionH>
                <wp:positionV relativeFrom="paragraph">
                  <wp:posOffset>738505</wp:posOffset>
                </wp:positionV>
                <wp:extent cx="364490" cy="97790"/>
                <wp:effectExtent l="1270" t="4445" r="15240" b="12065"/>
                <wp:wrapNone/>
                <wp:docPr id="5" name="AutoShape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54.8pt;mso-position-horizontal:absolute;mso-position-vertical-relative:text;margin-top:58.1pt;mso-position-vertical:absolute;width:28.7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4843145</wp:posOffset>
                </wp:positionH>
                <wp:positionV relativeFrom="paragraph">
                  <wp:posOffset>115570</wp:posOffset>
                </wp:positionV>
                <wp:extent cx="577215" cy="92075"/>
                <wp:effectExtent l="635" t="4445" r="12700" b="17780"/>
                <wp:wrapNone/>
                <wp:docPr id="6" name="AutoShape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81.3pt;mso-position-horizontal:absolute;mso-position-vertical-relative:text;margin-top:9.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4714240</wp:posOffset>
                </wp:positionH>
                <wp:positionV relativeFrom="paragraph">
                  <wp:posOffset>78740</wp:posOffset>
                </wp:positionV>
                <wp:extent cx="718185" cy="97790"/>
                <wp:effectExtent l="635" t="4445" r="5080" b="12065"/>
                <wp:wrapNone/>
                <wp:docPr id="7" name="AutoShape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71.2pt;mso-position-horizontal:absolute;mso-position-vertical-relative:text;margin-top:6.2pt;mso-position-vertical:absolute;width:56.5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1210310</wp:posOffset>
                </wp:positionH>
                <wp:positionV relativeFrom="paragraph">
                  <wp:posOffset>673735</wp:posOffset>
                </wp:positionV>
                <wp:extent cx="908685" cy="140970"/>
                <wp:effectExtent l="635" t="4445" r="5080" b="6985"/>
                <wp:wrapNone/>
                <wp:docPr id="8" name="AutoShape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9" name="AutoShape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1718945</wp:posOffset>
                </wp:positionH>
                <wp:positionV relativeFrom="paragraph">
                  <wp:posOffset>324485</wp:posOffset>
                </wp:positionV>
                <wp:extent cx="816610" cy="147320"/>
                <wp:effectExtent l="635" t="4445" r="1905" b="19685"/>
                <wp:wrapNone/>
                <wp:docPr id="10" name="AutoShape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135.3pt;mso-position-horizontal:absolute;mso-position-vertical-relative:text;margin-top:25.5pt;mso-position-vertical:absolute;width:64.3pt;height:11.6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1" name="AutoShape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2" name="AutoShape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AutoShape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right="480" w:firstLine="4728"/>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6.用斜线划除的地方无需填写。</w:t>
      </w:r>
      <w:r/>
    </w:p>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7.请供应商如实填写，如填写有误，将承担一切不利后果。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8.供应商提供虚假《声明函》、虚假证明文件谋取中标的，依照《中华人民共和国政府采购法》等法律法规规定追究相应责任。</w:t>
      </w:r>
      <w:r/>
    </w:p>
    <w:p>
      <w:pPr>
        <w:keepLines w:val="0"/>
        <w:keepNext w:val="0"/>
        <w:pageBreakBefore w:val="0"/>
        <w:rPr>
          <w:rFonts w:hint="eastAsia" w:ascii="宋体" w:hAnsi="宋体" w:eastAsia="宋体" w:cs="宋体"/>
          <w:iCs/>
          <w:sz w:val="21"/>
          <w:szCs w:val="21"/>
          <w:lang w:val="en-US" w:eastAsia="zh-CN" w:bidi="ar-SA"/>
        </w:rPr>
      </w:pPr>
      <w:r>
        <w:rPr>
          <w:rFonts w:hint="eastAsia" w:ascii="宋体" w:hAnsi="宋体" w:eastAsia="宋体" w:cs="宋体"/>
          <w:color w:val="333333"/>
          <w:sz w:val="24"/>
          <w:szCs w:val="24"/>
          <w:shd w:val="clear" w:color="auto" w:fill="ffffff"/>
          <w:lang w:val="en-US" w:eastAsia="zh-CN" w:bidi="ar-SA"/>
        </w:rPr>
        <w:t xml:space="preserve">9.</w:t>
      </w:r>
      <w:r>
        <w:rPr>
          <w:rFonts w:hint="eastAsia" w:ascii="宋体" w:hAnsi="宋体" w:eastAsia="宋体" w:cs="宋体"/>
          <w:sz w:val="24"/>
          <w:szCs w:val="24"/>
          <w:lang w:val="en-US" w:eastAsia="zh-CN" w:bidi="ar-SA"/>
        </w:rPr>
        <w:t xml:space="preserve">中标人的《声明函》或有关证明文件随中标结果公开，接受社会监督</w:t>
      </w:r>
      <w:r/>
    </w:p>
    <w:p>
      <w:pPr>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lang w:eastAsia="zh-CN"/>
        </w:rPr>
        <w:t xml:space="preserve">十五、</w:t>
      </w:r>
      <w:r>
        <w:rPr>
          <w:rFonts w:hint="eastAsia" w:ascii="宋体" w:hAnsi="宋体" w:eastAsia="宋体" w:cs="宋体"/>
          <w:i/>
          <w:sz w:val="28"/>
          <w:szCs w:val="28"/>
          <w:u w:val="single"/>
        </w:rPr>
        <w:t xml:space="preserve">技术要求响应及偏离表</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技术要求响应及偏离表</w:t>
      </w:r>
      <w:r/>
    </w:p>
    <w:p>
      <w:pPr>
        <w:ind w:left="0" w:right="0" w:firstLine="480"/>
        <w:jc w:val="left"/>
        <w:pageBreakBefore w:val="0"/>
        <w:spacing w:line="360" w:lineRule="auto"/>
        <w:rPr>
          <w:rFonts w:hint="eastAsia" w:ascii="宋体" w:hAnsi="宋体" w:eastAsia="宋体" w:cs="宋体"/>
          <w:sz w:val="36"/>
        </w:rPr>
      </w:pPr>
      <w:r>
        <w:rPr>
          <w:rFonts w:hint="eastAsia" w:ascii="宋体" w:hAnsi="宋体" w:eastAsia="宋体" w:cs="宋体"/>
          <w:color w:val="000000"/>
          <w:sz w:val="24"/>
          <w:szCs w:val="24"/>
        </w:rPr>
        <w:t xml:space="preserve">项目名称：      项目编号：   </w:t>
      </w:r>
      <w:r/>
    </w:p>
    <w:tbl>
      <w:tblPr>
        <w:tblStyle w:val="6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bookmarkStart w:id="26" w:name="_Hlt26955054"/>
      <w:r/>
      <w:bookmarkEnd w:id="26"/>
      <w:r>
        <w:rPr>
          <w:rFonts w:hint="eastAsia" w:ascii="宋体" w:hAnsi="宋体" w:eastAsia="宋体" w:cs="宋体"/>
          <w:i/>
          <w:iCs/>
          <w:sz w:val="36"/>
          <w:u w:val="single"/>
        </w:rPr>
        <w:br w:type="page" w:clear="all"/>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六</w:t>
      </w:r>
      <w:r>
        <w:rPr>
          <w:rFonts w:hint="eastAsia" w:ascii="宋体" w:hAnsi="宋体" w:eastAsia="宋体" w:cs="宋体"/>
          <w:i/>
          <w:sz w:val="28"/>
          <w:szCs w:val="28"/>
          <w:u w:val="single"/>
        </w:rPr>
        <w:t xml:space="preserve">、商务要求响应及偏离表</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商务要求响应及偏离表</w:t>
      </w:r>
      <w:r/>
    </w:p>
    <w:p>
      <w:pPr>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p>
    <w:tbl>
      <w:tblPr>
        <w:tblStyle w:val="65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bookmarkStart w:id="27" w:name="_Hlt26782999"/>
            <w:r/>
            <w:bookmarkEnd w:id="27"/>
            <w:r/>
            <w:bookmarkStart w:id="28" w:name="_Hlt24879081"/>
            <w:r/>
            <w:bookmarkEnd w:id="28"/>
            <w:r/>
            <w:bookmarkStart w:id="29" w:name="_Hlt26955056"/>
            <w:r/>
            <w:bookmarkEnd w:id="29"/>
            <w:r/>
            <w:bookmarkStart w:id="30" w:name="_Hlt26580838"/>
            <w:r/>
            <w:bookmarkEnd w:id="30"/>
            <w:r/>
            <w:bookmarkStart w:id="31" w:name="_Hlt26955064"/>
            <w:r/>
            <w:bookmarkEnd w:id="31"/>
            <w:r/>
            <w:bookmarkStart w:id="32" w:name="_Hlt26609391"/>
            <w:r/>
            <w:bookmarkEnd w:id="32"/>
            <w:r/>
            <w:bookmarkStart w:id="33" w:name="_Hlt26671343"/>
            <w:r/>
            <w:bookmarkEnd w:id="33"/>
            <w:r/>
            <w:bookmarkStart w:id="34" w:name="_Hlt26671372"/>
            <w:r/>
            <w:bookmarkEnd w:id="34"/>
            <w:r>
              <w:rPr>
                <w:rFonts w:hint="eastAsia" w:ascii="宋体" w:hAnsi="宋体" w:eastAsia="宋体" w:cs="宋体"/>
                <w:color w:val="000000"/>
                <w:sz w:val="24"/>
                <w:szCs w:val="24"/>
              </w:rPr>
              <w:t xml:space="preserve">序号</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left="0" w:right="0"/>
        <w:pageBreakBefore w:val="0"/>
        <w:spacing w:line="360" w:lineRule="auto"/>
        <w:rPr>
          <w:rFonts w:hint="eastAsia" w:ascii="宋体" w:hAnsi="宋体" w:eastAsia="宋体" w:cs="宋体"/>
        </w:rPr>
      </w:pPr>
      <w:r/>
      <w:bookmarkStart w:id="35" w:name="_Hlt26671374"/>
      <w:r/>
      <w:bookmarkEnd w:id="35"/>
      <w:r/>
      <w:bookmarkStart w:id="36" w:name="_Hlt26955066"/>
      <w:r/>
      <w:bookmarkEnd w:id="36"/>
      <w:r/>
      <w:bookmarkStart w:id="37" w:name="_Hlt26609389"/>
      <w:r/>
      <w:bookmarkEnd w:id="37"/>
      <w:r/>
      <w:bookmarkStart w:id="38" w:name="_格式2__法定代表人授权书"/>
      <w:r/>
      <w:bookmarkEnd w:id="38"/>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Cs/>
          <w:sz w:val="36"/>
        </w:rPr>
      </w:pPr>
      <w:r>
        <w:rPr>
          <w:rFonts w:hint="eastAsia" w:ascii="宋体" w:hAnsi="宋体" w:eastAsia="宋体" w:cs="宋体"/>
          <w:iCs/>
          <w:sz w:val="36"/>
        </w:rPr>
        <w:br w:type="page" w:clear="all"/>
      </w:r>
      <w:r/>
    </w:p>
    <w:p>
      <w:pPr>
        <w:numPr>
          <w:ilvl w:val="0"/>
          <w:numId w:val="0"/>
        </w:num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七</w:t>
      </w:r>
      <w:r>
        <w:rPr>
          <w:rFonts w:hint="eastAsia" w:ascii="宋体" w:hAnsi="宋体" w:eastAsia="宋体" w:cs="宋体"/>
          <w:i/>
          <w:sz w:val="28"/>
          <w:szCs w:val="28"/>
          <w:u w:val="single"/>
        </w:rPr>
        <w:t xml:space="preserve">、类似项目业绩一览表</w:t>
      </w:r>
      <w:r/>
    </w:p>
    <w:p>
      <w:pPr>
        <w:numPr>
          <w:ilvl w:val="0"/>
          <w:numId w:val="0"/>
        </w:numPr>
        <w:ind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类似项目业绩一览表</w:t>
      </w:r>
      <w:r/>
    </w:p>
    <w:p>
      <w:pPr>
        <w:ind w:left="0" w:right="0" w:firstLine="24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p>
    <w:tbl>
      <w:tblPr>
        <w:tblStyle w:val="6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850"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w:t>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主要标的</w:t>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Cs/>
          <w:sz w:val="36"/>
        </w:rPr>
      </w:pPr>
      <w:r>
        <w:rPr>
          <w:rFonts w:hint="eastAsia" w:ascii="宋体" w:hAnsi="宋体" w:eastAsia="宋体" w:cs="宋体"/>
          <w:iCs/>
          <w:sz w:val="36"/>
        </w:rPr>
        <w:br w:type="page" w:clear="all"/>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八</w:t>
      </w:r>
      <w:r>
        <w:rPr>
          <w:rFonts w:hint="eastAsia" w:ascii="宋体" w:hAnsi="宋体" w:eastAsia="宋体" w:cs="宋体"/>
          <w:i/>
          <w:sz w:val="28"/>
          <w:szCs w:val="28"/>
          <w:u w:val="single"/>
        </w:rPr>
        <w:t xml:space="preserve">、项目团队人员一览表</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项目团队人员一览表</w:t>
      </w:r>
      <w:r/>
    </w:p>
    <w:p>
      <w:pPr>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分包号：</w:t>
      </w:r>
      <w:r/>
    </w:p>
    <w:tbl>
      <w:tblPr>
        <w:tblStyle w:val="659"/>
        <w:tblW w:w="8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jc w:val="center"/>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本项目拟担任职务</w:t>
            </w:r>
            <w:r/>
          </w:p>
        </w:tc>
        <w:tc>
          <w:tcPr>
            <w:tcW w:w="269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技术职称、专业资质</w:t>
            </w:r>
            <w:r/>
          </w:p>
        </w:tc>
        <w:tc>
          <w:tcPr>
            <w:tcW w:w="2910"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主要资历及担任过的职务</w:t>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firstLine="643"/>
        <w:jc w:val="left"/>
        <w:pageBreakBefore w:val="0"/>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rPr>
          <w:rFonts w:hint="eastAsia"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lang w:eastAsia="zh-CN"/>
        </w:rPr>
        <w:t xml:space="preserve">十九</w:t>
      </w:r>
      <w:r>
        <w:rPr>
          <w:rFonts w:hint="eastAsia" w:ascii="宋体" w:hAnsi="宋体" w:eastAsia="宋体" w:cs="宋体"/>
          <w:i/>
          <w:sz w:val="28"/>
          <w:szCs w:val="28"/>
          <w:u w:val="single"/>
        </w:rPr>
        <w:t xml:space="preserve">、开标一览表</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投标人全称（CA公章）：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                                   分包号：</w:t>
      </w:r>
      <w:r/>
    </w:p>
    <w:tbl>
      <w:tblPr>
        <w:tblStyle w:val="68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投标货物名称</w:t>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总价（小写）</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核心产品</w:t>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left="0" w:right="0" w:firstLine="48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年月日</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80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40"/>
          <w:szCs w:val="32"/>
        </w:rPr>
        <w:br w:type="page" w:clear="all"/>
      </w:r>
      <w:r/>
    </w:p>
    <w:p>
      <w:pPr>
        <w:ind w:left="0" w:right="0"/>
        <w:jc w:val="center"/>
        <w:pageBreakBefore w:val="0"/>
        <w:spacing w:line="360" w:lineRule="auto"/>
        <w:rPr>
          <w:rFonts w:hint="eastAsia" w:ascii="宋体" w:hAnsi="宋体" w:eastAsia="宋体" w:cs="宋体"/>
          <w:bCs/>
          <w:color w:val="000000"/>
          <w:sz w:val="40"/>
          <w:szCs w:val="32"/>
        </w:rPr>
      </w:pPr>
      <w:r>
        <w:rPr>
          <w:rFonts w:hint="eastAsia" w:ascii="宋体" w:hAnsi="宋体" w:eastAsia="宋体" w:cs="宋体"/>
          <w:bCs/>
          <w:color w:val="000000"/>
          <w:sz w:val="40"/>
          <w:szCs w:val="32"/>
        </w:rPr>
        <w:t xml:space="preserve">质疑函范本</w:t>
      </w:r>
      <w:r/>
    </w:p>
    <w:p>
      <w:pPr>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p>
    <w:p>
      <w:pPr>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w:t>
      </w:r>
      <w:r>
        <w:rPr>
          <w:rFonts w:hint="eastAsia" w:ascii="宋体" w:hAnsi="宋体" w:eastAsia="宋体" w:cs="宋体"/>
          <w:bCs/>
          <w:color w:val="000000"/>
          <w:sz w:val="24"/>
          <w:szCs w:val="24"/>
          <w:lang w:eastAsia="zh-CN"/>
        </w:rPr>
        <w:t xml:space="preserve">投标人</w:t>
      </w:r>
      <w:r>
        <w:rPr>
          <w:rFonts w:hint="eastAsia" w:ascii="宋体" w:hAnsi="宋体" w:eastAsia="宋体" w:cs="宋体"/>
          <w:bCs/>
          <w:color w:val="000000"/>
          <w:sz w:val="24"/>
          <w:szCs w:val="24"/>
        </w:rPr>
        <w:t xml:space="preserve">基本信息</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联系人：联系电话：</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p>
    <w:p>
      <w:pPr>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质疑项目的编号：包号：</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eastAsia="zh-CN"/>
        </w:rPr>
        <w:t xml:space="preserve">招标人</w:t>
      </w:r>
      <w:r>
        <w:rPr>
          <w:rFonts w:hint="eastAsia" w:ascii="宋体" w:hAnsi="宋体" w:eastAsia="宋体" w:cs="宋体"/>
          <w:color w:val="000000"/>
          <w:sz w:val="24"/>
          <w:szCs w:val="24"/>
        </w:rPr>
        <w:t xml:space="preserve">名称：</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获取日期：</w:t>
      </w:r>
      <w:r/>
    </w:p>
    <w:p>
      <w:pPr>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p>
    <w:p>
      <w:pPr>
        <w:ind w:left="0" w:right="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p>
    <w:p>
      <w:pPr>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提出质疑时，应提交质疑函和必要的证明材料。</w:t>
      </w:r>
      <w:r/>
    </w:p>
    <w:p>
      <w:pPr>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若委托代理人进行质疑的，质疑函应按要求列明“授权代表”的有关内容，并在附件中提交由质疑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签署的授权委托书。授权委托书应载明代理人的姓名或者名称、代理事项、具体权限、期限和相关事项。</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为自然人的，应当由本人签字；</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为法人或者其他组织的，应当由法定代表人、主要负责人签字或者盖章，并加盖公章。</w:t>
      </w:r>
      <w:r/>
    </w:p>
    <w:p>
      <w:pPr>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若对项目的某一分包进行质疑，质疑函中应列明具体分包号。</w:t>
      </w:r>
      <w:r/>
    </w:p>
    <w:p>
      <w:pPr>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p>
    <w:p>
      <w:pPr>
        <w:ind w:left="0" w:right="0" w:firstLine="480"/>
        <w:jc w:val="left"/>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6.质疑</w:t>
      </w:r>
      <w:r>
        <w:rPr>
          <w:rFonts w:hint="eastAsia" w:ascii="宋体" w:hAnsi="宋体" w:eastAsia="宋体" w:cs="宋体"/>
          <w:b w:val="0"/>
          <w:bCs/>
          <w:color w:val="auto"/>
          <w:sz w:val="24"/>
          <w:szCs w:val="24"/>
          <w:lang w:eastAsia="zh-CN"/>
        </w:rPr>
        <w:t xml:space="preserve">投标人</w:t>
      </w:r>
      <w:r>
        <w:rPr>
          <w:rFonts w:hint="eastAsia" w:ascii="宋体" w:hAnsi="宋体" w:eastAsia="宋体" w:cs="宋体"/>
          <w:b w:val="0"/>
          <w:bCs/>
          <w:color w:val="auto"/>
          <w:sz w:val="24"/>
          <w:szCs w:val="24"/>
        </w:rPr>
        <w:t xml:space="preserve">为自然人的，质疑函应附自然人身份证明复印件并由本人签字；质疑</w:t>
      </w:r>
      <w:r>
        <w:rPr>
          <w:rFonts w:hint="eastAsia" w:ascii="宋体" w:hAnsi="宋体" w:eastAsia="宋体" w:cs="宋体"/>
          <w:b w:val="0"/>
          <w:bCs/>
          <w:color w:val="auto"/>
          <w:sz w:val="24"/>
          <w:szCs w:val="24"/>
          <w:lang w:eastAsia="zh-CN"/>
        </w:rPr>
        <w:t xml:space="preserve">投标人</w:t>
      </w:r>
      <w:r>
        <w:rPr>
          <w:rFonts w:hint="eastAsia" w:ascii="宋体" w:hAnsi="宋体" w:eastAsia="宋体" w:cs="宋体"/>
          <w:b w:val="0"/>
          <w:bCs/>
          <w:color w:val="auto"/>
          <w:sz w:val="24"/>
          <w:szCs w:val="24"/>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066"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黑体">
    <w:panose1 w:val="02010609060101010101"/>
  </w:font>
  <w:font w:name="楷体_GB2312">
    <w:panose1 w:val="02010609060101010101"/>
  </w:font>
  <w:font w:name="Wingdings">
    <w:panose1 w:val="05000000000000000000"/>
  </w:font>
  <w:font w:name="华文楷体">
    <w:panose1 w:val="02010600040101010101"/>
  </w:font>
  <w:font w:name="MS Mincho">
    <w:panose1 w:val="02020603050405090304"/>
  </w:font>
  <w:font w:name="Courier New">
    <w:panose1 w:val="02070309020205020404"/>
  </w:font>
  <w:font w:name="Calibri">
    <w:panose1 w:val="020F0502020204030204"/>
  </w:font>
  <w:font w:name="Arial">
    <w:panose1 w:val="020B0604020202020204"/>
  </w:font>
  <w:font w:name="monospace">
    <w:panose1 w:val="020B0503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jc w:val="center"/>
    </w:pPr>
    <w:r/>
    <w:r/>
  </w:p>
  <w:p>
    <w:pPr>
      <w:pStyle w:val="6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74"/>
          <w:jc w:val="center"/>
        </w:pPr>
        <w:r>
          <w:fldChar w:fldCharType="begin"/>
        </w:r>
        <w:r>
          <w:instrText xml:space="preserve"> PAGE   \* MERGEFORMAT </w:instrText>
        </w:r>
        <w:r>
          <w:fldChar w:fldCharType="separate"/>
        </w:r>
        <w:r>
          <w:rPr>
            <w:lang w:val="zh-CN"/>
          </w:rPr>
          <w:t xml:space="preserve">73</w:t>
        </w:r>
        <w:r>
          <w:rPr>
            <w:lang w:val="zh-CN"/>
          </w:rPr>
          <w:fldChar w:fldCharType="end"/>
        </w:r>
        <w:r/>
      </w:p>
    </w:sdtContent>
  </w:sdt>
  <w:p>
    <w:pPr>
      <w:pStyle w:val="6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nothing"/>
      <w:lvlText w:val="（%1）"/>
      <w:lvlJc w:val="left"/>
      <w:pPr>
        <w:ind w:left="1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link w:val="887"/>
    <w:uiPriority w:val="0"/>
    <w:qFormat/>
    <w:pPr>
      <w:jc w:val="both"/>
      <w:widowControl w:val="off"/>
    </w:pPr>
    <w:rPr>
      <w:rFonts w:hint="default" w:asciiTheme="minorHAnsi" w:hAnsiTheme="minorHAnsi" w:eastAsiaTheme="minorEastAsia" w:cstheme="minorBidi"/>
      <w:sz w:val="21"/>
      <w:szCs w:val="22"/>
    </w:rPr>
  </w:style>
  <w:style w:type="paragraph" w:styleId="649">
    <w:name w:val="Heading 1"/>
    <w:basedOn w:val="648"/>
    <w:next w:val="648"/>
    <w:link w:val="855"/>
    <w:uiPriority w:val="9"/>
    <w:qFormat/>
    <w:pPr>
      <w:keepLines/>
      <w:keepNext/>
      <w:spacing w:before="340" w:after="330" w:line="578" w:lineRule="auto"/>
      <w:outlineLvl w:val="0"/>
    </w:pPr>
    <w:rPr>
      <w:b/>
      <w:bCs/>
      <w:sz w:val="44"/>
      <w:szCs w:val="44"/>
    </w:rPr>
  </w:style>
  <w:style w:type="paragraph" w:styleId="650">
    <w:name w:val="Heading 2"/>
    <w:basedOn w:val="648"/>
    <w:next w:val="648"/>
    <w:link w:val="85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1">
    <w:name w:val="Heading 3"/>
    <w:basedOn w:val="648"/>
    <w:next w:val="648"/>
    <w:link w:val="858"/>
    <w:uiPriority w:val="9"/>
    <w:unhideWhenUsed/>
    <w:qFormat/>
    <w:pPr>
      <w:keepLines/>
      <w:keepNext/>
      <w:spacing w:before="260" w:after="260" w:line="416" w:lineRule="auto"/>
      <w:outlineLvl w:val="2"/>
    </w:pPr>
    <w:rPr>
      <w:b/>
      <w:bCs/>
      <w:sz w:val="32"/>
      <w:szCs w:val="32"/>
    </w:rPr>
  </w:style>
  <w:style w:type="paragraph" w:styleId="652">
    <w:name w:val="Heading 4"/>
    <w:basedOn w:val="648"/>
    <w:next w:val="648"/>
    <w:link w:val="708"/>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link w:val="709"/>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710"/>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712"/>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713"/>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toc 7"/>
    <w:basedOn w:val="648"/>
    <w:next w:val="648"/>
    <w:uiPriority w:val="39"/>
    <w:unhideWhenUsed/>
    <w:qFormat/>
    <w:pPr>
      <w:ind w:left="1701" w:right="0" w:firstLine="0"/>
      <w:spacing w:after="57"/>
    </w:pPr>
  </w:style>
  <w:style w:type="paragraph" w:styleId="661">
    <w:name w:val="Normal Indent"/>
    <w:basedOn w:val="648"/>
    <w:uiPriority w:val="0"/>
    <w:qFormat/>
    <w:pPr>
      <w:ind w:firstLine="420"/>
    </w:pPr>
    <w:rPr>
      <w:b/>
      <w:sz w:val="24"/>
      <w:szCs w:val="20"/>
    </w:rPr>
  </w:style>
  <w:style w:type="paragraph" w:styleId="662">
    <w:name w:val="Caption"/>
    <w:basedOn w:val="648"/>
    <w:next w:val="6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3">
    <w:name w:val="Document Map"/>
    <w:basedOn w:val="648"/>
    <w:link w:val="856"/>
    <w:uiPriority w:val="99"/>
    <w:semiHidden/>
    <w:unhideWhenUsed/>
    <w:qFormat/>
    <w:rPr>
      <w:rFonts w:ascii="宋体" w:eastAsia="宋体"/>
      <w:sz w:val="18"/>
      <w:szCs w:val="18"/>
    </w:rPr>
  </w:style>
  <w:style w:type="paragraph" w:styleId="664">
    <w:name w:val="annotation text"/>
    <w:basedOn w:val="648"/>
    <w:link w:val="860"/>
    <w:uiPriority w:val="0"/>
    <w:qFormat/>
    <w:pPr>
      <w:ind w:firstLine="420"/>
      <w:jc w:val="left"/>
      <w:spacing w:line="360" w:lineRule="auto"/>
    </w:pPr>
    <w:rPr>
      <w:rFonts w:ascii="Times New Roman" w:hAnsi="Times New Roman" w:eastAsia="宋体" w:cs="Times New Roman"/>
      <w:color w:val="ff0000"/>
      <w:szCs w:val="24"/>
    </w:rPr>
  </w:style>
  <w:style w:type="paragraph" w:styleId="665">
    <w:name w:val="Body Text"/>
    <w:basedOn w:val="648"/>
    <w:link w:val="868"/>
    <w:uiPriority w:val="0"/>
    <w:unhideWhenUsed/>
    <w:qFormat/>
    <w:pPr>
      <w:spacing w:after="120"/>
    </w:pPr>
    <w:rPr>
      <w:rFonts w:ascii="Calibri" w:hAnsi="Calibri" w:eastAsia="宋体" w:cs="Times New Roman"/>
    </w:rPr>
  </w:style>
  <w:style w:type="paragraph" w:styleId="666">
    <w:name w:val="Body Text Indent"/>
    <w:basedOn w:val="648"/>
    <w:next w:val="648"/>
    <w:link w:val="869"/>
    <w:uiPriority w:val="0"/>
    <w:qFormat/>
    <w:pPr>
      <w:ind w:left="420"/>
      <w:spacing w:after="120"/>
    </w:pPr>
    <w:rPr>
      <w:rFonts w:ascii="Times New Roman" w:hAnsi="Times New Roman" w:eastAsia="宋体" w:cs="Times New Roman"/>
      <w:szCs w:val="24"/>
    </w:rPr>
  </w:style>
  <w:style w:type="paragraph" w:styleId="667">
    <w:name w:val="toc 5"/>
    <w:basedOn w:val="648"/>
    <w:next w:val="648"/>
    <w:uiPriority w:val="39"/>
    <w:unhideWhenUsed/>
    <w:qFormat/>
    <w:pPr>
      <w:ind w:left="1134" w:right="0" w:firstLine="0"/>
      <w:spacing w:after="57"/>
    </w:pPr>
  </w:style>
  <w:style w:type="paragraph" w:styleId="668">
    <w:name w:val="toc 3"/>
    <w:basedOn w:val="648"/>
    <w:next w:val="648"/>
    <w:uiPriority w:val="39"/>
    <w:unhideWhenUsed/>
    <w:qFormat/>
    <w:pPr>
      <w:ind w:left="567" w:right="0" w:firstLine="0"/>
      <w:spacing w:after="57"/>
    </w:pPr>
  </w:style>
  <w:style w:type="paragraph" w:styleId="669">
    <w:name w:val="Plain Text"/>
    <w:basedOn w:val="648"/>
    <w:link w:val="870"/>
    <w:uiPriority w:val="0"/>
    <w:qFormat/>
    <w:rPr>
      <w:rFonts w:ascii="宋体" w:hAnsi="Courier New" w:eastAsia="宋体" w:cs="Courier New"/>
      <w:szCs w:val="21"/>
    </w:rPr>
  </w:style>
  <w:style w:type="paragraph" w:styleId="670">
    <w:name w:val="toc 8"/>
    <w:basedOn w:val="648"/>
    <w:next w:val="648"/>
    <w:uiPriority w:val="39"/>
    <w:unhideWhenUsed/>
    <w:qFormat/>
    <w:pPr>
      <w:ind w:left="1984" w:right="0" w:firstLine="0"/>
      <w:spacing w:after="57"/>
    </w:pPr>
  </w:style>
  <w:style w:type="paragraph" w:styleId="671">
    <w:name w:val="Date"/>
    <w:basedOn w:val="648"/>
    <w:next w:val="648"/>
    <w:link w:val="859"/>
    <w:uiPriority w:val="99"/>
    <w:semiHidden/>
    <w:unhideWhenUsed/>
    <w:qFormat/>
    <w:pPr>
      <w:ind w:left="100"/>
    </w:pPr>
  </w:style>
  <w:style w:type="paragraph" w:styleId="672">
    <w:name w:val="endnote text"/>
    <w:basedOn w:val="648"/>
    <w:link w:val="851"/>
    <w:uiPriority w:val="99"/>
    <w:semiHidden/>
    <w:unhideWhenUsed/>
    <w:qFormat/>
    <w:pPr>
      <w:spacing w:after="0" w:line="240" w:lineRule="auto"/>
    </w:pPr>
    <w:rPr>
      <w:sz w:val="20"/>
    </w:rPr>
  </w:style>
  <w:style w:type="paragraph" w:styleId="673">
    <w:name w:val="Balloon Text"/>
    <w:basedOn w:val="648"/>
    <w:link w:val="861"/>
    <w:uiPriority w:val="99"/>
    <w:semiHidden/>
    <w:unhideWhenUsed/>
    <w:qFormat/>
    <w:rPr>
      <w:sz w:val="18"/>
      <w:szCs w:val="18"/>
    </w:rPr>
  </w:style>
  <w:style w:type="paragraph" w:styleId="674">
    <w:name w:val="Footer"/>
    <w:basedOn w:val="648"/>
    <w:link w:val="854"/>
    <w:uiPriority w:val="99"/>
    <w:unhideWhenUsed/>
    <w:qFormat/>
    <w:pPr>
      <w:jc w:val="left"/>
      <w:tabs>
        <w:tab w:val="center" w:pos="4153" w:leader="none"/>
        <w:tab w:val="right" w:pos="8306" w:leader="none"/>
      </w:tabs>
    </w:pPr>
    <w:rPr>
      <w:sz w:val="18"/>
      <w:szCs w:val="18"/>
    </w:rPr>
  </w:style>
  <w:style w:type="paragraph" w:styleId="675">
    <w:name w:val="Header"/>
    <w:basedOn w:val="648"/>
    <w:link w:val="85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6">
    <w:name w:val="toc 1"/>
    <w:basedOn w:val="648"/>
    <w:next w:val="648"/>
    <w:uiPriority w:val="39"/>
    <w:unhideWhenUsed/>
    <w:qFormat/>
  </w:style>
  <w:style w:type="paragraph" w:styleId="677">
    <w:name w:val="toc 4"/>
    <w:basedOn w:val="648"/>
    <w:next w:val="648"/>
    <w:uiPriority w:val="39"/>
    <w:unhideWhenUsed/>
    <w:qFormat/>
    <w:pPr>
      <w:ind w:left="850" w:right="0" w:firstLine="0"/>
      <w:spacing w:after="57"/>
    </w:pPr>
  </w:style>
  <w:style w:type="paragraph" w:styleId="678">
    <w:name w:val="Subtitle"/>
    <w:basedOn w:val="648"/>
    <w:next w:val="648"/>
    <w:link w:val="717"/>
    <w:uiPriority w:val="11"/>
    <w:qFormat/>
    <w:pPr>
      <w:spacing w:before="200" w:after="200"/>
    </w:pPr>
    <w:rPr>
      <w:sz w:val="24"/>
      <w:szCs w:val="24"/>
    </w:rPr>
  </w:style>
  <w:style w:type="paragraph" w:styleId="679">
    <w:name w:val="footnote text"/>
    <w:basedOn w:val="648"/>
    <w:link w:val="850"/>
    <w:uiPriority w:val="99"/>
    <w:semiHidden/>
    <w:unhideWhenUsed/>
    <w:qFormat/>
    <w:pPr>
      <w:spacing w:after="40" w:line="240" w:lineRule="auto"/>
    </w:pPr>
    <w:rPr>
      <w:sz w:val="18"/>
    </w:rPr>
  </w:style>
  <w:style w:type="paragraph" w:styleId="680">
    <w:name w:val="toc 6"/>
    <w:basedOn w:val="648"/>
    <w:next w:val="648"/>
    <w:uiPriority w:val="39"/>
    <w:unhideWhenUsed/>
    <w:qFormat/>
    <w:pPr>
      <w:ind w:left="1417" w:right="0" w:firstLine="0"/>
      <w:spacing w:after="57"/>
    </w:pPr>
  </w:style>
  <w:style w:type="paragraph" w:styleId="681">
    <w:name w:val="table of figures"/>
    <w:basedOn w:val="648"/>
    <w:next w:val="648"/>
    <w:uiPriority w:val="99"/>
    <w:unhideWhenUsed/>
    <w:qFormat/>
    <w:pPr>
      <w:spacing w:after="0" w:afterAutospacing="0"/>
    </w:pPr>
  </w:style>
  <w:style w:type="paragraph" w:styleId="682">
    <w:name w:val="toc 2"/>
    <w:basedOn w:val="648"/>
    <w:next w:val="648"/>
    <w:uiPriority w:val="39"/>
    <w:unhideWhenUsed/>
    <w:qFormat/>
    <w:pPr>
      <w:ind w:left="283" w:right="0" w:firstLine="0"/>
      <w:spacing w:after="57"/>
    </w:pPr>
  </w:style>
  <w:style w:type="paragraph" w:styleId="683">
    <w:name w:val="toc 9"/>
    <w:basedOn w:val="648"/>
    <w:next w:val="648"/>
    <w:uiPriority w:val="39"/>
    <w:unhideWhenUsed/>
    <w:qFormat/>
    <w:pPr>
      <w:ind w:left="2268" w:right="0" w:firstLine="0"/>
      <w:spacing w:after="57"/>
    </w:pPr>
  </w:style>
  <w:style w:type="paragraph" w:styleId="684">
    <w:name w:val="List Continue 2"/>
    <w:basedOn w:val="648"/>
    <w:next w:val="648"/>
    <w:uiPriority w:val="0"/>
    <w:qFormat/>
    <w:pPr>
      <w:ind w:left="840"/>
      <w:spacing w:after="120"/>
    </w:pPr>
  </w:style>
  <w:style w:type="paragraph" w:styleId="685">
    <w:name w:val="Normal (Web)"/>
    <w:basedOn w:val="648"/>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686">
    <w:name w:val="Title"/>
    <w:basedOn w:val="648"/>
    <w:next w:val="648"/>
    <w:link w:val="716"/>
    <w:uiPriority w:val="10"/>
    <w:qFormat/>
    <w:pPr>
      <w:contextualSpacing/>
      <w:spacing w:before="300" w:after="200"/>
    </w:pPr>
    <w:rPr>
      <w:sz w:val="48"/>
      <w:szCs w:val="48"/>
    </w:rPr>
  </w:style>
  <w:style w:type="paragraph" w:styleId="687">
    <w:name w:val="annotation subject"/>
    <w:basedOn w:val="664"/>
    <w:next w:val="664"/>
    <w:link w:val="866"/>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688">
    <w:name w:val="Body Text First Indent 2"/>
    <w:basedOn w:val="666"/>
    <w:uiPriority w:val="0"/>
    <w:qFormat/>
    <w:pPr>
      <w:ind w:left="0" w:firstLine="420"/>
      <w:spacing w:after="0" w:line="360" w:lineRule="auto"/>
    </w:pPr>
    <w:rPr>
      <w:rFonts w:ascii="宋体" w:hAnsi="宋体" w:eastAsia="宋体" w:cs="Times New Roman"/>
      <w:szCs w:val="20"/>
    </w:rPr>
  </w:style>
  <w:style w:type="table" w:styleId="689">
    <w:name w:val="Table Grid"/>
    <w:basedOn w:val="6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0">
    <w:name w:val="endnote reference"/>
    <w:basedOn w:val="658"/>
    <w:uiPriority w:val="99"/>
    <w:semiHidden/>
    <w:unhideWhenUsed/>
    <w:qFormat/>
    <w:rPr>
      <w:vertAlign w:val="superscript"/>
    </w:rPr>
  </w:style>
  <w:style w:type="character" w:styleId="691">
    <w:name w:val="FollowedHyperlink"/>
    <w:basedOn w:val="658"/>
    <w:uiPriority w:val="99"/>
    <w:semiHidden/>
    <w:unhideWhenUsed/>
    <w:qFormat/>
    <w:rPr>
      <w:color w:val="800080"/>
      <w:u w:val="none"/>
    </w:rPr>
  </w:style>
  <w:style w:type="character" w:styleId="692">
    <w:name w:val="HTML Definition"/>
    <w:basedOn w:val="658"/>
    <w:uiPriority w:val="99"/>
    <w:semiHidden/>
    <w:unhideWhenUsed/>
    <w:qFormat/>
  </w:style>
  <w:style w:type="character" w:styleId="693">
    <w:name w:val="HTML Typewriter"/>
    <w:basedOn w:val="658"/>
    <w:uiPriority w:val="99"/>
    <w:semiHidden/>
    <w:unhideWhenUsed/>
    <w:qFormat/>
    <w:rPr>
      <w:rFonts w:hint="default" w:ascii="monospace" w:hAnsi="monospace" w:eastAsia="monospace" w:cs="monospace"/>
      <w:sz w:val="20"/>
    </w:rPr>
  </w:style>
  <w:style w:type="character" w:styleId="694">
    <w:name w:val="HTML Acronym"/>
    <w:basedOn w:val="658"/>
    <w:uiPriority w:val="99"/>
    <w:semiHidden/>
    <w:unhideWhenUsed/>
    <w:qFormat/>
  </w:style>
  <w:style w:type="character" w:styleId="695">
    <w:name w:val="HTML Variable"/>
    <w:basedOn w:val="658"/>
    <w:uiPriority w:val="99"/>
    <w:semiHidden/>
    <w:unhideWhenUsed/>
    <w:qFormat/>
  </w:style>
  <w:style w:type="character" w:styleId="696">
    <w:name w:val="Hyperlink"/>
    <w:uiPriority w:val="99"/>
    <w:qFormat/>
    <w:rPr>
      <w:color w:val="0000ff"/>
      <w:u w:val="none"/>
    </w:rPr>
  </w:style>
  <w:style w:type="character" w:styleId="697">
    <w:name w:val="HTML Code"/>
    <w:basedOn w:val="658"/>
    <w:uiPriority w:val="99"/>
    <w:semiHidden/>
    <w:unhideWhenUsed/>
    <w:qFormat/>
    <w:rPr>
      <w:rFonts w:hint="default" w:ascii="monospace" w:hAnsi="monospace" w:eastAsia="monospace" w:cs="monospace"/>
      <w:sz w:val="20"/>
    </w:rPr>
  </w:style>
  <w:style w:type="character" w:styleId="698">
    <w:name w:val="annotation reference"/>
    <w:uiPriority w:val="0"/>
    <w:qFormat/>
    <w:rPr>
      <w:sz w:val="21"/>
      <w:szCs w:val="21"/>
    </w:rPr>
  </w:style>
  <w:style w:type="character" w:styleId="699">
    <w:name w:val="HTML Cite"/>
    <w:basedOn w:val="658"/>
    <w:uiPriority w:val="99"/>
    <w:semiHidden/>
    <w:unhideWhenUsed/>
    <w:qFormat/>
  </w:style>
  <w:style w:type="character" w:styleId="700">
    <w:name w:val="footnote reference"/>
    <w:basedOn w:val="658"/>
    <w:uiPriority w:val="99"/>
    <w:unhideWhenUsed/>
    <w:qFormat/>
    <w:rPr>
      <w:vertAlign w:val="superscript"/>
    </w:rPr>
  </w:style>
  <w:style w:type="character" w:styleId="701">
    <w:name w:val="HTML Keyboard"/>
    <w:basedOn w:val="658"/>
    <w:uiPriority w:val="99"/>
    <w:semiHidden/>
    <w:unhideWhenUsed/>
    <w:qFormat/>
    <w:rPr>
      <w:rFonts w:hint="default" w:ascii="monospace" w:hAnsi="monospace" w:eastAsia="monospace" w:cs="monospace"/>
      <w:sz w:val="20"/>
    </w:rPr>
  </w:style>
  <w:style w:type="character" w:styleId="702">
    <w:name w:val="HTML Sample"/>
    <w:basedOn w:val="658"/>
    <w:uiPriority w:val="99"/>
    <w:semiHidden/>
    <w:unhideWhenUsed/>
    <w:qFormat/>
    <w:rPr>
      <w:rFonts w:ascii="monospace" w:hAnsi="monospace" w:eastAsia="monospace" w:cs="monospace"/>
    </w:rPr>
  </w:style>
  <w:style w:type="paragraph" w:styleId="703" w:customStyle="1">
    <w:name w:val="Default"/>
    <w:link w:val="867"/>
    <w:uiPriority w:val="99"/>
    <w:qFormat/>
    <w:pPr>
      <w:widowControl w:val="off"/>
    </w:pPr>
    <w:rPr>
      <w:rFonts w:hint="default" w:ascii="MS Mincho" w:hAnsi="Calibri" w:eastAsia="宋体" w:cs="Times New Roman"/>
      <w:color w:val="000000"/>
      <w:sz w:val="21"/>
      <w:szCs w:val="24"/>
    </w:rPr>
  </w:style>
  <w:style w:type="paragraph" w:styleId="704" w:customStyle="1">
    <w:name w:val="段"/>
    <w:next w:val="648"/>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705" w:customStyle="1">
    <w:name w:val="Heading 1 Char"/>
    <w:basedOn w:val="658"/>
    <w:uiPriority w:val="9"/>
    <w:qFormat/>
    <w:rPr>
      <w:rFonts w:ascii="Arial" w:hAnsi="Arial" w:eastAsia="Arial" w:cs="Arial"/>
      <w:sz w:val="40"/>
      <w:szCs w:val="40"/>
    </w:rPr>
  </w:style>
  <w:style w:type="character" w:styleId="706" w:customStyle="1">
    <w:name w:val="Heading 2 Char"/>
    <w:basedOn w:val="658"/>
    <w:uiPriority w:val="9"/>
    <w:qFormat/>
    <w:rPr>
      <w:rFonts w:ascii="Arial" w:hAnsi="Arial" w:eastAsia="Arial" w:cs="Arial"/>
      <w:sz w:val="34"/>
    </w:rPr>
  </w:style>
  <w:style w:type="character" w:styleId="707" w:customStyle="1">
    <w:name w:val="Heading 3 Char"/>
    <w:basedOn w:val="658"/>
    <w:uiPriority w:val="9"/>
    <w:qFormat/>
    <w:rPr>
      <w:rFonts w:ascii="Arial" w:hAnsi="Arial" w:eastAsia="Arial" w:cs="Arial"/>
      <w:sz w:val="30"/>
      <w:szCs w:val="30"/>
    </w:rPr>
  </w:style>
  <w:style w:type="character" w:styleId="708" w:customStyle="1">
    <w:name w:val="Heading 4 Char"/>
    <w:basedOn w:val="658"/>
    <w:link w:val="652"/>
    <w:uiPriority w:val="9"/>
    <w:qFormat/>
    <w:rPr>
      <w:rFonts w:ascii="Arial" w:hAnsi="Arial" w:eastAsia="Arial" w:cs="Arial"/>
      <w:b/>
      <w:bCs/>
      <w:sz w:val="26"/>
      <w:szCs w:val="26"/>
    </w:rPr>
  </w:style>
  <w:style w:type="character" w:styleId="709" w:customStyle="1">
    <w:name w:val="Heading 5 Char"/>
    <w:basedOn w:val="658"/>
    <w:link w:val="653"/>
    <w:uiPriority w:val="9"/>
    <w:qFormat/>
    <w:rPr>
      <w:rFonts w:ascii="Arial" w:hAnsi="Arial" w:eastAsia="Arial" w:cs="Arial"/>
      <w:b/>
      <w:bCs/>
      <w:sz w:val="24"/>
      <w:szCs w:val="24"/>
    </w:rPr>
  </w:style>
  <w:style w:type="character" w:styleId="710" w:customStyle="1">
    <w:name w:val="Heading 6 Char"/>
    <w:basedOn w:val="658"/>
    <w:link w:val="654"/>
    <w:uiPriority w:val="9"/>
    <w:qFormat/>
    <w:rPr>
      <w:rFonts w:ascii="Arial" w:hAnsi="Arial" w:eastAsia="Arial" w:cs="Arial"/>
      <w:b/>
      <w:bCs/>
      <w:sz w:val="22"/>
      <w:szCs w:val="22"/>
    </w:rPr>
  </w:style>
  <w:style w:type="character" w:styleId="711" w:customStyle="1">
    <w:name w:val="Heading 7 Char"/>
    <w:basedOn w:val="658"/>
    <w:link w:val="655"/>
    <w:uiPriority w:val="9"/>
    <w:qFormat/>
    <w:rPr>
      <w:rFonts w:ascii="Arial" w:hAnsi="Arial" w:eastAsia="Arial" w:cs="Arial"/>
      <w:b/>
      <w:bCs/>
      <w:i/>
      <w:iCs/>
      <w:sz w:val="22"/>
      <w:szCs w:val="22"/>
    </w:rPr>
  </w:style>
  <w:style w:type="character" w:styleId="712" w:customStyle="1">
    <w:name w:val="Heading 8 Char"/>
    <w:basedOn w:val="658"/>
    <w:link w:val="656"/>
    <w:uiPriority w:val="9"/>
    <w:qFormat/>
    <w:rPr>
      <w:rFonts w:ascii="Arial" w:hAnsi="Arial" w:eastAsia="Arial" w:cs="Arial"/>
      <w:i/>
      <w:iCs/>
      <w:sz w:val="22"/>
      <w:szCs w:val="22"/>
    </w:rPr>
  </w:style>
  <w:style w:type="character" w:styleId="713" w:customStyle="1">
    <w:name w:val="Heading 9 Char"/>
    <w:basedOn w:val="658"/>
    <w:link w:val="657"/>
    <w:uiPriority w:val="9"/>
    <w:qFormat/>
    <w:rPr>
      <w:rFonts w:ascii="Arial" w:hAnsi="Arial" w:eastAsia="Arial" w:cs="Arial"/>
      <w:i/>
      <w:iCs/>
      <w:sz w:val="21"/>
      <w:szCs w:val="21"/>
    </w:rPr>
  </w:style>
  <w:style w:type="paragraph" w:styleId="714">
    <w:name w:val="List Paragraph"/>
    <w:basedOn w:val="648"/>
    <w:uiPriority w:val="34"/>
    <w:qFormat/>
    <w:pPr>
      <w:contextualSpacing/>
      <w:ind w:left="720"/>
    </w:pPr>
  </w:style>
  <w:style w:type="paragraph" w:styleId="715">
    <w:name w:val="No Spacing"/>
    <w:uiPriority w:val="1"/>
    <w:qFormat/>
    <w:pPr>
      <w:spacing w:before="0" w:after="0" w:line="240" w:lineRule="auto"/>
    </w:pPr>
    <w:rPr>
      <w:rFonts w:hint="default" w:asciiTheme="minorHAnsi" w:hAnsiTheme="minorHAnsi" w:eastAsiaTheme="minorEastAsia" w:cstheme="minorBidi"/>
    </w:rPr>
  </w:style>
  <w:style w:type="character" w:styleId="716" w:customStyle="1">
    <w:name w:val="Title Char"/>
    <w:basedOn w:val="658"/>
    <w:link w:val="686"/>
    <w:uiPriority w:val="10"/>
    <w:qFormat/>
    <w:rPr>
      <w:sz w:val="48"/>
      <w:szCs w:val="48"/>
    </w:rPr>
  </w:style>
  <w:style w:type="character" w:styleId="717" w:customStyle="1">
    <w:name w:val="Subtitle Char"/>
    <w:basedOn w:val="658"/>
    <w:link w:val="678"/>
    <w:uiPriority w:val="11"/>
    <w:qFormat/>
    <w:rPr>
      <w:sz w:val="24"/>
      <w:szCs w:val="24"/>
    </w:rPr>
  </w:style>
  <w:style w:type="paragraph" w:styleId="718">
    <w:name w:val="Quote"/>
    <w:basedOn w:val="648"/>
    <w:next w:val="648"/>
    <w:link w:val="719"/>
    <w:uiPriority w:val="29"/>
    <w:qFormat/>
    <w:pPr>
      <w:ind w:left="720" w:right="720"/>
    </w:pPr>
    <w:rPr>
      <w:i/>
    </w:rPr>
  </w:style>
  <w:style w:type="character" w:styleId="719" w:customStyle="1">
    <w:name w:val="Quote Char"/>
    <w:link w:val="718"/>
    <w:uiPriority w:val="29"/>
    <w:qFormat/>
    <w:rPr>
      <w:i/>
    </w:rPr>
  </w:style>
  <w:style w:type="paragraph" w:styleId="720">
    <w:name w:val="Intense Quote"/>
    <w:basedOn w:val="648"/>
    <w:next w:val="648"/>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customStyle="1">
    <w:name w:val="Intense Quote Char"/>
    <w:link w:val="720"/>
    <w:uiPriority w:val="30"/>
    <w:qFormat/>
    <w:rPr>
      <w:i/>
    </w:rPr>
  </w:style>
  <w:style w:type="character" w:styleId="722" w:customStyle="1">
    <w:name w:val="Header Char"/>
    <w:basedOn w:val="658"/>
    <w:uiPriority w:val="99"/>
    <w:qFormat/>
  </w:style>
  <w:style w:type="character" w:styleId="723" w:customStyle="1">
    <w:name w:val="Footer Char"/>
    <w:basedOn w:val="658"/>
    <w:uiPriority w:val="99"/>
    <w:qFormat/>
  </w:style>
  <w:style w:type="character" w:styleId="724" w:customStyle="1">
    <w:name w:val="Caption Char"/>
    <w:uiPriority w:val="99"/>
    <w:qFormat/>
  </w:style>
  <w:style w:type="table" w:styleId="725" w:customStyle="1">
    <w:name w:val="Table Grid Light"/>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6" w:customStyle="1">
    <w:name w:val="Plain Table 1"/>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basedOn w:val="6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basedOn w:val="6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basedOn w:val="65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basedOn w:val="65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basedOn w:val="65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basedOn w:val="65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basedOn w:val="65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basedOn w:val="65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8" w:customStyle="1">
    <w:name w:val="Grid Table 2"/>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basedOn w:val="65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basedOn w:val="65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basedOn w:val="65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basedOn w:val="65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basedOn w:val="65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Grid Table 2 - Accent 6"/>
    <w:basedOn w:val="65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Grid Table 3"/>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basedOn w:val="65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basedOn w:val="65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basedOn w:val="65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basedOn w:val="65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basedOn w:val="65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basedOn w:val="65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basedOn w:val="6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basedOn w:val="65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4" w:customStyle="1">
    <w:name w:val="Grid Table 4 - Accent 2"/>
    <w:basedOn w:val="65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5" w:customStyle="1">
    <w:name w:val="Grid Table 4 - Accent 3"/>
    <w:basedOn w:val="65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6" w:customStyle="1">
    <w:name w:val="Grid Table 4 - Accent 4"/>
    <w:basedOn w:val="65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7" w:customStyle="1">
    <w:name w:val="Grid Table 4 - Accent 5"/>
    <w:basedOn w:val="65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8" w:customStyle="1">
    <w:name w:val="Grid Table 4 - Accent 6"/>
    <w:basedOn w:val="65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9" w:customStyle="1">
    <w:name w:val="Grid Table 5 Dark"/>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1" w:customStyle="1">
    <w:name w:val="Grid Table 5 Dark - Accent 2"/>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2" w:customStyle="1">
    <w:name w:val="Grid Table 5 Dark - Accent 3"/>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3" w:customStyle="1">
    <w:name w:val="Grid Table 5 Dark- Accent 4"/>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4" w:customStyle="1">
    <w:name w:val="Grid Table 5 Dark - Accent 5"/>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5" w:customStyle="1">
    <w:name w:val="Grid Table 5 Dark - Accent 6"/>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6" w:customStyle="1">
    <w:name w:val="Grid Table 6 Colorful"/>
    <w:basedOn w:val="6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6 Colorful - Accent 1"/>
    <w:basedOn w:val="65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8" w:customStyle="1">
    <w:name w:val="Grid Table 6 Colorful - Accent 2"/>
    <w:basedOn w:val="65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9" w:customStyle="1">
    <w:name w:val="Grid Table 6 Colorful - Accent 3"/>
    <w:basedOn w:val="65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0" w:customStyle="1">
    <w:name w:val="Grid Table 6 Colorful - Accent 4"/>
    <w:basedOn w:val="65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1" w:customStyle="1">
    <w:name w:val="Grid Table 6 Colorful - Accent 5"/>
    <w:basedOn w:val="65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6 Colorful - Accent 6"/>
    <w:basedOn w:val="65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7 Colorful"/>
    <w:basedOn w:val="6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basedOn w:val="65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basedOn w:val="65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basedOn w:val="65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basedOn w:val="65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basedOn w:val="65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basedOn w:val="65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0" w:customStyle="1">
    <w:name w:val="List Table 1 Light"/>
    <w:basedOn w:val="6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basedOn w:val="65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2" w:customStyle="1">
    <w:name w:val="List Table 1 Light - Accent 2"/>
    <w:basedOn w:val="65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3" w:customStyle="1">
    <w:name w:val="List Table 1 Light - Accent 3"/>
    <w:basedOn w:val="65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4" w:customStyle="1">
    <w:name w:val="List Table 1 Light - Accent 4"/>
    <w:basedOn w:val="65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5" w:customStyle="1">
    <w:name w:val="List Table 1 Light - Accent 5"/>
    <w:basedOn w:val="65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List Table 1 Light - Accent 6"/>
    <w:basedOn w:val="65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List Table 2"/>
    <w:basedOn w:val="6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basedOn w:val="65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9" w:customStyle="1">
    <w:name w:val="List Table 2 - Accent 2"/>
    <w:basedOn w:val="65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0" w:customStyle="1">
    <w:name w:val="List Table 2 - Accent 3"/>
    <w:basedOn w:val="65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1" w:customStyle="1">
    <w:name w:val="List Table 2 - Accent 4"/>
    <w:basedOn w:val="65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2" w:customStyle="1">
    <w:name w:val="List Table 2 - Accent 5"/>
    <w:basedOn w:val="65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3" w:customStyle="1">
    <w:name w:val="List Table 2 - Accent 6"/>
    <w:basedOn w:val="65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4" w:customStyle="1">
    <w:name w:val="List Table 3"/>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basedOn w:val="65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3 - Accent 2"/>
    <w:basedOn w:val="65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7" w:customStyle="1">
    <w:name w:val="List Table 3 - Accent 3"/>
    <w:basedOn w:val="65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8" w:customStyle="1">
    <w:name w:val="List Table 3 - Accent 4"/>
    <w:basedOn w:val="65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9" w:customStyle="1">
    <w:name w:val="List Table 3 - Accent 5"/>
    <w:basedOn w:val="65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0" w:customStyle="1">
    <w:name w:val="List Table 3 - Accent 6"/>
    <w:basedOn w:val="65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1" w:customStyle="1">
    <w:name w:val="List Table 4"/>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basedOn w:val="65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4 - Accent 2"/>
    <w:basedOn w:val="65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4" w:customStyle="1">
    <w:name w:val="List Table 4 - Accent 3"/>
    <w:basedOn w:val="65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5" w:customStyle="1">
    <w:name w:val="List Table 4 - Accent 4"/>
    <w:basedOn w:val="65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6" w:customStyle="1">
    <w:name w:val="List Table 4 - Accent 5"/>
    <w:basedOn w:val="65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7" w:customStyle="1">
    <w:name w:val="List Table 4 - Accent 6"/>
    <w:basedOn w:val="65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8" w:customStyle="1">
    <w:name w:val="List Table 5 Dark"/>
    <w:basedOn w:val="6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1"/>
    <w:basedOn w:val="65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2"/>
    <w:basedOn w:val="65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3"/>
    <w:basedOn w:val="65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4"/>
    <w:basedOn w:val="65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5"/>
    <w:basedOn w:val="65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6"/>
    <w:basedOn w:val="65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basedOn w:val="6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6 Colorful - Accent 1"/>
    <w:basedOn w:val="65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7" w:customStyle="1">
    <w:name w:val="List Table 6 Colorful - Accent 2"/>
    <w:basedOn w:val="65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8" w:customStyle="1">
    <w:name w:val="List Table 6 Colorful - Accent 3"/>
    <w:basedOn w:val="65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9" w:customStyle="1">
    <w:name w:val="List Table 6 Colorful - Accent 4"/>
    <w:basedOn w:val="65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0" w:customStyle="1">
    <w:name w:val="List Table 6 Colorful - Accent 5"/>
    <w:basedOn w:val="65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1" w:customStyle="1">
    <w:name w:val="List Table 6 Colorful - Accent 6"/>
    <w:basedOn w:val="65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2" w:customStyle="1">
    <w:name w:val="List Table 7 Colorful"/>
    <w:basedOn w:val="6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basedOn w:val="65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basedOn w:val="65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basedOn w:val="65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basedOn w:val="65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basedOn w:val="65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basedOn w:val="65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9" w:customStyle="1">
    <w:name w:val="Lined - Accent"/>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Lined - Accent 2"/>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Lined - Accent 3"/>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Lined - Accent 4"/>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Lined - Accent 5"/>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Lined - Accent 6"/>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amp; Lined - Accent"/>
    <w:basedOn w:val="6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basedOn w:val="65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Bordered &amp; Lined - Accent 2"/>
    <w:basedOn w:val="65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Bordered &amp; Lined - Accent 3"/>
    <w:basedOn w:val="65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Bordered &amp; Lined - Accent 4"/>
    <w:basedOn w:val="65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Bordered &amp; Lined - Accent 5"/>
    <w:basedOn w:val="65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Bordered &amp; Lined - Accent 6"/>
    <w:basedOn w:val="65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w:basedOn w:val="6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basedOn w:val="65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5" w:customStyle="1">
    <w:name w:val="Bordered - Accent 2"/>
    <w:basedOn w:val="65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6" w:customStyle="1">
    <w:name w:val="Bordered - Accent 3"/>
    <w:basedOn w:val="65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7" w:customStyle="1">
    <w:name w:val="Bordered - Accent 4"/>
    <w:basedOn w:val="65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8" w:customStyle="1">
    <w:name w:val="Bordered - Accent 5"/>
    <w:basedOn w:val="65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9" w:customStyle="1">
    <w:name w:val="Bordered - Accent 6"/>
    <w:basedOn w:val="65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0" w:customStyle="1">
    <w:name w:val="Footnote Text Char"/>
    <w:link w:val="679"/>
    <w:uiPriority w:val="99"/>
    <w:qFormat/>
    <w:rPr>
      <w:sz w:val="18"/>
    </w:rPr>
  </w:style>
  <w:style w:type="character" w:styleId="851" w:customStyle="1">
    <w:name w:val="Endnote Text Char"/>
    <w:link w:val="672"/>
    <w:uiPriority w:val="99"/>
    <w:qFormat/>
    <w:rPr>
      <w:sz w:val="20"/>
    </w:rPr>
  </w:style>
  <w:style w:type="paragraph" w:styleId="852" w:customStyle="1">
    <w:name w:val="TOC Heading"/>
    <w:uiPriority w:val="39"/>
    <w:unhideWhenUsed/>
    <w:qFormat/>
    <w:rPr>
      <w:rFonts w:hint="default" w:asciiTheme="minorHAnsi" w:hAnsiTheme="minorHAnsi" w:eastAsiaTheme="minorEastAsia" w:cstheme="minorBidi"/>
    </w:rPr>
  </w:style>
  <w:style w:type="character" w:styleId="853" w:customStyle="1">
    <w:name w:val="页眉 字符"/>
    <w:basedOn w:val="658"/>
    <w:link w:val="675"/>
    <w:uiPriority w:val="99"/>
    <w:qFormat/>
    <w:rPr>
      <w:sz w:val="18"/>
      <w:szCs w:val="18"/>
    </w:rPr>
  </w:style>
  <w:style w:type="character" w:styleId="854" w:customStyle="1">
    <w:name w:val="页脚 字符"/>
    <w:basedOn w:val="658"/>
    <w:link w:val="674"/>
    <w:uiPriority w:val="99"/>
    <w:qFormat/>
    <w:rPr>
      <w:sz w:val="18"/>
      <w:szCs w:val="18"/>
    </w:rPr>
  </w:style>
  <w:style w:type="character" w:styleId="855" w:customStyle="1">
    <w:name w:val="标题 1 字符"/>
    <w:basedOn w:val="658"/>
    <w:link w:val="649"/>
    <w:uiPriority w:val="9"/>
    <w:qFormat/>
    <w:rPr>
      <w:b/>
      <w:bCs/>
      <w:sz w:val="44"/>
      <w:szCs w:val="44"/>
    </w:rPr>
  </w:style>
  <w:style w:type="character" w:styleId="856" w:customStyle="1">
    <w:name w:val="文档结构图 字符"/>
    <w:basedOn w:val="658"/>
    <w:link w:val="663"/>
    <w:uiPriority w:val="99"/>
    <w:semiHidden/>
    <w:qFormat/>
    <w:rPr>
      <w:rFonts w:ascii="宋体" w:eastAsia="宋体"/>
      <w:sz w:val="18"/>
      <w:szCs w:val="18"/>
    </w:rPr>
  </w:style>
  <w:style w:type="character" w:styleId="857" w:customStyle="1">
    <w:name w:val="标题 2 字符"/>
    <w:basedOn w:val="658"/>
    <w:link w:val="650"/>
    <w:uiPriority w:val="9"/>
    <w:qFormat/>
    <w:rPr>
      <w:rFonts w:asciiTheme="majorHAnsi" w:hAnsiTheme="majorHAnsi" w:eastAsiaTheme="majorEastAsia" w:cstheme="majorBidi"/>
      <w:b/>
      <w:bCs/>
      <w:sz w:val="32"/>
      <w:szCs w:val="32"/>
    </w:rPr>
  </w:style>
  <w:style w:type="character" w:styleId="858" w:customStyle="1">
    <w:name w:val="标题 3 字符"/>
    <w:basedOn w:val="658"/>
    <w:link w:val="651"/>
    <w:uiPriority w:val="9"/>
    <w:qFormat/>
    <w:rPr>
      <w:b/>
      <w:bCs/>
      <w:sz w:val="32"/>
      <w:szCs w:val="32"/>
    </w:rPr>
  </w:style>
  <w:style w:type="character" w:styleId="859" w:customStyle="1">
    <w:name w:val="日期 字符"/>
    <w:basedOn w:val="658"/>
    <w:link w:val="671"/>
    <w:uiPriority w:val="99"/>
    <w:semiHidden/>
    <w:qFormat/>
  </w:style>
  <w:style w:type="character" w:styleId="860" w:customStyle="1">
    <w:name w:val="批注文字 字符"/>
    <w:basedOn w:val="658"/>
    <w:link w:val="664"/>
    <w:uiPriority w:val="0"/>
    <w:qFormat/>
    <w:rPr>
      <w:rFonts w:ascii="Times New Roman" w:hAnsi="Times New Roman" w:eastAsia="宋体" w:cs="Times New Roman"/>
      <w:color w:val="ff0000"/>
      <w:sz w:val="21"/>
      <w:szCs w:val="24"/>
    </w:rPr>
  </w:style>
  <w:style w:type="character" w:styleId="861" w:customStyle="1">
    <w:name w:val="批注框文本 字符"/>
    <w:basedOn w:val="658"/>
    <w:link w:val="673"/>
    <w:uiPriority w:val="99"/>
    <w:semiHidden/>
    <w:qFormat/>
    <w:rPr>
      <w:sz w:val="18"/>
      <w:szCs w:val="18"/>
    </w:rPr>
  </w:style>
  <w:style w:type="paragraph" w:styleId="862" w:customStyle="1">
    <w:name w:val="Table Text"/>
    <w:basedOn w:val="648"/>
    <w:uiPriority w:val="0"/>
    <w:semiHidden/>
    <w:qFormat/>
    <w:rPr>
      <w:rFonts w:ascii="宋体" w:hAnsi="宋体" w:eastAsia="宋体" w:cs="宋体"/>
      <w:sz w:val="24"/>
      <w:szCs w:val="24"/>
      <w:lang w:eastAsia="en-US"/>
    </w:rPr>
  </w:style>
  <w:style w:type="character" w:styleId="863" w:customStyle="1">
    <w:name w:val="font31"/>
    <w:basedOn w:val="658"/>
    <w:uiPriority w:val="0"/>
    <w:qFormat/>
    <w:rPr>
      <w:rFonts w:hint="eastAsia" w:ascii="宋体" w:hAnsi="宋体" w:eastAsia="宋体" w:cs="宋体"/>
      <w:color w:val="000000"/>
      <w:sz w:val="18"/>
      <w:szCs w:val="18"/>
      <w:u w:val="none"/>
    </w:rPr>
  </w:style>
  <w:style w:type="character" w:styleId="864" w:customStyle="1">
    <w:name w:val="font41"/>
    <w:basedOn w:val="658"/>
    <w:uiPriority w:val="0"/>
    <w:qFormat/>
    <w:rPr>
      <w:rFonts w:ascii="Calibri" w:hAnsi="Calibri" w:cs="Calibri"/>
      <w:color w:val="000000"/>
      <w:sz w:val="18"/>
      <w:szCs w:val="18"/>
      <w:u w:val="none"/>
    </w:rPr>
  </w:style>
  <w:style w:type="character" w:styleId="865" w:customStyle="1">
    <w:name w:val="font11"/>
    <w:basedOn w:val="658"/>
    <w:uiPriority w:val="0"/>
    <w:qFormat/>
    <w:rPr>
      <w:rFonts w:hint="eastAsia" w:ascii="宋体" w:hAnsi="宋体" w:eastAsia="宋体" w:cs="宋体"/>
      <w:color w:val="000000"/>
      <w:sz w:val="18"/>
      <w:szCs w:val="18"/>
      <w:u w:val="none"/>
    </w:rPr>
  </w:style>
  <w:style w:type="character" w:styleId="866" w:customStyle="1">
    <w:name w:val="批注主题 字符"/>
    <w:basedOn w:val="860"/>
    <w:link w:val="687"/>
    <w:uiPriority w:val="99"/>
    <w:semiHidden/>
    <w:qFormat/>
    <w:rPr>
      <w:rFonts w:ascii="Times New Roman" w:hAnsi="Times New Roman" w:eastAsia="宋体" w:cs="Times New Roman"/>
      <w:b/>
      <w:bCs/>
      <w:color w:val="ff0000"/>
      <w:sz w:val="21"/>
      <w:szCs w:val="22"/>
    </w:rPr>
  </w:style>
  <w:style w:type="character" w:styleId="867" w:customStyle="1">
    <w:name w:val="Default Char"/>
    <w:link w:val="703"/>
    <w:uiPriority w:val="99"/>
    <w:qFormat/>
    <w:rPr>
      <w:rFonts w:ascii="MS Mincho" w:hAnsi="Calibri" w:eastAsia="宋体" w:cs="Times New Roman"/>
      <w:color w:val="000000"/>
      <w:sz w:val="21"/>
      <w:szCs w:val="24"/>
    </w:rPr>
  </w:style>
  <w:style w:type="character" w:styleId="868" w:customStyle="1">
    <w:name w:val="正文文本 字符"/>
    <w:basedOn w:val="658"/>
    <w:link w:val="665"/>
    <w:uiPriority w:val="0"/>
    <w:qFormat/>
    <w:rPr>
      <w:rFonts w:ascii="Calibri" w:hAnsi="Calibri" w:eastAsia="宋体" w:cs="Times New Roman"/>
      <w:sz w:val="21"/>
      <w:szCs w:val="22"/>
    </w:rPr>
  </w:style>
  <w:style w:type="character" w:styleId="869" w:customStyle="1">
    <w:name w:val="正文文本缩进 字符"/>
    <w:basedOn w:val="658"/>
    <w:link w:val="666"/>
    <w:uiPriority w:val="0"/>
    <w:qFormat/>
    <w:rPr>
      <w:rFonts w:ascii="Times New Roman" w:hAnsi="Times New Roman" w:eastAsia="宋体" w:cs="Times New Roman"/>
      <w:sz w:val="21"/>
      <w:szCs w:val="24"/>
    </w:rPr>
  </w:style>
  <w:style w:type="character" w:styleId="870" w:customStyle="1">
    <w:name w:val="纯文本 字符"/>
    <w:basedOn w:val="658"/>
    <w:link w:val="669"/>
    <w:uiPriority w:val="0"/>
    <w:qFormat/>
    <w:rPr>
      <w:rFonts w:ascii="宋体" w:hAnsi="Courier New" w:eastAsia="宋体" w:cs="Courier New"/>
      <w:sz w:val="21"/>
      <w:szCs w:val="21"/>
    </w:rPr>
  </w:style>
  <w:style w:type="paragraph" w:styleId="871"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872" w:customStyle="1">
    <w:name w:val="列出段落1"/>
    <w:basedOn w:val="648"/>
    <w:uiPriority w:val="0"/>
    <w:qFormat/>
    <w:pPr>
      <w:ind w:firstLine="420"/>
    </w:pPr>
    <w:rPr>
      <w:rFonts w:ascii="Times New Roman" w:hAnsi="Times New Roman" w:eastAsia="宋体" w:cs="Times New Roman"/>
      <w:szCs w:val="21"/>
    </w:rPr>
  </w:style>
  <w:style w:type="table" w:styleId="873" w:customStyle="1">
    <w:name w:val="网格型1"/>
    <w:basedOn w:val="874"/>
    <w:uiPriority w:val="59"/>
    <w:qFormat/>
    <w:tblPr/>
  </w:style>
  <w:style w:type="table" w:styleId="874" w:customStyle="1">
    <w:name w:val="普通表格1"/>
    <w:uiPriority w:val="99"/>
    <w:unhideWhenUsed/>
    <w:qFormat/>
    <w:tblPr/>
  </w:style>
  <w:style w:type="paragraph" w:styleId="875" w:customStyle="1">
    <w:name w:val="正文文本1"/>
    <w:basedOn w:val="648"/>
    <w:next w:val="648"/>
    <w:uiPriority w:val="0"/>
    <w:qFormat/>
    <w:rPr>
      <w:rFonts w:ascii="楷体_GB2312" w:hAnsi="Arial" w:eastAsia="楷体_GB2312" w:cs="Times New Roman"/>
      <w:sz w:val="28"/>
      <w:szCs w:val="28"/>
    </w:rPr>
  </w:style>
  <w:style w:type="paragraph" w:styleId="876" w:customStyle="1">
    <w:name w:val="普通正文"/>
    <w:basedOn w:val="648"/>
    <w:uiPriority w:val="0"/>
    <w:qFormat/>
    <w:pPr>
      <w:ind w:firstLine="480"/>
      <w:jc w:val="left"/>
      <w:spacing w:before="120" w:after="120" w:line="360" w:lineRule="auto"/>
    </w:pPr>
    <w:rPr>
      <w:rFonts w:ascii="Arial" w:hAnsi="Arial"/>
      <w:sz w:val="24"/>
      <w:szCs w:val="24"/>
    </w:rPr>
  </w:style>
  <w:style w:type="character" w:styleId="877" w:customStyle="1">
    <w:name w:val="hover"/>
    <w:basedOn w:val="658"/>
    <w:uiPriority w:val="0"/>
    <w:qFormat/>
    <w:rPr>
      <w:color w:val="5fb878"/>
    </w:rPr>
  </w:style>
  <w:style w:type="character" w:styleId="878" w:customStyle="1">
    <w:name w:val="hover1"/>
    <w:basedOn w:val="658"/>
    <w:uiPriority w:val="0"/>
    <w:qFormat/>
    <w:rPr>
      <w:color w:val="ffffff"/>
    </w:rPr>
  </w:style>
  <w:style w:type="character" w:styleId="879" w:customStyle="1">
    <w:name w:val="hover2"/>
    <w:basedOn w:val="658"/>
    <w:uiPriority w:val="0"/>
    <w:qFormat/>
    <w:rPr>
      <w:color w:val="5fb878"/>
    </w:rPr>
  </w:style>
  <w:style w:type="paragraph" w:styleId="880" w:customStyle="1">
    <w:name w:val="首行缩进"/>
    <w:basedOn w:val="648"/>
    <w:uiPriority w:val="0"/>
    <w:qFormat/>
    <w:pPr>
      <w:ind w:firstLine="480"/>
    </w:pPr>
    <w:rPr>
      <w:lang w:val="zh-CN"/>
    </w:rPr>
  </w:style>
  <w:style w:type="paragraph" w:styleId="881" w:customStyle="1">
    <w:name w:val="正文文字 6"/>
    <w:next w:val="648"/>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882" w:customStyle="1">
    <w:name w:val="标题 41"/>
    <w:next w:val="883"/>
    <w:uiPriority w:val="0"/>
    <w:qFormat/>
    <w:pPr>
      <w:jc w:val="both"/>
      <w:keepLines/>
      <w:keepNext/>
      <w:spacing w:before="280" w:after="290" w:line="376" w:lineRule="auto"/>
      <w:widowControl w:val="off"/>
      <w:outlineLvl w:val="3"/>
    </w:pPr>
    <w:rPr>
      <w:rFonts w:hint="default" w:ascii="Arial" w:hAnsi="Arial" w:eastAsia="黑体" w:cs="Arial"/>
      <w:b/>
      <w:bCs/>
      <w:sz w:val="28"/>
      <w:szCs w:val="28"/>
      <w:lang w:val="en-US" w:eastAsia="zh-CN" w:bidi="ar-SA"/>
    </w:rPr>
  </w:style>
  <w:style w:type="paragraph" w:styleId="883" w:customStyle="1">
    <w:name w:val="正文缩进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paragraph" w:styleId="884" w:customStyle="1">
    <w:name w:val="正文首行缩进 211"/>
    <w:uiPriority w:val="0"/>
    <w:qFormat/>
    <w:pPr>
      <w:ind w:left="420" w:firstLine="420"/>
      <w:jc w:val="both"/>
      <w:spacing w:after="120"/>
      <w:widowControl w:val="off"/>
      <w:tabs>
        <w:tab w:val="left" w:pos="525" w:leader="none"/>
        <w:tab w:val="left" w:pos="4320" w:leader="none"/>
      </w:tabs>
    </w:pPr>
    <w:rPr>
      <w:rFonts w:hint="default" w:ascii="Times New Roman" w:hAnsi="Times New Roman" w:eastAsia="宋体" w:cs="Times New Roman"/>
      <w:sz w:val="21"/>
      <w:szCs w:val="21"/>
      <w:lang w:val="en-US" w:eastAsia="zh-CN" w:bidi="ar-SA"/>
    </w:rPr>
  </w:style>
  <w:style w:type="paragraph" w:styleId="885" w:customStyle="1">
    <w:name w:val="正文文本缩进11"/>
    <w:next w:val="886"/>
    <w:uiPriority w:val="0"/>
    <w:qFormat/>
    <w:pPr>
      <w:ind w:left="420"/>
      <w:jc w:val="both"/>
      <w:spacing w:after="120"/>
      <w:widowControl w:val="off"/>
    </w:pPr>
    <w:rPr>
      <w:rFonts w:hint="default" w:ascii="Times New Roman" w:hAnsi="Times New Roman" w:eastAsia="宋体" w:cs="Times New Roman"/>
      <w:sz w:val="21"/>
      <w:szCs w:val="21"/>
      <w:lang w:val="en-US" w:eastAsia="zh-CN" w:bidi="ar-SA"/>
    </w:rPr>
  </w:style>
  <w:style w:type="paragraph" w:styleId="886" w:customStyle="1">
    <w:name w:val="寄信人地址1"/>
    <w:uiPriority w:val="99"/>
    <w:qFormat/>
    <w:pPr>
      <w:jc w:val="both"/>
      <w:widowControl w:val="off"/>
    </w:pPr>
    <w:rPr>
      <w:rFonts w:hint="default" w:ascii="Arial" w:hAnsi="Arial" w:eastAsia="宋体" w:cs="Arial"/>
      <w:sz w:val="21"/>
      <w:szCs w:val="21"/>
      <w:lang w:val="en-US" w:eastAsia="zh-CN" w:bidi="ar-SA"/>
    </w:rPr>
  </w:style>
  <w:style w:type="character" w:styleId="887" w:customStyle="1">
    <w:name w:val="NormalCharacter1"/>
    <w:link w:val="648"/>
    <w:uiPriority w:val="0"/>
    <w:semiHidden/>
    <w:qFormat/>
    <w:rPr>
      <w:rFonts w:hint="default" w:asciiTheme="minorHAnsi" w:hAnsiTheme="minorHAnsi" w:eastAsiaTheme="minorEastAsia" w:cstheme="minorBidi"/>
      <w:sz w:val="21"/>
      <w:szCs w:val="22"/>
    </w:rPr>
  </w:style>
  <w:style w:type="paragraph" w:styleId="888" w:customStyle="1">
    <w:name w:val="正文1"/>
    <w:uiPriority w:val="99"/>
    <w:qFormat/>
    <w:pPr>
      <w:jc w:val="both"/>
      <w:widowControl w:val="off"/>
    </w:pPr>
    <w:rPr>
      <w:rFonts w:hint="default" w:ascii="Calibri" w:hAnsi="Calibri" w:eastAsia="宋体" w:cs="Calibri"/>
      <w:lang w:val="en-US" w:eastAsia="zh-CN" w:bidi="ar-SA"/>
    </w:rPr>
  </w:style>
  <w:style w:type="character" w:styleId="889" w:customStyle="1">
    <w:name w:val="font91"/>
    <w:basedOn w:val="658"/>
    <w:uiPriority w:val="0"/>
    <w:qFormat/>
    <w:rPr>
      <w:rFonts w:hint="eastAsia" w:ascii="宋体" w:hAnsi="宋体" w:eastAsia="宋体" w:cs="宋体"/>
      <w:color w:val="ff0000"/>
      <w:sz w:val="18"/>
      <w:szCs w:val="18"/>
      <w:u w:val="none"/>
    </w:rPr>
  </w:style>
  <w:style w:type="character" w:styleId="890" w:customStyle="1">
    <w:name w:val="font81"/>
    <w:basedOn w:val="658"/>
    <w:uiPriority w:val="0"/>
    <w:qFormat/>
    <w:rPr>
      <w:rFonts w:hint="eastAsia" w:ascii="宋体" w:hAnsi="宋体" w:eastAsia="宋体" w:cs="宋体"/>
      <w:color w:val="ff0000"/>
      <w:sz w:val="18"/>
      <w:szCs w:val="18"/>
      <w:u w:val="none"/>
    </w:rPr>
  </w:style>
  <w:style w:type="numbering" w:styleId="183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邢欢</cp:lastModifiedBy>
  <cp:revision>7</cp:revision>
  <dcterms:created xsi:type="dcterms:W3CDTF">2024-05-21T01:33:00Z</dcterms:created>
  <dcterms:modified xsi:type="dcterms:W3CDTF">2026-04-27T01:29:30Z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391026AF7209486D8F0EA9A6B0D15D00_13</vt:lpwstr>
  </property>
  <property fmtid="{D5CDD505-2E9C-101B-9397-08002B2CF9AE}" pid="4" name="KSOTemplateDocerSaveRecord">
    <vt:lpwstr>eyJoZGlkIjoiZWQzMDE5ZGI2MmNiNjI4OGM2ZmUxOTFmYzk1MTAzNWYiLCJ1c2VySWQiOiIzODk3Njg1NzgifQ==</vt:lpwstr>
  </property>
</Properties>
</file>