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苏州市政府采购</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采购文件</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SimSun" w:hAnsi="SimSun" w:eastAsia="SimSun" w:cs="SimSun"/>
          <w:b/>
          <w:color w:val="000000"/>
          <w:sz w:val="30"/>
          <w:u w:val="single"/>
        </w:rPr>
        <w:t xml:space="preserve">JSZC-320506-ZHSZ-C2026-0002</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吴中太湖新城2026年拟上市地块控规调整</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苏州太湖新城吴中管理委员会</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中航招采科技（北京）有限公司</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项目类别：</w:t>
      </w:r>
      <w:r>
        <w:rPr>
          <w:rFonts w:ascii="SimSun" w:hAnsi="SimSun" w:eastAsia="SimSun" w:cs="SimSun"/>
          <w:b/>
          <w:color w:val="000000"/>
          <w:sz w:val="30"/>
          <w:u w:val="single"/>
        </w:rPr>
        <w:t xml:space="preserve">服务类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2026年4月</w:t>
      </w:r>
      <w:r/>
    </w:p>
    <w:p>
      <w:pPr>
        <w:ind w:left="0" w:right="0" w:firstLine="0"/>
        <w:jc w:val="center"/>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center"/>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8"/>
        <w:gridCol w:w="8083"/>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内容规定</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项目名称：吴中太湖新城2026年拟上市地块控规调整</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响应文件有效期为响应文件递交截止之日起九十天（日历日）</w:t>
            </w:r>
            <w:r/>
          </w:p>
        </w:tc>
      </w:tr>
      <w:tr>
        <w:trPr>
          <w:trHeight w:val="9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磋商保证金：根据《江苏省财政厅文件苏财购【2020】52号》相关规定，本项目无须支付保证金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本项目采用电子响应文件，供应商按照采购文件要求制作上传电子响应文件，供应商无需提供纸质响应文件。</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报名成功的供应商在下载采购文件后，对采购文件有疑问的，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质疑递交地址：江苏省苏州市姑苏区福运路198号常润大厦10楼1008室；电话：0512-69290321；联系人：孙鹏/蒲苗苗/徐亮。</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本项目不组织统一勘察</w:t>
            </w:r>
            <w:r/>
          </w:p>
        </w:tc>
      </w:tr>
      <w:tr>
        <w:trPr>
          <w:trHeight w:val="1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截止时间：2026年5月13日13:30</w:t>
            </w:r>
            <w:r>
              <w:rPr>
                <w:rFonts w:ascii="SimSun" w:hAnsi="SimSun" w:eastAsia="SimSun" w:cs="SimSun"/>
                <w:color w:val="000000"/>
                <w:sz w:val="21"/>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磋商时间：2026年5月13日13:30</w:t>
            </w:r>
            <w:r>
              <w:rPr>
                <w:rFonts w:ascii="SimSun" w:hAnsi="SimSun" w:eastAsia="SimSun" w:cs="SimSun"/>
                <w:color w:val="000000"/>
                <w:sz w:val="21"/>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预算金额500万元（含）-1000万元部分，费率为该部分预算金额的0.8%；</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预算金额1000万元（含）-5000万元部分，费率为该部分预算金额的0.5%；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代理服务费按￥26000.00计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汇款银行资料：</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收款人名称：中航技国际经贸发展有限公司江苏分公司</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开户行名称：中国银行苏州分行营业部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 行 帐号：462458644313</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确定出成交人后，招标代理机构在法定时间内向成交人发出成交通知书。成交通知书将成为合同的组成部分。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请成交人在成交结果公告届满之日起</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日内</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证书登录“苏采云”系统及时下载成交通知书。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88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一、磋商公告</w:t>
      </w:r>
      <w:r/>
    </w:p>
    <w:p>
      <w:pPr>
        <w:ind w:left="0" w:right="0" w:firstLine="88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二、磋商须知</w:t>
      </w:r>
      <w:r/>
    </w:p>
    <w:p>
      <w:pPr>
        <w:ind w:left="0" w:right="0" w:firstLine="88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三、采购内容</w:t>
      </w:r>
      <w:r/>
    </w:p>
    <w:p>
      <w:pPr>
        <w:ind w:left="0" w:right="0" w:firstLine="88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四、评审方法及评分标准</w:t>
      </w:r>
      <w:r/>
    </w:p>
    <w:p>
      <w:pPr>
        <w:ind w:left="0" w:right="0" w:firstLine="88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五、合同主要条款及格式</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六、磋商响应文件格式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第一章 磋商公告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吴中太湖新城2026年拟上市地块控规调整</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“苏采云”政府采购交易系统（以下简称苏采云系统”）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2026年5月13日13:30</w:t>
      </w:r>
      <w:r>
        <w:rPr>
          <w:rFonts w:ascii="SimSun" w:hAnsi="SimSun" w:eastAsia="SimSun" w:cs="SimSun"/>
          <w:color w:val="000000"/>
          <w:sz w:val="24"/>
        </w:rPr>
        <w:t xml:space="preserve">（北京时间）前递交响应文件。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项目编号：JSZC-320506-ZHSZ-C2026-0002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项目名称：吴中太湖新城2026年拟上市地块控规调整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预算金额：贰佰万元整（￥2000000.00）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根据自然资源部、江苏省自然资源厅要求，结合实际需要，组织开展吴中太湖新城拟上市地块控规调整及技术修正，工作范围为吴中太湖新城城镇开发边界内拟上市地块，主要内容包括梳理现状底图基数，落实上位规划的管控传导要求，结合具体地块诉求，完成编制成果，从而推动太湖新城国土空间规划体系和规划管理完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合同履行期限：合同签订后至合同金额用完为止。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3.本项目接受联合体（联合体的参与单位不得超过2家，以联合体形式响应的，须提供联合体响应协议书）。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4.响应单位具备有效的城乡规划编制乙级及以上资质。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方式：线上获取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截止时间：2026年5月13日13:30（北京时间）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时间：2026年5月13日13:30（北京时间）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地点：苏州市狮山科技馆竞谈磋商室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1.本公告同时在江苏省政府采购网、苏州市政府采购网发布。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2.政府采购管理监督电话：0512- 68616651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5.如不同响应文件制作机器码一致，则投标无效。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6.本项目支持政府采购合同信用融资。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名称：苏州太湖新城吴中管理委员会</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联系地址：苏州市吴中区太湖街道龙翔路777号</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李天然</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0512-66589671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名称：中航招采科技（北京）有限公司</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地址：江苏省苏州市姑苏区福运路198号常润大厦10楼1008室</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联系方式：0512-69290321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项目联系人：孙鹏/蒲苗苗/徐亮</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电话：13222281024</w:t>
      </w:r>
      <w:r/>
    </w:p>
    <w:p>
      <w:pPr>
        <w:ind w:left="0" w:right="0" w:firstLine="6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中航招采科技（北京）有限公司</w:t>
      </w:r>
      <w:r/>
    </w:p>
    <w:p>
      <w:pPr>
        <w:ind w:left="0" w:right="0" w:firstLine="6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2026年4月24日</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第二章 磋商须知</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说明和释义</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1.说明</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1.1本采购文件仅适用于中航招采科技（北京）有限公司组织的采购活动。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1.3本采购文件的解释权属于中航招采科技（北京）有限公司。</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2.词语释义</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2.1采购单位：依法进行政府采购的国家机关、事业单位、团体组织。</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2.2供应商：响应磋商并且符合磋商采购文件规定资格条件和参加磋商竞争的法人、其他组织或者自然人。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2.3响应：供应商根据采购单位发布的磋商采购文件，编制磋商响应文件并按规定参与磋商的行为。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2.4合同：采供双方根据采购文件和成交的磋商响应文件及成交通知书规定的内容签署的以书面形式所达成的协议，包括所有的附件、附录和构成协议的所有文件。</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2.5甲方（采购方）：合同中明确规定的实际购买货物和服务的法人或其他组织和自然人。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2.6乙方（供应商）：合同中规定的向采购方提供货物和服务的法人或其他组织和自然人。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2.7货物：系指乙方按采购文件规定，应向甲方提供的一切设备、备品、备件、工具、手册及其它有关技术资料和材料。</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2.9知识产权：指专利权、商标权、著作权等无形财产专有权的统称。</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2.10天：日历天。</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2.12合同价款：根据合同规定，乙方在正确的履行合同义务后甲方应支付乙方的价款。</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2.13产地：货物开采、生长、生产、最终制造、加工或提供服务的来源地。</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2.15实质响应：满足有关本次采购标的、数量、质量、价款或者报酬、履行期限、履行地点和方式、违约责任和解决争议方法等要求。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2.16进口产品：通过中国海关报关验放进入中国境内且产自关境外的产品。</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供应商</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3.合格磋商供应商的一般条件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3.1能够独立承担民事责任的能力（供应商营业执照及法人身份证明文件）；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3.2具有良好的商业信誉和健全的财务会计制度证明。包括但不限于最近一期经审计的财务报告，其他组织、自然人及成立未满一年的法人应提供银行出具的资信证明；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3.4有依法缴纳税收和社会保障资金的良好记录（合理期限内依法缴纳税收的凭据，社会保险登记证或依法缴纳社会保险的凭据）；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3.5参加政府采购活动前三年内，在经营活动中没有重大违法记录（书面声明函）；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3.6法律、行政法规规定的其他条件；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3.7合格磋商供应商的特殊条件：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3.7.3本项目接受联合体（联合体的参与单位不得超过2家，以联合体形式响应的，须提供联合体响应协议书）；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3.7.4响应单位具有具备有效的城乡规划编制乙级及以上资质。</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4.供应商代表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4.1指全权代表供应商参加磋商采购活动并签署磋商响应文件的人，如果磋商供应商代表不是法人代表，须持有《法定代表人授权委托书》（详见附件格式）。 </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5.磋商费用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5.1无论磋商过程中的做法和结果如何，磋商供应商自行承担所有与参加磋商有关的全部费用。</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6.磋商采购文件</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7.采购文件的修改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7.1在递交（上传）磋商响应文件截止时间前，采购单位无论出于自己的考虑，还是出于对供应商提问的澄清，均可对采购文件用更正公告的方式进行修改。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7.2采购单位对采购文件的修改，将以网上公告形式通知已购买采购文件的磋商供应商。更正公告将作为采购文件的组成部分，对所有磋商供应商有约束力。</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8.采购文件提疑</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认为采购文件、采购过程或成交、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8.3本次采购文件要求供应商在法定质疑期内一次性提出针对同一采购程序环节的质疑。</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8.4供应商提出质疑应当提交质疑函和必要的证明材料。质疑函应当包括下列内容：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8.4.1供应商的姓名或者名称（以营业执照副本复印件为准）、地址、邮编、联系人及联系电话；</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8.4.2质疑项目的名称、编号；</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8.4.3具体、明确的质疑事项和与质疑事项相关的请求；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8.4.4事实依据；</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8.4.5必要的法律依据；</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8.4.6提出质疑的日期。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8.4.7供应商参加投标确认函。</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rPr>
          <w:rFonts w:ascii="SimSun" w:hAnsi="SimSun" w:eastAsia="SimSun" w:cs="SimSun"/>
          <w:b/>
          <w:color w:val="000000"/>
          <w:sz w:val="24"/>
        </w:rPr>
        <w:t xml:space="preserve">（如为联合体投标的，联合体牵头人签章即可）</w:t>
      </w:r>
      <w:r>
        <w:rPr>
          <w:rFonts w:ascii="SimSun" w:hAnsi="SimSun" w:eastAsia="SimSun" w:cs="SimSun"/>
          <w:color w:val="000000"/>
          <w:sz w:val="24"/>
        </w:rPr>
        <w:t xml:space="preserve">。供应商委托代理进行质疑的，其授权委托书上应当载明代理人的姓名或者名称、代理事项、具体权限、期限和相关事项。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8.4.8接收质疑函的方式：书面形式（当场送达或邮寄方式）。</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质疑联系人：孙鹏/蒲苗苗/徐亮</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联系电话：0512-69290321</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通讯地址：江苏省苏州市姑苏区福运路198号常润大厦10楼1008室</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9.提示与要求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9.2无论是否递交（上传）磋商响应文件，供应商都应将采购文件及以后的所有通知、文件等视为保密文件。</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10.响应文件计量单位和使用文字</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10.1响应文件中所使用的计量单位，除采购文件中有特殊要求外，均应使用中华人民共和国法定计量单位。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ind w:left="0" w:right="0" w:firstLine="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响应文件组成（部分格式见第六章）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封面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11.1报价部分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11.1.1开标一览表(按系统内统一格式)；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11.1.2分项报价表；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11.2资格性要求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11.2.1具有独立承担民事责任的能力证明。包括法人或者其他组织的营业执照等证明文件，自然人的身份证明；</w:t>
      </w:r>
      <w:r>
        <w:rPr>
          <w:rFonts w:ascii="SimSun" w:hAnsi="SimSun" w:eastAsia="SimSun" w:cs="SimSun"/>
          <w:b/>
          <w:color w:val="000000"/>
          <w:sz w:val="24"/>
        </w:rPr>
        <w:t xml:space="preserve">（如为联合体投标的，联合体各方均须提供）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11.2.2具有良好的商业信誉和健全的财务会计制度证明。包括但不限于最近一期经审计的财务报告，其他组织、自然人及成立未满一年的法人应提供银行出具的资信证明。</w:t>
      </w:r>
      <w:r>
        <w:rPr>
          <w:rFonts w:ascii="SimSun" w:hAnsi="SimSun" w:eastAsia="SimSun" w:cs="SimSun"/>
          <w:b/>
          <w:color w:val="000000"/>
          <w:sz w:val="24"/>
        </w:rPr>
        <w:t xml:space="preserve">（如为联合体投标的，联合体各方均须提供）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响应单位证明其满足合格供应商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rPr>
          <w:rFonts w:ascii="SimSun" w:hAnsi="SimSun" w:eastAsia="SimSun" w:cs="SimSun"/>
          <w:b/>
          <w:color w:val="000000"/>
          <w:sz w:val="24"/>
        </w:rPr>
        <w:t xml:space="preserve">（如为联合体投标的，联合体各方均须提供）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rPr>
          <w:rFonts w:ascii="SimSun" w:hAnsi="SimSun" w:eastAsia="SimSun" w:cs="SimSun"/>
          <w:b/>
          <w:color w:val="000000"/>
          <w:sz w:val="24"/>
        </w:rPr>
        <w:t xml:space="preserve">（如为联合体投标的，联合体各方均须提供）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11.2.5参加政府采购活动前三年内，在经营活动中没有重大违法记录的书面声明函；</w:t>
      </w:r>
      <w:r>
        <w:rPr>
          <w:rFonts w:ascii="SimSun" w:hAnsi="SimSun" w:eastAsia="SimSun" w:cs="SimSun"/>
          <w:b/>
          <w:color w:val="000000"/>
          <w:sz w:val="24"/>
        </w:rPr>
        <w:t xml:space="preserve">（如为联合体投标的，联合体各方均须提供）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11.2.6法律、行政法规规定的其他条件；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11.2.7《中小企业声明函》或《残疾人福利性单位声明函》或由省级以上监狱管理局、戒毒管理局（含新疆生产建设兵团）出具的属于监狱企业的证明文件；</w:t>
      </w:r>
      <w:r>
        <w:rPr>
          <w:rFonts w:ascii="SimSun" w:hAnsi="SimSun" w:eastAsia="SimSun" w:cs="SimSun"/>
          <w:b/>
          <w:color w:val="000000"/>
          <w:sz w:val="24"/>
        </w:rPr>
        <w:t xml:space="preserve">（如为联合体投标的，联合体各方均须提供）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11.2.8未被“信用中国”网站（www.creditchina.gov.cn）列入失信被执行人、重大税收违法案件当事人名单、政府采购严重失信行为记录名单</w:t>
      </w:r>
      <w:r>
        <w:rPr>
          <w:rFonts w:ascii="KaiTi" w:hAnsi="KaiTi" w:eastAsia="KaiTi" w:cs="KaiTi"/>
          <w:color w:val="000000"/>
          <w:sz w:val="24"/>
        </w:rPr>
        <w:t xml:space="preserve">；</w:t>
      </w:r>
      <w:r>
        <w:rPr>
          <w:rFonts w:ascii="SimSun" w:hAnsi="SimSun" w:eastAsia="SimSun" w:cs="SimSun"/>
          <w:b/>
          <w:color w:val="000000"/>
          <w:sz w:val="24"/>
        </w:rPr>
        <w:t xml:space="preserve">（如为联合体投标的，联合体各方均须提供）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11.2.9单位负责人为同一人或者存在直接控股、管理关系的不同供应商（包含法定代表人为同一个人的两个及两个以上法人，母公司、全资子公司及其控股公司），不得参加同一合同项下的政府采购活动。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11.2.10联合体响应协议书（如有）；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11.2.11响应单位具有具备有效的城乡规划编制乙级及以上资质。</w:t>
      </w:r>
      <w:r>
        <w:rPr>
          <w:rFonts w:ascii="SimSun" w:hAnsi="SimSun" w:eastAsia="SimSun" w:cs="SimSun"/>
          <w:b/>
          <w:color w:val="000000"/>
          <w:sz w:val="24"/>
        </w:rPr>
        <w:t xml:space="preserve">（如为联合体投标的，必须为联合体牵头人具备）</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11.3符合性要求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11.3.1磋商响应函；</w:t>
      </w:r>
      <w:r>
        <w:rPr>
          <w:rFonts w:ascii="SimSun" w:hAnsi="SimSun" w:eastAsia="SimSun" w:cs="SimSun"/>
          <w:b/>
          <w:color w:val="000000"/>
          <w:sz w:val="24"/>
        </w:rPr>
        <w:t xml:space="preserve">（如为联合体投标的，联合体牵头人声明即可）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11.3.2关于资格文件的声明函；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11.3.3磋商响应单位基本情况表；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11.3.4磋商响应单位《营业执照》副本扫描件；</w:t>
      </w:r>
      <w:r>
        <w:rPr>
          <w:rFonts w:ascii="SimSun" w:hAnsi="SimSun" w:eastAsia="SimSun" w:cs="SimSun"/>
          <w:b/>
          <w:color w:val="000000"/>
          <w:sz w:val="24"/>
        </w:rPr>
        <w:t xml:space="preserve">（如为联合体投标的，联合体各方均须提供）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11.3.5磋商响应单位法定代表人身份证扫描件；</w:t>
      </w:r>
      <w:r>
        <w:rPr>
          <w:rFonts w:ascii="SimSun" w:hAnsi="SimSun" w:eastAsia="SimSun" w:cs="SimSun"/>
          <w:b/>
          <w:color w:val="000000"/>
          <w:sz w:val="24"/>
        </w:rPr>
        <w:t xml:space="preserve">（如为联合体投标的，联合体各方均须提供）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11.3.6法定代表人授权委托书及磋商响应单位代理人身份证扫描件（如有授权）；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11.3.7《商务条款偏离表》、《服务要求对照偏离表》实施方案》；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11.3.8《拟投入本项目人员配备一览表》（提供符合采购要求的对应人员证书复印件）；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11.3.9《投标（响应）保证承诺书》《投标单位与其他单位存在控股、管理关系情况表》；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11.3.10其他有关符合性证明的文件。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11.4评标办法中要求提供的证明文件及其他材料（部分格式见第六章）</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11.4.1服务能力、履约能力等；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11.4.2《类似业绩一览表》；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11.4.3其他可以证明投标单位资信、资质和货物、服务质量的证书、文件、推荐信等资料；；</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11.2.1-11.2.11为资格审查要求提供的材料，是作为对供应商资格审查、质疑身份认定的依据，响应供应商必须提供并加盖电子公章（如为联合体投标的，联合体牵头人签章即可）。否则，磋商响应文件将被认定为不符合资格审查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（2）以上11.3为符合性审查须提供的资料，响应供应商必须提供并加盖电子公章（如为联合体投标的，联合体牵头人签章即可）。否则，磋商响应文件将被认定为未实质性响应。</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（3）制作电子响应文件时必须与响应文件制作软件目录一一对应，将相关资料上传至相应模块。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（4）磋商响应文件编制要求：</w:t>
      </w:r>
      <w:r>
        <w:rPr>
          <w:rFonts w:ascii="SimSun" w:hAnsi="SimSun" w:eastAsia="SimSun" w:cs="SimSun"/>
          <w:color w:val="000000"/>
          <w:sz w:val="24"/>
        </w:rPr>
        <w:t xml:space="preserve">本项目采用电子招投标形式，请供应商按照《苏采云系统供应商操作手册》进行制作、上传电子响应文件。</w:t>
      </w:r>
      <w:r>
        <w:rPr>
          <w:rFonts w:ascii="SimSun" w:hAnsi="SimSun" w:eastAsia="SimSun" w:cs="SimSun"/>
          <w:b/>
          <w:color w:val="000000"/>
          <w:sz w:val="24"/>
        </w:rPr>
        <w:t xml:space="preserve">电子响应文件制作完成后请于响应文件递交截止时间前成功上传至“苏采云”系统，否则视为放弃参加该采购项目。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（6）如投标(响应)文件制作机器码信息一致，视为不同投标供应商使用同一台电脑编制投标(响应)文件，投标(响应)无效。</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12.报价（编制）要求的说明</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非合同中另有规定，供应商对全部货物和服务的报价应包括但不限于完成本次服务项目所需的人员（包括工资和补贴）、设备、材料、备用仪器设备投入、检测、保险、劳保、管理、验收、各种税费、利润、税金、政策性文件规定及合同包含的所有风险、责任等各项应有费用。其他均不再另行计费。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本项目采用线上二次报价：</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登录苏采云系统，评审组长发起最后报价，开标大厅会显示“立即报价”界面，点击【确认报价】提交流程至签章环节，供应商点击签章按钮，签章完成后可进行提交。</w:t>
      </w:r>
      <w:r>
        <w:rPr>
          <w:rFonts w:ascii="SimSun" w:hAnsi="SimSun" w:eastAsia="SimSun" w:cs="SimSun"/>
          <w:b/>
          <w:color w:val="000000"/>
          <w:sz w:val="24"/>
        </w:rPr>
        <w:t xml:space="preserve">供应商未在磋商小组规定的时间内在“苏采云”系统中提交最后报价的视为放弃磋商，其响应文件按无效响应处理，最后报价格式表须加盖CA电子公章（如为联合体投标的，联合体牵头人签章即可）,否则视为未提交最后报价。（此处规定时间的计算以系统中的倒计时间为准，系统中的线上最后报价只有一次机会，提交后无法撤回，请供应商慎重提交）</w:t>
      </w:r>
      <w:r/>
    </w:p>
    <w:p>
      <w:pPr>
        <w:ind w:left="0" w:right="0" w:firstLine="482"/>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12.3一项内容只允许一个报价，采购单位不接受任何有选择性的报价。</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12.4磋商响应文件报价中的单价和总价全部采用人民币表示，除非合同的特殊条款另有规定。</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13.保证金</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根据《江苏省财政厅文件苏财购【2020】52号》相关规定，本项目无须支付保证金。</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14.响应文件的有效期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14.1自磋商响应文件递交（上传）截止之日起</w:t>
      </w:r>
      <w:r>
        <w:rPr>
          <w:rFonts w:ascii="SimSun" w:hAnsi="SimSun" w:eastAsia="SimSun" w:cs="SimSun"/>
          <w:color w:val="000000"/>
          <w:sz w:val="24"/>
          <w:u w:val="single"/>
        </w:rPr>
        <w:t xml:space="preserve">90</w:t>
      </w:r>
      <w:r>
        <w:rPr>
          <w:rFonts w:ascii="SimSun" w:hAnsi="SimSun" w:eastAsia="SimSun" w:cs="SimSun"/>
          <w:color w:val="000000"/>
          <w:sz w:val="24"/>
        </w:rPr>
        <w:t xml:space="preserve">天内，磋商响应文件应保持有效。有效期短于这个规定期限的响应，将被拒绝。</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15.截止时间</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15.1响应文件必须在递交（上传）截止时间前上传系统。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15.2采购单位推迟磋商截止时间时，应以网上公告形式，通知所有供应商。在这种情况下，采购单位和供应商的权利和义务将受到新的截止期的约束。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15.3在递交（上传）截止时间以后递交（上传）的磋商响应文件，采购单位将拒绝接收。</w:t>
      </w:r>
      <w:r/>
    </w:p>
    <w:p>
      <w:pPr>
        <w:ind w:left="0" w:right="0" w:firstLine="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磋商程序</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16.1采购代理机构按本须知规定的时间、地点主持磋商采购活动。</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16.3由磋商小组审查供应商解密的响应文件。</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16.5磋商小组要求供应商澄清、说明或者更正响应文件应当供应商点击答疑澄清按钮，进入询标回复界面，供应商点击【响应】按钮，进行询问响应，填写询问响应内容后，进行询问响应函签章</w:t>
      </w:r>
      <w:r>
        <w:rPr>
          <w:rFonts w:ascii="SimSun" w:hAnsi="SimSun" w:eastAsia="SimSun" w:cs="SimSun"/>
          <w:b/>
          <w:color w:val="000000"/>
          <w:sz w:val="24"/>
        </w:rPr>
        <w:t xml:space="preserve">（如为联合体投标的，联合体牵头人签章即可）</w:t>
      </w:r>
      <w:r>
        <w:rPr>
          <w:rFonts w:ascii="SimSun" w:hAnsi="SimSun" w:eastAsia="SimSun" w:cs="SimSun"/>
          <w:color w:val="000000"/>
          <w:sz w:val="24"/>
        </w:rPr>
        <w:t xml:space="preserve">，内容校验后进行提交。供应商的澄清、说明或者更正应当由其单位加盖电子公章</w:t>
      </w:r>
      <w:r>
        <w:rPr>
          <w:rFonts w:ascii="SimSun" w:hAnsi="SimSun" w:eastAsia="SimSun" w:cs="SimSun"/>
          <w:b/>
          <w:color w:val="000000"/>
          <w:sz w:val="24"/>
        </w:rPr>
        <w:t xml:space="preserve">（如为联合体投标的，联合体牵头人签章即可）</w:t>
      </w:r>
      <w:r>
        <w:rPr>
          <w:rFonts w:ascii="SimSun" w:hAnsi="SimSun" w:eastAsia="SimSun" w:cs="SimSun"/>
          <w:color w:val="000000"/>
          <w:sz w:val="24"/>
        </w:rPr>
        <w:t xml:space="preserve">。</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如为联合体投标的，联合体牵头人签章即可），澄清、说明和补充的内容作为响应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4"/>
        </w:rPr>
        <w:t xml:space="preserve">磋商小组通过“苏采云”系统向供应商发布“磋商函”，供应商应当按照要求在“苏采云”系统提交“磋商响应函”并加盖CA电子公章（如为联合体投标的，联合体牵头人签章即可）。</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SimSun" w:hAnsi="SimSun" w:eastAsia="SimSun" w:cs="SimSun"/>
          <w:b/>
          <w:color w:val="000000"/>
          <w:sz w:val="24"/>
        </w:rPr>
        <w:t xml:space="preserve">（如为联合体投标的，联合体牵头人签章即可）</w:t>
      </w:r>
      <w:r>
        <w:rPr>
          <w:rFonts w:ascii="SimSun" w:hAnsi="SimSun" w:eastAsia="SimSun" w:cs="SimSun"/>
          <w:color w:val="000000"/>
          <w:sz w:val="24"/>
        </w:rPr>
        <w:t xml:space="preserve">。</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16.8供应商应当按照采购文件的变动情况和磋商小组的要求，各供应商应及时关注【评审】环节等待询标澄清进行回复。</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16.9磋商结束后，</w:t>
      </w:r>
      <w:r>
        <w:rPr>
          <w:rFonts w:ascii="SimSun" w:hAnsi="SimSun" w:eastAsia="SimSun" w:cs="SimSun"/>
          <w:b/>
          <w:color w:val="000000"/>
          <w:sz w:val="24"/>
        </w:rPr>
        <w:t xml:space="preserve">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16.10经磋商确定最终采购需求和提交最后报价的供应商后，由磋商小组采用综合评分法对提交最后报价的供应商的响应文件和最后报价进行综合评分。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16.11磋商小组根据磋商成交原则确定成交供应商，并将结果通知所有参加磋商的供应商。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16.12如磋商过程中出现本采购文件未尽事宜，由磋商小组根据政府采购有关法律、法规讨论决定。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17.项目的终止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17.1出现下列情形之一的，将终止竞争性磋商采购活动：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17.1.3在采购过程中符合要求的供应商或者报价未超过采购预算的供应商不足3家的；</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17.1.4在采购活动中因重大变故，采购任务取消的。</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18.评审内容的保密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18.1磋商开始后，直到宣布授予成交单位合同为止，凡属于审查、澄清、评价和比较磋商响应文件的所有资料，有关授予合同的信息都不应向磋商供应商或与评审无关的其他人泄露。</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18.2在磋商响应文件的审查、澄清、评价和比较以及授予合同的过程中，磋商供应商对采购单位和磋商小组施加影响的任何行为，都将取消其成交资格。</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18.3在评审期间，采购单位将通过指定联络人与磋商供应商进行联系。</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19.成交单位的确认</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19.1磋商小组根据磋商供应商资格审查情况，对其响应文件进行评价和比较，按照评审办法和标准进行评审，并按采购单位的委托向采购单位推荐成交候选单位。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w:t>
      </w:r>
      <w:r>
        <w:rPr>
          <w:rFonts w:ascii="SimSun" w:hAnsi="SimSun" w:eastAsia="SimSun" w:cs="SimSun"/>
          <w:color w:val="000000"/>
          <w:sz w:val="24"/>
        </w:rPr>
        <w:t xml:space="preserve">予答复。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19.3由采购人授权评审委员会在候选供应商名单中直接确定成交供应商。</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20.合同授予标准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20.1采购单位将把合同授予其磋商响应文件在实质上响应采购文件要求和按本须知规定评选出的供应商。确定为成交的供应商必须具有实施本合同的能力和资源。</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21.成交通知书</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21.2成交通知书将成为合同的组成部分。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21.3采购单位对未成交单位不承担解释未成交原因的义务。</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21.4在发放《成交（成交）通知书》的同时，向参与项目评审的未成交（成交）供应商发放《未成交（成交）通知书》，以</w:t>
      </w:r>
      <w:r>
        <w:rPr>
          <w:rFonts w:ascii="SimSun" w:hAnsi="SimSun" w:eastAsia="SimSun" w:cs="SimSun"/>
          <w:color w:val="000000"/>
          <w:sz w:val="24"/>
          <w:u w:val="single"/>
        </w:rPr>
        <w:t xml:space="preserve">电子邮件、</w:t>
      </w:r>
      <w:r>
        <w:rPr>
          <w:rFonts w:ascii="SimSun" w:hAnsi="SimSun" w:eastAsia="SimSun" w:cs="SimSun"/>
          <w:color w:val="000000"/>
          <w:sz w:val="24"/>
        </w:rPr>
        <w:t xml:space="preserve">纸质寄送等与投标（响应）供应商约定的方式书面告知该未成交（成交）供应商的评审得分与排名，未成交（成交）供应商未按约定的时间和方式获取告知信息的，视为自动放弃并自行承担相应后果。</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21.5各响应单位应在响应文件醒目位置注明电子邮箱号，如未按上述要求提供邮箱，视为自动放弃并自行承担相应后果。</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21.6成交单位应按成交通知书中规定的时间和地点，由法定代表人或代理人与甲方代表签订合同。否则按放弃处理。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21.7签订合同及合同条款应以采购文件和成交单位的磋商响应文件及其澄清文件为依据。</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22.服务费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22.1成交单位须按前附表的规定按其预算金额计算并支付服务费，该费用应在领取成交通知书时付清。</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rPr>
          <w:rFonts w:ascii="SimSun" w:hAnsi="SimSun" w:eastAsia="SimSun" w:cs="SimSun"/>
          <w:color w:val="000000"/>
          <w:sz w:val="24"/>
        </w:rPr>
        <w:t xml:space="preserve"> </w:t>
      </w:r>
      <w:r>
        <w:rPr>
          <w:rFonts w:ascii="SimSun" w:hAnsi="SimSun" w:eastAsia="SimSun" w:cs="SimSun"/>
          <w:b/>
          <w:color w:val="000000"/>
          <w:sz w:val="24"/>
        </w:rPr>
        <w:t xml:space="preserve">履约保证金</w:t>
      </w:r>
      <w:r>
        <w:rPr>
          <w:rFonts w:ascii="SimSun" w:hAnsi="SimSun" w:eastAsia="SimSun" w:cs="SimSun"/>
          <w:color w:val="000000"/>
          <w:sz w:val="24"/>
        </w:rPr>
        <w:t xml:space="preserve">：</w:t>
      </w:r>
      <w:r>
        <w:rPr>
          <w:rFonts w:ascii="SimSun" w:hAnsi="SimSun" w:eastAsia="SimSun" w:cs="SimSun"/>
          <w:b/>
          <w:color w:val="000000"/>
          <w:sz w:val="24"/>
        </w:rPr>
        <w:t xml:space="preserve">无</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24.未尽事宜</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第三章 采购内容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中航招采科技（北京）有限公司受苏州太湖新城吴中管理委员会的委托，就其所需吴中太湖新城2026年拟上市地块控规调整项目采用竞争性磋商方式进行采购，欢迎有资格的供应商前来参加本次磋商采购活动。</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一、项目编号：JSZC-320506-ZHSZ-C2026-0002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二、采购内容：吴中太湖新城2026年拟上市地块控规调整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三、采购项目内容及要求：</w:t>
      </w:r>
      <w:r/>
    </w:p>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（1）规划范围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规划范围为吴中太湖新城城镇开发边界内拟上市地块。</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（2）采购清单</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
        <w:gridCol w:w="2568"/>
        <w:gridCol w:w="1095"/>
        <w:gridCol w:w="349"/>
        <w:gridCol w:w="349"/>
        <w:gridCol w:w="524"/>
        <w:gridCol w:w="698"/>
        <w:gridCol w:w="34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材质</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施工工艺</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功能描述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规格尺寸</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吴中太湖新城拟上市地块控规调整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3" w:type="dxa"/>
            <w:vAlign w:val="center"/>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控规调整类按面积计费技术修正类按批次计费</w:t>
            </w:r>
            <w:r/>
          </w:p>
        </w:tc>
      </w:tr>
    </w:tbl>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（3）规划依据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1、《中华人民共和国城乡规划法》（2019年修正版）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2、《城市规划编制办法》（建设部令第146号）；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3、《城市用地分类与规划建设用地标准》（GB50137-2011）；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4、《国土空间调查、规划、用途管制用地用海分类指南》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5、《城市居住区规划设计标准》GB50180-2018；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6、《城市公共设施规划规范》（GB50442-2008）；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7、《江苏省城乡规划条例》（2010）；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8、《江苏省城市规划管理技术规定》（2025年版）； </w:t>
      </w:r>
      <w:r/>
    </w:p>
    <w:p>
      <w:pPr>
        <w:ind w:left="21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9、国家、省、市其他相关法律、法规。</w:t>
      </w:r>
      <w:r/>
    </w:p>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（4）规划重点内容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自然资源部、江苏省自然资源厅要求，立足太湖新城发展特征，结合区域发展形式和要求，组织开展吴中太湖新城拟上市地块控规调整及技术修正，工作范围为吴中太湖新城城镇开发边界内拟上市地块。主要内容包括：根据拟上市地块的实际情况，梳理现状底图底数、落实上位规划的管控传导要求，合理优化用地布局；梳理公共服务、社区配套体系，科学测算设施容量，完善公共设施及市政公用设施配套；结合区域道路系统规划，优化太湖新城道路系统；研究城市空间形态，优化城市主要界面空间形象，并细化地块设计引导；根据规划编制的相关要求，完善控规调整与技</w:t>
      </w:r>
      <w:r>
        <w:rPr>
          <w:rFonts w:ascii="SimSun" w:hAnsi="SimSun" w:eastAsia="SimSun" w:cs="SimSun"/>
          <w:color w:val="000000"/>
          <w:sz w:val="24"/>
        </w:rPr>
        <w:t xml:space="preserve">术修正的编制成果，从而推动太湖新城国土空间规划体系和规划管理完善。</w:t>
      </w:r>
      <w:r/>
    </w:p>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（5）成果形式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1、规划设计成果内容须符合采购需求的有关要求和国家有关标准。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2、规划设计成果包括纸质文件及相应的计算机文件。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成果内容包括太湖新城局部单元与地块调整文件、图件、图则。正式成果提交4份，A3规格；成果电子光盘（含PPT汇报成果）1份。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国土空间规划“一张图”管理系统匹配的数据文件（包括用地布局现状及规划等）要求矢量数据为MDB或GDB格式及对应的制图MXD文件和制图字体（带40大数的国家2000平面坐标系），一个文档或图纸提交多个格式文件的，不同格式文件所反映的信息应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、各供应商提供的服务能够至少达到采购文件要求，如果其中某些条款不响应时，应在文件中逐条列出，未列出的视同响应。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、供应商需在响应文件中明确服务内容和服务方案。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、供应商应对所投项目的全部内容进行报价，只响应其中部分内容者或出现选择性报价的，其响应文件将被拒绝。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供应商在项目进行过程中产生的任何安全、损坏等责任事故一律由供应商自行承担。如遇突发情况，供应商需协助采购人完成需要配合的服务。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本项目不允许转包，发现查实者一律取消合同。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供应商应对服务危险性、潜在危险认真考虑周全，对所有项目安全负责，并承担由此可能产生的一切费用，采购人不承担任何责任；如需采购人配合的工作，供应商需及时通知采购方。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总报价一次报定，投标总报价包括完成本项目所需的服务管理内容、人工、办公设备、耗材、通讯及巡检器材、服装、胸卡、保险、劳保、管理、利润、税金、代理服务费、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、服务期限：合同签订后至合同金额用完为止。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、服务地点：采购人指定地点。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、付款方式：根据项目批复情况支付，对终稿方案获得批准的项目，控规调整类按面积计费、技术修正类按批次计费，最终按中标单价结算合同价款。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注：在签订合同时，乙方明确表示无需预付款或者主动要求降低预付款比例的，甲方可不适用上述关于预付款的规定。具体实施要求按苏财购【</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号：一、建立政府采购资金预付款制度的相关规定。上述付款方式可在甲乙双方签订合同时根据《苏财购</w:t>
      </w:r>
      <w:r>
        <w:rPr>
          <w:rFonts w:ascii="Times New Roman" w:hAnsi="Times New Roman" w:eastAsia="Times New Roman" w:cs="Times New Roman"/>
          <w:b/>
          <w:color w:val="000000"/>
          <w:sz w:val="24"/>
        </w:rPr>
        <w:t xml:space="preserve">[2022]16</w:t>
      </w:r>
      <w:r>
        <w:rPr>
          <w:rFonts w:ascii="SimSun" w:hAnsi="SimSun" w:eastAsia="SimSun" w:cs="SimSun"/>
          <w:b/>
          <w:color w:val="000000"/>
          <w:sz w:val="24"/>
        </w:rPr>
        <w:t xml:space="preserve">号》文件相关内容进行调整。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付款前，乙方需先向甲方提供：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）合格的发票；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）由甲乙双方及采购代理机构签章的《政府采购合同履行验收报告》。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、凡涉及采购文件的补充说明和修改，均以苏州市政府采购网最后发布的内容为准。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次采购的产品属于财政部、国家发展改革委、生态环境部、市场监管总局等部门发布的节能产品、环境标志产品政府强制采购品目清单的，供应商须在响应文件中提供所投产品由认证机构出具的、处于有效期之内的节能产品、环境标志产品认证证书，未提供或提供不全的将视响应文件为未实质性响应招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六、信用记录</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、采购代理机构会在接收响应文件截止时间后，登录信用中国网站（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）和中国政府采购网（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）查询供应商的信用记录，并将查询结果递交评标委员会。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、供应商若在经营活动中受到罚款的，请携带相关地方、部门对较大数额认定标准的证明材料，与响应文件一并提交。若无法提供，则可能承担投标无效等相应不利后果。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、对存在失信信息的供应商，由失信供应商进行确认。同时，采购代理机构工作人员应根据评标委员会确认的失信信息，登陆到相关来源网站页面进行复核并打印，作为证据留存。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七、凡涉及采购文件的补充说明和修改，均以苏州政府采购网发布的文件为准。</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第四章 评审办法及评分标准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2、综合评分的主要因素为：综合实力、业绩、技术、财务状况、信誉、服务、对磋商采购文件的响应程度，以及相应的比重或者数值等。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4、针对小型、微型企业的价格评审办法：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w:t>
      </w:r>
      <w:r>
        <w:rPr>
          <w:rFonts w:ascii="SimSun" w:hAnsi="SimSun" w:eastAsia="SimSun" w:cs="SimSun"/>
          <w:color w:val="000000"/>
          <w:sz w:val="24"/>
        </w:rPr>
        <w:t xml:space="preserve">最低价的，则作为评标基准价，成交金额则以实际响应报价为准。残疾人福利性单位属于小型、微型企业的，不重复享受政策。服务类项目中供应商若使用退休人员，将不享受中小企业扶持政策。 小微企业提供《中小企业声明函》；监狱企业提供由省级以上监狱管理局、戒毒管理局（含新疆生产建设兵团）出具的属于监狱企业的证明文件；残疾人福利性单位提供《残疾人福利性单位声明函》。 注： ①填报“中小企业声明函”需严格按工信部联企业〔2011〕300号通知中的《中小企业划型标准规定》进行。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②若供应商提供的声明函或认定证明为虚假材料，按“政府采购法”相关规定处理并报请政府监管部门给予行政处罚。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③若为专门面向中小企业采购的项目或者采购包，不再执行价格评审优惠的扶持政策。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一）价格分：</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第一步：响应报价低于或等于财政预算价格的，为有效响应报价。超财政预算的响应报价为无效响应报价。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第二步：在所有有效响应报价中满足采购文件要求，且响应价格最低的响应报价为评标基准价，其他供应商的价格分按照下列公式计算（计算结果四舍五入保留两位小数）。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响应报价）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（二）服务方案（53分）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1、项目理解认识：本项最高得10分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背景有全面透彻的认识，对太湖新城发展现状及规划调整原因有深入的理解，得10分；对项目背景有比较透彻的认识，对太湖新城发展现状及规划调整原因有比较深入的理解，得7分；对项目背景有基本的认识，对太湖新城发展现状及规划调整原因有一定深度的理解，得4分；对项目背景的认识不太全面，对太湖新城发展现状及规划调整原因理解不深入，得1分；未提供的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2、规划调整原则和调整路径：本项最高得10分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规划调整原则和调整路径科学合理，得10分；规划调整原则和调整路径比较科学合理，得7分；规划调整原则和调整路径基本全科学合理，得4分；规划调整原则和调整路径不太科学合理，得1分；未提供的不得分。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3、调整方案：本项最高得10分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调整方案系统全面，各基本控制单元调整内容详细扎实，得10分；规划调整方案较为系统全面，各基本控制单元调整内容较为详细扎实，得7分；规划调整方案不够系统全面，各基本控制单元调整内容不够详细扎实，得4分；规划调整方案内容片面，各基本控制单元调整内容粗略，得1分；未提供的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4、调整影响分析：本项最高得10分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调整影响分析系统全面，交通、配套、市政等相关内容详细扎实，得10分；规划调整影响分析较为系统全面，交通、配套、市政等相关内容较为详细扎实，得7分；规划调整影响分析不够系统全面，交通、配套、市政等相关内容不够详细扎实，得4分；规划调整影响分析片面，交通、配套、市政等相关内容粗略，得1分；未提供的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5、项目进度安排与保障措施：本项最高得7分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编制工作的时间安排合理、保障措施完善，保障措施科学、可行的，得7分；规划编制工作的时间安排基本合理、保障措施基本完善，保障措施基本科学、可行的，得4分；规划编制工作的时间安排不太合理、保障措施不太完善，保障措施不太科学、可行的，得1分；未提供的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6、后续服务的安排及保证措施：本项最高得6分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后续服务内容清晰，人员充足，保证措施完善，得6分；后续服务内容基本清晰，人员基本充足，保证措施基本完善，得4分；后续服务内容不清晰，人员不足，保证措施不完善，得2分；未提供的不得分。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（二）供应商拟投入项目人员比较（24分）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1、项目负责人：本项最高得12分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（1）项目负责人同时具备注册城乡规划师资格以及高级及以上职称证书的得4分，本项最高得4分。（须提供职称及资格证书、社保证明资料复印件，否则不得分）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（2）项目负责人获得过市级及以上行政主管部门颁发的规划设计类奖项的，每一项得1分，本项最高得8分。（须提供相关获奖证书复印件，否则不得分。同一项目所获奖项只计最高分，不重复计分）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2、项目其他成员：本项最高得12分。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（1）项目其他成员具有高级及以上职称证书的每人得2分，最高得6分；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（2）项目其他成员具有注册城乡规划师资格每人得2分，最高得6分。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注：项目组成员同一人员只计取一项评分，不重复计分。提供项目组成员职称证书、注册资格证书、社保证明资料复印件等，否则不得分。</w:t>
      </w:r>
      <w:r/>
    </w:p>
    <w:p>
      <w:pPr>
        <w:ind w:left="0" w:right="0" w:firstLine="482"/>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（三）企业综合实力（13分）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1、供应商自2023年1月1日（以合同签订时间为准）至今完成的类似业绩项目，每有一项得2分，本项最高得10分。（须提供项目合同关键页扫描件，否则不得分）</w:t>
      </w:r>
      <w:r/>
    </w:p>
    <w:p>
      <w:pPr>
        <w:ind w:left="0" w:right="0" w:firstLine="480"/>
        <w:jc w:val="both"/>
        <w:spacing w:before="0" w:after="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2、供应商具有有效期内的质量体系认证证书、环境管理体系认证证书、职业健康安全管理体系认证证书的，每有1个得1分，本项最高得3分。（须提供体系认证证书复印件，否则不得分）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注：针对评分标准中评分的每一条，响应人在响应文件中均应提供清晰明了的相关资料并做出相应说明供评委评判，不提供相关资料的视为不具备该项得分的条件。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依据甲方委托中航招采科技（北京）有限公司进行本项目政府采购（采购编号：）的采购结果，确定乙方为本次成交供应商，现依照采购文件、乙方的响应文件及相关文件的内容，签订本合同书。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1.乙方负责完成甲方委托的</w:t>
      </w:r>
      <w:r>
        <w:rPr>
          <w:rFonts w:ascii="SimSun" w:hAnsi="SimSun" w:eastAsia="SimSun" w:cs="SimSun"/>
          <w:b/>
          <w:color w:val="000000"/>
          <w:sz w:val="24"/>
          <w:u w:val="single"/>
        </w:rPr>
        <w:t xml:space="preserve">吴中太湖新城2026年拟上市地块控规调整</w:t>
      </w:r>
      <w:r>
        <w:rPr>
          <w:rFonts w:ascii="SimSun" w:hAnsi="SimSun" w:eastAsia="SimSun" w:cs="SimSun"/>
          <w:color w:val="000000"/>
          <w:sz w:val="24"/>
        </w:rPr>
        <w:t xml:space="preserve">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①竞争性磋商采购文件；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②乙方成交的响应文件；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③乙方在磋商采购过程中所作的其他承诺、声明、书面澄清等；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二、项目任务书：</w:t>
      </w:r>
      <w:r>
        <w:rPr>
          <w:rFonts w:ascii="SimSun" w:hAnsi="SimSun" w:eastAsia="SimSun" w:cs="SimSun"/>
          <w:color w:val="000000"/>
          <w:sz w:val="24"/>
        </w:rPr>
        <w:t xml:space="preserve"> </w:t>
      </w:r>
      <w:r/>
    </w:p>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（1）规划范围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规划范围为吴中太湖新城城镇开发边界内拟上市地块。</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（2）采购清单</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
        <w:gridCol w:w="2568"/>
        <w:gridCol w:w="1095"/>
        <w:gridCol w:w="349"/>
        <w:gridCol w:w="349"/>
        <w:gridCol w:w="524"/>
        <w:gridCol w:w="698"/>
        <w:gridCol w:w="34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材质</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施工工艺</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功能描述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规格尺寸</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吴中太湖新城拟上市地块控规调整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3" w:type="dxa"/>
            <w:vAlign w:val="center"/>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控规调整类按面积计费技术修正类按批次计费</w:t>
            </w:r>
            <w:r/>
          </w:p>
        </w:tc>
      </w:tr>
    </w:tbl>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（3）规划依据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1、《中华人民共和国城乡规划法》（2019年修正版）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2、《城市规划编制办法》（建设部令第146号）；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3、《城市用地分类与规划建设用地标准》（GB50137-2011）；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4、《国土空间调查、规划、用途管制用地用海分类指南》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5、《城市居住区规划设计标准》GB50180-2018；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6、《城市公共设施规划规范》（GB50442-2008）；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7、《江苏省城乡规划条例》（2010）；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8、《江苏省城市规划管理技术规定》（2025年版）； </w:t>
      </w:r>
      <w:r/>
    </w:p>
    <w:p>
      <w:pPr>
        <w:ind w:left="21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9、国家、省、市其他相关法律、法规。</w:t>
      </w:r>
      <w:r/>
    </w:p>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（4）规划重点内容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自然资源部、江苏省自然资源厅要求，立足太湖新城发展特征，结合区域发展形式和要求，组织开展吴中太湖新城拟上市地块控规调整及技术修正，工作范围为吴中太湖新城城镇开发边界内拟上市地块。主要内容包括：根据拟上市地块的实际情况，梳理现状底图底数、落实上位规划的管控传导要求，合理优化用地布局；梳理公共服务、社区配套体系，科学测算设施容量，完善公共设施及市政公用设施配套；结合区域道路系统规划，优化太湖新城道路系统；研究城市空间形态，优化城市主要界面空间形象，并细化地块设计引导；根据规划编制的相关要求，完善控规调整与技</w:t>
      </w:r>
      <w:r>
        <w:rPr>
          <w:rFonts w:ascii="SimSun" w:hAnsi="SimSun" w:eastAsia="SimSun" w:cs="SimSun"/>
          <w:color w:val="000000"/>
          <w:sz w:val="24"/>
        </w:rPr>
        <w:t xml:space="preserve">术修正的编制成果，从而推动太湖新城国土空间规划体系和规划管理完善。</w:t>
      </w:r>
      <w:r/>
    </w:p>
    <w:p>
      <w:pPr>
        <w:ind w:left="84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（5）成果形式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1、规划设计成果内容须符合采购需求的有关要求和国家有关标准。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2、规划设计成果包括纸质文件及相应的计算机文件。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成果内容包括太湖新城局部单元与地块调整文件、图件、图则。正式成果提交4份，A3规格；成果电子光盘（含PPT汇报成果）1份。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国土空间规划“一张图”管理系统匹配的数据文件（包括用地布局现状及规划等）要求矢量数据为MDB或GDB格式及对应的制图MXD文件和制图字体（带40大数的国家2000平面坐标系），一个文档或图纸提交多个格式文件的，不同格式文件所反映的信息应一致。</w:t>
      </w:r>
      <w:r/>
    </w:p>
    <w:p>
      <w:pPr>
        <w:ind w:left="0" w:right="0" w:firstLine="0"/>
        <w:jc w:val="both"/>
        <w:spacing w:before="0" w:after="0" w:line="85" w:lineRule="atLeast"/>
        <w:tabs>
          <w:tab w:val="left" w:pos="10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三、合同价款与支付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合同总价款为人民币</w:t>
      </w:r>
      <w:r>
        <w:rPr>
          <w:rFonts w:ascii="SimSun" w:hAnsi="SimSun" w:eastAsia="SimSun" w:cs="SimSun"/>
          <w:b/>
          <w:color w:val="000000"/>
          <w:sz w:val="24"/>
          <w:u w:val="single"/>
        </w:rPr>
        <w:t xml:space="preserve">             元整（￥      元）</w:t>
      </w:r>
      <w:r>
        <w:rPr>
          <w:rFonts w:ascii="SimSun" w:hAnsi="SimSun" w:eastAsia="SimSun" w:cs="SimSun"/>
          <w:color w:val="000000"/>
          <w:sz w:val="24"/>
        </w:rPr>
        <w:t xml:space="preserve">。该价款包括乙方完成本项目任务书要求的全部服务内容所需的人工（包括人员劳务费、法定节假日加班费、福利费、社保等）、交通费用、餐费住宿、耗材、通讯、办公设备、各种税费、保险、劳保、维护、利润、税金、政策性文件规定及合同包含的所有风险、责任等各项应有费用。除非因特殊原因并经甲乙双方协商同意，乙方不得再要求追加任何费用。同时，合同金额在合同实施期间不因市场因素变化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2.付款步骤：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根据项目批复情况支付，对终稿方案获得批准的项目，控规调整类按面积计费、技术修正类按批次计费，最终按中标单价结算合同价款。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3.如乙方未按甲方要求对工作相关服务缺陷及时进行更正的，甲方有权另请其他单位更正，所发生的费用在结算时先予以扣除。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4.乙方要求付款应提供以下资料：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A、合格的发票。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B、由甲乙双方盖章的《政府采购履约验收书》。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5.付款方式：银行转账或汇款。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6.甲方支付合同总价款外不再承担其它任何费用。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7.若遇国家或地方政府政策性调整，双方另行协商。</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8.根据现行税法对甲方征收的与本合同有关的一切税费均由甲方承担；根据现行税法对乙方征收的与本合同有关的一切税费均由乙方承担。</w:t>
      </w:r>
      <w:r/>
    </w:p>
    <w:p>
      <w:pPr>
        <w:ind w:left="0" w:right="0" w:firstLine="420"/>
        <w:jc w:val="both"/>
        <w:spacing w:before="0" w:after="0" w:line="85" w:lineRule="atLeast"/>
        <w:tabs>
          <w:tab w:val="left" w:pos="12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9.甲方根据乙方在本合同中所提供银行开户信息转账支付：</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数字人民币钱包ID号：</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四、工作成果的验收</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1.工作成果的验收标准：达到国家和省、市、区的技术标准及任务书要求。</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2.验收事宜服从甲方安排。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验收前乙方应及时向甲方、采购代理机构发出验收申请，由采购代理机构协助甲方组织验收工作。根据政府采购法及相关法规的规定，对乙方进行履约验收，确认验收合格的，将出具《政府采购履约验收书》。《政府采购履约验收书》、合同是申请支付政府采购合同价款的必备资料。</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五、甲乙双方权利和义务</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1.甲方提供本项目所需基础资料、协助乙方相关资料搜集等。</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2.甲方负责项目的审查工作，在乙方对提供的资料有异议时，甲方应协助予以回复和核实。</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3.乙方须按项目任务书的深度和要求在合同规定的时间内完成工作成果，并参加甲方组织的方案讨论与论证，负责工作成果内容的介绍。</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4.因甲方原因或不可抗拒的因素造成项目延误的，乙方提交工作成果的时间顺延。</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5.乙方提交的成果有下列情形之一的，甲方有权终止合同并对乙方做出处罚，扣除乙方不超过合同总价10%的违约金：</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（1）提交的成果未能达到采购文件规定的标准或其响应承诺的。</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（2）提交的成果图纸和文字辨认不清，内容不全或粗制滥造的。</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（3）未经甲方同意，逾期（超过项目任务书规定时间节点1个月）形成成果的。</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（4）为本项目所配备的人员不到位，影响项目进度及质量的，经甲方要求乙方及时改正，乙方仍拒不改正的。</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（5）违反相关保密规定的。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6.甲方有权指定第三方咨询机构、有关专家对工作成果进行评审。</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六、技术情报和资料保密</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1.乙方所收集的原始资料与数据在本项目执行过程中，仅供甲、乙双方使用，项目结束后乙方将其以成果附件的形式一并提交给甲方。</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提供给乙方以及协助乙方调查收集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3.乙方应加强对项目资料的保管，在工作全面完成后，乙方应将甲方认为必要的有关资料返还给甲方；其余资料，乙方应按甲方要求存档，并应及时满足甲方对方案资料有关调用、审核等要求。</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4.根据国家安全保密需要，甲方提供给乙方的数据资料经过甲方使用专用软件加密处理过，乙方须在计算机上安装该软件才能正常使用。</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5.乙方承担保密义务的期限为本合同签订之日起直到甲方公开相关保密信息为止。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七、有关技术成果归属条款</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1.未经甲方许可，其他任何人不得将成果全部或部分泄漏或提供给第三方。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2.最终成果的署名权归乙方所有，版权归甲方所有。</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八、甲乙双方的违约责任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1.甲乙双方应严格履行本合同。</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2.甲方如有违约（因乙方的原因导致违约的情况除外），需支付对方违约金为合同总额的10%，但实际损失小于该金额的，以实际损失为准。</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3.乙方迟延提交工作成果的（为免疑义，甲方延期要求的不构成迟延提交，但乙方提交的成果未能通过甲方验收而需要重新提交的视为乙方迟延提交），应当支付3000元/天违约金，最高为合同总价款的10%。 </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交的工作成果不符合合同约定条件的，需限期修改；不提交服务成果，或者所提交的服务成果不能通过评审或者所提交的服务成果水平低劣，无参考价值的，应当返还已收取的报酬，并支付合同总价10%的违约金。 </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5.乙方逾期（超过项目任务书规定时间节点1个月）提交工作成果的，甲方有权解除合同，乙方应当支付数额为合同总价10%的违约金，并退还全部已经收取的合同价款。 </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6.乙方项目组成员须按响应文件承诺人员配备，如需更换项目人员，需经甲方认可同意后进行更换；未经甲方同意不得擅自更换人员；否则需向甲方支付赔偿金，标准为5000元/人/次的赔偿金。</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7.甲方有权在应付乙方的任一笔款项中扣除乙方根据本合同约定应当承担的违约金、赔偿金等。</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2.在合同有效期内一方不得擅自变更或中止此项合同（包括为此项目配备的人员），如未经双方书面同意，擅自变更或中止此项的一方自行承担违约责任。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5.合同一方对合同解除有异议的，应当在另一方解除合同的通知到达之日起30日内提出。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合同的部分和全部均不得转让。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1.合同经甲乙双方加盖公章（或合同专用章）后生效，并需在规定时间内进行网上公示。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2.合同甲乙双方盖章生效后即直接产生权利与义务的关系，合同执行过程中出现的问题应按照《中华人民共和国民法典》的规定办理。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十一、争议的解决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1.因本合同引起的或与本合同有关的任何争议，应本着友好合作的态度协商解决；如协商不成，任何一方可以向甲方所在地有管辖权的人民法院起诉，通过诉讼方式解决。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2.诉讼期间，除争议内容以外，双方均应继续履行合同约定的其他内容。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本合同一式陆份，甲乙双方各执二份，采购代理机构一份，政府采购管理部门一份。</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本合同未尽事宜应按《中华人民共和国民法典》、《中华人民共和国政府采购法》以及其同相关法律、法规之规定解释。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合同各方盖章：</w:t>
      </w:r>
      <w:r/>
    </w:p>
    <w:p>
      <w:pPr>
        <w:ind w:left="6510" w:right="0" w:hanging="6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(公章或合同专用章)                        (公章或合同专用章)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      年月日    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9"/>
        <w:ind w:left="0" w:right="0" w:firstLine="0"/>
        <w:jc w:val="both"/>
        <w:spacing w:before="48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p>
    <w:p>
      <w:pPr>
        <w:pStyle w:val="661"/>
        <w:ind w:left="0" w:right="0" w:firstLine="0"/>
        <w:jc w:val="center"/>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政府采购合同信用融资政策告知函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欢迎贵公司参加苏州市政府采购活动</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政府采购合同信用融资是江苏省、苏州市为支持中小企业发展，缓解中小企业融资难题推出的一项融资服务举措。若贵公司经评审最终成为本次政府采购项目的合格成交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供应商，可向金融机构申请贷款，无需抵押、担保，金融机构将根据江苏省财政厅中国人民银行南京分行《关于深入推进政府采购线上合同信用融资工作的通知》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[2021]82</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及苏州市财政局、人民银行苏州市分行相关文件要求，按照双方自愿的原则提供便捷、优惠的贷款服务。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第六章 磋商响应文件格式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对本章所有的格式，磋商供应商可根据自身情况进行补充和修改，但补充和修改不得造成与本格式内容有实质性的违背。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1、（供应商）法定代表人授权委托书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（姓名）为我公司代理人，以本公司的名义参加中航招采科技（北京）有限公司组织实施的编号为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号的磋商邀请活动。代理人在磋商活动过程中所签署的一切文件和处理与这有关的一切事务，我均予以承认。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代理人在授权委托书有效期内签署的所有文件不因授权委托的撤销而失效，除非有撤销授权委托的书面通知，本授权委托书自磋商活动开始至合同履行完毕止。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号磋商邀请函，经仔细阅读和研究，我们决定参加该次磋商活动。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邀请函的一切要求，提供包括但不限于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政策性条款例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2、如果我们磋商商务被接受，我们将严格履行磋商邀请函中规定的每一项要求，按期、按质、按量履行合同的义务。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3、我们愿意提供邀请方在磋商邀请函中要求的所有资料。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4、我们认为你们有权决定成交人者，还认为你们有权接受或拒绝所有的磋商供应商。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5、我们愿意遵守磋商邀请函中所列的收费标准。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6、如果我们成交，我们愿意在签订合同时按前附表规定的支付成交服务费；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（2）要求采购单位提供的配合；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项目编号：单位：元</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0"/>
        <w:gridCol w:w="1707"/>
        <w:gridCol w:w="3074"/>
        <w:gridCol w:w="1669"/>
        <w:gridCol w:w="10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1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吴中太湖新城2026年拟上市地块控规调整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290" w:firstLine="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290" w:firstLine="0"/>
        <w:jc w:val="both"/>
        <w:spacing w:before="0" w:after="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jc w:val="both"/>
        <w:spacing w:before="0" w:after="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0" w:after="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jc w:val="both"/>
        <w:spacing w:before="0" w:after="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4、响应分项组成明细表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响应分项组成明细表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3089"/>
        <w:gridCol w:w="2581"/>
        <w:gridCol w:w="2861"/>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控规调整类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技术修正类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1"/>
        </w:rPr>
        <w:t xml:space="preserve">、</w:t>
      </w:r>
      <w:r>
        <w:rPr>
          <w:rFonts w:ascii="SimSun" w:hAnsi="SimSun" w:eastAsia="SimSun" w:cs="SimSun"/>
          <w:color w:val="000000"/>
          <w:sz w:val="24"/>
        </w:rPr>
        <w:t xml:space="preserve">人员配备一览表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人员配备一览表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1672"/>
        <w:gridCol w:w="1165"/>
        <w:gridCol w:w="852"/>
        <w:gridCol w:w="852"/>
        <w:gridCol w:w="852"/>
        <w:gridCol w:w="852"/>
        <w:gridCol w:w="852"/>
        <w:gridCol w:w="138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项目组所任职务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专业培训及证书</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项目业绩一览表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5"/>
        <w:gridCol w:w="1284"/>
        <w:gridCol w:w="1229"/>
        <w:gridCol w:w="1293"/>
        <w:gridCol w:w="1797"/>
        <w:gridCol w:w="16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4"/>
        </w:rPr>
        <w:t xml:space="preserve">《商务条款偏离表》、《服务要求对照偏离表》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1674"/>
        <w:gridCol w:w="2084"/>
        <w:gridCol w:w="2084"/>
        <w:gridCol w:w="12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注：投标单位的响应文件（除技术要求部分）与采购文件规定的有偏离的，应在此表中说明。未在上表中说明的，将被认为完全响应采购文件的规定。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（2）《服务要求对照偏离表》</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服务要求对照偏离表</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9"/>
        <w:gridCol w:w="1516"/>
        <w:gridCol w:w="1796"/>
        <w:gridCol w:w="1798"/>
        <w:gridCol w:w="1797"/>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8、有关资格证明文件</w:t>
      </w:r>
      <w:r/>
    </w:p>
    <w:p>
      <w:pPr>
        <w:ind w:left="0" w:right="0" w:firstLine="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left="0" w:right="0" w:firstLine="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290" w:firstLine="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响应单位情况表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1085"/>
        <w:gridCol w:w="474"/>
        <w:gridCol w:w="472"/>
        <w:gridCol w:w="416"/>
        <w:gridCol w:w="1413"/>
        <w:gridCol w:w="645"/>
        <w:gridCol w:w="641"/>
        <w:gridCol w:w="939"/>
        <w:gridCol w:w="639"/>
        <w:gridCol w:w="1972"/>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4"/>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94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8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公司成立日期</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61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本地代表处地址</w:t>
            </w:r>
            <w:r/>
          </w:p>
        </w:tc>
        <w:tc>
          <w:tcPr>
            <w:gridSpan w:val="7"/>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66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7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55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7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gridSpan w:val="3"/>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55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7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550" w:type="dxa"/>
            <w:vAlign w:val="center"/>
            <w:textDirection w:val="lrTb"/>
            <w:noWrap w:val="false"/>
          </w:tcPr>
          <w:p>
            <w:pPr>
              <w:ind w:left="437"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单位职工人数</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775" w:type="dxa"/>
            <w:vAlign w:val="center"/>
            <w:textDirection w:val="lrTb"/>
            <w:noWrap w:val="false"/>
          </w:tcPr>
          <w:p>
            <w:pPr>
              <w:ind w:left="0" w:right="0" w:firstLine="216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86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单位2023年或2024年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总营业收入</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72" w:type="dxa"/>
            <w:vAlign w:val="center"/>
            <w:textDirection w:val="lrTb"/>
            <w:noWrap w:val="false"/>
          </w:tcPr>
          <w:p>
            <w:pPr>
              <w:ind w:left="1112"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10"/>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9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办公场所的面积：</w:t>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10"/>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9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主营范围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2、____________________________________</w:t>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参加政府采购活动前三年内，在经营活动中有无重大违法记录</w:t>
            </w:r>
            <w:r/>
          </w:p>
        </w:tc>
        <w:tc>
          <w:tcPr>
            <w:gridSpan w:val="6"/>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2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10"/>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9、中小企业声明函（格式）</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中小企业声明函（货物）</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 企业发展管理办法》（财库﹝2020﹞46 号）的规定，本公司 （联合体）参加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（项目名称）采购活动，提供的货物全部由符合政策要求的中小企业制造。相关企业（含联合体中的中小企业、签订分包意向协议的中小企业） 的具体情况如下：</w:t>
      </w:r>
      <w:r/>
    </w:p>
    <w:p>
      <w:pPr>
        <w:numPr>
          <w:ilvl w:val="0"/>
          <w:numId w:val="3"/>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 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 </w:t>
      </w:r>
      <w:r/>
    </w:p>
    <w:p>
      <w:pPr>
        <w:numPr>
          <w:ilvl w:val="0"/>
          <w:numId w:val="3"/>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0" w:firstLine="48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中小企业声明函（工程、服务）</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4"/>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 </w:t>
      </w:r>
      <w:r/>
    </w:p>
    <w:p>
      <w:pPr>
        <w:numPr>
          <w:ilvl w:val="0"/>
          <w:numId w:val="4"/>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 小型企业、微型企业）；</w:t>
      </w:r>
      <w:r/>
    </w:p>
    <w:p>
      <w:pPr>
        <w:ind w:left="42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6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附：中小企业划型标准规定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（一）农、林、牧、渔业。</w:t>
      </w:r>
      <w:r>
        <w:rPr>
          <w:rFonts w:ascii="SimSun" w:hAnsi="SimSun" w:eastAsia="SimSun" w:cs="SimSun"/>
          <w:color w:val="000000"/>
          <w:sz w:val="20"/>
        </w:rPr>
        <w:t xml:space="preserve">营业收入20000万元以下的为中小微型企业。其中，营业收入500万元及以上的为中型企业，营业收入50万元及以上的为小型企业，营业收入50万元以下的为微型企业。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（二）工业。</w:t>
      </w:r>
      <w:r>
        <w:rPr>
          <w:rFonts w:ascii="SimSun" w:hAnsi="SimSun" w:eastAsia="SimSun" w:cs="SimSun"/>
          <w:color w:val="000000"/>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（三）建筑业。</w:t>
      </w:r>
      <w:r>
        <w:rPr>
          <w:rFonts w:ascii="SimSun" w:hAnsi="SimSun" w:eastAsia="SimSun" w:cs="SimSun"/>
          <w:color w:val="000000"/>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（四）批发业。</w:t>
      </w:r>
      <w:r>
        <w:rPr>
          <w:rFonts w:ascii="SimSun" w:hAnsi="SimSun" w:eastAsia="SimSun" w:cs="SimSun"/>
          <w:color w:val="000000"/>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（五）零售业。</w:t>
      </w:r>
      <w:r>
        <w:rPr>
          <w:rFonts w:ascii="SimSun" w:hAnsi="SimSun" w:eastAsia="SimSun" w:cs="SimSun"/>
          <w:color w:val="000000"/>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（六）交通运输业。</w:t>
      </w:r>
      <w:r>
        <w:rPr>
          <w:rFonts w:ascii="SimSun" w:hAnsi="SimSun" w:eastAsia="SimSun" w:cs="SimSun"/>
          <w:color w:val="000000"/>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（七）仓储业。</w:t>
      </w:r>
      <w:r>
        <w:rPr>
          <w:rFonts w:ascii="SimSun" w:hAnsi="SimSun" w:eastAsia="SimSun" w:cs="SimSun"/>
          <w:color w:val="000000"/>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（八）邮政业。</w:t>
      </w:r>
      <w:r>
        <w:rPr>
          <w:rFonts w:ascii="SimSun" w:hAnsi="SimSun" w:eastAsia="SimSun" w:cs="SimSun"/>
          <w:color w:val="000000"/>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（九）住宿业。</w:t>
      </w:r>
      <w:r>
        <w:rPr>
          <w:rFonts w:ascii="SimSun" w:hAnsi="SimSun" w:eastAsia="SimSun" w:cs="SimSun"/>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（十）餐饮业。</w:t>
      </w:r>
      <w:r>
        <w:rPr>
          <w:rFonts w:ascii="SimSun" w:hAnsi="SimSun" w:eastAsia="SimSun" w:cs="SimSun"/>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（十一）信息传输业。</w:t>
      </w:r>
      <w:r>
        <w:rPr>
          <w:rFonts w:ascii="SimSun" w:hAnsi="SimSun" w:eastAsia="SimSun" w:cs="SimSun"/>
          <w:color w:val="000000"/>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（十二）软件和信息技术服务业。</w:t>
      </w:r>
      <w:r>
        <w:rPr>
          <w:rFonts w:ascii="SimSun" w:hAnsi="SimSun" w:eastAsia="SimSun" w:cs="SimSun"/>
          <w:color w:val="000000"/>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（十三）房地产开发经营。</w:t>
      </w:r>
      <w:r>
        <w:rPr>
          <w:rFonts w:ascii="SimSun" w:hAnsi="SimSun" w:eastAsia="SimSun" w:cs="SimSun"/>
          <w:color w:val="000000"/>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（十四）物业管理。</w:t>
      </w:r>
      <w:r>
        <w:rPr>
          <w:rFonts w:ascii="SimSun" w:hAnsi="SimSun" w:eastAsia="SimSun" w:cs="SimSun"/>
          <w:color w:val="000000"/>
          <w:sz w:val="20"/>
        </w:rPr>
        <w:t xml:space="preserve">从业人员1000人以下或营业收入5000万元以下的为中小微型企业。其中，从业人员</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（十五）租赁和商务服务业。</w:t>
      </w:r>
      <w:r>
        <w:rPr>
          <w:rFonts w:ascii="SimSun" w:hAnsi="SimSun" w:eastAsia="SimSun" w:cs="SimSun"/>
          <w:color w:val="000000"/>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（十六）其他未列明行业。</w:t>
      </w:r>
      <w:r>
        <w:rPr>
          <w:rFonts w:ascii="SimSun" w:hAnsi="SimSun" w:eastAsia="SimSun" w:cs="SimSun"/>
          <w:color w:val="000000"/>
          <w:sz w:val="20"/>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10、投标（响应）保证承诺书（参考格式）</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（采购代理机构名称）</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（项目名称和项目编号）的投标（响应）,并做出如下承诺：</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1、自投标（响应）截止时间至本项目发布成交（成交）公告为止，撤销投标（响应）；</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2、成交（成交）后不依法与采购人签订合同；</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3、成交（成交）后不按本采购文件规定向采购人提交履约保证金；</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4、成交（成交）后不按本采购文件规定向贵方缴纳采购代理费。</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11、残疾人福利性单位声明函（格式）</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___       ___</w:t>
      </w:r>
      <w:r>
        <w:rPr>
          <w:rFonts w:ascii="SimSun" w:hAnsi="SimSun" w:eastAsia="SimSun" w:cs="SimSun"/>
          <w:color w:val="000000"/>
          <w:sz w:val="24"/>
        </w:rPr>
        <w:t xml:space="preserve">单位的___</w:t>
      </w:r>
      <w:r>
        <w:rPr>
          <w:rFonts w:ascii="SimSun" w:hAnsi="SimSun" w:eastAsia="SimSun" w:cs="SimSun"/>
          <w:color w:val="000000"/>
          <w:sz w:val="24"/>
          <w:u w:val="single"/>
        </w:rPr>
        <w:t xml:space="preserve">_      _</w:t>
      </w:r>
      <w:r>
        <w:rPr>
          <w:rFonts w:ascii="SimSun" w:hAnsi="SimSun" w:eastAsia="SimSun" w:cs="SimSun"/>
          <w:color w:val="000000"/>
          <w:sz w:val="24"/>
        </w:rPr>
        <w:t xml:space="preserve">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KaiTi" w:hAnsi="KaiTi" w:eastAsia="KaiTi" w:cs="KaiTi"/>
          <w:color w:val="000000"/>
          <w:sz w:val="24"/>
        </w:rPr>
        <w:t xml:space="preserve">、</w:t>
      </w:r>
      <w:r>
        <w:rPr>
          <w:rFonts w:ascii="SimSun" w:hAnsi="SimSun" w:eastAsia="SimSun" w:cs="SimSun"/>
          <w:color w:val="000000"/>
          <w:sz w:val="24"/>
        </w:rPr>
        <w:t xml:space="preserve">开票信息</w:t>
      </w:r>
      <w:r/>
    </w:p>
    <w:p>
      <w:pPr>
        <w:ind w:left="4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开票信息</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8"/>
        <w:gridCol w:w="630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13、供应商与其他单位存在控股、管理关系情况表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3"/>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3"/>
          <w:sz w:val="32"/>
        </w:rPr>
        <w:t xml:space="preserve">供应商与其他单位存在控股、管理关系情况表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1"/>
        <w:gridCol w:w="4378"/>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与供应商存在控股、管理关系的单位名称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39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1"/>
          <w:sz w:val="24"/>
        </w:rPr>
        <w:t xml:space="preserve">注：供应商应当按实填写所有与之有控股、管理关系的情况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14、联合体响应协议书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联合体响应协议书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各方经协商,就响应</w:t>
      </w:r>
      <w:r>
        <w:rPr>
          <w:rFonts w:ascii="SimSun" w:hAnsi="SimSun" w:eastAsia="SimSun" w:cs="SimSun"/>
          <w:color w:val="000000"/>
          <w:sz w:val="24"/>
          <w:u w:val="single"/>
        </w:rPr>
        <w:t xml:space="preserve">   （采购人名称)   </w:t>
      </w:r>
      <w:r>
        <w:rPr>
          <w:rFonts w:ascii="SimSun" w:hAnsi="SimSun" w:eastAsia="SimSun" w:cs="SimSun"/>
          <w:color w:val="000000"/>
          <w:sz w:val="24"/>
        </w:rPr>
        <w:t xml:space="preserve">组织的采购编号为 </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的采购活动联合进行响应之事宜,达成如下协议: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1、各方一致决定,以</w:t>
      </w:r>
      <w:r>
        <w:rPr>
          <w:rFonts w:ascii="SimSun" w:hAnsi="SimSun" w:eastAsia="SimSun" w:cs="SimSun"/>
          <w:color w:val="000000"/>
          <w:sz w:val="24"/>
          <w:u w:val="single"/>
        </w:rPr>
        <w:t xml:space="preserve">  （牵头人名称)  </w:t>
      </w:r>
      <w:r>
        <w:rPr>
          <w:rFonts w:ascii="SimSun" w:hAnsi="SimSun" w:eastAsia="SimSun" w:cs="SimSun"/>
          <w:color w:val="000000"/>
          <w:sz w:val="24"/>
        </w:rPr>
        <w:t xml:space="preserve">为牵头人组成响应联合体，以“</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（单位名称）与 </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（单位名称）的联合体”的名义进行响应,并按照采购文件的规定分别提交资格文件。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本次响应过程中牵头人法定代表人或授权委托人（即代理人）根据采购文件规定及响应内容而对采购人所作的任何合法承诺，包括书面澄清及响应等均对联合响应各方产生约束力。如果成交并签订合同,则联合响应各方将共同履行对采购人所负有的全部义务并就合同约定的事项对采购人承担连带责任，且不因下列各方应承担工作和义务而免除连带责任。</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3、联合响应其余各方保证对牵头人为响应本次采购提供全部质量保证及售后服务支持。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4、本次联合响应中：</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甲方承担的工作和义务为: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乙方承担的工作和义务为: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5、有关本次联合响应的其他事宜:甲方承担的工作约占合同工作内容</w:t>
      </w:r>
      <w:r>
        <w:rPr>
          <w:rFonts w:ascii="SimSun" w:hAnsi="SimSun" w:eastAsia="SimSun" w:cs="SimSun"/>
          <w:color w:val="000000"/>
          <w:sz w:val="24"/>
          <w:u w:val="single"/>
        </w:rPr>
        <w:t xml:space="preserve">    %</w:t>
      </w:r>
      <w:r>
        <w:rPr>
          <w:rFonts w:ascii="SimSun" w:hAnsi="SimSun" w:eastAsia="SimSun" w:cs="SimSun"/>
          <w:color w:val="000000"/>
          <w:sz w:val="24"/>
        </w:rPr>
        <w:t xml:space="preserve">；乙方承担的工作约占合同工作内容</w:t>
      </w:r>
      <w:r>
        <w:rPr>
          <w:rFonts w:ascii="SimSun" w:hAnsi="SimSun" w:eastAsia="SimSun" w:cs="SimSun"/>
          <w:color w:val="000000"/>
          <w:sz w:val="24"/>
          <w:u w:val="single"/>
        </w:rPr>
        <w:t xml:space="preserve">    %</w:t>
      </w:r>
      <w:r>
        <w:rPr>
          <w:rFonts w:ascii="SimSun" w:hAnsi="SimSun" w:eastAsia="SimSun" w:cs="SimSun"/>
          <w:color w:val="000000"/>
          <w:sz w:val="24"/>
        </w:rPr>
        <w:t xml:space="preserve">。甲乙双方约定按上述比例划分合同总价。（注：在合同履行过程中，甲方和乙方承诺无条件接受采购人对工作质量及成果监督与考核，同时采购人有权根据工作质量及成果考核情况，对上述甲方和乙方约定的工作任务比例分配进行调整。）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6、本协议提交采购人后，联合响应各方不得以任何形式对上述实质内容进行修改或撤销。</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7、本协议一式</w:t>
      </w:r>
      <w:r>
        <w:rPr>
          <w:rFonts w:ascii="SimSun" w:hAnsi="SimSun" w:eastAsia="SimSun" w:cs="SimSun"/>
          <w:color w:val="000000"/>
          <w:sz w:val="24"/>
          <w:u w:val="single"/>
        </w:rPr>
        <w:t xml:space="preserve">    份</w:t>
      </w:r>
      <w:r>
        <w:rPr>
          <w:rFonts w:ascii="SimSun" w:hAnsi="SimSun" w:eastAsia="SimSun" w:cs="SimSun"/>
          <w:color w:val="000000"/>
          <w:sz w:val="24"/>
        </w:rPr>
        <w:t xml:space="preserve">,签约各方各持</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联合体牵头人名称：（盖单位公章）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法定代表人（负责人）或其委托代理人：（签字或盖章）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联合体成员名称：  （盖单位公章）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法定代表人（负责人）或其委托代理人：（签字或盖章）</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（包括牵头人在内的联合体成员数量不得超过2个）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联合响应授权委托书</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本授权委托书声明：根据</w:t>
      </w:r>
      <w:r>
        <w:rPr>
          <w:rFonts w:ascii="SimSun" w:hAnsi="SimSun" w:eastAsia="SimSun" w:cs="SimSun"/>
          <w:color w:val="000000"/>
          <w:sz w:val="24"/>
          <w:u w:val="single"/>
        </w:rPr>
        <w:t xml:space="preserve">                      </w:t>
      </w:r>
      <w:r>
        <w:rPr>
          <w:rFonts w:ascii="SimSun" w:hAnsi="SimSun" w:eastAsia="SimSun" w:cs="SimSun"/>
          <w:color w:val="000000"/>
          <w:sz w:val="24"/>
        </w:rPr>
        <w:t xml:space="preserve">与</w:t>
      </w:r>
      <w:r>
        <w:rPr>
          <w:rFonts w:ascii="SimSun" w:hAnsi="SimSun" w:eastAsia="SimSun" w:cs="SimSun"/>
          <w:color w:val="000000"/>
          <w:sz w:val="24"/>
          <w:u w:val="single"/>
        </w:rPr>
        <w:t xml:space="preserve">                      </w:t>
      </w:r>
      <w:r>
        <w:rPr>
          <w:rFonts w:ascii="SimSun" w:hAnsi="SimSun" w:eastAsia="SimSun" w:cs="SimSun"/>
          <w:color w:val="000000"/>
          <w:sz w:val="24"/>
        </w:rPr>
        <w:t xml:space="preserve">签订的《联合体响应协议书》的内容，联合体的牵头方</w:t>
      </w:r>
      <w:r>
        <w:rPr>
          <w:rFonts w:ascii="SimSun" w:hAnsi="SimSun" w:eastAsia="SimSun" w:cs="SimSun"/>
          <w:color w:val="000000"/>
          <w:sz w:val="24"/>
          <w:u w:val="single"/>
        </w:rPr>
        <w:t xml:space="preserve">                                </w:t>
      </w:r>
      <w:r>
        <w:rPr>
          <w:rFonts w:ascii="SimSun" w:hAnsi="SimSun" w:eastAsia="SimSun" w:cs="SimSun"/>
          <w:color w:val="000000"/>
          <w:sz w:val="24"/>
        </w:rPr>
        <w:t xml:space="preserve"> 的法定代表人 </w:t>
      </w:r>
      <w:r>
        <w:rPr>
          <w:rFonts w:ascii="SimSun" w:hAnsi="SimSun" w:eastAsia="SimSun" w:cs="SimSun"/>
          <w:color w:val="000000"/>
          <w:sz w:val="24"/>
          <w:u w:val="single"/>
        </w:rPr>
        <w:t xml:space="preserve">            </w:t>
      </w:r>
      <w:r>
        <w:rPr>
          <w:rFonts w:ascii="SimSun" w:hAnsi="SimSun" w:eastAsia="SimSun" w:cs="SimSun"/>
          <w:color w:val="000000"/>
          <w:sz w:val="24"/>
        </w:rPr>
        <w:t xml:space="preserve">现代表“</w:t>
      </w:r>
      <w:r>
        <w:rPr>
          <w:rFonts w:ascii="SimSun" w:hAnsi="SimSun" w:eastAsia="SimSun" w:cs="SimSun"/>
          <w:color w:val="000000"/>
          <w:sz w:val="24"/>
          <w:u w:val="single"/>
        </w:rPr>
        <w:t xml:space="preserve">         </w:t>
      </w:r>
      <w:r>
        <w:rPr>
          <w:rFonts w:ascii="SimSun" w:hAnsi="SimSun" w:eastAsia="SimSun" w:cs="SimSun"/>
          <w:color w:val="000000"/>
          <w:sz w:val="24"/>
        </w:rPr>
        <w:t xml:space="preserve">与</w:t>
      </w:r>
      <w:r>
        <w:rPr>
          <w:rFonts w:ascii="SimSun" w:hAnsi="SimSun" w:eastAsia="SimSun" w:cs="SimSun"/>
          <w:color w:val="000000"/>
          <w:sz w:val="24"/>
          <w:u w:val="single"/>
        </w:rPr>
        <w:t xml:space="preserve">          </w:t>
      </w:r>
      <w:r>
        <w:rPr>
          <w:rFonts w:ascii="SimSun" w:hAnsi="SimSun" w:eastAsia="SimSun" w:cs="SimSun"/>
          <w:color w:val="000000"/>
          <w:sz w:val="24"/>
        </w:rPr>
        <w:t xml:space="preserve">的响应联合体”授权</w:t>
      </w:r>
      <w:r>
        <w:rPr>
          <w:rFonts w:ascii="SimSun" w:hAnsi="SimSun" w:eastAsia="SimSun" w:cs="SimSun"/>
          <w:color w:val="000000"/>
          <w:sz w:val="24"/>
          <w:u w:val="single"/>
        </w:rPr>
        <w:t xml:space="preserve">        </w:t>
      </w:r>
      <w:r>
        <w:rPr>
          <w:rFonts w:ascii="SimSun" w:hAnsi="SimSun" w:eastAsia="SimSun" w:cs="SimSun"/>
          <w:color w:val="000000"/>
          <w:sz w:val="24"/>
        </w:rPr>
        <w:t xml:space="preserve">为联合响应代理人，代理人在磋商、评审、合同订立和履行过程中所签署的一切文件和处理与这有关的一切事务， 联合响应各方均予以认可并遵守。</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特此委托。</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联合体的牵头方单位名称：</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联合体成员单位名称：</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（全文完）</w:t>
      </w:r>
      <w:r/>
    </w:p>
    <w:p>
      <w:r/>
      <w:r/>
    </w:p>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KaiTi">
    <w:panose1 w:val="02010609060101010101"/>
  </w:font>
  <w:font w:name="Symbol">
    <w:panose1 w:val="05050102010706020507"/>
  </w:font>
  <w:font w:name="Wingdings">
    <w:panose1 w:val="05000000000000000000"/>
  </w:font>
  <w:font w:name="方正仿宋简体">
    <w:panose1 w:val="020B0503020202020204"/>
  </w:font>
  <w:font w:name="Courier New">
    <w:panose1 w:val="020703090202050204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76"/>
      </w:rPr>
      <w:framePr w:wrap="around" w:vAnchor="text" w:hAnchor="margin" w:xAlign="center" w:y="1"/>
    </w:pPr>
    <w:r>
      <w:fldChar w:fldCharType="begin"/>
    </w:r>
    <w:r>
      <w:rPr>
        <w:rStyle w:val="876"/>
      </w:rPr>
      <w:instrText xml:space="preserve">PAGE  </w:instrText>
    </w:r>
    <w:r>
      <w:fldChar w:fldCharType="separate"/>
    </w:r>
    <w:r>
      <w:rPr>
        <w:rStyle w:val="876"/>
      </w:rPr>
      <w:t xml:space="preserve">37</w:t>
    </w:r>
    <w:r>
      <w:fldChar w:fldCharType="end"/>
    </w:r>
    <w:r/>
  </w:p>
  <w:p>
    <w:pPr>
      <w:pStyle w:val="865"/>
      <w:jc w:val="center"/>
    </w:pPr>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59"/>
    <w:uiPriority w:val="9"/>
    <w:rPr>
      <w:rFonts w:ascii="Arial" w:hAnsi="Arial" w:eastAsia="Arial" w:cs="Arial"/>
      <w:sz w:val="40"/>
      <w:szCs w:val="40"/>
    </w:rPr>
  </w:style>
  <w:style w:type="character" w:styleId="15">
    <w:name w:val="Heading 2 Char"/>
    <w:basedOn w:val="668"/>
    <w:link w:val="660"/>
    <w:uiPriority w:val="9"/>
    <w:rPr>
      <w:rFonts w:ascii="Arial" w:hAnsi="Arial" w:eastAsia="Arial" w:cs="Arial"/>
      <w:sz w:val="34"/>
    </w:rPr>
  </w:style>
  <w:style w:type="character" w:styleId="17">
    <w:name w:val="Heading 3 Char"/>
    <w:basedOn w:val="668"/>
    <w:link w:val="661"/>
    <w:uiPriority w:val="9"/>
    <w:rPr>
      <w:rFonts w:ascii="Arial" w:hAnsi="Arial" w:eastAsia="Arial" w:cs="Arial"/>
      <w:sz w:val="30"/>
      <w:szCs w:val="30"/>
    </w:rPr>
  </w:style>
  <w:style w:type="character" w:styleId="19">
    <w:name w:val="Heading 4 Char"/>
    <w:basedOn w:val="668"/>
    <w:link w:val="662"/>
    <w:uiPriority w:val="9"/>
    <w:rPr>
      <w:rFonts w:ascii="Arial" w:hAnsi="Arial" w:eastAsia="Arial" w:cs="Arial"/>
      <w:b/>
      <w:bCs/>
      <w:sz w:val="26"/>
      <w:szCs w:val="26"/>
    </w:rPr>
  </w:style>
  <w:style w:type="character" w:styleId="21">
    <w:name w:val="Heading 5 Char"/>
    <w:basedOn w:val="668"/>
    <w:link w:val="663"/>
    <w:uiPriority w:val="9"/>
    <w:rPr>
      <w:rFonts w:ascii="Arial" w:hAnsi="Arial" w:eastAsia="Arial" w:cs="Arial"/>
      <w:b/>
      <w:bCs/>
      <w:sz w:val="24"/>
      <w:szCs w:val="24"/>
    </w:rPr>
  </w:style>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character" w:styleId="34">
    <w:name w:val="Title Char"/>
    <w:basedOn w:val="668"/>
    <w:link w:val="693"/>
    <w:uiPriority w:val="10"/>
    <w:rPr>
      <w:sz w:val="48"/>
      <w:szCs w:val="48"/>
    </w:rPr>
  </w:style>
  <w:style w:type="character" w:styleId="36">
    <w:name w:val="Subtitle Char"/>
    <w:basedOn w:val="668"/>
    <w:link w:val="686"/>
    <w:uiPriority w:val="11"/>
    <w:rPr>
      <w:sz w:val="24"/>
      <w:szCs w:val="24"/>
    </w:rPr>
  </w:style>
  <w:style w:type="character" w:styleId="38">
    <w:name w:val="Quote Char"/>
    <w:link w:val="718"/>
    <w:uiPriority w:val="29"/>
    <w:rPr>
      <w:i/>
    </w:rPr>
  </w:style>
  <w:style w:type="character" w:styleId="40">
    <w:name w:val="Intense Quote Char"/>
    <w:link w:val="720"/>
    <w:uiPriority w:val="30"/>
    <w:rPr>
      <w:i/>
    </w:rPr>
  </w:style>
  <w:style w:type="character" w:styleId="42">
    <w:name w:val="Header Char"/>
    <w:basedOn w:val="668"/>
    <w:link w:val="683"/>
    <w:uiPriority w:val="99"/>
  </w:style>
  <w:style w:type="character" w:styleId="46">
    <w:name w:val="Caption Char"/>
    <w:basedOn w:val="672"/>
    <w:link w:val="682"/>
    <w:uiPriority w:val="99"/>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80"/>
    <w:uiPriority w:val="99"/>
    <w:rPr>
      <w:sz w:val="20"/>
    </w:rPr>
  </w:style>
  <w:style w:type="paragraph" w:styleId="189">
    <w:name w:val="TOC Heading"/>
    <w:uiPriority w:val="39"/>
    <w:unhideWhenUsed/>
  </w:style>
  <w:style w:type="paragraph" w:styleId="65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59">
    <w:name w:val="Heading 1"/>
    <w:basedOn w:val="658"/>
    <w:next w:val="658"/>
    <w:link w:val="705"/>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6"/>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07"/>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9"/>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10"/>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711"/>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712"/>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13"/>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spacing w:after="57"/>
    </w:pPr>
  </w:style>
  <w:style w:type="paragraph" w:styleId="671">
    <w:name w:val="Normal Indent"/>
    <w:basedOn w:val="658"/>
    <w:next w:val="658"/>
    <w:uiPriority w:val="0"/>
    <w:qFormat/>
    <w:pPr>
      <w:ind w:firstLine="420"/>
      <w:jc w:val="left"/>
    </w:pPr>
    <w:rPr>
      <w:rFonts w:eastAsia="楷体_GB2312"/>
      <w:sz w:val="24"/>
      <w:szCs w:val="20"/>
    </w:rPr>
  </w:style>
  <w:style w:type="paragraph" w:styleId="672">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annotation text"/>
    <w:basedOn w:val="658"/>
    <w:link w:val="893"/>
    <w:uiPriority w:val="99"/>
    <w:semiHidden/>
    <w:unhideWhenUsed/>
    <w:qFormat/>
    <w:pPr>
      <w:jc w:val="left"/>
    </w:pPr>
  </w:style>
  <w:style w:type="paragraph" w:styleId="674">
    <w:name w:val="Body Text"/>
    <w:basedOn w:val="658"/>
    <w:uiPriority w:val="0"/>
    <w:qFormat/>
    <w:pPr>
      <w:spacing w:line="400" w:lineRule="exact"/>
    </w:pPr>
    <w:rPr>
      <w:rFonts w:ascii="楷体_GB2312" w:eastAsia="楷体_GB2312"/>
      <w:sz w:val="28"/>
      <w:szCs w:val="20"/>
    </w:rPr>
  </w:style>
  <w:style w:type="paragraph" w:styleId="675">
    <w:name w:val="Body Text Indent"/>
    <w:basedOn w:val="658"/>
    <w:next w:val="658"/>
    <w:uiPriority w:val="0"/>
    <w:qFormat/>
    <w:pPr>
      <w:ind w:firstLine="560"/>
      <w:spacing w:line="560" w:lineRule="exact"/>
    </w:pPr>
    <w:rPr>
      <w:rFonts w:ascii="宋体" w:hAnsi="宋体"/>
    </w:rPr>
  </w:style>
  <w:style w:type="paragraph" w:styleId="676">
    <w:name w:val="toc 5"/>
    <w:basedOn w:val="658"/>
    <w:next w:val="658"/>
    <w:uiPriority w:val="39"/>
    <w:unhideWhenUsed/>
    <w:qFormat/>
    <w:pPr>
      <w:ind w:left="1134"/>
      <w:spacing w:after="57"/>
    </w:pPr>
  </w:style>
  <w:style w:type="paragraph" w:styleId="677">
    <w:name w:val="toc 3"/>
    <w:basedOn w:val="658"/>
    <w:next w:val="658"/>
    <w:uiPriority w:val="39"/>
    <w:unhideWhenUsed/>
    <w:qFormat/>
    <w:pPr>
      <w:ind w:left="567"/>
      <w:spacing w:after="57"/>
    </w:pPr>
  </w:style>
  <w:style w:type="paragraph" w:styleId="678">
    <w:name w:val="Plain Text"/>
    <w:basedOn w:val="658"/>
    <w:uiPriority w:val="0"/>
    <w:qFormat/>
    <w:pPr>
      <w:jc w:val="left"/>
      <w:widowControl/>
    </w:pPr>
    <w:rPr>
      <w:rFonts w:ascii="宋体" w:hAnsi="Courier New"/>
      <w:szCs w:val="21"/>
    </w:rPr>
  </w:style>
  <w:style w:type="paragraph" w:styleId="679">
    <w:name w:val="toc 8"/>
    <w:basedOn w:val="658"/>
    <w:next w:val="658"/>
    <w:uiPriority w:val="39"/>
    <w:unhideWhenUsed/>
    <w:qFormat/>
    <w:pPr>
      <w:ind w:left="1984"/>
      <w:spacing w:after="57"/>
    </w:pPr>
  </w:style>
  <w:style w:type="paragraph" w:styleId="680">
    <w:name w:val="endnote text"/>
    <w:basedOn w:val="658"/>
    <w:link w:val="851"/>
    <w:uiPriority w:val="99"/>
    <w:semiHidden/>
    <w:unhideWhenUsed/>
    <w:qFormat/>
    <w:rPr>
      <w:sz w:val="20"/>
    </w:rPr>
  </w:style>
  <w:style w:type="paragraph" w:styleId="681">
    <w:name w:val="Balloon Text"/>
    <w:basedOn w:val="658"/>
    <w:link w:val="892"/>
    <w:uiPriority w:val="99"/>
    <w:semiHidden/>
    <w:unhideWhenUsed/>
    <w:qFormat/>
    <w:rPr>
      <w:sz w:val="18"/>
      <w:szCs w:val="18"/>
    </w:rPr>
  </w:style>
  <w:style w:type="paragraph" w:styleId="682">
    <w:name w:val="Footer"/>
    <w:basedOn w:val="658"/>
    <w:link w:val="724"/>
    <w:uiPriority w:val="99"/>
    <w:unhideWhenUsed/>
    <w:qFormat/>
    <w:pPr>
      <w:tabs>
        <w:tab w:val="center" w:pos="7143" w:leader="none"/>
        <w:tab w:val="right" w:pos="14287" w:leader="none"/>
      </w:tabs>
    </w:pPr>
  </w:style>
  <w:style w:type="paragraph" w:styleId="683">
    <w:name w:val="Header"/>
    <w:basedOn w:val="658"/>
    <w:link w:val="722"/>
    <w:uiPriority w:val="99"/>
    <w:unhideWhenUsed/>
    <w:qFormat/>
    <w:pPr>
      <w:tabs>
        <w:tab w:val="center" w:pos="7143" w:leader="none"/>
        <w:tab w:val="right" w:pos="14287" w:leader="none"/>
      </w:tabs>
    </w:pPr>
  </w:style>
  <w:style w:type="paragraph" w:styleId="684">
    <w:name w:val="toc 1"/>
    <w:basedOn w:val="658"/>
    <w:next w:val="658"/>
    <w:uiPriority w:val="39"/>
    <w:unhideWhenUsed/>
    <w:qFormat/>
    <w:pPr>
      <w:spacing w:after="57"/>
    </w:pPr>
  </w:style>
  <w:style w:type="paragraph" w:styleId="685">
    <w:name w:val="toc 4"/>
    <w:basedOn w:val="658"/>
    <w:next w:val="658"/>
    <w:uiPriority w:val="39"/>
    <w:unhideWhenUsed/>
    <w:qFormat/>
    <w:pPr>
      <w:ind w:left="850"/>
      <w:spacing w:after="57"/>
    </w:pPr>
  </w:style>
  <w:style w:type="paragraph" w:styleId="686">
    <w:name w:val="Subtitle"/>
    <w:basedOn w:val="658"/>
    <w:next w:val="658"/>
    <w:link w:val="717"/>
    <w:uiPriority w:val="11"/>
    <w:qFormat/>
    <w:pPr>
      <w:spacing w:before="200" w:after="200"/>
    </w:pPr>
    <w:rPr>
      <w:sz w:val="24"/>
      <w:szCs w:val="24"/>
    </w:rPr>
  </w:style>
  <w:style w:type="paragraph" w:styleId="687">
    <w:name w:val="footnote text"/>
    <w:basedOn w:val="658"/>
    <w:link w:val="850"/>
    <w:uiPriority w:val="99"/>
    <w:semiHidden/>
    <w:unhideWhenUsed/>
    <w:qFormat/>
    <w:pPr>
      <w:spacing w:after="40"/>
    </w:pPr>
    <w:rPr>
      <w:sz w:val="18"/>
    </w:rPr>
  </w:style>
  <w:style w:type="paragraph" w:styleId="688">
    <w:name w:val="toc 6"/>
    <w:basedOn w:val="658"/>
    <w:next w:val="658"/>
    <w:uiPriority w:val="39"/>
    <w:unhideWhenUsed/>
    <w:qFormat/>
    <w:pPr>
      <w:ind w:left="1417"/>
      <w:spacing w:after="57"/>
    </w:pPr>
  </w:style>
  <w:style w:type="paragraph" w:styleId="689">
    <w:name w:val="table of figures"/>
    <w:basedOn w:val="658"/>
    <w:next w:val="658"/>
    <w:uiPriority w:val="99"/>
    <w:unhideWhenUsed/>
    <w:qFormat/>
  </w:style>
  <w:style w:type="paragraph" w:styleId="690">
    <w:name w:val="toc 2"/>
    <w:basedOn w:val="658"/>
    <w:next w:val="658"/>
    <w:uiPriority w:val="39"/>
    <w:unhideWhenUsed/>
    <w:qFormat/>
    <w:pPr>
      <w:ind w:left="283"/>
      <w:spacing w:after="57"/>
    </w:pPr>
  </w:style>
  <w:style w:type="paragraph" w:styleId="691">
    <w:name w:val="toc 9"/>
    <w:basedOn w:val="658"/>
    <w:next w:val="658"/>
    <w:uiPriority w:val="39"/>
    <w:unhideWhenUsed/>
    <w:qFormat/>
    <w:pPr>
      <w:ind w:left="2268"/>
      <w:spacing w:after="57"/>
    </w:pPr>
  </w:style>
  <w:style w:type="paragraph" w:styleId="692">
    <w:name w:val="Normal (Web)"/>
    <w:basedOn w:val="658"/>
    <w:uiPriority w:val="99"/>
    <w:semiHidden/>
    <w:unhideWhenUsed/>
    <w:qFormat/>
    <w:rPr>
      <w:sz w:val="24"/>
    </w:rPr>
  </w:style>
  <w:style w:type="paragraph" w:styleId="693">
    <w:name w:val="Title"/>
    <w:basedOn w:val="658"/>
    <w:next w:val="658"/>
    <w:link w:val="716"/>
    <w:uiPriority w:val="10"/>
    <w:qFormat/>
    <w:pPr>
      <w:contextualSpacing/>
      <w:spacing w:before="300" w:after="200"/>
    </w:pPr>
    <w:rPr>
      <w:sz w:val="48"/>
      <w:szCs w:val="48"/>
    </w:rPr>
  </w:style>
  <w:style w:type="paragraph" w:styleId="694">
    <w:name w:val="annotation subject"/>
    <w:basedOn w:val="673"/>
    <w:next w:val="673"/>
    <w:link w:val="894"/>
    <w:uiPriority w:val="99"/>
    <w:semiHidden/>
    <w:unhideWhenUsed/>
    <w:qFormat/>
    <w:rPr>
      <w:b/>
      <w:bCs/>
    </w:rPr>
  </w:style>
  <w:style w:type="paragraph" w:styleId="695">
    <w:name w:val="Body Text First Indent 2"/>
    <w:basedOn w:val="675"/>
    <w:uiPriority w:val="99"/>
    <w:unhideWhenUsed/>
    <w:qFormat/>
    <w:pPr>
      <w:ind w:left="420" w:firstLine="420"/>
      <w:spacing w:after="120"/>
    </w:pPr>
    <w:rPr>
      <w:rFonts w:ascii="Calibri" w:hAnsi="Calibri"/>
    </w:rPr>
  </w:style>
  <w:style w:type="table" w:styleId="6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Strong"/>
    <w:basedOn w:val="668"/>
    <w:uiPriority w:val="22"/>
    <w:qFormat/>
    <w:rPr>
      <w:b/>
    </w:rPr>
  </w:style>
  <w:style w:type="character" w:styleId="698">
    <w:name w:val="endnote reference"/>
    <w:uiPriority w:val="99"/>
    <w:semiHidden/>
    <w:unhideWhenUsed/>
    <w:qFormat/>
    <w:rPr>
      <w:vertAlign w:val="superscript"/>
    </w:rPr>
  </w:style>
  <w:style w:type="character" w:styleId="699">
    <w:name w:val="FollowedHyperlink"/>
    <w:basedOn w:val="668"/>
    <w:uiPriority w:val="99"/>
    <w:semiHidden/>
    <w:unhideWhenUsed/>
    <w:qFormat/>
    <w:rPr>
      <w:color w:val="333333"/>
      <w:u w:val="none"/>
    </w:rPr>
  </w:style>
  <w:style w:type="character" w:styleId="700">
    <w:name w:val="Emphasis"/>
    <w:basedOn w:val="668"/>
    <w:uiPriority w:val="20"/>
    <w:qFormat/>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annotation reference"/>
    <w:basedOn w:val="668"/>
    <w:uiPriority w:val="99"/>
    <w:semiHidden/>
    <w:unhideWhenUsed/>
    <w:qFormat/>
    <w:rPr>
      <w:sz w:val="21"/>
      <w:szCs w:val="21"/>
    </w:rPr>
  </w:style>
  <w:style w:type="character" w:styleId="703">
    <w:name w:val="footnote reference"/>
    <w:uiPriority w:val="99"/>
    <w:unhideWhenUsed/>
    <w:qFormat/>
    <w:rPr>
      <w:vertAlign w:val="superscript"/>
    </w:rPr>
  </w:style>
  <w:style w:type="paragraph" w:styleId="704" w:customStyle="1">
    <w:name w:val="文档结构图1"/>
    <w:basedOn w:val="658"/>
    <w:next w:val="658"/>
    <w:uiPriority w:val="0"/>
    <w:qFormat/>
    <w:rPr>
      <w:rFonts w:ascii="Calibri" w:hAnsi="Calibri" w:cs="Calibri"/>
      <w:color w:val="000000"/>
      <w:szCs w:val="21"/>
    </w:rPr>
  </w:style>
  <w:style w:type="character" w:styleId="705" w:customStyle="1">
    <w:name w:val="标题 1 字符"/>
    <w:link w:val="659"/>
    <w:uiPriority w:val="9"/>
    <w:qFormat/>
    <w:rPr>
      <w:rFonts w:ascii="Arial" w:hAnsi="Arial" w:eastAsia="Arial" w:cs="Arial"/>
      <w:sz w:val="40"/>
      <w:szCs w:val="40"/>
    </w:rPr>
  </w:style>
  <w:style w:type="character" w:styleId="706" w:customStyle="1">
    <w:name w:val="标题 2 字符"/>
    <w:link w:val="660"/>
    <w:uiPriority w:val="9"/>
    <w:qFormat/>
    <w:rPr>
      <w:rFonts w:ascii="Arial" w:hAnsi="Arial" w:eastAsia="Arial" w:cs="Arial"/>
      <w:sz w:val="34"/>
    </w:rPr>
  </w:style>
  <w:style w:type="character" w:styleId="707" w:customStyle="1">
    <w:name w:val="标题 3 字符"/>
    <w:link w:val="661"/>
    <w:uiPriority w:val="9"/>
    <w:qFormat/>
    <w:rPr>
      <w:rFonts w:ascii="Arial" w:hAnsi="Arial" w:eastAsia="Arial" w:cs="Arial"/>
      <w:sz w:val="30"/>
      <w:szCs w:val="30"/>
    </w:rPr>
  </w:style>
  <w:style w:type="character" w:styleId="708" w:customStyle="1">
    <w:name w:val="标题 4 字符"/>
    <w:link w:val="662"/>
    <w:uiPriority w:val="9"/>
    <w:qFormat/>
    <w:rPr>
      <w:rFonts w:ascii="Arial" w:hAnsi="Arial" w:eastAsia="Arial" w:cs="Arial"/>
      <w:b/>
      <w:bCs/>
      <w:sz w:val="26"/>
      <w:szCs w:val="26"/>
    </w:rPr>
  </w:style>
  <w:style w:type="character" w:styleId="709" w:customStyle="1">
    <w:name w:val="标题 5 字符"/>
    <w:link w:val="663"/>
    <w:uiPriority w:val="9"/>
    <w:qFormat/>
    <w:rPr>
      <w:rFonts w:ascii="Arial" w:hAnsi="Arial" w:eastAsia="Arial" w:cs="Arial"/>
      <w:b/>
      <w:bCs/>
      <w:sz w:val="24"/>
      <w:szCs w:val="24"/>
    </w:rPr>
  </w:style>
  <w:style w:type="character" w:styleId="710" w:customStyle="1">
    <w:name w:val="标题 6 字符"/>
    <w:link w:val="664"/>
    <w:uiPriority w:val="9"/>
    <w:qFormat/>
    <w:rPr>
      <w:rFonts w:ascii="Arial" w:hAnsi="Arial" w:eastAsia="Arial" w:cs="Arial"/>
      <w:b/>
      <w:bCs/>
      <w:sz w:val="22"/>
      <w:szCs w:val="22"/>
    </w:rPr>
  </w:style>
  <w:style w:type="character" w:styleId="711" w:customStyle="1">
    <w:name w:val="标题 7 字符"/>
    <w:link w:val="665"/>
    <w:uiPriority w:val="9"/>
    <w:qFormat/>
    <w:rPr>
      <w:rFonts w:ascii="Arial" w:hAnsi="Arial" w:eastAsia="Arial" w:cs="Arial"/>
      <w:b/>
      <w:bCs/>
      <w:i/>
      <w:iCs/>
      <w:sz w:val="22"/>
      <w:szCs w:val="22"/>
    </w:rPr>
  </w:style>
  <w:style w:type="character" w:styleId="712" w:customStyle="1">
    <w:name w:val="标题 8 字符"/>
    <w:link w:val="666"/>
    <w:uiPriority w:val="9"/>
    <w:qFormat/>
    <w:rPr>
      <w:rFonts w:ascii="Arial" w:hAnsi="Arial" w:eastAsia="Arial" w:cs="Arial"/>
      <w:i/>
      <w:iCs/>
      <w:sz w:val="22"/>
      <w:szCs w:val="22"/>
    </w:rPr>
  </w:style>
  <w:style w:type="character" w:styleId="713" w:customStyle="1">
    <w:name w:val="标题 9 字符"/>
    <w:link w:val="667"/>
    <w:uiPriority w:val="9"/>
    <w:qFormat/>
    <w:rPr>
      <w:rFonts w:ascii="Arial" w:hAnsi="Arial" w:eastAsia="Arial" w:cs="Arial"/>
      <w:i/>
      <w:iCs/>
      <w:sz w:val="21"/>
      <w:szCs w:val="21"/>
    </w:rPr>
  </w:style>
  <w:style w:type="paragraph" w:styleId="714">
    <w:name w:val="List Paragraph"/>
    <w:basedOn w:val="658"/>
    <w:uiPriority w:val="34"/>
    <w:qFormat/>
    <w:pPr>
      <w:contextualSpacing/>
      <w:ind w:left="720"/>
    </w:pPr>
  </w:style>
  <w:style w:type="paragraph" w:styleId="715">
    <w:name w:val="No Spacing"/>
    <w:uiPriority w:val="1"/>
    <w:qFormat/>
    <w:rPr>
      <w:rFonts w:ascii="Times New Roman" w:hAnsi="Times New Roman" w:eastAsia="宋体" w:cs="Times New Roman"/>
      <w:lang w:val="en-US" w:eastAsia="zh-CN" w:bidi="ar-SA"/>
    </w:rPr>
  </w:style>
  <w:style w:type="character" w:styleId="716" w:customStyle="1">
    <w:name w:val="标题 字符"/>
    <w:link w:val="693"/>
    <w:uiPriority w:val="10"/>
    <w:qFormat/>
    <w:rPr>
      <w:sz w:val="48"/>
      <w:szCs w:val="48"/>
    </w:rPr>
  </w:style>
  <w:style w:type="character" w:styleId="717" w:customStyle="1">
    <w:name w:val="副标题 字符"/>
    <w:link w:val="686"/>
    <w:uiPriority w:val="11"/>
    <w:qFormat/>
    <w:rPr>
      <w:sz w:val="24"/>
      <w:szCs w:val="24"/>
    </w:rPr>
  </w:style>
  <w:style w:type="paragraph" w:styleId="718">
    <w:name w:val="Quote"/>
    <w:basedOn w:val="658"/>
    <w:next w:val="658"/>
    <w:link w:val="719"/>
    <w:uiPriority w:val="29"/>
    <w:qFormat/>
    <w:pPr>
      <w:ind w:left="720" w:right="720"/>
    </w:pPr>
    <w:rPr>
      <w:i/>
    </w:rPr>
  </w:style>
  <w:style w:type="character" w:styleId="719" w:customStyle="1">
    <w:name w:val="引用 字符"/>
    <w:link w:val="718"/>
    <w:uiPriority w:val="29"/>
    <w:qFormat/>
    <w:rPr>
      <w:i/>
    </w:rPr>
  </w:style>
  <w:style w:type="paragraph" w:styleId="720">
    <w:name w:val="Intense Quote"/>
    <w:basedOn w:val="658"/>
    <w:next w:val="658"/>
    <w:link w:val="7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明显引用 字符"/>
    <w:link w:val="720"/>
    <w:uiPriority w:val="30"/>
    <w:qFormat/>
    <w:rPr>
      <w:i/>
    </w:rPr>
  </w:style>
  <w:style w:type="character" w:styleId="722" w:customStyle="1">
    <w:name w:val="页眉 字符"/>
    <w:link w:val="683"/>
    <w:uiPriority w:val="99"/>
    <w:qFormat/>
  </w:style>
  <w:style w:type="character" w:styleId="723" w:customStyle="1">
    <w:name w:val="Footer Char"/>
    <w:uiPriority w:val="99"/>
    <w:qFormat/>
  </w:style>
  <w:style w:type="character" w:styleId="724" w:customStyle="1">
    <w:name w:val="页脚 字符"/>
    <w:link w:val="682"/>
    <w:uiPriority w:val="99"/>
    <w:qFormat/>
  </w:style>
  <w:style w:type="table" w:styleId="7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脚注文本 字符"/>
    <w:link w:val="687"/>
    <w:uiPriority w:val="99"/>
    <w:qFormat/>
    <w:rPr>
      <w:sz w:val="18"/>
    </w:rPr>
  </w:style>
  <w:style w:type="character" w:styleId="851" w:customStyle="1">
    <w:name w:val="尾注文本 字符"/>
    <w:link w:val="680"/>
    <w:uiPriority w:val="99"/>
    <w:qFormat/>
    <w:rPr>
      <w:sz w:val="20"/>
    </w:rPr>
  </w:style>
  <w:style w:type="paragraph" w:styleId="852" w:customStyle="1">
    <w:name w:val="TOC 标题1"/>
    <w:uiPriority w:val="39"/>
    <w:unhideWhenUsed/>
    <w:qFormat/>
    <w:rPr>
      <w:rFonts w:ascii="Times New Roman" w:hAnsi="Times New Roman" w:eastAsia="宋体" w:cs="Times New Roman"/>
      <w:lang w:val="en-US" w:eastAsia="zh-CN" w:bidi="ar-SA"/>
    </w:rPr>
  </w:style>
  <w:style w:type="character" w:styleId="853" w:customStyle="1">
    <w:name w:val="默认段落字体1"/>
    <w:uiPriority w:val="1"/>
    <w:unhideWhenUsed/>
    <w:qFormat/>
  </w:style>
  <w:style w:type="table" w:styleId="854" w:customStyle="1">
    <w:name w:val="普通表格1"/>
    <w:uiPriority w:val="99"/>
    <w:unhideWhenUsed/>
    <w:qFormat/>
    <w:tblPr>
      <w:tblCellMar>
        <w:left w:w="0" w:type="dxa"/>
        <w:top w:w="0" w:type="dxa"/>
        <w:right w:w="0" w:type="dxa"/>
        <w:bottom w:w="0" w:type="dxa"/>
      </w:tblCellMar>
    </w:tblPr>
  </w:style>
  <w:style w:type="paragraph" w:styleId="855" w:customStyle="1">
    <w:name w:val="正文缩进11"/>
    <w:basedOn w:val="658"/>
    <w:next w:val="658"/>
    <w:uiPriority w:val="0"/>
    <w:qFormat/>
    <w:pPr>
      <w:ind w:firstLine="420"/>
      <w:jc w:val="left"/>
    </w:pPr>
    <w:rPr>
      <w:rFonts w:eastAsia="楷体_GB2312"/>
      <w:sz w:val="24"/>
      <w:szCs w:val="20"/>
    </w:rPr>
  </w:style>
  <w:style w:type="paragraph" w:styleId="856" w:customStyle="1">
    <w:name w:val="正文文本1"/>
    <w:basedOn w:val="658"/>
    <w:link w:val="857"/>
    <w:uiPriority w:val="99"/>
    <w:unhideWhenUsed/>
    <w:qFormat/>
    <w:pPr>
      <w:spacing w:after="120"/>
    </w:pPr>
    <w:rPr>
      <w:szCs w:val="24"/>
    </w:rPr>
  </w:style>
  <w:style w:type="character" w:styleId="857" w:customStyle="1">
    <w:name w:val="正文文本 Char"/>
    <w:basedOn w:val="853"/>
    <w:link w:val="856"/>
    <w:uiPriority w:val="99"/>
    <w:qFormat/>
    <w:rPr>
      <w:rFonts w:ascii="Times New Roman" w:hAnsi="Times New Roman" w:eastAsia="宋体" w:cs="Times New Roman"/>
      <w:szCs w:val="24"/>
    </w:rPr>
  </w:style>
  <w:style w:type="paragraph" w:styleId="858" w:customStyle="1">
    <w:name w:val="正文文本缩进11"/>
    <w:basedOn w:val="658"/>
    <w:next w:val="859"/>
    <w:link w:val="860"/>
    <w:uiPriority w:val="0"/>
    <w:qFormat/>
    <w:pPr>
      <w:ind w:left="570"/>
      <w:spacing w:line="520" w:lineRule="exact"/>
    </w:pPr>
    <w:rPr>
      <w:rFonts w:ascii="方正仿宋简体" w:hAnsi="创艺简仿宋" w:eastAsia="方正仿宋简体"/>
      <w:sz w:val="24"/>
      <w:szCs w:val="20"/>
    </w:rPr>
  </w:style>
  <w:style w:type="paragraph" w:styleId="859" w:customStyle="1">
    <w:name w:val="目录 51"/>
    <w:next w:val="658"/>
    <w:uiPriority w:val="0"/>
    <w:qFormat/>
    <w:pPr>
      <w:ind w:left="1275"/>
      <w:jc w:val="both"/>
    </w:pPr>
    <w:rPr>
      <w:rFonts w:ascii="Times New Roman" w:hAnsi="Times New Roman" w:eastAsia="宋体" w:cs="Times New Roman"/>
      <w:sz w:val="21"/>
      <w:lang w:val="en-US" w:eastAsia="zh-CN" w:bidi="ar-SA"/>
    </w:rPr>
  </w:style>
  <w:style w:type="character" w:styleId="860" w:customStyle="1">
    <w:name w:val="正文文本缩进 Char"/>
    <w:basedOn w:val="853"/>
    <w:link w:val="858"/>
    <w:uiPriority w:val="0"/>
    <w:qFormat/>
    <w:rPr>
      <w:rFonts w:ascii="方正仿宋简体" w:hAnsi="创艺简仿宋" w:eastAsia="方正仿宋简体" w:cs="Times New Roman"/>
      <w:sz w:val="24"/>
      <w:szCs w:val="20"/>
    </w:rPr>
  </w:style>
  <w:style w:type="paragraph" w:styleId="861" w:customStyle="1">
    <w:name w:val="日期1"/>
    <w:basedOn w:val="658"/>
    <w:next w:val="658"/>
    <w:link w:val="862"/>
    <w:uiPriority w:val="99"/>
    <w:unhideWhenUsed/>
    <w:qFormat/>
    <w:pPr>
      <w:ind w:left="100"/>
    </w:pPr>
  </w:style>
  <w:style w:type="character" w:styleId="862" w:customStyle="1">
    <w:name w:val="日期 Char"/>
    <w:basedOn w:val="853"/>
    <w:link w:val="861"/>
    <w:uiPriority w:val="99"/>
    <w:semiHidden/>
    <w:qFormat/>
    <w:rPr>
      <w:sz w:val="21"/>
      <w:szCs w:val="22"/>
    </w:rPr>
  </w:style>
  <w:style w:type="paragraph" w:styleId="863" w:customStyle="1">
    <w:name w:val="批注框文本1"/>
    <w:basedOn w:val="658"/>
    <w:link w:val="864"/>
    <w:uiPriority w:val="99"/>
    <w:unhideWhenUsed/>
    <w:qFormat/>
    <w:rPr>
      <w:sz w:val="18"/>
      <w:szCs w:val="18"/>
    </w:rPr>
  </w:style>
  <w:style w:type="character" w:styleId="864" w:customStyle="1">
    <w:name w:val="批注框文本 Char"/>
    <w:basedOn w:val="853"/>
    <w:link w:val="863"/>
    <w:uiPriority w:val="99"/>
    <w:semiHidden/>
    <w:qFormat/>
    <w:rPr>
      <w:sz w:val="18"/>
      <w:szCs w:val="18"/>
    </w:rPr>
  </w:style>
  <w:style w:type="paragraph" w:styleId="865" w:customStyle="1">
    <w:name w:val="页脚1"/>
    <w:basedOn w:val="658"/>
    <w:link w:val="866"/>
    <w:uiPriority w:val="99"/>
    <w:qFormat/>
    <w:pPr>
      <w:jc w:val="left"/>
      <w:tabs>
        <w:tab w:val="center" w:pos="4153" w:leader="none"/>
        <w:tab w:val="right" w:pos="8306" w:leader="none"/>
      </w:tabs>
    </w:pPr>
    <w:rPr>
      <w:rFonts w:ascii="Calibri" w:hAnsi="Calibri"/>
      <w:sz w:val="18"/>
      <w:szCs w:val="18"/>
    </w:rPr>
  </w:style>
  <w:style w:type="character" w:styleId="866" w:customStyle="1">
    <w:name w:val="页脚 Char"/>
    <w:basedOn w:val="853"/>
    <w:link w:val="865"/>
    <w:uiPriority w:val="99"/>
    <w:qFormat/>
    <w:rPr>
      <w:rFonts w:ascii="Calibri" w:hAnsi="Calibri" w:eastAsia="宋体" w:cs="Times New Roman"/>
      <w:sz w:val="18"/>
      <w:szCs w:val="18"/>
    </w:rPr>
  </w:style>
  <w:style w:type="paragraph" w:styleId="867" w:customStyle="1">
    <w:name w:val="寄信人地址1"/>
    <w:basedOn w:val="658"/>
    <w:uiPriority w:val="0"/>
    <w:qFormat/>
    <w:rPr>
      <w:rFonts w:ascii="Arial" w:hAnsi="Arial" w:eastAsia="楷体_GB2312"/>
      <w:sz w:val="26"/>
      <w:szCs w:val="20"/>
    </w:rPr>
  </w:style>
  <w:style w:type="paragraph" w:styleId="868" w:customStyle="1">
    <w:name w:val="页眉1"/>
    <w:basedOn w:val="658"/>
    <w:link w:val="869"/>
    <w:uiPriority w:val="99"/>
    <w:unhideWhenUsed/>
    <w:qFormat/>
    <w:pPr>
      <w:jc w:val="center"/>
      <w:tabs>
        <w:tab w:val="center" w:pos="4153" w:leader="none"/>
        <w:tab w:val="right" w:pos="8306" w:leader="none"/>
      </w:tabs>
    </w:pPr>
    <w:rPr>
      <w:sz w:val="18"/>
      <w:szCs w:val="18"/>
    </w:rPr>
  </w:style>
  <w:style w:type="character" w:styleId="869" w:customStyle="1">
    <w:name w:val="页眉 Char"/>
    <w:basedOn w:val="853"/>
    <w:link w:val="868"/>
    <w:uiPriority w:val="99"/>
    <w:semiHidden/>
    <w:qFormat/>
    <w:rPr>
      <w:sz w:val="18"/>
      <w:szCs w:val="18"/>
    </w:rPr>
  </w:style>
  <w:style w:type="paragraph" w:styleId="870" w:customStyle="1">
    <w:name w:val="目录 11"/>
    <w:basedOn w:val="658"/>
    <w:next w:val="658"/>
    <w:uiPriority w:val="0"/>
    <w:qFormat/>
    <w:pPr>
      <w:jc w:val="left"/>
    </w:pPr>
    <w:rPr>
      <w:rFonts w:ascii="Calibri" w:hAnsi="Calibri"/>
      <w:sz w:val="24"/>
      <w:szCs w:val="24"/>
    </w:rPr>
  </w:style>
  <w:style w:type="paragraph" w:styleId="871" w:customStyle="1">
    <w:name w:val="正文文本缩进 31"/>
    <w:basedOn w:val="658"/>
    <w:link w:val="872"/>
    <w:uiPriority w:val="0"/>
    <w:qFormat/>
    <w:pPr>
      <w:ind w:firstLine="617"/>
      <w:spacing w:line="360" w:lineRule="auto"/>
    </w:pPr>
    <w:rPr>
      <w:sz w:val="24"/>
      <w:szCs w:val="24"/>
    </w:rPr>
  </w:style>
  <w:style w:type="character" w:styleId="872" w:customStyle="1">
    <w:name w:val="正文文本缩进 3 Char"/>
    <w:basedOn w:val="853"/>
    <w:link w:val="871"/>
    <w:uiPriority w:val="0"/>
    <w:qFormat/>
    <w:rPr>
      <w:rFonts w:ascii="Times New Roman" w:hAnsi="Times New Roman" w:eastAsia="宋体" w:cs="Times New Roman"/>
      <w:sz w:val="24"/>
      <w:szCs w:val="24"/>
    </w:rPr>
  </w:style>
  <w:style w:type="paragraph" w:styleId="873" w:customStyle="1">
    <w:name w:val="普通(网站)1"/>
    <w:basedOn w:val="658"/>
    <w:uiPriority w:val="99"/>
    <w:qFormat/>
    <w:pPr>
      <w:jc w:val="left"/>
      <w:spacing w:beforeAutospacing="1" w:afterAutospacing="1"/>
    </w:pPr>
    <w:rPr>
      <w:rFonts w:ascii="Calibri" w:hAnsi="Calibri"/>
      <w:sz w:val="24"/>
      <w:szCs w:val="24"/>
    </w:rPr>
  </w:style>
  <w:style w:type="paragraph" w:styleId="874" w:customStyle="1">
    <w:name w:val="正文首行缩进 211"/>
    <w:basedOn w:val="858"/>
    <w:uiPriority w:val="0"/>
    <w:qFormat/>
    <w:pPr>
      <w:ind w:left="420" w:firstLine="420"/>
      <w:spacing w:after="120" w:line="240" w:lineRule="auto"/>
    </w:pPr>
    <w:rPr>
      <w:rFonts w:ascii="Times New Roman" w:hAnsi="Times New Roman" w:eastAsia="宋体"/>
      <w:sz w:val="21"/>
      <w:szCs w:val="24"/>
    </w:rPr>
  </w:style>
  <w:style w:type="character" w:styleId="875" w:customStyle="1">
    <w:name w:val="要点1"/>
    <w:basedOn w:val="853"/>
    <w:uiPriority w:val="0"/>
    <w:qFormat/>
    <w:rPr>
      <w:rFonts w:ascii="Times New Roman" w:hAnsi="Times New Roman" w:eastAsia="宋体" w:cs="Times New Roman"/>
      <w:b/>
    </w:rPr>
  </w:style>
  <w:style w:type="character" w:styleId="876" w:customStyle="1">
    <w:name w:val="页码1"/>
    <w:basedOn w:val="853"/>
    <w:uiPriority w:val="99"/>
    <w:unhideWhenUsed/>
    <w:qFormat/>
  </w:style>
  <w:style w:type="character" w:styleId="877" w:customStyle="1">
    <w:name w:val="超链接11"/>
    <w:uiPriority w:val="99"/>
    <w:qFormat/>
    <w:rPr>
      <w:rFonts w:ascii="Times New Roman" w:hAnsi="Times New Roman" w:eastAsia="宋体" w:cs="Times New Roman"/>
      <w:color w:val="0000ff"/>
      <w:u w:val="single"/>
    </w:rPr>
  </w:style>
  <w:style w:type="character" w:styleId="878" w:customStyle="1">
    <w:name w:val="超链接1"/>
    <w:uiPriority w:val="99"/>
    <w:qFormat/>
    <w:rPr>
      <w:sz w:val="21"/>
      <w:szCs w:val="22"/>
      <w:lang w:val="en-US" w:eastAsia="zh-CN" w:bidi="ar-SA"/>
    </w:rPr>
  </w:style>
  <w:style w:type="paragraph" w:styleId="8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80" w:customStyle="1">
    <w:name w:val="正文首行缩进 21"/>
    <w:basedOn w:val="881"/>
    <w:uiPriority w:val="0"/>
    <w:qFormat/>
    <w:pPr>
      <w:ind w:firstLine="420"/>
    </w:pPr>
    <w:rPr>
      <w:rFonts w:eastAsia="楷体_GB2312"/>
      <w:sz w:val="28"/>
    </w:rPr>
  </w:style>
  <w:style w:type="paragraph" w:styleId="881" w:customStyle="1">
    <w:name w:val="正文文本缩进1"/>
    <w:basedOn w:val="658"/>
    <w:next w:val="658"/>
    <w:uiPriority w:val="0"/>
    <w:qFormat/>
    <w:pPr>
      <w:ind w:left="570"/>
      <w:spacing w:line="520" w:lineRule="exact"/>
    </w:pPr>
    <w:rPr>
      <w:rFonts w:ascii="方正仿宋简体" w:hAnsi="创艺简仿宋" w:eastAsia="方正仿宋简体"/>
      <w:sz w:val="24"/>
      <w:szCs w:val="20"/>
    </w:rPr>
  </w:style>
  <w:style w:type="paragraph" w:styleId="882" w:customStyle="1">
    <w:name w:val="正文缩进1"/>
    <w:basedOn w:val="658"/>
    <w:next w:val="658"/>
    <w:uiPriority w:val="0"/>
    <w:qFormat/>
    <w:pPr>
      <w:ind w:firstLine="420"/>
      <w:jc w:val="left"/>
    </w:pPr>
    <w:rPr>
      <w:rFonts w:eastAsia="楷体_GB2312"/>
      <w:sz w:val="24"/>
      <w:szCs w:val="20"/>
    </w:rPr>
  </w:style>
  <w:style w:type="paragraph" w:styleId="883" w:customStyle="1">
    <w:name w:val="段"/>
    <w:next w:val="658"/>
    <w:uiPriority w:val="0"/>
    <w:qFormat/>
    <w:pPr>
      <w:ind w:firstLine="200"/>
      <w:jc w:val="both"/>
    </w:pPr>
    <w:rPr>
      <w:rFonts w:ascii="宋体" w:hAnsi="Times New Roman" w:eastAsia="宋体" w:cs="Times New Roman"/>
      <w:sz w:val="21"/>
      <w:lang w:val="en-US" w:eastAsia="zh-CN" w:bidi="ar-SA"/>
    </w:rPr>
  </w:style>
  <w:style w:type="paragraph" w:styleId="884" w:customStyle="1">
    <w:name w:val="首行缩进"/>
    <w:basedOn w:val="658"/>
    <w:uiPriority w:val="0"/>
    <w:qFormat/>
    <w:pPr>
      <w:ind w:firstLine="480"/>
    </w:pPr>
    <w:rPr>
      <w:rFonts w:ascii="Calibri" w:hAnsi="Calibri"/>
      <w:szCs w:val="20"/>
      <w:lang w:val="zh-CN"/>
    </w:rPr>
  </w:style>
  <w:style w:type="paragraph" w:styleId="885" w:customStyle="1">
    <w:name w:val="正文 A"/>
    <w:next w:val="883"/>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paragraph" w:styleId="886" w:customStyle="1">
    <w:name w:val="纯文本111"/>
    <w:basedOn w:val="658"/>
    <w:uiPriority w:val="0"/>
    <w:qFormat/>
    <w:rPr>
      <w:rFonts w:ascii="宋体" w:hAnsi="Courier New" w:eastAsia="楷体_GB2312"/>
      <w:sz w:val="28"/>
      <w:szCs w:val="20"/>
    </w:rPr>
  </w:style>
  <w:style w:type="paragraph" w:styleId="887" w:customStyle="1">
    <w:name w:val="Plain Text1"/>
    <w:basedOn w:val="658"/>
    <w:uiPriority w:val="0"/>
    <w:qFormat/>
    <w:rPr>
      <w:rFonts w:ascii="宋体" w:hAnsi="Courier New"/>
      <w:sz w:val="26"/>
      <w:szCs w:val="20"/>
    </w:rPr>
  </w:style>
  <w:style w:type="paragraph" w:styleId="888" w:customStyle="1">
    <w:name w:val="纯文本1"/>
    <w:basedOn w:val="658"/>
    <w:uiPriority w:val="0"/>
    <w:qFormat/>
    <w:rPr>
      <w:rFonts w:hint="eastAsia" w:ascii="宋体" w:hAnsi="Courier New" w:eastAsia="楷体_GB2312"/>
      <w:sz w:val="28"/>
      <w:szCs w:val="20"/>
    </w:rPr>
  </w:style>
  <w:style w:type="character" w:styleId="889" w:customStyle="1">
    <w:name w:val="NormalCharacter1"/>
    <w:uiPriority w:val="99"/>
    <w:semiHidden/>
    <w:qFormat/>
  </w:style>
  <w:style w:type="paragraph" w:styleId="890" w:customStyle="1">
    <w:name w:val="Body text|1"/>
    <w:basedOn w:val="658"/>
    <w:uiPriority w:val="99"/>
    <w:qFormat/>
    <w:pPr>
      <w:ind w:firstLine="210"/>
      <w:spacing w:after="170" w:line="360" w:lineRule="auto"/>
    </w:pPr>
    <w:rPr>
      <w:rFonts w:cs="宋体"/>
      <w:sz w:val="20"/>
      <w:szCs w:val="20"/>
      <w:lang w:val="zh-TW" w:eastAsia="zh-TW"/>
    </w:rPr>
  </w:style>
  <w:style w:type="paragraph" w:styleId="891" w:customStyle="1">
    <w:name w:val="Andy_正文"/>
    <w:basedOn w:val="658"/>
    <w:uiPriority w:val="0"/>
    <w:qFormat/>
    <w:pPr>
      <w:ind w:firstLine="480"/>
      <w:spacing w:line="360" w:lineRule="auto"/>
    </w:pPr>
    <w:rPr>
      <w:rFonts w:ascii="Calibri" w:hAnsi="Calibri"/>
    </w:rPr>
  </w:style>
  <w:style w:type="character" w:styleId="892" w:customStyle="1">
    <w:name w:val="批注框文本 字符"/>
    <w:basedOn w:val="668"/>
    <w:link w:val="681"/>
    <w:uiPriority w:val="99"/>
    <w:semiHidden/>
    <w:qFormat/>
    <w:rPr>
      <w:rFonts w:ascii="Times New Roman" w:hAnsi="Times New Roman"/>
      <w:sz w:val="18"/>
      <w:szCs w:val="18"/>
    </w:rPr>
  </w:style>
  <w:style w:type="character" w:styleId="893" w:customStyle="1">
    <w:name w:val="批注文字 字符"/>
    <w:basedOn w:val="668"/>
    <w:link w:val="673"/>
    <w:uiPriority w:val="99"/>
    <w:semiHidden/>
    <w:qFormat/>
    <w:rPr>
      <w:rFonts w:ascii="Times New Roman" w:hAnsi="Times New Roman"/>
      <w:sz w:val="21"/>
      <w:szCs w:val="22"/>
    </w:rPr>
  </w:style>
  <w:style w:type="character" w:styleId="894" w:customStyle="1">
    <w:name w:val="批注主题 字符"/>
    <w:basedOn w:val="893"/>
    <w:link w:val="694"/>
    <w:uiPriority w:val="99"/>
    <w:semiHidden/>
    <w:qFormat/>
    <w:rPr>
      <w:rFonts w:ascii="Times New Roman" w:hAnsi="Times New Roman"/>
      <w:b/>
      <w:bCs/>
      <w:sz w:val="21"/>
      <w:szCs w:val="22"/>
    </w:rPr>
  </w:style>
  <w:style w:type="paragraph" w:styleId="895"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9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孙鹏、徐亮、蒲苗苗</cp:lastModifiedBy>
  <cp:revision>14</cp:revision>
  <dcterms:created xsi:type="dcterms:W3CDTF">2023-06-20T01:25:00Z</dcterms:created>
  <dcterms:modified xsi:type="dcterms:W3CDTF">2026-04-24T03:22:55Z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18261E315C8E4FB9AF15CB1502A3519D_13</vt:lpwstr>
  </property>
  <property fmtid="{D5CDD505-2E9C-101B-9397-08002B2CF9AE}" pid="4" name="KSOTemplateDocerSaveRecord">
    <vt:lpwstr>eyJoZGlkIjoiZDQwZjgxM2Y3ODdiYzg2ZTU4ZTc1YTQ0YTU3NGIxYWUiLCJ1c2VySWQiOiI1Njc2NjY1NTYifQ==</vt:lpwstr>
  </property>
</Properties>
</file>