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spacing w:val="80"/>
          <w:sz w:val="64"/>
        </w:rPr>
      </w:pPr>
      <w:r/>
      <w:bookmarkStart w:id="0" w:name="_Toc465856610"/>
      <w:r/>
      <w:r/>
    </w:p>
    <w:p>
      <w:pPr>
        <w:jc w:val="center"/>
        <w:keepLines w:val="0"/>
        <w:keepNext w:val="0"/>
        <w:pageBreakBefore w:val="0"/>
        <w:spacing w:line="240" w:lineRule="exact"/>
        <w:widowControl w:val="off"/>
        <w:rPr>
          <w:rFonts w:eastAsia="文鼎中隶简"/>
          <w:sz w:val="52"/>
        </w:rPr>
      </w:pPr>
      <w:r>
        <w:rPr>
          <w:rFonts w:eastAsia="文鼎中隶简"/>
          <w:sz w:val="52"/>
        </w:rPr>
      </w:r>
      <w:r/>
    </w:p>
    <w:p>
      <w:pPr>
        <w:ind w:left="6500" w:hanging="6500"/>
        <w:spacing w:line="720" w:lineRule="exact"/>
        <w:rPr>
          <w:rFonts w:eastAsia="华康简楷"/>
          <w:sz w:val="72"/>
        </w:rPr>
      </w:pPr>
      <w:r>
        <w:rPr>
          <w:rFonts w:eastAsia="文鼎中隶简"/>
          <w:sz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sz w:val="52"/>
        </w:rPr>
        <w:b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tbl>
      <w:tblPr>
        <w:tblStyle w:val="786"/>
        <w:tblW w:w="839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271"/>
      </w:tblGrid>
      <w:tr>
        <w:trPr>
          <w:jc w:val="center"/>
          <w:trHeight w:val="509"/>
        </w:trPr>
        <w:tc>
          <w:tcPr>
            <w:tcW w:w="2127" w:type="dxa"/>
            <w:vAlign w:val="center"/>
            <w:textDirection w:val="lrTb"/>
            <w:noWrap w:val="false"/>
          </w:tcPr>
          <w:p>
            <w:pPr>
              <w:ind w:firstLine="333"/>
              <w:keepLines w:val="0"/>
              <w:keepNext w:val="0"/>
              <w:pageBreakBefore w:val="0"/>
              <w:spacing w:line="400" w:lineRule="exact"/>
              <w:widowControl w:val="off"/>
              <w:rPr>
                <w:rFonts w:hAnsi="宋体"/>
                <w:b/>
                <w:bCs/>
                <w:spacing w:val="16"/>
                <w:sz w:val="30"/>
                <w:szCs w:val="30"/>
              </w:rPr>
            </w:pPr>
            <w:r/>
            <w:bookmarkStart w:id="1" w:name="OLE_LINK17"/>
            <w:r/>
            <w:bookmarkStart w:id="2" w:name="OLE_LINK14"/>
            <w:r/>
            <w:bookmarkStart w:id="3" w:name="OLE_LINK24"/>
            <w:r/>
            <w:bookmarkStart w:id="4" w:name="OLE_LINK27"/>
            <w:r/>
            <w:bookmarkStart w:id="5" w:name="OLE_LINK1"/>
            <w:r/>
            <w:bookmarkStart w:id="6" w:name="OLE_LINK3"/>
            <w:r/>
            <w:bookmarkStart w:id="7" w:name="OLE_LINK13"/>
            <w:r/>
            <w:bookmarkStart w:id="8" w:name="OLE_LINK29"/>
            <w:r/>
            <w:bookmarkStart w:id="179" w:name="_GoBack"/>
            <w:r>
              <w:rPr>
                <w:rFonts w:hAnsi="宋体"/>
                <w:b/>
                <w:bCs/>
                <w:spacing w:val="16"/>
                <w:sz w:val="30"/>
                <w:szCs w:val="30"/>
              </w:rPr>
              <w:t xml:space="preserve">项目</w:t>
            </w:r>
            <w:r/>
          </w:p>
          <w:p>
            <w:pPr>
              <w:ind w:firstLine="333"/>
              <w:keepLines w:val="0"/>
              <w:keepNext w:val="0"/>
              <w:pageBreakBefore w:val="0"/>
              <w:spacing w:line="400" w:lineRule="exact"/>
              <w:widowControl w:val="off"/>
              <w:rPr>
                <w:b/>
                <w:spacing w:val="40"/>
                <w:sz w:val="30"/>
                <w:szCs w:val="30"/>
              </w:rPr>
            </w:pPr>
            <w:r>
              <w:rPr>
                <w:rFonts w:hAnsi="宋体"/>
                <w:b/>
                <w:bCs/>
                <w:spacing w:val="16"/>
                <w:sz w:val="30"/>
                <w:szCs w:val="30"/>
              </w:rPr>
              <w:t xml:space="preserve">名称：</w:t>
            </w:r>
            <w:bookmarkEnd w:id="1"/>
            <w:bookmarkEnd w:id="2"/>
            <w:bookmarkEnd w:id="3"/>
            <w:bookmarkEnd w:id="4"/>
            <w:bookmarkEnd w:id="5"/>
            <w:bookmarkEnd w:id="6"/>
            <w:bookmarkEnd w:id="7"/>
            <w:bookmarkEnd w:id="8"/>
            <w:r/>
          </w:p>
        </w:tc>
        <w:tc>
          <w:tcPr>
            <w:tcW w:w="6271" w:type="dxa"/>
            <w:vAlign w:val="center"/>
            <w:textDirection w:val="lrTb"/>
            <w:noWrap w:val="false"/>
          </w:tcPr>
          <w:p>
            <w:pPr>
              <w:spacing w:line="800" w:lineRule="exact"/>
              <w:rPr>
                <w:rFonts w:hint="eastAsia" w:eastAsia="宋体"/>
                <w:b/>
                <w:spacing w:val="-20"/>
                <w:sz w:val="30"/>
                <w:szCs w:val="30"/>
                <w:lang w:eastAsia="zh-CN"/>
              </w:rPr>
            </w:pPr>
            <w:r>
              <w:rPr>
                <w:rFonts w:hint="eastAsia" w:ascii="Arial" w:hAnsi="宋体" w:cs="Times New Roman"/>
                <w:b/>
                <w:spacing w:val="0"/>
                <w:sz w:val="30"/>
                <w:szCs w:val="30"/>
                <w:lang w:val="zh-CN" w:eastAsia="zh-CN" w:bidi="ar-SA"/>
              </w:rPr>
              <w:t xml:space="preserve">连云港出入境边防检查站零星维修项目供应商遴选</w:t>
            </w:r>
            <w:r/>
          </w:p>
        </w:tc>
      </w:tr>
      <w:tr>
        <w:trPr>
          <w:jc w:val="center"/>
        </w:trPr>
        <w:tc>
          <w:tcPr>
            <w:tcW w:w="2127" w:type="dxa"/>
            <w:vAlign w:val="center"/>
            <w:textDirection w:val="lrTb"/>
            <w:noWrap w:val="false"/>
          </w:tcPr>
          <w:p>
            <w:pPr>
              <w:ind w:firstLine="333"/>
              <w:keepLines w:val="0"/>
              <w:keepNext w:val="0"/>
              <w:pageBreakBefore w:val="0"/>
              <w:spacing w:line="400" w:lineRule="exact"/>
              <w:widowControl w:val="off"/>
              <w:rPr>
                <w:rFonts w:hint="eastAsia" w:hAnsi="宋体"/>
                <w:b/>
                <w:bCs/>
                <w:spacing w:val="16"/>
                <w:sz w:val="30"/>
                <w:szCs w:val="30"/>
              </w:rPr>
            </w:pPr>
            <w:r/>
            <w:bookmarkStart w:id="9" w:name="OLE_LINK2"/>
            <w:r/>
            <w:bookmarkStart w:id="10" w:name="OLE_LINK25"/>
            <w:r/>
            <w:bookmarkStart w:id="11" w:name="OLE_LINK5"/>
            <w:r/>
            <w:bookmarkStart w:id="12" w:name="OLE_LINK15"/>
            <w:r/>
            <w:bookmarkStart w:id="13" w:name="OLE_LINK30"/>
            <w:r/>
            <w:bookmarkStart w:id="14" w:name="OLE_LINK18"/>
            <w:r>
              <w:rPr>
                <w:rFonts w:hint="eastAsia" w:hAnsi="宋体"/>
                <w:b/>
                <w:bCs/>
                <w:spacing w:val="16"/>
                <w:sz w:val="30"/>
                <w:szCs w:val="30"/>
              </w:rPr>
              <w:t xml:space="preserve">项目</w:t>
            </w:r>
            <w:r/>
          </w:p>
          <w:p>
            <w:pPr>
              <w:ind w:firstLine="333"/>
              <w:keepLines w:val="0"/>
              <w:keepNext w:val="0"/>
              <w:pageBreakBefore w:val="0"/>
              <w:spacing w:line="400" w:lineRule="exact"/>
              <w:widowControl w:val="off"/>
              <w:rPr>
                <w:rFonts w:hAnsi="宋体"/>
                <w:b/>
                <w:bCs/>
                <w:spacing w:val="16"/>
                <w:sz w:val="30"/>
                <w:szCs w:val="30"/>
              </w:rPr>
            </w:pPr>
            <w:r>
              <w:rPr>
                <w:rFonts w:hAnsi="宋体"/>
                <w:b/>
                <w:bCs/>
                <w:spacing w:val="16"/>
                <w:sz w:val="30"/>
                <w:szCs w:val="30"/>
              </w:rPr>
              <w:t xml:space="preserve">编号：</w:t>
            </w:r>
            <w:bookmarkEnd w:id="9"/>
            <w:bookmarkEnd w:id="10"/>
            <w:bookmarkEnd w:id="11"/>
            <w:bookmarkEnd w:id="12"/>
            <w:bookmarkEnd w:id="13"/>
            <w:bookmarkEnd w:id="14"/>
            <w:r/>
          </w:p>
        </w:tc>
        <w:tc>
          <w:tcPr>
            <w:tcW w:w="6271" w:type="dxa"/>
            <w:vAlign w:val="center"/>
            <w:textDirection w:val="lrTb"/>
            <w:noWrap w:val="false"/>
          </w:tcPr>
          <w:p>
            <w:pPr>
              <w:rPr>
                <w:rFonts w:hint="default" w:eastAsia="宋体"/>
                <w:b/>
                <w:sz w:val="30"/>
                <w:szCs w:val="30"/>
                <w:highlight w:val="none"/>
                <w:lang w:val="en-US" w:eastAsia="zh-CN"/>
              </w:rPr>
            </w:pPr>
            <w:r>
              <w:rPr>
                <w:rFonts w:hint="default" w:eastAsia="宋体"/>
                <w:b/>
                <w:sz w:val="30"/>
                <w:szCs w:val="30"/>
                <w:highlight w:val="none"/>
                <w:lang w:val="en-US" w:eastAsia="zh-CN"/>
              </w:rPr>
              <w:t xml:space="preserve">JSZC-320703-SHGS-C2026-0004</w:t>
            </w:r>
            <w:bookmarkEnd w:id="179"/>
            <w:r/>
          </w:p>
        </w:tc>
      </w:tr>
    </w:tbl>
    <w:p>
      <w:pPr>
        <w:pStyle w:val="800"/>
        <w:tabs>
          <w:tab w:val="left" w:pos="6810" w:leader="none"/>
        </w:tabs>
        <w:rPr>
          <w:rFonts w:ascii="Times New Roman"/>
          <w:b/>
          <w:bCs/>
          <w:sz w:val="36"/>
        </w:rPr>
      </w:pPr>
      <w:r>
        <w:rPr>
          <w:rFonts w:ascii="Times New Roman"/>
          <w:b/>
          <w:bCs/>
          <w:sz w:val="36"/>
        </w:rPr>
        <w:tab/>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tbl>
      <w:tblPr>
        <w:tblStyle w:val="786"/>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eastAsia="文鼎CS楷体"/>
                <w:b/>
                <w:bCs/>
                <w:sz w:val="28"/>
                <w:szCs w:val="28"/>
              </w:rPr>
            </w:pPr>
            <w:r/>
            <w:bookmarkStart w:id="15" w:name="OLE_LINK4"/>
            <w:r/>
            <w:bookmarkStart w:id="16" w:name="OLE_LINK31"/>
            <w:r/>
            <w:r/>
          </w:p>
        </w:tc>
        <w:tc>
          <w:tcPr>
            <w:tcW w:w="2520" w:type="dxa"/>
            <w:vAlign w:val="bottom"/>
            <w:textDirection w:val="lrTb"/>
            <w:noWrap w:val="false"/>
          </w:tcPr>
          <w:p>
            <w:pPr>
              <w:jc w:val="center"/>
              <w:spacing w:line="360" w:lineRule="auto"/>
              <w:rPr>
                <w:sz w:val="28"/>
                <w:szCs w:val="28"/>
              </w:rPr>
            </w:pPr>
            <w:r>
              <w:rPr>
                <w:rFonts w:eastAsia="文鼎CS楷体"/>
                <w:b/>
                <w:bCs/>
                <w:sz w:val="28"/>
                <w:szCs w:val="28"/>
              </w:rPr>
              <w:t xml:space="preserve">采   购   人：</w:t>
            </w:r>
            <w:bookmarkEnd w:id="15"/>
            <w:bookmarkEnd w:id="16"/>
            <w:r/>
          </w:p>
        </w:tc>
        <w:tc>
          <w:tcPr>
            <w:tcW w:w="6687" w:type="dxa"/>
            <w:vAlign w:val="center"/>
            <w:textDirection w:val="lrTb"/>
            <w:noWrap w:val="false"/>
          </w:tcPr>
          <w:p>
            <w:pPr>
              <w:jc w:val="both"/>
              <w:keepLines w:val="0"/>
              <w:keepNext w:val="0"/>
              <w:pageBreakBefore w:val="0"/>
              <w:spacing w:line="440" w:lineRule="exact"/>
              <w:widowControl w:val="off"/>
              <w:rPr>
                <w:rFonts w:hint="eastAsia" w:eastAsia="文鼎CS楷体"/>
                <w:b/>
                <w:bCs/>
                <w:sz w:val="28"/>
                <w:szCs w:val="28"/>
                <w:lang w:eastAsia="zh-CN"/>
              </w:rPr>
            </w:pPr>
            <w:r>
              <w:rPr>
                <w:rFonts w:hint="eastAsia" w:eastAsia="文鼎CS楷体"/>
                <w:b/>
                <w:bCs/>
                <w:sz w:val="28"/>
                <w:szCs w:val="28"/>
                <w:lang w:eastAsia="zh-CN"/>
              </w:rPr>
              <w:t xml:space="preserve">中华人民共和国连云港出入境边防检查站</w:t>
            </w:r>
            <w:r/>
          </w:p>
        </w:tc>
      </w:tr>
      <w:tr>
        <w:trPr/>
        <w:tc>
          <w:tcPr>
            <w:tcW w:w="648" w:type="dxa"/>
            <w:textDirection w:val="lrTb"/>
            <w:noWrap w:val="false"/>
          </w:tcPr>
          <w:p>
            <w:pPr>
              <w:spacing w:line="360" w:lineRule="auto"/>
              <w:rPr>
                <w:rFonts w:eastAsia="文鼎CS楷体"/>
                <w:b/>
                <w:bCs/>
                <w:sz w:val="28"/>
                <w:szCs w:val="28"/>
              </w:rPr>
            </w:pPr>
            <w:r>
              <w:rPr>
                <w:rFonts w:eastAsia="文鼎CS楷体"/>
                <w:b/>
                <w:bCs/>
                <w:sz w:val="28"/>
                <w:szCs w:val="28"/>
              </w:rPr>
            </w:r>
            <w:r/>
          </w:p>
        </w:tc>
        <w:tc>
          <w:tcPr>
            <w:tcW w:w="2520" w:type="dxa"/>
            <w:vAlign w:val="center"/>
            <w:textDirection w:val="lrTb"/>
            <w:noWrap w:val="false"/>
          </w:tcPr>
          <w:p>
            <w:pPr>
              <w:ind w:firstLine="280"/>
              <w:jc w:val="both"/>
              <w:spacing w:line="360" w:lineRule="auto"/>
              <w:rPr>
                <w:sz w:val="28"/>
                <w:szCs w:val="28"/>
              </w:rPr>
            </w:pPr>
            <w:r>
              <w:rPr>
                <w:rFonts w:hint="eastAsia" w:eastAsia="文鼎CS楷体"/>
                <w:b/>
                <w:bCs/>
                <w:sz w:val="28"/>
                <w:szCs w:val="28"/>
                <w:lang w:eastAsia="zh-CN"/>
              </w:rPr>
              <w:t xml:space="preserve">采</w:t>
            </w:r>
            <w:r>
              <w:rPr>
                <w:rFonts w:hint="eastAsia" w:eastAsia="文鼎CS楷体"/>
                <w:b/>
                <w:bCs/>
                <w:sz w:val="28"/>
                <w:szCs w:val="28"/>
                <w:lang w:val="en-US" w:eastAsia="zh-CN"/>
              </w:rPr>
              <w:t xml:space="preserve"> </w:t>
            </w:r>
            <w:r>
              <w:rPr>
                <w:rFonts w:hint="eastAsia" w:eastAsia="文鼎CS楷体"/>
                <w:b/>
                <w:bCs/>
                <w:sz w:val="28"/>
                <w:szCs w:val="28"/>
                <w:lang w:eastAsia="zh-CN"/>
              </w:rPr>
              <w:t xml:space="preserve">购</w:t>
            </w:r>
            <w:r>
              <w:rPr>
                <w:rFonts w:hint="eastAsia" w:eastAsia="文鼎CS楷体"/>
                <w:b/>
                <w:bCs/>
                <w:sz w:val="28"/>
                <w:szCs w:val="28"/>
                <w:lang w:val="en-US" w:eastAsia="zh-CN"/>
              </w:rPr>
              <w:t xml:space="preserve"> </w:t>
            </w:r>
            <w:r>
              <w:rPr>
                <w:rFonts w:hint="eastAsia" w:eastAsia="文鼎CS楷体"/>
                <w:b/>
                <w:bCs/>
                <w:sz w:val="28"/>
                <w:szCs w:val="28"/>
                <w:lang w:eastAsia="zh-CN"/>
              </w:rPr>
              <w:t xml:space="preserve">代</w:t>
            </w:r>
            <w:r>
              <w:rPr>
                <w:rFonts w:hint="eastAsia" w:eastAsia="文鼎CS楷体"/>
                <w:b/>
                <w:bCs/>
                <w:sz w:val="28"/>
                <w:szCs w:val="28"/>
                <w:lang w:val="en-US" w:eastAsia="zh-CN"/>
              </w:rPr>
              <w:t xml:space="preserve"> </w:t>
            </w:r>
            <w:r>
              <w:rPr>
                <w:rFonts w:hint="eastAsia" w:eastAsia="文鼎CS楷体"/>
                <w:b/>
                <w:bCs/>
                <w:sz w:val="28"/>
                <w:szCs w:val="28"/>
                <w:lang w:eastAsia="zh-CN"/>
              </w:rPr>
              <w:t xml:space="preserve">理</w:t>
            </w:r>
            <w:r>
              <w:rPr>
                <w:rFonts w:eastAsia="文鼎CS楷体"/>
                <w:b/>
                <w:bCs/>
                <w:sz w:val="28"/>
                <w:szCs w:val="28"/>
              </w:rPr>
              <w:t xml:space="preserve">：</w:t>
            </w:r>
            <w:r/>
          </w:p>
        </w:tc>
        <w:tc>
          <w:tcPr>
            <w:tcW w:w="6687" w:type="dxa"/>
            <w:vAlign w:val="center"/>
            <w:textDirection w:val="lrTb"/>
            <w:noWrap w:val="false"/>
          </w:tcPr>
          <w:p>
            <w:pPr>
              <w:pStyle w:val="800"/>
              <w:spacing w:line="360" w:lineRule="auto"/>
              <w:rPr>
                <w:rFonts w:hint="eastAsia" w:ascii="Times New Roman" w:eastAsia="文鼎CS楷体"/>
                <w:b/>
                <w:bCs/>
                <w:sz w:val="28"/>
                <w:szCs w:val="28"/>
                <w:lang w:eastAsia="zh-CN"/>
              </w:rPr>
            </w:pPr>
            <w:r>
              <w:rPr>
                <w:rFonts w:hint="eastAsia" w:ascii="Times New Roman" w:eastAsia="文鼎CS楷体"/>
                <w:b/>
                <w:bCs/>
                <w:sz w:val="28"/>
                <w:szCs w:val="28"/>
                <w:lang w:eastAsia="zh-CN"/>
              </w:rPr>
              <w:t xml:space="preserve">连云港上和工程咨询有限公司</w:t>
            </w:r>
            <w:r/>
          </w:p>
        </w:tc>
      </w:tr>
    </w:tbl>
    <w:p>
      <w:pPr>
        <w:spacing w:line="360" w:lineRule="auto"/>
      </w:pPr>
      <w:r/>
      <w:r/>
    </w:p>
    <w:tbl>
      <w:tblPr>
        <w:tblStyle w:val="786"/>
        <w:tblW w:w="2399" w:type="dxa"/>
        <w:jc w:val="center"/>
        <w:tblLayout w:type="fixed"/>
        <w:tblCellMar>
          <w:left w:w="108" w:type="dxa"/>
          <w:top w:w="0" w:type="dxa"/>
          <w:right w:w="108" w:type="dxa"/>
          <w:bottom w:w="0" w:type="dxa"/>
        </w:tblCellMar>
        <w:tblLook w:val="04A0" w:firstRow="1" w:lastRow="0" w:firstColumn="1" w:lastColumn="0" w:noHBand="0" w:noVBand="1"/>
      </w:tblPr>
      <w:tblGrid>
        <w:gridCol w:w="2399"/>
      </w:tblGrid>
      <w:tr>
        <w:trPr>
          <w:jc w:val="center"/>
          <w:trHeight w:val="385"/>
        </w:trPr>
        <w:tc>
          <w:tcPr>
            <w:tcW w:w="2399" w:type="dxa"/>
            <w:textDirection w:val="lrTb"/>
            <w:noWrap w:val="false"/>
          </w:tcPr>
          <w:p>
            <w:pPr>
              <w:pStyle w:val="800"/>
              <w:spacing w:line="360" w:lineRule="auto"/>
              <w:rPr>
                <w:rFonts w:ascii="Times New Roman"/>
                <w:b/>
                <w:sz w:val="32"/>
                <w:szCs w:val="32"/>
                <w:highlight w:val="yellow"/>
              </w:rPr>
            </w:pPr>
            <w:r>
              <w:rPr>
                <w:rFonts w:hint="eastAsia" w:ascii="Times New Roman" w:hAnsi="Times New Roman" w:eastAsia="文鼎CS楷体" w:cs="Times New Roman"/>
                <w:b/>
                <w:bCs/>
                <w:sz w:val="32"/>
                <w:lang w:eastAsia="zh-CN"/>
              </w:rPr>
              <w:fldChar w:fldCharType="begin"/>
            </w:r>
            <w:r>
              <w:rPr>
                <w:rFonts w:hint="eastAsia" w:ascii="Times New Roman" w:hAnsi="Times New Roman" w:eastAsia="文鼎CS楷体" w:cs="Times New Roman"/>
                <w:b/>
                <w:bCs/>
                <w:sz w:val="32"/>
                <w:lang w:eastAsia="zh-CN"/>
              </w:rPr>
              <w:instrText xml:space="preserve"> LINK Excel.Sheet.8 E:\\2015年\\市地方海事局\\办公楼装修工程\\景区公安分局刑侦技术楼维修工程公开招标\\工程类公开招标链接数据源.xls Sheet1!R32C3 \a \t \* MERGEFORMAT </w:instrText>
            </w:r>
            <w:r>
              <w:rPr>
                <w:rFonts w:hint="eastAsia" w:ascii="Times New Roman" w:hAnsi="Times New Roman" w:eastAsia="文鼎CS楷体" w:cs="Times New Roman"/>
                <w:b/>
                <w:bCs/>
                <w:sz w:val="32"/>
                <w:lang w:eastAsia="zh-CN"/>
              </w:rPr>
              <w:fldChar w:fldCharType="separate"/>
            </w:r>
            <w:bookmarkStart w:id="17" w:name="_1297774439"/>
            <w:r/>
            <w:bookmarkEnd w:id="17"/>
            <w:r/>
            <w:bookmarkStart w:id="18" w:name="_1407131003"/>
            <w:r/>
            <w:bookmarkEnd w:id="18"/>
            <w:r/>
            <w:bookmarkStart w:id="19" w:name="_1337000242"/>
            <w:r/>
            <w:bookmarkEnd w:id="19"/>
            <w:r/>
            <w:bookmarkStart w:id="20" w:name="_1278423018"/>
            <w:r/>
            <w:bookmarkEnd w:id="20"/>
            <w:r/>
            <w:bookmarkStart w:id="21" w:name="_1291116219"/>
            <w:r/>
            <w:bookmarkEnd w:id="21"/>
            <w:r/>
            <w:bookmarkStart w:id="22" w:name="_1298271315"/>
            <w:r/>
            <w:bookmarkEnd w:id="22"/>
            <w:r/>
            <w:bookmarkStart w:id="23" w:name="_1297758037"/>
            <w:r/>
            <w:bookmarkEnd w:id="23"/>
            <w:r/>
            <w:bookmarkStart w:id="24" w:name="_1447850345"/>
            <w:r/>
            <w:bookmarkEnd w:id="24"/>
            <w:r/>
            <w:bookmarkStart w:id="25" w:name="_1298270684"/>
            <w:r/>
            <w:bookmarkEnd w:id="25"/>
            <w:r/>
            <w:bookmarkStart w:id="26" w:name="_1467808401"/>
            <w:r/>
            <w:bookmarkEnd w:id="26"/>
            <w:r/>
            <w:bookmarkStart w:id="27" w:name="_1486967582"/>
            <w:r/>
            <w:bookmarkEnd w:id="27"/>
            <w:r/>
            <w:bookmarkStart w:id="28" w:name="_1336909890"/>
            <w:r/>
            <w:bookmarkEnd w:id="28"/>
            <w:r/>
            <w:bookmarkStart w:id="29" w:name="_1435736218"/>
            <w:r/>
            <w:bookmarkEnd w:id="29"/>
            <w:r/>
            <w:bookmarkStart w:id="30" w:name="_1407131738"/>
            <w:r/>
            <w:bookmarkEnd w:id="30"/>
            <w:r/>
            <w:bookmarkStart w:id="31" w:name="_1291189843"/>
            <w:r/>
            <w:bookmarkEnd w:id="31"/>
            <w:r/>
            <w:bookmarkStart w:id="32" w:name="_1297771980"/>
            <w:r/>
            <w:bookmarkEnd w:id="32"/>
            <w:r/>
            <w:bookmarkStart w:id="33" w:name="_1468245416"/>
            <w:r/>
            <w:bookmarkEnd w:id="33"/>
            <w:r/>
            <w:bookmarkStart w:id="34" w:name="_1297771658"/>
            <w:r/>
            <w:bookmarkEnd w:id="34"/>
            <w:r/>
            <w:bookmarkStart w:id="35" w:name="_1479037598"/>
            <w:r/>
            <w:bookmarkEnd w:id="35"/>
            <w:r/>
            <w:bookmarkStart w:id="36" w:name="_1407649454"/>
            <w:r/>
            <w:bookmarkEnd w:id="36"/>
            <w:r/>
            <w:bookmarkStart w:id="37" w:name="_1280844196"/>
            <w:r/>
            <w:bookmarkEnd w:id="37"/>
            <w:r/>
            <w:bookmarkStart w:id="38" w:name="_1372599208"/>
            <w:r/>
            <w:bookmarkEnd w:id="38"/>
            <w:r/>
            <w:bookmarkStart w:id="39" w:name="_1448089845"/>
            <w:r/>
            <w:bookmarkEnd w:id="39"/>
            <w:r/>
            <w:bookmarkStart w:id="40" w:name="_1278423854"/>
            <w:r/>
            <w:bookmarkEnd w:id="40"/>
            <w:r/>
            <w:bookmarkStart w:id="41" w:name="_1297752558"/>
            <w:r/>
            <w:bookmarkEnd w:id="41"/>
            <w:r/>
            <w:bookmarkStart w:id="42" w:name="_1372492601"/>
            <w:r/>
            <w:bookmarkEnd w:id="42"/>
            <w:r/>
            <w:bookmarkStart w:id="43" w:name="_1407132958"/>
            <w:r/>
            <w:bookmarkEnd w:id="43"/>
            <w:r/>
            <w:bookmarkStart w:id="44" w:name="_1407138770"/>
            <w:r/>
            <w:bookmarkEnd w:id="44"/>
            <w:r/>
            <w:bookmarkStart w:id="45" w:name="_1407154196"/>
            <w:r/>
            <w:bookmarkEnd w:id="45"/>
            <w:r/>
            <w:bookmarkStart w:id="46" w:name="_1407051528"/>
            <w:r/>
            <w:bookmarkEnd w:id="46"/>
            <w:r/>
            <w:bookmarkStart w:id="47" w:name="_1279442339"/>
            <w:r/>
            <w:bookmarkEnd w:id="47"/>
            <w:r/>
            <w:bookmarkStart w:id="48" w:name="_1407138454"/>
            <w:r/>
            <w:bookmarkEnd w:id="48"/>
            <w:r/>
            <w:bookmarkStart w:id="49" w:name="_1291464772"/>
            <w:r/>
            <w:bookmarkEnd w:id="49"/>
            <w:r/>
            <w:bookmarkStart w:id="50" w:name="_1468217283"/>
            <w:r/>
            <w:bookmarkEnd w:id="50"/>
            <w:r/>
            <w:bookmarkStart w:id="51" w:name="_1407133253"/>
            <w:r/>
            <w:bookmarkEnd w:id="51"/>
            <w:r/>
            <w:bookmarkStart w:id="52" w:name="_1336475279"/>
            <w:r/>
            <w:bookmarkEnd w:id="52"/>
            <w:r/>
            <w:bookmarkStart w:id="53" w:name="_1372599658"/>
            <w:r/>
            <w:bookmarkEnd w:id="53"/>
            <w:r/>
            <w:bookmarkStart w:id="54" w:name="_1471955348"/>
            <w:r/>
            <w:bookmarkEnd w:id="54"/>
            <w:r/>
            <w:bookmarkStart w:id="55" w:name="_1468218264"/>
            <w:r/>
            <w:bookmarkEnd w:id="55"/>
            <w:r/>
            <w:bookmarkStart w:id="56" w:name="_1435759884"/>
            <w:r/>
            <w:bookmarkEnd w:id="56"/>
            <w:r/>
            <w:bookmarkStart w:id="57" w:name="_1486968668"/>
            <w:r/>
            <w:bookmarkEnd w:id="57"/>
            <w:r/>
            <w:bookmarkStart w:id="58" w:name="_1372492890"/>
            <w:r/>
            <w:bookmarkEnd w:id="58"/>
            <w:r>
              <w:rPr>
                <w:rFonts w:hint="eastAsia" w:ascii="Times New Roman" w:hAnsi="Times New Roman" w:eastAsia="文鼎CS楷体" w:cs="Times New Roman"/>
                <w:b/>
                <w:bCs/>
                <w:sz w:val="32"/>
                <w:lang w:eastAsia="zh-CN"/>
              </w:rPr>
              <w:t xml:space="preserve">202</w:t>
            </w:r>
            <w:r>
              <w:rPr>
                <w:rFonts w:hint="eastAsia" w:ascii="Times New Roman" w:eastAsia="文鼎CS楷体" w:cs="Times New Roman"/>
                <w:b/>
                <w:bCs/>
                <w:sz w:val="32"/>
                <w:lang w:val="en-US" w:eastAsia="zh-CN"/>
              </w:rPr>
              <w:t xml:space="preserve">6</w:t>
            </w:r>
            <w:r>
              <w:rPr>
                <w:rFonts w:hint="eastAsia" w:ascii="Times New Roman" w:hAnsi="Times New Roman" w:eastAsia="文鼎CS楷体" w:cs="Times New Roman"/>
                <w:b/>
                <w:bCs/>
                <w:sz w:val="32"/>
                <w:lang w:eastAsia="zh-CN"/>
              </w:rPr>
              <w:t xml:space="preserve">年</w:t>
            </w:r>
            <w:r>
              <w:rPr>
                <w:rFonts w:hint="eastAsia" w:ascii="Times New Roman" w:eastAsia="文鼎CS楷体" w:cs="Times New Roman"/>
                <w:b/>
                <w:bCs/>
                <w:sz w:val="32"/>
                <w:lang w:val="en-US" w:eastAsia="zh-CN"/>
              </w:rPr>
              <w:t xml:space="preserve">05</w:t>
            </w:r>
            <w:r>
              <w:rPr>
                <w:rFonts w:hint="eastAsia" w:ascii="Times New Roman" w:hAnsi="Times New Roman" w:eastAsia="文鼎CS楷体" w:cs="Times New Roman"/>
                <w:b/>
                <w:bCs/>
                <w:sz w:val="32"/>
                <w:lang w:eastAsia="zh-CN"/>
              </w:rPr>
              <w:t xml:space="preserve">月</w:t>
            </w:r>
            <w:r>
              <w:rPr>
                <w:rFonts w:hint="eastAsia" w:ascii="Times New Roman" w:hAnsi="Times New Roman" w:eastAsia="文鼎CS楷体" w:cs="Times New Roman"/>
                <w:b/>
                <w:bCs/>
                <w:sz w:val="32"/>
                <w:lang w:eastAsia="zh-CN"/>
              </w:rPr>
              <w:fldChar w:fldCharType="end"/>
            </w:r>
            <w:r/>
          </w:p>
        </w:tc>
      </w:tr>
      <w:tr>
        <w:trPr>
          <w:jc w:val="center"/>
          <w:trHeight w:val="385"/>
        </w:trPr>
        <w:tc>
          <w:tcPr>
            <w:tcW w:w="2399" w:type="dxa"/>
            <w:textDirection w:val="lrTb"/>
            <w:noWrap w:val="false"/>
          </w:tcPr>
          <w:p>
            <w:pPr>
              <w:pStyle w:val="800"/>
              <w:spacing w:line="360" w:lineRule="auto"/>
              <w:rPr>
                <w:rFonts w:ascii="Times New Roman"/>
                <w:b/>
                <w:sz w:val="32"/>
                <w:szCs w:val="32"/>
              </w:rPr>
            </w:pPr>
            <w:r>
              <w:rPr>
                <w:rFonts w:ascii="Times New Roman"/>
                <w:b/>
                <w:sz w:val="32"/>
                <w:szCs w:val="32"/>
              </w:rPr>
            </w:r>
            <w:r/>
          </w:p>
        </w:tc>
      </w:tr>
    </w:tbl>
    <w:p>
      <w:pPr>
        <w:pStyle w:val="800"/>
        <w:spacing w:line="360" w:lineRule="auto"/>
        <w:rPr>
          <w:rFonts w:ascii="Times New Roman"/>
          <w:b/>
          <w:sz w:val="32"/>
          <w:szCs w:val="32"/>
        </w:rPr>
        <w:sectPr>
          <w:headerReference w:type="first" r:id="rId9"/>
          <w:footerReference w:type="firs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sz w:val="32"/>
          <w:szCs w:val="32"/>
        </w:rPr>
      </w:r>
      <w:r/>
    </w:p>
    <w:p>
      <w:pPr>
        <w:jc w:val="center"/>
        <w:spacing w:line="500" w:lineRule="exact"/>
        <w:rPr>
          <w:sz w:val="44"/>
          <w:szCs w:val="21"/>
        </w:rPr>
        <w:outlineLvl w:val="0"/>
      </w:pPr>
      <w:r>
        <w:rPr>
          <w:sz w:val="44"/>
          <w:szCs w:val="21"/>
        </w:rPr>
      </w:r>
      <w:r/>
    </w:p>
    <w:p>
      <w:pPr>
        <w:jc w:val="center"/>
        <w:spacing w:line="500" w:lineRule="exact"/>
        <w:rPr>
          <w:sz w:val="44"/>
          <w:szCs w:val="21"/>
        </w:rPr>
        <w:outlineLvl w:val="0"/>
      </w:pPr>
      <w:r/>
      <w:bookmarkStart w:id="59" w:name="_Toc523502640"/>
      <w:r/>
      <w:bookmarkStart w:id="60" w:name="_Toc5037035"/>
      <w:r/>
      <w:bookmarkStart w:id="61" w:name="_Toc5997"/>
      <w:r/>
      <w:bookmarkStart w:id="62" w:name="_Toc49762231"/>
      <w:r/>
      <w:bookmarkStart w:id="63" w:name="_Toc99113318"/>
      <w:r>
        <w:rPr>
          <w:sz w:val="44"/>
          <w:szCs w:val="21"/>
        </w:rPr>
        <w:t xml:space="preserve">目 录</w:t>
      </w:r>
      <w:bookmarkEnd w:id="0"/>
      <w:r/>
      <w:bookmarkEnd w:id="59"/>
      <w:r/>
      <w:bookmarkEnd w:id="60"/>
      <w:r/>
      <w:bookmarkEnd w:id="61"/>
      <w:r/>
      <w:bookmarkEnd w:id="62"/>
      <w:r/>
      <w:bookmarkEnd w:id="63"/>
      <w:r/>
      <w:r/>
    </w:p>
    <w:p>
      <w:pPr>
        <w:pStyle w:val="808"/>
        <w:rPr>
          <w:rFonts w:hint="eastAsia" w:ascii="黑体" w:hAnsi="黑体" w:eastAsia="黑体" w:cs="黑体"/>
          <w:b w:val="0"/>
          <w:caps w:val="0"/>
          <w:sz w:val="21"/>
          <w:szCs w:val="22"/>
        </w:rPr>
      </w:pPr>
      <w:r>
        <w:rPr>
          <w:rFonts w:hint="eastAsia" w:ascii="黑体" w:hAnsi="黑体" w:eastAsia="黑体" w:cs="黑体"/>
          <w:sz w:val="28"/>
        </w:rPr>
        <w:fldChar w:fldCharType="begin"/>
      </w:r>
      <w:r>
        <w:rPr>
          <w:rFonts w:hint="eastAsia" w:ascii="黑体" w:hAnsi="黑体" w:eastAsia="黑体" w:cs="黑体"/>
          <w:sz w:val="28"/>
        </w:rPr>
        <w:instrText xml:space="preserve"> TOC \o "1-3" \h \z \u </w:instrText>
      </w:r>
      <w:r>
        <w:rPr>
          <w:rFonts w:hint="eastAsia" w:ascii="黑体" w:hAnsi="黑体" w:eastAsia="黑体" w:cs="黑体"/>
          <w:sz w:val="28"/>
        </w:rPr>
        <w:fldChar w:fldCharType="separate"/>
      </w:r>
      <w:r/>
    </w:p>
    <w:p>
      <w:pPr>
        <w:pStyle w:val="808"/>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"_Toc99113319" </w:instrText>
      </w:r>
      <w:r>
        <w:rPr>
          <w:rFonts w:hint="eastAsia" w:ascii="黑体" w:hAnsi="黑体" w:eastAsia="黑体" w:cs="黑体"/>
        </w:rPr>
        <w:fldChar w:fldCharType="separate"/>
      </w:r>
      <w:r>
        <w:rPr>
          <w:rStyle w:val="834"/>
          <w:rFonts w:hint="eastAsia" w:ascii="黑体" w:hAnsi="黑体" w:eastAsia="黑体" w:cs="黑体"/>
          <w:color w:val="auto"/>
        </w:rPr>
        <w:t xml:space="preserve">第一章  竞争性磋商采购公告</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_Toc99113319 \h </w:instrText>
      </w:r>
      <w:r>
        <w:rPr>
          <w:rFonts w:hint="eastAsia" w:ascii="黑体" w:hAnsi="黑体" w:eastAsia="黑体" w:cs="黑体"/>
        </w:rPr>
        <w:fldChar w:fldCharType="separate"/>
      </w:r>
      <w:r>
        <w:rPr>
          <w:rFonts w:hint="eastAsia" w:ascii="黑体" w:hAnsi="黑体" w:eastAsia="黑体" w:cs="黑体"/>
        </w:rPr>
        <w:t xml:space="preserve">1</w:t>
      </w:r>
      <w:r>
        <w:rPr>
          <w:rFonts w:hint="eastAsia" w:ascii="黑体" w:hAnsi="黑体" w:eastAsia="黑体" w:cs="黑体"/>
        </w:rPr>
        <w:fldChar w:fldCharType="end"/>
      </w:r>
      <w:r>
        <w:rPr>
          <w:rFonts w:hint="eastAsia" w:ascii="黑体" w:hAnsi="黑体" w:eastAsia="黑体" w:cs="黑体"/>
        </w:rPr>
        <w:fldChar w:fldCharType="end"/>
      </w:r>
      <w:r/>
    </w:p>
    <w:p>
      <w:pPr>
        <w:pStyle w:val="808"/>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"_Toc99113320" </w:instrText>
      </w:r>
      <w:r>
        <w:rPr>
          <w:rFonts w:hint="eastAsia" w:ascii="黑体" w:hAnsi="黑体" w:eastAsia="黑体" w:cs="黑体"/>
        </w:rPr>
        <w:fldChar w:fldCharType="separate"/>
      </w:r>
      <w:r>
        <w:rPr>
          <w:rStyle w:val="834"/>
          <w:rFonts w:hint="eastAsia" w:ascii="黑体" w:hAnsi="黑体" w:eastAsia="黑体" w:cs="黑体"/>
          <w:color w:val="auto"/>
        </w:rPr>
        <w:t xml:space="preserve">第二章  磋商须知</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_Toc99113320 \h </w:instrText>
      </w:r>
      <w:r>
        <w:rPr>
          <w:rFonts w:hint="eastAsia" w:ascii="黑体" w:hAnsi="黑体" w:eastAsia="黑体" w:cs="黑体"/>
        </w:rPr>
        <w:fldChar w:fldCharType="separate"/>
      </w:r>
      <w:r>
        <w:rPr>
          <w:rFonts w:hint="eastAsia" w:ascii="黑体" w:hAnsi="黑体" w:eastAsia="黑体" w:cs="黑体"/>
        </w:rPr>
        <w:t xml:space="preserve">4</w:t>
      </w:r>
      <w:r>
        <w:rPr>
          <w:rFonts w:hint="eastAsia" w:ascii="黑体" w:hAnsi="黑体" w:eastAsia="黑体" w:cs="黑体"/>
        </w:rPr>
        <w:fldChar w:fldCharType="end"/>
      </w:r>
      <w:r>
        <w:rPr>
          <w:rFonts w:hint="eastAsia" w:ascii="黑体" w:hAnsi="黑体" w:eastAsia="黑体" w:cs="黑体"/>
        </w:rPr>
        <w:fldChar w:fldCharType="end"/>
      </w:r>
      <w:r/>
    </w:p>
    <w:p>
      <w:pPr>
        <w:pStyle w:val="808"/>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"_Toc99113321" </w:instrText>
      </w:r>
      <w:r>
        <w:rPr>
          <w:rFonts w:hint="eastAsia" w:ascii="黑体" w:hAnsi="黑体" w:eastAsia="黑体" w:cs="黑体"/>
        </w:rPr>
        <w:fldChar w:fldCharType="separate"/>
      </w:r>
      <w:r>
        <w:rPr>
          <w:rStyle w:val="834"/>
          <w:rFonts w:hint="eastAsia" w:ascii="黑体" w:hAnsi="黑体" w:eastAsia="黑体" w:cs="黑体"/>
          <w:color w:val="auto"/>
        </w:rPr>
        <w:t xml:space="preserve">第三章  政府采购合同格式</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_Toc99113321 \h </w:instrText>
      </w:r>
      <w:r>
        <w:rPr>
          <w:rFonts w:hint="eastAsia" w:ascii="黑体" w:hAnsi="黑体" w:eastAsia="黑体" w:cs="黑体"/>
        </w:rPr>
        <w:fldChar w:fldCharType="separate"/>
      </w:r>
      <w:r>
        <w:rPr>
          <w:rFonts w:hint="eastAsia" w:ascii="黑体" w:hAnsi="黑体" w:eastAsia="黑体" w:cs="黑体"/>
        </w:rPr>
        <w:t xml:space="preserve">18</w:t>
      </w:r>
      <w:r>
        <w:rPr>
          <w:rFonts w:hint="eastAsia" w:ascii="黑体" w:hAnsi="黑体" w:eastAsia="黑体" w:cs="黑体"/>
        </w:rPr>
        <w:fldChar w:fldCharType="end"/>
      </w:r>
      <w:r>
        <w:rPr>
          <w:rFonts w:hint="eastAsia" w:ascii="黑体" w:hAnsi="黑体" w:eastAsia="黑体" w:cs="黑体"/>
        </w:rPr>
        <w:fldChar w:fldCharType="end"/>
      </w:r>
      <w:r/>
    </w:p>
    <w:p>
      <w:pPr>
        <w:pStyle w:val="808"/>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"_Toc99113323" </w:instrText>
      </w:r>
      <w:r>
        <w:rPr>
          <w:rFonts w:hint="eastAsia" w:ascii="黑体" w:hAnsi="黑体" w:eastAsia="黑体" w:cs="黑体"/>
        </w:rPr>
        <w:fldChar w:fldCharType="separate"/>
      </w:r>
      <w:r>
        <w:rPr>
          <w:rStyle w:val="834"/>
          <w:rFonts w:hint="eastAsia" w:ascii="黑体" w:hAnsi="黑体" w:eastAsia="黑体" w:cs="黑体"/>
          <w:color w:val="auto"/>
        </w:rPr>
        <w:t xml:space="preserve">第四章  项目需求</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_Toc99113323 \h </w:instrText>
      </w:r>
      <w:r>
        <w:rPr>
          <w:rFonts w:hint="eastAsia" w:ascii="黑体" w:hAnsi="黑体" w:eastAsia="黑体" w:cs="黑体"/>
        </w:rPr>
        <w:fldChar w:fldCharType="separate"/>
      </w:r>
      <w:r>
        <w:rPr>
          <w:rFonts w:hint="eastAsia" w:ascii="黑体" w:hAnsi="黑体" w:eastAsia="黑体" w:cs="黑体"/>
        </w:rPr>
        <w:t xml:space="preserve">19</w:t>
      </w:r>
      <w:r>
        <w:rPr>
          <w:rFonts w:hint="eastAsia" w:ascii="黑体" w:hAnsi="黑体" w:eastAsia="黑体" w:cs="黑体"/>
        </w:rPr>
        <w:fldChar w:fldCharType="end"/>
      </w:r>
      <w:r>
        <w:rPr>
          <w:rFonts w:hint="eastAsia" w:ascii="黑体" w:hAnsi="黑体" w:eastAsia="黑体" w:cs="黑体"/>
        </w:rPr>
        <w:fldChar w:fldCharType="end"/>
      </w:r>
      <w:r/>
    </w:p>
    <w:p>
      <w:pPr>
        <w:pStyle w:val="808"/>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"_Toc99113324" </w:instrText>
      </w:r>
      <w:r>
        <w:rPr>
          <w:rFonts w:hint="eastAsia" w:ascii="黑体" w:hAnsi="黑体" w:eastAsia="黑体" w:cs="黑体"/>
        </w:rPr>
        <w:fldChar w:fldCharType="separate"/>
      </w:r>
      <w:r>
        <w:rPr>
          <w:rStyle w:val="834"/>
          <w:rFonts w:hint="eastAsia" w:ascii="黑体" w:hAnsi="黑体" w:eastAsia="黑体" w:cs="黑体"/>
          <w:color w:val="auto"/>
        </w:rPr>
        <w:t xml:space="preserve">第五章  评审方法和评审标准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_Toc99113324 \h </w:instrText>
      </w:r>
      <w:r>
        <w:rPr>
          <w:rFonts w:hint="eastAsia" w:ascii="黑体" w:hAnsi="黑体" w:eastAsia="黑体" w:cs="黑体"/>
        </w:rPr>
        <w:fldChar w:fldCharType="separate"/>
      </w:r>
      <w:r>
        <w:rPr>
          <w:rFonts w:hint="eastAsia" w:ascii="黑体" w:hAnsi="黑体" w:eastAsia="黑体" w:cs="黑体"/>
        </w:rPr>
        <w:t xml:space="preserve">29</w:t>
      </w:r>
      <w:r>
        <w:rPr>
          <w:rFonts w:hint="eastAsia" w:ascii="黑体" w:hAnsi="黑体" w:eastAsia="黑体" w:cs="黑体"/>
        </w:rPr>
        <w:fldChar w:fldCharType="end"/>
      </w:r>
      <w:r>
        <w:rPr>
          <w:rFonts w:hint="eastAsia" w:ascii="黑体" w:hAnsi="黑体" w:eastAsia="黑体" w:cs="黑体"/>
        </w:rPr>
        <w:fldChar w:fldCharType="end"/>
      </w:r>
      <w:r/>
    </w:p>
    <w:p>
      <w:pPr>
        <w:pStyle w:val="808"/>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"_Toc99113325" </w:instrText>
      </w:r>
      <w:r>
        <w:rPr>
          <w:rFonts w:hint="eastAsia" w:ascii="黑体" w:hAnsi="黑体" w:eastAsia="黑体" w:cs="黑体"/>
        </w:rPr>
        <w:fldChar w:fldCharType="separate"/>
      </w:r>
      <w:r>
        <w:rPr>
          <w:rStyle w:val="834"/>
          <w:rFonts w:hint="eastAsia" w:ascii="黑体" w:hAnsi="黑体" w:eastAsia="黑体" w:cs="黑体"/>
          <w:color w:val="auto"/>
        </w:rPr>
        <w:t xml:space="preserve">第六章  竞争性磋商响应文件格式</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_Toc99113325 \h </w:instrText>
      </w:r>
      <w:r>
        <w:rPr>
          <w:rFonts w:hint="eastAsia" w:ascii="黑体" w:hAnsi="黑体" w:eastAsia="黑体" w:cs="黑体"/>
        </w:rPr>
        <w:fldChar w:fldCharType="separate"/>
      </w:r>
      <w:r>
        <w:rPr>
          <w:rFonts w:hint="eastAsia" w:ascii="黑体" w:hAnsi="黑体" w:eastAsia="黑体" w:cs="黑体"/>
        </w:rPr>
        <w:t xml:space="preserve">33</w:t>
      </w:r>
      <w:r>
        <w:rPr>
          <w:rFonts w:hint="eastAsia" w:ascii="黑体" w:hAnsi="黑体" w:eastAsia="黑体" w:cs="黑体"/>
        </w:rPr>
        <w:fldChar w:fldCharType="end"/>
      </w:r>
      <w:r>
        <w:rPr>
          <w:rFonts w:hint="eastAsia" w:ascii="黑体" w:hAnsi="黑体" w:eastAsia="黑体" w:cs="黑体"/>
        </w:rPr>
        <w:fldChar w:fldCharType="end"/>
      </w:r>
      <w:r/>
    </w:p>
    <w:p>
      <w:pPr>
        <w:spacing w:line="500" w:lineRule="exact"/>
        <w:rPr>
          <w:rFonts w:hint="eastAsia" w:ascii="黑体" w:hAnsi="黑体" w:eastAsia="黑体" w:cs="黑体"/>
        </w:rPr>
      </w:pPr>
      <w:r>
        <w:rPr>
          <w:rFonts w:hint="eastAsia" w:ascii="黑体" w:hAnsi="黑体" w:eastAsia="黑体" w:cs="黑体"/>
          <w:szCs w:val="28"/>
        </w:rPr>
        <w:fldChar w:fldCharType="end"/>
      </w:r>
      <w:r/>
    </w:p>
    <w:p>
      <w:pPr>
        <w:pStyle w:val="776"/>
        <w:spacing w:line="500" w:lineRule="exact"/>
        <w:tabs>
          <w:tab w:val="left" w:pos="2385" w:leader="none"/>
        </w:tabs>
        <w:rPr>
          <w:rFonts w:ascii="Times New Roman" w:eastAsia="宋体"/>
        </w:rPr>
      </w:pPr>
      <w:r>
        <w:rPr>
          <w:rFonts w:ascii="Times New Roman" w:eastAsia="宋体"/>
        </w:rPr>
        <w:tab/>
      </w:r>
      <w:r/>
    </w:p>
    <w:p>
      <w:r/>
      <w:r/>
    </w:p>
    <w:p>
      <w:r/>
      <w:r/>
    </w:p>
    <w:p>
      <w:r/>
      <w:r/>
    </w:p>
    <w:p>
      <w:r/>
      <w:r/>
    </w:p>
    <w:p>
      <w:pPr>
        <w:tabs>
          <w:tab w:val="left" w:pos="1500" w:leader="none"/>
        </w:tabs>
      </w:pPr>
      <w:r>
        <w:tab/>
      </w:r>
      <w:r/>
    </w:p>
    <w:p>
      <w:r/>
      <w:r/>
    </w:p>
    <w:p>
      <w:p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
    </w:p>
    <w:p>
      <w:r/>
      <w:r/>
    </w:p>
    <w:p>
      <w:pPr>
        <w:pStyle w:val="776"/>
        <w:jc w:val="center"/>
        <w:spacing w:line="500" w:lineRule="exact"/>
        <w:rPr>
          <w:rFonts w:ascii="Times New Roman" w:eastAsia="宋体"/>
          <w:b/>
          <w:sz w:val="36"/>
          <w:szCs w:val="36"/>
        </w:rPr>
      </w:pPr>
      <w:r/>
      <w:bookmarkStart w:id="64" w:name="_Toc99113319"/>
      <w:r>
        <w:rPr>
          <w:rFonts w:ascii="Times New Roman" w:eastAsia="宋体"/>
          <w:b/>
          <w:sz w:val="36"/>
          <w:szCs w:val="36"/>
        </w:rPr>
        <w:t xml:space="preserve">第一章 竞争性磋商采购公告</w:t>
      </w:r>
      <w:bookmarkEnd w:id="64"/>
      <w:r/>
      <w:r/>
    </w:p>
    <w:p>
      <w:pPr>
        <w:rPr>
          <w:b/>
        </w:rPr>
      </w:pPr>
      <w:r/>
      <w:bookmarkStart w:id="65" w:name="OLE_LINK6"/>
      <w:r/>
      <w:r/>
    </w:p>
    <w:p>
      <w:pPr>
        <w:spacing w:line="360" w:lineRule="auto"/>
        <w:rPr>
          <w:szCs w:val="21"/>
        </w:rPr>
        <w:pBdr>
          <w:top w:val="single" w:color="auto" w:sz="4" w:space="1"/>
          <w:left w:val="single" w:color="auto" w:sz="4" w:space="4"/>
          <w:bottom w:val="single" w:color="auto" w:sz="4" w:space="1"/>
          <w:right w:val="single" w:color="auto" w:sz="4" w:space="3"/>
        </w:pBdr>
      </w:pPr>
      <w:r/>
      <w:bookmarkStart w:id="66" w:name="OLE_LINK8"/>
      <w:r/>
      <w:bookmarkStart w:id="67" w:name="OLE_LINK9"/>
      <w:r/>
      <w:bookmarkStart w:id="68" w:name="OLE_LINK7"/>
      <w:r/>
      <w:bookmarkStart w:id="69" w:name="OLE_LINK34"/>
      <w:r/>
      <w:bookmarkStart w:id="70" w:name="OLE_LINK33"/>
      <w:r/>
      <w:bookmarkStart w:id="71" w:name="OLE_LINK12"/>
      <w:r/>
      <w:bookmarkStart w:id="72" w:name="OLE_LINK35"/>
      <w:r/>
      <w:bookmarkStart w:id="73" w:name="OLE_LINK23"/>
      <w:r/>
      <w:bookmarkStart w:id="74" w:name="OLE_LINK36"/>
      <w:r/>
      <w:bookmarkStart w:id="75" w:name="OLE_LINK11"/>
      <w:r/>
      <w:bookmarkStart w:id="76" w:name="OLE_LINK16"/>
      <w:r/>
      <w:bookmarkStart w:id="77" w:name="OLE_LINK28"/>
      <w:r/>
      <w:bookmarkStart w:id="78" w:name="OLE_LINK20"/>
      <w:r/>
      <w:bookmarkStart w:id="79" w:name="OLE_LINK10"/>
      <w:r/>
      <w:bookmarkStart w:id="80" w:name="OLE_LINK26"/>
      <w:r/>
      <w:bookmarkStart w:id="81" w:name="OLE_LINK32"/>
      <w:r/>
      <w:bookmarkStart w:id="82" w:name="OLE_LINK22"/>
      <w:r/>
      <w:bookmarkStart w:id="83" w:name="OLE_LINK21"/>
      <w:r/>
      <w:bookmarkStart w:id="84" w:name="OLE_LINK19"/>
      <w:r>
        <w:rPr>
          <w:rFonts w:hAnsi="宋体"/>
          <w:szCs w:val="21"/>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szCs w:val="21"/>
          <w:u w:val="single"/>
          <w:lang w:eastAsia="zh-CN"/>
        </w:rPr>
        <w:t xml:space="preserve">连云港出入境边防检查站零星维修项目供应商遴选</w:t>
      </w:r>
      <w:r>
        <w:rPr>
          <w:rFonts w:hAnsi="宋体"/>
          <w:szCs w:val="21"/>
        </w:rPr>
        <w:t xml:space="preserve">采购项目的潜在</w:t>
      </w:r>
      <w:r>
        <w:rPr>
          <w:rFonts w:hint="eastAsia" w:hAnsi="宋体"/>
          <w:szCs w:val="21"/>
        </w:rPr>
        <w:t xml:space="preserve">供应商</w:t>
      </w:r>
      <w:r>
        <w:rPr>
          <w:rFonts w:hAnsi="宋体"/>
          <w:szCs w:val="21"/>
        </w:rPr>
        <w:t xml:space="preserve">应在</w:t>
      </w:r>
      <w:r>
        <w:rPr>
          <w:rFonts w:hint="eastAsia" w:hAnsi="宋体"/>
          <w:szCs w:val="21"/>
          <w:u w:val="single"/>
          <w:lang w:eastAsia="zh-CN"/>
        </w:rPr>
        <w:t xml:space="preserve">江苏政府采购网</w:t>
      </w:r>
      <w:r>
        <w:rPr>
          <w:rFonts w:hAnsi="宋体"/>
          <w:szCs w:val="21"/>
        </w:rPr>
        <w:t xml:space="preserve">获取采购文件，并</w:t>
      </w:r>
      <w:r>
        <w:rPr>
          <w:rFonts w:hAnsi="宋体"/>
          <w:color w:val="auto"/>
          <w:szCs w:val="21"/>
          <w:highlight w:val="none"/>
        </w:rPr>
        <w:t xml:space="preserve">于</w:t>
      </w:r>
      <w:r>
        <w:rPr>
          <w:b/>
          <w:bCs/>
          <w:color w:val="auto"/>
          <w:szCs w:val="21"/>
          <w:highlight w:val="none"/>
          <w:u w:val="single"/>
        </w:rPr>
        <w:t xml:space="preserve">202</w:t>
      </w:r>
      <w:r>
        <w:rPr>
          <w:rFonts w:hint="eastAsia"/>
          <w:b/>
          <w:bCs/>
          <w:color w:val="auto"/>
          <w:szCs w:val="21"/>
          <w:highlight w:val="none"/>
          <w:u w:val="single"/>
          <w:lang w:val="en-US" w:eastAsia="zh-CN"/>
        </w:rPr>
        <w:t xml:space="preserve">6</w:t>
      </w:r>
      <w:r>
        <w:rPr>
          <w:rFonts w:hAnsi="宋体"/>
          <w:b/>
          <w:bCs/>
          <w:color w:val="auto"/>
          <w:szCs w:val="21"/>
          <w:highlight w:val="none"/>
          <w:u w:val="single"/>
        </w:rPr>
        <w:t xml:space="preserve">年05</w:t>
      </w:r>
      <w:r>
        <w:rPr>
          <w:rFonts w:hAnsi="宋体"/>
          <w:b/>
          <w:bCs/>
          <w:color w:val="auto"/>
          <w:szCs w:val="21"/>
          <w:highlight w:val="none"/>
          <w:u w:val="single"/>
        </w:rPr>
        <w:t xml:space="preserve">月21</w:t>
      </w:r>
      <w:r>
        <w:rPr>
          <w:rFonts w:hAnsi="宋体"/>
          <w:b/>
          <w:bCs/>
          <w:color w:val="auto"/>
          <w:szCs w:val="21"/>
          <w:highlight w:val="none"/>
          <w:u w:val="single"/>
        </w:rPr>
        <w:t xml:space="preserve">日</w:t>
      </w:r>
      <w:r>
        <w:rPr>
          <w:rFonts w:hint="eastAsia" w:hAnsi="宋体"/>
          <w:b/>
          <w:bCs/>
          <w:color w:val="auto"/>
          <w:szCs w:val="21"/>
          <w:highlight w:val="none"/>
          <w:u w:val="single"/>
          <w:lang w:val="en-US" w:eastAsia="zh-CN"/>
        </w:rPr>
        <w:t xml:space="preserve">14</w:t>
      </w:r>
      <w:r>
        <w:rPr>
          <w:rFonts w:hAnsi="宋体"/>
          <w:b/>
          <w:bCs/>
          <w:color w:val="auto"/>
          <w:szCs w:val="21"/>
          <w:highlight w:val="none"/>
          <w:u w:val="single"/>
        </w:rPr>
        <w:t xml:space="preserve">点</w:t>
      </w:r>
      <w:r>
        <w:rPr>
          <w:rFonts w:hint="eastAsia"/>
          <w:b/>
          <w:bCs/>
          <w:color w:val="auto"/>
          <w:szCs w:val="21"/>
          <w:highlight w:val="none"/>
          <w:u w:val="single"/>
          <w:lang w:val="en-US" w:eastAsia="zh-CN"/>
        </w:rPr>
        <w:t xml:space="preserve">30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19"/>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项目编号：</w:t>
      </w:r>
      <w:r>
        <w:rPr>
          <w:rFonts w:ascii="Times New Roman" w:hAnsi="Times New Roman" w:eastAsia="Times New Roman" w:cs="Times New Roman"/>
          <w:color w:val="000000"/>
          <w:sz w:val="21"/>
        </w:rPr>
        <w:t xml:space="preserve">JSZC-320703-SHGS-C2026-0004</w:t>
      </w:r>
      <w:r>
        <w:rPr>
          <w:rFonts w:hint="eastAsia" w:ascii="Times New Roman" w:hAnsi="Times New Roman" w:cs="Times New Roman"/>
          <w:color w:val="auto"/>
          <w:sz w:val="21"/>
          <w:szCs w:val="21"/>
          <w:highlight w:val="none"/>
          <w:lang w:val="en-US" w:eastAsia="zh-CN"/>
        </w:rPr>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项目名称：连云港出入境边防检查站零星维修项目供应商遴选</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预算金额：首年预算为48万元，后续年度预算以财政部门批复为准，但每年不超过60万元。三年合计预算最高不超过168万元。</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最高限价：</w:t>
      </w:r>
      <w:r>
        <w:rPr>
          <w:rFonts w:hint="eastAsia" w:ascii="Times New Roman" w:hAnsi="Times New Roman" w:cs="Times New Roman"/>
          <w:b/>
          <w:bCs/>
          <w:color w:val="auto"/>
          <w:sz w:val="21"/>
          <w:szCs w:val="21"/>
          <w:highlight w:val="none"/>
          <w:lang w:val="en-US" w:eastAsia="zh-CN"/>
        </w:rPr>
        <w:t xml:space="preserve">报价综合单价下浮率范围为1%-10%之间，超出此范围，作废标处理。</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工程综合单价：按施工期现行的计价定额、《连云港建设工程经济》中材料信息指导价平均价(不足部分双方协商确认)、人工指导价、取费标准计价计算出的价格。</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对项目需求部分的询问、质疑请与采购人联系，由采购人负责答复。</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采购需求：遴选具有资质、企业信誉良好的营房维修定点单位，开展站所属营房的屋面防水、墙面粉刷、地面维修、外墙维修、用电线路改造等营房零星维修工作等；详见第四章“项目采购需求”。</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合同履行期限：3年（合同约定时间起算）。</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地点：连云港出入境边防检查站（机关、执勤一队、执勤三队）。</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注：本项目最终综合得分排名前3名的供应商，确定为本项目的成交供应商。</w:t>
      </w:r>
      <w:r/>
    </w:p>
    <w:p>
      <w:pPr>
        <w:pStyle w:val="819"/>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1、满足《中华人民共和国政府采购法》第二十二条规定；</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2、落实政府采购政策需满足的资格要求：</w:t>
      </w:r>
      <w:r>
        <w:rPr>
          <w:rFonts w:hint="eastAsia" w:ascii="Times New Roman" w:hAnsi="Times New Roman" w:eastAsia="宋体" w:cs="Times New Roman"/>
          <w:b/>
          <w:bCs/>
          <w:color w:val="auto"/>
          <w:sz w:val="21"/>
          <w:szCs w:val="21"/>
          <w:highlight w:val="none"/>
          <w:lang w:val="en-US" w:eastAsia="zh-CN"/>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19"/>
        <w:ind w:left="0" w:right="0"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suppressLineNumbers w:val="0"/>
      </w:pPr>
      <w:r>
        <w:rPr>
          <w:rFonts w:hint="eastAsia" w:ascii="Times New Roman" w:cs="Times New Roman"/>
          <w:color w:val="auto"/>
          <w:sz w:val="21"/>
          <w:szCs w:val="21"/>
          <w:highlight w:val="none"/>
        </w:rPr>
        <w:t xml:space="preserve">3、本项目的特定资格要求：</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 xml:space="preserve">（1）供应商须具备</w:t>
      </w:r>
      <w:r>
        <w:rPr>
          <w:rFonts w:hint="eastAsia" w:ascii="Times New Roman" w:eastAsia="宋体" w:cs="Times New Roman"/>
          <w:b/>
          <w:bCs/>
          <w:color w:val="auto"/>
          <w:sz w:val="21"/>
          <w:szCs w:val="21"/>
          <w:highlight w:val="none"/>
          <w:lang w:val="en-US" w:eastAsia="zh-CN"/>
        </w:rPr>
        <w:t xml:space="preserve">有效的</w:t>
      </w:r>
      <w:r>
        <w:rPr>
          <w:rFonts w:hint="eastAsia" w:ascii="Times New Roman" w:hAnsi="Times New Roman" w:eastAsia="宋体" w:cs="Times New Roman"/>
          <w:b/>
          <w:bCs/>
          <w:color w:val="auto"/>
          <w:sz w:val="21"/>
          <w:szCs w:val="21"/>
          <w:highlight w:val="none"/>
          <w:lang w:val="en-US" w:eastAsia="zh-CN"/>
        </w:rPr>
        <w:t xml:space="preserve">建筑工程施工总承包三级及以上</w:t>
      </w:r>
      <w:r>
        <w:rPr>
          <w:rFonts w:hint="eastAsia" w:ascii="Times New Roman" w:hAnsi="Times New Roman" w:eastAsia="宋体" w:cs="Times New Roman"/>
          <w:b/>
          <w:bCs/>
          <w:color w:val="auto"/>
          <w:sz w:val="21"/>
          <w:szCs w:val="21"/>
          <w:highlight w:val="none"/>
          <w:lang w:eastAsia="zh-CN"/>
        </w:rPr>
        <w:t xml:space="preserve">资质，且具有合格有效的《施工企业安全生产许可证》；</w:t>
      </w:r>
      <w:r>
        <w:rPr>
          <w:rFonts w:hint="eastAsia" w:ascii="Times New Roman" w:eastAsia="宋体" w:cs="Times New Roman"/>
          <w:b/>
          <w:bCs/>
          <w:color w:val="auto"/>
          <w:sz w:val="21"/>
          <w:szCs w:val="21"/>
          <w:highlight w:val="none"/>
          <w:lang w:eastAsia="zh-CN"/>
        </w:rPr>
        <w:t xml:space="preserve">（</w:t>
      </w:r>
      <w:r>
        <w:rPr>
          <w:rFonts w:hint="eastAsia" w:ascii="Times New Roman" w:eastAsia="宋体" w:cs="Times New Roman"/>
          <w:b/>
          <w:bCs/>
          <w:color w:val="auto"/>
          <w:sz w:val="21"/>
          <w:szCs w:val="21"/>
          <w:highlight w:val="none"/>
          <w:lang w:val="en-US" w:eastAsia="zh-CN"/>
        </w:rPr>
        <w:t xml:space="preserve">提供资质证书、</w:t>
      </w:r>
      <w:r>
        <w:rPr>
          <w:rFonts w:hint="eastAsia" w:ascii="Times New Roman" w:hAnsi="Times New Roman" w:eastAsia="宋体" w:cs="Times New Roman"/>
          <w:b/>
          <w:bCs/>
          <w:color w:val="auto"/>
          <w:sz w:val="21"/>
          <w:szCs w:val="21"/>
          <w:highlight w:val="none"/>
          <w:lang w:eastAsia="zh-CN"/>
        </w:rPr>
        <w:t xml:space="preserve">施工企业安全生产许可证</w:t>
      </w:r>
      <w:r>
        <w:rPr>
          <w:rFonts w:hint="eastAsia" w:ascii="Times New Roman" w:eastAsia="宋体" w:cs="Times New Roman"/>
          <w:b/>
          <w:bCs/>
          <w:color w:val="auto"/>
          <w:sz w:val="21"/>
          <w:szCs w:val="21"/>
          <w:highlight w:val="none"/>
          <w:lang w:val="en-US" w:eastAsia="zh-CN"/>
        </w:rPr>
        <w:t xml:space="preserve">扫描件</w:t>
      </w:r>
      <w:r>
        <w:rPr>
          <w:rFonts w:hint="eastAsia" w:ascii="Times New Roman" w:eastAsia="宋体" w:cs="Times New Roman"/>
          <w:b/>
          <w:bCs/>
          <w:color w:val="auto"/>
          <w:sz w:val="21"/>
          <w:szCs w:val="21"/>
          <w:highlight w:val="none"/>
          <w:lang w:eastAsia="zh-CN"/>
        </w:rPr>
        <w:t xml:space="preserve">）</w:t>
      </w:r>
      <w:r/>
    </w:p>
    <w:p>
      <w:pPr>
        <w:pStyle w:val="819"/>
        <w:contextualSpacing/>
        <w:ind w:firstLine="42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（2）提供有效的企业法人授权委托书（按磋商文件格式）、法定代表人身份证、被授权人身份证；</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（3）资格审查现场查询信用中国、中国政府采购网，</w:t>
      </w:r>
      <w:r>
        <w:rPr>
          <w:rFonts w:hint="eastAsia" w:ascii="Times New Roman" w:hAnsi="Times New Roman" w:eastAsia="宋体" w:cs="Times New Roman"/>
          <w:color w:val="auto"/>
          <w:sz w:val="21"/>
          <w:szCs w:val="21"/>
          <w:highlight w:val="none"/>
          <w:lang w:eastAsia="zh-CN"/>
        </w:rPr>
        <w:t xml:space="preserve">供应商</w:t>
      </w:r>
      <w:r>
        <w:rPr>
          <w:rFonts w:hint="eastAsia" w:ascii="Times New Roman" w:hAnsi="Times New Roman" w:eastAsia="宋体" w:cs="Times New Roman"/>
          <w:color w:val="auto"/>
          <w:sz w:val="21"/>
          <w:szCs w:val="21"/>
          <w:highlight w:val="none"/>
        </w:rPr>
        <w:t xml:space="preserve">被列入失信被执行人、税收违法黑名单、政府采购严重违法失信行为记录名单及具有其他不符合《中华人民共和国政府采购法》第二十二条规定情形的，拒绝其参与政府采购活动</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对供应商信用记录情况进行</w:t>
      </w:r>
      <w:r>
        <w:rPr>
          <w:rFonts w:hint="eastAsia" w:ascii="Times New Roman" w:hAnsi="Times New Roman" w:eastAsia="宋体" w:cs="Times New Roman"/>
          <w:color w:val="auto"/>
          <w:sz w:val="21"/>
          <w:szCs w:val="21"/>
          <w:highlight w:val="none"/>
          <w:lang w:eastAsia="zh-CN"/>
        </w:rPr>
        <w:t xml:space="preserve">现场</w:t>
      </w:r>
      <w:r>
        <w:rPr>
          <w:rFonts w:hint="eastAsia" w:ascii="Times New Roman" w:hAnsi="Times New Roman" w:eastAsia="宋体" w:cs="Times New Roman"/>
          <w:color w:val="auto"/>
          <w:sz w:val="21"/>
          <w:szCs w:val="21"/>
          <w:highlight w:val="none"/>
        </w:rPr>
        <w:t xml:space="preserve">查询，</w:t>
      </w:r>
      <w:r>
        <w:rPr>
          <w:rFonts w:hint="eastAsia" w:ascii="Times New Roman" w:hAnsi="Times New Roman" w:eastAsia="宋体" w:cs="Times New Roman"/>
          <w:color w:val="auto"/>
          <w:sz w:val="21"/>
          <w:szCs w:val="21"/>
          <w:highlight w:val="none"/>
          <w:lang w:eastAsia="zh-CN"/>
        </w:rPr>
        <w:t xml:space="preserve">响应文件中无需提供证明材料</w:t>
      </w:r>
      <w:r>
        <w:rPr>
          <w:rFonts w:hint="eastAsia" w:ascii="Times New Roman" w:hAnsi="Times New Roman" w:eastAsia="宋体" w:cs="Times New Roman"/>
          <w:color w:val="auto"/>
          <w:sz w:val="21"/>
          <w:szCs w:val="21"/>
          <w:highlight w:val="none"/>
        </w:rPr>
        <w:t xml:space="preserve">）</w:t>
      </w:r>
      <w:r>
        <w:rPr>
          <w:rFonts w:hint="eastAsia" w:ascii="Times New Roman" w:cs="Times New Roman"/>
          <w:color w:val="auto"/>
          <w:sz w:val="21"/>
          <w:szCs w:val="21"/>
          <w:highlight w:val="none"/>
          <w:lang w:eastAsia="zh-CN"/>
        </w:rPr>
        <w:t xml:space="preserve">；</w:t>
      </w:r>
      <w:r/>
    </w:p>
    <w:p>
      <w:pPr>
        <w:pStyle w:val="819"/>
        <w:contextualSpacing/>
        <w:ind w:firstLine="422"/>
        <w:keepLines w:val="0"/>
        <w:keepNext w:val="0"/>
        <w:pageBreakBefore w:val="0"/>
        <w:spacing w:before="0" w:beforeAutospacing="0" w:after="0" w:afterAutospacing="0" w:line="360" w:lineRule="auto"/>
        <w:rPr>
          <w:rFonts w:hAnsi="宋体"/>
          <w:b/>
          <w:bCs/>
          <w:color w:val="auto"/>
          <w:sz w:val="21"/>
          <w:szCs w:val="21"/>
          <w:highlight w:val="none"/>
        </w:rPr>
      </w:pP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、本项目不接受联合体供应商参与磋商。</w:t>
      </w:r>
      <w:bookmarkEnd w:id="65"/>
      <w:bookmarkEnd w:id="66"/>
      <w:bookmarkEnd w:id="67"/>
      <w:r/>
    </w:p>
    <w:p>
      <w:pPr>
        <w:contextualSpacing/>
        <w:ind w:firstLine="422"/>
        <w:jc w:val="left"/>
        <w:keepLines w:val="0"/>
        <w:keepNext w:val="0"/>
        <w:pageBreakBefore w:val="0"/>
        <w:spacing w:line="360" w:lineRule="auto"/>
        <w:widowControl/>
        <w:rPr>
          <w:b/>
          <w:color w:val="auto"/>
          <w:szCs w:val="21"/>
          <w:highlight w:val="none"/>
        </w:rPr>
      </w:pPr>
      <w:r>
        <w:rPr>
          <w:rFonts w:hint="eastAsia"/>
          <w:b/>
          <w:color w:val="auto"/>
          <w:szCs w:val="21"/>
          <w:highlight w:val="none"/>
        </w:rPr>
        <w:t xml:space="preserve">三、磋商文件的获取</w:t>
      </w:r>
      <w:r/>
    </w:p>
    <w:p>
      <w:pPr>
        <w:pStyle w:val="819"/>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19"/>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19"/>
        <w:contextualSpacing/>
        <w:ind w:firstLine="1054"/>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19"/>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19"/>
        <w:contextualSpacing/>
        <w:ind w:firstLine="840"/>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19"/>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19"/>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19"/>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19"/>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19"/>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hint="eastAsia" w:ascii="宋体" w:hAnsi="宋体" w:cs="宋体"/>
          <w:b/>
          <w:color w:val="auto"/>
          <w:szCs w:val="21"/>
          <w:highlight w:val="none"/>
        </w:rPr>
        <w:t xml:space="preserve">2026年05月21日14点30分</w:t>
      </w:r>
      <w:r>
        <w:rPr>
          <w:rFonts w:hint="eastAsia" w:ascii="宋体" w:hAnsi="宋体" w:cs="宋体"/>
          <w:b/>
          <w:color w:val="auto"/>
          <w:szCs w:val="21"/>
          <w:highlight w:val="none"/>
        </w:rPr>
        <w:t xml:space="preserve">（北京时间）</w:t>
      </w:r>
      <w:r>
        <w:rPr>
          <w:highlight w:val="none"/>
        </w:rP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rPr>
          <w:highlight w:val="none"/>
        </w:rP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rPr>
          <w:highlight w:val="none"/>
        </w:rP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hint="eastAsia" w:ascii="宋体" w:hAnsi="宋体" w:cs="宋体"/>
          <w:b/>
          <w:color w:val="auto"/>
          <w:szCs w:val="21"/>
          <w:highlight w:val="none"/>
        </w:rPr>
        <w:t xml:space="preserve">2026年05月21日14点30分</w:t>
      </w:r>
      <w:r>
        <w:rPr>
          <w:rFonts w:hint="eastAsia" w:ascii="宋体" w:hAnsi="宋体" w:cs="宋体"/>
          <w:b/>
          <w:color w:val="auto"/>
          <w:szCs w:val="21"/>
          <w:highlight w:val="none"/>
        </w:rPr>
        <w:t xml:space="preserve">（北京时间）</w:t>
      </w:r>
      <w:r>
        <w:rPr>
          <w:highlight w:val="none"/>
        </w:rPr>
      </w:r>
    </w:p>
    <w:p>
      <w:pPr>
        <w:contextualSpacing/>
        <w:ind w:firstLine="527"/>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19"/>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五、公告期限</w:t>
      </w:r>
      <w:r/>
    </w:p>
    <w:p>
      <w:pPr>
        <w:pStyle w:val="819"/>
        <w:contextualSpacing/>
        <w:ind w:firstLine="420"/>
        <w:keepLines w:val="0"/>
        <w:keepNext w:val="0"/>
        <w:pageBreakBefore w:val="0"/>
        <w:spacing w:before="0" w:beforeAutospacing="0" w:after="0" w:afterAutospacing="0" w:line="360" w:lineRule="auto"/>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19"/>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19"/>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19"/>
        <w:contextualSpacing/>
        <w:ind w:firstLine="422"/>
        <w:keepLines w:val="0"/>
        <w:keepNext w:val="0"/>
        <w:pageBreakBefore w:val="0"/>
        <w:spacing w:before="0" w:beforeAutospacing="0" w:after="0" w:afterAutospacing="0" w:line="360" w:lineRule="auto"/>
        <w:rPr>
          <w:b/>
          <w:color w:val="auto"/>
          <w:sz w:val="21"/>
          <w:szCs w:val="21"/>
          <w:highlight w:val="none"/>
        </w:rPr>
      </w:pPr>
      <w:r>
        <w:rPr>
          <w:rFonts w:hint="eastAsia"/>
          <w:b/>
          <w:color w:val="auto"/>
          <w:sz w:val="21"/>
          <w:szCs w:val="21"/>
          <w:highlight w:val="none"/>
        </w:rPr>
        <w:t xml:space="preserve">七</w:t>
      </w:r>
      <w:r>
        <w:rPr>
          <w:b/>
          <w:color w:val="auto"/>
          <w:sz w:val="21"/>
          <w:szCs w:val="21"/>
          <w:highlight w:val="none"/>
        </w:rPr>
        <w:t xml:space="preserve">、本次磋商联系</w:t>
      </w:r>
      <w:r>
        <w:rPr>
          <w:rFonts w:ascii="Times New Roman" w:cs="Times New Roman"/>
          <w:b/>
          <w:color w:val="auto"/>
          <w:sz w:val="21"/>
          <w:szCs w:val="21"/>
          <w:highlight w:val="none"/>
        </w:rPr>
        <w:t xml:space="preserve">事项</w:t>
      </w:r>
      <w:r>
        <w:rPr>
          <w:b/>
          <w:color w:val="auto"/>
          <w:sz w:val="21"/>
          <w:szCs w:val="21"/>
          <w:highlight w:val="none"/>
        </w:rPr>
        <w:t xml:space="preserve">：</w:t>
      </w:r>
      <w:r/>
    </w:p>
    <w:p>
      <w:pPr>
        <w:pStyle w:val="819"/>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（一）采购单位  </w:t>
      </w:r>
      <w:r/>
    </w:p>
    <w:p>
      <w:pPr>
        <w:pStyle w:val="819"/>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采购单位：</w:t>
      </w:r>
      <w:r>
        <w:rPr>
          <w:rFonts w:hint="eastAsia" w:ascii="Times New Roman" w:cs="Times New Roman"/>
          <w:color w:val="auto"/>
          <w:sz w:val="21"/>
          <w:szCs w:val="21"/>
          <w:highlight w:val="none"/>
          <w:lang w:eastAsia="zh-CN"/>
        </w:rPr>
        <w:t xml:space="preserve">中华人民共和国连云港出入境边防检查站</w:t>
      </w:r>
      <w:r/>
    </w:p>
    <w:p>
      <w:pPr>
        <w:pStyle w:val="819"/>
        <w:contextualSpacing/>
        <w:ind w:firstLine="1050"/>
        <w:keepLines w:val="0"/>
        <w:keepNext w:val="0"/>
        <w:pageBreakBefore w:val="0"/>
        <w:spacing w:before="0" w:beforeAutospacing="0" w:after="0" w:afterAutospacing="0" w:line="360" w:lineRule="auto"/>
        <w:rPr>
          <w:rFonts w:hint="default" w:ascii="Times New Roman"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联系电话：</w:t>
      </w:r>
      <w:r>
        <w:rPr>
          <w:rFonts w:hint="eastAsia" w:ascii="Times New Roman" w:cs="Times New Roman"/>
          <w:color w:val="auto"/>
          <w:sz w:val="21"/>
          <w:szCs w:val="21"/>
          <w:highlight w:val="none"/>
          <w:lang w:val="en-US" w:eastAsia="zh-CN"/>
        </w:rPr>
        <w:t xml:space="preserve">0518-82310663</w:t>
      </w:r>
      <w:r/>
    </w:p>
    <w:p>
      <w:pPr>
        <w:pStyle w:val="819"/>
        <w:contextualSpacing/>
        <w:ind w:firstLine="1050"/>
        <w:keepLines w:val="0"/>
        <w:keepNext w:val="0"/>
        <w:pageBreakBefore w:val="0"/>
        <w:spacing w:before="0" w:beforeAutospacing="0" w:after="0" w:afterAutospacing="0" w:line="360" w:lineRule="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联系地址：</w:t>
      </w:r>
      <w:r>
        <w:rPr>
          <w:rFonts w:hint="eastAsia" w:ascii="Times New Roman" w:cs="Times New Roman"/>
          <w:color w:val="auto"/>
          <w:sz w:val="21"/>
          <w:szCs w:val="21"/>
          <w:highlight w:val="none"/>
          <w:lang w:val="en-US" w:eastAsia="zh-CN"/>
        </w:rPr>
        <w:t xml:space="preserve">连云港市连云区云宿路186号</w:t>
      </w:r>
      <w:r/>
    </w:p>
    <w:p>
      <w:pPr>
        <w:pStyle w:val="819"/>
        <w:contextualSpacing/>
        <w:ind w:firstLine="42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color w:val="auto"/>
          <w:sz w:val="21"/>
          <w:szCs w:val="21"/>
          <w:highlight w:val="none"/>
        </w:rPr>
        <w:t xml:space="preserve">（二）</w:t>
      </w:r>
      <w:r>
        <w:rPr>
          <w:rFonts w:hint="eastAsia"/>
          <w:color w:val="auto"/>
          <w:sz w:val="21"/>
          <w:szCs w:val="21"/>
          <w:highlight w:val="none"/>
          <w:lang w:eastAsia="zh-CN"/>
        </w:rPr>
        <w:t xml:space="preserve">采购代理机构信息</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819"/>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单位名称：连云港上和工程咨询有限公司</w:t>
      </w:r>
      <w:r/>
    </w:p>
    <w:p>
      <w:pPr>
        <w:pStyle w:val="819"/>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单位地址：</w:t>
      </w:r>
      <w:r>
        <w:rPr>
          <w:rFonts w:hint="default" w:ascii="Times New Roman" w:hAnsi="Times New Roman" w:eastAsia="宋体" w:cs="Times New Roman"/>
          <w:color w:val="auto"/>
          <w:sz w:val="21"/>
          <w:szCs w:val="21"/>
          <w:highlight w:val="none"/>
          <w:lang w:eastAsia="zh-CN"/>
        </w:rPr>
        <w:t xml:space="preserve">连云港市连云区连云新城广州路88号国际商务中心503室</w:t>
      </w:r>
      <w:r/>
    </w:p>
    <w:p>
      <w:pPr>
        <w:pStyle w:val="819"/>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联系人：张工</w:t>
      </w:r>
      <w:r/>
    </w:p>
    <w:p>
      <w:pPr>
        <w:pStyle w:val="819"/>
        <w:contextualSpacing/>
        <w:ind w:firstLine="1050"/>
        <w:keepLines w:val="0"/>
        <w:keepNext w:val="0"/>
        <w:pageBreakBefore w:val="0"/>
        <w:spacing w:before="0" w:beforeAutospacing="0" w:after="0" w:afterAutospacing="0" w:line="360" w:lineRule="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联系电话：</w:t>
      </w:r>
      <w:r>
        <w:rPr>
          <w:rFonts w:hint="default" w:ascii="Times New Roman" w:hAnsi="Times New Roman" w:eastAsia="宋体" w:cs="Times New Roman"/>
          <w:color w:val="auto"/>
          <w:sz w:val="21"/>
          <w:szCs w:val="21"/>
          <w:highlight w:val="none"/>
          <w:lang w:eastAsia="zh-CN"/>
        </w:rPr>
        <w:t xml:space="preserve">0518-85588595</w:t>
      </w:r>
      <w:r/>
    </w:p>
    <w:p>
      <w:pPr>
        <w:pStyle w:val="819"/>
        <w:contextualSpacing/>
        <w:ind w:firstLine="420"/>
        <w:keepLines w:val="0"/>
        <w:keepNext w:val="0"/>
        <w:pageBreakBefore w:val="0"/>
        <w:spacing w:before="0" w:beforeAutospacing="0" w:after="0" w:afterAutospacing="0" w:line="360" w:lineRule="auto"/>
        <w:rPr>
          <w:rFonts w:hint="eastAsia"/>
          <w:color w:val="auto"/>
          <w:sz w:val="21"/>
          <w:szCs w:val="21"/>
          <w:highlight w:val="none"/>
        </w:rPr>
      </w:pPr>
      <w:r>
        <w:rPr>
          <w:rFonts w:hint="eastAsia"/>
          <w:color w:val="auto"/>
          <w:sz w:val="21"/>
          <w:szCs w:val="21"/>
          <w:highlight w:val="none"/>
          <w:lang w:eastAsia="zh-CN"/>
        </w:rPr>
        <w:t xml:space="preserve">（三）</w:t>
      </w:r>
      <w:r>
        <w:rPr>
          <w:rFonts w:hint="eastAsia"/>
          <w:color w:val="auto"/>
          <w:sz w:val="21"/>
          <w:szCs w:val="21"/>
          <w:highlight w:val="none"/>
        </w:rPr>
        <w:t xml:space="preserve">项目联系方式</w:t>
      </w:r>
      <w:r/>
    </w:p>
    <w:p>
      <w:pPr>
        <w:pStyle w:val="819"/>
        <w:contextualSpacing/>
        <w:ind w:firstLine="105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联系人：</w:t>
      </w:r>
      <w:r>
        <w:rPr>
          <w:rFonts w:hint="eastAsia"/>
          <w:color w:val="auto"/>
          <w:sz w:val="21"/>
          <w:szCs w:val="21"/>
          <w:highlight w:val="none"/>
          <w:lang w:val="en-US" w:eastAsia="zh-CN"/>
        </w:rPr>
        <w:t xml:space="preserve">潘先生</w:t>
      </w:r>
      <w:r/>
    </w:p>
    <w:p>
      <w:pPr>
        <w:pStyle w:val="819"/>
        <w:contextualSpacing/>
        <w:ind w:firstLine="105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联系电话：</w:t>
      </w:r>
      <w:r>
        <w:rPr>
          <w:rFonts w:hint="eastAsia" w:ascii="Times New Roman" w:cs="Times New Roman"/>
          <w:color w:val="auto"/>
          <w:sz w:val="21"/>
          <w:szCs w:val="21"/>
          <w:highlight w:val="none"/>
          <w:lang w:val="en-US" w:eastAsia="zh-CN"/>
        </w:rPr>
        <w:t xml:space="preserve">0518-82310663</w:t>
      </w:r>
      <w:r/>
    </w:p>
    <w:p>
      <w:pPr>
        <w:pStyle w:val="841"/>
        <w:keepLines w:val="0"/>
        <w:keepNext w:val="0"/>
        <w:pageBreakBefore w:val="0"/>
        <w:spacing w:line="360" w:lineRule="auto"/>
        <w:rPr>
          <w:rFonts w:ascii="宋体" w:hAnsi="宋体" w:eastAsia="宋体" w:cs="宋体"/>
          <w:b/>
          <w:bCs/>
          <w:color w:val="auto"/>
          <w:sz w:val="21"/>
          <w:szCs w:val="21"/>
          <w:highlight w:val="yellow"/>
        </w:rPr>
        <w:sectPr>
          <w:footerReference w:type="default" r:id="rId15"/>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年05</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09</w:t>
      </w:r>
      <w:r>
        <w:rPr>
          <w:rFonts w:hint="eastAsia" w:ascii="宋体" w:hAnsi="宋体" w:eastAsia="宋体" w:cs="宋体"/>
          <w:b/>
          <w:bCs/>
          <w:color w:val="auto"/>
          <w:sz w:val="21"/>
          <w:szCs w:val="21"/>
          <w:highlight w:val="none"/>
        </w:rPr>
        <w:t xml:space="preserve">日</w:t>
      </w:r>
      <w:r/>
    </w:p>
    <w:p>
      <w:r/>
      <w:bookmarkStart w:id="85" w:name="_Toc14577347"/>
      <w:r/>
      <w:bookmarkStart w:id="86" w:name="_Toc513029209"/>
      <w:r/>
      <w:bookmarkStart w:id="87" w:name="_Toc61149549"/>
      <w:r/>
      <w:r/>
    </w:p>
    <w:p>
      <w:pPr>
        <w:pStyle w:val="776"/>
        <w:ind w:firstLine="3253"/>
        <w:spacing w:line="500" w:lineRule="exact"/>
        <w:rPr>
          <w:rFonts w:ascii="Times New Roman" w:eastAsia="宋体"/>
          <w:b/>
          <w:sz w:val="36"/>
          <w:szCs w:val="36"/>
        </w:rPr>
      </w:pPr>
      <w:r/>
      <w:bookmarkStart w:id="88" w:name="_Toc99113320"/>
      <w:r>
        <w:rPr>
          <w:rFonts w:ascii="Times New Roman" w:eastAsia="宋体"/>
          <w:b/>
          <w:sz w:val="36"/>
          <w:szCs w:val="36"/>
        </w:rPr>
        <w:t xml:space="preserve">第二章  磋商须知</w:t>
      </w:r>
      <w:bookmarkEnd w:id="88"/>
      <w:r/>
      <w:r/>
    </w:p>
    <w:p>
      <w:pPr>
        <w:ind w:firstLine="2310"/>
        <w:spacing w:line="500" w:lineRule="exact"/>
        <w:rPr>
          <w:bCs/>
          <w:szCs w:val="21"/>
        </w:rPr>
      </w:pPr>
      <w:r>
        <w:rPr>
          <w:bCs/>
          <w:szCs w:val="21"/>
        </w:rPr>
        <w:t xml:space="preserve">（参加竞争性磋商的</w:t>
      </w:r>
      <w:r>
        <w:rPr>
          <w:rFonts w:hint="eastAsia"/>
          <w:bCs/>
          <w:szCs w:val="21"/>
        </w:rPr>
        <w:t xml:space="preserve">供应商</w:t>
      </w:r>
      <w:r>
        <w:rPr>
          <w:bCs/>
          <w:szCs w:val="21"/>
        </w:rPr>
        <w:t xml:space="preserve">以下简称“磋商</w:t>
      </w:r>
      <w:r>
        <w:rPr>
          <w:rFonts w:hint="eastAsia"/>
          <w:bCs/>
          <w:szCs w:val="21"/>
        </w:rPr>
        <w:t xml:space="preserve">供应商</w:t>
      </w:r>
      <w:r>
        <w:rPr>
          <w:bCs/>
          <w:szCs w:val="21"/>
        </w:rPr>
        <w:t xml:space="preserve">”）</w:t>
      </w:r>
      <w:bookmarkEnd w:id="85"/>
      <w:r/>
      <w:bookmarkEnd w:id="86"/>
      <w:r/>
      <w:bookmarkEnd w:id="87"/>
      <w:r/>
      <w:r/>
    </w:p>
    <w:p>
      <w:pPr>
        <w:pStyle w:val="777"/>
        <w:jc w:val="both"/>
        <w:pageBreakBefore w:val="0"/>
        <w:spacing w:before="0" w:after="0" w:line="440" w:lineRule="exact"/>
        <w:widowControl w:val="off"/>
        <w:rPr>
          <w:rFonts w:hint="eastAsia" w:ascii="宋体" w:hAnsi="宋体" w:eastAsia="宋体" w:cs="宋体"/>
          <w:b w:val="0"/>
          <w:sz w:val="21"/>
          <w:szCs w:val="21"/>
        </w:rPr>
      </w:pPr>
      <w:r/>
      <w:bookmarkStart w:id="89" w:name="_Toc11984"/>
      <w:r>
        <w:rPr>
          <w:rFonts w:hint="eastAsia" w:ascii="宋体" w:hAnsi="宋体" w:eastAsia="宋体" w:cs="宋体"/>
          <w:b w:val="0"/>
          <w:sz w:val="21"/>
          <w:szCs w:val="21"/>
        </w:rPr>
        <w:t xml:space="preserve">一、总则</w:t>
      </w:r>
      <w:bookmarkEnd w:id="89"/>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0" w:name="_Toc32139"/>
      <w:r>
        <w:rPr>
          <w:rFonts w:hint="eastAsia" w:ascii="宋体" w:hAnsi="宋体" w:eastAsia="宋体" w:cs="宋体"/>
          <w:sz w:val="21"/>
          <w:szCs w:val="21"/>
        </w:rPr>
        <w:t xml:space="preserve">1、采购方式</w:t>
      </w:r>
      <w:bookmarkEnd w:id="9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本次政府采购活动采取竞争性磋商（以下简称磋商）方式，本磋商文件仅适用于磋商公告中所述项目。</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1" w:name="_Toc2615"/>
      <w:r>
        <w:rPr>
          <w:rFonts w:hint="eastAsia" w:ascii="宋体" w:hAnsi="宋体" w:eastAsia="宋体" w:cs="宋体"/>
          <w:sz w:val="21"/>
          <w:szCs w:val="21"/>
        </w:rPr>
        <w:t xml:space="preserve">2、合格的供应商</w:t>
      </w:r>
      <w:bookmarkEnd w:id="9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 满足磋商公告中申请人的资格要求的规定。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 满足本磋商文件全部实质性要求和条件的规定。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 符合上述条件的供应商应承担参与磋商采购及履约过程应承担的全部责任与义务。</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2" w:name="_Toc23750"/>
      <w:r>
        <w:rPr>
          <w:rFonts w:hint="eastAsia" w:ascii="宋体" w:hAnsi="宋体" w:eastAsia="宋体" w:cs="宋体"/>
          <w:sz w:val="21"/>
          <w:szCs w:val="21"/>
        </w:rPr>
        <w:t xml:space="preserve">3、适用法律</w:t>
      </w:r>
      <w:bookmarkEnd w:id="9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本次磋商采购及由此产生的合同受中华人民共和国有关的法律法规制约和保护。</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3" w:name="_Toc4561"/>
      <w:r>
        <w:rPr>
          <w:rFonts w:hint="eastAsia" w:ascii="宋体" w:hAnsi="宋体" w:eastAsia="宋体" w:cs="宋体"/>
          <w:sz w:val="21"/>
          <w:szCs w:val="21"/>
        </w:rPr>
        <w:t xml:space="preserve">4、磋商费用</w:t>
      </w:r>
      <w:bookmarkEnd w:id="9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供应商应自行承担所有与参与磋商采购活动有关的费用，无论磋商采购过程中的做法和结果如何，采购人和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w:t>
      </w:r>
      <w:r>
        <w:rPr>
          <w:rFonts w:hint="eastAsia" w:ascii="宋体" w:hAnsi="宋体" w:eastAsia="宋体" w:cs="宋体"/>
          <w:sz w:val="21"/>
          <w:szCs w:val="21"/>
          <w:highlight w:val="none"/>
          <w:lang w:val="en-US" w:eastAsia="zh-CN"/>
        </w:rPr>
        <w:t xml:space="preserve">本次磋商</w:t>
      </w:r>
      <w:r>
        <w:rPr>
          <w:rFonts w:hint="eastAsia" w:ascii="宋体" w:hAnsi="宋体" w:eastAsia="宋体" w:cs="宋体"/>
          <w:sz w:val="21"/>
          <w:szCs w:val="21"/>
          <w:highlight w:val="none"/>
        </w:rPr>
        <w:t xml:space="preserve">招标代理费按</w:t>
      </w:r>
      <w:r>
        <w:rPr>
          <w:rFonts w:hint="eastAsia" w:ascii="宋体" w:hAnsi="宋体" w:eastAsia="宋体" w:cs="宋体"/>
          <w:sz w:val="21"/>
          <w:szCs w:val="21"/>
          <w:lang w:eastAsia="zh-CN"/>
        </w:rPr>
        <w:t xml:space="preserve">“苏招协</w:t>
      </w:r>
      <w:r>
        <w:rPr>
          <w:rFonts w:hint="eastAsia" w:ascii="宋体" w:hAnsi="宋体" w:eastAsia="宋体" w:cs="宋体"/>
          <w:sz w:val="21"/>
          <w:szCs w:val="21"/>
        </w:rPr>
        <w:t xml:space="preserve">【20</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002</w:t>
      </w:r>
      <w:r>
        <w:rPr>
          <w:rFonts w:hint="eastAsia" w:ascii="宋体" w:hAnsi="宋体" w:eastAsia="宋体" w:cs="宋体"/>
          <w:sz w:val="21"/>
          <w:szCs w:val="21"/>
        </w:rPr>
        <w:t xml:space="preserve">号文”服务收费标准</w:t>
      </w:r>
      <w:r>
        <w:rPr>
          <w:rFonts w:hint="eastAsia" w:ascii="宋体" w:hAnsi="宋体" w:cs="宋体"/>
          <w:sz w:val="21"/>
          <w:szCs w:val="21"/>
          <w:lang w:val="en-US" w:eastAsia="zh-CN"/>
        </w:rPr>
        <w:t xml:space="preserve">50%</w:t>
      </w:r>
      <w:r>
        <w:rPr>
          <w:rFonts w:hint="eastAsia" w:ascii="宋体" w:hAnsi="宋体" w:eastAsia="宋体" w:cs="宋体"/>
          <w:sz w:val="21"/>
          <w:szCs w:val="21"/>
        </w:rPr>
        <w:t xml:space="preserve">收取</w:t>
      </w:r>
      <w:r>
        <w:rPr>
          <w:rFonts w:hint="eastAsia" w:ascii="宋体" w:hAnsi="宋体" w:eastAsia="宋体" w:cs="宋体"/>
          <w:sz w:val="21"/>
          <w:szCs w:val="21"/>
          <w:highlight w:val="none"/>
        </w:rPr>
        <w:t xml:space="preserve">。</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注：上述费用成交供应商领取成交通知书时须缴纳，</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将此费用综合考虑在报价中，采购人不</w:t>
      </w:r>
      <w:r>
        <w:rPr>
          <w:rFonts w:hint="eastAsia" w:ascii="宋体" w:hAnsi="宋体" w:cs="宋体"/>
          <w:b/>
          <w:bCs/>
          <w:sz w:val="21"/>
          <w:szCs w:val="21"/>
          <w:lang w:eastAsia="zh-CN"/>
        </w:rPr>
        <w:t xml:space="preserve">再</w:t>
      </w:r>
      <w:r>
        <w:rPr>
          <w:rFonts w:hint="eastAsia" w:ascii="宋体" w:hAnsi="宋体" w:eastAsia="宋体" w:cs="宋体"/>
          <w:b/>
          <w:bCs/>
          <w:sz w:val="21"/>
          <w:szCs w:val="21"/>
        </w:rPr>
        <w:t xml:space="preserve">另行支付。</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4" w:name="_Toc26940"/>
      <w:r>
        <w:rPr>
          <w:rFonts w:hint="eastAsia" w:ascii="宋体" w:hAnsi="宋体" w:eastAsia="宋体" w:cs="宋体"/>
          <w:sz w:val="21"/>
          <w:szCs w:val="21"/>
        </w:rPr>
        <w:t xml:space="preserve">5、磋商文件的约束力</w:t>
      </w:r>
      <w:bookmarkEnd w:id="94"/>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供应商一旦参与本项目采购活动，即被认为接受了本磋商文件的规定和约束。</w:t>
      </w:r>
      <w:r/>
    </w:p>
    <w:p>
      <w:pPr>
        <w:pStyle w:val="777"/>
        <w:jc w:val="both"/>
        <w:pageBreakBefore w:val="0"/>
        <w:spacing w:before="0" w:after="0" w:line="440" w:lineRule="exact"/>
        <w:widowControl w:val="off"/>
        <w:rPr>
          <w:rFonts w:hint="eastAsia" w:ascii="宋体" w:hAnsi="宋体" w:eastAsia="宋体" w:cs="宋体"/>
          <w:b w:val="0"/>
          <w:sz w:val="21"/>
          <w:szCs w:val="21"/>
        </w:rPr>
      </w:pPr>
      <w:r/>
      <w:bookmarkStart w:id="95" w:name="_Toc18765"/>
      <w:r>
        <w:rPr>
          <w:rFonts w:hint="eastAsia" w:ascii="宋体" w:hAnsi="宋体" w:eastAsia="宋体" w:cs="宋体"/>
          <w:b w:val="0"/>
          <w:sz w:val="21"/>
          <w:szCs w:val="21"/>
        </w:rPr>
        <w:t xml:space="preserve">二、磋商文件</w:t>
      </w:r>
      <w:bookmarkEnd w:id="95"/>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6" w:name="_Toc22607"/>
      <w:r>
        <w:rPr>
          <w:rFonts w:hint="eastAsia" w:ascii="宋体" w:hAnsi="宋体" w:eastAsia="宋体" w:cs="宋体"/>
          <w:sz w:val="21"/>
          <w:szCs w:val="21"/>
        </w:rPr>
        <w:t xml:space="preserve">6、磋商文件的构成</w:t>
      </w:r>
      <w:bookmarkEnd w:id="96"/>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磋商文件由以下部分构成：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联系解决。</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7" w:name="_Toc14098"/>
      <w:r>
        <w:rPr>
          <w:rFonts w:hint="eastAsia" w:ascii="宋体" w:hAnsi="宋体" w:eastAsia="宋体" w:cs="宋体"/>
          <w:sz w:val="21"/>
          <w:szCs w:val="21"/>
        </w:rPr>
        <w:t xml:space="preserve">7、磋商文件的澄清</w:t>
      </w:r>
      <w:bookmarkEnd w:id="9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98" w:name="_Toc27423"/>
      <w:r>
        <w:rPr>
          <w:rFonts w:hint="eastAsia" w:ascii="宋体" w:hAnsi="宋体" w:eastAsia="宋体" w:cs="宋体"/>
          <w:sz w:val="21"/>
          <w:szCs w:val="21"/>
        </w:rPr>
        <w:t xml:space="preserve">8、磋商文件的修改</w:t>
      </w:r>
      <w:bookmarkEnd w:id="9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 在响应文件提交截止时间前，采购人和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可以对磋商文件进行修改。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有权按照法定的要求推迟提交响应文件截止时间和开启时间。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 磋商文件的修改将在江苏政府采购网公布，补充文件将作为磋商文件的组成部分，并对供应商具有约束力。</w:t>
      </w:r>
      <w:r/>
    </w:p>
    <w:p>
      <w:pPr>
        <w:pStyle w:val="777"/>
        <w:jc w:val="both"/>
        <w:pageBreakBefore w:val="0"/>
        <w:spacing w:before="0" w:after="0" w:line="440" w:lineRule="exact"/>
        <w:widowControl w:val="off"/>
        <w:rPr>
          <w:rFonts w:hint="eastAsia" w:ascii="宋体" w:hAnsi="宋体" w:eastAsia="宋体" w:cs="宋体"/>
          <w:b w:val="0"/>
          <w:sz w:val="21"/>
          <w:szCs w:val="21"/>
        </w:rPr>
      </w:pPr>
      <w:r/>
      <w:bookmarkStart w:id="99" w:name="_Toc17132"/>
      <w:r>
        <w:rPr>
          <w:rFonts w:hint="eastAsia" w:ascii="宋体" w:hAnsi="宋体" w:eastAsia="宋体" w:cs="宋体"/>
          <w:b w:val="0"/>
          <w:sz w:val="21"/>
          <w:szCs w:val="21"/>
        </w:rPr>
        <w:t xml:space="preserve">三、响应文件编制</w:t>
      </w:r>
      <w:bookmarkEnd w:id="99"/>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00" w:name="_Toc28892"/>
      <w:r>
        <w:rPr>
          <w:rFonts w:hint="eastAsia" w:ascii="宋体" w:hAnsi="宋体" w:eastAsia="宋体" w:cs="宋体"/>
          <w:sz w:val="21"/>
          <w:szCs w:val="21"/>
        </w:rPr>
        <w:t xml:space="preserve">9、响应文件编写注意事项</w:t>
      </w:r>
      <w:bookmarkEnd w:id="10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01" w:name="_Toc21362"/>
      <w:r>
        <w:rPr>
          <w:rFonts w:hint="eastAsia" w:ascii="宋体" w:hAnsi="宋体" w:eastAsia="宋体" w:cs="宋体"/>
          <w:sz w:val="21"/>
          <w:szCs w:val="21"/>
        </w:rPr>
        <w:t xml:space="preserve">10、响应文件的语言及度量衡单位</w:t>
      </w:r>
      <w:bookmarkEnd w:id="10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除专用术语外，供应商提交的响应文件以及供应商与采购人和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除技术性能另有规定外，响应文件所使用的度量衡单位，均须采用国家法定计量单位。</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02" w:name="_Toc299"/>
      <w:r>
        <w:rPr>
          <w:rFonts w:hint="eastAsia" w:ascii="宋体" w:hAnsi="宋体" w:eastAsia="宋体" w:cs="宋体"/>
          <w:sz w:val="21"/>
          <w:szCs w:val="21"/>
        </w:rPr>
        <w:t xml:space="preserve">11、响应文件的构成</w:t>
      </w:r>
      <w:bookmarkEnd w:id="10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供应商编写的响应文件应包括资格证明文件、符合性证明文件、分项报价表、技术要求响应及偏离表、商务要求响应及偏离表、其他证明文件、磋商响应函等部分。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如响应文件制作工具中格式和内容与江苏政府采购网发布的磋商文件不一致，请以江苏政府采购网发布的磋商文件为准。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特别提醒供应商，混乱的编排导致响应文件被误读或竞争性磋商小组（以下简称磋商小组）查找不到有效文件是供应商的风险。</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03" w:name="_Toc26496"/>
      <w:r>
        <w:rPr>
          <w:rFonts w:hint="eastAsia" w:ascii="宋体" w:hAnsi="宋体" w:eastAsia="宋体" w:cs="宋体"/>
          <w:sz w:val="21"/>
          <w:szCs w:val="21"/>
        </w:rPr>
        <w:t xml:space="preserve">12、证明供应商及响应标的符合磋商文件规定的文件</w:t>
      </w:r>
      <w:bookmarkEnd w:id="10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供应商应按照磋商文件要求提交证明文件，证明其及响应标的符合磋商文件规定。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 磋商文件对证明文件无明确形式要求的，证明文件可以以文字资料、图纸和数据等形式提交。</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12.3 供应商委托代理时应当提交授权委托书，请按磋商文件第六章给定格式及要求填写并附法</w:t>
      </w:r>
      <w:r>
        <w:rPr>
          <w:rFonts w:hint="eastAsia" w:ascii="宋体" w:hAnsi="宋体" w:eastAsia="宋体" w:cs="宋体"/>
          <w:sz w:val="21"/>
          <w:szCs w:val="21"/>
          <w:highlight w:val="none"/>
        </w:rPr>
        <w:t xml:space="preserve">定代表人（单位负责人）与委托代理人身份证明。</w:t>
      </w:r>
      <w:r/>
    </w:p>
    <w:p>
      <w:pPr>
        <w:pStyle w:val="778"/>
        <w:ind w:firstLine="420"/>
        <w:jc w:val="left"/>
        <w:pageBreakBefore w:val="0"/>
        <w:spacing w:before="0" w:after="0" w:line="440" w:lineRule="exact"/>
        <w:widowControl w:val="off"/>
        <w:rPr>
          <w:rFonts w:hint="eastAsia" w:ascii="宋体" w:hAnsi="宋体" w:eastAsia="宋体" w:cs="宋体"/>
          <w:b w:val="0"/>
          <w:bCs/>
          <w:sz w:val="21"/>
          <w:szCs w:val="21"/>
          <w:highlight w:val="none"/>
        </w:rPr>
      </w:pPr>
      <w:r/>
      <w:bookmarkStart w:id="104" w:name="_Toc22069"/>
      <w:r>
        <w:rPr>
          <w:rFonts w:hint="eastAsia" w:ascii="宋体" w:hAnsi="宋体" w:eastAsia="宋体" w:cs="宋体"/>
          <w:b w:val="0"/>
          <w:bCs/>
          <w:sz w:val="21"/>
          <w:szCs w:val="21"/>
          <w:highlight w:val="none"/>
        </w:rPr>
        <w:t xml:space="preserve">13、报价</w:t>
      </w:r>
      <w:bookmarkEnd w:id="104"/>
      <w:r/>
      <w:r/>
    </w:p>
    <w:p>
      <w:pPr>
        <w:ind w:firstLine="420"/>
        <w:jc w:val="left"/>
        <w:pageBreakBefore w:val="0"/>
        <w:spacing w:line="44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13.1 供应商报价综合单价下浮率范围为1%-10%之间，超出此范围，作废标处理。</w:t>
      </w:r>
      <w:r/>
    </w:p>
    <w:p>
      <w:pPr>
        <w:ind w:firstLine="420"/>
        <w:jc w:val="left"/>
        <w:pageBreakBefore w:val="0"/>
        <w:spacing w:line="44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13.2 </w:t>
      </w:r>
      <w:bookmarkStart w:id="105" w:name="_Toc5223"/>
      <w:r>
        <w:rPr>
          <w:rFonts w:hint="eastAsia" w:ascii="宋体" w:hAnsi="宋体" w:eastAsia="宋体" w:cs="宋体"/>
          <w:b w:val="0"/>
          <w:bCs/>
          <w:sz w:val="21"/>
          <w:szCs w:val="21"/>
          <w:highlight w:val="none"/>
          <w:lang w:val="en-US" w:eastAsia="zh-CN"/>
        </w:rPr>
        <w:t xml:space="preserve">工程综合单价：按施工期现行的计价定额、《连云港建设工程经济》中材料信息指导价平均价(不足部分双方协商确认)、人工指导价、取费标准计价计算出的价格。</w:t>
      </w:r>
      <w:r/>
    </w:p>
    <w:p>
      <w:pPr>
        <w:ind w:firstLine="420"/>
        <w:jc w:val="left"/>
        <w:pageBreakBefore w:val="0"/>
        <w:spacing w:line="44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13.3服务期内，零星工程的价款根据现行定额、取费标准、价格计算的预算造价和下浮率和进一步的优惠确定具体价款，价款应被视为已经包含了但并不限于各项临时工程成本、运送、调试、验收、保险和相关服务等的费用。</w:t>
      </w:r>
      <w:r/>
    </w:p>
    <w:p>
      <w:pPr>
        <w:ind w:firstLine="420"/>
        <w:jc w:val="left"/>
        <w:pageBreakBefore w:val="0"/>
        <w:spacing w:line="44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13.4其他：</w:t>
      </w:r>
      <w:r/>
    </w:p>
    <w:p>
      <w:pPr>
        <w:ind w:firstLine="420"/>
        <w:jc w:val="left"/>
        <w:spacing w:line="360" w:lineRule="auto"/>
        <w:tabs>
          <w:tab w:val="left" w:pos="0" w:leader="none"/>
        </w:tabs>
        <w:rPr>
          <w:rFonts w:hint="eastAsia" w:ascii="宋体" w:hAnsi="宋体" w:cs="宋体"/>
          <w:b w:val="0"/>
          <w:bCs/>
          <w:szCs w:val="21"/>
          <w:highlight w:val="none"/>
        </w:rPr>
      </w:pPr>
      <w:r>
        <w:rPr>
          <w:rFonts w:hint="eastAsia" w:ascii="宋体" w:hAnsi="宋体" w:cs="宋体"/>
          <w:b w:val="0"/>
          <w:bCs/>
          <w:szCs w:val="21"/>
          <w:highlight w:val="none"/>
        </w:rPr>
        <w:t xml:space="preserve">（1）</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必须进行现场踏勘以充分了解工地位置、情况、道路、储存空间、装卸条件及任何其它足以影响成本价的情况。现场踏勘后，应根据自身实际情况，制订工程的施工方案或施工组织设计。中标后，不论施工方案或施工组织设计发生任何变化，任何因忽视或误解工地情况而导致的索赔或工期延长申请将不被批准。</w:t>
      </w:r>
      <w:r/>
    </w:p>
    <w:p>
      <w:pPr>
        <w:ind w:firstLine="420"/>
        <w:jc w:val="left"/>
        <w:spacing w:line="360" w:lineRule="auto"/>
        <w:tabs>
          <w:tab w:val="left" w:pos="0" w:leader="none"/>
        </w:tabs>
        <w:rPr>
          <w:rFonts w:hint="eastAsia" w:ascii="宋体" w:hAnsi="宋体" w:cs="宋体"/>
          <w:b w:val="0"/>
          <w:bCs/>
          <w:szCs w:val="21"/>
          <w:highlight w:val="none"/>
        </w:rPr>
      </w:pPr>
      <w:r>
        <w:rPr>
          <w:rFonts w:hint="eastAsia" w:ascii="宋体" w:hAnsi="宋体" w:cs="宋体"/>
          <w:b w:val="0"/>
          <w:bCs/>
          <w:szCs w:val="21"/>
          <w:highlight w:val="none"/>
        </w:rPr>
        <w:t xml:space="preserve">（2）</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必须承诺所购买材料严格按照施工图纸要求采购。</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不得购买伪劣产品或以旧充新、以次充好、掺杂使假。所有材料及其它配件均须确保为国标合格、先进、成熟、安全可靠的知名品牌的全新优等产品，以确保结构安全环保。</w:t>
      </w:r>
      <w:r/>
    </w:p>
    <w:p>
      <w:pPr>
        <w:ind w:firstLine="420"/>
        <w:jc w:val="left"/>
        <w:spacing w:line="360" w:lineRule="auto"/>
        <w:tabs>
          <w:tab w:val="left" w:pos="0" w:leader="none"/>
        </w:tabs>
        <w:rPr>
          <w:rFonts w:hint="eastAsia" w:ascii="宋体" w:hAnsi="宋体" w:cs="宋体"/>
          <w:b w:val="0"/>
          <w:bCs/>
          <w:szCs w:val="21"/>
          <w:highlight w:val="none"/>
        </w:rPr>
      </w:pP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3</w:t>
      </w: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采购人</w:t>
      </w:r>
      <w:r>
        <w:rPr>
          <w:rFonts w:hint="eastAsia" w:ascii="宋体" w:hAnsi="宋体" w:cs="宋体"/>
          <w:b w:val="0"/>
          <w:bCs/>
          <w:szCs w:val="21"/>
          <w:highlight w:val="none"/>
        </w:rPr>
        <w:t xml:space="preserve">不提供水源、电源到施工现场，由</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自行提供材料、设备接水、接电，并自备合格计量表计量，供水、供电费用（含接水、接电费用）由</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支付。</w:t>
      </w:r>
      <w:r/>
    </w:p>
    <w:p>
      <w:pPr>
        <w:ind w:firstLine="420"/>
        <w:jc w:val="left"/>
        <w:spacing w:line="360" w:lineRule="auto"/>
        <w:tabs>
          <w:tab w:val="left" w:pos="0" w:leader="none"/>
        </w:tabs>
        <w:rPr>
          <w:rFonts w:hint="eastAsia" w:ascii="宋体" w:hAnsi="宋体" w:cs="宋体"/>
          <w:b w:val="0"/>
          <w:bCs/>
          <w:szCs w:val="21"/>
          <w:highlight w:val="none"/>
        </w:rPr>
      </w:pP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4</w:t>
      </w: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应自行考虑施工组织设计中材料和构件的二次搬运、非</w:t>
      </w:r>
      <w:r>
        <w:rPr>
          <w:rFonts w:hint="eastAsia" w:ascii="宋体" w:hAnsi="宋体" w:cs="宋体"/>
          <w:b w:val="0"/>
          <w:bCs/>
          <w:szCs w:val="21"/>
          <w:highlight w:val="none"/>
          <w:lang w:val="en-US" w:eastAsia="zh-CN"/>
        </w:rPr>
        <w:t xml:space="preserve">采购人</w:t>
      </w:r>
      <w:r>
        <w:rPr>
          <w:rFonts w:hint="eastAsia" w:ascii="宋体" w:hAnsi="宋体" w:cs="宋体"/>
          <w:b w:val="0"/>
          <w:bCs/>
          <w:szCs w:val="21"/>
          <w:highlight w:val="none"/>
        </w:rPr>
        <w:t xml:space="preserve">所为八小时内的临时停水停电、环保噪音扰民、连续降雨、高(中)考、节假日、市内重大活动期间以及发包人需要的时间段内可能对施工作出某些限制和配合要求引起工效降低和民抚费用等，以上费用由施工单位自理。</w:t>
      </w:r>
      <w:r/>
    </w:p>
    <w:p>
      <w:pPr>
        <w:ind w:firstLine="420"/>
        <w:jc w:val="left"/>
        <w:spacing w:line="360" w:lineRule="auto"/>
        <w:tabs>
          <w:tab w:val="left" w:pos="0" w:leader="none"/>
        </w:tabs>
        <w:rPr>
          <w:rFonts w:hint="eastAsia" w:ascii="宋体" w:hAnsi="宋体" w:cs="宋体"/>
          <w:b w:val="0"/>
          <w:bCs/>
          <w:szCs w:val="21"/>
          <w:highlight w:val="none"/>
        </w:rPr>
      </w:pP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5</w:t>
      </w: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供应商</w:t>
      </w:r>
      <w:r>
        <w:rPr>
          <w:rFonts w:hint="eastAsia" w:ascii="宋体" w:hAnsi="宋体" w:cs="宋体"/>
          <w:b w:val="0"/>
          <w:bCs/>
          <w:szCs w:val="21"/>
          <w:highlight w:val="none"/>
        </w:rPr>
        <w:t xml:space="preserve">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w:t>
      </w:r>
      <w:r>
        <w:rPr>
          <w:rFonts w:hint="eastAsia" w:ascii="宋体" w:hAnsi="宋体" w:cs="宋体"/>
          <w:b w:val="0"/>
          <w:bCs/>
          <w:szCs w:val="21"/>
          <w:highlight w:val="none"/>
          <w:lang w:val="en-US" w:eastAsia="zh-CN"/>
        </w:rPr>
        <w:t xml:space="preserve">采购人</w:t>
      </w:r>
      <w:r>
        <w:rPr>
          <w:rFonts w:hint="eastAsia" w:ascii="宋体" w:hAnsi="宋体" w:cs="宋体"/>
          <w:b w:val="0"/>
          <w:bCs/>
          <w:szCs w:val="21"/>
          <w:highlight w:val="none"/>
        </w:rPr>
        <w:t xml:space="preserve">。</w:t>
      </w:r>
      <w:r>
        <w:rPr>
          <w:rFonts w:hint="eastAsia" w:ascii="宋体" w:hAnsi="宋体" w:cs="宋体"/>
          <w:b w:val="0"/>
          <w:bCs/>
          <w:szCs w:val="21"/>
          <w:highlight w:val="none"/>
          <w:lang w:val="en-US" w:eastAsia="zh-CN"/>
        </w:rPr>
        <w:t xml:space="preserve">采购人</w:t>
      </w:r>
      <w:r>
        <w:rPr>
          <w:rFonts w:hint="eastAsia" w:ascii="宋体" w:hAnsi="宋体" w:cs="宋体"/>
          <w:b w:val="0"/>
          <w:bCs/>
          <w:szCs w:val="21"/>
          <w:highlight w:val="none"/>
        </w:rPr>
        <w:t xml:space="preserve">应将办理上述事项的费用综合考虑在报价中。</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14、技术要求响应及偏离表、商务要求响应及偏离表</w:t>
      </w:r>
      <w:bookmarkEnd w:id="105"/>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供应商可在响应文件中提供认为需要的其他技术文件或说明。</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06" w:name="_Toc11409"/>
      <w:r>
        <w:rPr>
          <w:rFonts w:hint="eastAsia" w:ascii="宋体" w:hAnsi="宋体" w:eastAsia="宋体" w:cs="宋体"/>
          <w:sz w:val="21"/>
          <w:szCs w:val="21"/>
          <w:highlight w:val="none"/>
        </w:rPr>
        <w:t xml:space="preserve">15、服务承诺、培训计划、人员安排及其他</w:t>
      </w:r>
      <w:bookmarkEnd w:id="106"/>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 供应商应根据磋商文件要求提供有关售后服务的管理制度，售后服务机构的分布情况，售后服务人员的数量、素质、技术水平及售后服务的反应能力等。</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 供应商应根据磋商文件要求提供培训计划、人员安排等。</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供应商应根据磋商文件要求提供响应标的的主要组成部分、功能设计、实现思路及关键技术等。</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07" w:name="_Toc22216"/>
      <w:r>
        <w:rPr>
          <w:rFonts w:hint="eastAsia" w:ascii="宋体" w:hAnsi="宋体" w:eastAsia="宋体" w:cs="宋体"/>
          <w:sz w:val="21"/>
          <w:szCs w:val="21"/>
          <w:highlight w:val="none"/>
        </w:rPr>
        <w:t xml:space="preserve">16、磋商响应函</w:t>
      </w:r>
      <w:bookmarkEnd w:id="107"/>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供应商应按照磋商文件提供的格式完整、正确填写磋商响应函。</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08" w:name="_Toc32560"/>
      <w:r>
        <w:rPr>
          <w:rFonts w:hint="eastAsia" w:ascii="宋体" w:hAnsi="宋体" w:eastAsia="宋体" w:cs="宋体"/>
          <w:sz w:val="21"/>
          <w:szCs w:val="21"/>
          <w:highlight w:val="none"/>
        </w:rPr>
        <w:t xml:space="preserve">17、磋商有效期</w:t>
      </w:r>
      <w:bookmarkEnd w:id="108"/>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磋商有效期为磋商文件规定的开启之日后六十（60）天。磋商有效期比规定短的将被视为未实质性响应磋商文件而予以拒绝。</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在特殊情况下，</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的这一要求而放弃磋商响应，同意延长磋商有效期的供应商既不能要求也不允许修改其响应文件。受磋商有效期约束的所有权利与义务均延长至新的有效期。</w:t>
      </w:r>
      <w:r/>
    </w:p>
    <w:p>
      <w:pPr>
        <w:pStyle w:val="777"/>
        <w:jc w:val="both"/>
        <w:pageBreakBefore w:val="0"/>
        <w:spacing w:before="0" w:after="0" w:line="440" w:lineRule="exact"/>
        <w:widowControl w:val="off"/>
        <w:rPr>
          <w:rFonts w:hint="eastAsia" w:ascii="宋体" w:hAnsi="宋体" w:eastAsia="宋体" w:cs="宋体"/>
          <w:b w:val="0"/>
          <w:sz w:val="21"/>
          <w:szCs w:val="21"/>
          <w:highlight w:val="none"/>
        </w:rPr>
      </w:pPr>
      <w:r/>
      <w:bookmarkStart w:id="109" w:name="_Toc21311"/>
      <w:r>
        <w:rPr>
          <w:rFonts w:hint="eastAsia" w:ascii="宋体" w:hAnsi="宋体" w:eastAsia="宋体" w:cs="宋体"/>
          <w:b w:val="0"/>
          <w:sz w:val="21"/>
          <w:szCs w:val="21"/>
          <w:highlight w:val="none"/>
        </w:rPr>
        <w:t xml:space="preserve">四、响应文件提交</w:t>
      </w:r>
      <w:bookmarkEnd w:id="109"/>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0" w:name="_Toc26607"/>
      <w:r>
        <w:rPr>
          <w:rFonts w:hint="eastAsia" w:ascii="宋体" w:hAnsi="宋体" w:eastAsia="宋体" w:cs="宋体"/>
          <w:sz w:val="21"/>
          <w:szCs w:val="21"/>
          <w:highlight w:val="none"/>
        </w:rPr>
        <w:t xml:space="preserve">18、电子响应文件的提交</w:t>
      </w:r>
      <w:bookmarkEnd w:id="110"/>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供应商应当按照《操作手册》规定，在响应文件提交截止时间前制作并提交（上传）电子响应文件。</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1" w:name="_Toc19767"/>
      <w:r>
        <w:rPr>
          <w:rFonts w:hint="eastAsia" w:ascii="宋体" w:hAnsi="宋体" w:eastAsia="宋体" w:cs="宋体"/>
          <w:sz w:val="21"/>
          <w:szCs w:val="21"/>
          <w:highlight w:val="none"/>
        </w:rPr>
        <w:t xml:space="preserve">19、提交响应文件截止时间</w:t>
      </w:r>
      <w:bookmarkEnd w:id="111"/>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 供应商提交（上传）电子响应文件的时间不得迟于磋商公告中规定的截止时间。</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 采购人和</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2" w:name="_Toc29058"/>
      <w:r>
        <w:rPr>
          <w:rFonts w:hint="eastAsia" w:ascii="宋体" w:hAnsi="宋体" w:eastAsia="宋体" w:cs="宋体"/>
          <w:sz w:val="21"/>
          <w:szCs w:val="21"/>
          <w:highlight w:val="none"/>
        </w:rPr>
        <w:t xml:space="preserve">20、响应文件的拒收</w:t>
      </w:r>
      <w:bookmarkEnd w:id="112"/>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 </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拒绝接收在磋商文件规定的截止时间后提交（上传）的任何响应文件。</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3" w:name="_Toc3499"/>
      <w:r>
        <w:rPr>
          <w:rFonts w:hint="eastAsia" w:ascii="宋体" w:hAnsi="宋体" w:eastAsia="宋体" w:cs="宋体"/>
          <w:sz w:val="21"/>
          <w:szCs w:val="21"/>
          <w:highlight w:val="none"/>
        </w:rPr>
        <w:t xml:space="preserve">21、响应文件的撤回和修改</w:t>
      </w:r>
      <w:bookmarkEnd w:id="113"/>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 在提交（上传）响应文件截止时间至磋商文件规定的磋商有效期满之间的这段时间内，供应商不得撤回其电子响应文件。</w:t>
      </w:r>
      <w:r/>
    </w:p>
    <w:p>
      <w:pPr>
        <w:pStyle w:val="777"/>
        <w:jc w:val="both"/>
        <w:pageBreakBefore w:val="0"/>
        <w:spacing w:before="0" w:after="0" w:line="440" w:lineRule="exact"/>
        <w:widowControl w:val="off"/>
        <w:rPr>
          <w:rFonts w:hint="eastAsia" w:ascii="宋体" w:hAnsi="宋体" w:eastAsia="宋体" w:cs="宋体"/>
          <w:b w:val="0"/>
          <w:sz w:val="21"/>
          <w:szCs w:val="21"/>
          <w:highlight w:val="none"/>
        </w:rPr>
      </w:pPr>
      <w:r/>
      <w:bookmarkStart w:id="114" w:name="_Toc19911"/>
      <w:r>
        <w:rPr>
          <w:rFonts w:hint="eastAsia" w:ascii="宋体" w:hAnsi="宋体" w:eastAsia="宋体" w:cs="宋体"/>
          <w:b w:val="0"/>
          <w:sz w:val="21"/>
          <w:szCs w:val="21"/>
          <w:highlight w:val="none"/>
        </w:rPr>
        <w:t xml:space="preserve">五、响应文件开启（解密）与评审</w:t>
      </w:r>
      <w:bookmarkEnd w:id="114"/>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5" w:name="_Toc155"/>
      <w:r>
        <w:rPr>
          <w:rFonts w:hint="eastAsia" w:ascii="宋体" w:hAnsi="宋体" w:eastAsia="宋体" w:cs="宋体"/>
          <w:sz w:val="21"/>
          <w:szCs w:val="21"/>
          <w:highlight w:val="none"/>
        </w:rPr>
        <w:t xml:space="preserve">22、响应文件开启（解密）</w:t>
      </w:r>
      <w:bookmarkEnd w:id="115"/>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 </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将在磋商公告中规定的时间和地点组织响应文件开启。供应商应当按时参加，并在“苏采云”系统规定的时间内对其电子响应文件进行解密。</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 供应商在开启（解密）过程中涉及到的响应文件解密、开启结果确认等工作，应当按照《操作手册》规定执行。</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 供应商未参加开启（解密）的，视同认可开启（解密）结果。</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 供应商在开启（解密）、澄清、磋商、最后报价、评审全过程中应保持通讯畅通，及时登录“苏采云”系统查阅、答复相关信息，并安排专人与</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及磋商小组联系。</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6" w:name="_Toc15316"/>
      <w:r>
        <w:rPr>
          <w:rFonts w:hint="eastAsia" w:ascii="宋体" w:hAnsi="宋体" w:eastAsia="宋体" w:cs="宋体"/>
          <w:sz w:val="21"/>
          <w:szCs w:val="21"/>
          <w:highlight w:val="none"/>
        </w:rPr>
        <w:t xml:space="preserve">23、磋商小组</w:t>
      </w:r>
      <w:bookmarkEnd w:id="116"/>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 响应文件开启（解密）后，</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将组织磋商小组进行评审。</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 磋商小组由采购人代表和有关技术、经济等方面的评审专家组成，且人员构成符合政府采购有关规定。</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 磋商小组按照磋商文件规定的评审程序、评审方法和评审标准进行独立评审并确定成交候选人。</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7" w:name="_Toc18301"/>
      <w:r>
        <w:rPr>
          <w:rFonts w:hint="eastAsia" w:ascii="宋体" w:hAnsi="宋体" w:eastAsia="宋体" w:cs="宋体"/>
          <w:sz w:val="21"/>
          <w:szCs w:val="21"/>
          <w:highlight w:val="none"/>
        </w:rPr>
        <w:t xml:space="preserve">24、评审过程的保密与公正</w:t>
      </w:r>
      <w:bookmarkEnd w:id="117"/>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凡是与审查、澄清、评价和比较有关的资料以及成交建议等，采购人、评审专家、</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均不得向供应商或与评审无关的其他人员透露。</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在评审过程中，供应商不得以任何行为影响评审过程，否则其响应文件将被作为无效响应文件。</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 </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和磋商小组不向未成交的供应商解释未成交原因，也不公布评审过程中的相关细节。</w:t>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18" w:name="_Toc817"/>
      <w:r>
        <w:rPr>
          <w:rFonts w:hint="eastAsia" w:ascii="宋体" w:hAnsi="宋体" w:eastAsia="宋体" w:cs="宋体"/>
          <w:sz w:val="21"/>
          <w:szCs w:val="21"/>
          <w:highlight w:val="none"/>
        </w:rPr>
        <w:t xml:space="preserve">25、响应文件的澄清</w:t>
      </w:r>
      <w:bookmarkEnd w:id="11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25.1 评审期间，磋商小组对响应文件中含义不明确、同类问题表述不一致或者有明显文字和计</w:t>
      </w:r>
      <w:r>
        <w:rPr>
          <w:rFonts w:hint="eastAsia" w:ascii="宋体" w:hAnsi="宋体" w:eastAsia="宋体" w:cs="宋体"/>
          <w:sz w:val="21"/>
          <w:szCs w:val="21"/>
        </w:rPr>
        <w:t xml:space="preserve">算错误的内容，有权要求供应商作出必要的澄清、说明或者补正。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磋商小组并非对每个供应商都提出澄清、说明或者补正要求。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25.3 接到磋商小组澄清、说明或者补正要求的供应商如未按要求响应，其风险由供应商自行承担。</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19" w:name="_Toc12284"/>
      <w:r>
        <w:rPr>
          <w:rFonts w:hint="eastAsia" w:ascii="宋体" w:hAnsi="宋体" w:eastAsia="宋体" w:cs="宋体"/>
          <w:sz w:val="21"/>
          <w:szCs w:val="21"/>
        </w:rPr>
        <w:t xml:space="preserve">26、对响应文件的审查</w:t>
      </w:r>
      <w:bookmarkEnd w:id="11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 响应文件审查分为资格审查和符合性审查。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（1）资格审查：磋商小组依据法律法规和磋商文件的规定，对响应文件中的资格证明文件进行审查，以确定供应商是否具备参加磋商采购的资格。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（2）符合性审查：磋商小组依据磋商文件的规定，从响应文件的有效性、完整性和对磋商文件的响应程度进行审查，以确定其是否对磋商文件的全部实质性要求作出响应。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未通过资格审查或符合性审查的供应商，将通过“苏采云”系统中告知其未通过的原因，评审结束后，将不再告知。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 如果响应文件实质上没有响应磋商文件的要求，磋商小组将予以拒绝，供应商不得通过修改或撤销不符合要求的偏离或保留而使其成为实质性响应。</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26.4 政府采购异常低价审查：</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（一）评审过程中出现下列情形之一的，评委会应当启动异常低价投标（响应）审查程序：</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1.投标(响应)报价低于全部通过符合性审查供应商投标(响应)报价平均值50%的，即投标(响应)报价&lt;全部通过符合性审查供应商投标(响应)报价平均值×50%；</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2.投标(响应)报价低于通过符合性审查的次低报价供应商投标(响应)报价50%的，即投标(响应)报价&lt;通过符合性审查的次低报价供应商投标(响应)报价×50%；</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3.投标(响应)报价低于采购项目最高限价45%的，即投标(响应)报价&lt;采购项目最高限价×45%；</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4.评委会基于专业判断，认为供应商报价过低，有可能影响产品质量或者不能诚信履约的其他情形。</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0" w:name="_Toc22042"/>
      <w:r>
        <w:rPr>
          <w:rFonts w:hint="eastAsia" w:ascii="宋体" w:hAnsi="宋体" w:eastAsia="宋体" w:cs="宋体"/>
          <w:sz w:val="21"/>
          <w:szCs w:val="21"/>
        </w:rPr>
        <w:t xml:space="preserve">27、磋商程序</w:t>
      </w:r>
      <w:bookmarkEnd w:id="120"/>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27.1 对于通过资格审查和符合性审查的供应商，磋商小组将集中与单一供应商分别进行磋商。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已提交响应文件的供应商，在提交最后报价之前，可以根据磋商情况退出磋商采购，应在“苏采云”系统中提交“退出磋商函”，并加盖CA电子公章。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供应商未在磋商小组规定的时间内在“苏采云”系统中提交最后报价的视为放弃磋商，其响应文件按无效响应处理。</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1" w:name="_Toc14769"/>
      <w:r>
        <w:rPr>
          <w:rFonts w:hint="eastAsia" w:ascii="宋体" w:hAnsi="宋体" w:eastAsia="宋体" w:cs="宋体"/>
          <w:sz w:val="21"/>
          <w:szCs w:val="21"/>
        </w:rPr>
        <w:t xml:space="preserve">28、评审方法与评审标准</w:t>
      </w:r>
      <w:bookmarkEnd w:id="12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28.1 评审方法。详见本磋商文件第五章。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 评审标准。详见本磋商文件第五章。</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2" w:name="_Toc15052"/>
      <w:r>
        <w:rPr>
          <w:rFonts w:hint="eastAsia" w:ascii="宋体" w:hAnsi="宋体" w:eastAsia="宋体" w:cs="宋体"/>
          <w:sz w:val="21"/>
          <w:szCs w:val="21"/>
        </w:rPr>
        <w:t xml:space="preserve">29、未实质性响应磋商文件的情形和采购活动终止</w:t>
      </w:r>
      <w:bookmarkEnd w:id="12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29.1 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（1）供应商未按照磋商文件要求提交（上传）电子响应文件的。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（2）供应商在“苏采云”系统规定的时间内未成功解密电子响应文件的。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（3）供应商不具备磋商文件中规定的资格要求的。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（5）不符合磋商文件规定的实质性要求和条件的。（本磋商文件中斜体且有下划线部分为实质性要求和条件）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（7）供应商未通过符合性审查的。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（8）供应商未按照要求对磋商或者最后报价作出响应的。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（9）供应商提交两个（含两个）以上不同的最后报价的。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（10）供应商的最后报价超过了采购预算或者最高限价的。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（12）响应文件含有采购人不能接受的附加条件的。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（13）响应文件未按照磋商文件要求加盖公章（CA电子公章）的。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（14）其他法律、法规及本磋商文件规定的属于未实质性响应磋商文件的情形。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29.2 有下列情形之一的，视为供应商串通，响应无效：</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（1）不同供应商的响应文件由同一单位或者个人编制。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（2）不同供应商委托同一单位或者个人办理磋商事宜。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（3）不同供应商的响应文件载明的项目管理成员或者联系人员为同一人。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（4）不同供应商的响应文件异常一致或者最后报价呈规律性差异。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（5）不同供应商的响应文件相互混装。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29.3 采购活动终止的情形：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（1）因“苏采云”系统故障原因造成开启（解密）不成功的，或者至磋商文件规定的截止时间成功解密电子响应文件的供应商不足三家的。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（2）磋商小组认定磋商文件存在歧义、重大缺陷导致评审工作无法进行，或者磋商文件内容违反国家有关强制性规定的。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（3）除本磋商文件第二章第27.2条第三款规定的情形外，符合专业条件的供应商或者对磋商文件作实质响应的供应商不足三家的。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（4）出现影响采购公正的违法、违规行为的。</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（5）因</w:t>
      </w:r>
      <w:r>
        <w:rPr>
          <w:rFonts w:hint="eastAsia" w:ascii="宋体" w:hAnsi="宋体" w:eastAsia="宋体" w:cs="宋体"/>
          <w:sz w:val="21"/>
          <w:szCs w:val="21"/>
          <w:highlight w:val="none"/>
        </w:rPr>
        <w:t xml:space="preserve">重大变故，采购任务取消的。</w:t>
      </w:r>
      <w:r/>
    </w:p>
    <w:p>
      <w:pPr>
        <w:pStyle w:val="777"/>
        <w:jc w:val="both"/>
        <w:pageBreakBefore w:val="0"/>
        <w:spacing w:before="0" w:after="0" w:line="440" w:lineRule="exact"/>
        <w:widowControl w:val="off"/>
        <w:rPr>
          <w:rFonts w:hint="eastAsia" w:ascii="宋体" w:hAnsi="宋体" w:eastAsia="宋体" w:cs="宋体"/>
          <w:b w:val="0"/>
          <w:sz w:val="21"/>
          <w:szCs w:val="21"/>
          <w:highlight w:val="none"/>
        </w:rPr>
      </w:pPr>
      <w:r/>
      <w:bookmarkStart w:id="123" w:name="_Toc27335"/>
      <w:r>
        <w:rPr>
          <w:rFonts w:hint="eastAsia" w:ascii="宋体" w:hAnsi="宋体" w:eastAsia="宋体" w:cs="宋体"/>
          <w:b w:val="0"/>
          <w:sz w:val="21"/>
          <w:szCs w:val="21"/>
          <w:highlight w:val="none"/>
        </w:rPr>
        <w:t xml:space="preserve">六、成交</w:t>
      </w:r>
      <w:bookmarkEnd w:id="123"/>
      <w:r/>
      <w:r/>
    </w:p>
    <w:p>
      <w:pPr>
        <w:pStyle w:val="778"/>
        <w:ind w:firstLine="422"/>
        <w:jc w:val="left"/>
        <w:pageBreakBefore w:val="0"/>
        <w:spacing w:before="0" w:after="0" w:line="440" w:lineRule="exact"/>
        <w:widowControl w:val="off"/>
        <w:rPr>
          <w:rFonts w:hint="eastAsia" w:ascii="宋体" w:hAnsi="宋体" w:eastAsia="宋体" w:cs="宋体"/>
          <w:sz w:val="21"/>
          <w:szCs w:val="21"/>
          <w:highlight w:val="none"/>
        </w:rPr>
      </w:pPr>
      <w:r/>
      <w:bookmarkStart w:id="124" w:name="_Toc23584"/>
      <w:r>
        <w:rPr>
          <w:rFonts w:hint="eastAsia" w:ascii="宋体" w:hAnsi="宋体" w:eastAsia="宋体" w:cs="宋体"/>
          <w:sz w:val="21"/>
          <w:szCs w:val="21"/>
          <w:highlight w:val="none"/>
        </w:rPr>
        <w:t xml:space="preserve">30、确定成交单位</w:t>
      </w:r>
      <w:bookmarkEnd w:id="124"/>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 磋商小组根据综合评分情况，按照评审得分由高到低顺序推荐3名成交候选供应商，并编写评审报告。总分相同时依次按服务的优惠力度大、服务承诺优先、响应时间短的顺序，排列各供应商次序，并依照次序提供不少于</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名成交候选人供应商，前</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名的供应商，确定为本项目的成交供应商。</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如果候选</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lang w:val="en-US" w:eastAsia="zh-CN"/>
        </w:rPr>
        <w:t xml:space="preserve">保障</w:t>
      </w:r>
      <w:r>
        <w:rPr>
          <w:rFonts w:hint="eastAsia" w:ascii="宋体" w:hAnsi="宋体" w:eastAsia="宋体" w:cs="宋体"/>
          <w:sz w:val="21"/>
          <w:szCs w:val="21"/>
          <w:highlight w:val="none"/>
        </w:rPr>
        <w:t xml:space="preserve">供应商放弃</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、在规定期限内未能签订合同、因不可抗力不能履行合同，或者被查实存在影响中标结果的违法行为等情形，不符合</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条件的，招标人可以按照评标委员会提出的候选</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供应商名单排序依次确定其他候选</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供应商为</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lang w:val="en-US" w:eastAsia="zh-CN"/>
        </w:rPr>
        <w:t xml:space="preserve">保障</w:t>
      </w:r>
      <w:r>
        <w:rPr>
          <w:rFonts w:hint="eastAsia" w:ascii="宋体" w:hAnsi="宋体" w:eastAsia="宋体" w:cs="宋体"/>
          <w:sz w:val="21"/>
          <w:szCs w:val="21"/>
          <w:highlight w:val="none"/>
        </w:rPr>
        <w:t xml:space="preserve">供应商。也可以重新招标。</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30.2 采购人从评审报告提出</w:t>
      </w:r>
      <w:r>
        <w:rPr>
          <w:rFonts w:hint="eastAsia" w:ascii="宋体" w:hAnsi="宋体" w:eastAsia="宋体" w:cs="宋体"/>
          <w:sz w:val="21"/>
          <w:szCs w:val="21"/>
        </w:rPr>
        <w:t xml:space="preserve">的成交候选供应商中，按照排序由高到低的原则确定成交供应商。采购人确定成交供应商后，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将在江苏政府采购网发布成交结果公告，公告期限为1个工作日。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30.3 若有充分证据证明，成交供应商存在下列情形之一的，一经查实，将被取消成交资格：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（1）提供虚假材料谋取中标、成交的。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（2）采取不正当手段诋毁、排挤其他供应商的。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恶意串通的。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行贿或者提供其他不正当利益的。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（5）属于本磋商文件规定的无效情形，但在评审过程中又未被磋商小组发现的。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（6）成交后无正当理由拒不与采购人签订政府采购合同或者未按照磋商文件确定的事项签订政府采购合同的。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（7）将政府采购合同转包的。</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5" w:name="_Toc29354"/>
      <w:r>
        <w:rPr>
          <w:rFonts w:hint="eastAsia" w:ascii="宋体" w:hAnsi="宋体" w:eastAsia="宋体" w:cs="宋体"/>
          <w:sz w:val="21"/>
          <w:szCs w:val="21"/>
        </w:rPr>
        <w:t xml:space="preserve">31、成交通知书</w:t>
      </w:r>
      <w:bookmarkEnd w:id="125"/>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 成交结果确定后，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40" w:lineRule="exact"/>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31.3 </w:t>
      </w:r>
      <w:r>
        <w:rPr>
          <w:rFonts w:hint="eastAsia" w:ascii="宋体" w:hAnsi="宋体" w:eastAsia="宋体" w:cs="宋体"/>
          <w:b/>
          <w:color w:val="auto"/>
          <w:sz w:val="21"/>
          <w:szCs w:val="21"/>
          <w:highlight w:val="none"/>
        </w:rPr>
        <w:t xml:space="preserve">成交供应商在领取成交通知书时，按要求提供与电子响应文件一致的纸质打印文件（一正三幅）</w:t>
      </w:r>
      <w:r>
        <w:rPr>
          <w:rFonts w:hint="eastAsia" w:ascii="宋体" w:hAnsi="宋体" w:eastAsia="宋体" w:cs="宋体"/>
          <w:sz w:val="21"/>
          <w:szCs w:val="21"/>
        </w:rPr>
        <w:t xml:space="preserve">，封面、骑缝需加盖公章</w:t>
      </w:r>
      <w:r>
        <w:rPr>
          <w:rFonts w:hint="eastAsia" w:ascii="宋体" w:hAnsi="宋体" w:eastAsia="宋体" w:cs="宋体"/>
          <w:b/>
          <w:color w:val="auto"/>
          <w:sz w:val="21"/>
          <w:szCs w:val="21"/>
          <w:highlight w:val="none"/>
        </w:rPr>
        <w:t xml:space="preserve">。</w:t>
      </w:r>
      <w:r/>
    </w:p>
    <w:p>
      <w:pPr>
        <w:pStyle w:val="777"/>
        <w:jc w:val="both"/>
        <w:pageBreakBefore w:val="0"/>
        <w:spacing w:before="0" w:after="0" w:line="440" w:lineRule="exact"/>
        <w:widowControl w:val="off"/>
        <w:rPr>
          <w:rFonts w:hint="eastAsia" w:ascii="宋体" w:hAnsi="宋体" w:eastAsia="宋体" w:cs="宋体"/>
          <w:b w:val="0"/>
          <w:sz w:val="21"/>
          <w:szCs w:val="21"/>
        </w:rPr>
      </w:pPr>
      <w:r/>
      <w:bookmarkStart w:id="126" w:name="_Toc25594"/>
      <w:r>
        <w:rPr>
          <w:rFonts w:hint="eastAsia" w:ascii="宋体" w:hAnsi="宋体" w:eastAsia="宋体" w:cs="宋体"/>
          <w:b w:val="0"/>
          <w:sz w:val="21"/>
          <w:szCs w:val="21"/>
        </w:rPr>
        <w:t xml:space="preserve">七、授予合同</w:t>
      </w:r>
      <w:bookmarkEnd w:id="126"/>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7" w:name="_Toc21292"/>
      <w:r>
        <w:rPr>
          <w:rFonts w:hint="eastAsia" w:ascii="宋体" w:hAnsi="宋体" w:eastAsia="宋体" w:cs="宋体"/>
          <w:sz w:val="21"/>
          <w:szCs w:val="21"/>
        </w:rPr>
        <w:t xml:space="preserve">32、签订合同</w:t>
      </w:r>
      <w:bookmarkEnd w:id="127"/>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成交供应商应当在成交通知书发出之日起三十日内，按照磋商文件和成交供应商响应文件的规定，与采购人签订政府采购合同。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32.2 磋商文件、成交供应商的响应文件及磋商采购过程中有关澄清、承诺、磋商响应等文件均应作为合同附件。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32.4采购人应当在合同签订后2日内上传合同至苏采云公示。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32.5.2 成交供应商违约的，采购人将按照合同约定扣除其全部或部分履约保证金。如成交供应商违约给采购人造成的损失超过履约保证金的，应当依法赔偿超过部分的损失。</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32.5.3 履约保证金自合同生效之日起至合同约定的成交供应商主要义务履行完毕止，采购人应当按合同约定及时退还履约保证金。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32.5.4 逾期退还履约保证金的采购人承担违约责任，按照中国人民银行同期贷款基准利率向成交供应商支付超期资金占用费。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32.5.5 本项目履约保证金要求</w:t>
      </w:r>
      <w:r>
        <w:rPr>
          <w:rFonts w:hint="eastAsia" w:ascii="宋体" w:hAnsi="宋体" w:cs="宋体"/>
          <w:sz w:val="21"/>
          <w:szCs w:val="21"/>
          <w:lang w:eastAsia="zh-CN"/>
        </w:rPr>
        <w:t xml:space="preserve">：</w:t>
      </w:r>
      <w:r>
        <w:rPr>
          <w:rFonts w:hint="eastAsia" w:ascii="宋体" w:hAnsi="宋体" w:cs="宋体"/>
          <w:b/>
          <w:bCs/>
          <w:sz w:val="21"/>
          <w:szCs w:val="21"/>
          <w:lang w:eastAsia="zh-CN"/>
        </w:rPr>
        <w:t xml:space="preserve">本项目不收取履约保证金</w:t>
      </w:r>
      <w:r>
        <w:rPr>
          <w:rFonts w:hint="eastAsia" w:ascii="宋体" w:hAnsi="宋体" w:eastAsia="宋体" w:cs="宋体"/>
          <w:b/>
          <w:bCs/>
          <w:sz w:val="21"/>
          <w:szCs w:val="21"/>
        </w:rPr>
        <w:t xml:space="preserve">。</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8" w:name="_Toc22117"/>
      <w:r>
        <w:rPr>
          <w:rFonts w:hint="eastAsia" w:ascii="宋体" w:hAnsi="宋体" w:eastAsia="宋体" w:cs="宋体"/>
          <w:sz w:val="21"/>
          <w:szCs w:val="21"/>
        </w:rPr>
        <w:t xml:space="preserve">33、合同标的的追加</w:t>
      </w:r>
      <w:bookmarkEnd w:id="128"/>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29" w:name="_Toc19391"/>
      <w:r>
        <w:rPr>
          <w:rFonts w:hint="eastAsia" w:ascii="宋体" w:hAnsi="宋体" w:eastAsia="宋体" w:cs="宋体"/>
          <w:sz w:val="21"/>
          <w:szCs w:val="21"/>
        </w:rPr>
        <w:t xml:space="preserve">34、政府采购履约资金扶持政策</w:t>
      </w:r>
      <w:bookmarkEnd w:id="129"/>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34.1 成交供应商可凭政府采购合同办理融资贷款，详情请见江苏政府采购网“政采贷”专栏。</w:t>
      </w:r>
      <w:r/>
    </w:p>
    <w:p>
      <w:pPr>
        <w:pStyle w:val="777"/>
        <w:jc w:val="both"/>
        <w:pageBreakBefore w:val="0"/>
        <w:spacing w:before="0" w:after="0" w:line="440" w:lineRule="exact"/>
        <w:widowControl w:val="off"/>
        <w:rPr>
          <w:rFonts w:hint="eastAsia" w:ascii="宋体" w:hAnsi="宋体" w:eastAsia="宋体" w:cs="宋体"/>
          <w:b w:val="0"/>
          <w:sz w:val="21"/>
          <w:szCs w:val="21"/>
        </w:rPr>
      </w:pPr>
      <w:r/>
      <w:bookmarkStart w:id="130" w:name="_Toc23117"/>
      <w:r>
        <w:rPr>
          <w:rFonts w:hint="eastAsia" w:ascii="宋体" w:hAnsi="宋体" w:eastAsia="宋体" w:cs="宋体"/>
          <w:b w:val="0"/>
          <w:sz w:val="21"/>
          <w:szCs w:val="21"/>
        </w:rPr>
        <w:t xml:space="preserve">八、询问与质疑</w:t>
      </w:r>
      <w:bookmarkEnd w:id="130"/>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31" w:name="_Toc24516"/>
      <w:r>
        <w:rPr>
          <w:rFonts w:hint="eastAsia" w:ascii="宋体" w:hAnsi="宋体" w:eastAsia="宋体" w:cs="宋体"/>
          <w:sz w:val="21"/>
          <w:szCs w:val="21"/>
        </w:rPr>
        <w:t xml:space="preserve">35、询问</w:t>
      </w:r>
      <w:bookmarkEnd w:id="131"/>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35.1 供应商对政府采购活动事项有疑问的，可以提出询问，采购人或者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应当告知其向采购人提出。</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32" w:name="_Toc1325"/>
      <w:r>
        <w:rPr>
          <w:rFonts w:hint="eastAsia" w:ascii="宋体" w:hAnsi="宋体" w:eastAsia="宋体" w:cs="宋体"/>
          <w:sz w:val="21"/>
          <w:szCs w:val="21"/>
        </w:rPr>
        <w:t xml:space="preserve">36、质疑提出</w:t>
      </w:r>
      <w:bookmarkEnd w:id="132"/>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36.1 提出质疑的供应商应当是参与所质疑项目采购活动的供应商。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36.4 质疑函的接收方式为供应商书面原件提交。联系部门、联系电话和通讯地址详见磋商文件第一章。质疑实行实名制，不得进行虚假、恶意质疑。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36.5 质疑函应当使用范本，详见磋商文件第六章。供应商提出质疑应当提交质疑函和必要的证明材料，应当包括下列内容：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33" w:name="_Toc22518"/>
      <w:r>
        <w:rPr>
          <w:rFonts w:hint="eastAsia" w:ascii="宋体" w:hAnsi="宋体" w:eastAsia="宋体" w:cs="宋体"/>
          <w:sz w:val="21"/>
          <w:szCs w:val="21"/>
        </w:rPr>
        <w:t xml:space="preserve">37、质疑函的受理和答复</w:t>
      </w:r>
      <w:bookmarkEnd w:id="133"/>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37.2 对符合法定要求的质疑，采购人、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37.3 对不符合质疑要求的，采购人、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37.4 以下情形的质疑依法不予受理：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（3）以传真、电子邮件等方式提交的非原件形式的质疑。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37.5 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pStyle w:val="778"/>
        <w:ind w:firstLine="422"/>
        <w:jc w:val="left"/>
        <w:pageBreakBefore w:val="0"/>
        <w:spacing w:before="0" w:after="0" w:line="440" w:lineRule="exact"/>
        <w:widowControl w:val="off"/>
        <w:rPr>
          <w:rFonts w:hint="eastAsia" w:ascii="宋体" w:hAnsi="宋体" w:eastAsia="宋体" w:cs="宋体"/>
          <w:sz w:val="21"/>
          <w:szCs w:val="21"/>
        </w:rPr>
      </w:pPr>
      <w:r/>
      <w:bookmarkStart w:id="134" w:name="_Toc10556"/>
      <w:r>
        <w:rPr>
          <w:rFonts w:hint="eastAsia" w:ascii="宋体" w:hAnsi="宋体" w:eastAsia="宋体" w:cs="宋体"/>
          <w:sz w:val="21"/>
          <w:szCs w:val="21"/>
        </w:rPr>
        <w:t xml:space="preserve">38、质疑处理</w:t>
      </w:r>
      <w:bookmarkEnd w:id="134"/>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38.1 质疑供应商未按照法定程序进行质疑投诉的，视为一般失信行为。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38.2 质疑供应商不配合或者采取不正当手段干扰政府采购质疑、投诉处理工作的，视为一般失信行为。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38.3 质疑供应商投诉受理期间，就同一事项多头举报，干扰财政部门投诉处理的，视为一般失信行为。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38.4 质疑供应商在全国范围12个月内三次以上质疑查无实据的，视为一般失信行为。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38.6 质疑供应商在全国范围12个月内三次以上投诉查无实据的，视为严重失信行为。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38.7 未尽事宜，依照有关法律、法规执行。</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lang w:val="en-US" w:eastAsia="zh-CN"/>
        </w:rPr>
        <w:t xml:space="preserve">九</w:t>
      </w:r>
      <w:r>
        <w:rPr>
          <w:rFonts w:hint="eastAsia" w:ascii="黑体" w:hAnsi="黑体" w:eastAsia="黑体" w:cs="宋体"/>
          <w:bCs/>
          <w:color w:val="auto"/>
          <w:szCs w:val="21"/>
          <w:highlight w:val="none"/>
        </w:rPr>
        <w:t xml:space="preserve">、政策功能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 xml:space="preserve">促进</w:t>
      </w:r>
      <w:r>
        <w:rPr>
          <w:rFonts w:hint="eastAsia" w:ascii="宋体" w:hAnsi="宋体" w:eastAsia="宋体" w:cs="Times New Roman"/>
          <w:color w:val="auto"/>
          <w:szCs w:val="21"/>
          <w:highlight w:val="none"/>
        </w:rPr>
        <w:t xml:space="preserve">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39.1</w:t>
      </w:r>
      <w:r>
        <w:rPr>
          <w:rFonts w:hint="eastAsia" w:ascii="宋体" w:hAnsi="宋体" w:eastAsia="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b/>
          <w:bCs/>
          <w:color w:val="auto"/>
          <w:szCs w:val="21"/>
          <w:highlight w:val="none"/>
        </w:rPr>
        <w:t xml:space="preserve">专门面向中型企业、小型企业、微型企业、残疾人福利性单位、监狱企业采购。</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投标文件格式）。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 </w:t>
      </w:r>
      <w:r>
        <w:rPr>
          <w:rFonts w:hint="eastAsia" w:ascii="宋体" w:hAnsi="宋体" w:eastAsia="宋体" w:cs="Times New Roman"/>
          <w:color w:val="auto"/>
          <w:szCs w:val="21"/>
          <w:highlight w:val="none"/>
        </w:rPr>
        <w:t xml:space="preserve">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92"/>
        <w:ind w:firstLine="420"/>
        <w:spacing w:line="360" w:lineRule="auto"/>
        <w:rPr>
          <w:szCs w:val="21"/>
        </w:rPr>
      </w:pPr>
      <w:r>
        <w:rPr>
          <w:szCs w:val="21"/>
        </w:rPr>
      </w:r>
      <w:r/>
    </w:p>
    <w:p>
      <w:pPr>
        <w:jc w:val="center"/>
        <w:keepLines/>
        <w:keepNext/>
        <w:spacing w:line="360" w:lineRule="auto"/>
        <w:rPr>
          <w:b/>
          <w:sz w:val="36"/>
          <w:szCs w:val="36"/>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35" w:name="_Toc513622228"/>
      <w:r/>
      <w:bookmarkStart w:id="136" w:name="_Toc32045"/>
      <w:r/>
      <w:bookmarkStart w:id="137" w:name="_Toc139966427"/>
      <w:r/>
      <w:bookmarkStart w:id="138" w:name="_Toc139967211"/>
      <w:r/>
      <w:r/>
    </w:p>
    <w:p>
      <w:pPr>
        <w:pStyle w:val="791"/>
      </w:pPr>
      <w:r/>
      <w:r/>
    </w:p>
    <w:p>
      <w:pPr>
        <w:jc w:val="center"/>
        <w:keepLines/>
        <w:keepNext/>
        <w:spacing w:line="360" w:lineRule="auto"/>
        <w:rPr>
          <w:rFonts w:hint="eastAsia"/>
          <w:b/>
          <w:sz w:val="36"/>
          <w:szCs w:val="36"/>
        </w:rPr>
        <w:outlineLvl w:val="0"/>
      </w:pPr>
      <w:r/>
      <w:bookmarkStart w:id="139" w:name="_Toc99113321"/>
      <w:r/>
      <w:r/>
    </w:p>
    <w:p>
      <w:pPr>
        <w:jc w:val="center"/>
        <w:keepLines/>
        <w:keepNext/>
        <w:spacing w:line="360" w:lineRule="auto"/>
        <w:rPr>
          <w:b/>
          <w:sz w:val="36"/>
          <w:szCs w:val="36"/>
        </w:rPr>
        <w:outlineLvl w:val="0"/>
      </w:pPr>
      <w:r>
        <w:rPr>
          <w:rFonts w:hint="eastAsia"/>
          <w:b/>
          <w:sz w:val="36"/>
          <w:szCs w:val="36"/>
        </w:rPr>
        <w:t xml:space="preserve">第三章  政府采购合同格式</w:t>
      </w:r>
      <w:bookmarkEnd w:id="135"/>
      <w:r/>
      <w:bookmarkEnd w:id="136"/>
      <w:r/>
      <w:bookmarkEnd w:id="137"/>
      <w:r/>
      <w:bookmarkEnd w:id="138"/>
      <w:r/>
      <w:bookmarkEnd w:id="139"/>
      <w:r/>
      <w:r/>
    </w:p>
    <w:p>
      <w:pPr>
        <w:ind w:left="-7" w:hanging="421"/>
        <w:jc w:val="center"/>
        <w:rPr>
          <w:rFonts w:hint="eastAsia" w:ascii="黑体" w:hAnsi="黑体" w:eastAsia="黑体"/>
          <w:color w:val="000000"/>
          <w:spacing w:val="0"/>
          <w:sz w:val="52"/>
          <w:szCs w:val="52"/>
        </w:rPr>
      </w:pPr>
      <w:r>
        <w:rPr>
          <w:rFonts w:hint="eastAsia" w:ascii="黑体" w:hAnsi="黑体" w:eastAsia="黑体"/>
          <w:color w:val="000000"/>
          <w:spacing w:val="0"/>
          <w:sz w:val="52"/>
          <w:szCs w:val="52"/>
        </w:rPr>
      </w:r>
      <w:r/>
    </w:p>
    <w:p>
      <w:pPr>
        <w:jc w:val="center"/>
        <w:spacing w:line="500" w:lineRule="exact"/>
        <w:rPr>
          <w:rFonts w:hint="eastAsia" w:ascii="宋体" w:hAnsi="宋体" w:eastAsia="宋体" w:cs="宋体"/>
          <w:sz w:val="24"/>
          <w:szCs w:val="24"/>
        </w:rPr>
      </w:pPr>
      <w:r/>
      <w:bookmarkStart w:id="140" w:name="_Toc99113323"/>
      <w:r/>
      <w:r/>
    </w:p>
    <w:p>
      <w:pPr>
        <w:pStyle w:val="776"/>
        <w:ind w:firstLine="4337"/>
        <w:keepLines/>
        <w:keepNext/>
        <w:pageBreakBefore w:val="0"/>
        <w:spacing w:before="120" w:after="120" w:line="520" w:lineRule="exact"/>
        <w:widowControl w:val="off"/>
        <w:tabs>
          <w:tab w:val="center" w:pos="284" w:leader="none"/>
        </w:tabs>
        <w:rPr>
          <w:rFonts w:hint="eastAsia" w:ascii="宋体" w:hAnsi="宋体" w:eastAsia="宋体" w:cs="宋体"/>
          <w:b/>
          <w:sz w:val="24"/>
          <w:szCs w:val="24"/>
          <w:lang w:val="zh-CN"/>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b/>
          <w:sz w:val="24"/>
          <w:szCs w:val="24"/>
          <w:lang w:val="zh-CN"/>
        </w:rPr>
      </w:r>
      <w:r/>
    </w:p>
    <w:p>
      <w:pPr>
        <w:pStyle w:val="776"/>
        <w:ind w:firstLine="4337"/>
        <w:keepLines/>
        <w:keepNext/>
        <w:pageBreakBefore w:val="0"/>
        <w:spacing w:before="120" w:after="120" w:line="520" w:lineRule="exact"/>
        <w:widowControl w:val="off"/>
        <w:tabs>
          <w:tab w:val="center" w:pos="284" w:leader="none"/>
        </w:tabs>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框架协议</w:t>
      </w:r>
      <w:r/>
    </w:p>
    <w:p>
      <w:pPr>
        <w:ind w:firstLine="211"/>
        <w:jc w:val="both"/>
        <w:rPr>
          <w:rFonts w:hint="eastAsia" w:ascii="宋体" w:hAnsi="宋体" w:eastAsia="宋体" w:cs="宋体"/>
          <w:color w:val="000000"/>
          <w:spacing w:val="0"/>
          <w:sz w:val="21"/>
          <w:szCs w:val="21"/>
          <w:highlight w:val="none"/>
        </w:rPr>
      </w:pPr>
      <w:r>
        <w:rPr>
          <w:rFonts w:hint="eastAsia" w:ascii="宋体" w:hAnsi="宋体" w:eastAsia="宋体" w:cs="宋体"/>
          <w:b/>
          <w:bCs/>
          <w:sz w:val="21"/>
          <w:szCs w:val="21"/>
          <w:highlight w:val="none"/>
          <w:lang w:val="zh-CN"/>
        </w:rPr>
        <w:t xml:space="preserve">甲</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val="zh-CN"/>
        </w:rPr>
        <w:t xml:space="preserve">方</w:t>
      </w: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lang w:val="en-US" w:eastAsia="zh-CN"/>
        </w:rPr>
        <w:t xml:space="preserve">采购人</w:t>
      </w:r>
      <w:r>
        <w:rPr>
          <w:rFonts w:hint="eastAsia" w:ascii="宋体" w:hAnsi="宋体" w:cs="宋体"/>
          <w:b/>
          <w:bCs/>
          <w:sz w:val="21"/>
          <w:szCs w:val="21"/>
          <w:highlight w:val="none"/>
          <w:lang w:val="zh-CN"/>
        </w:rPr>
        <w:t xml:space="preserve">）</w:t>
      </w:r>
      <w:r>
        <w:rPr>
          <w:rFonts w:hint="eastAsia" w:ascii="宋体" w:hAnsi="宋体" w:eastAsia="宋体" w:cs="宋体"/>
          <w:b/>
          <w:bCs/>
          <w:sz w:val="21"/>
          <w:szCs w:val="21"/>
          <w:highlight w:val="none"/>
          <w:lang w:val="zh-CN"/>
        </w:rPr>
        <w:t xml:space="preserve">：</w:t>
      </w:r>
      <w:r>
        <w:rPr>
          <w:rFonts w:hint="eastAsia" w:ascii="宋体" w:hAnsi="宋体" w:eastAsia="宋体" w:cs="宋体"/>
          <w:sz w:val="21"/>
          <w:szCs w:val="21"/>
          <w:highlight w:val="none"/>
          <w:u w:val="single"/>
          <w:lang w:val="en-US" w:eastAsia="zh-CN"/>
        </w:rPr>
        <w:t xml:space="preserve">连云港出入境边防检查站</w:t>
      </w:r>
      <w:r/>
    </w:p>
    <w:p>
      <w:pPr>
        <w:ind w:firstLine="211"/>
        <w:pageBreakBefore w:val="0"/>
        <w:spacing w:line="520" w:lineRule="exact"/>
        <w:widowControl w:val="off"/>
        <w:rPr>
          <w:rFonts w:hint="eastAsia" w:ascii="宋体" w:hAnsi="宋体" w:eastAsia="宋体" w:cs="宋体"/>
          <w:b/>
          <w:bCs/>
          <w:sz w:val="21"/>
          <w:szCs w:val="21"/>
          <w:highlight w:val="none"/>
          <w:u w:val="single"/>
          <w:lang w:val="en-US" w:eastAsia="zh-CN"/>
        </w:rPr>
      </w:pPr>
      <w:r>
        <w:rPr>
          <w:rFonts w:hint="eastAsia" w:ascii="宋体" w:hAnsi="宋体" w:eastAsia="宋体" w:cs="宋体"/>
          <w:b/>
          <w:bCs/>
          <w:sz w:val="21"/>
          <w:szCs w:val="21"/>
          <w:highlight w:val="none"/>
          <w:lang w:val="zh-CN"/>
        </w:rPr>
        <w:t xml:space="preserve">乙</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lang w:val="zh-CN"/>
        </w:rPr>
        <w:t xml:space="preserve">方</w:t>
      </w:r>
      <w:r>
        <w:rPr>
          <w:rFonts w:hint="eastAsia" w:ascii="宋体" w:hAnsi="宋体" w:cs="宋体"/>
          <w:b/>
          <w:bCs/>
          <w:sz w:val="21"/>
          <w:szCs w:val="21"/>
          <w:highlight w:val="none"/>
          <w:lang w:val="zh-CN"/>
        </w:rPr>
        <w:t xml:space="preserve">（</w:t>
      </w:r>
      <w:r>
        <w:rPr>
          <w:rFonts w:hint="eastAsia" w:ascii="宋体" w:hAnsi="宋体" w:cs="宋体"/>
          <w:b/>
          <w:bCs/>
          <w:sz w:val="21"/>
          <w:szCs w:val="21"/>
          <w:highlight w:val="none"/>
          <w:lang w:val="en-US" w:eastAsia="zh-CN"/>
        </w:rPr>
        <w:t xml:space="preserve">服务商</w:t>
      </w:r>
      <w:r>
        <w:rPr>
          <w:rFonts w:hint="eastAsia" w:ascii="宋体" w:hAnsi="宋体" w:cs="宋体"/>
          <w:b/>
          <w:bCs/>
          <w:sz w:val="21"/>
          <w:szCs w:val="21"/>
          <w:highlight w:val="none"/>
          <w:lang w:val="zh-CN"/>
        </w:rPr>
        <w:t xml:space="preserve">）</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ab/>
      </w:r>
      <w:r>
        <w:rPr>
          <w:rFonts w:hint="eastAsia" w:ascii="宋体" w:hAnsi="宋体" w:eastAsia="宋体" w:cs="宋体"/>
          <w:b/>
          <w:bCs/>
          <w:sz w:val="21"/>
          <w:szCs w:val="21"/>
          <w:highlight w:val="none"/>
          <w:u w:val="single"/>
          <w:lang w:val="en-US" w:eastAsia="zh-CN"/>
        </w:rPr>
        <w:tab/>
      </w:r>
      <w:r>
        <w:rPr>
          <w:rFonts w:hint="eastAsia" w:ascii="宋体" w:hAnsi="宋体" w:eastAsia="宋体" w:cs="宋体"/>
          <w:b/>
          <w:bCs/>
          <w:sz w:val="21"/>
          <w:szCs w:val="21"/>
          <w:highlight w:val="none"/>
          <w:u w:val="single"/>
          <w:lang w:val="en-US" w:eastAsia="zh-CN"/>
        </w:rPr>
        <w:tab/>
      </w:r>
      <w:r/>
    </w:p>
    <w:p>
      <w:pPr>
        <w:ind w:firstLine="420"/>
        <w:pageBreakBefore w:val="0"/>
        <w:spacing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经</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val="zh-CN"/>
        </w:rPr>
        <w:t xml:space="preserve">确定</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以下简称乙方）为</w:t>
      </w:r>
      <w:r>
        <w:rPr>
          <w:rFonts w:hint="eastAsia" w:ascii="宋体" w:hAnsi="宋体" w:eastAsia="宋体" w:cs="宋体"/>
          <w:sz w:val="21"/>
          <w:szCs w:val="21"/>
          <w:highlight w:val="none"/>
          <w:u w:val="single"/>
          <w:lang w:val="en-US" w:eastAsia="zh-CN"/>
        </w:rPr>
        <w:t xml:space="preserve">连云港出入</w:t>
      </w:r>
      <w:r>
        <w:rPr>
          <w:rFonts w:hint="eastAsia" w:ascii="宋体" w:hAnsi="宋体" w:cs="宋体"/>
          <w:sz w:val="21"/>
          <w:szCs w:val="21"/>
          <w:highlight w:val="none"/>
          <w:u w:val="single"/>
          <w:lang w:val="en-US" w:eastAsia="zh-CN"/>
        </w:rPr>
        <w:t xml:space="preserve">境</w:t>
      </w:r>
      <w:r>
        <w:rPr>
          <w:rFonts w:hint="eastAsia" w:ascii="宋体" w:hAnsi="宋体" w:eastAsia="宋体" w:cs="宋体"/>
          <w:sz w:val="21"/>
          <w:szCs w:val="21"/>
          <w:highlight w:val="none"/>
          <w:u w:val="single"/>
          <w:lang w:val="en-US" w:eastAsia="zh-CN"/>
        </w:rPr>
        <w:t xml:space="preserve">边防检查站零星维修项目供应商遴选</w:t>
      </w:r>
      <w:r>
        <w:rPr>
          <w:rFonts w:hint="eastAsia" w:ascii="宋体" w:hAnsi="宋体" w:eastAsia="宋体" w:cs="宋体"/>
          <w:sz w:val="21"/>
          <w:szCs w:val="21"/>
          <w:highlight w:val="none"/>
          <w:u w:val="none"/>
          <w:lang w:val="en-US" w:eastAsia="zh-CN"/>
        </w:rPr>
        <w:t xml:space="preserve">施工</w:t>
      </w:r>
      <w:r>
        <w:rPr>
          <w:rFonts w:hint="eastAsia" w:ascii="宋体" w:hAnsi="宋体" w:eastAsia="宋体" w:cs="宋体"/>
          <w:sz w:val="21"/>
          <w:szCs w:val="21"/>
          <w:highlight w:val="none"/>
          <w:lang w:val="zh-CN" w:eastAsia="zh-CN"/>
        </w:rPr>
        <w:t xml:space="preserve">服务保障</w:t>
      </w:r>
      <w:r>
        <w:rPr>
          <w:rFonts w:hint="eastAsia" w:ascii="宋体" w:hAnsi="宋体" w:eastAsia="宋体" w:cs="宋体"/>
          <w:sz w:val="21"/>
          <w:szCs w:val="21"/>
          <w:highlight w:val="none"/>
          <w:lang w:val="zh-CN"/>
        </w:rPr>
        <w:t xml:space="preserve">协议供应商。为了明确买卖双方在合作中的权力和义务，根据《中华人民共和国民法典》等相关法律法规规定，买卖双方本着长期合作、互惠互利的基础原则，经友好协商达成本采购框架协议。</w:t>
      </w:r>
      <w:r/>
    </w:p>
    <w:p>
      <w:pPr>
        <w:ind w:firstLine="422"/>
        <w:pageBreakBefore w:val="0"/>
        <w:spacing w:line="520" w:lineRule="exact"/>
        <w:widowControl w:val="off"/>
        <w:tabs>
          <w:tab w:val="left" w:pos="54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一、协议基本情况及要求</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1.1项目名称 ：连云港出入境边防检查站零星维修项目供应商遴选                                   </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1.2地   点 ：连云港出入境边防检查站（机关、执勤一队、执勤三队）。</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1.3工作内容：包含但不限于开展站所属营房的屋面防水、墙面粉刷、地面维修、外墙维修、用电线路改造等营房零星维修工作等。</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 协议服务期限：3年（合同约定时间起算）。</w:t>
      </w:r>
      <w:r/>
    </w:p>
    <w:p>
      <w:pPr>
        <w:ind w:firstLine="422"/>
        <w:pageBreakBefore w:val="0"/>
        <w:spacing w:line="520" w:lineRule="exact"/>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en-US" w:eastAsia="zh-CN"/>
        </w:rPr>
        <w:t xml:space="preserve">二、质量标准：</w:t>
      </w:r>
      <w:r/>
    </w:p>
    <w:p>
      <w:pPr>
        <w:ind w:firstLine="525"/>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质量等级符合</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b/>
          <w:bCs/>
          <w:sz w:val="21"/>
          <w:szCs w:val="21"/>
          <w:highlight w:val="none"/>
          <w:u w:val="single"/>
          <w:lang w:val="en-US" w:eastAsia="zh-CN"/>
        </w:rPr>
        <w:t xml:space="preserve">合格</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标准。</w:t>
      </w:r>
      <w:r/>
    </w:p>
    <w:p>
      <w:pPr>
        <w:ind w:firstLine="422"/>
        <w:pageBreakBefore w:val="0"/>
        <w:spacing w:line="520" w:lineRule="exact"/>
        <w:widowControl w:val="off"/>
        <w:tabs>
          <w:tab w:val="left" w:pos="54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三、合同期限与预算保障</w:t>
      </w:r>
      <w:r/>
    </w:p>
    <w:p>
      <w:pPr>
        <w:ind w:firstLine="420"/>
        <w:spacing w:line="460" w:lineRule="exact"/>
        <w:rPr>
          <w:rFonts w:hint="default" w:ascii="宋体" w:hAnsi="宋体" w:eastAsia="宋体"/>
          <w:b/>
          <w:bCs/>
          <w:color w:val="auto"/>
          <w:sz w:val="24"/>
          <w:highlight w:val="none"/>
          <w:lang w:val="en-US" w:eastAsia="zh-CN"/>
        </w:rPr>
      </w:pPr>
      <w:r>
        <w:rPr>
          <w:rFonts w:hint="eastAsia" w:ascii="宋体" w:hAnsi="宋体" w:eastAsia="宋体" w:cs="宋体"/>
          <w:sz w:val="21"/>
          <w:szCs w:val="21"/>
          <w:highlight w:val="none"/>
          <w:lang w:val="en-US" w:eastAsia="zh-CN"/>
        </w:rPr>
        <w:t xml:space="preserve">3.1</w:t>
      </w:r>
      <w:r>
        <w:rPr>
          <w:rFonts w:hint="eastAsia" w:ascii="宋体" w:hAnsi="宋体" w:cs="宋体"/>
          <w:sz w:val="21"/>
          <w:szCs w:val="21"/>
          <w:highlight w:val="none"/>
          <w:lang w:val="en-US" w:eastAsia="zh-CN"/>
        </w:rPr>
        <w:t xml:space="preserve">协议期限：</w:t>
      </w:r>
      <w:r>
        <w:rPr>
          <w:rFonts w:hint="eastAsia" w:ascii="宋体" w:hAnsi="宋体" w:eastAsia="宋体" w:cs="宋体"/>
          <w:sz w:val="21"/>
          <w:szCs w:val="21"/>
          <w:highlight w:val="none"/>
          <w:lang w:val="en-US" w:eastAsia="zh-CN"/>
        </w:rPr>
        <w:t xml:space="preserve"> </w:t>
      </w:r>
      <w:r>
        <w:rPr>
          <w:rFonts w:hint="eastAsia" w:cs="Times New Roman"/>
          <w:b/>
          <w:bCs/>
          <w:color w:val="auto"/>
          <w:sz w:val="21"/>
          <w:szCs w:val="21"/>
          <w:highlight w:val="none"/>
          <w:lang w:val="en-US" w:eastAsia="zh-CN"/>
        </w:rPr>
        <w:t xml:space="preserve">双方协议期限3年，在此期限内</w:t>
      </w:r>
      <w:r>
        <w:rPr>
          <w:rFonts w:hint="eastAsia" w:ascii="Times New Roman" w:eastAsia="宋体" w:cs="Times New Roman"/>
          <w:b/>
          <w:bCs/>
          <w:color w:val="auto"/>
          <w:sz w:val="21"/>
          <w:szCs w:val="21"/>
          <w:highlight w:val="none"/>
          <w:lang w:val="en-US" w:eastAsia="zh-CN"/>
        </w:rPr>
        <w:t xml:space="preserve">，合同一年一签。根据乙方在服务期内是否满足磋商文件服务的要求及标准</w:t>
      </w:r>
      <w:r>
        <w:rPr>
          <w:rFonts w:hint="eastAsia" w:cs="Times New Roman"/>
          <w:b/>
          <w:bCs/>
          <w:color w:val="auto"/>
          <w:sz w:val="21"/>
          <w:szCs w:val="21"/>
          <w:highlight w:val="none"/>
          <w:lang w:val="en-US" w:eastAsia="zh-CN"/>
        </w:rPr>
        <w:t xml:space="preserve">（按本合同条款“第七条第4款第（8）项”执行）</w:t>
      </w:r>
      <w:r>
        <w:rPr>
          <w:rFonts w:hint="eastAsia" w:ascii="Times New Roman" w:eastAsia="宋体" w:cs="Times New Roman"/>
          <w:b/>
          <w:bCs/>
          <w:color w:val="auto"/>
          <w:sz w:val="21"/>
          <w:szCs w:val="21"/>
          <w:highlight w:val="none"/>
          <w:lang w:val="en-US" w:eastAsia="zh-CN"/>
        </w:rPr>
        <w:t xml:space="preserve">，若满足磋商文件服务的要求及标准甲方续签下一年合同，若乙方在服务期内无法满足磋商文件服务的要求及标准，甲方</w:t>
      </w:r>
      <w:r>
        <w:rPr>
          <w:rFonts w:hint="eastAsia" w:cs="Times New Roman"/>
          <w:b/>
          <w:bCs/>
          <w:color w:val="auto"/>
          <w:sz w:val="21"/>
          <w:szCs w:val="21"/>
          <w:highlight w:val="none"/>
          <w:lang w:val="en-US" w:eastAsia="zh-CN"/>
        </w:rPr>
        <w:t xml:space="preserve">有权单方</w:t>
      </w:r>
      <w:r>
        <w:rPr>
          <w:rFonts w:hint="eastAsia" w:ascii="Times New Roman" w:eastAsia="宋体" w:cs="Times New Roman"/>
          <w:b/>
          <w:bCs/>
          <w:color w:val="auto"/>
          <w:sz w:val="21"/>
          <w:szCs w:val="21"/>
          <w:highlight w:val="none"/>
          <w:lang w:val="en-US" w:eastAsia="zh-CN"/>
        </w:rPr>
        <w:t xml:space="preserve">解除合同，若因此所产生的法律责任及损失由乙方承担。</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 首年合同期限</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首年合同履行期限自合同签订生效之日起，至2026年12月31日或首年累计支付金额达到人民币肆拾捌万元（¥480,000.00） 两者中最先达到之日止。</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  合同终止与续签</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首年合同到期或预算用尽后，合同自动终止。后续年度，在乙方履约良好且采购人预算得到批复的前提下，双方可续签下一年度合同。如后续年度预算未获批准、调减或采购人不再有相关需求，采购人有权不续签合同，且不承担任何违约责任。</w:t>
      </w:r>
      <w:r/>
    </w:p>
    <w:p>
      <w:pPr>
        <w:ind w:firstLine="420"/>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 各年度合同金额以当年财政批复的预算为准，超出预算部分采购人有权不予支付。</w:t>
      </w:r>
      <w:r/>
    </w:p>
    <w:p>
      <w:pPr>
        <w:ind w:firstLine="422"/>
        <w:pageBreakBefore w:val="0"/>
        <w:spacing w:line="520" w:lineRule="exact"/>
        <w:widowControl w:val="off"/>
        <w:tabs>
          <w:tab w:val="left" w:pos="540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协议价格</w:t>
      </w:r>
      <w:r/>
    </w:p>
    <w:p>
      <w:pPr>
        <w:ind w:firstLine="420"/>
        <w:spacing w:line="520" w:lineRule="exact"/>
        <w:tabs>
          <w:tab w:val="left" w:pos="0" w:leader="none"/>
        </w:tabs>
        <w:rPr>
          <w:rFonts w:hint="eastAsia" w:ascii="宋体" w:hAnsi="宋体" w:eastAsia="宋体" w:cs="宋体"/>
          <w:sz w:val="21"/>
          <w:szCs w:val="21"/>
          <w:highlight w:val="none"/>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bidi="ar-SA"/>
        </w:rPr>
        <w:t xml:space="preserve">本</w:t>
      </w:r>
      <w:r>
        <w:rPr>
          <w:rFonts w:hint="eastAsia" w:ascii="宋体" w:hAnsi="宋体" w:eastAsia="宋体" w:cs="宋体"/>
          <w:b/>
          <w:bCs/>
          <w:color w:val="auto"/>
          <w:sz w:val="21"/>
          <w:szCs w:val="21"/>
          <w:highlight w:val="none"/>
          <w:lang w:val="en-US" w:eastAsia="zh-CN" w:bidi="ar-SA"/>
        </w:rPr>
        <w:t xml:space="preserve">协议</w:t>
      </w:r>
      <w:r>
        <w:rPr>
          <w:rFonts w:hint="eastAsia" w:ascii="宋体" w:hAnsi="宋体" w:eastAsia="宋体" w:cs="宋体"/>
          <w:b/>
          <w:sz w:val="21"/>
          <w:szCs w:val="21"/>
          <w:highlight w:val="none"/>
          <w:u w:val="none"/>
          <w:lang w:val="en-US" w:eastAsia="zh-CN"/>
        </w:rPr>
        <w:t xml:space="preserve">综合单价下浮率为 </w:t>
      </w:r>
      <w:r>
        <w:rPr>
          <w:rFonts w:hint="eastAsia" w:ascii="宋体" w:hAnsi="宋体" w:eastAsia="宋体" w:cs="宋体"/>
          <w:b/>
          <w:sz w:val="21"/>
          <w:szCs w:val="21"/>
          <w:highlight w:val="none"/>
          <w:u w:val="single"/>
          <w:lang w:val="en-US" w:eastAsia="zh-CN"/>
        </w:rPr>
        <w:t xml:space="preserve">         </w:t>
      </w:r>
      <w:r>
        <w:rPr>
          <w:rFonts w:hint="eastAsia" w:ascii="宋体" w:hAnsi="宋体" w:eastAsia="宋体" w:cs="宋体"/>
          <w:b/>
          <w:sz w:val="21"/>
          <w:szCs w:val="21"/>
          <w:highlight w:val="none"/>
          <w:u w:val="none"/>
          <w:lang w:val="en-US" w:eastAsia="zh-CN"/>
        </w:rPr>
        <w:t xml:space="preserve">。综合单价：按施工期现行的计价定额、《连云港建设工程经济》中材料信息指导价平均价(不足部分双方协商确认)、人工指导价、取费标准计价计算出的价格。</w:t>
      </w:r>
      <w:r/>
    </w:p>
    <w:p>
      <w:pPr>
        <w:ind w:firstLine="525"/>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.2结算方式：</w:t>
      </w:r>
      <w:r/>
    </w:p>
    <w:p>
      <w:pPr>
        <w:ind w:firstLine="525"/>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.2.1各零星工程最终结算价格：以经甲方确定后的工程量*（1-下浮率）。</w:t>
      </w:r>
      <w:r/>
    </w:p>
    <w:p>
      <w:pPr>
        <w:ind w:firstLine="525"/>
        <w:pageBreakBefore w:val="0"/>
        <w:spacing w:line="52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.2.2 工程量：最终工程量以经甲方确定后的签证单内容及数量为准。</w:t>
      </w:r>
      <w:r/>
    </w:p>
    <w:p>
      <w:pPr>
        <w:ind w:firstLine="422"/>
        <w:pageBreakBefore w:val="0"/>
        <w:spacing w:line="520" w:lineRule="exact"/>
        <w:widowControl w:val="off"/>
        <w:tabs>
          <w:tab w:val="left" w:pos="5400" w:leader="none"/>
        </w:tabs>
        <w:rPr>
          <w:rFonts w:hint="eastAsia"/>
          <w:highlight w:val="none"/>
          <w:lang w:val="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付款</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.1 结算方式</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本合同为框架协议，采用据实结算方式。工程计价执行国家及地方相关文件规定，材料价格执行同期施工的《连云港建设工程经济》中的材料信息指导价。</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.2 支付周期</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本项目原则上按 【季度】 进行结算与支付。采购人有权根据项目实际情况调整为按半年度支付。</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.3 支付流程</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每批次（季度/半年度）结算时，按以下流程办理：</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提交结算：乙方完成该周期内所有维修任务后，提交经甲方确认的《工程量签证单》及完整的结算资料；</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审核：甲方在收到完整资料后进行审核；</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开票：审核无误后，乙方开具等额、合规的增值税专用发票；</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支付：乙方施工的工程经甲方验收合格，且乙方当季度考核结果达标，则甲方在收到合规发票后30日内完成支付。</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.4 年度支付上限</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各年度累计支付金额不得超过当年财政批复的预算。</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首年预算为48万元，累计支付金额达到该上限后，甲方有权不再安排新的维修任务，超出部分甲方不予支付。后续年度以此类推。</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 发票与违约责任</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乙方每次请款前，均须提供满足甲方财务要求的等额增值税专用发票，否则甲方有权延期付款且不承担违约责任。</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若因乙方开具的发票不合规，导致甲方无法税前扣除或遭受其他损失，乙方应承担全部赔偿责任，并须重新开具合法有效的发票。</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乙方违反本合同约定致使甲方取消乙方服务资格或解除/终止合同的，就乙方已完成的工程，如经甲方验收合格，双方同意按甲方确定的工程款[经甲方确定后的工程量*(1-下浮率)】的%作为最终结算款项;如该工程经甲方验收不合格，乙方无权主张相关合同款项。</w:t>
      </w:r>
      <w:r/>
    </w:p>
    <w:p>
      <w:pPr>
        <w:ind w:firstLine="422"/>
        <w:pageBreakBefore w:val="0"/>
        <w:spacing w:line="520" w:lineRule="exact"/>
        <w:widowControl w:val="off"/>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、甲方职责</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1、负责施工阶段质量、进度、投资、组织协调、信息、合同等管理工作。</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2、组织工程竣工验收。</w:t>
      </w:r>
      <w:r/>
    </w:p>
    <w:p>
      <w:pPr>
        <w:ind w:firstLine="422"/>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en-US" w:eastAsia="zh-CN"/>
        </w:rPr>
        <w:t xml:space="preserve">、乙方职责</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1、具体按要求施工，如有变更需履行规定程序，确保工期。</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2、按规定程序向甲方进行工程报验。</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3、服从甲方管理，做到安全文明施工。</w:t>
      </w:r>
      <w:r/>
    </w:p>
    <w:p>
      <w:pPr>
        <w:ind w:firstLine="420"/>
        <w:pageBreakBefore w:val="0"/>
        <w:spacing w:line="4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4、做好施工服务保障工作，包含但不限于以下内容：</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服务商接</w:t>
      </w:r>
      <w:r>
        <w:rPr>
          <w:rFonts w:hint="eastAsia" w:ascii="宋体" w:hAnsi="宋体" w:eastAsia="宋体" w:cs="宋体"/>
          <w:sz w:val="21"/>
          <w:szCs w:val="21"/>
          <w:highlight w:val="none"/>
        </w:rPr>
        <w:t xml:space="preserve">到维修任务后，工作时间内必须半小时内与</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沟通并承诺完工时间，因</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原因未能及时沟通的除外。</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维修时间应满足</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rPr>
        <w:t xml:space="preserve">一般维修24小时内完工，紧急维修6小时内完工，特殊情况除外。因特殊原因不能及时进行维修的，在征</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同意后，可延期至约定时间完成，</w:t>
      </w:r>
      <w:r/>
    </w:p>
    <w:p>
      <w:pPr>
        <w:ind w:firstLine="420"/>
        <w:pageBreakBefore w:val="0"/>
        <w:spacing w:line="48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维修前制定完善合理的服务方案</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包括工程预算总价</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，健全维修管理制度，以确保维修服务的质量及进度</w:t>
      </w:r>
      <w:r>
        <w:rPr>
          <w:rFonts w:hint="eastAsia" w:ascii="宋体" w:hAnsi="宋体" w:eastAsia="宋体" w:cs="宋体"/>
          <w:sz w:val="21"/>
          <w:szCs w:val="21"/>
          <w:highlight w:val="none"/>
          <w:lang w:eastAsia="zh-CN"/>
        </w:rPr>
        <w:t xml:space="preserve">。</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采用的维修材料（含主材和辅材）必须是达到国家标准的合同限定品牌合格产品。</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严格遵循各项维修工艺要求,符合现行的或承担具体维修任务期间国家和行业新颁布施行的规范、规程。</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严格遵守《中华人民共和国安全生产法》（国家主席70号令）以及文明作业、夜间作业、环卫和城管、计划生育等规定，安全生产要求达到国家相关合格标准。</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服务商</w:t>
      </w:r>
      <w:r>
        <w:rPr>
          <w:rFonts w:hint="eastAsia" w:ascii="宋体" w:hAnsi="宋体" w:eastAsia="宋体" w:cs="宋体"/>
          <w:sz w:val="21"/>
          <w:szCs w:val="21"/>
          <w:highlight w:val="none"/>
        </w:rPr>
        <w:t xml:space="preserve">工作人员在工作中不得因任何原因与</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发生任何形式的纠纷，确保维修质量及服务效果，对于</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投诉</w:t>
      </w:r>
      <w:r>
        <w:rPr>
          <w:rFonts w:hint="eastAsia" w:ascii="宋体" w:hAnsi="宋体" w:eastAsia="宋体" w:cs="宋体"/>
          <w:sz w:val="21"/>
          <w:szCs w:val="21"/>
          <w:highlight w:val="none"/>
          <w:lang w:val="en-US" w:eastAsia="zh-CN"/>
        </w:rPr>
        <w:t xml:space="preserve">或不满</w:t>
      </w:r>
      <w:r>
        <w:rPr>
          <w:rFonts w:hint="eastAsia" w:ascii="宋体" w:hAnsi="宋体" w:eastAsia="宋体" w:cs="宋体"/>
          <w:sz w:val="21"/>
          <w:szCs w:val="21"/>
          <w:highlight w:val="none"/>
        </w:rPr>
        <w:t xml:space="preserve">要及时进行沟通处理。</w:t>
      </w:r>
      <w:r/>
    </w:p>
    <w:p>
      <w:pPr>
        <w:ind w:firstLine="422"/>
        <w:spacing w:before="120" w:after="120"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甲方每季度对乙方进行考核，季度考核第一次考核不达标（85分以下为不达标），甲方下达整改通知单，乙方进行整改，不支付当季费用。整改完毕且通过甲方认可或验收合格后支付费用。一年内累计二次</w:t>
      </w:r>
      <w:r>
        <w:rPr>
          <w:rFonts w:hint="eastAsia" w:ascii="宋体" w:hAnsi="宋体" w:cs="宋体"/>
          <w:b/>
          <w:bCs/>
          <w:color w:val="auto"/>
          <w:sz w:val="21"/>
          <w:szCs w:val="21"/>
          <w:highlight w:val="none"/>
          <w:lang w:val="en-US" w:eastAsia="zh-CN"/>
        </w:rPr>
        <w:t xml:space="preserve">考核</w:t>
      </w:r>
      <w:r>
        <w:rPr>
          <w:rFonts w:hint="eastAsia" w:ascii="宋体" w:hAnsi="宋体" w:eastAsia="宋体" w:cs="宋体"/>
          <w:b/>
          <w:bCs/>
          <w:color w:val="auto"/>
          <w:sz w:val="21"/>
          <w:szCs w:val="21"/>
          <w:highlight w:val="none"/>
          <w:lang w:val="en-US" w:eastAsia="zh-CN"/>
        </w:rPr>
        <w:t xml:space="preserve">不达标</w:t>
      </w:r>
      <w:r>
        <w:rPr>
          <w:rFonts w:hint="eastAsia" w:ascii="宋体" w:hAnsi="宋体" w:cs="宋体"/>
          <w:b/>
          <w:bCs/>
          <w:color w:val="auto"/>
          <w:sz w:val="21"/>
          <w:szCs w:val="21"/>
          <w:highlight w:val="none"/>
          <w:lang w:val="en-US" w:eastAsia="zh-CN"/>
        </w:rPr>
        <w:t xml:space="preserve">（包括考核不达标，整改后合格的情形）</w:t>
      </w:r>
      <w:r>
        <w:rPr>
          <w:rFonts w:hint="eastAsia" w:ascii="宋体" w:hAnsi="宋体" w:eastAsia="宋体" w:cs="宋体"/>
          <w:b/>
          <w:bCs/>
          <w:color w:val="auto"/>
          <w:sz w:val="21"/>
          <w:szCs w:val="21"/>
          <w:highlight w:val="none"/>
          <w:lang w:val="en-US" w:eastAsia="zh-CN"/>
        </w:rPr>
        <w:t xml:space="preserve">，（85分以下为不达标），甲方有权解除合同。</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5、其他要求：遵守国家现行法律、法规、行政规范。</w:t>
      </w:r>
      <w:r/>
    </w:p>
    <w:p>
      <w:pPr>
        <w:ind w:firstLine="422"/>
        <w:pageBreakBefore w:val="0"/>
        <w:spacing w:line="520" w:lineRule="exact"/>
        <w:widowControl w:val="off"/>
        <w:tabs>
          <w:tab w:val="left" w:pos="540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协议变更</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1 因甲方的原因变更合同的，甲方应以书面形式通知乙方，并经双方协商一致签署有关变更文件。如由此造成乙方履行合同的价格或时间变化，将对合同价格、</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zh-CN"/>
        </w:rPr>
        <w:t xml:space="preserve">期进行合理调整。乙方据此要求的调整必须在收到甲方通知后24小时内以书面或邮件形式通知甲方。</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.2 无论是根据合同要求，或是现场实际情况作出变更等原因，乙方都不能免除其对服务</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lang w:val="zh-CN"/>
        </w:rPr>
        <w:t xml:space="preserve">应承担的责任。</w:t>
      </w:r>
      <w:r>
        <w:rPr>
          <w:rFonts w:hint="eastAsia" w:ascii="宋体" w:hAnsi="宋体" w:eastAsia="宋体" w:cs="宋体"/>
          <w:color w:val="auto"/>
          <w:sz w:val="21"/>
          <w:szCs w:val="21"/>
          <w:highlight w:val="none"/>
          <w:lang w:val="en-US" w:eastAsia="zh-CN"/>
        </w:rPr>
        <w:t xml:space="preserve">本项目各零星工程具体按要求施工，如有变更，现场签订签证单。</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.3 除了买卖双方签署书面文件修改合同，并成为合同不可分割的一部分的情况外，合同的条件不得有任何变化或修改。</w:t>
      </w:r>
      <w:r/>
    </w:p>
    <w:p>
      <w:pPr>
        <w:ind w:firstLine="422"/>
        <w:pageBreakBefore w:val="0"/>
        <w:spacing w:line="520" w:lineRule="exact"/>
        <w:widowControl w:val="off"/>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en-US" w:eastAsia="zh-CN"/>
        </w:rPr>
        <w:t xml:space="preserve">、验收</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零星工程施工阶段的验收包括：进场设备、材料验收、工序、工期检查验收、隐蔽工程验收、工程竣工验收。</w:t>
      </w:r>
      <w:r/>
    </w:p>
    <w:p>
      <w:pPr>
        <w:ind w:firstLine="422"/>
        <w:pageBreakBefore w:val="0"/>
        <w:spacing w:line="52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乙方服务</w:t>
      </w:r>
      <w:r>
        <w:rPr>
          <w:rFonts w:hint="eastAsia" w:ascii="宋体" w:hAnsi="宋体" w:eastAsia="宋体" w:cs="宋体"/>
          <w:b/>
          <w:bCs/>
          <w:color w:val="auto"/>
          <w:sz w:val="21"/>
          <w:szCs w:val="21"/>
          <w:highlight w:val="none"/>
        </w:rPr>
        <w:t xml:space="preserve">有效期内有以下情形之一的，</w:t>
      </w:r>
      <w:r>
        <w:rPr>
          <w:rFonts w:hint="eastAsia" w:ascii="宋体" w:hAnsi="宋体" w:eastAsia="宋体" w:cs="宋体"/>
          <w:b/>
          <w:bCs/>
          <w:color w:val="auto"/>
          <w:sz w:val="21"/>
          <w:szCs w:val="21"/>
          <w:highlight w:val="none"/>
          <w:lang w:eastAsia="zh-CN"/>
        </w:rPr>
        <w:t xml:space="preserve">甲方有权</w:t>
      </w:r>
      <w:r>
        <w:rPr>
          <w:rFonts w:hint="eastAsia" w:ascii="宋体" w:hAnsi="宋体" w:eastAsia="宋体" w:cs="宋体"/>
          <w:b/>
          <w:bCs/>
          <w:color w:val="auto"/>
          <w:sz w:val="21"/>
          <w:szCs w:val="21"/>
          <w:highlight w:val="none"/>
        </w:rPr>
        <w:t xml:space="preserve">取消</w:t>
      </w:r>
      <w:r>
        <w:rPr>
          <w:rFonts w:hint="eastAsia" w:ascii="宋体" w:hAnsi="宋体" w:eastAsia="宋体" w:cs="宋体"/>
          <w:b/>
          <w:bCs/>
          <w:color w:val="auto"/>
          <w:sz w:val="21"/>
          <w:szCs w:val="21"/>
          <w:highlight w:val="none"/>
          <w:lang w:eastAsia="zh-CN"/>
        </w:rPr>
        <w:t xml:space="preserve">其服务</w:t>
      </w:r>
      <w:r>
        <w:rPr>
          <w:rFonts w:hint="eastAsia" w:ascii="宋体" w:hAnsi="宋体" w:eastAsia="宋体" w:cs="宋体"/>
          <w:b/>
          <w:bCs/>
          <w:color w:val="auto"/>
          <w:sz w:val="21"/>
          <w:szCs w:val="21"/>
          <w:highlight w:val="none"/>
        </w:rPr>
        <w:t xml:space="preserve">资格：</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（1）隐瞒不具备</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条件的相关情况，</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后被发现的；</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（2）无故不参加相关项目询价两次以上（含两次）的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（3）将项目转包或分包</w:t>
      </w:r>
      <w:r>
        <w:rPr>
          <w:rFonts w:hint="eastAsia" w:ascii="宋体" w:hAnsi="宋体" w:eastAsia="宋体" w:cs="宋体"/>
          <w:color w:val="auto"/>
          <w:sz w:val="21"/>
          <w:szCs w:val="21"/>
          <w:highlight w:val="none"/>
          <w:lang w:val="en-US" w:eastAsia="zh-CN"/>
        </w:rPr>
        <w:t xml:space="preserve">给</w:t>
      </w:r>
      <w:r>
        <w:rPr>
          <w:rFonts w:hint="eastAsia" w:ascii="宋体" w:hAnsi="宋体" w:eastAsia="宋体" w:cs="宋体"/>
          <w:color w:val="auto"/>
          <w:sz w:val="21"/>
          <w:szCs w:val="21"/>
          <w:highlight w:val="none"/>
        </w:rPr>
        <w:t xml:space="preserve">其他单位的；</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（4）无故延长供货、服务期，超过合同供货期50%的</w:t>
      </w:r>
      <w:r>
        <w:rPr>
          <w:rFonts w:hint="eastAsia" w:ascii="宋体" w:hAnsi="宋体" w:cs="宋体"/>
          <w:color w:val="auto"/>
          <w:sz w:val="21"/>
          <w:szCs w:val="21"/>
          <w:highlight w:val="none"/>
          <w:lang w:eastAsia="zh-CN"/>
        </w:rPr>
        <w:t xml:space="preserve">（服务期或供货期以每单次要求期限为准）</w:t>
      </w:r>
      <w:r>
        <w:rPr>
          <w:rFonts w:hint="eastAsia" w:ascii="宋体" w:hAnsi="宋体" w:eastAsia="宋体" w:cs="宋体"/>
          <w:color w:val="auto"/>
          <w:sz w:val="21"/>
          <w:szCs w:val="21"/>
          <w:highlight w:val="none"/>
        </w:rPr>
        <w:t xml:space="preserve">；</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w:t>
      </w:r>
      <w:r>
        <w:rPr>
          <w:rFonts w:hint="eastAsia" w:ascii="宋体" w:hAnsi="宋体" w:eastAsia="宋体" w:cs="宋体"/>
          <w:color w:val="auto"/>
          <w:sz w:val="21"/>
          <w:szCs w:val="21"/>
          <w:highlight w:val="none"/>
          <w:lang w:val="en-US" w:eastAsia="zh-CN"/>
        </w:rPr>
        <w:t xml:space="preserve">服务期内施工</w:t>
      </w:r>
      <w:r>
        <w:rPr>
          <w:rFonts w:hint="eastAsia" w:ascii="宋体" w:hAnsi="宋体" w:eastAsia="宋体" w:cs="宋体"/>
          <w:color w:val="auto"/>
          <w:sz w:val="21"/>
          <w:szCs w:val="21"/>
          <w:highlight w:val="none"/>
        </w:rPr>
        <w:t xml:space="preserve">质量出现严重问题不能满足</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要求的；</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（6）在相关合作过程中存在履行合同、相互协调方面的严重问题及其他严重问题。</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（7）经询价发现乙方价格高于</w:t>
      </w:r>
      <w:r>
        <w:rPr>
          <w:rFonts w:hint="eastAsia" w:ascii="宋体" w:hAnsi="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时承诺价格或</w:t>
      </w:r>
      <w:r>
        <w:rPr>
          <w:rFonts w:hint="eastAsia" w:ascii="宋体" w:hAnsi="宋体" w:eastAsia="宋体" w:cs="宋体"/>
          <w:color w:val="auto"/>
          <w:sz w:val="21"/>
          <w:szCs w:val="21"/>
          <w:highlight w:val="none"/>
          <w:lang w:val="en-US" w:eastAsia="zh-CN"/>
        </w:rPr>
        <w:t xml:space="preserve">施工期现行的市场定额等</w:t>
      </w:r>
      <w:r>
        <w:rPr>
          <w:rFonts w:hint="eastAsia" w:ascii="宋体" w:hAnsi="宋体" w:eastAsia="宋体" w:cs="宋体"/>
          <w:color w:val="auto"/>
          <w:sz w:val="21"/>
          <w:szCs w:val="21"/>
          <w:highlight w:val="none"/>
        </w:rPr>
        <w:t xml:space="preserve">。</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（8）提供服务响应时间超过</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时承诺时间的。</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挂靠和借用他人名义</w:t>
      </w:r>
      <w:r>
        <w:rPr>
          <w:rFonts w:hint="eastAsia" w:ascii="宋体" w:hAnsi="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w:t>
      </w:r>
      <w:r/>
    </w:p>
    <w:p>
      <w:pPr>
        <w:ind w:firstLine="422"/>
        <w:pageBreakBefore w:val="0"/>
        <w:spacing w:line="520" w:lineRule="exact"/>
        <w:widowControl w:val="off"/>
        <w:tabs>
          <w:tab w:val="left" w:pos="54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终止协议</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lang w:val="en-US" w:eastAsia="zh-CN"/>
        </w:rPr>
        <w:t xml:space="preserve">服务保障</w:t>
      </w:r>
      <w:r>
        <w:rPr>
          <w:rFonts w:hint="eastAsia" w:ascii="宋体" w:hAnsi="宋体" w:eastAsia="宋体" w:cs="宋体"/>
          <w:color w:val="auto"/>
          <w:sz w:val="21"/>
          <w:szCs w:val="21"/>
          <w:highlight w:val="none"/>
          <w:lang w:val="zh-CN"/>
        </w:rPr>
        <w:t xml:space="preserve">期限内任何一方不得擅自终止协议，否则应负担所造成的一切损失。除本协议明确约定一方有权单方解除协议的情形之外，如一方因故需终止协议，必须提前一个月书面通知另一方，经双方达成一致意见后，方可终止。</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.2 出现下列情况时本协议自行终止：</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(1)本协议正常履行完毕；</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(2)买卖双方协议终止本协议的履行；</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(3)不可抗力导致本协议无法履行或履行不必要时；</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(4)因乙方</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lang w:val="zh-CN"/>
        </w:rPr>
        <w:t xml:space="preserve">质量或服务问题给甲方造成损失的，或乙方有违反双方签订协议、合同约定的行为，或乙方有其他违反法律、法规、规章等情况，甲方以书面形式通知乙方终止协议、合同，当该书面通知送达乙方时(当面送达给乙方派驻现场的工作人员，邮寄至乙方在本合同中载明的地址或乙方工商登记的地址等方式均视为有效送达给乙方)。</w:t>
      </w:r>
      <w:r/>
    </w:p>
    <w:p>
      <w:pPr>
        <w:ind w:firstLine="422"/>
        <w:pageBreakBefore w:val="0"/>
        <w:spacing w:line="520" w:lineRule="exact"/>
        <w:widowControl w:val="off"/>
        <w:tabs>
          <w:tab w:val="left" w:pos="54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十</w:t>
      </w:r>
      <w:r>
        <w:rPr>
          <w:rFonts w:hint="eastAsia" w:ascii="宋体" w:hAnsi="宋体" w:cs="宋体"/>
          <w:b/>
          <w:bCs/>
          <w:sz w:val="21"/>
          <w:szCs w:val="21"/>
          <w:highlight w:val="none"/>
          <w:lang w:val="en-US" w:eastAsia="zh-CN"/>
        </w:rPr>
        <w:t xml:space="preserve">二</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争议的解决 </w:t>
      </w:r>
      <w:r/>
    </w:p>
    <w:p>
      <w:pPr>
        <w:ind w:firstLine="420"/>
        <w:pageBreakBefore w:val="0"/>
        <w:spacing w:line="5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.1 </w:t>
      </w:r>
      <w:r>
        <w:rPr>
          <w:rFonts w:hint="eastAsia" w:ascii="宋体" w:hAnsi="宋体" w:eastAsia="宋体" w:cs="宋体"/>
          <w:sz w:val="21"/>
          <w:szCs w:val="21"/>
          <w:highlight w:val="none"/>
          <w:lang w:val="en-US" w:eastAsia="zh-CN"/>
        </w:rPr>
        <w:t xml:space="preserve">甲乙</w:t>
      </w:r>
      <w:r>
        <w:rPr>
          <w:rFonts w:hint="eastAsia" w:ascii="宋体" w:hAnsi="宋体" w:eastAsia="宋体" w:cs="宋体"/>
          <w:sz w:val="21"/>
          <w:szCs w:val="21"/>
          <w:highlight w:val="none"/>
          <w:lang w:val="zh-CN"/>
        </w:rPr>
        <w:t xml:space="preserve">双方在履行合同（协议）的过程中，一方违约的，应按照《中华人民共和国民法典》的规定承担违约责任，违约方给对方造成损失的，应承担相应经济赔偿责任。</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2 因本协议、履行本协议或处理本协议相关的事宜发生的纠纷，双方应主动协商</w:t>
      </w:r>
      <w:r>
        <w:rPr>
          <w:rFonts w:hint="eastAsia" w:ascii="宋体" w:hAnsi="宋体" w:eastAsia="宋体" w:cs="宋体"/>
          <w:color w:val="auto"/>
          <w:sz w:val="21"/>
          <w:szCs w:val="21"/>
          <w:highlight w:val="none"/>
          <w:lang w:val="zh-CN"/>
        </w:rPr>
        <w:t xml:space="preserve">解决，如协商不成，双方同意向连云港市连云区人民法院提起诉讼解决。</w:t>
      </w:r>
      <w:r/>
    </w:p>
    <w:p>
      <w:pPr>
        <w:ind w:firstLine="422"/>
        <w:pageBreakBefore w:val="0"/>
        <w:spacing w:line="520" w:lineRule="exact"/>
        <w:widowControl w:val="off"/>
        <w:tabs>
          <w:tab w:val="left" w:pos="54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十</w:t>
      </w:r>
      <w:r>
        <w:rPr>
          <w:rFonts w:hint="eastAsia" w:ascii="宋体" w:hAnsi="宋体" w:cs="宋体"/>
          <w:b/>
          <w:bCs/>
          <w:sz w:val="21"/>
          <w:szCs w:val="21"/>
          <w:highlight w:val="none"/>
          <w:lang w:val="en-US" w:eastAsia="zh-CN"/>
        </w:rPr>
        <w:t xml:space="preserve">三</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协议生效</w:t>
      </w:r>
      <w:r/>
    </w:p>
    <w:p>
      <w:pPr>
        <w:ind w:firstLine="420"/>
        <w:pageBreakBefore w:val="0"/>
        <w:spacing w:line="52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本协议在双方法定代表人或双方授权代表签字并加盖公章（或合</w:t>
      </w:r>
      <w:r>
        <w:rPr>
          <w:rFonts w:hint="eastAsia" w:ascii="宋体" w:hAnsi="宋体" w:eastAsia="宋体" w:cs="宋体"/>
          <w:color w:val="auto"/>
          <w:sz w:val="21"/>
          <w:szCs w:val="21"/>
          <w:highlight w:val="none"/>
          <w:lang w:val="zh-CN"/>
        </w:rPr>
        <w:t xml:space="preserve">同章）</w:t>
      </w:r>
      <w:r>
        <w:rPr>
          <w:rFonts w:hint="eastAsia" w:ascii="宋体" w:hAnsi="宋体" w:eastAsia="宋体" w:cs="宋体"/>
          <w:sz w:val="21"/>
          <w:szCs w:val="21"/>
          <w:highlight w:val="none"/>
          <w:lang w:val="zh-CN"/>
        </w:rPr>
        <w:t xml:space="preserve">后生效，协议有效期：</w:t>
      </w:r>
      <w:r>
        <w:rPr>
          <w:rFonts w:hint="eastAsia" w:ascii="宋体" w:hAnsi="宋体" w:eastAsia="宋体" w:cs="宋体"/>
          <w:sz w:val="21"/>
          <w:szCs w:val="21"/>
          <w:highlight w:val="none"/>
          <w:u w:val="single"/>
        </w:rPr>
        <w:t xml:space="preserve">至</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月</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日</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pageBreakBefore w:val="0"/>
        <w:spacing w:line="520" w:lineRule="exact"/>
        <w:widowControl w:val="off"/>
        <w:tabs>
          <w:tab w:val="left" w:pos="723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甲方（章）：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乙方（章）：</w:t>
      </w:r>
      <w:r/>
    </w:p>
    <w:p>
      <w:pPr>
        <w:ind w:firstLine="420"/>
        <w:pageBreakBefore w:val="0"/>
        <w:spacing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地址</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地址</w:t>
      </w:r>
      <w:r>
        <w:rPr>
          <w:rFonts w:hint="eastAsia" w:ascii="宋体" w:hAnsi="宋体" w:eastAsia="宋体" w:cs="宋体"/>
          <w:sz w:val="21"/>
          <w:szCs w:val="21"/>
          <w:highlight w:val="none"/>
        </w:rPr>
        <w:t xml:space="preserve">：</w:t>
      </w:r>
      <w:r/>
    </w:p>
    <w:p>
      <w:pPr>
        <w:ind w:firstLine="420"/>
        <w:pageBreakBefore w:val="0"/>
        <w:spacing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法定代理人</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法定代理人</w:t>
      </w:r>
      <w:r>
        <w:rPr>
          <w:rFonts w:hint="eastAsia" w:ascii="宋体" w:hAnsi="宋体" w:eastAsia="宋体" w:cs="宋体"/>
          <w:sz w:val="21"/>
          <w:szCs w:val="21"/>
          <w:highlight w:val="none"/>
        </w:rPr>
        <w:t xml:space="preserve">：</w:t>
      </w:r>
      <w:r/>
    </w:p>
    <w:p>
      <w:pPr>
        <w:ind w:firstLine="420"/>
        <w:pageBreakBefore w:val="0"/>
        <w:spacing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委托代理人</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委托代理人</w:t>
      </w:r>
      <w:r>
        <w:rPr>
          <w:rFonts w:hint="eastAsia" w:ascii="宋体" w:hAnsi="宋体" w:eastAsia="宋体" w:cs="宋体"/>
          <w:sz w:val="21"/>
          <w:szCs w:val="21"/>
          <w:highlight w:val="none"/>
        </w:rPr>
        <w:t xml:space="preserve">：</w:t>
      </w:r>
      <w:r/>
    </w:p>
    <w:p>
      <w:pPr>
        <w:ind w:firstLine="420"/>
        <w:pageBreakBefore w:val="0"/>
        <w:spacing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电话：</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电话：</w:t>
      </w:r>
      <w:r>
        <w:rPr>
          <w:rFonts w:hint="eastAsia" w:ascii="宋体" w:hAnsi="宋体" w:eastAsia="宋体" w:cs="宋体"/>
          <w:sz w:val="21"/>
          <w:szCs w:val="21"/>
          <w:highlight w:val="none"/>
        </w:rPr>
        <w:t xml:space="preserve">               </w:t>
      </w:r>
      <w:r/>
    </w:p>
    <w:p>
      <w:pPr>
        <w:ind w:firstLine="420"/>
        <w:pageBreakBefore w:val="0"/>
        <w:spacing w:line="5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传真：</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传真：</w:t>
      </w:r>
      <w:r>
        <w:rPr>
          <w:rFonts w:hint="eastAsia" w:ascii="宋体" w:hAnsi="宋体" w:eastAsia="宋体" w:cs="宋体"/>
          <w:sz w:val="21"/>
          <w:szCs w:val="21"/>
          <w:highlight w:val="none"/>
        </w:rPr>
        <w:t xml:space="preserve"> </w:t>
      </w:r>
      <w:r/>
    </w:p>
    <w:p>
      <w:pPr>
        <w:ind w:firstLine="420"/>
        <w:pageBreakBefore w:val="0"/>
        <w:spacing w:line="520" w:lineRule="exact"/>
        <w:widowControl w:val="off"/>
        <w:tabs>
          <w:tab w:val="left" w:pos="57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邮政编码：</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邮政编码：</w:t>
      </w:r>
      <w:r>
        <w:rPr>
          <w:rFonts w:hint="eastAsia" w:ascii="宋体" w:hAnsi="宋体" w:eastAsia="宋体" w:cs="宋体"/>
          <w:sz w:val="21"/>
          <w:szCs w:val="21"/>
          <w:highlight w:val="none"/>
        </w:rPr>
        <w:t xml:space="preserve">   </w:t>
      </w:r>
      <w:r/>
    </w:p>
    <w:p>
      <w:pPr>
        <w:ind w:firstLine="420"/>
        <w:pageBreakBefore w:val="0"/>
        <w:spacing w:line="520" w:lineRule="exact"/>
        <w:widowControl w:val="off"/>
        <w:tabs>
          <w:tab w:val="left" w:pos="5760" w:leader="none"/>
        </w:tabs>
        <w:rPr>
          <w:rFonts w:hint="eastAsia" w:ascii="宋体" w:hAnsi="宋体" w:eastAsia="宋体" w:cs="宋体"/>
          <w:sz w:val="21"/>
          <w:szCs w:val="21"/>
          <w:highlight w:val="none"/>
          <w:lang w:val="zh-CN"/>
        </w:rPr>
        <w:sectPr>
          <w:headerReference w:type="default" r:id="rId11"/>
          <w:footerReference w:type="default" r:id="rId16"/>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eastAsia="宋体" w:cs="宋体"/>
          <w:sz w:val="21"/>
          <w:szCs w:val="21"/>
          <w:highlight w:val="none"/>
          <w:lang w:val="zh-CN"/>
        </w:rPr>
        <w:t xml:space="preserve">签订日期：</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签订日期：</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附件：考核标准</w:t>
      </w:r>
      <w:r/>
    </w:p>
    <w:p>
      <w:pPr>
        <w:spacing w:line="360" w:lineRule="auto"/>
        <w:rPr>
          <w:rFonts w:hint="eastAsia" w:ascii="宋体" w:hAnsi="宋体" w:cs="宋体"/>
          <w:szCs w:val="21"/>
          <w:highlight w:val="none"/>
        </w:rPr>
      </w:pPr>
      <w:r>
        <w:rPr>
          <w:rFonts w:hint="eastAsia" w:ascii="宋体" w:hAnsi="宋体" w:cs="宋体"/>
          <w:szCs w:val="21"/>
          <w:highlight w:val="none"/>
        </w:rPr>
      </w:r>
      <w:r/>
    </w:p>
    <w:tbl>
      <w:tblPr>
        <w:tblStyle w:val="786"/>
        <w:tblW w:w="93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4"/>
        <w:gridCol w:w="1585"/>
        <w:gridCol w:w="3191"/>
        <w:gridCol w:w="3191"/>
        <w:gridCol w:w="765"/>
      </w:tblGrid>
      <w:tr>
        <w:trPr>
          <w:jc w:val="center"/>
          <w:trHeight w:val="0"/>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93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零星维修考核标准</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考核指标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满分标准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分值权重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经济成本指标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结合乙方报价及所用人、材、机开展市场调研，综合考虑节假日、应急赶工等因素，评估成本指标是否合理</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报价合理、用材相符、 与甲方需求相匹配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right="0" w:firstLine="0"/>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产出指标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质量有保证，验收合格率百分之一百</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质量有保证，验收合格率百分之一百</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right="0" w:firstLine="0"/>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产出指标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项目按期完成率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在甲方规定的时限内完成，特别是重大、有特殊要求的维修事项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right="0" w:firstLine="0"/>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效益指标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保障维修项目实施后，营房能在一定的时期内稳定运行</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质保期内无任何问题，发生问题乙方及时采取补救措施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right="0" w:firstLine="0"/>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服务对象满意度指标</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主要考察是否安全文明施工、遵守关于工作时间的规定，严禁施工时段必须停工等</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施工安排合理，无单位民警职工关于施工噪音、环境污染等方面的投诉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right="0" w:firstLine="0"/>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10</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注：甲方有权根据项目实施情况对考核表内容进行适当调整，乙方必须接受考核。</w:t>
      </w:r>
      <w:r>
        <w:rPr>
          <w:rFonts w:hint="eastAsia" w:ascii="宋体" w:hAnsi="宋体" w:eastAsia="宋体" w:cs="宋体"/>
          <w:b/>
          <w:bCs/>
          <w:color w:val="auto"/>
          <w:sz w:val="21"/>
          <w:szCs w:val="21"/>
          <w:highlight w:val="none"/>
          <w:lang w:val="en-US" w:eastAsia="zh-CN"/>
        </w:rPr>
        <w:t xml:space="preserve">甲方每季度对乙方进行考核，季度考核第一次考核不达标（85分以下为不达标），甲方下达整改通知单，乙方进行整改，不支付当季费用。整改完毕且通过甲方认可或验收合格后支付费用。一年内累计二次</w:t>
      </w:r>
      <w:r>
        <w:rPr>
          <w:rFonts w:hint="eastAsia" w:ascii="宋体" w:hAnsi="宋体" w:cs="宋体"/>
          <w:b/>
          <w:bCs/>
          <w:color w:val="auto"/>
          <w:sz w:val="21"/>
          <w:szCs w:val="21"/>
          <w:highlight w:val="none"/>
          <w:lang w:val="en-US" w:eastAsia="zh-CN"/>
        </w:rPr>
        <w:t xml:space="preserve">考核</w:t>
      </w:r>
      <w:r>
        <w:rPr>
          <w:rFonts w:hint="eastAsia" w:ascii="宋体" w:hAnsi="宋体" w:eastAsia="宋体" w:cs="宋体"/>
          <w:b/>
          <w:bCs/>
          <w:color w:val="auto"/>
          <w:sz w:val="21"/>
          <w:szCs w:val="21"/>
          <w:highlight w:val="none"/>
          <w:lang w:val="en-US" w:eastAsia="zh-CN"/>
        </w:rPr>
        <w:t xml:space="preserve">不达标</w:t>
      </w:r>
      <w:r>
        <w:rPr>
          <w:rFonts w:hint="eastAsia" w:ascii="宋体" w:hAnsi="宋体" w:cs="宋体"/>
          <w:b/>
          <w:bCs/>
          <w:color w:val="auto"/>
          <w:sz w:val="21"/>
          <w:szCs w:val="21"/>
          <w:highlight w:val="none"/>
          <w:lang w:val="en-US" w:eastAsia="zh-CN"/>
        </w:rPr>
        <w:t xml:space="preserve">（包括考核不达标，整改后合格的情形）</w:t>
      </w:r>
      <w:r>
        <w:rPr>
          <w:rFonts w:hint="eastAsia" w:ascii="宋体" w:hAnsi="宋体" w:eastAsia="宋体" w:cs="宋体"/>
          <w:b/>
          <w:bCs/>
          <w:color w:val="auto"/>
          <w:sz w:val="21"/>
          <w:szCs w:val="21"/>
          <w:highlight w:val="none"/>
          <w:lang w:val="en-US" w:eastAsia="zh-CN"/>
        </w:rPr>
        <w:t xml:space="preserve">，（85分以下为不达标），甲方有权解除合同。</w:t>
      </w:r>
      <w:r/>
    </w:p>
    <w:p>
      <w:pPr>
        <w:jc w:val="left"/>
        <w:widowControl/>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p>
      <w:pPr>
        <w:pStyle w:val="841"/>
        <w:rPr>
          <w:rFonts w:ascii="宋体" w:hAnsi="宋体"/>
          <w:sz w:val="21"/>
          <w:szCs w:val="21"/>
          <w:highlight w:val="none"/>
        </w:rPr>
      </w:pPr>
      <w:r>
        <w:rPr>
          <w:rFonts w:ascii="宋体" w:hAnsi="宋体"/>
          <w:sz w:val="21"/>
          <w:szCs w:val="21"/>
          <w:highlight w:val="none"/>
        </w:rPr>
      </w:r>
      <w:r/>
    </w:p>
    <w:p>
      <w:pPr>
        <w:jc w:val="center"/>
        <w:keepLines/>
        <w:keepNext/>
        <w:spacing w:line="360" w:lineRule="auto"/>
        <w:rPr>
          <w:rFonts w:hint="eastAsia"/>
          <w:b/>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rPr>
          <w:rFonts w:hint="eastAsia"/>
          <w:b/>
          <w:sz w:val="36"/>
          <w:szCs w:val="36"/>
          <w:highlight w:val="none"/>
        </w:rPr>
      </w:r>
      <w:r/>
    </w:p>
    <w:p>
      <w:pPr>
        <w:jc w:val="center"/>
        <w:keepLines/>
        <w:keepNext/>
        <w:spacing w:line="360" w:lineRule="auto"/>
        <w:rPr>
          <w:b/>
          <w:sz w:val="36"/>
          <w:szCs w:val="36"/>
          <w:highlight w:val="none"/>
        </w:rPr>
        <w:outlineLvl w:val="0"/>
      </w:pPr>
      <w:r>
        <w:rPr>
          <w:rFonts w:hint="eastAsia"/>
          <w:b/>
          <w:sz w:val="36"/>
          <w:szCs w:val="36"/>
          <w:highlight w:val="none"/>
        </w:rPr>
        <w:t xml:space="preserve">第四章</w:t>
      </w:r>
      <w:r>
        <w:rPr>
          <w:rFonts w:hint="eastAsia"/>
          <w:b/>
          <w:sz w:val="36"/>
          <w:szCs w:val="36"/>
          <w:highlight w:val="none"/>
          <w:lang w:val="en-US" w:eastAsia="zh-CN"/>
        </w:rPr>
        <w:t xml:space="preserve"> </w:t>
      </w:r>
      <w:r>
        <w:rPr>
          <w:rFonts w:hint="eastAsia"/>
          <w:b/>
          <w:sz w:val="36"/>
          <w:szCs w:val="36"/>
          <w:highlight w:val="none"/>
        </w:rPr>
        <w:t xml:space="preserve">项目需求</w:t>
      </w:r>
      <w:bookmarkEnd w:id="140"/>
      <w:r/>
      <w:r/>
    </w:p>
    <w:p>
      <w:pPr>
        <w:ind w:firstLine="422"/>
        <w:keepLines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说明：项目采购方式为竞争性磋商，项目属性为</w:t>
      </w:r>
      <w:r>
        <w:rPr>
          <w:rFonts w:hint="eastAsia" w:ascii="宋体" w:hAnsi="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，采购标的对应的中小企业划分标准所属行业为</w:t>
      </w:r>
      <w:r>
        <w:rPr>
          <w:rFonts w:hint="eastAsia" w:ascii="宋体" w:hAnsi="宋体" w:eastAsia="宋体" w:cs="宋体"/>
          <w:b/>
          <w:bCs/>
          <w:sz w:val="21"/>
          <w:szCs w:val="21"/>
          <w:highlight w:val="none"/>
          <w:u w:val="single"/>
        </w:rPr>
        <w:t xml:space="preserve">“</w:t>
      </w:r>
      <w:r>
        <w:rPr>
          <w:rFonts w:hint="eastAsia" w:ascii="宋体" w:hAnsi="宋体" w:cs="宋体"/>
          <w:b/>
          <w:color w:val="000000"/>
          <w:sz w:val="21"/>
          <w:szCs w:val="21"/>
          <w:highlight w:val="none"/>
          <w:u w:val="single"/>
          <w:lang w:val="en-US" w:eastAsia="zh-CN"/>
        </w:rPr>
        <w:t xml:space="preserve">服务</w:t>
      </w:r>
      <w:r>
        <w:rPr>
          <w:rFonts w:hint="eastAsia" w:ascii="宋体" w:hAnsi="宋体" w:eastAsia="宋体" w:cs="宋体"/>
          <w:b/>
          <w:color w:val="000000"/>
          <w:sz w:val="21"/>
          <w:szCs w:val="21"/>
          <w:highlight w:val="none"/>
          <w:u w:val="single"/>
          <w:lang w:val="en-US" w:eastAsia="zh-CN"/>
        </w:rPr>
        <w:t xml:space="preserve">业</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rPr>
        <w:t xml:space="preserve">。</w:t>
      </w:r>
      <w:r/>
    </w:p>
    <w:p>
      <w:pPr>
        <w:ind w:firstLine="422"/>
        <w:jc w:val="left"/>
        <w:spacing w:line="500" w:lineRule="exact"/>
        <w:rPr>
          <w:rFonts w:hint="eastAsia" w:ascii="宋体" w:hAnsi="宋体" w:eastAsia="宋体" w:cs="宋体"/>
          <w:b/>
          <w:bCs/>
          <w:color w:val="auto"/>
          <w:sz w:val="21"/>
          <w:szCs w:val="21"/>
          <w:highlight w:val="none"/>
        </w:rPr>
      </w:pPr>
      <w:r/>
      <w:bookmarkStart w:id="141" w:name="_Toc23828480"/>
      <w:r/>
      <w:bookmarkStart w:id="142" w:name="_Toc26554097"/>
      <w:r/>
      <w:bookmarkStart w:id="143" w:name="_Toc61149622"/>
      <w:r>
        <w:rPr>
          <w:rFonts w:hint="eastAsia" w:ascii="宋体" w:hAnsi="宋体" w:eastAsia="宋体" w:cs="宋体"/>
          <w:b/>
          <w:color w:val="auto"/>
          <w:sz w:val="21"/>
          <w:szCs w:val="21"/>
          <w:highlight w:val="none"/>
        </w:rPr>
        <w:t xml:space="preserve">本磋商文件中</w:t>
      </w:r>
      <w:r>
        <w:rPr>
          <w:rFonts w:hint="eastAsia" w:ascii="宋体" w:hAnsi="宋体" w:eastAsia="宋体" w:cs="宋体"/>
          <w:b/>
          <w:i/>
          <w:color w:val="auto"/>
          <w:sz w:val="21"/>
          <w:szCs w:val="21"/>
          <w:highlight w:val="none"/>
          <w:u w:val="single"/>
        </w:rPr>
        <w:t xml:space="preserve">斜体且有下划线部分</w:t>
      </w:r>
      <w:r>
        <w:rPr>
          <w:rFonts w:hint="eastAsia" w:ascii="宋体" w:hAnsi="宋体" w:eastAsia="宋体" w:cs="宋体"/>
          <w:b/>
          <w:color w:val="auto"/>
          <w:sz w:val="21"/>
          <w:szCs w:val="21"/>
          <w:highlight w:val="none"/>
        </w:rPr>
        <w:t xml:space="preserve">为实质性要求和条件</w:t>
      </w:r>
      <w:r>
        <w:rPr>
          <w:rFonts w:hint="eastAsia" w:ascii="宋体" w:hAnsi="宋体" w:eastAsia="宋体" w:cs="宋体"/>
          <w:color w:val="auto"/>
          <w:sz w:val="21"/>
          <w:szCs w:val="21"/>
          <w:highlight w:val="none"/>
        </w:rPr>
        <w:t xml:space="preserve">，由采购人根据实际情况设置，</w:t>
      </w:r>
      <w:r>
        <w:rPr>
          <w:rFonts w:hint="eastAsia" w:ascii="宋体" w:hAnsi="宋体" w:eastAsia="宋体" w:cs="宋体"/>
          <w:b/>
          <w:bCs/>
          <w:color w:val="auto"/>
          <w:sz w:val="21"/>
          <w:szCs w:val="21"/>
          <w:highlight w:val="none"/>
        </w:rPr>
        <w:t xml:space="preserve">供应商须逐条明确作出满足实质性要求和条件的响应，否则将按无效响应处理。</w:t>
      </w:r>
      <w:r/>
    </w:p>
    <w:p>
      <w:pPr>
        <w:numPr>
          <w:ilvl w:val="0"/>
          <w:numId w:val="0"/>
        </w:numPr>
        <w:pageBreakBefore w:val="0"/>
        <w:spacing w:line="480" w:lineRule="exact"/>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一、采购范围：</w:t>
      </w:r>
      <w:r/>
    </w:p>
    <w:p>
      <w:pPr>
        <w:numPr>
          <w:ilvl w:val="0"/>
          <w:numId w:val="0"/>
        </w:numPr>
        <w:ind w:firstLine="420"/>
        <w:pageBreakBefore w:val="0"/>
        <w:spacing w:line="4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1、遴选具有资质、企业信誉良好的营房维修定点单位，开展站所属营房的屋面防水、墙面粉刷、地面维修、外墙维修、用电线路改造等营房零星维修工作等；详见第四章“项目采购需求”。</w:t>
      </w:r>
      <w:r/>
    </w:p>
    <w:p>
      <w:pPr>
        <w:numPr>
          <w:ilvl w:val="0"/>
          <w:numId w:val="0"/>
        </w:numPr>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管理要求</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 能承担</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人提前终止</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有效期的风险。</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接受</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人不承诺在</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有效期内授予</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单位实际服务合同、不承诺</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有效期内授予的服务合同总金额。</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接受</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人在</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期内，就具体项目进行进一步竞争选聘的办法：在</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期内针对具体采购项目抽取或邀请全部</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单位参与竞争性投标、询价采购等方式确定具体实施单位。 </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有效期内因特殊原因不能响应</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进行进一步竞争选聘，须事先与</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联系，说明情况。无正当理由不响应的，暂停一个项目的邀请资格，直至取消</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资格</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投标人在</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有效期内有以下情形之一的，将被取消</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资格：</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（1）隐瞒不具备</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条件的相关情况，</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后被发现的；</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（2）无故不参加相关项目询价两次以上（含两次）的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（3）将项目转包或分包</w:t>
      </w:r>
      <w:r>
        <w:rPr>
          <w:rFonts w:hint="eastAsia" w:ascii="宋体" w:hAnsi="宋体" w:eastAsia="宋体" w:cs="宋体"/>
          <w:color w:val="auto"/>
          <w:sz w:val="21"/>
          <w:szCs w:val="21"/>
          <w:highlight w:val="none"/>
          <w:lang w:val="en-US" w:eastAsia="zh-CN"/>
        </w:rPr>
        <w:t xml:space="preserve">给</w:t>
      </w:r>
      <w:r>
        <w:rPr>
          <w:rFonts w:hint="eastAsia" w:ascii="宋体" w:hAnsi="宋体" w:eastAsia="宋体" w:cs="宋体"/>
          <w:color w:val="auto"/>
          <w:sz w:val="21"/>
          <w:szCs w:val="21"/>
          <w:highlight w:val="none"/>
        </w:rPr>
        <w:t xml:space="preserve">其他单位的；</w:t>
      </w:r>
      <w:r/>
    </w:p>
    <w:p>
      <w:pPr>
        <w:ind w:firstLine="42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（4）无故延长供货、服务期，超过合同供货期50%的</w:t>
      </w:r>
      <w:r>
        <w:rPr>
          <w:rFonts w:hint="eastAsia" w:ascii="宋体" w:hAnsi="宋体" w:cs="宋体"/>
          <w:color w:val="auto"/>
          <w:sz w:val="21"/>
          <w:szCs w:val="21"/>
          <w:highlight w:val="none"/>
          <w:lang w:eastAsia="zh-CN"/>
        </w:rPr>
        <w:t xml:space="preserve">（服务期或供货期以每单次要求期限为准）</w:t>
      </w:r>
      <w:r>
        <w:rPr>
          <w:rFonts w:hint="eastAsia" w:ascii="宋体" w:hAnsi="宋体" w:eastAsia="宋体" w:cs="宋体"/>
          <w:color w:val="auto"/>
          <w:sz w:val="21"/>
          <w:szCs w:val="21"/>
          <w:highlight w:val="none"/>
        </w:rPr>
        <w:t xml:space="preserve">；</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w:t>
      </w:r>
      <w:r>
        <w:rPr>
          <w:rFonts w:hint="eastAsia" w:ascii="宋体" w:hAnsi="宋体" w:eastAsia="宋体" w:cs="宋体"/>
          <w:color w:val="auto"/>
          <w:sz w:val="21"/>
          <w:szCs w:val="21"/>
          <w:highlight w:val="none"/>
          <w:lang w:val="en-US" w:eastAsia="zh-CN"/>
        </w:rPr>
        <w:t xml:space="preserve">服务期内施工</w:t>
      </w:r>
      <w:r>
        <w:rPr>
          <w:rFonts w:hint="eastAsia" w:ascii="宋体" w:hAnsi="宋体" w:eastAsia="宋体" w:cs="宋体"/>
          <w:color w:val="auto"/>
          <w:sz w:val="21"/>
          <w:szCs w:val="21"/>
          <w:highlight w:val="none"/>
        </w:rPr>
        <w:t xml:space="preserve">质量出现严重问题不能满足</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要求的；</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（6）在相关合作过程中存在履行合同、相互协调方面的严重问题及其他严重问题。</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（7）经询价发现乙方价格高于投标时承诺价格或</w:t>
      </w:r>
      <w:r>
        <w:rPr>
          <w:rFonts w:hint="eastAsia" w:ascii="宋体" w:hAnsi="宋体" w:eastAsia="宋体" w:cs="宋体"/>
          <w:color w:val="auto"/>
          <w:sz w:val="21"/>
          <w:szCs w:val="21"/>
          <w:highlight w:val="none"/>
          <w:lang w:val="en-US" w:eastAsia="zh-CN"/>
        </w:rPr>
        <w:t xml:space="preserve">施工期现行的市场定额等</w:t>
      </w:r>
      <w:r>
        <w:rPr>
          <w:rFonts w:hint="eastAsia" w:ascii="宋体" w:hAnsi="宋体" w:eastAsia="宋体" w:cs="宋体"/>
          <w:color w:val="auto"/>
          <w:sz w:val="21"/>
          <w:szCs w:val="21"/>
          <w:highlight w:val="none"/>
        </w:rPr>
        <w:t xml:space="preserve">。</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（8）提供服务响应时间超过</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时承诺时间的。</w:t>
      </w:r>
      <w:r/>
    </w:p>
    <w:p>
      <w:pPr>
        <w:ind w:firstLine="42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挂靠和借用他人名义</w:t>
      </w:r>
      <w:r>
        <w:rPr>
          <w:rFonts w:hint="eastAsia" w:ascii="宋体" w:hAnsi="宋体" w:eastAsia="宋体" w:cs="宋体"/>
          <w:color w:val="auto"/>
          <w:sz w:val="21"/>
          <w:szCs w:val="21"/>
          <w:highlight w:val="none"/>
          <w:lang w:val="en-US" w:eastAsia="zh-CN"/>
        </w:rPr>
        <w:t xml:space="preserve">参与磋商</w:t>
      </w:r>
      <w:r>
        <w:rPr>
          <w:rFonts w:hint="eastAsia" w:ascii="宋体" w:hAnsi="宋体" w:eastAsia="宋体" w:cs="宋体"/>
          <w:color w:val="auto"/>
          <w:sz w:val="21"/>
          <w:szCs w:val="21"/>
          <w:highlight w:val="none"/>
        </w:rPr>
        <w:t xml:space="preserve">。</w:t>
      </w:r>
      <w:r/>
    </w:p>
    <w:p>
      <w:pPr>
        <w:pageBreakBefore w:val="0"/>
        <w:spacing w:line="480" w:lineRule="exact"/>
        <w:widowControl w:val="off"/>
        <w:rPr>
          <w:rFonts w:hint="eastAsia" w:ascii="宋体" w:hAnsi="宋体" w:eastAsia="宋体" w:cs="宋体"/>
          <w:b/>
          <w:bCs/>
          <w:i w:val="0"/>
          <w:iCs w:val="0"/>
          <w:sz w:val="21"/>
          <w:szCs w:val="21"/>
          <w:highlight w:val="none"/>
          <w:u w:val="none"/>
          <w:lang w:val="en-US" w:eastAsia="zh-CN"/>
        </w:rPr>
      </w:pPr>
      <w:r>
        <w:rPr>
          <w:rFonts w:hint="eastAsia" w:ascii="宋体" w:hAnsi="宋体" w:eastAsia="宋体" w:cs="宋体"/>
          <w:b/>
          <w:bCs/>
          <w:i w:val="0"/>
          <w:iCs w:val="0"/>
          <w:sz w:val="21"/>
          <w:szCs w:val="21"/>
          <w:highlight w:val="none"/>
          <w:u w:val="none"/>
          <w:lang w:val="en-US" w:eastAsia="zh-CN"/>
        </w:rPr>
        <w:t xml:space="preserve">三、施工服务保障要求（技术条款）</w:t>
      </w:r>
      <w:r/>
    </w:p>
    <w:p>
      <w:pPr>
        <w:ind w:firstLine="422"/>
        <w:pageBreakBefore w:val="0"/>
        <w:spacing w:line="480" w:lineRule="exact"/>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1、供应商接</w:t>
      </w:r>
      <w:r>
        <w:rPr>
          <w:rFonts w:hint="eastAsia" w:ascii="宋体" w:hAnsi="宋体" w:eastAsia="宋体" w:cs="宋体"/>
          <w:b/>
          <w:bCs/>
          <w:i/>
          <w:iCs/>
          <w:sz w:val="21"/>
          <w:szCs w:val="21"/>
          <w:highlight w:val="none"/>
          <w:u w:val="single"/>
        </w:rPr>
        <w:t xml:space="preserve">到维修任务后，工作时间内必须半小时内与用户沟通并承诺完工时间，因用户原因未能及时沟通的除外。</w:t>
      </w:r>
      <w:r/>
    </w:p>
    <w:p>
      <w:pPr>
        <w:ind w:firstLine="422"/>
        <w:pageBreakBefore w:val="0"/>
        <w:spacing w:line="480" w:lineRule="exact"/>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2、</w:t>
      </w:r>
      <w:r>
        <w:rPr>
          <w:rFonts w:hint="eastAsia" w:ascii="宋体" w:hAnsi="宋体" w:eastAsia="宋体" w:cs="宋体"/>
          <w:b/>
          <w:bCs/>
          <w:i/>
          <w:iCs/>
          <w:sz w:val="21"/>
          <w:szCs w:val="21"/>
          <w:highlight w:val="none"/>
          <w:u w:val="single"/>
        </w:rPr>
        <w:t xml:space="preserve">维修时间应满足用户要求，一般维修24小时内完工，紧急维修6小时内完工，特殊情况除外。因特殊原因不能及时进行维修的，在征得用户同意后，可延期至约定时间完成，</w:t>
      </w:r>
      <w:r/>
    </w:p>
    <w:p>
      <w:pPr>
        <w:ind w:firstLine="422"/>
        <w:pageBreakBefore w:val="0"/>
        <w:spacing w:line="480" w:lineRule="exact"/>
        <w:widowControl w:val="off"/>
        <w:rPr>
          <w:rFonts w:hint="eastAsia" w:ascii="宋体" w:hAnsi="宋体" w:eastAsia="宋体" w:cs="宋体"/>
          <w:b/>
          <w:bCs/>
          <w:i/>
          <w:iCs/>
          <w:sz w:val="21"/>
          <w:szCs w:val="21"/>
          <w:highlight w:val="none"/>
          <w:u w:val="single"/>
          <w:lang w:eastAsia="zh-CN"/>
        </w:rPr>
      </w:pPr>
      <w:r>
        <w:rPr>
          <w:rFonts w:hint="eastAsia" w:ascii="宋体" w:hAnsi="宋体" w:eastAsia="宋体" w:cs="宋体"/>
          <w:b/>
          <w:bCs/>
          <w:i/>
          <w:iCs/>
          <w:sz w:val="21"/>
          <w:szCs w:val="21"/>
          <w:highlight w:val="none"/>
          <w:u w:val="single"/>
          <w:lang w:val="en-US" w:eastAsia="zh-CN"/>
        </w:rPr>
        <w:t xml:space="preserve">3、</w:t>
      </w:r>
      <w:r>
        <w:rPr>
          <w:rFonts w:hint="eastAsia" w:ascii="宋体" w:hAnsi="宋体" w:eastAsia="宋体" w:cs="宋体"/>
          <w:b/>
          <w:bCs/>
          <w:i/>
          <w:iCs/>
          <w:sz w:val="21"/>
          <w:szCs w:val="21"/>
          <w:highlight w:val="none"/>
          <w:u w:val="single"/>
        </w:rPr>
        <w:t xml:space="preserve">维修前制定完善合理的服务方案，健全维修管理制度，以确保维修服务的质量及进度</w:t>
      </w:r>
      <w:r>
        <w:rPr>
          <w:rFonts w:hint="eastAsia" w:ascii="宋体" w:hAnsi="宋体" w:eastAsia="宋体" w:cs="宋体"/>
          <w:b/>
          <w:bCs/>
          <w:i/>
          <w:iCs/>
          <w:sz w:val="21"/>
          <w:szCs w:val="21"/>
          <w:highlight w:val="none"/>
          <w:u w:val="single"/>
          <w:lang w:eastAsia="zh-CN"/>
        </w:rPr>
        <w:t xml:space="preserve">。</w:t>
      </w:r>
      <w:r/>
    </w:p>
    <w:p>
      <w:pPr>
        <w:ind w:firstLine="422"/>
        <w:pageBreakBefore w:val="0"/>
        <w:spacing w:line="480" w:lineRule="exact"/>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4、</w:t>
      </w:r>
      <w:r>
        <w:rPr>
          <w:rFonts w:hint="eastAsia" w:ascii="宋体" w:hAnsi="宋体" w:eastAsia="宋体" w:cs="宋体"/>
          <w:b/>
          <w:bCs/>
          <w:i/>
          <w:iCs/>
          <w:sz w:val="21"/>
          <w:szCs w:val="21"/>
          <w:highlight w:val="none"/>
          <w:u w:val="single"/>
        </w:rPr>
        <w:t xml:space="preserve">采用的维修材料（含主材和辅材）必须是达到国家标准的合同限定品牌合格产品。</w:t>
      </w:r>
      <w:r/>
    </w:p>
    <w:p>
      <w:pPr>
        <w:ind w:firstLine="422"/>
        <w:pageBreakBefore w:val="0"/>
        <w:spacing w:line="480" w:lineRule="exact"/>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5、</w:t>
      </w:r>
      <w:r>
        <w:rPr>
          <w:rFonts w:hint="eastAsia" w:ascii="宋体" w:hAnsi="宋体" w:eastAsia="宋体" w:cs="宋体"/>
          <w:b/>
          <w:bCs/>
          <w:i/>
          <w:iCs/>
          <w:sz w:val="21"/>
          <w:szCs w:val="21"/>
          <w:highlight w:val="none"/>
          <w:u w:val="single"/>
        </w:rPr>
        <w:t xml:space="preserve">严格遵循各项维修工艺要求,符合现行的或承担具体维修任务期间国家和行业新颁布施行的规范、规程。</w:t>
      </w:r>
      <w:r/>
    </w:p>
    <w:p>
      <w:pPr>
        <w:ind w:firstLine="422"/>
        <w:pageBreakBefore w:val="0"/>
        <w:spacing w:line="480" w:lineRule="exact"/>
        <w:widowControl w:val="off"/>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6、</w:t>
      </w:r>
      <w:r>
        <w:rPr>
          <w:rFonts w:hint="eastAsia" w:ascii="宋体" w:hAnsi="宋体" w:eastAsia="宋体" w:cs="宋体"/>
          <w:b/>
          <w:bCs/>
          <w:i/>
          <w:iCs/>
          <w:sz w:val="21"/>
          <w:szCs w:val="21"/>
          <w:highlight w:val="none"/>
          <w:u w:val="single"/>
        </w:rPr>
        <w:t xml:space="preserve">严格遵守《中华人民共和国安全生产法》（国家主席70号令）以及文明作业、夜间作业、环卫和城管、计划生育等规定，安全生产要求达到国家相关合格标准。</w:t>
      </w:r>
      <w:r/>
    </w:p>
    <w:p>
      <w:pPr>
        <w:ind w:firstLine="422"/>
        <w:pageBreakBefore w:val="0"/>
        <w:spacing w:line="480" w:lineRule="exact"/>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7、供应商</w:t>
      </w:r>
      <w:r>
        <w:rPr>
          <w:rFonts w:hint="eastAsia" w:ascii="宋体" w:hAnsi="宋体" w:eastAsia="宋体" w:cs="宋体"/>
          <w:b/>
          <w:bCs/>
          <w:i/>
          <w:iCs/>
          <w:sz w:val="21"/>
          <w:szCs w:val="21"/>
          <w:highlight w:val="none"/>
          <w:u w:val="single"/>
        </w:rPr>
        <w:t xml:space="preserve">工作人员在工作中不得因任何原因与用户发生任何形式的纠纷，确保维修质量及服务效果，对于用户投诉</w:t>
      </w:r>
      <w:r>
        <w:rPr>
          <w:rFonts w:hint="eastAsia" w:ascii="宋体" w:hAnsi="宋体" w:eastAsia="宋体" w:cs="宋体"/>
          <w:b/>
          <w:bCs/>
          <w:i/>
          <w:iCs/>
          <w:sz w:val="21"/>
          <w:szCs w:val="21"/>
          <w:highlight w:val="none"/>
          <w:u w:val="single"/>
          <w:lang w:val="en-US" w:eastAsia="zh-CN"/>
        </w:rPr>
        <w:t xml:space="preserve">或不满</w:t>
      </w:r>
      <w:r>
        <w:rPr>
          <w:rFonts w:hint="eastAsia" w:ascii="宋体" w:hAnsi="宋体" w:eastAsia="宋体" w:cs="宋体"/>
          <w:b/>
          <w:bCs/>
          <w:i/>
          <w:iCs/>
          <w:sz w:val="21"/>
          <w:szCs w:val="21"/>
          <w:highlight w:val="none"/>
          <w:u w:val="single"/>
        </w:rPr>
        <w:t xml:space="preserve">要及时进行沟通处理。</w:t>
      </w:r>
      <w:r/>
    </w:p>
    <w:p>
      <w:pPr>
        <w:pageBreakBefore w:val="0"/>
        <w:spacing w:line="480" w:lineRule="exact"/>
        <w:widowControl w:val="off"/>
        <w:rPr>
          <w:rFonts w:hint="eastAsia" w:ascii="宋体" w:hAnsi="宋体" w:eastAsia="宋体" w:cs="宋体"/>
          <w:b/>
          <w:bCs/>
          <w:i w:val="0"/>
          <w:iCs w:val="0"/>
          <w:sz w:val="21"/>
          <w:szCs w:val="21"/>
          <w:highlight w:val="none"/>
          <w:lang w:val="en-US" w:eastAsia="zh-CN"/>
        </w:rPr>
      </w:pPr>
      <w:r>
        <w:rPr>
          <w:rFonts w:hint="eastAsia" w:ascii="宋体" w:hAnsi="宋体" w:eastAsia="宋体" w:cs="宋体"/>
          <w:b/>
          <w:bCs/>
          <w:i w:val="0"/>
          <w:iCs w:val="0"/>
          <w:sz w:val="21"/>
          <w:szCs w:val="21"/>
          <w:highlight w:val="none"/>
          <w:lang w:val="en-US" w:eastAsia="zh-CN"/>
        </w:rPr>
        <w:t xml:space="preserve">注：供应商对上述内容进行承诺响应，格式自拟，盖章有效。</w:t>
      </w:r>
      <w:r/>
    </w:p>
    <w:p>
      <w:pPr>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对各工程</w:t>
      </w:r>
      <w:r>
        <w:rPr>
          <w:rFonts w:hint="eastAsia" w:ascii="宋体" w:hAnsi="宋体" w:eastAsia="宋体" w:cs="宋体"/>
          <w:color w:val="auto"/>
          <w:sz w:val="21"/>
          <w:szCs w:val="21"/>
          <w:highlight w:val="none"/>
        </w:rPr>
        <w:t xml:space="preserve">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pStyle w:val="823"/>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keepLines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五</w:t>
      </w:r>
      <w:r>
        <w:rPr>
          <w:rFonts w:hint="eastAsia" w:ascii="宋体" w:hAnsi="宋体" w:eastAsia="宋体" w:cs="宋体"/>
          <w:b/>
          <w:bCs w:val="0"/>
          <w:color w:val="000000"/>
          <w:sz w:val="21"/>
          <w:szCs w:val="21"/>
          <w:highlight w:val="none"/>
        </w:rPr>
        <w:t xml:space="preserve">、商务条件</w:t>
      </w:r>
      <w:r/>
    </w:p>
    <w:p>
      <w:pPr>
        <w:pStyle w:val="819"/>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val="0"/>
          <w:i/>
          <w:iCs/>
          <w:color w:val="000000"/>
          <w:sz w:val="21"/>
          <w:szCs w:val="21"/>
          <w:highlight w:val="none"/>
          <w:u w:val="single"/>
          <w:lang w:val="zh-CN"/>
        </w:rPr>
        <w:t xml:space="preserve">1、</w:t>
      </w:r>
      <w:r>
        <w:rPr>
          <w:rFonts w:hint="eastAsia" w:ascii="宋体" w:hAnsi="宋体" w:eastAsia="宋体" w:cs="宋体"/>
          <w:b/>
          <w:bCs w:val="0"/>
          <w:i/>
          <w:iCs/>
          <w:color w:val="000000"/>
          <w:sz w:val="21"/>
          <w:szCs w:val="21"/>
          <w:highlight w:val="none"/>
          <w:u w:val="single"/>
          <w:lang w:val="en-US" w:eastAsia="zh-CN"/>
        </w:rPr>
        <w:t xml:space="preserve">合同履行期限：3年（合同约定时间起算）。</w:t>
      </w:r>
      <w:r/>
    </w:p>
    <w:p>
      <w:pPr>
        <w:ind w:firstLine="422"/>
        <w:keepLines w:val="0"/>
        <w:pageBreakBefore w:val="0"/>
        <w:spacing w:line="360" w:lineRule="auto"/>
        <w:rPr>
          <w:rFonts w:hint="eastAsia" w:ascii="宋体" w:hAnsi="宋体" w:eastAsia="宋体" w:cs="宋体"/>
          <w:bCs/>
          <w:i/>
          <w:iCs/>
          <w:color w:val="000000"/>
          <w:sz w:val="21"/>
          <w:szCs w:val="21"/>
          <w:highlight w:val="none"/>
          <w:u w:val="single"/>
          <w:lang w:val="zh-CN"/>
        </w:rPr>
      </w:pPr>
      <w:r>
        <w:rPr>
          <w:rFonts w:hint="eastAsia" w:ascii="宋体" w:hAnsi="宋体" w:eastAsia="宋体" w:cs="宋体"/>
          <w:b/>
          <w:bCs w:val="0"/>
          <w:i/>
          <w:iCs/>
          <w:color w:val="000000"/>
          <w:sz w:val="21"/>
          <w:szCs w:val="21"/>
          <w:highlight w:val="none"/>
          <w:u w:val="single"/>
          <w:lang w:val="zh-CN"/>
        </w:rPr>
        <w:t xml:space="preserve">2、付款付款方式：</w:t>
      </w:r>
      <w:r>
        <w:rPr>
          <w:rFonts w:hint="eastAsia" w:ascii="宋体" w:hAnsi="宋体" w:eastAsia="宋体" w:cs="宋体"/>
          <w:b/>
          <w:bCs w:val="0"/>
          <w:i/>
          <w:iCs/>
          <w:color w:val="000000"/>
          <w:sz w:val="21"/>
          <w:szCs w:val="21"/>
          <w:highlight w:val="none"/>
          <w:u w:val="single"/>
          <w:lang w:val="en-US" w:eastAsia="zh-CN"/>
        </w:rPr>
        <w:t xml:space="preserve"> 见合同</w:t>
      </w:r>
      <w:r>
        <w:rPr>
          <w:rFonts w:hint="eastAsia" w:ascii="宋体" w:hAnsi="宋体" w:eastAsia="宋体" w:cs="宋体"/>
          <w:b/>
          <w:bCs w:val="0"/>
          <w:i/>
          <w:iCs/>
          <w:color w:val="000000"/>
          <w:sz w:val="21"/>
          <w:szCs w:val="21"/>
          <w:highlight w:val="none"/>
          <w:u w:val="single"/>
          <w:lang w:val="zh-CN"/>
        </w:rPr>
        <w:t xml:space="preserve">。</w:t>
      </w:r>
      <w:r/>
    </w:p>
    <w:p>
      <w:pPr>
        <w:ind w:firstLine="422"/>
        <w:keepLines w:val="0"/>
        <w:pageBreakBefore w:val="0"/>
        <w:spacing w:line="360" w:lineRule="auto"/>
        <w:rPr>
          <w:rFonts w:hint="eastAsia" w:ascii="宋体" w:hAnsi="宋体" w:eastAsia="宋体" w:cs="宋体"/>
          <w:b/>
          <w:bCs w:val="0"/>
          <w:i/>
          <w:iCs/>
          <w:color w:val="000000"/>
          <w:sz w:val="21"/>
          <w:szCs w:val="21"/>
          <w:highlight w:val="none"/>
          <w:u w:val="single"/>
        </w:rPr>
      </w:pPr>
      <w:r>
        <w:rPr>
          <w:rFonts w:hint="eastAsia" w:ascii="宋体" w:hAnsi="宋体" w:eastAsia="宋体" w:cs="宋体"/>
          <w:b/>
          <w:bCs w:val="0"/>
          <w:i/>
          <w:iCs/>
          <w:color w:val="000000"/>
          <w:sz w:val="21"/>
          <w:szCs w:val="21"/>
          <w:highlight w:val="none"/>
          <w:u w:val="single"/>
          <w:lang w:val="en-US" w:eastAsia="zh-CN"/>
        </w:rPr>
        <w:t xml:space="preserve">3</w:t>
      </w:r>
      <w:r>
        <w:rPr>
          <w:rFonts w:hint="eastAsia" w:ascii="宋体" w:hAnsi="宋体" w:eastAsia="宋体" w:cs="宋体"/>
          <w:b/>
          <w:bCs w:val="0"/>
          <w:i/>
          <w:iCs/>
          <w:color w:val="000000"/>
          <w:sz w:val="21"/>
          <w:szCs w:val="21"/>
          <w:highlight w:val="none"/>
          <w:u w:val="single"/>
        </w:rPr>
        <w:t xml:space="preserve">、</w:t>
      </w:r>
      <w:r>
        <w:rPr>
          <w:rFonts w:hint="eastAsia" w:ascii="宋体" w:hAnsi="宋体" w:eastAsia="宋体" w:cs="宋体"/>
          <w:b/>
          <w:bCs w:val="0"/>
          <w:i/>
          <w:iCs/>
          <w:color w:val="000000"/>
          <w:sz w:val="21"/>
          <w:szCs w:val="21"/>
          <w:highlight w:val="none"/>
          <w:u w:val="single"/>
          <w:lang w:val="zh-CN"/>
        </w:rPr>
        <w:t xml:space="preserve">质量：</w:t>
      </w:r>
      <w:r>
        <w:rPr>
          <w:rFonts w:hint="eastAsia" w:ascii="宋体" w:hAnsi="宋体" w:eastAsia="宋体" w:cs="宋体"/>
          <w:b/>
          <w:bCs w:val="0"/>
          <w:i/>
          <w:iCs/>
          <w:color w:val="000000"/>
          <w:sz w:val="21"/>
          <w:szCs w:val="21"/>
          <w:highlight w:val="none"/>
          <w:u w:val="single"/>
          <w:lang w:val="en-US" w:eastAsia="zh-CN"/>
        </w:rPr>
        <w:t xml:space="preserve">合格</w:t>
      </w:r>
      <w:r>
        <w:rPr>
          <w:rFonts w:hint="eastAsia" w:ascii="宋体" w:hAnsi="宋体" w:eastAsia="宋体" w:cs="宋体"/>
          <w:b/>
          <w:bCs w:val="0"/>
          <w:i/>
          <w:iCs/>
          <w:color w:val="000000"/>
          <w:sz w:val="21"/>
          <w:szCs w:val="21"/>
          <w:highlight w:val="none"/>
          <w:u w:val="single"/>
        </w:rPr>
        <w:t xml:space="preserve">。</w:t>
      </w:r>
      <w:r/>
    </w:p>
    <w:p>
      <w:pPr>
        <w:ind w:firstLine="420"/>
        <w:keepLines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、地点：</w:t>
      </w:r>
      <w:r>
        <w:rPr>
          <w:rFonts w:hint="eastAsia" w:ascii="宋体" w:hAnsi="宋体" w:eastAsia="宋体" w:cs="宋体"/>
          <w:color w:val="000000"/>
          <w:sz w:val="21"/>
          <w:szCs w:val="21"/>
          <w:highlight w:val="none"/>
          <w:lang w:eastAsia="zh-CN"/>
        </w:rPr>
        <w:t xml:space="preserve">连云港出入境边防检查站（机关、执勤一队、执勤三队）</w:t>
      </w:r>
      <w:r>
        <w:rPr>
          <w:rFonts w:hint="eastAsia" w:ascii="宋体" w:hAnsi="宋体" w:eastAsia="宋体" w:cs="宋体"/>
          <w:bCs/>
          <w:color w:val="000000"/>
          <w:sz w:val="21"/>
          <w:szCs w:val="21"/>
          <w:highlight w:val="none"/>
        </w:rPr>
        <w:t xml:space="preserve">。</w:t>
      </w:r>
      <w:r/>
    </w:p>
    <w:p>
      <w:pPr>
        <w:ind w:firstLine="420"/>
        <w:keepLines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5、履约保证金：本项目不收取履约保证金。</w:t>
      </w:r>
      <w:r/>
    </w:p>
    <w:p>
      <w:pPr>
        <w:jc w:val="left"/>
        <w:keepLines w:val="0"/>
        <w:keepNext/>
        <w:pageBreakBefore w:val="0"/>
        <w:spacing w:line="360" w:lineRule="auto"/>
        <w:rPr>
          <w:rFonts w:hint="eastAsia" w:ascii="宋体" w:hAnsi="宋体" w:eastAsia="宋体" w:cs="宋体"/>
          <w:b/>
          <w:bCs/>
          <w:sz w:val="21"/>
          <w:szCs w:val="21"/>
          <w:highlight w:val="none"/>
        </w:rPr>
        <w:outlineLvl w:val="0"/>
      </w:pPr>
      <w:r>
        <w:rPr>
          <w:rFonts w:hint="eastAsia" w:ascii="宋体" w:hAnsi="宋体" w:eastAsia="宋体" w:cs="宋体"/>
          <w:b/>
          <w:sz w:val="21"/>
          <w:szCs w:val="21"/>
          <w:highlight w:val="none"/>
          <w:lang w:val="en-US" w:eastAsia="zh-CN"/>
        </w:rPr>
        <w:t xml:space="preserve">六</w:t>
      </w:r>
      <w:r>
        <w:rPr>
          <w:rFonts w:hint="eastAsia" w:ascii="宋体" w:hAnsi="宋体" w:eastAsia="宋体" w:cs="宋体"/>
          <w:b/>
          <w:sz w:val="21"/>
          <w:szCs w:val="21"/>
          <w:highlight w:val="none"/>
        </w:rPr>
        <w:t xml:space="preserve">、报价及其他要求</w:t>
      </w:r>
      <w:r/>
    </w:p>
    <w:p>
      <w:pPr>
        <w:pStyle w:val="794"/>
        <w:ind w:firstLine="420"/>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报价要求：</w:t>
      </w:r>
      <w:r/>
    </w:p>
    <w:p>
      <w:pPr>
        <w:pStyle w:val="794"/>
        <w:ind w:firstLine="630"/>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本工程采用“</w:t>
      </w:r>
      <w:r>
        <w:rPr>
          <w:rFonts w:hint="eastAsia" w:ascii="宋体" w:hAnsi="宋体" w:eastAsia="宋体" w:cs="宋体"/>
          <w:sz w:val="21"/>
          <w:szCs w:val="21"/>
          <w:highlight w:val="none"/>
          <w:lang w:val="en-US" w:eastAsia="zh-CN"/>
        </w:rPr>
        <w:t xml:space="preserve">下浮率</w:t>
      </w:r>
      <w:r>
        <w:rPr>
          <w:rFonts w:hint="eastAsia" w:ascii="宋体" w:hAnsi="宋体" w:eastAsia="宋体" w:cs="宋体"/>
          <w:sz w:val="21"/>
          <w:szCs w:val="21"/>
          <w:highlight w:val="none"/>
          <w:lang w:eastAsia="zh-CN"/>
        </w:rPr>
        <w:t xml:space="preserve">报价</w:t>
      </w:r>
      <w:r>
        <w:rPr>
          <w:rFonts w:hint="eastAsia" w:ascii="宋体" w:hAnsi="宋体" w:eastAsia="宋体" w:cs="宋体"/>
          <w:sz w:val="21"/>
          <w:szCs w:val="21"/>
          <w:highlight w:val="none"/>
        </w:rPr>
        <w:t xml:space="preserve">”。投标人投标报价综合单价下浮率范围为</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%-10%之间，超出此范围，作废标处理。</w:t>
      </w:r>
      <w:r/>
    </w:p>
    <w:p>
      <w:pPr>
        <w:pStyle w:val="794"/>
        <w:ind w:firstLine="630"/>
        <w:keepLines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（2）综合单价：按施工期现行的计价定额、《连云港建设工程经济》中材料信息指导价平均价(不足部分双方协商确认)、人工指导价、取费标准计价计算出的价格。</w:t>
      </w:r>
      <w:r/>
    </w:p>
    <w:p>
      <w:pPr>
        <w:pStyle w:val="794"/>
        <w:ind w:firstLine="630"/>
        <w:keepLines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服务期内，零星工程的价款根据现行定额、取费标准、价格计算的预算造价和下浮率和进一步的优惠确定具体价款，价款应被视为已经包含了但并不限于各项临时工程成本、运送、调试、验收、保险和相关服务等的费用。</w:t>
      </w:r>
      <w:r/>
    </w:p>
    <w:p>
      <w:pPr>
        <w:pStyle w:val="794"/>
        <w:ind w:left="0" w:firstLine="422"/>
        <w:keepLines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2、成交供应商数量：根据采购人的采购需求，本次采购选择3家施工保障供应商。</w:t>
      </w:r>
      <w:r/>
    </w:p>
    <w:p>
      <w:pPr>
        <w:pStyle w:val="794"/>
        <w:ind w:left="0" w:firstLine="420"/>
        <w:keepLines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3、工作中涉及的敏感资料、电子数据等相关信息，成交供应商应严格执行保密的相关规定，不得以任何方式向任何第三人披露、泄露或许可第三人使用，否则追究其相应法律责任。</w:t>
      </w:r>
      <w:r/>
    </w:p>
    <w:p>
      <w:pPr>
        <w:pStyle w:val="794"/>
        <w:ind w:left="0" w:firstLine="420"/>
        <w:keepLines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4、保密要求：从磋商时起到成交公告发布时止，有关响应文件的审查、澄清、评估和比较以及有关授予合同的意向的一切情况都不得透露给供应商或与上述评审工作无关的人员。</w:t>
      </w:r>
      <w:r/>
    </w:p>
    <w:p>
      <w:pPr>
        <w:pStyle w:val="794"/>
        <w:ind w:left="0" w:firstLine="420"/>
        <w:keepLines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5、供应商在磋商时须提供与评分因素相关的材料。如果发现有弄虚作假的，将取消其磋商资格。</w:t>
      </w:r>
      <w:r/>
    </w:p>
    <w:p>
      <w:pPr>
        <w:pStyle w:val="776"/>
        <w:jc w:val="center"/>
        <w:spacing w:line="500" w:lineRule="exact"/>
        <w:rPr>
          <w:rFonts w:ascii="Times New Roman" w:eastAsia="宋体"/>
          <w:b/>
          <w:sz w:val="36"/>
          <w:szCs w:val="36"/>
          <w:highlight w:val="none"/>
        </w:rPr>
      </w:pPr>
      <w:r/>
      <w:bookmarkStart w:id="144" w:name="_Toc99113324"/>
      <w:r/>
      <w:r/>
    </w:p>
    <w:p>
      <w:pPr>
        <w:pStyle w:val="776"/>
        <w:jc w:val="center"/>
        <w:spacing w:line="500" w:lineRule="exact"/>
        <w:rPr>
          <w:rFonts w:ascii="Times New Roman" w:eastAsia="宋体"/>
          <w:b/>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Times New Roman" w:eastAsia="宋体"/>
          <w:b/>
          <w:sz w:val="36"/>
          <w:szCs w:val="36"/>
          <w:highlight w:val="none"/>
        </w:rPr>
      </w:r>
      <w:r/>
    </w:p>
    <w:p>
      <w:pPr>
        <w:pStyle w:val="776"/>
        <w:jc w:val="center"/>
        <w:spacing w:line="500" w:lineRule="exact"/>
        <w:rPr>
          <w:rFonts w:ascii="Times New Roman" w:eastAsia="宋体"/>
          <w:b/>
          <w:sz w:val="36"/>
          <w:szCs w:val="36"/>
          <w:highlight w:val="none"/>
        </w:rPr>
      </w:pPr>
      <w:r>
        <w:rPr>
          <w:rFonts w:ascii="Times New Roman" w:eastAsia="宋体"/>
          <w:b/>
          <w:sz w:val="36"/>
          <w:szCs w:val="36"/>
          <w:highlight w:val="none"/>
        </w:rPr>
        <w:t xml:space="preserve">第五章 评审方法和评审标准</w:t>
      </w:r>
      <w:bookmarkEnd w:id="144"/>
      <w:r/>
      <w:r/>
    </w:p>
    <w:p>
      <w:pPr>
        <w:rPr>
          <w:highlight w:val="none"/>
        </w:rPr>
      </w:pPr>
      <w:r>
        <w:rPr>
          <w:highlight w:val="none"/>
        </w:rPr>
      </w:r>
      <w:r/>
    </w:p>
    <w:p>
      <w:pPr>
        <w:pStyle w:val="1042"/>
        <w:ind w:firstLine="420"/>
        <w:keepLines w:val="0"/>
        <w:keepNext w:val="0"/>
        <w:pageBreakBefore w:val="0"/>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sz w:val="21"/>
          <w:szCs w:val="21"/>
          <w:highlight w:val="none"/>
        </w:rPr>
        <w:t xml:space="preserve">磋商小组</w:t>
      </w:r>
      <w:r/>
    </w:p>
    <w:p>
      <w:pPr>
        <w:pStyle w:val="1042"/>
        <w:ind w:firstLine="420"/>
        <w:keepLines w:val="0"/>
        <w:keepNext w:val="0"/>
        <w:pageBreakBefore w:val="0"/>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本项目磋商小组由采购人代表和评审专家组成，从江苏省政府采购评审专家库中随机抽取评审专家。</w:t>
      </w:r>
      <w:r/>
    </w:p>
    <w:p>
      <w:pPr>
        <w:pStyle w:val="1042"/>
        <w:ind w:firstLine="420"/>
        <w:keepLines w:val="0"/>
        <w:keepNext w:val="0"/>
        <w:pageBreakBefore w:val="0"/>
        <w:spacing w:before="0" w:after="0"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sz w:val="21"/>
          <w:szCs w:val="21"/>
          <w:highlight w:val="none"/>
        </w:rPr>
        <w:t xml:space="preserve">、评审方法：</w:t>
      </w:r>
      <w:r>
        <w:rPr>
          <w:rFonts w:hint="eastAsia" w:ascii="宋体" w:hAnsi="宋体" w:eastAsia="宋体" w:cs="宋体"/>
          <w:b/>
          <w:sz w:val="21"/>
          <w:szCs w:val="21"/>
          <w:highlight w:val="none"/>
        </w:rPr>
        <w:t xml:space="preserve">综合评分法。</w:t>
      </w:r>
      <w:r/>
    </w:p>
    <w:p>
      <w:pPr>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供应商为排名第一的中标候选人。</w:t>
      </w:r>
      <w:r/>
    </w:p>
    <w:p>
      <w:pPr>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综合评分法，是指响应文件满足磋商文件全部实质性要求且按评审因素的量化指标评审得分最高的供应商为成交候选供应商的评审方法。</w:t>
      </w:r>
      <w:r/>
    </w:p>
    <w:p>
      <w:pPr>
        <w:pStyle w:val="1042"/>
        <w:ind w:firstLine="420"/>
        <w:keepLines w:val="0"/>
        <w:keepNext w:val="0"/>
        <w:pageBreakBefore w:val="0"/>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sz w:val="21"/>
          <w:szCs w:val="21"/>
          <w:highlight w:val="none"/>
        </w:rPr>
        <w:t xml:space="preserve">评审</w:t>
      </w:r>
      <w:r>
        <w:rPr>
          <w:rFonts w:hint="eastAsia" w:ascii="宋体" w:hAnsi="宋体" w:eastAsia="宋体" w:cs="宋体"/>
          <w:bCs/>
          <w:sz w:val="21"/>
          <w:szCs w:val="21"/>
          <w:highlight w:val="none"/>
        </w:rPr>
        <w:t xml:space="preserve">原则</w:t>
      </w:r>
      <w:r/>
    </w:p>
    <w:p>
      <w:pPr>
        <w:pStyle w:val="1042"/>
        <w:ind w:firstLine="420"/>
        <w:keepLines w:val="0"/>
        <w:keepNext w:val="0"/>
        <w:pageBreakBefore w:val="0"/>
        <w:spacing w:before="0" w:after="0"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磋商小组</w:t>
      </w:r>
      <w:r>
        <w:rPr>
          <w:rFonts w:hint="eastAsia" w:ascii="宋体" w:hAnsi="宋体" w:eastAsia="宋体" w:cs="宋体"/>
          <w:bCs/>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800"/>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四、评审标准： </w:t>
      </w:r>
      <w:r/>
    </w:p>
    <w:p>
      <w:pPr>
        <w:pStyle w:val="800"/>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（一）评审时，磋商小组以磋商文件为评审依据，磋商小组各成员独立对每个有效响应的文件进行评价、打分，然后汇总每个供应商每项评分因素的得分。</w:t>
      </w:r>
      <w:r/>
    </w:p>
    <w:p>
      <w:pPr>
        <w:pStyle w:val="800"/>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（二）本项目评分总分为100分，按四舍五入取至小数点后两位。</w:t>
      </w:r>
      <w:r/>
    </w:p>
    <w:p>
      <w:pPr>
        <w:pStyle w:val="800"/>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1、价格分：</w:t>
      </w:r>
      <w:r>
        <w:rPr>
          <w:rFonts w:hint="eastAsia" w:hAnsi="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p>
      <w:pPr>
        <w:pStyle w:val="800"/>
        <w:ind w:firstLine="84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价格分统一采用低价优先法计算，即满足磋商文件要求且最后报价最低的供应商的价格</w:t>
      </w:r>
      <w:r/>
    </w:p>
    <w:p>
      <w:pPr>
        <w:pStyle w:val="800"/>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为磋商基准价，其价格分为满分。其他供应商的价格分统一按照下列公式计算：</w:t>
      </w:r>
      <w:r/>
    </w:p>
    <w:p>
      <w:pPr>
        <w:pStyle w:val="800"/>
        <w:ind w:firstLine="843"/>
        <w:jc w:val="left"/>
        <w:keepLines w:val="0"/>
        <w:keepNext w:val="0"/>
        <w:pageBreakBefore w:val="0"/>
        <w:spacing w:line="360" w:lineRule="auto"/>
        <w:rPr>
          <w:rFonts w:hint="default" w:hAnsi="宋体" w:cs="宋体"/>
          <w:b/>
          <w:bCs/>
          <w:sz w:val="21"/>
          <w:szCs w:val="21"/>
          <w:highlight w:val="none"/>
          <w:lang w:val="en-US" w:eastAsia="zh-CN"/>
        </w:rPr>
      </w:pPr>
      <w:r>
        <w:rPr>
          <w:rFonts w:hint="eastAsia" w:hAnsi="宋体" w:cs="宋体"/>
          <w:b/>
          <w:bCs/>
          <w:sz w:val="21"/>
          <w:szCs w:val="21"/>
          <w:highlight w:val="none"/>
          <w:lang w:val="en-US" w:eastAsia="zh-CN"/>
        </w:rPr>
        <w:t xml:space="preserve">磋商基准价=1-有效供应商的最高下浮率</w:t>
      </w:r>
      <w:r/>
    </w:p>
    <w:p>
      <w:pPr>
        <w:pStyle w:val="800"/>
        <w:ind w:firstLine="843"/>
        <w:jc w:val="left"/>
        <w:keepLines w:val="0"/>
        <w:keepNext w:val="0"/>
        <w:pageBreakBefore w:val="0"/>
        <w:spacing w:line="360" w:lineRule="auto"/>
        <w:rPr>
          <w:rFonts w:hint="default" w:ascii="宋体" w:hAnsi="宋体" w:eastAsia="宋体" w:cs="宋体"/>
          <w:b/>
          <w:bCs/>
          <w:sz w:val="21"/>
          <w:szCs w:val="21"/>
          <w:highlight w:val="none"/>
          <w:lang w:val="en-US" w:eastAsia="zh-CN"/>
        </w:rPr>
      </w:pPr>
      <w:r>
        <w:rPr>
          <w:rFonts w:hint="eastAsia" w:hAnsi="宋体" w:cs="宋体"/>
          <w:b/>
          <w:bCs/>
          <w:sz w:val="21"/>
          <w:szCs w:val="21"/>
          <w:highlight w:val="none"/>
          <w:lang w:val="en-US" w:eastAsia="zh-CN"/>
        </w:rPr>
        <w:t xml:space="preserve">最后报价=1-下浮率</w:t>
      </w:r>
      <w:r/>
    </w:p>
    <w:p>
      <w:pPr>
        <w:pStyle w:val="800"/>
        <w:ind w:firstLine="84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磋商报价得分=（磋商基准价/最后磋商报价）×</w:t>
      </w:r>
      <w:r>
        <w:rPr>
          <w:rFonts w:hint="eastAsia" w:hAnsi="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p>
      <w:pPr>
        <w:pStyle w:val="800"/>
        <w:ind w:firstLine="840"/>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项目评审过程中，不得去掉最后报价中的最高报价和最低报价</w:t>
      </w:r>
      <w:r>
        <w:rPr>
          <w:rFonts w:hint="eastAsia" w:ascii="宋体" w:hAnsi="宋体" w:eastAsia="宋体" w:cs="宋体"/>
          <w:sz w:val="21"/>
          <w:szCs w:val="21"/>
          <w:highlight w:val="none"/>
          <w:lang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商务分</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46</w:t>
      </w:r>
      <w:r>
        <w:rPr>
          <w:rFonts w:hint="eastAsia" w:ascii="宋体" w:hAnsi="宋体" w:eastAsia="宋体" w:cs="宋体"/>
          <w:sz w:val="21"/>
          <w:szCs w:val="21"/>
          <w:highlight w:val="none"/>
        </w:rPr>
        <w:t xml:space="preserve">分</w:t>
      </w:r>
      <w:r/>
    </w:p>
    <w:p>
      <w:pPr>
        <w:pStyle w:val="778"/>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8"/>
        <w:rPr>
          <w:rFonts w:hint="eastAsia"/>
          <w:highlight w:val="none"/>
        </w:rPr>
      </w:pPr>
      <w:r>
        <w:rPr>
          <w:rFonts w:hint="eastAsia"/>
          <w:highlight w:val="none"/>
        </w:rPr>
      </w:r>
      <w:r/>
    </w:p>
    <w:tbl>
      <w:tblPr>
        <w:tblStyle w:val="786"/>
        <w:tblW w:w="9532"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732"/>
        <w:gridCol w:w="6927"/>
      </w:tblGrid>
      <w:tr>
        <w:trPr>
          <w:trHeight w:val="520"/>
        </w:trPr>
        <w:tc>
          <w:tcPr>
            <w:tcW w:w="873" w:type="dxa"/>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w:t>
            </w:r>
            <w:r/>
          </w:p>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评分内容</w:t>
            </w:r>
            <w:r/>
          </w:p>
        </w:tc>
        <w:tc>
          <w:tcPr>
            <w:tcW w:w="692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评分要求</w:t>
            </w:r>
            <w:r/>
          </w:p>
        </w:tc>
      </w:tr>
      <w:tr>
        <w:trPr>
          <w:trHeight w:val="3454"/>
        </w:trPr>
        <w:tc>
          <w:tcPr>
            <w:tcW w:w="873"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商务</w:t>
            </w:r>
            <w:r/>
          </w:p>
        </w:tc>
        <w:tc>
          <w:tcPr>
            <w:tcW w:w="1732" w:type="dxa"/>
            <w:vAlign w:val="center"/>
            <w:textDirection w:val="lrTb"/>
            <w:noWrap w:val="false"/>
          </w:tcPr>
          <w:p>
            <w:pPr>
              <w:jc w:val="center"/>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证书</w:t>
            </w:r>
            <w:r/>
          </w:p>
          <w:p>
            <w:pPr>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c>
          <w:tcPr>
            <w:tcW w:w="6927" w:type="dxa"/>
            <w:vAlign w:val="center"/>
            <w:textDirection w:val="lrTb"/>
            <w:noWrap w:val="false"/>
          </w:tcPr>
          <w:p>
            <w:pPr>
              <w:ind w:firstLine="21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具有质量管理体系认证证书的得 </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 分；</w:t>
            </w:r>
            <w:r/>
          </w:p>
          <w:p>
            <w:pPr>
              <w:ind w:firstLine="21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具有职业健康安全管理体系认证证书的得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p>
          <w:p>
            <w:pPr>
              <w:ind w:firstLine="21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具有环境管理体系认证证书的得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p>
          <w:p>
            <w:pPr>
              <w:ind w:firstLine="422"/>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rPr>
              <w:t xml:space="preserve">上述证书须在有效期内，证明材料</w:t>
            </w:r>
            <w:r>
              <w:rPr>
                <w:rFonts w:hint="eastAsia" w:ascii="宋体" w:hAnsi="宋体" w:eastAsia="宋体" w:cs="宋体"/>
                <w:b/>
                <w:bCs/>
                <w:sz w:val="21"/>
                <w:szCs w:val="21"/>
                <w:highlight w:val="none"/>
              </w:rPr>
              <w:t xml:space="preserve">须同时提供有效证书复印件和中国国家认证认可监督管理委员会的认证信息查询系统(http://www.cnca.gov.cn)或中国合格评定国家认可委员会的查询路径(https://www.cnas.org.cn)官网网站公示截图并加盖公章，公示状态须为 “有效”。证书中信息与网页截图不一致的不得分 。</w:t>
            </w:r>
            <w:r>
              <w:rPr>
                <w:rFonts w:hint="eastAsia" w:ascii="宋体" w:hAnsi="宋体" w:eastAsia="宋体" w:cs="宋体"/>
                <w:b/>
                <w:bCs/>
                <w:color w:val="000000"/>
                <w:sz w:val="21"/>
                <w:szCs w:val="21"/>
                <w:highlight w:val="none"/>
              </w:rPr>
              <w:t xml:space="preserve">未提供或未按要求提供此项不得分。</w:t>
            </w:r>
            <w:r/>
          </w:p>
        </w:tc>
      </w:tr>
      <w:tr>
        <w:trPr>
          <w:trHeight w:val="1599"/>
        </w:trPr>
        <w:tc>
          <w:tcPr>
            <w:tcW w:w="873" w:type="dxa"/>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32" w:type="dxa"/>
            <w:vAlign w:val="center"/>
            <w:textDirection w:val="lrTb"/>
            <w:noWrap w:val="false"/>
          </w:tcPr>
          <w:p>
            <w:pPr>
              <w:jc w:val="both"/>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人力资源</w:t>
            </w:r>
            <w:r/>
          </w:p>
          <w:p>
            <w:pPr>
              <w:pStyle w:val="842"/>
              <w:ind w:left="0" w:firstLine="210"/>
              <w:rPr>
                <w:rFonts w:hint="eastAsia"/>
                <w:highlight w:val="none"/>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（25分）</w:t>
            </w:r>
            <w:r/>
          </w:p>
          <w:p>
            <w:pPr>
              <w:pStyle w:val="842"/>
              <w:rPr>
                <w:rFonts w:hint="default"/>
                <w:highlight w:val="none"/>
                <w:lang w:val="en-US" w:eastAsia="zh-CN"/>
              </w:rPr>
            </w:pPr>
            <w:r>
              <w:rPr>
                <w:rFonts w:hint="default"/>
                <w:highlight w:val="none"/>
                <w:lang w:val="en-US" w:eastAsia="zh-CN"/>
              </w:rPr>
            </w:r>
            <w:r/>
          </w:p>
        </w:tc>
        <w:tc>
          <w:tcPr>
            <w:tcW w:w="6927" w:type="dxa"/>
            <w:vAlign w:val="center"/>
            <w:textDirection w:val="lrTb"/>
            <w:noWrap w:val="false"/>
          </w:tcPr>
          <w:p>
            <w:pPr>
              <w:numPr>
                <w:ilvl w:val="0"/>
                <w:numId w:val="0"/>
              </w:numPr>
              <w:ind w:firstLine="210"/>
              <w:jc w:val="both"/>
              <w:keepLines w:val="0"/>
              <w:keepNext w:val="0"/>
              <w:pageBreakBefore w:val="0"/>
              <w:spacing w:line="3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1、供应商具有建筑工程或市政公用公用工程专业二级及以上注册建造师且</w:t>
            </w:r>
            <w:r>
              <w:rPr>
                <w:rFonts w:hint="eastAsia" w:ascii="宋体" w:hAnsi="宋体" w:eastAsia="宋体" w:cs="宋体"/>
                <w:color w:val="auto"/>
                <w:szCs w:val="21"/>
                <w:highlight w:val="none"/>
                <w:lang w:val="en-US" w:eastAsia="zh-CN"/>
              </w:rPr>
              <w:t xml:space="preserve">具有安全考核（B类）证书（在有效期内）的，有一个得3分，最高得12分；(同一人员有2个专业证书只计取一次)。</w:t>
            </w:r>
            <w:r/>
          </w:p>
          <w:p>
            <w:pPr>
              <w:numPr>
                <w:ilvl w:val="0"/>
                <w:numId w:val="0"/>
              </w:numPr>
              <w:ind w:firstLine="210"/>
              <w:jc w:val="both"/>
              <w:keepLines w:val="0"/>
              <w:keepNext w:val="0"/>
              <w:pageBreakBefore w:val="0"/>
              <w:spacing w:line="3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2、供应商具有专职安全员（C类）的有一个得1分，最高得2</w:t>
            </w:r>
            <w:r>
              <w:rPr>
                <w:rFonts w:hint="eastAsia" w:ascii="宋体" w:hAnsi="宋体" w:eastAsia="宋体" w:cs="宋体"/>
                <w:color w:val="auto"/>
                <w:szCs w:val="21"/>
                <w:highlight w:val="none"/>
                <w:lang w:val="en-US" w:eastAsia="zh-CN"/>
              </w:rPr>
              <w:t xml:space="preserve">分；</w:t>
            </w:r>
            <w:r/>
          </w:p>
          <w:p>
            <w:pPr>
              <w:numPr>
                <w:ilvl w:val="0"/>
                <w:numId w:val="0"/>
              </w:numPr>
              <w:ind w:firstLine="210"/>
              <w:jc w:val="both"/>
              <w:keepLines w:val="0"/>
              <w:keepNext w:val="0"/>
              <w:pageBreakBefore w:val="0"/>
              <w:spacing w:line="36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3、供应商具有</w:t>
            </w:r>
            <w:r>
              <w:rPr>
                <w:rFonts w:hint="eastAsia" w:ascii="宋体" w:hAnsi="宋体" w:cs="宋体"/>
                <w:color w:val="auto"/>
                <w:szCs w:val="21"/>
                <w:highlight w:val="none"/>
                <w:lang w:val="en-US" w:eastAsia="zh-CN"/>
              </w:rPr>
              <w:t xml:space="preserve">建筑类特种作业操作证的</w:t>
            </w:r>
            <w:r>
              <w:rPr>
                <w:rFonts w:hint="eastAsia" w:ascii="宋体" w:hAnsi="宋体" w:eastAsia="宋体" w:cs="宋体"/>
                <w:color w:val="auto"/>
                <w:szCs w:val="21"/>
                <w:highlight w:val="none"/>
                <w:lang w:val="en-US" w:eastAsia="zh-CN"/>
              </w:rPr>
              <w:t xml:space="preserve">的有一个得1分，最高得2</w:t>
            </w:r>
            <w:r>
              <w:rPr>
                <w:rFonts w:hint="eastAsia" w:ascii="宋体" w:hAnsi="宋体" w:eastAsia="宋体" w:cs="宋体"/>
                <w:color w:val="auto"/>
                <w:szCs w:val="21"/>
                <w:highlight w:val="none"/>
                <w:lang w:val="en-US" w:eastAsia="zh-CN"/>
              </w:rPr>
              <w:t xml:space="preserve">分；</w:t>
            </w:r>
            <w:r/>
          </w:p>
          <w:p>
            <w:pPr>
              <w:numPr>
                <w:ilvl w:val="0"/>
                <w:numId w:val="0"/>
              </w:numPr>
              <w:ind w:firstLine="210"/>
              <w:jc w:val="both"/>
              <w:keepLines w:val="0"/>
              <w:keepNext w:val="0"/>
              <w:pageBreakBefore w:val="0"/>
              <w:spacing w:line="36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、供应商具有高级及以上工程师职称的，有一个得3分，工程师职称的有一个得2分，最高得9分。</w:t>
            </w:r>
            <w:r/>
          </w:p>
          <w:p>
            <w:pPr>
              <w:numPr>
                <w:ilvl w:val="0"/>
                <w:numId w:val="0"/>
              </w:numPr>
              <w:ind w:right="113" w:firstLine="211"/>
              <w:spacing w:line="360" w:lineRule="auto"/>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注：</w:t>
            </w:r>
            <w:r/>
          </w:p>
          <w:p>
            <w:pPr>
              <w:numPr>
                <w:ilvl w:val="0"/>
                <w:numId w:val="0"/>
              </w:numPr>
              <w:ind w:right="113" w:firstLine="211"/>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sz w:val="21"/>
                <w:szCs w:val="21"/>
                <w:highlight w:val="none"/>
                <w:lang w:val="en-US" w:eastAsia="zh-CN"/>
              </w:rPr>
              <w:t xml:space="preserve">（1）上述1-3项目证明材料须同时提供①得分人员证书原件彩色扫描件②</w:t>
            </w:r>
            <w:r>
              <w:rPr>
                <w:rFonts w:hint="eastAsia"/>
                <w:b/>
                <w:bCs/>
                <w:szCs w:val="21"/>
                <w:highlight w:val="none"/>
              </w:rPr>
              <w:t xml:space="preserve">得分人员由</w:t>
            </w:r>
            <w:r>
              <w:rPr>
                <w:rFonts w:hint="eastAsia"/>
                <w:b/>
                <w:bCs/>
                <w:szCs w:val="21"/>
                <w:highlight w:val="none"/>
                <w:lang w:eastAsia="zh-CN"/>
              </w:rPr>
              <w:t xml:space="preserve">供应商</w:t>
            </w:r>
            <w:r>
              <w:rPr>
                <w:rFonts w:hint="eastAsia"/>
                <w:b/>
                <w:bCs/>
                <w:szCs w:val="21"/>
                <w:highlight w:val="none"/>
              </w:rPr>
              <w:t xml:space="preserve">为其缴纳的</w:t>
            </w:r>
            <w:r>
              <w:rPr>
                <w:rFonts w:hint="eastAsia"/>
                <w:b/>
                <w:bCs/>
                <w:szCs w:val="21"/>
                <w:highlight w:val="none"/>
                <w:lang w:val="en-US" w:eastAsia="zh-CN"/>
              </w:rPr>
              <w:t xml:space="preserve">2026年至今</w:t>
            </w:r>
            <w:r>
              <w:rPr>
                <w:rFonts w:hint="eastAsia"/>
                <w:b/>
                <w:bCs/>
                <w:szCs w:val="21"/>
                <w:highlight w:val="none"/>
                <w:lang w:eastAsia="zh-CN"/>
              </w:rPr>
              <w:t xml:space="preserve">任意</w:t>
            </w:r>
            <w:r>
              <w:rPr>
                <w:rFonts w:hint="eastAsia"/>
                <w:b/>
                <w:bCs/>
                <w:szCs w:val="21"/>
                <w:highlight w:val="none"/>
                <w:lang w:val="en-US" w:eastAsia="zh-CN"/>
              </w:rPr>
              <w:t xml:space="preserve">1个月</w:t>
            </w:r>
            <w:r>
              <w:rPr>
                <w:rFonts w:hint="eastAsia"/>
                <w:b/>
                <w:bCs/>
                <w:szCs w:val="21"/>
                <w:highlight w:val="none"/>
              </w:rPr>
              <w:t xml:space="preserve">社保机构出具社保缴纳证明材料</w:t>
            </w:r>
            <w:r>
              <w:rPr>
                <w:rFonts w:hint="eastAsia"/>
                <w:b/>
                <w:bCs/>
                <w:szCs w:val="21"/>
                <w:highlight w:val="none"/>
                <w:lang w:eastAsia="zh-CN"/>
              </w:rPr>
              <w:t xml:space="preserve">扫描件</w:t>
            </w:r>
            <w:r>
              <w:rPr>
                <w:rFonts w:hint="eastAsia"/>
                <w:b/>
                <w:bCs/>
                <w:szCs w:val="21"/>
                <w:highlight w:val="none"/>
              </w:rPr>
              <w:t xml:space="preserve">（高等院校、科研机构、军事管理等部门从事工程设计、施工的技术人员不能提供社会保险缴纳证明的，由所在单位上级人事主管部门提供相应的证明材料）</w:t>
            </w:r>
            <w:r>
              <w:rPr>
                <w:rFonts w:hint="eastAsia" w:ascii="宋体" w:hAnsi="宋体" w:cs="宋体"/>
                <w:b/>
                <w:bCs/>
                <w:szCs w:val="21"/>
                <w:highlight w:val="none"/>
              </w:rPr>
              <w:t xml:space="preserve">。</w:t>
            </w:r>
            <w:r>
              <w:rPr>
                <w:rFonts w:hint="eastAsia" w:ascii="宋体" w:hAnsi="宋体" w:eastAsia="宋体" w:cs="宋体"/>
                <w:b/>
                <w:bCs/>
                <w:color w:val="auto"/>
                <w:sz w:val="21"/>
                <w:szCs w:val="21"/>
                <w:highlight w:val="none"/>
                <w:lang w:eastAsia="zh-CN"/>
              </w:rPr>
              <w:t xml:space="preserve">未提供或未按要求提供，本项不得分。</w:t>
            </w:r>
            <w:r/>
          </w:p>
          <w:p>
            <w:pPr>
              <w:ind w:firstLine="422"/>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eastAsia="zh-CN"/>
              </w:rPr>
              <w:t xml:space="preserve">）</w:t>
            </w:r>
            <w:r>
              <w:rPr>
                <w:rFonts w:hint="eastAsia" w:ascii="宋体" w:hAnsi="宋体" w:cs="宋体"/>
                <w:b/>
                <w:bCs/>
                <w:color w:val="auto"/>
                <w:sz w:val="21"/>
                <w:szCs w:val="21"/>
                <w:highlight w:val="none"/>
                <w:lang w:val="en-US" w:eastAsia="zh-CN"/>
              </w:rPr>
              <w:t xml:space="preserve">同一人员同一类型证书按证书高级别计取得分，只计取一次</w:t>
            </w:r>
            <w:r>
              <w:rPr>
                <w:rFonts w:hint="eastAsia" w:ascii="宋体" w:hAnsi="宋体" w:cs="宋体"/>
                <w:b/>
                <w:bCs/>
                <w:color w:val="auto"/>
                <w:sz w:val="21"/>
                <w:szCs w:val="21"/>
                <w:highlight w:val="none"/>
              </w:rPr>
              <w:t xml:space="preserve">。</w:t>
            </w:r>
            <w:r/>
          </w:p>
        </w:tc>
      </w:tr>
      <w:tr>
        <w:trPr>
          <w:trHeight w:val="210"/>
        </w:trPr>
        <w:tc>
          <w:tcPr>
            <w:tcW w:w="873" w:type="dxa"/>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企业业绩</w:t>
            </w:r>
            <w:r/>
          </w:p>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6927" w:type="dxa"/>
            <w:vAlign w:val="center"/>
            <w:textDirection w:val="lrTb"/>
            <w:noWrap w:val="false"/>
          </w:tcPr>
          <w:p>
            <w:pPr>
              <w:ind w:firstLine="21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年1月1日以来</w:t>
            </w:r>
            <w:r>
              <w:rPr>
                <w:rFonts w:hint="eastAsia" w:ascii="宋体" w:hAnsi="宋体" w:eastAsia="宋体" w:cs="宋体"/>
                <w:color w:val="auto"/>
                <w:szCs w:val="21"/>
                <w:highlight w:val="none"/>
              </w:rPr>
              <w:t xml:space="preserve">担过</w:t>
            </w:r>
            <w:r>
              <w:rPr>
                <w:rFonts w:hint="eastAsia" w:ascii="宋体" w:hAnsi="宋体" w:eastAsia="宋体" w:cs="宋体"/>
                <w:color w:val="auto"/>
                <w:szCs w:val="21"/>
                <w:highlight w:val="none"/>
                <w:lang w:val="en-US" w:eastAsia="zh-CN"/>
              </w:rPr>
              <w:t xml:space="preserve">建筑工程</w:t>
            </w:r>
            <w:r>
              <w:rPr>
                <w:rFonts w:hint="eastAsia" w:ascii="宋体" w:hAnsi="宋体" w:eastAsia="宋体" w:cs="宋体"/>
                <w:color w:val="auto"/>
                <w:szCs w:val="21"/>
                <w:highlight w:val="none"/>
              </w:rPr>
              <w:t xml:space="preserve">施工业绩的，有1个得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本项最高得15分</w:t>
            </w:r>
            <w:r>
              <w:rPr>
                <w:rFonts w:hint="eastAsia" w:ascii="宋体" w:hAnsi="宋体" w:eastAsia="宋体" w:cs="宋体"/>
                <w:color w:val="auto"/>
                <w:szCs w:val="21"/>
                <w:highlight w:val="none"/>
                <w:lang w:eastAsia="zh-CN"/>
              </w:rPr>
              <w:t xml:space="preserve">；</w:t>
            </w:r>
            <w:r/>
          </w:p>
          <w:p>
            <w:pPr>
              <w:ind w:firstLine="211"/>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sz w:val="21"/>
                <w:szCs w:val="21"/>
                <w:highlight w:val="none"/>
                <w:lang w:val="en-US" w:eastAsia="zh-CN" w:bidi="ar-SA"/>
              </w:rPr>
              <w:t xml:space="preserve">注：证明材料须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提供①中标（成交结果）通知书 ②合同 ③竣工验收证明</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color w:val="auto"/>
                <w:szCs w:val="21"/>
                <w:highlight w:val="none"/>
              </w:rPr>
              <w:t xml:space="preserve">竣工验收证明须由建设单位、监理单位、施工单位共同</w:t>
            </w:r>
            <w:r>
              <w:rPr>
                <w:rFonts w:hint="eastAsia" w:ascii="宋体" w:hAnsi="宋体" w:cs="宋体"/>
                <w:b/>
                <w:bCs/>
                <w:color w:val="auto"/>
                <w:szCs w:val="21"/>
                <w:highlight w:val="none"/>
                <w:lang w:eastAsia="zh-CN"/>
              </w:rPr>
              <w:t xml:space="preserve">签字盖章</w:t>
            </w:r>
            <w:r>
              <w:rPr>
                <w:rFonts w:hint="eastAsia" w:ascii="宋体" w:hAnsi="宋体" w:cs="宋体"/>
                <w:b/>
                <w:bCs/>
                <w:color w:val="auto"/>
                <w:szCs w:val="21"/>
                <w:highlight w:val="none"/>
              </w:rPr>
              <w:t xml:space="preserve">，否则不予认可</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，以上3个证明材料扫描件</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未提供或未按要求提供，此项不得分。</w:t>
            </w:r>
            <w:r>
              <w:rPr>
                <w:rFonts w:hint="eastAsia" w:ascii="宋体" w:hAnsi="宋体" w:cs="宋体"/>
                <w:b/>
                <w:bCs/>
                <w:color w:val="000000"/>
                <w:szCs w:val="21"/>
                <w:highlight w:val="none"/>
                <w:lang w:val="zh-CN"/>
              </w:rPr>
              <w:t xml:space="preserve">合同</w:t>
            </w:r>
            <w:r>
              <w:rPr>
                <w:rFonts w:hint="eastAsia" w:ascii="宋体" w:hAnsi="宋体" w:cs="宋体"/>
                <w:b/>
                <w:bCs/>
                <w:color w:val="000000"/>
                <w:szCs w:val="21"/>
                <w:highlight w:val="none"/>
                <w:lang w:val="en-US" w:eastAsia="zh-CN"/>
              </w:rPr>
              <w:t xml:space="preserve">类似或是否符合要求</w:t>
            </w:r>
            <w:r>
              <w:rPr>
                <w:rFonts w:hint="eastAsia" w:ascii="宋体" w:hAnsi="宋体" w:cs="宋体"/>
                <w:b/>
                <w:bCs/>
                <w:color w:val="000000"/>
                <w:szCs w:val="21"/>
                <w:highlight w:val="none"/>
              </w:rPr>
              <w:t xml:space="preserve">，由评审委员会统一认定后给予得分。</w:t>
            </w:r>
            <w:r/>
          </w:p>
        </w:tc>
      </w:tr>
    </w:tbl>
    <w:p>
      <w:pPr>
        <w:pStyle w:val="841"/>
        <w:numPr>
          <w:ilvl w:val="0"/>
          <w:numId w:val="0"/>
        </w:num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0"/>
        <w:numPr>
          <w:ilvl w:val="0"/>
          <w:numId w:val="0"/>
        </w:numPr>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3、技术分</w:t>
      </w:r>
      <w:r>
        <w:rPr>
          <w:rFonts w:hint="eastAsia" w:hAnsi="宋体" w:cs="宋体"/>
          <w:sz w:val="21"/>
          <w:szCs w:val="21"/>
          <w:highlight w:val="none"/>
          <w:lang w:val="en-US" w:eastAsia="zh-CN"/>
        </w:rPr>
        <w:t xml:space="preserve">24</w:t>
      </w:r>
      <w:r>
        <w:rPr>
          <w:rFonts w:hint="eastAsia" w:ascii="宋体" w:hAnsi="宋体" w:eastAsia="宋体" w:cs="宋体"/>
          <w:sz w:val="21"/>
          <w:szCs w:val="21"/>
          <w:highlight w:val="none"/>
          <w:lang w:val="en-US" w:eastAsia="zh-CN"/>
        </w:rPr>
        <w:t xml:space="preserve">分</w:t>
      </w:r>
      <w:r/>
    </w:p>
    <w:tbl>
      <w:tblPr>
        <w:tblStyle w:val="786"/>
        <w:tblW w:w="9488" w:type="dxa"/>
        <w:tblInd w:w="-217"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647"/>
        <w:gridCol w:w="6966"/>
      </w:tblGrid>
      <w:tr>
        <w:trPr>
          <w:trHeight w:val="555"/>
        </w:trPr>
        <w:tc>
          <w:tcPr>
            <w:tcBorders>
              <w:bottom w:val="single" w:color="auto" w:sz="4" w:space="0"/>
              <w:right w:val="single" w:color="auto" w:sz="4" w:space="0"/>
            </w:tcBorders>
            <w:tcW w:w="8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w:t>
            </w:r>
            <w:r/>
          </w:p>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p>
        </w:tc>
        <w:tc>
          <w:tcPr>
            <w:tcBorders>
              <w:left w:val="single" w:color="auto" w:sz="4" w:space="0"/>
              <w:bottom w:val="single" w:color="auto" w:sz="4" w:space="0"/>
              <w:right w:val="single" w:color="auto" w:sz="4" w:space="0"/>
            </w:tcBorders>
            <w:tcW w:w="16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评分内容</w:t>
            </w:r>
            <w:r/>
          </w:p>
        </w:tc>
        <w:tc>
          <w:tcPr>
            <w:tcBorders>
              <w:left w:val="single" w:color="auto" w:sz="4" w:space="0"/>
              <w:bottom w:val="single" w:color="auto" w:sz="4" w:space="0"/>
              <w:right w:val="single" w:color="auto" w:sz="4" w:space="0"/>
            </w:tcBorders>
            <w:tcW w:w="69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评分要求</w:t>
            </w:r>
            <w:r/>
          </w:p>
        </w:tc>
      </w:tr>
      <w:tr>
        <w:trPr>
          <w:trHeight w:val="2515"/>
        </w:trPr>
        <w:tc>
          <w:tcPr>
            <w:tcBorders>
              <w:top w:val="none" w:color="000000" w:sz="4" w:space="0"/>
              <w:right w:val="single" w:color="auto" w:sz="4" w:space="0"/>
            </w:tcBorders>
            <w:tcW w:w="8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技术</w:t>
            </w:r>
            <w:r/>
          </w:p>
        </w:tc>
        <w:tc>
          <w:tcPr>
            <w:tcBorders>
              <w:top w:val="none" w:color="000000" w:sz="4" w:space="0"/>
              <w:left w:val="none" w:color="000000" w:sz="4" w:space="0"/>
              <w:bottom w:val="single" w:color="auto" w:sz="4" w:space="0"/>
              <w:right w:val="single" w:color="auto" w:sz="4" w:space="0"/>
            </w:tcBorders>
            <w:tcW w:w="16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服务质量</w:t>
            </w:r>
            <w:r>
              <w:rPr>
                <w:rFonts w:hint="eastAsia" w:ascii="宋体" w:hAnsi="宋体" w:eastAsia="宋体" w:cs="宋体"/>
                <w:color w:val="000000" w:themeColor="text1"/>
                <w:sz w:val="21"/>
                <w:szCs w:val="21"/>
                <w:highlight w:val="none"/>
                <w14:textFill>
                  <w14:solidFill>
                    <w14:schemeClr w14:val="tx1"/>
                  </w14:solidFill>
                </w14:textFill>
              </w:rPr>
              <w:t xml:space="preserve">保障措施</w:t>
            </w:r>
            <w:r/>
          </w:p>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6966" w:type="dxa"/>
            <w:vAlign w:val="top"/>
            <w:textDirection w:val="lrTb"/>
            <w:noWrap w:val="false"/>
          </w:tcPr>
          <w:p>
            <w:pPr>
              <w:ind w:right="34"/>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保障措施</w:t>
            </w:r>
            <w:r>
              <w:rPr>
                <w:rFonts w:hint="eastAsia" w:ascii="宋体" w:hAnsi="宋体" w:eastAsia="宋体" w:cs="宋体"/>
                <w:color w:val="000000"/>
                <w:sz w:val="21"/>
                <w:szCs w:val="21"/>
                <w:highlight w:val="none"/>
              </w:rPr>
              <w:t xml:space="preserve">切实可行，完善全面、科学合理，可行性、可操作性强</w:t>
            </w:r>
            <w:r>
              <w:rPr>
                <w:rFonts w:hint="eastAsia" w:ascii="宋体" w:hAnsi="宋体" w:eastAsia="宋体" w:cs="宋体"/>
                <w:sz w:val="21"/>
                <w:szCs w:val="21"/>
                <w:highlight w:val="none"/>
                <w:lang w:eastAsia="zh-CN"/>
              </w:rPr>
              <w:t xml:space="preserve">的，</w:t>
            </w:r>
            <w:r>
              <w:rPr>
                <w:rFonts w:hint="eastAsia" w:ascii="宋体" w:hAnsi="宋体" w:eastAsia="宋体" w:cs="宋体"/>
                <w:b/>
                <w:bCs/>
                <w:sz w:val="21"/>
                <w:szCs w:val="21"/>
                <w:highlight w:val="none"/>
                <w:lang w:eastAsia="zh-CN"/>
              </w:rPr>
              <w:t xml:space="preserve">得</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保障措施</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科学合理性、完善性、</w:t>
            </w:r>
            <w:r>
              <w:rPr>
                <w:rFonts w:hint="eastAsia" w:ascii="宋体" w:hAnsi="宋体" w:eastAsia="宋体" w:cs="宋体"/>
                <w:color w:val="000000"/>
                <w:sz w:val="21"/>
                <w:szCs w:val="21"/>
                <w:highlight w:val="none"/>
              </w:rPr>
              <w:t xml:space="preserve">可操作性较强</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（3）计划可行性一般，方案合理性一般，可</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color w:val="000000" w:themeColor="text1"/>
                <w:sz w:val="21"/>
                <w:szCs w:val="21"/>
                <w:highlight w:val="none"/>
                <w14:textFill>
                  <w14:solidFill>
                    <w14:schemeClr w14:val="tx1"/>
                  </w14:solidFill>
                </w14:textFill>
              </w:rPr>
              <w:t xml:space="preserve">一般的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得</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）计划可行性，方案合理性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、可操作性较差</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得</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满分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14:textFill>
                  <w14:solidFill>
                    <w14:schemeClr w14:val="tx1"/>
                  </w14:solidFill>
                </w14:textFill>
              </w:rPr>
              <w:t xml:space="preserve">分，未见阐述</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此项</w:t>
            </w:r>
            <w:r>
              <w:rPr>
                <w:rFonts w:hint="eastAsia" w:ascii="宋体" w:hAnsi="宋体" w:eastAsia="宋体" w:cs="宋体"/>
                <w:b/>
                <w:bCs/>
                <w:color w:val="000000" w:themeColor="text1"/>
                <w:sz w:val="21"/>
                <w:szCs w:val="21"/>
                <w:highlight w:val="none"/>
                <w14:textFill>
                  <w14:solidFill>
                    <w14:schemeClr w14:val="tx1"/>
                  </w14:solidFill>
                </w14:textFill>
              </w:rPr>
              <w:t xml:space="preserve">不得分。</w:t>
            </w:r>
            <w:r/>
          </w:p>
        </w:tc>
      </w:tr>
      <w:tr>
        <w:trPr>
          <w:trHeight w:val="182"/>
        </w:trPr>
        <w:tc>
          <w:tcPr>
            <w:tcBorders>
              <w:right w:val="single" w:color="auto" w:sz="4" w:space="0"/>
            </w:tcBorders>
            <w:tcW w:w="8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1"/>
                <w:szCs w:val="21"/>
                <w:highlight w:val="none"/>
                <w14:textFill>
                  <w14:solidFill>
                    <w14:schemeClr w14:val="tx1"/>
                  </w14:solidFill>
                </w14:textFill>
              </w:rPr>
              <w:t xml:space="preserve">保障</w:t>
            </w:r>
            <w:r/>
          </w:p>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措施</w:t>
            </w:r>
            <w:r/>
          </w:p>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6966" w:type="dxa"/>
            <w:vAlign w:val="top"/>
            <w:textDirection w:val="lrTb"/>
            <w:noWrap w:val="false"/>
          </w:tcPr>
          <w:p>
            <w:pPr>
              <w:ind w:right="34"/>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保障措施</w:t>
            </w:r>
            <w:r>
              <w:rPr>
                <w:rFonts w:hint="eastAsia" w:ascii="宋体" w:hAnsi="宋体" w:eastAsia="宋体" w:cs="宋体"/>
                <w:color w:val="000000"/>
                <w:sz w:val="21"/>
                <w:szCs w:val="21"/>
                <w:highlight w:val="none"/>
              </w:rPr>
              <w:t xml:space="preserve">切实可行，完善全面、科学合理，可行性、可操作性强</w:t>
            </w:r>
            <w:r>
              <w:rPr>
                <w:rFonts w:hint="eastAsia" w:ascii="宋体" w:hAnsi="宋体" w:eastAsia="宋体" w:cs="宋体"/>
                <w:sz w:val="21"/>
                <w:szCs w:val="21"/>
                <w:highlight w:val="none"/>
                <w:lang w:eastAsia="zh-CN"/>
              </w:rPr>
              <w:t xml:space="preserve">的，</w:t>
            </w:r>
            <w:r>
              <w:rPr>
                <w:rFonts w:hint="eastAsia" w:ascii="宋体" w:hAnsi="宋体" w:eastAsia="宋体" w:cs="宋体"/>
                <w:b/>
                <w:bCs/>
                <w:sz w:val="21"/>
                <w:szCs w:val="21"/>
                <w:highlight w:val="none"/>
                <w:lang w:eastAsia="zh-CN"/>
              </w:rPr>
              <w:t xml:space="preserve">得</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保障措施</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科学合理性、完善性、</w:t>
            </w:r>
            <w:r>
              <w:rPr>
                <w:rFonts w:hint="eastAsia" w:ascii="宋体" w:hAnsi="宋体" w:eastAsia="宋体" w:cs="宋体"/>
                <w:color w:val="000000"/>
                <w:sz w:val="21"/>
                <w:szCs w:val="21"/>
                <w:highlight w:val="none"/>
              </w:rPr>
              <w:t xml:space="preserve">可操作性较强</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（3）计划可行性一般，方案合理性一般，可</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color w:val="000000" w:themeColor="text1"/>
                <w:sz w:val="21"/>
                <w:szCs w:val="21"/>
                <w:highlight w:val="none"/>
                <w14:textFill>
                  <w14:solidFill>
                    <w14:schemeClr w14:val="tx1"/>
                  </w14:solidFill>
                </w14:textFill>
              </w:rPr>
              <w:t xml:space="preserve">一般的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得</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）计划可行性，方案合理性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、可操作性较差</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得</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满分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14:textFill>
                  <w14:solidFill>
                    <w14:schemeClr w14:val="tx1"/>
                  </w14:solidFill>
                </w14:textFill>
              </w:rPr>
              <w:t xml:space="preserve">分，未见阐述</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此项</w:t>
            </w:r>
            <w:r>
              <w:rPr>
                <w:rFonts w:hint="eastAsia" w:ascii="宋体" w:hAnsi="宋体" w:eastAsia="宋体" w:cs="宋体"/>
                <w:b/>
                <w:bCs/>
                <w:color w:val="000000" w:themeColor="text1"/>
                <w:sz w:val="21"/>
                <w:szCs w:val="21"/>
                <w:highlight w:val="none"/>
                <w14:textFill>
                  <w14:solidFill>
                    <w14:schemeClr w14:val="tx1"/>
                  </w14:solidFill>
                </w14:textFill>
              </w:rPr>
              <w:t xml:space="preserve">不得分。</w:t>
            </w:r>
            <w:r/>
          </w:p>
        </w:tc>
      </w:tr>
      <w:tr>
        <w:trPr>
          <w:trHeight w:val="780"/>
        </w:trPr>
        <w:tc>
          <w:tcPr>
            <w:tcBorders>
              <w:right w:val="single" w:color="auto" w:sz="4" w:space="0"/>
            </w:tcBorders>
            <w:tcW w:w="8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应急响应方案</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6966" w:type="dxa"/>
            <w:vAlign w:val="top"/>
            <w:textDirection w:val="lrTb"/>
            <w:noWrap w:val="false"/>
          </w:tcPr>
          <w:p>
            <w:pPr>
              <w:ind w:firstLine="21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（1）方案非常合理得当、针对性强、符合实际需求的，</w:t>
            </w:r>
            <w:r>
              <w:rPr>
                <w:rFonts w:hint="eastAsia" w:ascii="宋体" w:hAnsi="宋体" w:eastAsia="宋体" w:cs="宋体"/>
                <w:b/>
                <w:bCs/>
                <w:color w:val="auto"/>
                <w:sz w:val="21"/>
                <w:szCs w:val="21"/>
                <w:highlight w:val="none"/>
                <w:lang w:val="en-US" w:eastAsia="zh-CN"/>
              </w:rPr>
              <w:t xml:space="preserve">得</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分；</w:t>
            </w:r>
            <w:r/>
          </w:p>
          <w:p>
            <w:pPr>
              <w:ind w:firstLine="210"/>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（2）方案较为合理得当、针对性较强、较符合实际需求的，</w:t>
            </w:r>
            <w:r>
              <w:rPr>
                <w:rFonts w:hint="eastAsia" w:ascii="宋体" w:hAnsi="宋体" w:eastAsia="宋体" w:cs="宋体"/>
                <w:b/>
                <w:bCs/>
                <w:color w:val="auto"/>
                <w:sz w:val="21"/>
                <w:szCs w:val="21"/>
                <w:highlight w:val="none"/>
                <w:lang w:val="en-US" w:eastAsia="zh-CN"/>
              </w:rPr>
              <w:t xml:space="preserve">得</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分；</w:t>
            </w:r>
            <w:r/>
          </w:p>
          <w:p>
            <w:pPr>
              <w:ind w:firstLine="21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（3）方案基本合理得当、针对性一般、基本符合实际需求的，</w:t>
            </w:r>
            <w:r>
              <w:rPr>
                <w:rFonts w:hint="eastAsia" w:ascii="宋体" w:hAnsi="宋体" w:eastAsia="宋体" w:cs="宋体"/>
                <w:b/>
                <w:bCs/>
                <w:color w:val="auto"/>
                <w:sz w:val="21"/>
                <w:szCs w:val="21"/>
                <w:highlight w:val="none"/>
                <w:lang w:val="en-US" w:eastAsia="zh-CN"/>
              </w:rPr>
              <w:t xml:space="preserve">得</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p>
            <w:pPr>
              <w:ind w:firstLine="21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（4）方案合理性，针对性，可行性较差的，</w:t>
            </w:r>
            <w:r>
              <w:rPr>
                <w:rFonts w:hint="eastAsia" w:ascii="宋体" w:hAnsi="宋体" w:eastAsia="宋体" w:cs="宋体"/>
                <w:b/>
                <w:bCs/>
                <w:color w:val="auto"/>
                <w:sz w:val="21"/>
                <w:szCs w:val="21"/>
                <w:highlight w:val="none"/>
                <w:lang w:val="en-US" w:eastAsia="zh-CN"/>
              </w:rPr>
              <w:t xml:space="preserve">得1分；</w:t>
            </w:r>
            <w:r/>
          </w:p>
          <w:p>
            <w:pPr>
              <w:ind w:firstLine="422"/>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rPr>
              <w:t xml:space="preserve">满分</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tc>
      </w:tr>
    </w:tbl>
    <w:p>
      <w:pPr>
        <w:ind w:firstLine="422"/>
        <w:spacing w:line="360" w:lineRule="auto"/>
        <w:tabs>
          <w:tab w:val="left" w:pos="360" w:leader="none"/>
        </w:tabs>
        <w:rPr>
          <w:rFonts w:ascii="Times New Roman" w:hAnsi="宋体" w:eastAsia="宋体" w:cs="Times New Roman"/>
          <w:b/>
          <w:bCs/>
          <w:szCs w:val="21"/>
          <w:highlight w:val="none"/>
        </w:rPr>
      </w:pPr>
      <w:r>
        <w:rPr>
          <w:rFonts w:ascii="Times New Roman" w:hAnsi="宋体" w:eastAsia="宋体" w:cs="Times New Roman"/>
          <w:b/>
          <w:bCs/>
          <w:szCs w:val="21"/>
          <w:highlight w:val="none"/>
        </w:rPr>
        <w:t xml:space="preserve">注：</w:t>
      </w:r>
      <w:r/>
    </w:p>
    <w:p>
      <w:pPr>
        <w:ind w:firstLine="422"/>
        <w:spacing w:line="360" w:lineRule="auto"/>
        <w:tabs>
          <w:tab w:val="left" w:pos="360" w:leader="none"/>
        </w:tabs>
        <w:rPr>
          <w:rFonts w:hint="eastAsia" w:ascii="Times New Roman" w:hAnsi="宋体" w:eastAsia="宋体" w:cs="Times New Roman"/>
          <w:b/>
          <w:bCs/>
          <w:szCs w:val="21"/>
          <w:highlight w:val="none"/>
        </w:rPr>
      </w:pPr>
      <w:r>
        <w:rPr>
          <w:rFonts w:hint="eastAsia" w:ascii="Times New Roman" w:hAnsi="宋体" w:eastAsia="宋体" w:cs="Times New Roman"/>
          <w:b/>
          <w:bCs/>
          <w:szCs w:val="21"/>
          <w:highlight w:val="none"/>
        </w:rPr>
        <w:t xml:space="preserve">1、保留小数点后两位（按四舍五入原则），获得最高评估分的供应商将被推荐为合格的中标候选人。</w:t>
      </w:r>
      <w:r/>
    </w:p>
    <w:p>
      <w:pPr>
        <w:ind w:firstLine="422"/>
        <w:spacing w:line="360" w:lineRule="auto"/>
        <w:tabs>
          <w:tab w:val="left" w:pos="360" w:leader="none"/>
        </w:tabs>
        <w:rPr>
          <w:rFonts w:hint="eastAsia" w:ascii="Times New Roman" w:hAnsi="宋体" w:eastAsia="宋体" w:cs="Times New Roman"/>
          <w:b/>
          <w:bCs/>
          <w:szCs w:val="21"/>
          <w:highlight w:val="none"/>
        </w:rPr>
      </w:pPr>
      <w:r>
        <w:rPr>
          <w:rFonts w:hint="eastAsia" w:hAnsi="宋体" w:cs="Times New Roman"/>
          <w:b/>
          <w:bCs/>
          <w:szCs w:val="21"/>
          <w:highlight w:val="none"/>
          <w:lang w:val="en-US" w:eastAsia="zh-CN"/>
        </w:rPr>
        <w:t xml:space="preserve">2</w:t>
      </w:r>
      <w:r>
        <w:rPr>
          <w:rFonts w:hint="eastAsia" w:ascii="Times New Roman" w:hAnsi="宋体" w:eastAsia="宋体" w:cs="Times New Roman"/>
          <w:b/>
          <w:bCs/>
          <w:szCs w:val="21"/>
          <w:highlight w:val="none"/>
          <w:lang w:val="en-US" w:eastAsia="zh-CN"/>
        </w:rPr>
        <w:t xml:space="preserve">、</w:t>
      </w:r>
      <w:r>
        <w:rPr>
          <w:rFonts w:hint="eastAsia" w:ascii="Times New Roman" w:hAnsi="宋体" w:eastAsia="宋体" w:cs="Times New Roman"/>
          <w:b/>
          <w:bCs/>
          <w:szCs w:val="21"/>
          <w:highlight w:val="none"/>
          <w:lang w:eastAsia="zh-CN"/>
        </w:rPr>
        <w:t xml:space="preserve">响应</w:t>
      </w:r>
      <w:r>
        <w:rPr>
          <w:rFonts w:hint="eastAsia" w:ascii="Times New Roman" w:hAnsi="宋体" w:eastAsia="宋体" w:cs="Times New Roman"/>
          <w:b/>
          <w:bCs/>
          <w:szCs w:val="21"/>
          <w:highlight w:val="none"/>
        </w:rPr>
        <w:t xml:space="preserve">文件中所提供的全部证明材料，评审结束后采购人有权进行核实，如有不实，将按照相关法律法规规定进行处理。</w:t>
      </w:r>
      <w:r/>
    </w:p>
    <w:p>
      <w:pPr>
        <w:pStyle w:val="818"/>
        <w:ind w:firstLine="420"/>
        <w:spacing w:line="360" w:lineRule="auto"/>
        <w:tabs>
          <w:tab w:val="left" w:pos="720" w:leader="none"/>
          <w:tab w:val="clear" w:pos="916" w:leader="none"/>
        </w:tabs>
        <w:rPr>
          <w:rFonts w:ascii="Times New Roman" w:eastAsia="宋体"/>
          <w:bCs/>
          <w:sz w:val="21"/>
          <w:szCs w:val="21"/>
          <w:highlight w:val="none"/>
        </w:rPr>
      </w:pPr>
      <w:r>
        <w:rPr>
          <w:rFonts w:ascii="Times New Roman" w:eastAsia="宋体"/>
          <w:bCs/>
          <w:sz w:val="21"/>
          <w:szCs w:val="21"/>
          <w:highlight w:val="none"/>
        </w:rPr>
        <w:t xml:space="preserve">五、成交标准：</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bCs/>
          <w:szCs w:val="21"/>
          <w:highlight w:val="none"/>
        </w:rPr>
        <w:t xml:space="preserve">磋商小组根据综合评分情况，按照评审得分由高到低顺序推荐3名以上成交候选供应商，</w:t>
      </w:r>
      <w:r>
        <w:rPr>
          <w:rFonts w:hint="eastAsia" w:ascii="宋体" w:hAnsi="宋体" w:eastAsia="宋体" w:cs="宋体"/>
          <w:sz w:val="21"/>
          <w:szCs w:val="21"/>
          <w:highlight w:val="none"/>
        </w:rPr>
        <w:t xml:space="preserve">磋商小组根据综合评分情况，按照评审得分由高到低顺序推荐3名成交候选供应商，并编写评审报告。总分相同时依次按服务的优惠力度大、服务承诺优先、响应时间短的顺序，排列各供应商次序，并依照次序提供不少于</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名成交候选人供应商，前</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名的供应商，确定为本项目的成交供应商。</w:t>
      </w:r>
      <w:r/>
    </w:p>
    <w:p>
      <w:pPr>
        <w:ind w:firstLine="420"/>
        <w:jc w:val="left"/>
        <w:pageBreakBefore w:val="0"/>
        <w:spacing w:line="440" w:lineRule="exact"/>
        <w:widowControl w:val="off"/>
        <w:rPr>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highlight w:val="none"/>
        </w:rPr>
        <w:t xml:space="preserve">成交供应商数量：根据采购人的采购需求，本次采购选择【3】家施工保障供应商。采购人有权在合同期内根据实际业务量、供应商履约情况等因素，在各成交供应商之间合理分配维修任务。</w:t>
      </w:r>
      <w:r/>
    </w:p>
    <w:p>
      <w:pPr>
        <w:pStyle w:val="841"/>
      </w:pPr>
      <w:r/>
      <w:r/>
    </w:p>
    <w:p>
      <w:pPr>
        <w:pStyle w:val="776"/>
        <w:jc w:val="center"/>
        <w:spacing w:line="500" w:lineRule="exact"/>
        <w:rPr>
          <w:rFonts w:ascii="Times New Roman" w:eastAsia="宋体"/>
          <w:b/>
          <w:sz w:val="36"/>
          <w:szCs w:val="36"/>
        </w:rPr>
      </w:pPr>
      <w:r/>
      <w:bookmarkStart w:id="145" w:name="_Toc99113325"/>
      <w:r>
        <w:rPr>
          <w:rFonts w:ascii="Times New Roman" w:eastAsia="宋体"/>
          <w:b/>
          <w:sz w:val="36"/>
          <w:szCs w:val="36"/>
        </w:rPr>
        <w:t xml:space="preserve">第六章  竞争性磋商响应文件格式</w:t>
      </w:r>
      <w:bookmarkEnd w:id="145"/>
      <w:r/>
      <w:r/>
    </w:p>
    <w:p>
      <w:pPr>
        <w:jc w:val="center"/>
        <w:spacing w:line="500" w:lineRule="exact"/>
        <w:rPr>
          <w:sz w:val="72"/>
          <w:szCs w:val="21"/>
        </w:rPr>
      </w:pPr>
      <w:r>
        <w:rPr>
          <w:sz w:val="72"/>
          <w:szCs w:val="21"/>
        </w:rPr>
      </w:r>
      <w:r/>
    </w:p>
    <w:p>
      <w:pPr>
        <w:jc w:val="center"/>
        <w:spacing w:line="500" w:lineRule="exact"/>
        <w:rPr>
          <w:sz w:val="72"/>
          <w:szCs w:val="21"/>
        </w:rPr>
      </w:pPr>
      <w:r>
        <w:rPr>
          <w:sz w:val="72"/>
          <w:szCs w:val="21"/>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500" w:lineRule="exact"/>
        <w:rPr>
          <w:sz w:val="36"/>
        </w:rPr>
      </w:pPr>
      <w:r>
        <w:rPr>
          <w:sz w:val="36"/>
        </w:rPr>
      </w:r>
      <w:r/>
    </w:p>
    <w:p>
      <w:pPr>
        <w:spacing w:line="500" w:lineRule="exact"/>
        <w:rPr>
          <w:sz w:val="36"/>
        </w:rPr>
      </w:pPr>
      <w:r>
        <w:rPr>
          <w:sz w:val="36"/>
        </w:rPr>
      </w:r>
      <w:r/>
    </w:p>
    <w:p>
      <w:pPr>
        <w:pStyle w:val="1042"/>
        <w:ind w:firstLine="2464"/>
        <w:spacing w:line="500" w:lineRule="exact"/>
        <w:rPr>
          <w:rFonts w:ascii="Times New Roman" w:hAnsi="Times New Roman"/>
          <w:bCs/>
          <w:sz w:val="32"/>
          <w:szCs w:val="32"/>
        </w:rPr>
      </w:pPr>
      <w:r>
        <w:rPr>
          <w:rFonts w:ascii="Times New Roman" w:hAnsi="Times New Roman"/>
          <w:bCs/>
          <w:sz w:val="32"/>
          <w:szCs w:val="32"/>
        </w:rPr>
      </w:r>
      <w:r/>
    </w:p>
    <w:p>
      <w:pPr>
        <w:pStyle w:val="1042"/>
        <w:ind w:firstLine="0"/>
        <w:spacing w:before="0" w:after="0" w:line="500" w:lineRule="exact"/>
        <w:rPr>
          <w:rFonts w:ascii="Times New Roman" w:hAnsi="Times New Roman"/>
        </w:rPr>
      </w:pPr>
      <w:r>
        <w:rPr>
          <w:rFonts w:ascii="Times New Roman" w:hAnsi="Times New Roman"/>
        </w:rPr>
      </w:r>
      <w:r/>
    </w:p>
    <w:p>
      <w:pPr>
        <w:pStyle w:val="1042"/>
        <w:ind w:firstLine="0"/>
        <w:spacing w:before="0" w:after="0" w:line="500" w:lineRule="exact"/>
        <w:rPr>
          <w:rFonts w:ascii="Times New Roman" w:hAnsi="Times New Roman"/>
        </w:rPr>
      </w:pPr>
      <w:r>
        <w:rPr>
          <w:rFonts w:ascii="Times New Roman" w:hAnsi="Times New Roman"/>
        </w:rPr>
      </w:r>
      <w:r/>
    </w:p>
    <w:p>
      <w:pPr>
        <w:pStyle w:val="1042"/>
        <w:ind w:firstLine="0"/>
        <w:spacing w:before="0" w:after="0" w:line="500" w:lineRule="exact"/>
        <w:rPr>
          <w:rFonts w:ascii="Times New Roman" w:hAnsi="Times New Roman"/>
        </w:rPr>
      </w:pPr>
      <w:r>
        <w:rPr>
          <w:rFonts w:ascii="Times New Roman" w:hAnsi="Times New Roman"/>
        </w:rPr>
      </w:r>
      <w:r/>
    </w:p>
    <w:p>
      <w:pPr>
        <w:pStyle w:val="1042"/>
        <w:ind w:firstLine="0"/>
        <w:spacing w:before="0" w:after="0" w:line="500" w:lineRule="exact"/>
        <w:rPr>
          <w:rFonts w:ascii="Times New Roman" w:hAnsi="Times New Roman"/>
        </w:rPr>
      </w:pPr>
      <w:r>
        <w:rPr>
          <w:rFonts w:ascii="Times New Roman" w:hAnsi="Times New Roman"/>
        </w:rPr>
      </w:r>
      <w:r/>
    </w:p>
    <w:p>
      <w:pPr>
        <w:pStyle w:val="1042"/>
        <w:ind w:firstLine="0"/>
        <w:spacing w:before="0" w:after="0" w:line="500" w:lineRule="exact"/>
        <w:rPr>
          <w:rFonts w:ascii="Times New Roman" w:hAnsi="Times New Roman"/>
        </w:rPr>
      </w:pPr>
      <w:r>
        <w:rPr>
          <w:rFonts w:ascii="Times New Roman" w:hAnsi="Times New Roman"/>
        </w:rPr>
      </w:r>
      <w:bookmarkEnd w:id="141"/>
      <w:bookmarkEnd w:id="142"/>
      <w:bookmarkEnd w:id="143"/>
      <w:r/>
    </w:p>
    <w:p>
      <w:pPr>
        <w:pStyle w:val="1042"/>
        <w:ind w:firstLine="0"/>
        <w:spacing w:before="0" w:after="0" w:line="500" w:lineRule="exact"/>
        <w:rPr>
          <w:rFonts w:ascii="Times New Roman" w:hAnsi="Times New Roman"/>
        </w:rPr>
      </w:pPr>
      <w:r>
        <w:rPr>
          <w:rFonts w:ascii="Times New Roman" w:hAnsi="Times New Roman"/>
        </w:rPr>
      </w:r>
      <w:r/>
    </w:p>
    <w:p>
      <w:pPr>
        <w:jc w:val="left"/>
        <w:keepLines/>
        <w:keepNext/>
        <w:spacing w:before="360" w:after="200" w:line="360" w:lineRule="auto"/>
        <w:rPr>
          <w:rFonts w:hint="eastAsia" w:ascii="黑体" w:hAnsi="黑体" w:eastAsia="黑体" w:cs="黑体"/>
          <w:b/>
          <w:bCs/>
          <w:i/>
          <w:color w:val="auto"/>
          <w:sz w:val="24"/>
          <w:szCs w:val="24"/>
          <w:highlight w:val="none"/>
          <w:u w:val="single"/>
        </w:rPr>
        <w:outlineLvl w:val="1"/>
      </w:pPr>
      <w:r/>
      <w:bookmarkStart w:id="146" w:name="_Toc19669"/>
      <w:r/>
      <w:bookmarkStart w:id="147" w:name="_Toc26554103"/>
      <w:r/>
      <w:bookmarkStart w:id="148" w:name="_Toc22356583"/>
      <w:r/>
      <w:bookmarkStart w:id="149" w:name="_Toc23828483"/>
      <w:r/>
      <w:bookmarkStart w:id="150" w:name="_Toc120614284"/>
      <w:r/>
      <w:bookmarkStart w:id="151" w:name="_Toc49090582"/>
      <w:r/>
      <w:bookmarkStart w:id="152" w:name="_Toc24878535"/>
      <w:r/>
      <w:bookmarkStart w:id="153" w:name="_Toc513029281"/>
      <w:r/>
      <w:bookmarkStart w:id="154" w:name="_Toc120614291"/>
      <w:r>
        <w:rPr>
          <w:rFonts w:hint="eastAsia" w:ascii="黑体" w:hAnsi="黑体" w:eastAsia="黑体" w:cs="黑体"/>
          <w:b/>
          <w:bCs/>
          <w:i/>
          <w:color w:val="auto"/>
          <w:sz w:val="24"/>
          <w:szCs w:val="24"/>
          <w:highlight w:val="none"/>
          <w:u w:val="single"/>
        </w:rPr>
        <w:t xml:space="preserve">一、法人或者其他组织的营业执照等证明文件，自然人的身份证明</w:t>
      </w:r>
      <w:bookmarkEnd w:id="14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color w:val="auto"/>
          <w:sz w:val="24"/>
          <w:szCs w:val="24"/>
          <w:highlight w:val="none"/>
          <w:u w:val="single"/>
        </w:rPr>
        <w:outlineLvl w:val="1"/>
      </w:pPr>
      <w:r/>
      <w:bookmarkStart w:id="155" w:name="_Toc29087"/>
      <w:r>
        <w:rPr>
          <w:rFonts w:hint="eastAsia" w:ascii="黑体" w:hAnsi="黑体" w:eastAsia="黑体" w:cs="黑体"/>
          <w:b/>
          <w:bCs/>
          <w:i/>
          <w:color w:val="auto"/>
          <w:sz w:val="24"/>
          <w:szCs w:val="24"/>
          <w:highlight w:val="none"/>
          <w:u w:val="single"/>
        </w:rPr>
        <w:t xml:space="preserve">二、上一年度的财务状况报告</w:t>
      </w:r>
      <w:bookmarkEnd w:id="155"/>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56" w:name="_Toc10017"/>
      <w:r>
        <w:rPr>
          <w:rFonts w:hint="eastAsia" w:ascii="黑体" w:hAnsi="黑体" w:eastAsia="黑体" w:cs="黑体"/>
          <w:b/>
          <w:bCs/>
          <w:i/>
          <w:iCs/>
          <w:color w:val="auto"/>
          <w:sz w:val="24"/>
          <w:szCs w:val="24"/>
          <w:highlight w:val="none"/>
          <w:u w:val="single"/>
        </w:rPr>
        <w:t xml:space="preserve">三、依法缴纳税收和社会保障资金的相关材料</w:t>
      </w:r>
      <w:bookmarkEnd w:id="15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57" w:name="_Toc12266"/>
      <w:r>
        <w:rPr>
          <w:rFonts w:hint="eastAsia" w:ascii="黑体" w:hAnsi="黑体" w:eastAsia="黑体" w:cs="黑体"/>
          <w:b/>
          <w:bCs/>
          <w:i/>
          <w:iCs/>
          <w:color w:val="auto"/>
          <w:sz w:val="24"/>
          <w:szCs w:val="24"/>
          <w:highlight w:val="none"/>
          <w:u w:val="single"/>
        </w:rPr>
        <w:t xml:space="preserve">四、具备履行合同所必需的设备和专业技术能力的声明及证明材料</w:t>
      </w:r>
      <w:bookmarkEnd w:id="157"/>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58" w:name="_Toc6869"/>
      <w:r>
        <w:rPr>
          <w:rFonts w:hint="eastAsia" w:ascii="黑体" w:hAnsi="黑体" w:eastAsia="黑体" w:cs="黑体"/>
          <w:b/>
          <w:bCs/>
          <w:i/>
          <w:iCs/>
          <w:color w:val="auto"/>
          <w:sz w:val="24"/>
          <w:szCs w:val="24"/>
          <w:highlight w:val="none"/>
          <w:u w:val="single"/>
        </w:rPr>
        <w:t xml:space="preserve">五、参加政府采购活动前3年内在经营活动中没有重大违法记录的书面声明</w:t>
      </w:r>
      <w:bookmarkEnd w:id="158"/>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59" w:name="_Toc1718"/>
      <w:r>
        <w:rPr>
          <w:rFonts w:hint="eastAsia" w:ascii="黑体" w:hAnsi="黑体" w:eastAsia="黑体" w:cs="黑体"/>
          <w:b/>
          <w:bCs/>
          <w:i/>
          <w:iCs/>
          <w:color w:val="auto"/>
          <w:sz w:val="24"/>
          <w:szCs w:val="24"/>
          <w:highlight w:val="none"/>
          <w:u w:val="single"/>
        </w:rPr>
        <w:t xml:space="preserve">六、法律、行政法规规定的其他条件的证明文件</w:t>
      </w:r>
      <w:bookmarkEnd w:id="159"/>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60" w:name="_Toc18392"/>
      <w:r>
        <w:rPr>
          <w:rFonts w:hint="eastAsia" w:ascii="黑体" w:hAnsi="黑体" w:eastAsia="黑体" w:cs="黑体"/>
          <w:b/>
          <w:bCs/>
          <w:i/>
          <w:iCs/>
          <w:color w:val="auto"/>
          <w:sz w:val="24"/>
          <w:szCs w:val="24"/>
          <w:highlight w:val="none"/>
          <w:u w:val="single"/>
        </w:rPr>
        <w:t xml:space="preserve">七、落实政府采购政策需满足的资格要求的证明文件</w:t>
      </w:r>
      <w:bookmarkEnd w:id="16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61" w:name="_Toc5644"/>
      <w:r>
        <w:rPr>
          <w:rFonts w:hint="eastAsia" w:ascii="黑体" w:hAnsi="黑体" w:eastAsia="黑体" w:cs="黑体"/>
          <w:b/>
          <w:bCs/>
          <w:i/>
          <w:iCs/>
          <w:color w:val="auto"/>
          <w:sz w:val="24"/>
          <w:szCs w:val="24"/>
          <w:highlight w:val="none"/>
          <w:u w:val="single"/>
        </w:rPr>
        <w:t xml:space="preserve">八、特定资格要求的证明文件</w:t>
      </w:r>
      <w:bookmarkEnd w:id="16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bookmarkStart w:id="162" w:name="_Toc22226"/>
      <w:r>
        <w:rPr>
          <w:rFonts w:hint="eastAsia" w:ascii="黑体" w:hAnsi="黑体" w:eastAsia="黑体" w:cs="黑体"/>
          <w:b/>
          <w:bCs/>
          <w:i/>
          <w:iCs/>
          <w:color w:val="auto"/>
          <w:sz w:val="24"/>
          <w:szCs w:val="24"/>
          <w:highlight w:val="none"/>
          <w:u w:val="single"/>
        </w:rPr>
        <w:t xml:space="preserve">九、授权委托书与法定代表人（单位负责人）身份证明</w:t>
      </w:r>
      <w:bookmarkEnd w:id="162"/>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黑体" w:hAnsi="黑体" w:eastAsia="黑体" w:cs="黑体"/>
          <w:b/>
          <w:bCs/>
          <w:i/>
          <w:color w:val="auto"/>
          <w:sz w:val="24"/>
          <w:szCs w:val="24"/>
          <w:highlight w:val="none"/>
          <w:u w:val="single"/>
        </w:rPr>
        <w:outlineLvl w:val="1"/>
      </w:pPr>
      <w:r/>
      <w:bookmarkStart w:id="163" w:name="_Toc12750"/>
      <w:r>
        <w:rPr>
          <w:rFonts w:hint="eastAsia" w:ascii="黑体" w:hAnsi="黑体" w:eastAsia="黑体" w:cs="黑体"/>
          <w:b/>
          <w:bCs/>
          <w:i/>
          <w:iCs/>
          <w:color w:val="auto"/>
          <w:sz w:val="24"/>
          <w:szCs w:val="24"/>
          <w:highlight w:val="none"/>
          <w:u w:val="single"/>
        </w:rPr>
        <w:t xml:space="preserve">十、磋商响应函</w:t>
      </w:r>
      <w:bookmarkEnd w:id="163"/>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1.按磋商文件规定的各项要求，向买方提供所需货物（包含与货物相关的工程、服务）。</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360" w:after="200" w:line="360" w:lineRule="auto"/>
        <w:rPr>
          <w:rFonts w:hint="eastAsia" w:ascii="Arial" w:hAnsi="Arial" w:eastAsia="宋体" w:cs="Arial"/>
          <w:b/>
          <w:bCs/>
          <w:sz w:val="24"/>
          <w:szCs w:val="24"/>
        </w:rPr>
        <w:sectPr>
          <w:headerReference w:type="default" r:id="rId12"/>
          <w:footerReference w:type="default" r:id="rId17"/>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b/>
          <w:bCs/>
          <w:sz w:val="24"/>
          <w:szCs w:val="24"/>
        </w:rPr>
      </w:r>
      <w:r/>
    </w:p>
    <w:p>
      <w:pPr>
        <w:jc w:val="left"/>
        <w:keepLines/>
        <w:keepNext/>
        <w:spacing w:before="360" w:after="200" w:line="360" w:lineRule="auto"/>
        <w:rPr>
          <w:rFonts w:ascii="Arial" w:hAnsi="Arial" w:eastAsia="宋体" w:cs="Arial"/>
          <w:b w:val="0"/>
          <w:bCs w:val="0"/>
          <w:sz w:val="24"/>
          <w:szCs w:val="24"/>
        </w:rPr>
        <w:outlineLvl w:val="1"/>
      </w:pPr>
      <w:r/>
      <w:bookmarkStart w:id="164" w:name="_Toc10917"/>
      <w:r>
        <w:rPr>
          <w:rFonts w:hint="eastAsia" w:ascii="Arial" w:hAnsi="Arial" w:eastAsia="宋体" w:cs="Arial"/>
          <w:b w:val="0"/>
          <w:bCs w:val="0"/>
          <w:sz w:val="24"/>
          <w:szCs w:val="24"/>
        </w:rPr>
        <w:t xml:space="preserve">十一、中小企业声明函（服务）</w:t>
      </w:r>
      <w:bookmarkEnd w:id="164"/>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hint="eastAsia" w:ascii="Arial" w:hAnsi="Arial" w:eastAsia="宋体" w:cs="Arial"/>
          <w:sz w:val="36"/>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sz w:val="36"/>
        </w:rPr>
      </w:r>
      <w:r/>
    </w:p>
    <w:p>
      <w:pPr>
        <w:jc w:val="left"/>
        <w:keepLines/>
        <w:keepNext/>
        <w:spacing w:before="360" w:after="200" w:line="360" w:lineRule="auto"/>
        <w:rPr>
          <w:rFonts w:hint="eastAsia" w:ascii="Arial" w:hAnsi="Arial" w:eastAsia="宋体" w:cs="Arial"/>
          <w:b w:val="0"/>
          <w:bCs w:val="0"/>
          <w:sz w:val="24"/>
          <w:szCs w:val="24"/>
        </w:rPr>
        <w:outlineLvl w:val="1"/>
      </w:pPr>
      <w:r/>
      <w:bookmarkStart w:id="165" w:name="_Toc15793"/>
      <w:r>
        <w:rPr>
          <w:rFonts w:hint="eastAsia" w:ascii="Arial" w:hAnsi="Arial" w:eastAsia="宋体" w:cs="Arial"/>
          <w:b w:val="0"/>
          <w:bCs w:val="0"/>
          <w:sz w:val="24"/>
          <w:szCs w:val="24"/>
        </w:rPr>
        <w:t xml:space="preserve">十二、残疾人福利性单位声明函</w:t>
      </w:r>
      <w:bookmarkEnd w:id="165"/>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）采购活动由本单位提供全部服务。</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w:t>
      </w:r>
      <w:r>
        <w:rPr>
          <w:rFonts w:hint="eastAsia" w:ascii="宋体" w:hAnsi="宋体" w:eastAsia="宋体" w:cs="宋体"/>
          <w:bCs/>
          <w:sz w:val="21"/>
          <w:szCs w:val="21"/>
        </w:rPr>
        <w:t xml:space="preserve">所填内容将作为评审的依据</w:t>
      </w:r>
      <w:r>
        <w:rPr>
          <w:rFonts w:hint="eastAsia" w:ascii="宋体" w:hAnsi="宋体" w:eastAsia="宋体" w:cs="宋体"/>
          <w:sz w:val="21"/>
          <w:szCs w:val="21"/>
        </w:rPr>
        <w:t xml:space="preserve">，如填写不完整或不一致或填写有误，将不享受扶持政策。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2、成交供应商的《残疾人福利性单位声明函》随成交结果公开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val="0"/>
          <w:iCs w:val="0"/>
          <w:sz w:val="24"/>
          <w:szCs w:val="24"/>
          <w:u w:val="none"/>
        </w:rPr>
        <w:outlineLvl w:val="1"/>
      </w:pPr>
      <w:r/>
      <w:bookmarkStart w:id="166" w:name="_Toc31494"/>
      <w:r>
        <w:rPr>
          <w:rFonts w:hint="eastAsia" w:ascii="Arial" w:hAnsi="Arial" w:eastAsia="宋体" w:cs="Arial"/>
          <w:i w:val="0"/>
          <w:iCs w:val="0"/>
          <w:sz w:val="24"/>
          <w:szCs w:val="24"/>
          <w:u w:val="none"/>
        </w:rPr>
        <w:t xml:space="preserve">十</w:t>
      </w:r>
      <w:r>
        <w:rPr>
          <w:rFonts w:hint="eastAsia" w:ascii="Arial" w:hAnsi="Arial" w:cs="Arial"/>
          <w:i w:val="0"/>
          <w:iCs w:val="0"/>
          <w:sz w:val="24"/>
          <w:szCs w:val="24"/>
          <w:u w:val="none"/>
          <w:lang w:val="en-US" w:eastAsia="zh-CN"/>
        </w:rPr>
        <w:t xml:space="preserve">三</w:t>
      </w:r>
      <w:r>
        <w:rPr>
          <w:rFonts w:hint="eastAsia" w:ascii="Arial" w:hAnsi="Arial" w:eastAsia="宋体" w:cs="Arial"/>
          <w:i w:val="0"/>
          <w:iCs w:val="0"/>
          <w:sz w:val="24"/>
          <w:szCs w:val="24"/>
          <w:u w:val="none"/>
        </w:rPr>
        <w:t xml:space="preserve">、报价表</w:t>
      </w:r>
      <w:bookmarkEnd w:id="166"/>
      <w:r/>
      <w:r/>
    </w:p>
    <w:p>
      <w:pPr>
        <w:ind w:firstLine="42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                                   （格式自拟）</w:t>
      </w:r>
      <w:r/>
    </w:p>
    <w:p>
      <w:pPr>
        <w:pStyle w:val="841"/>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41"/>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r/>
    </w:p>
    <w:p>
      <w:pPr>
        <w:jc w:val="left"/>
        <w:keepLines/>
        <w:keepNext/>
        <w:spacing w:before="360" w:after="200" w:line="360" w:lineRule="auto"/>
        <w:rPr>
          <w:rFonts w:hint="eastAsia" w:ascii="黑体" w:hAnsi="黑体" w:eastAsia="黑体" w:cs="黑体"/>
          <w:b/>
          <w:bCs/>
          <w:i/>
          <w:iCs/>
          <w:sz w:val="24"/>
          <w:szCs w:val="24"/>
          <w:u w:val="single"/>
        </w:rPr>
        <w:outlineLvl w:val="1"/>
      </w:pPr>
      <w:r/>
      <w:bookmarkStart w:id="167" w:name="_Toc21001"/>
      <w:r>
        <w:rPr>
          <w:rFonts w:hint="eastAsia" w:ascii="黑体" w:hAnsi="黑体" w:eastAsia="黑体" w:cs="黑体"/>
          <w:b/>
          <w:bCs/>
          <w:i/>
          <w:iCs/>
          <w:sz w:val="24"/>
          <w:szCs w:val="24"/>
          <w:u w:val="single"/>
        </w:rPr>
        <w:t xml:space="preserve">十</w:t>
      </w:r>
      <w:r>
        <w:rPr>
          <w:rFonts w:hint="eastAsia" w:ascii="黑体" w:hAnsi="黑体" w:eastAsia="黑体" w:cs="黑体"/>
          <w:b/>
          <w:bCs/>
          <w:i/>
          <w:iCs/>
          <w:sz w:val="24"/>
          <w:szCs w:val="24"/>
          <w:u w:val="single"/>
          <w:lang w:val="en-US" w:eastAsia="zh-CN"/>
        </w:rPr>
        <w:t xml:space="preserve">四</w:t>
      </w:r>
      <w:r>
        <w:rPr>
          <w:rFonts w:hint="eastAsia" w:ascii="黑体" w:hAnsi="黑体" w:eastAsia="黑体" w:cs="黑体"/>
          <w:b/>
          <w:bCs/>
          <w:i/>
          <w:iCs/>
          <w:sz w:val="24"/>
          <w:szCs w:val="24"/>
          <w:u w:val="single"/>
        </w:rPr>
        <w:t xml:space="preserve">、技术要求响应及偏离表</w:t>
      </w:r>
      <w:bookmarkEnd w:id="167"/>
      <w:r/>
      <w:r/>
    </w:p>
    <w:p>
      <w:pPr>
        <w:jc w:val="center"/>
        <w:spacing w:line="360" w:lineRule="auto"/>
        <w:tabs>
          <w:tab w:val="left" w:pos="360" w:leader="none"/>
        </w:tabs>
        <w:rPr>
          <w:rFonts w:ascii="黑体" w:hAnsi="黑体" w:eastAsia="黑体" w:cs="宋体"/>
          <w:bCs/>
          <w:sz w:val="21"/>
          <w:szCs w:val="21"/>
        </w:rPr>
      </w:pPr>
      <w:r>
        <w:rPr>
          <w:rFonts w:hint="eastAsia" w:ascii="黑体" w:hAnsi="黑体" w:eastAsia="黑体" w:cs="宋体"/>
          <w:bCs/>
          <w:sz w:val="21"/>
          <w:szCs w:val="21"/>
        </w:rPr>
        <w:t xml:space="preserve">技术要求响应及偏离表</w:t>
      </w:r>
      <w:r/>
    </w:p>
    <w:p>
      <w:pPr>
        <w:jc w:val="left"/>
        <w:spacing w:line="360" w:lineRule="auto"/>
        <w:rPr>
          <w:rFonts w:ascii="Arial" w:hAnsi="Arial" w:eastAsia="宋体" w:cs="Arial"/>
          <w:sz w:val="21"/>
          <w:szCs w:val="21"/>
        </w:rPr>
      </w:pPr>
      <w:r>
        <w:rPr>
          <w:rFonts w:hint="eastAsia" w:ascii="宋体" w:hAnsi="宋体" w:eastAsia="宋体" w:cs="方正仿宋_GBK"/>
          <w:color w:val="000000"/>
          <w:sz w:val="21"/>
          <w:szCs w:val="21"/>
        </w:rPr>
        <w:t xml:space="preserve">项目名称：      项目编号：    </w:t>
      </w:r>
      <w:r>
        <w:rPr>
          <w:rFonts w:ascii="宋体" w:hAnsi="宋体" w:eastAsia="宋体" w:cs="Times New Roman"/>
          <w:bCs/>
          <w:color w:val="000000"/>
          <w:sz w:val="21"/>
          <w:szCs w:val="21"/>
        </w:rPr>
        <w:t xml:space="preserve"> </w:t>
      </w:r>
      <w:r/>
    </w:p>
    <w:tbl>
      <w:tblPr>
        <w:tblStyle w:val="78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响应情况</w:t>
            </w:r>
            <w:r/>
          </w:p>
        </w:tc>
        <w:tc>
          <w:tcPr>
            <w:tcW w:w="139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bl>
    <w:p>
      <w:pPr>
        <w:ind w:firstLine="420"/>
        <w:spacing w:line="500" w:lineRule="exact"/>
        <w:rPr>
          <w:rFonts w:ascii="宋体" w:hAnsi="宋体" w:eastAsia="宋体" w:cs="Times New Roman"/>
          <w:color w:val="000000"/>
          <w:sz w:val="21"/>
          <w:szCs w:val="21"/>
        </w:rPr>
      </w:pPr>
      <w:r>
        <w:rPr>
          <w:rFonts w:ascii="宋体" w:hAnsi="宋体" w:eastAsia="宋体" w:cs="Times New Roman"/>
          <w:color w:val="000000"/>
          <w:sz w:val="21"/>
          <w:szCs w:val="21"/>
        </w:rPr>
      </w:r>
      <w:r/>
    </w:p>
    <w:p>
      <w:pPr>
        <w:ind w:firstLine="420"/>
        <w:spacing w:line="500" w:lineRule="exact"/>
        <w:rPr>
          <w:rFonts w:ascii="宋体" w:hAnsi="宋体" w:eastAsia="宋体" w:cs="Times New Roman"/>
          <w:color w:val="000000"/>
          <w:sz w:val="21"/>
          <w:szCs w:val="21"/>
        </w:rPr>
      </w:pPr>
      <w:r>
        <w:rPr>
          <w:rFonts w:ascii="宋体" w:hAnsi="宋体" w:eastAsia="宋体" w:cs="Times New Roman"/>
          <w:color w:val="000000"/>
          <w:sz w:val="21"/>
          <w:szCs w:val="21"/>
        </w:rPr>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供应商（盖章）：</w:t>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法定代表人</w:t>
      </w:r>
      <w:r>
        <w:rPr>
          <w:rFonts w:ascii="Calibri" w:hAnsi="Calibri" w:eastAsia="宋体" w:cs="Times New Roman"/>
          <w:sz w:val="21"/>
          <w:szCs w:val="21"/>
        </w:rPr>
        <w:t xml:space="preserve">（单位负责人）</w:t>
      </w:r>
      <w:r>
        <w:rPr>
          <w:rFonts w:hint="eastAsia" w:ascii="Times New Roman" w:hAnsi="Times New Roman" w:eastAsia="宋体" w:cs="Times New Roman"/>
          <w:color w:val="000000"/>
          <w:sz w:val="21"/>
          <w:szCs w:val="21"/>
        </w:rPr>
        <w:t xml:space="preserve">或委托代理人（签字或盖章）：</w:t>
      </w:r>
      <w:r/>
    </w:p>
    <w:p>
      <w:pPr>
        <w:ind w:firstLine="420"/>
        <w:spacing w:line="500" w:lineRule="exact"/>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日期：    年     月     日</w:t>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bookmarkStart w:id="168" w:name="_Hlt26955054"/>
      <w:r/>
      <w:bookmarkEnd w:id="168"/>
      <w:r/>
      <w:r/>
    </w:p>
    <w:p>
      <w:pPr>
        <w:jc w:val="left"/>
        <w:keepLines/>
        <w:keepNext/>
        <w:spacing w:before="360" w:after="200" w:line="360" w:lineRule="auto"/>
        <w:rPr>
          <w:rFonts w:hint="eastAsia" w:ascii="黑体" w:hAnsi="黑体" w:eastAsia="黑体" w:cs="黑体"/>
          <w:b/>
          <w:bCs/>
          <w:i/>
          <w:iCs/>
          <w:sz w:val="24"/>
          <w:szCs w:val="24"/>
          <w:u w:val="single"/>
        </w:rPr>
        <w:outlineLvl w:val="1"/>
      </w:pPr>
      <w:r/>
      <w:bookmarkStart w:id="169" w:name="_Toc2217"/>
      <w:r>
        <w:rPr>
          <w:rFonts w:hint="eastAsia" w:ascii="黑体" w:hAnsi="黑体" w:eastAsia="黑体" w:cs="黑体"/>
          <w:b/>
          <w:bCs/>
          <w:i/>
          <w:iCs/>
          <w:sz w:val="24"/>
          <w:szCs w:val="24"/>
          <w:u w:val="single"/>
        </w:rPr>
        <w:t xml:space="preserve">十</w:t>
      </w:r>
      <w:r>
        <w:rPr>
          <w:rFonts w:hint="eastAsia" w:ascii="黑体" w:hAnsi="黑体" w:eastAsia="黑体" w:cs="黑体"/>
          <w:b/>
          <w:bCs/>
          <w:i/>
          <w:iCs/>
          <w:sz w:val="24"/>
          <w:szCs w:val="24"/>
          <w:u w:val="single"/>
          <w:lang w:val="en-US" w:eastAsia="zh-CN"/>
        </w:rPr>
        <w:t xml:space="preserve">五</w:t>
      </w:r>
      <w:r>
        <w:rPr>
          <w:rFonts w:hint="eastAsia" w:ascii="黑体" w:hAnsi="黑体" w:eastAsia="黑体" w:cs="黑体"/>
          <w:b/>
          <w:bCs/>
          <w:i/>
          <w:iCs/>
          <w:sz w:val="24"/>
          <w:szCs w:val="24"/>
          <w:u w:val="single"/>
        </w:rPr>
        <w:t xml:space="preserve">、商务要求响应及偏离表</w:t>
      </w:r>
      <w:bookmarkEnd w:id="169"/>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786"/>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113"/>
      </w:tblGrid>
      <w:tr>
        <w:trPr>
          <w:cantSplit/>
          <w:trHeight w:val="412"/>
        </w:trPr>
        <w:tc>
          <w:tcPr>
            <w:tcW w:w="817" w:type="dxa"/>
            <w:vAlign w:val="center"/>
            <w:textDirection w:val="lrTb"/>
            <w:noWrap w:val="false"/>
          </w:tcPr>
          <w:p>
            <w:pPr>
              <w:jc w:val="center"/>
              <w:rPr>
                <w:rFonts w:hint="eastAsia" w:ascii="宋体" w:hAnsi="宋体" w:eastAsia="宋体" w:cs="宋体"/>
                <w:color w:val="000000"/>
                <w:sz w:val="21"/>
                <w:szCs w:val="21"/>
              </w:rPr>
            </w:pPr>
            <w:r/>
            <w:bookmarkStart w:id="170" w:name="_Hlt26671372"/>
            <w:r/>
            <w:bookmarkEnd w:id="170"/>
            <w:r/>
            <w:bookmarkStart w:id="171" w:name="_Hlt26955064"/>
            <w:r/>
            <w:bookmarkEnd w:id="171"/>
            <w:r/>
            <w:bookmarkStart w:id="172" w:name="_Hlt26580838"/>
            <w:r/>
            <w:bookmarkEnd w:id="172"/>
            <w:r/>
            <w:bookmarkStart w:id="173" w:name="_Hlt24879081"/>
            <w:r/>
            <w:bookmarkEnd w:id="173"/>
            <w:r/>
            <w:bookmarkStart w:id="174" w:name="_Hlt26782999"/>
            <w:r/>
            <w:bookmarkEnd w:id="174"/>
            <w:r/>
            <w:bookmarkStart w:id="175" w:name="_Hlt26609391"/>
            <w:r/>
            <w:bookmarkEnd w:id="175"/>
            <w:r/>
            <w:bookmarkStart w:id="176" w:name="_Hlt26955056"/>
            <w:r/>
            <w:bookmarkEnd w:id="176"/>
            <w:r/>
            <w:bookmarkStart w:id="177" w:name="_Hlt26671343"/>
            <w:r/>
            <w:bookmarkEnd w:id="177"/>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r/>
    </w:p>
    <w:p>
      <w:pPr>
        <w:jc w:val="left"/>
        <w:keepLines/>
        <w:keepNext/>
        <w:spacing w:before="360" w:after="200" w:line="360" w:lineRule="auto"/>
        <w:rPr>
          <w:rFonts w:ascii="Arial" w:hAnsi="Arial" w:eastAsia="宋体" w:cs="Arial"/>
          <w:iCs/>
          <w:sz w:val="24"/>
          <w:szCs w:val="24"/>
        </w:rPr>
        <w:outlineLvl w:val="1"/>
      </w:pPr>
      <w:r/>
      <w:bookmarkStart w:id="178" w:name="_Toc24523"/>
      <w:r>
        <w:rPr>
          <w:rFonts w:hint="eastAsia" w:ascii="Arial" w:hAnsi="Arial" w:eastAsia="宋体" w:cs="Arial"/>
          <w:iCs/>
          <w:sz w:val="24"/>
          <w:szCs w:val="24"/>
        </w:rPr>
        <w:t xml:space="preserve">十</w:t>
      </w:r>
      <w:r>
        <w:rPr>
          <w:rFonts w:hint="eastAsia" w:ascii="Arial" w:hAnsi="Arial" w:cs="Arial"/>
          <w:iCs/>
          <w:sz w:val="24"/>
          <w:szCs w:val="24"/>
          <w:lang w:val="en-US" w:eastAsia="zh-CN"/>
        </w:rPr>
        <w:t xml:space="preserve">六</w:t>
      </w:r>
      <w:r>
        <w:rPr>
          <w:rFonts w:hint="eastAsia" w:ascii="Arial" w:hAnsi="Arial" w:eastAsia="宋体" w:cs="Arial"/>
          <w:iCs/>
          <w:sz w:val="24"/>
          <w:szCs w:val="24"/>
        </w:rPr>
        <w:t xml:space="preserve">、类似项目业绩一览表</w:t>
      </w:r>
      <w:bookmarkEnd w:id="178"/>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78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Height w:val="457"/>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r/>
      <w:r/>
    </w:p>
    <w:p>
      <w:r/>
      <w:r/>
    </w:p>
    <w:p>
      <w:pPr>
        <w:jc w:val="center"/>
        <w:rPr>
          <w:rFonts w:hint="eastAsia" w:ascii="黑体" w:hAnsi="黑体" w:eastAsia="黑体" w:cs="仿宋"/>
          <w:bCs/>
          <w:color w:val="auto"/>
          <w:sz w:val="40"/>
          <w:szCs w:val="32"/>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Cs/>
          <w:sz w:val="24"/>
        </w:rPr>
      </w:pPr>
      <w:r>
        <w:rPr>
          <w:rFonts w:ascii="宋体" w:hAnsi="宋体"/>
          <w:bCs/>
          <w:sz w:val="24"/>
        </w:rPr>
      </w:r>
      <w:r/>
    </w:p>
    <w:p>
      <w:pPr>
        <w:pStyle w:val="778"/>
        <w:rPr>
          <w:rFonts w:ascii="宋体" w:hAnsi="宋体"/>
          <w:sz w:val="24"/>
          <w:szCs w:val="24"/>
        </w:rPr>
      </w:pPr>
      <w:r>
        <w:rPr>
          <w:rFonts w:ascii="宋体" w:hAnsi="宋体"/>
          <w:sz w:val="24"/>
          <w:szCs w:val="24"/>
        </w:rPr>
      </w:r>
      <w:r/>
    </w:p>
    <w:p>
      <w:r/>
      <w:r/>
    </w:p>
    <w:p>
      <w:pPr>
        <w:keepLines/>
        <w:keepNext/>
        <w:rPr>
          <w:rFonts w:ascii="Arial" w:hAnsi="Arial" w:eastAsia="黑体"/>
          <w:b/>
          <w:bCs/>
          <w:sz w:val="24"/>
          <w:szCs w:val="32"/>
        </w:rPr>
        <w:outlineLvl w:val="1"/>
      </w:pPr>
      <w:r>
        <w:rPr>
          <w:rFonts w:ascii="Arial" w:hAnsi="Arial" w:eastAsia="黑体"/>
          <w:b/>
          <w:bCs/>
          <w:sz w:val="24"/>
          <w:szCs w:val="32"/>
        </w:rPr>
      </w:r>
      <w:bookmarkEnd w:id="147"/>
      <w:bookmarkEnd w:id="148"/>
      <w:bookmarkEnd w:id="149"/>
      <w:bookmarkEnd w:id="150"/>
      <w:bookmarkEnd w:id="151"/>
      <w:bookmarkEnd w:id="152"/>
      <w:bookmarkEnd w:id="153"/>
      <w:bookmarkEnd w:id="154"/>
      <w:r/>
    </w:p>
    <w:p>
      <w:pPr>
        <w:keepLines/>
        <w:keepNext/>
        <w:rPr>
          <w:rFonts w:ascii="Arial" w:hAnsi="Arial" w:eastAsia="黑体"/>
          <w:b/>
          <w:bCs/>
          <w:sz w:val="24"/>
          <w:szCs w:val="32"/>
        </w:rPr>
        <w:outlineLvl w:val="1"/>
      </w:pPr>
      <w:r>
        <w:rPr>
          <w:rFonts w:ascii="Arial" w:hAnsi="Arial" w:eastAsia="黑体"/>
          <w:b/>
          <w:bCs/>
          <w:sz w:val="24"/>
          <w:szCs w:val="32"/>
        </w:rPr>
      </w:r>
      <w:r/>
    </w:p>
    <w:sectPr>
      <w:headerReference w:type="default" r:id="rId13"/>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华文新魏">
    <w:panose1 w:val="02010800040101010101"/>
  </w:font>
  <w:font w:name="华康简楷">
    <w:panose1 w:val="020B0503020202020204"/>
  </w:font>
  <w:font w:name="文鼎中隶简">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仿宋_GBK">
    <w:panose1 w:val="020B050302020202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7"/>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6"/>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pPr>
      <w:pStyle w:val="806"/>
      <w:ind w:firstLine="369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7"/>
      </w:rPr>
      <w:framePr w:wrap="around" w:vAnchor="text" w:hAnchor="margin" w:xAlign="center" w:y="1"/>
    </w:pPr>
    <w:r>
      <w:fldChar w:fldCharType="begin"/>
    </w:r>
    <w:r>
      <w:rPr>
        <w:rStyle w:val="827"/>
      </w:rPr>
      <w:instrText xml:space="preserve"> PAGE   \* MERGEFORMAT </w:instrText>
    </w:r>
    <w:r>
      <w:fldChar w:fldCharType="separate"/>
    </w:r>
    <w:r>
      <w:rPr>
        <w:rStyle w:val="827"/>
        <w:lang w:val="zh-CN"/>
      </w:rPr>
      <w:t xml:space="preserve">55</w:t>
    </w:r>
    <w:r>
      <w:fldChar w:fldCharType="end"/>
    </w:r>
    <w:r/>
  </w:p>
  <w:p>
    <w:pPr>
      <w:pStyle w:val="8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7"/>
      </w:rPr>
      <w:framePr w:wrap="around" w:vAnchor="text" w:hAnchor="margin" w:xAlign="center" w:y="1"/>
    </w:pPr>
    <w:r>
      <w:fldChar w:fldCharType="begin"/>
    </w:r>
    <w:r>
      <w:rPr>
        <w:rStyle w:val="827"/>
      </w:rPr>
      <w:instrText xml:space="preserve"> PAGE   \* MERGEFORMAT </w:instrText>
    </w:r>
    <w:r>
      <w:fldChar w:fldCharType="separate"/>
    </w:r>
    <w:r>
      <w:rPr>
        <w:rStyle w:val="827"/>
        <w:lang w:val="zh-CN"/>
      </w:rPr>
      <w:t xml:space="preserve">55</w:t>
    </w:r>
    <w:r>
      <w:fldChar w:fldCharType="end"/>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Pr>
    <w:r>
      <w:rPr>
        <w:rFonts w:hint="eastAsia"/>
        <w:i/>
        <w:color w:val="000000"/>
        <w:lang w:eastAsia="zh-CN"/>
      </w:rPr>
      <w:t xml:space="preserve">连云港出入境边防检查站零星维修项目供应商遴选</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Pr>
    <w:r>
      <w:rPr>
        <w:rFonts w:hint="eastAsia"/>
        <w:i/>
        <w:color w:val="000000"/>
        <w:lang w:eastAsia="zh-CN"/>
      </w:rPr>
      <w:t xml:space="preserve">连云港出入境边防检查站零星维修项目供应商遴选</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Pr>
    <w:r>
      <w:rPr>
        <w:rFonts w:hint="eastAsia"/>
        <w:i/>
        <w:color w:val="000000"/>
        <w:lang w:eastAsia="zh-CN"/>
      </w:rPr>
      <w:t xml:space="preserve">连云港出入境边防检查站零星维修项目供应商遴选</w:t>
    </w:r>
    <w:r>
      <w:rPr>
        <w:rFonts w:hint="eastAsia"/>
        <w:i/>
        <w:color w:val="000000"/>
      </w:rPr>
      <w:t xml:space="preserve">竞争性磋商采购文件</w:t>
    </w:r>
    <w:r/>
  </w:p>
  <w:p>
    <w:pPr>
      <w:pStyle w:val="807"/>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tabs>
        <w:tab w:val="left" w:pos="3480" w:leader="none"/>
        <w:tab w:val="clear" w:pos="4153" w:leader="none"/>
        <w:tab w:val="clear" w:pos="8306" w:leader="none"/>
      </w:tabs>
      <w:rPr>
        <w:i/>
        <w:color w:val="000000"/>
      </w:rPr>
    </w:pPr>
    <w:r>
      <w:rPr>
        <w:rFonts w:hint="eastAsia"/>
        <w:i/>
        <w:color w:val="000000"/>
        <w:lang w:eastAsia="zh-CN"/>
      </w:rPr>
      <w:t xml:space="preserve">国家级零碳园区（连云港板桥工业园）申报书</w:t>
    </w:r>
    <w:r>
      <w:rPr>
        <w:rFonts w:hint="eastAsia"/>
        <w:i/>
        <w:color w:val="000000"/>
      </w:rPr>
      <w:t xml:space="preserve">竞争性磋商采购文件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tabs>
        <w:tab w:val="left" w:pos="3480" w:leader="none"/>
        <w:tab w:val="clear" w:pos="4153" w:leader="none"/>
        <w:tab w:val="clear" w:pos="8306" w:leader="none"/>
      </w:tabs>
      <w:rPr>
        <w:i/>
        <w:color w:val="000000"/>
      </w:rPr>
    </w:pPr>
    <w:r>
      <w:rPr>
        <w:rFonts w:hint="eastAsia"/>
        <w:i/>
        <w:color w:val="000000"/>
        <w:lang w:eastAsia="zh-CN"/>
      </w:rPr>
      <w:t xml:space="preserve">连云港出入境边防检查站零星维修项目供应商遴选</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name w:val="Heading 1"/>
    <w:basedOn w:val="775"/>
    <w:next w:val="775"/>
    <w:link w:val="1003"/>
    <w:uiPriority w:val="0"/>
    <w:qFormat/>
    <w:pPr>
      <w:keepNext/>
      <w:outlineLvl w:val="0"/>
    </w:pPr>
    <w:rPr>
      <w:rFonts w:ascii="楷体_GB2312" w:eastAsia="楷体_GB2312"/>
      <w:sz w:val="28"/>
      <w:szCs w:val="20"/>
    </w:rPr>
  </w:style>
  <w:style w:type="paragraph" w:styleId="777">
    <w:name w:val="Heading 2"/>
    <w:basedOn w:val="775"/>
    <w:next w:val="775"/>
    <w:link w:val="1016"/>
    <w:uiPriority w:val="0"/>
    <w:qFormat/>
    <w:pPr>
      <w:jc w:val="center"/>
      <w:keepLines/>
      <w:keepNext/>
      <w:spacing w:before="260" w:after="260" w:line="415" w:lineRule="auto"/>
      <w:outlineLvl w:val="1"/>
    </w:pPr>
    <w:rPr>
      <w:rFonts w:ascii="Arial" w:hAnsi="Arial" w:eastAsia="幼圆"/>
      <w:b/>
      <w:sz w:val="44"/>
      <w:szCs w:val="20"/>
    </w:rPr>
  </w:style>
  <w:style w:type="paragraph" w:styleId="778">
    <w:name w:val="Heading 3"/>
    <w:basedOn w:val="775"/>
    <w:next w:val="775"/>
    <w:link w:val="1005"/>
    <w:uiPriority w:val="0"/>
    <w:qFormat/>
    <w:pPr>
      <w:keepLines/>
      <w:keepNext/>
      <w:spacing w:before="260" w:after="260" w:line="415" w:lineRule="auto"/>
      <w:outlineLvl w:val="2"/>
    </w:pPr>
    <w:rPr>
      <w:b/>
      <w:sz w:val="32"/>
      <w:szCs w:val="20"/>
    </w:rPr>
  </w:style>
  <w:style w:type="paragraph" w:styleId="779">
    <w:name w:val="Heading 4"/>
    <w:basedOn w:val="775"/>
    <w:next w:val="775"/>
    <w:link w:val="1002"/>
    <w:uiPriority w:val="0"/>
    <w:qFormat/>
    <w:pPr>
      <w:keepLines/>
      <w:keepNext/>
      <w:spacing w:before="280" w:after="290" w:line="376" w:lineRule="auto"/>
      <w:outlineLvl w:val="3"/>
    </w:pPr>
    <w:rPr>
      <w:rFonts w:ascii="Arial" w:hAnsi="Arial" w:eastAsia="黑体"/>
      <w:b/>
      <w:bCs/>
      <w:sz w:val="28"/>
      <w:szCs w:val="28"/>
    </w:rPr>
  </w:style>
  <w:style w:type="paragraph" w:styleId="780">
    <w:name w:val="Heading 5"/>
    <w:basedOn w:val="775"/>
    <w:next w:val="775"/>
    <w:link w:val="999"/>
    <w:uiPriority w:val="0"/>
    <w:qFormat/>
    <w:pPr>
      <w:keepNext/>
      <w:outlineLvl w:val="4"/>
    </w:pPr>
    <w:rPr>
      <w:rFonts w:ascii="宋体"/>
      <w:b/>
      <w:bCs/>
    </w:rPr>
  </w:style>
  <w:style w:type="paragraph" w:styleId="781">
    <w:name w:val="Heading 6"/>
    <w:basedOn w:val="775"/>
    <w:next w:val="775"/>
    <w:link w:val="848"/>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50"/>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51"/>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0"/>
    <w:qFormat/>
    <w:pPr>
      <w:ind w:left="1200"/>
    </w:pPr>
  </w:style>
  <w:style w:type="paragraph" w:styleId="788">
    <w:name w:val="Normal Indent"/>
    <w:basedOn w:val="775"/>
    <w:next w:val="775"/>
    <w:uiPriority w:val="0"/>
    <w:qFormat/>
    <w:pPr>
      <w:ind w:firstLine="420"/>
    </w:pPr>
    <w:rPr>
      <w:szCs w:val="20"/>
    </w:rPr>
  </w:style>
  <w:style w:type="paragraph" w:styleId="789">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Document Map"/>
    <w:basedOn w:val="775"/>
    <w:link w:val="1006"/>
    <w:uiPriority w:val="0"/>
    <w:qFormat/>
    <w:pPr>
      <w:shd w:val="clear" w:color="auto" w:fill="000080"/>
    </w:pPr>
  </w:style>
  <w:style w:type="paragraph" w:styleId="791">
    <w:name w:val="annotation text"/>
    <w:basedOn w:val="775"/>
    <w:link w:val="997"/>
    <w:uiPriority w:val="0"/>
    <w:qFormat/>
    <w:pPr>
      <w:jc w:val="left"/>
    </w:pPr>
  </w:style>
  <w:style w:type="paragraph" w:styleId="792">
    <w:name w:val="Body Text 3"/>
    <w:basedOn w:val="775"/>
    <w:link w:val="1014"/>
    <w:uiPriority w:val="0"/>
    <w:qFormat/>
    <w:rPr>
      <w:rFonts w:ascii="仿宋_GB2312" w:eastAsia="仿宋_GB2312"/>
      <w:sz w:val="32"/>
      <w:szCs w:val="20"/>
    </w:rPr>
  </w:style>
  <w:style w:type="paragraph" w:styleId="793">
    <w:name w:val="Body Text"/>
    <w:basedOn w:val="775"/>
    <w:link w:val="1017"/>
    <w:uiPriority w:val="0"/>
    <w:qFormat/>
    <w:rPr>
      <w:rFonts w:ascii="楷体_GB2312" w:eastAsia="楷体_GB2312"/>
      <w:sz w:val="28"/>
      <w:szCs w:val="20"/>
    </w:rPr>
  </w:style>
  <w:style w:type="paragraph" w:styleId="794">
    <w:name w:val="Body Text Indent"/>
    <w:basedOn w:val="775"/>
    <w:next w:val="795"/>
    <w:link w:val="1010"/>
    <w:uiPriority w:val="0"/>
    <w:qFormat/>
    <w:pPr>
      <w:ind w:firstLine="645"/>
    </w:pPr>
    <w:rPr>
      <w:rFonts w:ascii="楷体_GB2312" w:eastAsia="楷体_GB2312"/>
      <w:sz w:val="32"/>
      <w:szCs w:val="20"/>
    </w:rPr>
  </w:style>
  <w:style w:type="paragraph" w:styleId="795">
    <w:name w:val="envelope return"/>
    <w:basedOn w:val="775"/>
    <w:uiPriority w:val="99"/>
    <w:unhideWhenUsed/>
    <w:qFormat/>
    <w:rPr>
      <w:rFonts w:ascii="Arial" w:hAnsi="Arial" w:cs="Arial"/>
    </w:rPr>
  </w:style>
  <w:style w:type="paragraph" w:styleId="796">
    <w:name w:val="Block Text"/>
    <w:basedOn w:val="775"/>
    <w:next w:val="775"/>
    <w:uiPriority w:val="0"/>
    <w:unhideWhenUsed/>
    <w:qFormat/>
    <w:pPr>
      <w:ind w:left="420" w:right="33"/>
    </w:pPr>
    <w:rPr>
      <w:sz w:val="24"/>
    </w:rPr>
  </w:style>
  <w:style w:type="paragraph" w:styleId="797">
    <w:name w:val="index 4"/>
    <w:basedOn w:val="775"/>
    <w:next w:val="775"/>
    <w:uiPriority w:val="0"/>
    <w:semiHidden/>
    <w:qFormat/>
    <w:pPr>
      <w:ind w:left="600" w:firstLine="480"/>
      <w:spacing w:line="288" w:lineRule="auto"/>
      <w:tabs>
        <w:tab w:val="left" w:pos="1440" w:leader="none"/>
        <w:tab w:val="right" w:pos="8505" w:leader="dot"/>
      </w:tabs>
    </w:pPr>
  </w:style>
  <w:style w:type="paragraph" w:styleId="798">
    <w:name w:val="toc 5"/>
    <w:basedOn w:val="775"/>
    <w:next w:val="775"/>
    <w:uiPriority w:val="0"/>
    <w:qFormat/>
    <w:pPr>
      <w:ind w:left="800"/>
    </w:pPr>
  </w:style>
  <w:style w:type="paragraph" w:styleId="799">
    <w:name w:val="toc 3"/>
    <w:basedOn w:val="775"/>
    <w:next w:val="775"/>
    <w:uiPriority w:val="0"/>
    <w:qFormat/>
    <w:pPr>
      <w:ind w:left="539"/>
      <w:jc w:val="left"/>
      <w:spacing w:line="240" w:lineRule="exact"/>
      <w:tabs>
        <w:tab w:val="right" w:pos="9440" w:leader="dot"/>
      </w:tabs>
    </w:pPr>
    <w:rPr>
      <w:rFonts w:ascii="黑体" w:eastAsia="黑体"/>
      <w:bCs/>
      <w:iCs/>
      <w:sz w:val="18"/>
      <w:szCs w:val="32"/>
    </w:rPr>
  </w:style>
  <w:style w:type="paragraph" w:styleId="800">
    <w:name w:val="Plain Text"/>
    <w:basedOn w:val="775"/>
    <w:link w:val="1018"/>
    <w:uiPriority w:val="0"/>
    <w:qFormat/>
    <w:rPr>
      <w:rFonts w:ascii="宋体"/>
      <w:szCs w:val="20"/>
    </w:rPr>
  </w:style>
  <w:style w:type="paragraph" w:styleId="801">
    <w:name w:val="toc 8"/>
    <w:basedOn w:val="775"/>
    <w:next w:val="775"/>
    <w:uiPriority w:val="0"/>
    <w:qFormat/>
    <w:pPr>
      <w:ind w:left="1400"/>
    </w:pPr>
  </w:style>
  <w:style w:type="paragraph" w:styleId="802">
    <w:name w:val="Date"/>
    <w:basedOn w:val="775"/>
    <w:next w:val="775"/>
    <w:link w:val="1012"/>
    <w:uiPriority w:val="0"/>
    <w:qFormat/>
    <w:rPr>
      <w:sz w:val="24"/>
      <w:szCs w:val="20"/>
    </w:rPr>
  </w:style>
  <w:style w:type="paragraph" w:styleId="803">
    <w:name w:val="Body Text Indent 2"/>
    <w:basedOn w:val="775"/>
    <w:link w:val="1011"/>
    <w:uiPriority w:val="0"/>
    <w:qFormat/>
    <w:pPr>
      <w:ind w:firstLine="200"/>
    </w:pPr>
    <w:rPr>
      <w:rFonts w:ascii="宋体"/>
      <w:sz w:val="28"/>
    </w:rPr>
  </w:style>
  <w:style w:type="paragraph" w:styleId="804">
    <w:name w:val="endnote text"/>
    <w:basedOn w:val="775"/>
    <w:link w:val="988"/>
    <w:uiPriority w:val="99"/>
    <w:semiHidden/>
    <w:unhideWhenUsed/>
    <w:qFormat/>
    <w:pPr>
      <w:spacing w:after="0" w:line="240" w:lineRule="auto"/>
    </w:pPr>
    <w:rPr>
      <w:sz w:val="20"/>
    </w:rPr>
  </w:style>
  <w:style w:type="paragraph" w:styleId="805">
    <w:name w:val="Balloon Text"/>
    <w:basedOn w:val="775"/>
    <w:link w:val="1001"/>
    <w:uiPriority w:val="0"/>
    <w:qFormat/>
    <w:rPr>
      <w:sz w:val="18"/>
      <w:szCs w:val="18"/>
    </w:rPr>
  </w:style>
  <w:style w:type="paragraph" w:styleId="806">
    <w:name w:val="Footer"/>
    <w:basedOn w:val="775"/>
    <w:link w:val="1000"/>
    <w:uiPriority w:val="0"/>
    <w:qFormat/>
    <w:pPr>
      <w:jc w:val="left"/>
      <w:tabs>
        <w:tab w:val="center" w:pos="4153" w:leader="none"/>
        <w:tab w:val="right" w:pos="8306" w:leader="none"/>
      </w:tabs>
    </w:pPr>
    <w:rPr>
      <w:sz w:val="18"/>
      <w:szCs w:val="20"/>
    </w:rPr>
  </w:style>
  <w:style w:type="paragraph" w:styleId="807">
    <w:name w:val="Header"/>
    <w:basedOn w:val="775"/>
    <w:link w:val="1015"/>
    <w:uiPriority w:val="99"/>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75"/>
    <w:next w:val="775"/>
    <w:uiPriority w:val="39"/>
    <w:qFormat/>
    <w:pPr>
      <w:jc w:val="left"/>
      <w:spacing w:before="120" w:after="120" w:line="300" w:lineRule="exact"/>
      <w:tabs>
        <w:tab w:val="right" w:pos="9440" w:leader="dot"/>
      </w:tabs>
    </w:pPr>
    <w:rPr>
      <w:rFonts w:ascii="黑体" w:eastAsia="黑体"/>
      <w:b/>
      <w:caps/>
      <w:sz w:val="18"/>
      <w:szCs w:val="28"/>
    </w:rPr>
  </w:style>
  <w:style w:type="paragraph" w:styleId="809">
    <w:name w:val="toc 4"/>
    <w:basedOn w:val="775"/>
    <w:next w:val="775"/>
    <w:uiPriority w:val="0"/>
    <w:qFormat/>
    <w:pPr>
      <w:ind w:left="600"/>
    </w:pPr>
  </w:style>
  <w:style w:type="paragraph" w:styleId="810">
    <w:name w:val="Subtitle"/>
    <w:basedOn w:val="775"/>
    <w:next w:val="775"/>
    <w:link w:val="1007"/>
    <w:uiPriority w:val="0"/>
    <w:qFormat/>
    <w:pPr>
      <w:jc w:val="center"/>
      <w:spacing w:before="240" w:after="60" w:line="312" w:lineRule="auto"/>
      <w:outlineLvl w:val="1"/>
    </w:pPr>
    <w:rPr>
      <w:rFonts w:ascii="Cambria" w:hAnsi="Cambria"/>
      <w:b/>
      <w:bCs/>
      <w:sz w:val="32"/>
      <w:szCs w:val="32"/>
    </w:rPr>
  </w:style>
  <w:style w:type="paragraph" w:styleId="811">
    <w:name w:val="footnote text"/>
    <w:basedOn w:val="775"/>
    <w:link w:val="987"/>
    <w:uiPriority w:val="99"/>
    <w:semiHidden/>
    <w:unhideWhenUsed/>
    <w:qFormat/>
    <w:pPr>
      <w:spacing w:after="40" w:line="240" w:lineRule="auto"/>
    </w:pPr>
    <w:rPr>
      <w:sz w:val="18"/>
    </w:rPr>
  </w:style>
  <w:style w:type="paragraph" w:styleId="812">
    <w:name w:val="toc 6"/>
    <w:basedOn w:val="775"/>
    <w:next w:val="775"/>
    <w:uiPriority w:val="0"/>
    <w:qFormat/>
    <w:pPr>
      <w:ind w:left="1000"/>
    </w:pPr>
  </w:style>
  <w:style w:type="paragraph" w:styleId="813">
    <w:name w:val="Body Text Indent 3"/>
    <w:basedOn w:val="775"/>
    <w:link w:val="1009"/>
    <w:uiPriority w:val="0"/>
    <w:qFormat/>
    <w:pPr>
      <w:ind w:firstLine="523"/>
    </w:pPr>
    <w:rPr>
      <w:rFonts w:ascii="仿宋_GB2312" w:eastAsia="仿宋_GB2312"/>
      <w:sz w:val="24"/>
    </w:rPr>
  </w:style>
  <w:style w:type="paragraph" w:styleId="814">
    <w:name w:val="table of figures"/>
    <w:basedOn w:val="775"/>
    <w:next w:val="775"/>
    <w:uiPriority w:val="99"/>
    <w:unhideWhenUsed/>
    <w:qFormat/>
    <w:pPr>
      <w:spacing w:after="0" w:afterAutospacing="0"/>
    </w:pPr>
  </w:style>
  <w:style w:type="paragraph" w:styleId="815">
    <w:name w:val="toc 2"/>
    <w:basedOn w:val="775"/>
    <w:next w:val="775"/>
    <w:uiPriority w:val="39"/>
    <w:qFormat/>
    <w:pPr>
      <w:jc w:val="left"/>
      <w:spacing w:line="260" w:lineRule="exact"/>
      <w:tabs>
        <w:tab w:val="right" w:pos="9440" w:leader="dot"/>
      </w:tabs>
    </w:pPr>
    <w:rPr>
      <w:rFonts w:ascii="黑体" w:eastAsia="黑体"/>
      <w:b/>
      <w:bCs/>
      <w:smallCaps/>
      <w:sz w:val="18"/>
      <w:szCs w:val="44"/>
    </w:rPr>
  </w:style>
  <w:style w:type="paragraph" w:styleId="816">
    <w:name w:val="toc 9"/>
    <w:basedOn w:val="775"/>
    <w:next w:val="775"/>
    <w:uiPriority w:val="0"/>
    <w:qFormat/>
    <w:pPr>
      <w:ind w:left="1600"/>
    </w:pPr>
  </w:style>
  <w:style w:type="paragraph" w:styleId="817">
    <w:name w:val="Body Text 2"/>
    <w:basedOn w:val="775"/>
    <w:link w:val="1004"/>
    <w:uiPriority w:val="0"/>
    <w:qFormat/>
    <w:pPr>
      <w:jc w:val="center"/>
    </w:pPr>
    <w:rPr>
      <w:rFonts w:ascii="仿宋_GB2312" w:eastAsia="仿宋_GB2312"/>
      <w:sz w:val="44"/>
    </w:rPr>
  </w:style>
  <w:style w:type="paragraph" w:styleId="818">
    <w:name w:val="HTML Preformatted"/>
    <w:basedOn w:val="775"/>
    <w:link w:val="9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19">
    <w:name w:val="Normal (Web)"/>
    <w:basedOn w:val="775"/>
    <w:uiPriority w:val="99"/>
    <w:qFormat/>
    <w:pPr>
      <w:jc w:val="left"/>
      <w:spacing w:before="100" w:beforeAutospacing="1" w:after="100" w:afterAutospacing="1"/>
      <w:widowControl/>
    </w:pPr>
    <w:rPr>
      <w:rFonts w:ascii="宋体" w:cs="宋体"/>
      <w:sz w:val="24"/>
    </w:rPr>
  </w:style>
  <w:style w:type="paragraph" w:styleId="820">
    <w:name w:val="index 1"/>
    <w:basedOn w:val="775"/>
    <w:next w:val="775"/>
    <w:uiPriority w:val="0"/>
    <w:qFormat/>
    <w:rPr>
      <w:rFonts w:ascii="宋体"/>
      <w:szCs w:val="18"/>
    </w:rPr>
  </w:style>
  <w:style w:type="paragraph" w:styleId="821">
    <w:name w:val="Title"/>
    <w:basedOn w:val="775"/>
    <w:next w:val="775"/>
    <w:link w:val="853"/>
    <w:uiPriority w:val="10"/>
    <w:qFormat/>
    <w:pPr>
      <w:contextualSpacing/>
      <w:spacing w:before="300" w:after="200"/>
    </w:pPr>
    <w:rPr>
      <w:sz w:val="48"/>
      <w:szCs w:val="48"/>
    </w:rPr>
  </w:style>
  <w:style w:type="paragraph" w:styleId="822">
    <w:name w:val="annotation subject"/>
    <w:basedOn w:val="791"/>
    <w:next w:val="791"/>
    <w:link w:val="996"/>
    <w:uiPriority w:val="0"/>
    <w:qFormat/>
    <w:rPr>
      <w:b/>
      <w:bCs/>
    </w:rPr>
  </w:style>
  <w:style w:type="paragraph" w:styleId="823">
    <w:name w:val="Body Text First Indent 2"/>
    <w:basedOn w:val="794"/>
    <w:uiPriority w:val="99"/>
    <w:unhideWhenUsed/>
    <w:qFormat/>
    <w:pPr>
      <w:ind w:firstLine="420"/>
    </w:pPr>
  </w:style>
  <w:style w:type="table" w:styleId="824">
    <w:name w:val="Table Grid"/>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uiPriority w:val="0"/>
    <w:qFormat/>
    <w:rPr>
      <w:b/>
      <w:bCs/>
    </w:rPr>
  </w:style>
  <w:style w:type="character" w:styleId="826">
    <w:name w:val="endnote reference"/>
    <w:basedOn w:val="785"/>
    <w:uiPriority w:val="99"/>
    <w:semiHidden/>
    <w:unhideWhenUsed/>
    <w:qFormat/>
    <w:rPr>
      <w:vertAlign w:val="superscript"/>
    </w:rPr>
  </w:style>
  <w:style w:type="character" w:styleId="827">
    <w:name w:val="page number"/>
    <w:basedOn w:val="785"/>
    <w:uiPriority w:val="0"/>
    <w:qFormat/>
  </w:style>
  <w:style w:type="character" w:styleId="828">
    <w:name w:val="FollowedHyperlink"/>
    <w:basedOn w:val="785"/>
    <w:uiPriority w:val="99"/>
    <w:qFormat/>
    <w:rPr>
      <w:color w:val="800080"/>
      <w:u w:val="none"/>
    </w:rPr>
  </w:style>
  <w:style w:type="character" w:styleId="829">
    <w:name w:val="Emphasis"/>
    <w:basedOn w:val="785"/>
    <w:uiPriority w:val="20"/>
    <w:qFormat/>
    <w:rPr>
      <w:b/>
      <w:bCs/>
    </w:rPr>
  </w:style>
  <w:style w:type="character" w:styleId="830">
    <w:name w:val="HTML Definition"/>
    <w:basedOn w:val="785"/>
    <w:uiPriority w:val="99"/>
    <w:semiHidden/>
    <w:unhideWhenUsed/>
    <w:qFormat/>
  </w:style>
  <w:style w:type="character" w:styleId="831">
    <w:name w:val="HTML Typewriter"/>
    <w:basedOn w:val="785"/>
    <w:uiPriority w:val="99"/>
    <w:semiHidden/>
    <w:unhideWhenUsed/>
    <w:qFormat/>
    <w:rPr>
      <w:rFonts w:hint="default" w:ascii="monospace" w:hAnsi="monospace" w:eastAsia="monospace" w:cs="monospace"/>
      <w:sz w:val="20"/>
    </w:rPr>
  </w:style>
  <w:style w:type="character" w:styleId="832">
    <w:name w:val="HTML Acronym"/>
    <w:basedOn w:val="785"/>
    <w:uiPriority w:val="99"/>
    <w:semiHidden/>
    <w:unhideWhenUsed/>
    <w:qFormat/>
  </w:style>
  <w:style w:type="character" w:styleId="833">
    <w:name w:val="HTML Variable"/>
    <w:basedOn w:val="785"/>
    <w:uiPriority w:val="99"/>
    <w:semiHidden/>
    <w:unhideWhenUsed/>
    <w:qFormat/>
  </w:style>
  <w:style w:type="character" w:styleId="834">
    <w:name w:val="Hyperlink"/>
    <w:basedOn w:val="785"/>
    <w:uiPriority w:val="99"/>
    <w:qFormat/>
    <w:rPr>
      <w:color w:val="0000ff"/>
      <w:u w:val="none"/>
    </w:rPr>
  </w:style>
  <w:style w:type="character" w:styleId="835">
    <w:name w:val="HTML Code"/>
    <w:basedOn w:val="785"/>
    <w:uiPriority w:val="99"/>
    <w:semiHidden/>
    <w:unhideWhenUsed/>
    <w:qFormat/>
    <w:rPr>
      <w:rFonts w:hint="default" w:ascii="monospace" w:hAnsi="monospace" w:eastAsia="monospace" w:cs="monospace"/>
      <w:sz w:val="20"/>
    </w:rPr>
  </w:style>
  <w:style w:type="character" w:styleId="836">
    <w:name w:val="annotation reference"/>
    <w:uiPriority w:val="0"/>
    <w:qFormat/>
    <w:rPr>
      <w:sz w:val="21"/>
      <w:szCs w:val="21"/>
    </w:rPr>
  </w:style>
  <w:style w:type="character" w:styleId="837">
    <w:name w:val="HTML Cite"/>
    <w:basedOn w:val="785"/>
    <w:uiPriority w:val="99"/>
    <w:semiHidden/>
    <w:unhideWhenUsed/>
    <w:qFormat/>
  </w:style>
  <w:style w:type="character" w:styleId="838">
    <w:name w:val="footnote reference"/>
    <w:basedOn w:val="785"/>
    <w:uiPriority w:val="99"/>
    <w:unhideWhenUsed/>
    <w:qFormat/>
    <w:rPr>
      <w:vertAlign w:val="superscript"/>
    </w:rPr>
  </w:style>
  <w:style w:type="character" w:styleId="839">
    <w:name w:val="HTML Keyboard"/>
    <w:basedOn w:val="785"/>
    <w:uiPriority w:val="99"/>
    <w:semiHidden/>
    <w:unhideWhenUsed/>
    <w:qFormat/>
    <w:rPr>
      <w:rFonts w:hint="default" w:ascii="monospace" w:hAnsi="monospace" w:eastAsia="monospace" w:cs="monospace"/>
      <w:sz w:val="20"/>
    </w:rPr>
  </w:style>
  <w:style w:type="character" w:styleId="840">
    <w:name w:val="HTML Sample"/>
    <w:basedOn w:val="785"/>
    <w:uiPriority w:val="99"/>
    <w:semiHidden/>
    <w:unhideWhenUsed/>
    <w:qFormat/>
    <w:rPr>
      <w:rFonts w:ascii="monospace" w:hAnsi="monospace" w:eastAsia="monospace" w:cs="monospace"/>
      <w:u w:val="none"/>
      <w:shd w:val="clear" w:color="auto" w:fill="ffffff"/>
    </w:rPr>
  </w:style>
  <w:style w:type="paragraph" w:styleId="841"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842" w:customStyle="1">
    <w:name w:val="首行缩进"/>
    <w:basedOn w:val="775"/>
    <w:uiPriority w:val="0"/>
    <w:qFormat/>
    <w:pPr>
      <w:ind w:firstLine="480"/>
    </w:pPr>
    <w:rPr>
      <w:lang w:val="zh-CN"/>
    </w:rPr>
  </w:style>
  <w:style w:type="character" w:styleId="843" w:customStyle="1">
    <w:name w:val="Heading 1 Char"/>
    <w:basedOn w:val="785"/>
    <w:uiPriority w:val="9"/>
    <w:qFormat/>
    <w:rPr>
      <w:rFonts w:ascii="Arial" w:hAnsi="Arial" w:eastAsia="Arial" w:cs="Arial"/>
      <w:sz w:val="40"/>
      <w:szCs w:val="40"/>
    </w:rPr>
  </w:style>
  <w:style w:type="character" w:styleId="844" w:customStyle="1">
    <w:name w:val="Heading 2 Char"/>
    <w:basedOn w:val="785"/>
    <w:uiPriority w:val="9"/>
    <w:qFormat/>
    <w:rPr>
      <w:rFonts w:ascii="Arial" w:hAnsi="Arial" w:eastAsia="Arial" w:cs="Arial"/>
      <w:sz w:val="34"/>
    </w:rPr>
  </w:style>
  <w:style w:type="character" w:styleId="845" w:customStyle="1">
    <w:name w:val="Heading 3 Char"/>
    <w:basedOn w:val="785"/>
    <w:uiPriority w:val="9"/>
    <w:qFormat/>
    <w:rPr>
      <w:rFonts w:ascii="Arial" w:hAnsi="Arial" w:eastAsia="Arial" w:cs="Arial"/>
      <w:sz w:val="30"/>
      <w:szCs w:val="30"/>
    </w:rPr>
  </w:style>
  <w:style w:type="character" w:styleId="846" w:customStyle="1">
    <w:name w:val="Heading 4 Char"/>
    <w:basedOn w:val="785"/>
    <w:uiPriority w:val="9"/>
    <w:qFormat/>
    <w:rPr>
      <w:rFonts w:ascii="Arial" w:hAnsi="Arial" w:eastAsia="Arial" w:cs="Arial"/>
      <w:b/>
      <w:bCs/>
      <w:sz w:val="26"/>
      <w:szCs w:val="26"/>
    </w:rPr>
  </w:style>
  <w:style w:type="character" w:styleId="847" w:customStyle="1">
    <w:name w:val="Heading 5 Char"/>
    <w:basedOn w:val="785"/>
    <w:uiPriority w:val="9"/>
    <w:qFormat/>
    <w:rPr>
      <w:rFonts w:ascii="Arial" w:hAnsi="Arial" w:eastAsia="Arial" w:cs="Arial"/>
      <w:b/>
      <w:bCs/>
      <w:sz w:val="24"/>
      <w:szCs w:val="24"/>
    </w:rPr>
  </w:style>
  <w:style w:type="character" w:styleId="848" w:customStyle="1">
    <w:name w:val="Heading 6 Char"/>
    <w:basedOn w:val="785"/>
    <w:link w:val="781"/>
    <w:uiPriority w:val="9"/>
    <w:qFormat/>
    <w:rPr>
      <w:rFonts w:ascii="Arial" w:hAnsi="Arial" w:eastAsia="Arial" w:cs="Arial"/>
      <w:b/>
      <w:bCs/>
      <w:sz w:val="22"/>
      <w:szCs w:val="22"/>
    </w:rPr>
  </w:style>
  <w:style w:type="character" w:styleId="849" w:customStyle="1">
    <w:name w:val="Heading 7 Char"/>
    <w:basedOn w:val="785"/>
    <w:link w:val="782"/>
    <w:uiPriority w:val="9"/>
    <w:qFormat/>
    <w:rPr>
      <w:rFonts w:ascii="Arial" w:hAnsi="Arial" w:eastAsia="Arial" w:cs="Arial"/>
      <w:b/>
      <w:bCs/>
      <w:i/>
      <w:iCs/>
      <w:sz w:val="22"/>
      <w:szCs w:val="22"/>
    </w:rPr>
  </w:style>
  <w:style w:type="character" w:styleId="850" w:customStyle="1">
    <w:name w:val="Heading 8 Char"/>
    <w:basedOn w:val="785"/>
    <w:link w:val="783"/>
    <w:uiPriority w:val="9"/>
    <w:qFormat/>
    <w:rPr>
      <w:rFonts w:ascii="Arial" w:hAnsi="Arial" w:eastAsia="Arial" w:cs="Arial"/>
      <w:i/>
      <w:iCs/>
      <w:sz w:val="22"/>
      <w:szCs w:val="22"/>
    </w:rPr>
  </w:style>
  <w:style w:type="character" w:styleId="851" w:customStyle="1">
    <w:name w:val="Heading 9 Char"/>
    <w:basedOn w:val="785"/>
    <w:link w:val="784"/>
    <w:uiPriority w:val="9"/>
    <w:qFormat/>
    <w:rPr>
      <w:rFonts w:ascii="Arial" w:hAnsi="Arial" w:eastAsia="Arial" w:cs="Arial"/>
      <w:i/>
      <w:iCs/>
      <w:sz w:val="21"/>
      <w:szCs w:val="21"/>
    </w:r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character" w:styleId="853" w:customStyle="1">
    <w:name w:val="Title Char"/>
    <w:basedOn w:val="785"/>
    <w:link w:val="821"/>
    <w:uiPriority w:val="10"/>
    <w:qFormat/>
    <w:rPr>
      <w:sz w:val="48"/>
      <w:szCs w:val="48"/>
    </w:rPr>
  </w:style>
  <w:style w:type="character" w:styleId="854" w:customStyle="1">
    <w:name w:val="Subtitle Char"/>
    <w:basedOn w:val="785"/>
    <w:uiPriority w:val="11"/>
    <w:qFormat/>
    <w:rPr>
      <w:sz w:val="24"/>
      <w:szCs w:val="24"/>
    </w:rPr>
  </w:style>
  <w:style w:type="paragraph" w:styleId="855">
    <w:name w:val="Quote"/>
    <w:basedOn w:val="775"/>
    <w:next w:val="775"/>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775"/>
    <w:next w:val="775"/>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basedOn w:val="785"/>
    <w:uiPriority w:val="99"/>
    <w:qFormat/>
  </w:style>
  <w:style w:type="character" w:styleId="860" w:customStyle="1">
    <w:name w:val="Footer Char"/>
    <w:basedOn w:val="785"/>
    <w:uiPriority w:val="99"/>
    <w:qFormat/>
  </w:style>
  <w:style w:type="character" w:styleId="861" w:customStyle="1">
    <w:name w:val="Caption Char"/>
    <w:uiPriority w:val="99"/>
    <w:qFormat/>
  </w:style>
  <w:style w:type="table" w:styleId="862"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8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basedOn w:val="78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basedOn w:val="78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basedOn w:val="78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basedOn w:val="78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basedOn w:val="78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8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8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8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basedOn w:val="78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8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8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8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8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8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8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8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8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8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8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8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8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8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basedOn w:val="78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basedOn w:val="78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basedOn w:val="78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basedOn w:val="78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basedOn w:val="78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8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8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basedOn w:val="78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basedOn w:val="78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basedOn w:val="78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basedOn w:val="78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basedOn w:val="78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8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8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8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8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8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8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8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8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8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8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8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8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8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basedOn w:val="7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8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basedOn w:val="78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basedOn w:val="78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basedOn w:val="78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basedOn w:val="78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basedOn w:val="78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basedOn w:val="7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11"/>
    <w:uiPriority w:val="99"/>
    <w:qFormat/>
    <w:rPr>
      <w:sz w:val="18"/>
    </w:rPr>
  </w:style>
  <w:style w:type="character" w:styleId="988" w:customStyle="1">
    <w:name w:val="Endnote Text Char"/>
    <w:link w:val="804"/>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正文首行缩进11"/>
    <w:basedOn w:val="991"/>
    <w:next w:val="775"/>
    <w:uiPriority w:val="99"/>
    <w:unhideWhenUsed/>
    <w:qFormat/>
    <w:pPr>
      <w:ind w:firstLine="420"/>
    </w:pPr>
    <w:rPr>
      <w:szCs w:val="24"/>
    </w:rPr>
  </w:style>
  <w:style w:type="paragraph" w:styleId="991" w:customStyle="1">
    <w:name w:val="正文文本111"/>
    <w:basedOn w:val="775"/>
    <w:next w:val="775"/>
    <w:uiPriority w:val="0"/>
    <w:qFormat/>
    <w:rPr>
      <w:rFonts w:eastAsia="楷体_GB2312"/>
      <w:b/>
      <w:bCs/>
      <w:color w:val="ff0000"/>
      <w:sz w:val="32"/>
      <w:szCs w:val="32"/>
      <w:lang w:val="zh-CN"/>
    </w:rPr>
  </w:style>
  <w:style w:type="paragraph" w:styleId="992" w:customStyle="1">
    <w:name w:val="段"/>
    <w:next w:val="775"/>
    <w:uiPriority w:val="0"/>
    <w:qFormat/>
    <w:pPr>
      <w:ind w:firstLine="200"/>
      <w:jc w:val="both"/>
    </w:pPr>
    <w:rPr>
      <w:rFonts w:hint="default" w:ascii="宋体" w:hAnsi="Times New Roman" w:eastAsia="宋体" w:cs="Times New Roman"/>
      <w:sz w:val="21"/>
      <w:lang w:val="en-US" w:eastAsia="zh-CN" w:bidi="ar-SA"/>
    </w:rPr>
  </w:style>
  <w:style w:type="paragraph" w:styleId="993" w:customStyle="1">
    <w:name w:val="Heading 4"/>
    <w:basedOn w:val="775"/>
    <w:next w:val="775"/>
    <w:uiPriority w:val="0"/>
    <w:qFormat/>
    <w:pPr>
      <w:keepLines/>
      <w:keepNext/>
      <w:spacing w:before="280" w:after="290" w:line="376" w:lineRule="auto"/>
    </w:pPr>
    <w:rPr>
      <w:rFonts w:ascii="Arial" w:hAnsi="Arial" w:eastAsia="黑体"/>
      <w:b/>
      <w:bCs/>
      <w:sz w:val="28"/>
      <w:szCs w:val="28"/>
    </w:rPr>
  </w:style>
  <w:style w:type="paragraph" w:styleId="994" w:customStyle="1">
    <w:name w:val="正文1"/>
    <w:uiPriority w:val="99"/>
    <w:qFormat/>
    <w:pPr>
      <w:jc w:val="both"/>
    </w:pPr>
    <w:rPr>
      <w:rFonts w:hint="default" w:ascii="Calibri" w:hAnsi="Calibri" w:eastAsia="宋体" w:cs="Times New Roman"/>
      <w:sz w:val="21"/>
      <w:szCs w:val="21"/>
      <w:lang w:val="en-US" w:eastAsia="zh-CN" w:bidi="ar-SA"/>
    </w:rPr>
  </w:style>
  <w:style w:type="character" w:styleId="995" w:customStyle="1">
    <w:name w:val="HTML 预设格式 Char"/>
    <w:link w:val="818"/>
    <w:uiPriority w:val="0"/>
    <w:qFormat/>
    <w:rPr>
      <w:rFonts w:ascii="黑体" w:eastAsia="黑体"/>
    </w:rPr>
  </w:style>
  <w:style w:type="character" w:styleId="996" w:customStyle="1">
    <w:name w:val="批注主题 Char"/>
    <w:basedOn w:val="997"/>
    <w:link w:val="822"/>
    <w:uiPriority w:val="0"/>
    <w:qFormat/>
    <w:rPr>
      <w:b/>
      <w:bCs/>
      <w:sz w:val="21"/>
      <w:szCs w:val="24"/>
    </w:rPr>
  </w:style>
  <w:style w:type="character" w:styleId="997" w:customStyle="1">
    <w:name w:val="批注文字 Char"/>
    <w:basedOn w:val="785"/>
    <w:link w:val="791"/>
    <w:uiPriority w:val="0"/>
    <w:qFormat/>
    <w:rPr>
      <w:sz w:val="21"/>
      <w:szCs w:val="24"/>
    </w:rPr>
  </w:style>
  <w:style w:type="character" w:styleId="998" w:customStyle="1">
    <w:name w:val="标题2 Char"/>
    <w:uiPriority w:val="0"/>
    <w:qFormat/>
    <w:rPr>
      <w:rFonts w:ascii="方正楷体_GBK" w:eastAsia="方正楷体_GBK"/>
      <w:sz w:val="32"/>
      <w:lang w:val="en-US" w:eastAsia="zh-CN" w:bidi="ar-SA"/>
    </w:rPr>
  </w:style>
  <w:style w:type="character" w:styleId="999" w:customStyle="1">
    <w:name w:val="标题 5 Char"/>
    <w:basedOn w:val="785"/>
    <w:link w:val="780"/>
    <w:uiPriority w:val="0"/>
    <w:qFormat/>
    <w:rPr>
      <w:rFonts w:ascii="宋体"/>
      <w:b/>
      <w:bCs/>
      <w:sz w:val="21"/>
      <w:szCs w:val="24"/>
    </w:rPr>
  </w:style>
  <w:style w:type="character" w:styleId="1000" w:customStyle="1">
    <w:name w:val="页脚 Char"/>
    <w:link w:val="806"/>
    <w:uiPriority w:val="0"/>
    <w:qFormat/>
    <w:rPr>
      <w:sz w:val="18"/>
    </w:rPr>
  </w:style>
  <w:style w:type="character" w:styleId="1001" w:customStyle="1">
    <w:name w:val="批注框文本 Char"/>
    <w:link w:val="805"/>
    <w:uiPriority w:val="0"/>
    <w:qFormat/>
    <w:rPr>
      <w:sz w:val="18"/>
      <w:szCs w:val="18"/>
    </w:rPr>
  </w:style>
  <w:style w:type="character" w:styleId="1002" w:customStyle="1">
    <w:name w:val="标题 4 Char"/>
    <w:basedOn w:val="785"/>
    <w:link w:val="779"/>
    <w:uiPriority w:val="0"/>
    <w:qFormat/>
    <w:rPr>
      <w:rFonts w:ascii="Arial" w:hAnsi="Arial" w:eastAsia="黑体"/>
      <w:b/>
      <w:bCs/>
      <w:sz w:val="28"/>
      <w:szCs w:val="28"/>
    </w:rPr>
  </w:style>
  <w:style w:type="character" w:styleId="1003" w:customStyle="1">
    <w:name w:val="标题 1 Char"/>
    <w:basedOn w:val="785"/>
    <w:link w:val="776"/>
    <w:uiPriority w:val="0"/>
    <w:qFormat/>
    <w:rPr>
      <w:rFonts w:ascii="楷体_GB2312" w:eastAsia="楷体_GB2312"/>
      <w:sz w:val="28"/>
    </w:rPr>
  </w:style>
  <w:style w:type="character" w:styleId="1004" w:customStyle="1">
    <w:name w:val="正文文本 2 Char"/>
    <w:basedOn w:val="785"/>
    <w:link w:val="817"/>
    <w:uiPriority w:val="0"/>
    <w:qFormat/>
    <w:rPr>
      <w:rFonts w:ascii="仿宋_GB2312" w:eastAsia="仿宋_GB2312"/>
      <w:sz w:val="44"/>
      <w:szCs w:val="24"/>
    </w:rPr>
  </w:style>
  <w:style w:type="character" w:styleId="1005" w:customStyle="1">
    <w:name w:val="标题 3 Char"/>
    <w:basedOn w:val="785"/>
    <w:link w:val="778"/>
    <w:uiPriority w:val="0"/>
    <w:qFormat/>
    <w:rPr>
      <w:b/>
      <w:sz w:val="32"/>
    </w:rPr>
  </w:style>
  <w:style w:type="character" w:styleId="1006" w:customStyle="1">
    <w:name w:val="文档结构图 Char"/>
    <w:basedOn w:val="785"/>
    <w:link w:val="790"/>
    <w:uiPriority w:val="0"/>
    <w:qFormat/>
    <w:rPr>
      <w:sz w:val="21"/>
      <w:szCs w:val="24"/>
      <w:shd w:val="clear" w:color="auto" w:fill="000080"/>
    </w:rPr>
  </w:style>
  <w:style w:type="character" w:styleId="1007" w:customStyle="1">
    <w:name w:val="副标题 Char"/>
    <w:basedOn w:val="785"/>
    <w:link w:val="810"/>
    <w:uiPriority w:val="0"/>
    <w:qFormat/>
    <w:rPr>
      <w:rFonts w:ascii="Cambria" w:hAnsi="Cambria"/>
      <w:b/>
      <w:bCs/>
      <w:sz w:val="32"/>
      <w:szCs w:val="32"/>
    </w:rPr>
  </w:style>
  <w:style w:type="character" w:styleId="1008" w:customStyle="1">
    <w:name w:val="副标题 Char1"/>
    <w:basedOn w:val="785"/>
    <w:uiPriority w:val="11"/>
    <w:qFormat/>
    <w:rPr>
      <w:rFonts w:ascii="Cambria" w:hAnsi="Cambria" w:cs="Times New Roman"/>
      <w:b/>
      <w:bCs/>
      <w:sz w:val="32"/>
      <w:szCs w:val="32"/>
    </w:rPr>
  </w:style>
  <w:style w:type="character" w:styleId="1009" w:customStyle="1">
    <w:name w:val="正文文本缩进 3 Char"/>
    <w:basedOn w:val="785"/>
    <w:link w:val="813"/>
    <w:uiPriority w:val="0"/>
    <w:qFormat/>
    <w:rPr>
      <w:rFonts w:ascii="仿宋_GB2312" w:eastAsia="仿宋_GB2312"/>
      <w:sz w:val="24"/>
      <w:szCs w:val="24"/>
    </w:rPr>
  </w:style>
  <w:style w:type="character" w:styleId="1010" w:customStyle="1">
    <w:name w:val="正文文本缩进 Char"/>
    <w:basedOn w:val="785"/>
    <w:link w:val="794"/>
    <w:uiPriority w:val="0"/>
    <w:qFormat/>
    <w:rPr>
      <w:rFonts w:ascii="楷体_GB2312" w:eastAsia="楷体_GB2312"/>
      <w:sz w:val="32"/>
    </w:rPr>
  </w:style>
  <w:style w:type="character" w:styleId="1011" w:customStyle="1">
    <w:name w:val="正文文本缩进 2 Char"/>
    <w:basedOn w:val="785"/>
    <w:link w:val="803"/>
    <w:uiPriority w:val="0"/>
    <w:qFormat/>
    <w:rPr>
      <w:rFonts w:ascii="宋体"/>
      <w:sz w:val="28"/>
      <w:szCs w:val="24"/>
    </w:rPr>
  </w:style>
  <w:style w:type="character" w:styleId="1012" w:customStyle="1">
    <w:name w:val="日期 Char"/>
    <w:basedOn w:val="785"/>
    <w:link w:val="802"/>
    <w:uiPriority w:val="0"/>
    <w:qFormat/>
    <w:rPr>
      <w:sz w:val="24"/>
    </w:rPr>
  </w:style>
  <w:style w:type="character" w:styleId="1013" w:customStyle="1">
    <w:name w:val="jj1"/>
    <w:uiPriority w:val="0"/>
    <w:qFormat/>
    <w:rPr>
      <w:sz w:val="20"/>
      <w:szCs w:val="20"/>
      <w:u w:val="none"/>
    </w:rPr>
  </w:style>
  <w:style w:type="character" w:styleId="1014" w:customStyle="1">
    <w:name w:val="正文文本 3 Char"/>
    <w:basedOn w:val="785"/>
    <w:link w:val="792"/>
    <w:uiPriority w:val="0"/>
    <w:qFormat/>
    <w:rPr>
      <w:rFonts w:ascii="仿宋_GB2312" w:eastAsia="仿宋_GB2312"/>
      <w:sz w:val="32"/>
    </w:rPr>
  </w:style>
  <w:style w:type="character" w:styleId="1015" w:customStyle="1">
    <w:name w:val="页眉 Char"/>
    <w:basedOn w:val="785"/>
    <w:link w:val="807"/>
    <w:uiPriority w:val="99"/>
    <w:qFormat/>
    <w:rPr>
      <w:sz w:val="18"/>
      <w:szCs w:val="18"/>
    </w:rPr>
  </w:style>
  <w:style w:type="character" w:styleId="1016" w:customStyle="1">
    <w:name w:val="标题 2 Char"/>
    <w:basedOn w:val="785"/>
    <w:link w:val="777"/>
    <w:uiPriority w:val="0"/>
    <w:qFormat/>
    <w:rPr>
      <w:rFonts w:ascii="Arial" w:hAnsi="Arial" w:eastAsia="幼圆"/>
      <w:b/>
      <w:sz w:val="44"/>
    </w:rPr>
  </w:style>
  <w:style w:type="character" w:styleId="1017" w:customStyle="1">
    <w:name w:val="正文文本 Char"/>
    <w:basedOn w:val="785"/>
    <w:link w:val="793"/>
    <w:uiPriority w:val="0"/>
    <w:qFormat/>
    <w:rPr>
      <w:rFonts w:ascii="楷体_GB2312" w:eastAsia="楷体_GB2312"/>
      <w:sz w:val="28"/>
    </w:rPr>
  </w:style>
  <w:style w:type="character" w:styleId="1018" w:customStyle="1">
    <w:name w:val="纯文本 Char"/>
    <w:basedOn w:val="785"/>
    <w:link w:val="800"/>
    <w:uiPriority w:val="0"/>
    <w:qFormat/>
    <w:rPr>
      <w:rFonts w:ascii="宋体"/>
      <w:sz w:val="21"/>
    </w:rPr>
  </w:style>
  <w:style w:type="paragraph" w:styleId="1019" w:customStyle="1">
    <w:name w:val="标题3"/>
    <w:basedOn w:val="775"/>
    <w:next w:val="775"/>
    <w:uiPriority w:val="0"/>
    <w:qFormat/>
    <w:rPr>
      <w:rFonts w:eastAsia="方正黑体_GBK"/>
    </w:rPr>
  </w:style>
  <w:style w:type="paragraph" w:styleId="1020" w:customStyle="1">
    <w:name w:val="xl83"/>
    <w:basedOn w:val="775"/>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2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2" w:customStyle="1">
    <w:name w:val="TOC 标题1"/>
    <w:basedOn w:val="776"/>
    <w:next w:val="775"/>
    <w:uiPriority w:val="0"/>
    <w:qFormat/>
    <w:pPr>
      <w:jc w:val="left"/>
      <w:keepLines/>
      <w:spacing w:before="480" w:line="276" w:lineRule="auto"/>
      <w:widowControl/>
      <w:outlineLvl w:val="9"/>
    </w:pPr>
    <w:rPr>
      <w:rFonts w:ascii="Cambria" w:hAnsi="Cambria" w:eastAsia="宋体"/>
      <w:b/>
      <w:bCs/>
      <w:color w:val="365f91"/>
      <w:szCs w:val="28"/>
    </w:rPr>
  </w:style>
  <w:style w:type="paragraph" w:styleId="1023" w:customStyle="1">
    <w:name w:val="第四级"/>
    <w:basedOn w:val="775"/>
    <w:next w:val="775"/>
    <w:uiPriority w:val="0"/>
    <w:qFormat/>
    <w:pPr>
      <w:spacing w:line="360" w:lineRule="auto"/>
      <w:tabs>
        <w:tab w:val="left" w:pos="1134" w:leader="none"/>
      </w:tabs>
    </w:pPr>
    <w:rPr>
      <w:rFonts w:ascii="宋体" w:hAnsi="宋体" w:eastAsia="仿宋"/>
      <w:sz w:val="28"/>
      <w:szCs w:val="21"/>
    </w:rPr>
  </w:style>
  <w:style w:type="paragraph" w:styleId="1024" w:customStyle="1">
    <w:name w:val="Char Char Char Char1 Char Char Char"/>
    <w:basedOn w:val="790"/>
    <w:uiPriority w:val="0"/>
    <w:qFormat/>
    <w:pPr>
      <w:spacing w:line="360" w:lineRule="auto"/>
    </w:pPr>
    <w:rPr>
      <w:rFonts w:ascii="Tahoma" w:hAnsi="Tahoma"/>
      <w:sz w:val="24"/>
    </w:rPr>
  </w:style>
  <w:style w:type="paragraph" w:styleId="1025" w:customStyle="1">
    <w:name w:val="xl77"/>
    <w:basedOn w:val="775"/>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6" w:customStyle="1">
    <w:name w:val="xl47"/>
    <w:basedOn w:val="775"/>
    <w:uiPriority w:val="0"/>
    <w:qFormat/>
    <w:pPr>
      <w:jc w:val="center"/>
      <w:spacing w:before="100" w:beforeAutospacing="1" w:after="100" w:afterAutospacing="1"/>
      <w:widowControl/>
    </w:pPr>
    <w:rPr>
      <w:rFonts w:ascii="方正姚体" w:eastAsia="方正姚体"/>
      <w:b/>
      <w:bCs/>
      <w:sz w:val="36"/>
      <w:szCs w:val="36"/>
    </w:rPr>
  </w:style>
  <w:style w:type="paragraph" w:styleId="1027" w:customStyle="1">
    <w:name w:val="标题2"/>
    <w:basedOn w:val="775"/>
    <w:next w:val="775"/>
    <w:uiPriority w:val="0"/>
    <w:qFormat/>
    <w:pPr>
      <w:jc w:val="center"/>
    </w:pPr>
    <w:rPr>
      <w:rFonts w:eastAsia="方正楷体_GBK"/>
    </w:rPr>
  </w:style>
  <w:style w:type="paragraph" w:styleId="1028" w:customStyle="1">
    <w:name w:val="HTML 预先格式化"/>
    <w:basedOn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9" w:customStyle="1">
    <w:name w:val="正文 1.1.1"/>
    <w:basedOn w:val="775"/>
    <w:next w:val="775"/>
    <w:uiPriority w:val="0"/>
    <w:qFormat/>
    <w:pPr>
      <w:spacing w:line="360" w:lineRule="auto"/>
      <w:tabs>
        <w:tab w:val="left" w:pos="851" w:leader="none"/>
      </w:tabs>
      <w:outlineLvl w:val="2"/>
    </w:pPr>
    <w:rPr>
      <w:rFonts w:ascii="宋体"/>
      <w:color w:val="000000"/>
      <w:sz w:val="28"/>
      <w:szCs w:val="21"/>
    </w:rPr>
  </w:style>
  <w:style w:type="paragraph" w:styleId="1030" w:customStyle="1">
    <w:name w:val="默认段落字体 Para Char Char Char Char Char Char Char Char Char1 Char Char Char Char Char Char Char"/>
    <w:basedOn w:val="790"/>
    <w:uiPriority w:val="0"/>
    <w:qFormat/>
    <w:rPr>
      <w:rFonts w:ascii="Tahoma" w:hAnsi="Tahoma"/>
      <w:sz w:val="24"/>
    </w:rPr>
  </w:style>
  <w:style w:type="paragraph" w:styleId="1031" w:customStyle="1">
    <w:name w:val="xl79"/>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32" w:customStyle="1">
    <w:name w:val="xl86"/>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3" w:customStyle="1">
    <w:name w:val="xl69"/>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4" w:customStyle="1">
    <w:name w:val="标题1"/>
    <w:basedOn w:val="775"/>
    <w:next w:val="775"/>
    <w:uiPriority w:val="0"/>
    <w:qFormat/>
    <w:pPr>
      <w:jc w:val="center"/>
      <w:spacing w:line="700" w:lineRule="atLeast"/>
      <w:tabs>
        <w:tab w:val="left" w:pos="9193" w:leader="none"/>
        <w:tab w:val="left" w:pos="9827" w:leader="none"/>
      </w:tabs>
    </w:pPr>
    <w:rPr>
      <w:rFonts w:eastAsia="方正小标宋_GBK"/>
      <w:sz w:val="44"/>
    </w:rPr>
  </w:style>
  <w:style w:type="paragraph" w:styleId="1035" w:customStyle="1">
    <w:name w:val="正文 第一章"/>
    <w:basedOn w:val="775"/>
    <w:next w:val="1036"/>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6" w:customStyle="1">
    <w:name w:val="正文 1.1"/>
    <w:basedOn w:val="775"/>
    <w:next w:val="1029"/>
    <w:uiPriority w:val="0"/>
    <w:qFormat/>
    <w:pPr>
      <w:ind w:left="350" w:hanging="350"/>
      <w:spacing w:line="360" w:lineRule="auto"/>
      <w:outlineLvl w:val="1"/>
    </w:pPr>
    <w:rPr>
      <w:rFonts w:ascii="仿宋" w:eastAsia="仿宋"/>
      <w:b/>
      <w:sz w:val="28"/>
      <w:szCs w:val="21"/>
    </w:rPr>
  </w:style>
  <w:style w:type="paragraph" w:styleId="1037" w:customStyle="1">
    <w:name w:val="Char1"/>
    <w:basedOn w:val="775"/>
    <w:uiPriority w:val="0"/>
    <w:qFormat/>
    <w:pPr>
      <w:tabs>
        <w:tab w:val="left" w:pos="360" w:leader="none"/>
      </w:tabs>
    </w:pPr>
    <w:rPr>
      <w:sz w:val="24"/>
    </w:rPr>
  </w:style>
  <w:style w:type="paragraph" w:styleId="1038" w:customStyle="1">
    <w:name w:val="xl43"/>
    <w:basedOn w:val="77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39" w:customStyle="1">
    <w:name w:val="xl74"/>
    <w:basedOn w:val="775"/>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40" w:customStyle="1">
    <w:name w:val="xl67"/>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列出段落3"/>
    <w:basedOn w:val="775"/>
    <w:uiPriority w:val="0"/>
    <w:qFormat/>
    <w:pPr>
      <w:ind w:firstLine="420"/>
    </w:pPr>
    <w:rPr>
      <w:rFonts w:ascii="Calibri" w:hAnsi="Calibri"/>
      <w:szCs w:val="22"/>
    </w:rPr>
  </w:style>
  <w:style w:type="paragraph" w:styleId="1042" w:customStyle="1">
    <w:name w:val="普通正文"/>
    <w:basedOn w:val="775"/>
    <w:uiPriority w:val="0"/>
    <w:qFormat/>
    <w:pPr>
      <w:ind w:firstLine="480"/>
      <w:jc w:val="left"/>
      <w:spacing w:before="120" w:after="120" w:line="360" w:lineRule="auto"/>
    </w:pPr>
    <w:rPr>
      <w:rFonts w:ascii="Arial" w:hAnsi="Arial"/>
      <w:sz w:val="24"/>
    </w:rPr>
  </w:style>
  <w:style w:type="paragraph" w:styleId="1043">
    <w:name w:val="List Paragraph"/>
    <w:basedOn w:val="775"/>
    <w:uiPriority w:val="0"/>
    <w:qFormat/>
    <w:pPr>
      <w:ind w:firstLine="200"/>
    </w:pPr>
    <w:rPr>
      <w:rFonts w:ascii="Calibri" w:hAnsi="Calibri"/>
      <w:szCs w:val="22"/>
    </w:rPr>
  </w:style>
  <w:style w:type="paragraph" w:styleId="1044" w:customStyle="1">
    <w:name w:val="列出段落2"/>
    <w:basedOn w:val="775"/>
    <w:uiPriority w:val="0"/>
    <w:qFormat/>
    <w:pPr>
      <w:ind w:firstLine="420"/>
    </w:pPr>
    <w:rPr>
      <w:rFonts w:ascii="Calibri" w:hAnsi="Calibri"/>
      <w:szCs w:val="22"/>
    </w:rPr>
  </w:style>
  <w:style w:type="paragraph" w:styleId="1045" w:customStyle="1">
    <w:name w:val="xl71"/>
    <w:basedOn w:val="775"/>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6" w:customStyle="1">
    <w:name w:val="xl81"/>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47" w:customStyle="1">
    <w:name w:val="xl80"/>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48" w:customStyle="1">
    <w:name w:val="xl73"/>
    <w:basedOn w:val="775"/>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49" w:customStyle="1">
    <w:name w:val="BioQuote Tekst"/>
    <w:basedOn w:val="775"/>
    <w:uiPriority w:val="0"/>
    <w:qFormat/>
    <w:pPr>
      <w:ind w:right="-1"/>
    </w:pPr>
    <w:rPr>
      <w:rFonts w:ascii="Arial" w:hAnsi="Arial"/>
      <w:sz w:val="22"/>
      <w:szCs w:val="20"/>
      <w:lang w:eastAsia="en-US"/>
    </w:rPr>
  </w:style>
  <w:style w:type="paragraph" w:styleId="1050" w:customStyle="1">
    <w:name w:val="xl65"/>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xl75"/>
    <w:basedOn w:val="775"/>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52" w:customStyle="1">
    <w:name w:val="xl87"/>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3" w:customStyle="1">
    <w:name w:val="xl78"/>
    <w:basedOn w:val="775"/>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4" w:customStyle="1">
    <w:name w:val="正文格式"/>
    <w:basedOn w:val="799"/>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5" w:customStyle="1">
    <w:name w:val="Char"/>
    <w:basedOn w:val="775"/>
    <w:uiPriority w:val="0"/>
    <w:qFormat/>
    <w:rPr>
      <w:rFonts w:ascii="Tahoma" w:hAnsi="Tahoma"/>
      <w:sz w:val="24"/>
      <w:szCs w:val="20"/>
    </w:rPr>
  </w:style>
  <w:style w:type="paragraph" w:styleId="1056"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57" w:customStyle="1">
    <w:name w:val="列出段落1"/>
    <w:basedOn w:val="775"/>
    <w:uiPriority w:val="0"/>
    <w:qFormat/>
    <w:pPr>
      <w:contextualSpacing/>
      <w:ind w:left="720"/>
      <w:jc w:val="left"/>
      <w:widowControl/>
    </w:pPr>
    <w:rPr>
      <w:rFonts w:ascii="Calibri" w:hAnsi="Calibri"/>
      <w:sz w:val="24"/>
      <w:lang w:eastAsia="en-US" w:bidi="en-US"/>
    </w:rPr>
  </w:style>
  <w:style w:type="paragraph" w:styleId="1058" w:customStyle="1">
    <w:name w:val="xl88"/>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9" w:customStyle="1">
    <w:name w:val="xl72"/>
    <w:basedOn w:val="775"/>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60" w:customStyle="1">
    <w:name w:val="正文空2格  1."/>
    <w:basedOn w:val="775"/>
    <w:uiPriority w:val="0"/>
    <w:qFormat/>
    <w:pPr>
      <w:ind w:firstLine="200"/>
      <w:spacing w:line="360" w:lineRule="auto"/>
    </w:pPr>
    <w:rPr>
      <w:rFonts w:ascii="宋体" w:hAnsi="宋体" w:eastAsia="仿宋" w:cs="宋体"/>
      <w:sz w:val="28"/>
      <w:szCs w:val="20"/>
    </w:rPr>
  </w:style>
  <w:style w:type="paragraph" w:styleId="106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2" w:customStyle="1">
    <w:name w:val="Coms Alinea"/>
    <w:uiPriority w:val="0"/>
    <w:qFormat/>
    <w:pPr>
      <w:widowControl w:val="off"/>
    </w:pPr>
    <w:rPr>
      <w:rFonts w:hint="default" w:ascii="Arial" w:hAnsi="Arial" w:eastAsia="宋体" w:cs="Arial"/>
      <w:lang w:val="en-US" w:eastAsia="zh-CN" w:bidi="ar-SA"/>
    </w:rPr>
  </w:style>
  <w:style w:type="paragraph" w:styleId="1063" w:customStyle="1">
    <w:name w:val="xl70"/>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4" w:customStyle="1">
    <w:name w:val="xl66"/>
    <w:basedOn w:val="775"/>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xl64"/>
    <w:basedOn w:val="775"/>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6" w:customStyle="1">
    <w:name w:val="xl85"/>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67" w:customStyle="1">
    <w:name w:val="xl68"/>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8" w:customStyle="1">
    <w:name w:val="xl84"/>
    <w:basedOn w:val="775"/>
    <w:uiPriority w:val="0"/>
    <w:qFormat/>
    <w:pPr>
      <w:jc w:val="right"/>
      <w:spacing w:before="100" w:beforeAutospacing="1" w:after="100" w:afterAutospacing="1"/>
      <w:shd w:val="clear" w:color="ffffff" w:fill="ffffff"/>
      <w:widowControl/>
    </w:pPr>
    <w:rPr>
      <w:rFonts w:ascii="宋体" w:hAnsi="宋体" w:cs="宋体"/>
      <w:sz w:val="24"/>
    </w:rPr>
  </w:style>
  <w:style w:type="paragraph" w:styleId="1069" w:customStyle="1">
    <w:name w:val="Char Char Char Char"/>
    <w:basedOn w:val="790"/>
    <w:uiPriority w:val="0"/>
    <w:qFormat/>
    <w:pPr>
      <w:spacing w:line="360" w:lineRule="auto"/>
    </w:pPr>
    <w:rPr>
      <w:rFonts w:ascii="Tahoma" w:hAnsi="Tahoma"/>
      <w:sz w:val="24"/>
    </w:rPr>
  </w:style>
  <w:style w:type="paragraph" w:styleId="1070" w:customStyle="1">
    <w:name w:val="xl82"/>
    <w:basedOn w:val="775"/>
    <w:uiPriority w:val="0"/>
    <w:qFormat/>
    <w:pPr>
      <w:jc w:val="left"/>
      <w:spacing w:before="100" w:beforeAutospacing="1" w:after="100" w:afterAutospacing="1"/>
      <w:shd w:val="clear" w:color="ffffff" w:fill="ffffff"/>
      <w:widowControl/>
    </w:pPr>
    <w:rPr>
      <w:rFonts w:ascii="宋体" w:hAnsi="宋体" w:cs="宋体"/>
      <w:sz w:val="24"/>
    </w:rPr>
  </w:style>
  <w:style w:type="paragraph" w:styleId="1071" w:customStyle="1">
    <w:name w:val="Blockquote"/>
    <w:basedOn w:val="775"/>
    <w:uiPriority w:val="0"/>
    <w:qFormat/>
    <w:pPr>
      <w:ind w:left="360" w:right="360"/>
      <w:jc w:val="left"/>
      <w:spacing w:before="100" w:after="100"/>
    </w:pPr>
    <w:rPr>
      <w:sz w:val="24"/>
      <w:szCs w:val="20"/>
    </w:rPr>
  </w:style>
  <w:style w:type="paragraph" w:styleId="1072" w:customStyle="1">
    <w:name w:val="xl33"/>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3" w:customStyle="1">
    <w:name w:val="xl76"/>
    <w:basedOn w:val="775"/>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Char Char Char Char1 Char Char"/>
    <w:basedOn w:val="775"/>
    <w:uiPriority w:val="0"/>
    <w:qFormat/>
    <w:pPr>
      <w:tabs>
        <w:tab w:val="left" w:pos="360" w:leader="none"/>
      </w:tabs>
    </w:pPr>
    <w:rPr>
      <w:sz w:val="24"/>
    </w:rPr>
  </w:style>
  <w:style w:type="paragraph" w:styleId="1076" w:customStyle="1">
    <w:name w:val="样式 标题 2 + 黑色 行距: 1.5 倍行距"/>
    <w:basedOn w:val="777"/>
    <w:uiPriority w:val="0"/>
    <w:qFormat/>
    <w:pPr>
      <w:spacing w:line="360" w:lineRule="auto"/>
    </w:pPr>
    <w:rPr>
      <w:rFonts w:eastAsia="宋体"/>
      <w:color w:val="000000"/>
    </w:rPr>
  </w:style>
  <w:style w:type="character" w:styleId="1077" w:customStyle="1">
    <w:name w:val="hover"/>
    <w:basedOn w:val="785"/>
    <w:uiPriority w:val="0"/>
    <w:qFormat/>
    <w:rPr>
      <w:color w:val="5fb878"/>
    </w:rPr>
  </w:style>
  <w:style w:type="character" w:styleId="1078" w:customStyle="1">
    <w:name w:val="hover1"/>
    <w:basedOn w:val="785"/>
    <w:uiPriority w:val="0"/>
    <w:qFormat/>
    <w:rPr>
      <w:color w:val="ffffff"/>
    </w:rPr>
  </w:style>
  <w:style w:type="character" w:styleId="1079" w:customStyle="1">
    <w:name w:val="hover2"/>
    <w:basedOn w:val="785"/>
    <w:uiPriority w:val="0"/>
    <w:qFormat/>
    <w:rPr>
      <w:color w:val="5fb878"/>
    </w:rPr>
  </w:style>
  <w:style w:type="paragraph" w:styleId="1080" w:customStyle="1">
    <w:name w:val="Table Paragraph"/>
    <w:basedOn w:val="775"/>
    <w:uiPriority w:val="1"/>
    <w:qFormat/>
  </w:style>
  <w:style w:type="character" w:styleId="1081" w:customStyle="1">
    <w:name w:val="NormalCharacter"/>
    <w:uiPriority w:val="0"/>
    <w:semiHidden/>
    <w:qFormat/>
    <w:rPr>
      <w:sz w:val="21"/>
      <w:szCs w:val="24"/>
      <w:lang w:val="en-US" w:eastAsia="zh-CN" w:bidi="ar-SA"/>
    </w:rPr>
  </w:style>
  <w:style w:type="character" w:styleId="1082" w:customStyle="1">
    <w:name w:val="font11"/>
    <w:basedOn w:val="785"/>
    <w:uiPriority w:val="0"/>
    <w:qFormat/>
    <w:rPr>
      <w:rFonts w:hint="eastAsia" w:ascii="宋体" w:hAnsi="宋体" w:eastAsia="宋体" w:cs="宋体"/>
      <w:color w:val="000000"/>
      <w:sz w:val="20"/>
      <w:szCs w:val="20"/>
      <w:u w:val="none"/>
    </w:rPr>
  </w:style>
  <w:style w:type="paragraph" w:styleId="1083"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84" w:customStyle="1">
    <w:name w:val="纯文本1"/>
    <w:basedOn w:val="775"/>
    <w:uiPriority w:val="0"/>
    <w:qFormat/>
    <w:rPr>
      <w:rFonts w:ascii="宋体" w:hAnsi="Courier New" w:eastAsia="宋体" w:cs="Times New Roman"/>
      <w:szCs w:val="20"/>
    </w:rPr>
  </w:style>
  <w:style w:type="paragraph" w:styleId="1085" w:customStyle="1">
    <w:name w:val="正文段落内容"/>
    <w:basedOn w:val="775"/>
    <w:uiPriority w:val="0"/>
    <w:qFormat/>
    <w:pPr>
      <w:ind w:firstLine="200"/>
    </w:pPr>
    <w:rPr>
      <w:szCs w:val="24"/>
      <w:lang w:bidi="en-US"/>
    </w:rPr>
  </w:style>
  <w:style w:type="paragraph" w:styleId="1086" w:customStyle="1">
    <w:name w:val="Other|1"/>
    <w:uiPriority w:val="0"/>
    <w:qFormat/>
    <w:pPr>
      <w:ind w:left="0" w:right="0" w:firstLine="0"/>
      <w:jc w:val="left"/>
      <w:spacing w:before="0" w:after="0" w:line="240" w:lineRule="auto"/>
      <w:shd w:val="clear" w:color="auto" w:fill="auto"/>
      <w:widowControl w:val="off"/>
    </w:pPr>
    <w:rPr>
      <w:rFonts w:ascii="宋体" w:hAnsi="宋体" w:eastAsia="宋体" w:cs="宋体"/>
      <w:color w:val="000000"/>
      <w:spacing w:val="0"/>
      <w:position w:val="0"/>
      <w:sz w:val="20"/>
      <w:szCs w:val="20"/>
      <w:u w:val="none"/>
      <w:shd w:val="clear" w:color="auto" w:fill="auto"/>
      <w:lang w:val="zh-TW" w:eastAsia="zh-TW" w:bidi="zh-TW"/>
    </w:rPr>
  </w:style>
  <w:style w:type="paragraph" w:styleId="1087" w:customStyle="1">
    <w:name w:val="Other|2"/>
    <w:uiPriority w:val="0"/>
    <w:qFormat/>
    <w:pPr>
      <w:ind w:left="0" w:right="0" w:firstLine="0"/>
      <w:jc w:val="center"/>
      <w:spacing w:before="0" w:after="0" w:line="228" w:lineRule="exact"/>
      <w:shd w:val="clear" w:color="auto" w:fill="auto"/>
      <w:widowControl w:val="off"/>
    </w:pPr>
    <w:rPr>
      <w:rFonts w:ascii="宋体" w:hAnsi="宋体" w:eastAsia="宋体" w:cs="宋体"/>
      <w:color w:val="000000"/>
      <w:spacing w:val="0"/>
      <w:position w:val="0"/>
      <w:sz w:val="20"/>
      <w:szCs w:val="20"/>
      <w:u w:val="none"/>
      <w:shd w:val="clear" w:color="auto" w:fill="auto"/>
      <w:lang w:val="zh-TW" w:eastAsia="zh-TW" w:bidi="zh-TW"/>
    </w:rPr>
  </w:style>
  <w:style w:type="paragraph" w:styleId="1088" w:customStyle="1">
    <w:name w:val="Table caption|1"/>
    <w:uiPriority w:val="0"/>
    <w:qFormat/>
    <w:pPr>
      <w:ind w:left="0" w:right="0" w:firstLine="420"/>
      <w:jc w:val="left"/>
      <w:spacing w:before="0" w:after="0" w:line="300" w:lineRule="exact"/>
      <w:shd w:val="clear" w:color="auto" w:fill="auto"/>
      <w:widowControl w:val="off"/>
    </w:pPr>
    <w:rPr>
      <w:rFonts w:ascii="宋体" w:hAnsi="宋体" w:eastAsia="宋体" w:cs="宋体"/>
      <w:color w:val="000000"/>
      <w:spacing w:val="0"/>
      <w:position w:val="0"/>
      <w:sz w:val="20"/>
      <w:szCs w:val="20"/>
      <w:u w:val="none"/>
      <w:shd w:val="clear" w:color="auto" w:fill="auto"/>
      <w:lang w:val="zh-TW" w:eastAsia="zh-TW" w:bidi="zh-TW"/>
    </w:rPr>
  </w:style>
  <w:style w:type="paragraph" w:styleId="1089" w:customStyle="1">
    <w:name w:val="Header or footer|2"/>
    <w:uiPriority w:val="0"/>
    <w:qFormat/>
    <w:pPr>
      <w:ind w:left="0" w:right="0" w:firstLine="0"/>
      <w:jc w:val="left"/>
      <w:spacing w:before="0" w:after="0" w:line="240" w:lineRule="auto"/>
      <w:shd w:val="clear" w:color="auto" w:fill="auto"/>
      <w:widowControl w:val="off"/>
    </w:pPr>
    <w:rPr>
      <w:rFonts w:ascii="Times New Roman" w:hAnsi="Times New Roman" w:eastAsia="Times New Roman" w:cs="Times New Roman"/>
      <w:color w:val="000000"/>
      <w:spacing w:val="0"/>
      <w:position w:val="0"/>
      <w:sz w:val="20"/>
      <w:szCs w:val="20"/>
      <w:u w:val="none"/>
      <w:shd w:val="clear" w:color="auto" w:fill="auto"/>
      <w:lang w:val="zh-TW" w:eastAsia="zh-TW" w:bidi="zh-TW"/>
    </w:rPr>
  </w:style>
  <w:style w:type="numbering" w:styleId="7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卜思允</cp:lastModifiedBy>
  <cp:revision>4</cp:revision>
  <dcterms:created xsi:type="dcterms:W3CDTF">2024-03-07T06:53:00Z</dcterms:created>
  <dcterms:modified xsi:type="dcterms:W3CDTF">2026-05-09T07:55:49Z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SaveFontToCloudKey">
    <vt:lpwstr>462357053_btnclosed</vt:lpwstr>
  </property>
  <property fmtid="{D5CDD505-2E9C-101B-9397-08002B2CF9AE}" pid="4" name="ICV">
    <vt:lpwstr>730FF90BA5634FBB931C7B4C9F04035F_13</vt:lpwstr>
  </property>
  <property fmtid="{D5CDD505-2E9C-101B-9397-08002B2CF9AE}" pid="5" name="KSOTemplateDocerSaveRecord">
    <vt:lpwstr>eyJoZGlkIjoiZTY4MDdmYjg4M2ZhNjQ1YTViNjI5YzUzMTk5NTI4Y2IiLCJ1c2VySWQiOiIzNDYyNjUwNjEifQ==</vt:lpwstr>
  </property>
</Properties>
</file>