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0"/>
        <w:ind w:firstLine="0"/>
        <w:jc w:val="center"/>
        <w:rPr>
          <w:rFonts w:hint="eastAsia" w:ascii="宋体" w:hAnsi="宋体" w:eastAsia="宋体" w:cs="宋体"/>
          <w:b/>
          <w:bCs/>
          <w:color w:val="auto"/>
          <w:sz w:val="44"/>
          <w:szCs w:val="44"/>
          <w:highlight w:val="none"/>
          <w:lang w:eastAsia="zh-CN"/>
        </w:rPr>
      </w:pPr>
      <w:r>
        <w:rPr>
          <w:rFonts w:hint="eastAsia" w:ascii="宋体" w:hAnsi="宋体" w:eastAsia="宋体" w:cs="宋体"/>
          <w:b/>
          <w:bCs/>
          <w:color w:val="auto"/>
          <w:sz w:val="44"/>
          <w:szCs w:val="44"/>
          <w:highlight w:val="none"/>
          <w:lang w:eastAsia="zh-CN"/>
        </w:rPr>
        <w:t xml:space="preserve">灌云县高新区高级中学建设项目雨棚、</w:t>
      </w:r>
      <w:r/>
    </w:p>
    <w:p>
      <w:pPr>
        <w:pStyle w:val="910"/>
        <w:ind w:firstLine="0"/>
        <w:jc w:val="center"/>
        <w:rPr>
          <w:rFonts w:hint="eastAsia" w:ascii="宋体" w:hAnsi="宋体" w:eastAsia="宋体" w:cs="宋体"/>
          <w:b/>
          <w:bCs/>
          <w:color w:val="auto"/>
          <w:sz w:val="44"/>
          <w:szCs w:val="44"/>
          <w:highlight w:val="none"/>
          <w:lang w:eastAsia="zh-CN"/>
        </w:rPr>
      </w:pPr>
      <w:r>
        <w:rPr>
          <w:rFonts w:hint="eastAsia" w:ascii="宋体" w:hAnsi="宋体" w:eastAsia="宋体" w:cs="宋体"/>
          <w:b/>
          <w:bCs/>
          <w:color w:val="auto"/>
          <w:sz w:val="44"/>
          <w:szCs w:val="44"/>
          <w:highlight w:val="none"/>
          <w:lang w:eastAsia="zh-CN"/>
        </w:rPr>
        <w:t xml:space="preserve">穿孔板、地板等采购及安装</w:t>
      </w:r>
      <w:r/>
    </w:p>
    <w:p>
      <w:pPr>
        <w:pStyle w:val="910"/>
        <w:ind w:firstLine="0"/>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（专门面向中小企业）</w:t>
      </w:r>
      <w:r/>
    </w:p>
    <w:p>
      <w:pPr>
        <w:pStyle w:val="910"/>
        <w:ind w:firstLine="0"/>
        <w:jc w:val="both"/>
        <w:rPr>
          <w:rFonts w:hint="eastAsia" w:ascii="宋体" w:hAnsi="宋体" w:eastAsia="宋体" w:cs="宋体"/>
          <w:b/>
          <w:bCs/>
          <w:color w:val="auto"/>
          <w:sz w:val="72"/>
          <w:szCs w:val="22"/>
          <w:highlight w:val="none"/>
        </w:rPr>
      </w:pPr>
      <w:r>
        <w:rPr>
          <w:rFonts w:hint="eastAsia" w:ascii="宋体" w:hAnsi="宋体" w:eastAsia="宋体" w:cs="宋体"/>
          <w:b/>
          <w:bCs/>
          <w:color w:val="auto"/>
          <w:sz w:val="72"/>
          <w:szCs w:val="22"/>
          <w:highlight w:val="none"/>
        </w:rPr>
      </w:r>
      <w:r/>
    </w:p>
    <w:p>
      <w:pPr>
        <w:pStyle w:val="910"/>
        <w:ind w:firstLine="0"/>
        <w:jc w:val="center"/>
        <w:rPr>
          <w:rFonts w:hint="eastAsia" w:ascii="宋体" w:hAnsi="宋体" w:eastAsia="宋体" w:cs="宋体"/>
          <w:b/>
          <w:bCs/>
          <w:color w:val="auto"/>
          <w:sz w:val="72"/>
          <w:szCs w:val="22"/>
          <w:highlight w:val="none"/>
        </w:rPr>
      </w:pPr>
      <w:r>
        <w:rPr>
          <w:rFonts w:hint="eastAsia" w:ascii="宋体" w:hAnsi="宋体" w:eastAsia="宋体" w:cs="宋体"/>
          <w:b/>
          <w:bCs/>
          <w:color w:val="auto"/>
          <w:sz w:val="72"/>
          <w:szCs w:val="22"/>
          <w:highlight w:val="none"/>
        </w:rPr>
      </w:r>
      <w:r/>
    </w:p>
    <w:p>
      <w:pPr>
        <w:pStyle w:val="910"/>
        <w:ind w:firstLine="0"/>
        <w:jc w:val="center"/>
        <w:rPr>
          <w:rFonts w:hint="eastAsia" w:ascii="宋体" w:hAnsi="宋体" w:eastAsia="宋体" w:cs="宋体"/>
          <w:b/>
          <w:bCs/>
          <w:color w:val="auto"/>
          <w:sz w:val="72"/>
          <w:szCs w:val="22"/>
          <w:highlight w:val="none"/>
        </w:rPr>
      </w:pPr>
      <w:r>
        <w:rPr>
          <w:rFonts w:hint="eastAsia" w:ascii="宋体" w:hAnsi="宋体" w:eastAsia="宋体" w:cs="宋体"/>
          <w:b/>
          <w:bCs/>
          <w:color w:val="auto"/>
          <w:sz w:val="72"/>
          <w:szCs w:val="22"/>
          <w:highlight w:val="none"/>
        </w:rPr>
        <w:t xml:space="preserve">招标文件</w:t>
      </w:r>
      <w:r/>
    </w:p>
    <w:p>
      <w:pPr>
        <w:pStyle w:val="910"/>
        <w:ind w:left="0" w:firstLine="0"/>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bCs/>
          <w:color w:val="auto"/>
          <w:sz w:val="32"/>
          <w:szCs w:val="32"/>
          <w:highlight w:val="none"/>
        </w:rPr>
        <w:t xml:space="preserve">项目编号：JSZC-320723-HRGJ-G2026-0006</w:t>
      </w:r>
      <w:r/>
    </w:p>
    <w:p>
      <w:pPr>
        <w:pStyle w:val="910"/>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0"/>
        <w:ind w:left="0" w:firstLine="0"/>
        <w:jc w:val="both"/>
        <w:rPr>
          <w:rFonts w:hint="eastAsia" w:ascii="宋体" w:hAnsi="宋体" w:eastAsia="宋体" w:cs="宋体"/>
          <w:b/>
          <w:bCs/>
          <w:color w:val="auto"/>
          <w:sz w:val="32"/>
          <w:highlight w:val="none"/>
        </w:rPr>
        <w:outlineLvl w:val="0"/>
      </w:pPr>
      <w:r>
        <w:rPr>
          <w:rFonts w:hint="eastAsia" w:ascii="宋体" w:hAnsi="宋体" w:eastAsia="宋体" w:cs="宋体"/>
          <w:b/>
          <w:bCs/>
          <w:color w:val="auto"/>
          <w:sz w:val="32"/>
          <w:highlight w:val="none"/>
        </w:rPr>
      </w:r>
      <w:r/>
    </w:p>
    <w:p>
      <w:pPr>
        <w:pStyle w:val="910"/>
        <w:jc w:val="both"/>
        <w:rPr>
          <w:rFonts w:hint="eastAsia" w:ascii="宋体" w:hAnsi="宋体" w:eastAsia="宋体" w:cs="宋体"/>
          <w:b/>
          <w:bCs/>
          <w:color w:val="auto"/>
          <w:sz w:val="32"/>
          <w:highlight w:val="none"/>
        </w:rPr>
        <w:outlineLvl w:val="0"/>
      </w:pPr>
      <w:r>
        <w:rPr>
          <w:rFonts w:hint="eastAsia" w:ascii="宋体" w:hAnsi="宋体" w:eastAsia="宋体" w:cs="宋体"/>
          <w:b/>
          <w:bCs/>
          <w:color w:val="auto"/>
          <w:sz w:val="32"/>
          <w:highlight w:val="none"/>
        </w:rPr>
      </w:r>
      <w:r/>
    </w:p>
    <w:p>
      <w:pPr>
        <w:pStyle w:val="910"/>
        <w:ind w:left="0" w:firstLine="1285"/>
        <w:jc w:val="both"/>
        <w:rPr>
          <w:rFonts w:hint="eastAsia" w:ascii="宋体" w:hAnsi="宋体" w:eastAsia="宋体" w:cs="宋体"/>
          <w:b/>
          <w:bCs/>
          <w:color w:val="auto"/>
          <w:sz w:val="32"/>
          <w:highlight w:val="none"/>
          <w:lang w:eastAsia="zh-CN"/>
        </w:rPr>
        <w:outlineLvl w:val="0"/>
      </w:pPr>
      <w:r>
        <w:rPr>
          <w:rFonts w:hint="eastAsia" w:ascii="宋体" w:hAnsi="宋体" w:eastAsia="宋体" w:cs="宋体"/>
          <w:b/>
          <w:bCs/>
          <w:color w:val="auto"/>
          <w:sz w:val="32"/>
          <w:highlight w:val="none"/>
          <w:lang w:val="en-US" w:eastAsia="zh-CN"/>
        </w:rPr>
        <w:t xml:space="preserve">采   购   </w:t>
      </w:r>
      <w:r>
        <w:rPr>
          <w:rFonts w:hint="eastAsia" w:ascii="宋体" w:hAnsi="宋体" w:eastAsia="宋体" w:cs="宋体"/>
          <w:b/>
          <w:bCs/>
          <w:color w:val="auto"/>
          <w:sz w:val="32"/>
          <w:highlight w:val="none"/>
        </w:rPr>
        <w:t xml:space="preserve">人：</w:t>
      </w:r>
      <w:bookmarkStart w:id="4" w:name="_Toc1689"/>
      <w:r/>
      <w:bookmarkStart w:id="5" w:name="_Toc1865"/>
      <w:r/>
      <w:bookmarkStart w:id="6" w:name="_Toc31270"/>
      <w:r/>
      <w:bookmarkStart w:id="7" w:name="_Toc931"/>
      <w:r/>
      <w:bookmarkStart w:id="8" w:name="_Toc14767"/>
      <w:r/>
      <w:bookmarkStart w:id="9" w:name="_Toc25504"/>
      <w:r/>
      <w:bookmarkStart w:id="10" w:name="_Toc17956"/>
      <w:r/>
      <w:bookmarkStart w:id="11" w:name="_Toc2460"/>
      <w:r>
        <w:rPr>
          <w:rFonts w:hint="eastAsia" w:ascii="宋体" w:hAnsi="宋体" w:eastAsia="宋体" w:cs="宋体"/>
          <w:b/>
          <w:bCs/>
          <w:color w:val="auto"/>
          <w:sz w:val="32"/>
          <w:highlight w:val="none"/>
          <w:lang w:eastAsia="zh-CN"/>
        </w:rPr>
        <w:t xml:space="preserve">灌云县教育局</w:t>
      </w:r>
      <w:r/>
    </w:p>
    <w:p>
      <w:pPr>
        <w:pStyle w:val="910"/>
        <w:jc w:val="center"/>
        <w:rPr>
          <w:rFonts w:hint="eastAsia" w:ascii="宋体" w:hAnsi="宋体" w:eastAsia="宋体" w:cs="宋体"/>
          <w:b/>
          <w:bCs/>
          <w:color w:val="auto"/>
          <w:sz w:val="32"/>
          <w:highlight w:val="none"/>
        </w:rPr>
        <w:outlineLvl w:val="0"/>
      </w:pPr>
      <w:r>
        <w:rPr>
          <w:rFonts w:hint="eastAsia" w:ascii="宋体" w:hAnsi="宋体" w:eastAsia="宋体" w:cs="宋体"/>
          <w:b/>
          <w:bCs/>
          <w:color w:val="auto"/>
          <w:sz w:val="32"/>
          <w:highlight w:val="none"/>
          <w:lang w:val="en-US" w:eastAsia="zh-CN"/>
        </w:rPr>
        <w:t xml:space="preserve">   采购</w:t>
      </w:r>
      <w:r>
        <w:rPr>
          <w:rFonts w:hint="eastAsia" w:ascii="宋体" w:hAnsi="宋体" w:eastAsia="宋体" w:cs="宋体"/>
          <w:b/>
          <w:bCs/>
          <w:color w:val="auto"/>
          <w:sz w:val="32"/>
          <w:highlight w:val="none"/>
        </w:rPr>
        <w:t xml:space="preserve">代理机构：</w:t>
      </w:r>
      <w:bookmarkEnd w:id="4"/>
      <w:r/>
      <w:bookmarkEnd w:id="5"/>
      <w:r/>
      <w:bookmarkEnd w:id="6"/>
      <w:r/>
      <w:bookmarkEnd w:id="7"/>
      <w:r/>
      <w:bookmarkEnd w:id="8"/>
      <w:r/>
      <w:bookmarkEnd w:id="9"/>
      <w:r/>
      <w:bookmarkEnd w:id="10"/>
      <w:r/>
      <w:bookmarkEnd w:id="11"/>
      <w:r>
        <w:rPr>
          <w:rFonts w:hint="eastAsia" w:ascii="宋体" w:hAnsi="宋体" w:eastAsia="宋体" w:cs="宋体"/>
          <w:b/>
          <w:bCs/>
          <w:color w:val="auto"/>
          <w:sz w:val="32"/>
          <w:highlight w:val="none"/>
        </w:rPr>
        <w:t xml:space="preserve">华瑞国际工程咨询集团有限公司</w:t>
      </w:r>
      <w:r/>
    </w:p>
    <w:p>
      <w:pPr>
        <w:pStyle w:val="910"/>
        <w:ind w:firstLine="0"/>
        <w:jc w:val="center"/>
        <w:rPr>
          <w:rFonts w:hint="eastAsia" w:ascii="宋体" w:hAnsi="宋体" w:eastAsia="宋体" w:cs="宋体"/>
          <w:b w:val="0"/>
          <w:color w:val="auto"/>
          <w:highlight w:val="none"/>
        </w:rPr>
      </w:pPr>
      <w:r>
        <w:rPr>
          <w:rFonts w:hint="eastAsia" w:ascii="宋体" w:hAnsi="宋体" w:eastAsia="宋体" w:cs="宋体"/>
          <w:b/>
          <w:bCs/>
          <w:color w:val="auto"/>
          <w:sz w:val="32"/>
          <w:highlight w:val="none"/>
          <w:lang w:val="en-US" w:eastAsia="zh-CN"/>
        </w:rPr>
        <w:t xml:space="preserve">2026</w:t>
      </w:r>
      <w:r>
        <w:rPr>
          <w:rFonts w:hint="eastAsia" w:ascii="宋体" w:hAnsi="宋体" w:eastAsia="宋体" w:cs="宋体"/>
          <w:b/>
          <w:bCs/>
          <w:color w:val="auto"/>
          <w:sz w:val="32"/>
          <w:highlight w:val="none"/>
        </w:rPr>
        <w:t xml:space="preserve">年</w:t>
      </w:r>
      <w:r>
        <w:rPr>
          <w:rFonts w:hint="eastAsia" w:ascii="宋体" w:hAnsi="宋体" w:eastAsia="宋体" w:cs="宋体"/>
          <w:b/>
          <w:bCs/>
          <w:color w:val="auto"/>
          <w:sz w:val="32"/>
          <w:highlight w:val="none"/>
          <w:lang w:val="en-US" w:eastAsia="zh-CN"/>
        </w:rPr>
        <w:t xml:space="preserve">4</w:t>
      </w:r>
      <w:r>
        <w:rPr>
          <w:rFonts w:hint="eastAsia" w:ascii="宋体" w:hAnsi="宋体" w:eastAsia="宋体" w:cs="宋体"/>
          <w:b/>
          <w:bCs/>
          <w:color w:val="auto"/>
          <w:sz w:val="32"/>
          <w:highlight w:val="none"/>
        </w:rPr>
        <w:t xml:space="preserve">月</w:t>
      </w:r>
      <w:r>
        <w:rPr>
          <w:rFonts w:hint="eastAsia" w:ascii="宋体" w:hAnsi="宋体" w:eastAsia="宋体" w:cs="宋体"/>
          <w:b/>
          <w:bCs/>
          <w:color w:val="auto"/>
          <w:sz w:val="32"/>
          <w:highlight w:val="none"/>
          <w:lang w:val="en-US" w:eastAsia="zh-CN"/>
        </w:rPr>
        <w:t xml:space="preserve">14</w:t>
      </w:r>
      <w:r>
        <w:rPr>
          <w:rFonts w:hint="eastAsia" w:ascii="宋体" w:hAnsi="宋体" w:eastAsia="宋体" w:cs="宋体"/>
          <w:b/>
          <w:bCs/>
          <w:color w:val="auto"/>
          <w:sz w:val="32"/>
          <w:highlight w:val="none"/>
        </w:rPr>
        <w:t xml:space="preserve">日</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TOC \o "1-1" \u </w:instrText>
      </w:r>
      <w:r>
        <w:rPr>
          <w:rFonts w:hint="eastAsia" w:ascii="宋体" w:hAnsi="宋体" w:eastAsia="宋体" w:cs="宋体"/>
          <w:color w:val="auto"/>
          <w:highlight w:val="none"/>
        </w:rPr>
        <w:fldChar w:fldCharType="separate"/>
      </w:r>
      <w:r/>
    </w:p>
    <w:p>
      <w:pPr>
        <w:rPr>
          <w:rFonts w:hint="eastAsia" w:ascii="宋体" w:hAnsi="宋体" w:eastAsia="宋体" w:cs="宋体"/>
          <w:b w:val="0"/>
          <w:color w:val="auto"/>
          <w:highlight w:val="none"/>
        </w:rPr>
      </w:pPr>
      <w:r>
        <w:rPr>
          <w:rFonts w:hint="eastAsia" w:ascii="宋体" w:hAnsi="宋体" w:eastAsia="宋体" w:cs="宋体"/>
          <w:b w:val="0"/>
          <w:color w:val="auto"/>
          <w:highlight w:val="none"/>
        </w:rPr>
        <w:br w:type="page" w:clear="all"/>
      </w:r>
      <w:r/>
    </w:p>
    <w:p>
      <w:pPr>
        <w:pStyle w:val="681"/>
        <w:ind w:left="0" w:right="0"/>
        <w:jc w:val="center"/>
        <w:pageBreakBefore w:val="0"/>
        <w:spacing w:before="0" w:after="0" w:line="490" w:lineRule="exact"/>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目  录</w:t>
      </w:r>
      <w:r/>
    </w:p>
    <w:p>
      <w:pPr>
        <w:pStyle w:val="709"/>
        <w:ind w:left="0" w:right="0"/>
        <w:pageBreakBefore w:val="0"/>
        <w:spacing w:line="490" w:lineRule="exact"/>
        <w:tabs>
          <w:tab w:val="right" w:pos="8296" w:leader="dot"/>
        </w:tabs>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709"/>
        <w:ind w:left="0" w:right="0"/>
        <w:pageBreakBefore w:val="0"/>
        <w:spacing w:line="490" w:lineRule="exact"/>
        <w:tabs>
          <w:tab w:val="right" w:pos="8296" w:leader="dot"/>
        </w:tabs>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第一章</w:t>
      </w:r>
      <w:r>
        <w:rPr>
          <w:rFonts w:hint="eastAsia" w:ascii="宋体" w:hAnsi="宋体" w:eastAsia="宋体" w:cs="宋体"/>
          <w:color w:val="auto"/>
          <w:sz w:val="32"/>
          <w:highlight w:val="none"/>
          <w:lang w:val="en-US" w:eastAsia="zh-CN"/>
        </w:rPr>
        <w:t xml:space="preserve"> </w:t>
      </w:r>
      <w:r>
        <w:rPr>
          <w:rFonts w:hint="eastAsia" w:ascii="宋体" w:hAnsi="宋体" w:eastAsia="宋体" w:cs="宋体"/>
          <w:color w:val="auto"/>
          <w:sz w:val="32"/>
          <w:highlight w:val="none"/>
        </w:rPr>
        <w:t xml:space="preserve">投标邀请</w:t>
      </w:r>
      <w:r>
        <w:rPr>
          <w:rFonts w:hint="eastAsia" w:ascii="宋体" w:hAnsi="宋体" w:eastAsia="宋体" w:cs="宋体"/>
          <w:color w:val="auto"/>
          <w:sz w:val="32"/>
          <w:highlight w:val="none"/>
        </w:rPr>
        <w:tab/>
      </w:r>
      <w:r>
        <w:rPr>
          <w:rFonts w:hint="eastAsia" w:ascii="宋体" w:hAnsi="宋体" w:eastAsia="宋体" w:cs="宋体"/>
          <w:color w:val="auto"/>
          <w:sz w:val="32"/>
          <w:highlight w:val="none"/>
        </w:rPr>
        <w:fldChar w:fldCharType="begin"/>
      </w:r>
      <w:r>
        <w:rPr>
          <w:rFonts w:hint="eastAsia" w:ascii="宋体" w:hAnsi="宋体" w:eastAsia="宋体" w:cs="宋体"/>
          <w:color w:val="auto"/>
          <w:sz w:val="32"/>
          <w:highlight w:val="none"/>
        </w:rPr>
        <w:instrText xml:space="preserve"> PAGEREF _Toc155796356 \h </w:instrText>
      </w:r>
      <w:r>
        <w:rPr>
          <w:rFonts w:hint="eastAsia" w:ascii="宋体" w:hAnsi="宋体" w:eastAsia="宋体" w:cs="宋体"/>
          <w:color w:val="auto"/>
          <w:sz w:val="32"/>
          <w:highlight w:val="none"/>
        </w:rPr>
        <w:fldChar w:fldCharType="separate"/>
      </w:r>
      <w:r>
        <w:rPr>
          <w:rFonts w:hint="eastAsia" w:ascii="宋体" w:hAnsi="宋体" w:eastAsia="宋体" w:cs="宋体"/>
          <w:color w:val="auto"/>
          <w:sz w:val="32"/>
          <w:highlight w:val="none"/>
        </w:rPr>
        <w:t xml:space="preserve">1</w:t>
      </w:r>
      <w:r>
        <w:rPr>
          <w:rFonts w:hint="eastAsia" w:ascii="宋体" w:hAnsi="宋体" w:eastAsia="宋体" w:cs="宋体"/>
          <w:color w:val="auto"/>
          <w:sz w:val="32"/>
          <w:highlight w:val="none"/>
        </w:rPr>
        <w:fldChar w:fldCharType="end"/>
      </w:r>
      <w:r/>
    </w:p>
    <w:p>
      <w:pPr>
        <w:pStyle w:val="709"/>
        <w:ind w:left="0" w:right="0"/>
        <w:pageBreakBefore w:val="0"/>
        <w:spacing w:line="490" w:lineRule="exact"/>
        <w:tabs>
          <w:tab w:val="right" w:pos="8296" w:leader="dot"/>
        </w:tabs>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第二章</w:t>
      </w:r>
      <w:r>
        <w:rPr>
          <w:rFonts w:hint="eastAsia" w:ascii="宋体" w:hAnsi="宋体" w:eastAsia="宋体" w:cs="宋体"/>
          <w:color w:val="auto"/>
          <w:sz w:val="32"/>
          <w:highlight w:val="none"/>
          <w:lang w:val="en-US" w:eastAsia="zh-CN"/>
        </w:rPr>
        <w:t xml:space="preserve"> </w:t>
      </w:r>
      <w:r>
        <w:rPr>
          <w:rFonts w:hint="eastAsia" w:ascii="宋体" w:hAnsi="宋体" w:eastAsia="宋体" w:cs="宋体"/>
          <w:color w:val="auto"/>
          <w:sz w:val="32"/>
          <w:highlight w:val="none"/>
        </w:rPr>
        <w:t xml:space="preserve">投标人须知</w:t>
      </w:r>
      <w:r>
        <w:rPr>
          <w:rFonts w:hint="eastAsia" w:ascii="宋体" w:hAnsi="宋体" w:eastAsia="宋体" w:cs="宋体"/>
          <w:color w:val="auto"/>
          <w:sz w:val="32"/>
          <w:highlight w:val="none"/>
        </w:rPr>
        <w:tab/>
      </w:r>
      <w:r>
        <w:rPr>
          <w:rFonts w:hint="eastAsia" w:ascii="宋体" w:hAnsi="宋体" w:eastAsia="宋体" w:cs="宋体"/>
          <w:color w:val="auto"/>
          <w:sz w:val="32"/>
          <w:highlight w:val="none"/>
        </w:rPr>
        <w:fldChar w:fldCharType="begin"/>
      </w:r>
      <w:r>
        <w:rPr>
          <w:rFonts w:hint="eastAsia" w:ascii="宋体" w:hAnsi="宋体" w:eastAsia="宋体" w:cs="宋体"/>
          <w:color w:val="auto"/>
          <w:sz w:val="32"/>
          <w:highlight w:val="none"/>
        </w:rPr>
        <w:instrText xml:space="preserve"> PAGEREF _Toc155796357 \h </w:instrText>
      </w:r>
      <w:r>
        <w:rPr>
          <w:rFonts w:hint="eastAsia" w:ascii="宋体" w:hAnsi="宋体" w:eastAsia="宋体" w:cs="宋体"/>
          <w:color w:val="auto"/>
          <w:sz w:val="32"/>
          <w:highlight w:val="none"/>
        </w:rPr>
        <w:fldChar w:fldCharType="separate"/>
      </w:r>
      <w:r>
        <w:rPr>
          <w:rFonts w:hint="eastAsia" w:ascii="宋体" w:hAnsi="宋体" w:eastAsia="宋体" w:cs="宋体"/>
          <w:color w:val="auto"/>
          <w:sz w:val="32"/>
          <w:highlight w:val="none"/>
        </w:rPr>
        <w:t xml:space="preserve">4</w:t>
      </w:r>
      <w:r>
        <w:rPr>
          <w:rFonts w:hint="eastAsia" w:ascii="宋体" w:hAnsi="宋体" w:eastAsia="宋体" w:cs="宋体"/>
          <w:color w:val="auto"/>
          <w:sz w:val="32"/>
          <w:highlight w:val="none"/>
        </w:rPr>
        <w:fldChar w:fldCharType="end"/>
      </w:r>
      <w:r/>
    </w:p>
    <w:p>
      <w:pPr>
        <w:pStyle w:val="709"/>
        <w:ind w:left="0" w:right="0"/>
        <w:pageBreakBefore w:val="0"/>
        <w:spacing w:line="490" w:lineRule="exact"/>
        <w:tabs>
          <w:tab w:val="right" w:pos="8296" w:leader="dot"/>
        </w:tabs>
        <w:rPr>
          <w:rFonts w:hint="default" w:ascii="宋体" w:hAnsi="宋体" w:eastAsia="宋体" w:cs="宋体"/>
          <w:color w:val="auto"/>
          <w:sz w:val="32"/>
          <w:highlight w:val="none"/>
          <w:lang w:val="en-US" w:eastAsia="zh-CN"/>
        </w:rPr>
      </w:pPr>
      <w:r>
        <w:rPr>
          <w:rFonts w:hint="eastAsia" w:ascii="宋体" w:hAnsi="宋体" w:eastAsia="宋体" w:cs="宋体"/>
          <w:color w:val="auto"/>
          <w:sz w:val="32"/>
          <w:highlight w:val="none"/>
        </w:rPr>
        <w:t xml:space="preserve">第三章</w:t>
      </w:r>
      <w:r>
        <w:rPr>
          <w:rFonts w:hint="eastAsia" w:ascii="宋体" w:hAnsi="宋体" w:eastAsia="宋体" w:cs="宋体"/>
          <w:color w:val="auto"/>
          <w:sz w:val="32"/>
          <w:highlight w:val="none"/>
          <w:lang w:val="en-US" w:eastAsia="zh-CN"/>
        </w:rPr>
        <w:t xml:space="preserve"> </w:t>
      </w:r>
      <w:r>
        <w:rPr>
          <w:rFonts w:hint="eastAsia" w:ascii="宋体" w:hAnsi="宋体" w:eastAsia="宋体" w:cs="宋体"/>
          <w:color w:val="auto"/>
          <w:sz w:val="32"/>
          <w:highlight w:val="none"/>
        </w:rPr>
        <w:t xml:space="preserve">合同文本</w:t>
      </w:r>
      <w:r>
        <w:rPr>
          <w:rFonts w:hint="eastAsia" w:ascii="宋体" w:hAnsi="宋体" w:eastAsia="宋体" w:cs="宋体"/>
          <w:color w:val="auto"/>
          <w:sz w:val="32"/>
          <w:highlight w:val="none"/>
        </w:rPr>
        <w:tab/>
      </w:r>
      <w:r>
        <w:rPr>
          <w:rFonts w:hint="eastAsia" w:ascii="宋体" w:hAnsi="宋体" w:eastAsia="宋体" w:cs="宋体"/>
          <w:color w:val="auto"/>
          <w:sz w:val="32"/>
          <w:highlight w:val="none"/>
          <w:lang w:val="en-US" w:eastAsia="zh-CN"/>
        </w:rPr>
        <w:t xml:space="preserve">21</w:t>
      </w:r>
      <w:r/>
    </w:p>
    <w:p>
      <w:pPr>
        <w:pStyle w:val="709"/>
        <w:ind w:left="0" w:right="0"/>
        <w:pageBreakBefore w:val="0"/>
        <w:spacing w:line="490" w:lineRule="exact"/>
        <w:tabs>
          <w:tab w:val="right" w:pos="8296" w:leader="dot"/>
        </w:tabs>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第四章</w:t>
      </w:r>
      <w:r>
        <w:rPr>
          <w:rFonts w:hint="eastAsia" w:ascii="宋体" w:hAnsi="宋体" w:eastAsia="宋体" w:cs="宋体"/>
          <w:color w:val="auto"/>
          <w:sz w:val="32"/>
          <w:highlight w:val="none"/>
          <w:lang w:val="en-US" w:eastAsia="zh-CN"/>
        </w:rPr>
        <w:t xml:space="preserve"> </w:t>
      </w:r>
      <w:r>
        <w:rPr>
          <w:rFonts w:hint="eastAsia" w:ascii="宋体" w:hAnsi="宋体" w:eastAsia="宋体" w:cs="宋体"/>
          <w:color w:val="auto"/>
          <w:sz w:val="32"/>
          <w:highlight w:val="none"/>
        </w:rPr>
        <w:t xml:space="preserve">采购需求</w:t>
      </w:r>
      <w:r>
        <w:rPr>
          <w:rFonts w:hint="eastAsia" w:ascii="宋体" w:hAnsi="宋体" w:eastAsia="宋体" w:cs="宋体"/>
          <w:color w:val="auto"/>
          <w:sz w:val="32"/>
          <w:highlight w:val="none"/>
        </w:rPr>
        <w:tab/>
      </w:r>
      <w:r>
        <w:rPr>
          <w:rFonts w:hint="eastAsia" w:ascii="宋体" w:hAnsi="宋体" w:eastAsia="宋体" w:cs="宋体"/>
          <w:color w:val="auto"/>
          <w:sz w:val="32"/>
          <w:highlight w:val="none"/>
        </w:rPr>
        <w:fldChar w:fldCharType="begin"/>
      </w:r>
      <w:r>
        <w:rPr>
          <w:rFonts w:hint="eastAsia" w:ascii="宋体" w:hAnsi="宋体" w:eastAsia="宋体" w:cs="宋体"/>
          <w:color w:val="auto"/>
          <w:sz w:val="32"/>
          <w:highlight w:val="none"/>
        </w:rPr>
        <w:instrText xml:space="preserve"> PAGEREF _Toc155796359 \h </w:instrText>
      </w:r>
      <w:r>
        <w:rPr>
          <w:rFonts w:hint="eastAsia" w:ascii="宋体" w:hAnsi="宋体" w:eastAsia="宋体" w:cs="宋体"/>
          <w:color w:val="auto"/>
          <w:sz w:val="32"/>
          <w:highlight w:val="none"/>
        </w:rPr>
        <w:fldChar w:fldCharType="separate"/>
      </w:r>
      <w:r>
        <w:rPr>
          <w:rFonts w:hint="eastAsia" w:ascii="宋体" w:hAnsi="宋体" w:eastAsia="宋体" w:cs="宋体"/>
          <w:color w:val="auto"/>
          <w:sz w:val="32"/>
          <w:highlight w:val="none"/>
          <w:lang w:val="en-US" w:eastAsia="zh-CN"/>
        </w:rPr>
        <w:t xml:space="preserve">4</w:t>
      </w:r>
      <w:r>
        <w:rPr>
          <w:rFonts w:hint="eastAsia" w:ascii="宋体" w:hAnsi="宋体" w:eastAsia="宋体" w:cs="宋体"/>
          <w:color w:val="auto"/>
          <w:sz w:val="32"/>
          <w:highlight w:val="none"/>
        </w:rPr>
        <w:t xml:space="preserve">1</w:t>
      </w:r>
      <w:r>
        <w:rPr>
          <w:rFonts w:hint="eastAsia" w:ascii="宋体" w:hAnsi="宋体" w:eastAsia="宋体" w:cs="宋体"/>
          <w:color w:val="auto"/>
          <w:sz w:val="32"/>
          <w:highlight w:val="none"/>
        </w:rPr>
        <w:fldChar w:fldCharType="end"/>
      </w:r>
      <w:r/>
    </w:p>
    <w:p>
      <w:pPr>
        <w:pStyle w:val="709"/>
        <w:ind w:left="0" w:right="0"/>
        <w:pageBreakBefore w:val="0"/>
        <w:spacing w:line="490" w:lineRule="exact"/>
        <w:tabs>
          <w:tab w:val="right" w:pos="8296" w:leader="dot"/>
        </w:tabs>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第五章</w:t>
      </w:r>
      <w:r>
        <w:rPr>
          <w:rFonts w:hint="eastAsia" w:ascii="宋体" w:hAnsi="宋体" w:eastAsia="宋体" w:cs="宋体"/>
          <w:color w:val="auto"/>
          <w:sz w:val="32"/>
          <w:highlight w:val="none"/>
          <w:lang w:val="en-US" w:eastAsia="zh-CN"/>
        </w:rPr>
        <w:t xml:space="preserve"> </w:t>
      </w:r>
      <w:r>
        <w:rPr>
          <w:rFonts w:hint="eastAsia" w:ascii="宋体" w:hAnsi="宋体" w:eastAsia="宋体" w:cs="宋体"/>
          <w:color w:val="auto"/>
          <w:sz w:val="32"/>
          <w:highlight w:val="none"/>
        </w:rPr>
        <w:t xml:space="preserve">评标方法与评标标准</w:t>
      </w:r>
      <w:r>
        <w:rPr>
          <w:rFonts w:hint="eastAsia" w:ascii="宋体" w:hAnsi="宋体" w:eastAsia="宋体" w:cs="宋体"/>
          <w:color w:val="auto"/>
          <w:sz w:val="32"/>
          <w:highlight w:val="none"/>
        </w:rPr>
        <w:tab/>
      </w:r>
      <w:r>
        <w:rPr>
          <w:rFonts w:hint="eastAsia" w:ascii="宋体" w:hAnsi="宋体" w:eastAsia="宋体" w:cs="宋体"/>
          <w:color w:val="auto"/>
          <w:sz w:val="32"/>
          <w:highlight w:val="none"/>
        </w:rPr>
        <w:fldChar w:fldCharType="begin"/>
      </w:r>
      <w:r>
        <w:rPr>
          <w:rFonts w:hint="eastAsia" w:ascii="宋体" w:hAnsi="宋体" w:eastAsia="宋体" w:cs="宋体"/>
          <w:color w:val="auto"/>
          <w:sz w:val="32"/>
          <w:highlight w:val="none"/>
        </w:rPr>
        <w:instrText xml:space="preserve"> PAGEREF _Toc155796360 \h </w:instrText>
      </w:r>
      <w:r>
        <w:rPr>
          <w:rFonts w:hint="eastAsia" w:ascii="宋体" w:hAnsi="宋体" w:eastAsia="宋体" w:cs="宋体"/>
          <w:color w:val="auto"/>
          <w:sz w:val="32"/>
          <w:highlight w:val="none"/>
        </w:rPr>
        <w:fldChar w:fldCharType="separate"/>
      </w:r>
      <w:r>
        <w:rPr>
          <w:rFonts w:hint="eastAsia" w:ascii="宋体" w:hAnsi="宋体" w:eastAsia="宋体" w:cs="宋体"/>
          <w:color w:val="auto"/>
          <w:sz w:val="32"/>
          <w:highlight w:val="none"/>
        </w:rPr>
        <w:t xml:space="preserve">63</w:t>
      </w:r>
      <w:r>
        <w:rPr>
          <w:rFonts w:hint="eastAsia" w:ascii="宋体" w:hAnsi="宋体" w:eastAsia="宋体" w:cs="宋体"/>
          <w:color w:val="auto"/>
          <w:sz w:val="32"/>
          <w:highlight w:val="none"/>
        </w:rPr>
        <w:fldChar w:fldCharType="end"/>
      </w:r>
      <w:r/>
    </w:p>
    <w:p>
      <w:pPr>
        <w:pStyle w:val="709"/>
        <w:ind w:left="0" w:right="0"/>
        <w:pageBreakBefore w:val="0"/>
        <w:spacing w:line="490" w:lineRule="exact"/>
        <w:tabs>
          <w:tab w:val="right" w:pos="8296" w:leader="dot"/>
        </w:tabs>
        <w:rPr>
          <w:rFonts w:hint="default" w:ascii="宋体" w:hAnsi="宋体" w:eastAsia="宋体" w:cs="宋体"/>
          <w:color w:val="auto"/>
          <w:sz w:val="32"/>
          <w:highlight w:val="none"/>
          <w:lang w:val="en-US" w:eastAsia="zh-CN"/>
        </w:rPr>
      </w:pPr>
      <w:r>
        <w:rPr>
          <w:rFonts w:hint="eastAsia" w:ascii="宋体" w:hAnsi="宋体" w:eastAsia="宋体" w:cs="宋体"/>
          <w:color w:val="auto"/>
          <w:sz w:val="32"/>
          <w:highlight w:val="none"/>
        </w:rPr>
        <w:t xml:space="preserve">第六章</w:t>
      </w:r>
      <w:r>
        <w:rPr>
          <w:rFonts w:hint="eastAsia" w:ascii="宋体" w:hAnsi="宋体" w:eastAsia="宋体" w:cs="宋体"/>
          <w:color w:val="auto"/>
          <w:sz w:val="32"/>
          <w:highlight w:val="none"/>
          <w:lang w:val="en-US" w:eastAsia="zh-CN"/>
        </w:rPr>
        <w:t xml:space="preserve"> </w:t>
      </w:r>
      <w:r>
        <w:rPr>
          <w:rFonts w:hint="eastAsia" w:ascii="宋体" w:hAnsi="宋体" w:eastAsia="宋体" w:cs="宋体"/>
          <w:color w:val="auto"/>
          <w:sz w:val="32"/>
          <w:highlight w:val="none"/>
        </w:rPr>
        <w:t xml:space="preserve">投标文件格式</w:t>
      </w:r>
      <w:r>
        <w:rPr>
          <w:rFonts w:hint="eastAsia" w:ascii="宋体" w:hAnsi="宋体" w:eastAsia="宋体" w:cs="宋体"/>
          <w:color w:val="auto"/>
          <w:sz w:val="32"/>
          <w:highlight w:val="none"/>
        </w:rPr>
        <w:tab/>
      </w:r>
      <w:r>
        <w:rPr>
          <w:rFonts w:hint="eastAsia" w:ascii="宋体" w:hAnsi="宋体" w:eastAsia="宋体" w:cs="宋体"/>
          <w:color w:val="auto"/>
          <w:sz w:val="32"/>
          <w:highlight w:val="none"/>
          <w:lang w:val="en-US" w:eastAsia="zh-CN"/>
        </w:rPr>
        <w:t xml:space="preserve">66</w:t>
      </w:r>
      <w:r/>
    </w:p>
    <w:p>
      <w:pPr>
        <w:ind w:left="0" w:right="0"/>
        <w:jc w:val="left"/>
        <w:pageBreakBefore w:val="0"/>
        <w:spacing w:line="49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fldChar w:fldCharType="end"/>
      </w:r>
      <w:r>
        <w:rPr>
          <w:rFonts w:hint="eastAsia" w:ascii="宋体" w:hAnsi="宋体" w:eastAsia="宋体" w:cs="宋体"/>
          <w:color w:val="auto"/>
          <w:highlight w:val="none"/>
        </w:rPr>
        <w:br w:type="page" w:clear="all"/>
      </w:r>
      <w:r/>
    </w:p>
    <w:p>
      <w:pPr>
        <w:pStyle w:val="681"/>
        <w:ind w:left="0" w:right="0"/>
        <w:jc w:val="center"/>
        <w:pageBreakBefore w:val="0"/>
        <w:spacing w:before="0" w:after="0" w:line="490" w:lineRule="exact"/>
        <w:rPr>
          <w:rFonts w:hint="eastAsia" w:ascii="宋体" w:hAnsi="宋体" w:eastAsia="宋体" w:cs="宋体"/>
          <w:b w:val="0"/>
          <w:color w:val="auto"/>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bookmarkStart w:id="12" w:name="_Toc155796356"/>
      <w:r/>
      <w:r/>
    </w:p>
    <w:p>
      <w:pPr>
        <w:pStyle w:val="681"/>
        <w:ind w:left="0" w:right="0"/>
        <w:jc w:val="center"/>
        <w:pageBreakBefore w:val="0"/>
        <w:spacing w:before="0" w:after="0" w:line="360" w:lineRule="auto"/>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第一章  投标邀请</w:t>
      </w:r>
      <w:bookmarkEnd w:id="12"/>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u w:val="single"/>
          <w:lang w:eastAsia="zh-CN"/>
        </w:rPr>
        <w:t xml:space="preserve">灌云县教育局</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u w:val="single"/>
          <w:lang w:eastAsia="zh-CN"/>
        </w:rPr>
        <w:t xml:space="preserve">华瑞国际工程咨询集团有限公司</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u w:val="single"/>
          <w:lang w:eastAsia="zh-CN"/>
        </w:rPr>
        <w:t xml:space="preserve">灌云县高新区高级中学建设项目雨棚、穿孔板、地板等采购及安装</w:t>
      </w:r>
      <w:r>
        <w:rPr>
          <w:rFonts w:hint="eastAsia" w:ascii="宋体" w:hAnsi="宋体" w:eastAsia="宋体" w:cs="宋体"/>
          <w:color w:val="auto"/>
          <w:sz w:val="24"/>
          <w:szCs w:val="24"/>
          <w:highlight w:val="none"/>
        </w:rPr>
        <w:t xml:space="preserve">（JSZC-320723-HRGJ-G2026-0006）进行公开招标采购，欢迎符合条件的</w:t>
      </w:r>
      <w:r>
        <w:rPr>
          <w:rFonts w:hint="eastAsia" w:ascii="宋体" w:hAnsi="宋体" w:eastAsia="宋体" w:cs="宋体"/>
          <w:color w:val="auto"/>
          <w:sz w:val="24"/>
          <w:szCs w:val="24"/>
          <w:highlight w:val="none"/>
          <w:lang w:eastAsia="zh-CN"/>
        </w:rPr>
        <w:t xml:space="preserve">投标人参与投标</w:t>
      </w:r>
      <w:r>
        <w:rPr>
          <w:rFonts w:hint="eastAsia" w:ascii="宋体" w:hAnsi="宋体" w:eastAsia="宋体" w:cs="宋体"/>
          <w:color w:val="auto"/>
          <w:sz w:val="24"/>
          <w:szCs w:val="24"/>
          <w:highlight w:val="none"/>
        </w:rPr>
        <w:t xml:space="preserve">。</w:t>
      </w:r>
      <w:r/>
    </w:p>
    <w:tbl>
      <w:tblPr>
        <w:tblStyle w:val="722"/>
        <w:tblW w:w="91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74"/>
      </w:tblGrid>
      <w:tr>
        <w:trPr>
          <w:trHeight w:val="1564"/>
        </w:trPr>
        <w:tc>
          <w:tcPr>
            <w:tcW w:w="9174" w:type="dxa"/>
            <w:textDirection w:val="lrTb"/>
            <w:noWrap w:val="false"/>
          </w:tcPr>
          <w:p>
            <w:pPr>
              <w:ind w:left="0" w:right="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项目概况</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 xml:space="preserve">灌云县高新区高级中学建设项目雨棚、穿孔板、地板等采购及安装</w:t>
            </w:r>
            <w:r>
              <w:rPr>
                <w:rFonts w:hint="eastAsia" w:ascii="宋体" w:hAnsi="宋体" w:eastAsia="宋体" w:cs="宋体"/>
                <w:color w:val="auto"/>
                <w:sz w:val="24"/>
                <w:szCs w:val="24"/>
                <w:highlight w:val="none"/>
              </w:rPr>
              <w:t xml:space="preserve">的潜在投标人应在</w:t>
            </w:r>
            <w:r>
              <w:rPr>
                <w:rFonts w:hint="eastAsia" w:ascii="宋体" w:hAnsi="宋体" w:eastAsia="宋体" w:cs="宋体"/>
                <w:color w:val="auto"/>
                <w:sz w:val="24"/>
                <w:szCs w:val="24"/>
                <w:highlight w:val="none"/>
                <w:u w:val="single"/>
              </w:rPr>
              <w:t xml:space="preserve">“江苏政府采购网”自行免费下载</w:t>
            </w:r>
            <w:r>
              <w:rPr>
                <w:rFonts w:hint="eastAsia" w:ascii="宋体" w:hAnsi="宋体" w:eastAsia="宋体" w:cs="宋体"/>
                <w:color w:val="auto"/>
                <w:sz w:val="24"/>
                <w:szCs w:val="24"/>
                <w:highlight w:val="none"/>
              </w:rPr>
              <w:t xml:space="preserve">招标文件，并于</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05</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06 </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:00</w:t>
            </w:r>
            <w:r>
              <w:rPr>
                <w:rFonts w:hint="eastAsia" w:ascii="宋体" w:hAnsi="宋体" w:eastAsia="宋体" w:cs="宋体"/>
                <w:color w:val="auto"/>
                <w:sz w:val="24"/>
                <w:szCs w:val="24"/>
                <w:highlight w:val="none"/>
                <w:u w:val="single"/>
                <w:lang w:eastAsia="zh-CN"/>
              </w:rPr>
              <w:t xml:space="preserve">分</w:t>
            </w:r>
            <w:r>
              <w:rPr>
                <w:rFonts w:hint="eastAsia" w:ascii="宋体" w:hAnsi="宋体" w:eastAsia="宋体" w:cs="宋体"/>
                <w:color w:val="auto"/>
                <w:sz w:val="24"/>
                <w:szCs w:val="24"/>
                <w:highlight w:val="none"/>
              </w:rPr>
              <w:t xml:space="preserve">（北京时间）前递交（上传）投标文件。</w:t>
            </w:r>
            <w:r/>
          </w:p>
        </w:tc>
      </w:tr>
    </w:tbl>
    <w:p>
      <w:pPr>
        <w:pStyle w:val="682"/>
        <w:ind w:left="0" w:right="0"/>
        <w:pageBreakBefore w:val="0"/>
        <w:spacing w:before="0" w:after="0" w:line="360" w:lineRule="auto"/>
        <w:widowControl w:val="off"/>
        <w:rPr>
          <w:rFonts w:hint="eastAsia" w:ascii="宋体" w:hAnsi="宋体" w:eastAsia="宋体" w:cs="宋体"/>
          <w:b w:val="0"/>
          <w:color w:val="auto"/>
          <w:sz w:val="28"/>
          <w:szCs w:val="28"/>
          <w:highlight w:val="none"/>
        </w:rPr>
      </w:pPr>
      <w:r>
        <w:rPr>
          <w:rFonts w:hint="eastAsia" w:ascii="宋体" w:hAnsi="宋体" w:eastAsia="宋体" w:cs="宋体"/>
          <w:b w:val="0"/>
          <w:color w:val="auto"/>
          <w:sz w:val="28"/>
          <w:szCs w:val="28"/>
          <w:highlight w:val="none"/>
        </w:rPr>
        <w:t xml:space="preserve">一、</w:t>
      </w:r>
      <w:r>
        <w:rPr>
          <w:rFonts w:hint="eastAsia" w:ascii="宋体" w:hAnsi="宋体" w:eastAsia="宋体" w:cs="宋体"/>
          <w:b/>
          <w:bCs w:val="0"/>
          <w:color w:val="auto"/>
          <w:sz w:val="28"/>
          <w:szCs w:val="28"/>
          <w:highlight w:val="none"/>
        </w:rPr>
        <w:t xml:space="preserve">项目基本情况</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项目编号：JSZC-320723-HRGJ-G2026-0006</w:t>
      </w:r>
      <w:r>
        <w:rPr>
          <w:rFonts w:hint="eastAsia" w:ascii="宋体" w:hAnsi="宋体" w:eastAsia="宋体" w:cs="宋体"/>
          <w:color w:val="auto"/>
          <w:sz w:val="24"/>
          <w:szCs w:val="24"/>
          <w:highlight w:val="none"/>
          <w:lang w:val="en-US" w:eastAsia="zh-CN"/>
        </w:rPr>
        <w:t xml:space="preserve">         </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灌云县高新</w:t>
      </w:r>
      <w:bookmarkStart w:id="39" w:name="_GoBack"/>
      <w:r/>
      <w:bookmarkEnd w:id="39"/>
      <w:r>
        <w:rPr>
          <w:rFonts w:hint="eastAsia" w:ascii="宋体" w:hAnsi="宋体" w:eastAsia="宋体" w:cs="宋体"/>
          <w:color w:val="auto"/>
          <w:sz w:val="24"/>
          <w:szCs w:val="24"/>
          <w:highlight w:val="none"/>
          <w:lang w:eastAsia="zh-CN"/>
        </w:rPr>
        <w:t xml:space="preserve">区高级中学建设项目雨棚、穿孔板、地板等采购及安装</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505.333377</w:t>
      </w:r>
      <w:r>
        <w:rPr>
          <w:rFonts w:hint="eastAsia" w:ascii="宋体" w:hAnsi="宋体" w:eastAsia="宋体" w:cs="宋体"/>
          <w:color w:val="auto"/>
          <w:sz w:val="24"/>
          <w:szCs w:val="24"/>
          <w:highlight w:val="none"/>
        </w:rPr>
        <w:t xml:space="preserve">万元</w:t>
      </w:r>
      <w:r/>
    </w:p>
    <w:p>
      <w:pPr>
        <w:ind w:righ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本项目设定最高限价，最高限价为5053333.77元，投标报价超过最高限价的视为无效标。</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eastAsia="zh-CN"/>
        </w:rPr>
        <w:t xml:space="preserve">灌云县高新区高级中学建设项目雨棚、穿孔板、地板等采购及安装</w:t>
      </w:r>
      <w:r>
        <w:rPr>
          <w:rFonts w:hint="eastAsia" w:ascii="宋体" w:hAnsi="宋体" w:eastAsia="宋体" w:cs="宋体"/>
          <w:color w:val="auto"/>
          <w:sz w:val="24"/>
          <w:szCs w:val="24"/>
          <w:highlight w:val="none"/>
        </w:rPr>
        <w:t xml:space="preserve">，包括实验室废水处理装置；游泳池水处理系统；淋浴隔断（含拉手、铰链、固定件、五金配件等）；钢结构雨棚；穿孔板；金属格栅；塑胶地板、强化复合地板楼地面、报告厅钢木踏步等采购安装全部工作。</w:t>
      </w:r>
      <w:r>
        <w:rPr>
          <w:rFonts w:hint="eastAsia" w:ascii="宋体" w:hAnsi="宋体" w:eastAsia="宋体" w:cs="宋体"/>
          <w:color w:val="auto"/>
          <w:sz w:val="24"/>
          <w:szCs w:val="24"/>
          <w:highlight w:val="none"/>
          <w:lang w:val="en-US" w:eastAsia="zh-CN"/>
        </w:rPr>
        <w:t xml:space="preserve">具体</w:t>
      </w:r>
      <w:r>
        <w:rPr>
          <w:rFonts w:hint="eastAsia" w:ascii="宋体" w:hAnsi="宋体" w:eastAsia="宋体" w:cs="宋体"/>
          <w:color w:val="auto"/>
          <w:sz w:val="24"/>
          <w:szCs w:val="24"/>
          <w:highlight w:val="none"/>
        </w:rPr>
        <w:t xml:space="preserve">详见第四章采购需求。</w:t>
      </w:r>
      <w:r/>
    </w:p>
    <w:p>
      <w:pPr>
        <w:ind w:righ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对本项目资格要求、采购需求、评标方法与评标标准等部分的询问、质疑请与</w:t>
      </w:r>
      <w:r>
        <w:rPr>
          <w:rFonts w:hint="eastAsia" w:ascii="宋体" w:hAnsi="宋体" w:eastAsia="宋体" w:cs="宋体"/>
          <w:b/>
          <w:color w:val="auto"/>
          <w:sz w:val="24"/>
          <w:szCs w:val="24"/>
          <w:highlight w:val="none"/>
          <w:lang w:eastAsia="zh-CN"/>
        </w:rPr>
        <w:t xml:space="preserve">采购人</w:t>
      </w:r>
      <w:r>
        <w:rPr>
          <w:rFonts w:hint="eastAsia" w:ascii="宋体" w:hAnsi="宋体" w:eastAsia="宋体" w:cs="宋体"/>
          <w:b/>
          <w:color w:val="auto"/>
          <w:sz w:val="24"/>
          <w:szCs w:val="24"/>
          <w:highlight w:val="none"/>
        </w:rPr>
        <w:t xml:space="preserve">联系，由</w:t>
      </w:r>
      <w:r>
        <w:rPr>
          <w:rFonts w:hint="eastAsia" w:ascii="宋体" w:hAnsi="宋体" w:eastAsia="宋体" w:cs="宋体"/>
          <w:b/>
          <w:color w:val="auto"/>
          <w:sz w:val="24"/>
          <w:szCs w:val="24"/>
          <w:highlight w:val="none"/>
          <w:lang w:eastAsia="zh-CN"/>
        </w:rPr>
        <w:t xml:space="preserve">采购人</w:t>
      </w:r>
      <w:r>
        <w:rPr>
          <w:rFonts w:hint="eastAsia" w:ascii="宋体" w:hAnsi="宋体" w:eastAsia="宋体" w:cs="宋体"/>
          <w:b/>
          <w:color w:val="auto"/>
          <w:sz w:val="24"/>
          <w:szCs w:val="24"/>
          <w:highlight w:val="none"/>
        </w:rPr>
        <w:t xml:space="preserve">负责答复。</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合同履行期限：</w:t>
      </w:r>
      <w:r>
        <w:rPr>
          <w:rFonts w:hint="eastAsia" w:ascii="宋体" w:hAnsi="宋体" w:eastAsia="宋体" w:cs="宋体"/>
          <w:color w:val="auto"/>
          <w:sz w:val="24"/>
          <w:szCs w:val="24"/>
          <w:highlight w:val="none"/>
          <w:lang w:val="en-US" w:eastAsia="zh-CN"/>
        </w:rPr>
        <w:t xml:space="preserve">自合同签订之日起60日历天内完成</w:t>
      </w:r>
      <w:r>
        <w:rPr>
          <w:rFonts w:hint="eastAsia" w:ascii="宋体" w:hAnsi="宋体" w:eastAsia="宋体" w:cs="宋体"/>
          <w:color w:val="auto"/>
          <w:sz w:val="24"/>
          <w:szCs w:val="24"/>
          <w:highlight w:val="none"/>
        </w:rPr>
        <w:t xml:space="preserve">本项目全部货物供货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施工、安装、调试、检测、验收合格并交付使用；</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w:t>
      </w:r>
      <w:r>
        <w:rPr>
          <w:rFonts w:hint="eastAsia" w:ascii="宋体" w:hAnsi="宋体" w:eastAsia="宋体" w:cs="宋体"/>
          <w:b/>
          <w:bCs/>
          <w:color w:val="auto"/>
          <w:sz w:val="24"/>
          <w:szCs w:val="24"/>
          <w:highlight w:val="none"/>
          <w:u w:val="single"/>
        </w:rPr>
        <w:t xml:space="preserve">不接受</w:t>
      </w:r>
      <w:r>
        <w:rPr>
          <w:rFonts w:hint="eastAsia" w:ascii="宋体" w:hAnsi="宋体" w:eastAsia="宋体" w:cs="宋体"/>
          <w:color w:val="auto"/>
          <w:sz w:val="24"/>
          <w:szCs w:val="24"/>
          <w:highlight w:val="none"/>
        </w:rPr>
        <w:t xml:space="preserve">联合体投标</w:t>
      </w:r>
      <w:r>
        <w:rPr>
          <w:rFonts w:hint="eastAsia" w:ascii="宋体" w:hAnsi="宋体" w:eastAsia="宋体" w:cs="宋体"/>
          <w:color w:val="auto"/>
          <w:sz w:val="24"/>
          <w:szCs w:val="24"/>
          <w:highlight w:val="none"/>
          <w:lang w:eastAsia="zh-CN"/>
        </w:rPr>
        <w:t xml:space="preserve">。</w:t>
      </w:r>
      <w:r/>
    </w:p>
    <w:p>
      <w:pPr>
        <w:pStyle w:val="682"/>
        <w:ind w:left="0" w:right="0"/>
        <w:pageBreakBefore w:val="0"/>
        <w:spacing w:before="0" w:after="0" w:line="360" w:lineRule="auto"/>
        <w:widowControl w:val="off"/>
        <w:rPr>
          <w:rFonts w:hint="eastAsia" w:ascii="宋体" w:hAnsi="宋体" w:eastAsia="宋体" w:cs="宋体"/>
          <w:b w:val="0"/>
          <w:color w:val="auto"/>
          <w:sz w:val="28"/>
          <w:szCs w:val="28"/>
          <w:highlight w:val="none"/>
        </w:rPr>
      </w:pPr>
      <w:r>
        <w:rPr>
          <w:rFonts w:hint="eastAsia" w:ascii="宋体" w:hAnsi="宋体" w:eastAsia="宋体" w:cs="宋体"/>
          <w:b w:val="0"/>
          <w:color w:val="auto"/>
          <w:sz w:val="28"/>
          <w:szCs w:val="28"/>
          <w:highlight w:val="none"/>
        </w:rPr>
        <w:t xml:space="preserve">二、</w:t>
      </w:r>
      <w:r>
        <w:rPr>
          <w:rFonts w:hint="eastAsia" w:ascii="宋体" w:hAnsi="宋体" w:eastAsia="宋体" w:cs="宋体"/>
          <w:b/>
          <w:bCs w:val="0"/>
          <w:color w:val="auto"/>
          <w:sz w:val="28"/>
          <w:szCs w:val="28"/>
          <w:highlight w:val="none"/>
        </w:rPr>
        <w:t xml:space="preserve">申请人的资格要求</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满足《中华人民共和国政府采购法》第二十二条规定，并提供下列材料：</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1.法人或者其他组织的营业执照等证明文件，自然人的身份证明；</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具有良好的商业信誉和健全的财务会计制度；</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依法缴纳税收和社会保障资金的相关材料；</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具备履行合同所必需的设备和专业技术能力的书面声明</w:t>
      </w:r>
      <w:r>
        <w:rPr>
          <w:rFonts w:hint="eastAsia" w:ascii="宋体" w:hAnsi="宋体" w:eastAsia="宋体" w:cs="宋体"/>
          <w:i w:val="0"/>
          <w:color w:val="auto"/>
          <w:sz w:val="24"/>
          <w:szCs w:val="24"/>
          <w:highlight w:val="none"/>
          <w:u w:val="none"/>
        </w:rPr>
        <w:t xml:space="preserve">及证明材料</w:t>
      </w:r>
      <w:r>
        <w:rPr>
          <w:rFonts w:hint="eastAsia" w:ascii="宋体" w:hAnsi="宋体" w:eastAsia="宋体" w:cs="宋体"/>
          <w:color w:val="auto"/>
          <w:sz w:val="24"/>
          <w:szCs w:val="24"/>
          <w:highlight w:val="none"/>
        </w:rPr>
        <w:t xml:space="preserve">；</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参加政府采购活动前三年内在经营活动中没有重大违法记录的书面声明；</w:t>
      </w:r>
      <w:r/>
    </w:p>
    <w:p>
      <w:pPr>
        <w:ind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根据连财购〔2023〕4号文件精神，第</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、3项可以提供《财务状况报告及税收、社会保障资金缴纳情况承诺函》，详见</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文件格式。</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落实政府采购政策需满足的资格要求：</w:t>
      </w:r>
      <w:r/>
    </w:p>
    <w:p>
      <w:pPr>
        <w:ind w:left="0" w:right="0" w:firstLine="480"/>
        <w:jc w:val="left"/>
        <w:keepLines w:val="0"/>
        <w:keepNext w:val="0"/>
        <w:pageBreakBefore w:val="0"/>
        <w:spacing w:line="360" w:lineRule="auto"/>
        <w:widowControl w:val="off"/>
        <w:rPr>
          <w:rFonts w:hint="eastAsia" w:ascii="宋体" w:hAnsi="宋体" w:eastAsia="宋体" w:cs="宋体"/>
          <w:b/>
          <w:bCs/>
          <w:strike w:val="0"/>
          <w:color w:val="auto"/>
          <w:sz w:val="24"/>
          <w:szCs w:val="24"/>
          <w:highlight w:val="none"/>
          <w:lang w:val="en-US" w:eastAsia="zh-CN"/>
        </w:rPr>
      </w:pPr>
      <w:r>
        <w:rPr>
          <w:rFonts w:hint="eastAsia" w:ascii="宋体" w:hAnsi="宋体" w:eastAsia="宋体" w:cs="宋体"/>
          <w:b/>
          <w:bCs/>
          <w:strike w:val="0"/>
          <w:color w:val="auto"/>
          <w:sz w:val="24"/>
          <w:szCs w:val="24"/>
          <w:highlight w:val="none"/>
          <w:lang w:val="en-US" w:eastAsia="zh-CN"/>
        </w:rPr>
        <w:t xml:space="preserve">本项目专门面向中型企业、小型企业、微型企业、残疾人福利性单位、监狱企业采购，符合要求的投标人须提供《中小企业声明函》（详见投标文件格式）或《残疾人福利性单位声明函》（详见投标文件格式）或属于监狱企业的证明文件，否则投标无效</w:t>
      </w:r>
      <w:r>
        <w:rPr>
          <w:rFonts w:hint="eastAsia" w:ascii="宋体" w:hAnsi="宋体" w:eastAsia="宋体" w:cs="宋体"/>
          <w:b/>
          <w:bCs/>
          <w:strike w:val="0"/>
          <w:color w:val="auto"/>
          <w:sz w:val="24"/>
          <w:szCs w:val="24"/>
          <w:highlight w:val="none"/>
          <w:lang w:eastAsia="zh-CN"/>
        </w:rPr>
        <w:t xml:space="preserve">。</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三</w:t>
      </w:r>
      <w:r>
        <w:rPr>
          <w:rFonts w:hint="eastAsia" w:ascii="宋体" w:hAnsi="宋体" w:eastAsia="宋体" w:cs="宋体"/>
          <w:color w:val="auto"/>
          <w:sz w:val="24"/>
          <w:szCs w:val="24"/>
          <w:highlight w:val="none"/>
        </w:rPr>
        <w:t xml:space="preserve">）本项目的特定资格要求：</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2.单位负责人为同一人或者存在直接控股、管理关系的不同投标人，不得参加同一合同项下的政府采购活动。</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3.若投标人法定代表人参与投标，则仅需提供法定代表人身份证；若授权代理人参与投标，则需提供企业法人委托书、授权人身份证、被授权人身份证</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4.本项目不接受进口产品（进口产品是指通过中国海关报关验放进入中国境内且产自关境外的产品）投标，中标后不允许分包或转包。</w:t>
      </w:r>
      <w:r/>
    </w:p>
    <w:p>
      <w:pPr>
        <w:pStyle w:val="682"/>
        <w:ind w:left="0" w:right="0"/>
        <w:pageBreakBefore w:val="0"/>
        <w:spacing w:before="0" w:after="0" w:line="360" w:lineRule="auto"/>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三、获取招标文件</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时间：自招标文件公告发布之日起</w:t>
      </w:r>
      <w:r>
        <w:rPr>
          <w:rFonts w:hint="eastAsia" w:ascii="宋体" w:hAnsi="宋体" w:eastAsia="宋体" w:cs="宋体"/>
          <w:color w:val="auto"/>
          <w:sz w:val="24"/>
          <w:szCs w:val="24"/>
          <w:highlight w:val="none"/>
          <w:lang w:val="en-US" w:eastAsia="zh-CN"/>
        </w:rPr>
        <w:t xml:space="preserve">5个工作日</w:t>
      </w:r>
      <w:r>
        <w:rPr>
          <w:rFonts w:hint="eastAsia" w:ascii="宋体" w:hAnsi="宋体" w:eastAsia="宋体" w:cs="宋体"/>
          <w:color w:val="auto"/>
          <w:sz w:val="24"/>
          <w:szCs w:val="24"/>
          <w:highlight w:val="none"/>
          <w:lang w:eastAsia="zh-CN"/>
        </w:rPr>
        <w:t xml:space="preserve">。</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方式：在“江苏政府采购网”自行免费下载招标文件。</w:t>
      </w:r>
      <w:r/>
    </w:p>
    <w:p>
      <w:pPr>
        <w:pStyle w:val="682"/>
        <w:ind w:left="0" w:right="0"/>
        <w:pageBreakBefore w:val="0"/>
        <w:spacing w:before="0" w:after="0" w:line="360" w:lineRule="auto"/>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四、提交投标文件截止时间、开标时间和地点</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1.提交投标文件截止时间：</w:t>
      </w:r>
      <w:r>
        <w:rPr>
          <w:rFonts w:hint="eastAsia" w:ascii="宋体" w:hAnsi="宋体" w:eastAsia="宋体" w:cs="宋体"/>
          <w:color w:val="auto"/>
          <w:sz w:val="24"/>
          <w:szCs w:val="24"/>
          <w:highlight w:val="none"/>
          <w:u w:val="none"/>
        </w:rPr>
        <w:t xml:space="preserve">202</w:t>
      </w:r>
      <w:r>
        <w:rPr>
          <w:rFonts w:hint="eastAsia" w:ascii="宋体" w:hAnsi="宋体" w:eastAsia="宋体" w:cs="宋体"/>
          <w:color w:val="auto"/>
          <w:sz w:val="24"/>
          <w:szCs w:val="24"/>
          <w:highlight w:val="none"/>
          <w:u w:val="none"/>
          <w:lang w:val="en-US" w:eastAsia="zh-CN"/>
        </w:rPr>
        <w:t xml:space="preserve">6</w:t>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u w:val="none"/>
          <w:lang w:val="en-US" w:eastAsia="zh-CN"/>
        </w:rPr>
        <w:t xml:space="preserve">05</w:t>
      </w:r>
      <w:r>
        <w:rPr>
          <w:rFonts w:hint="eastAsia" w:ascii="宋体" w:hAnsi="宋体" w:eastAsia="宋体" w:cs="宋体"/>
          <w:color w:val="auto"/>
          <w:sz w:val="24"/>
          <w:szCs w:val="24"/>
          <w:highlight w:val="none"/>
          <w:u w:val="none"/>
        </w:rPr>
        <w:t xml:space="preserve">月</w:t>
      </w:r>
      <w:r>
        <w:rPr>
          <w:rFonts w:hint="eastAsia" w:ascii="宋体" w:hAnsi="宋体" w:eastAsia="宋体" w:cs="宋体"/>
          <w:color w:val="auto"/>
          <w:sz w:val="24"/>
          <w:szCs w:val="24"/>
          <w:highlight w:val="none"/>
          <w:u w:val="none"/>
          <w:lang w:val="en-US" w:eastAsia="zh-CN"/>
        </w:rPr>
        <w:t xml:space="preserve">06</w:t>
      </w:r>
      <w:r>
        <w:rPr>
          <w:rFonts w:hint="eastAsia" w:ascii="宋体" w:hAnsi="宋体" w:eastAsia="宋体" w:cs="宋体"/>
          <w:color w:val="auto"/>
          <w:sz w:val="24"/>
          <w:szCs w:val="24"/>
          <w:highlight w:val="none"/>
          <w:u w:val="none"/>
        </w:rPr>
        <w:t xml:space="preserve">日</w:t>
      </w:r>
      <w:r>
        <w:rPr>
          <w:rFonts w:hint="eastAsia" w:ascii="宋体" w:hAnsi="宋体" w:eastAsia="宋体" w:cs="宋体"/>
          <w:color w:val="auto"/>
          <w:sz w:val="24"/>
          <w:szCs w:val="24"/>
          <w:highlight w:val="none"/>
          <w:u w:val="none"/>
          <w:lang w:val="en-US" w:eastAsia="zh-CN"/>
        </w:rPr>
        <w:t xml:space="preserve">10点</w:t>
      </w:r>
      <w:r>
        <w:rPr>
          <w:rFonts w:hint="eastAsia" w:ascii="宋体" w:hAnsi="宋体" w:eastAsia="宋体" w:cs="宋体"/>
          <w:color w:val="auto"/>
          <w:sz w:val="24"/>
          <w:szCs w:val="24"/>
          <w:highlight w:val="none"/>
          <w:u w:val="none"/>
        </w:rPr>
        <w:t xml:space="preserve">00</w:t>
      </w:r>
      <w:r>
        <w:rPr>
          <w:rFonts w:hint="eastAsia" w:ascii="宋体" w:hAnsi="宋体" w:eastAsia="宋体" w:cs="宋体"/>
          <w:color w:val="auto"/>
          <w:sz w:val="24"/>
          <w:szCs w:val="24"/>
          <w:highlight w:val="none"/>
          <w:u w:val="none"/>
          <w:lang w:eastAsia="zh-CN"/>
        </w:rPr>
        <w:t xml:space="preserve">分</w:t>
      </w:r>
      <w:r>
        <w:rPr>
          <w:rFonts w:hint="eastAsia" w:ascii="宋体" w:hAnsi="宋体" w:eastAsia="宋体" w:cs="宋体"/>
          <w:color w:val="auto"/>
          <w:sz w:val="24"/>
          <w:szCs w:val="24"/>
          <w:highlight w:val="none"/>
        </w:rPr>
        <w:t xml:space="preserve">（北京时间）</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2.开标时间：同</w:t>
      </w:r>
      <w:r>
        <w:rPr>
          <w:rFonts w:hint="eastAsia" w:ascii="宋体" w:hAnsi="宋体" w:eastAsia="宋体" w:cs="宋体"/>
          <w:color w:val="auto"/>
          <w:sz w:val="24"/>
          <w:szCs w:val="24"/>
          <w:highlight w:val="none"/>
          <w:u w:val="none"/>
          <w:lang w:val="en-US" w:eastAsia="zh-CN"/>
        </w:rPr>
        <w:t xml:space="preserve">提交投标文件截止时间</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开标地点：“苏采云”政府采购交易系统网上开标大厅</w:t>
      </w:r>
      <w:r>
        <w:rPr>
          <w:rFonts w:hint="eastAsia" w:ascii="宋体" w:hAnsi="宋体" w:eastAsia="宋体" w:cs="宋体"/>
          <w:color w:val="auto"/>
          <w:sz w:val="24"/>
          <w:szCs w:val="24"/>
          <w:highlight w:val="none"/>
          <w:lang w:eastAsia="zh-CN"/>
        </w:rPr>
        <w:t xml:space="preserve">。</w:t>
      </w:r>
      <w:r/>
    </w:p>
    <w:p>
      <w:pPr>
        <w:pStyle w:val="682"/>
        <w:ind w:left="0" w:right="0"/>
        <w:pageBreakBefore w:val="0"/>
        <w:spacing w:before="0" w:after="0" w:line="360" w:lineRule="auto"/>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五、公告期限</w:t>
      </w:r>
      <w:r/>
    </w:p>
    <w:p>
      <w:pPr>
        <w:ind w:firstLine="480"/>
        <w:jc w:val="left"/>
        <w:spacing w:line="360" w:lineRule="auto"/>
        <w:rPr>
          <w:rFonts w:hint="eastAsia" w:ascii="宋体" w:hAnsi="宋体" w:eastAsia="宋体" w:cs="宋体"/>
          <w:b/>
          <w:bCs w:val="0"/>
          <w:color w:val="auto"/>
          <w:sz w:val="28"/>
          <w:szCs w:val="28"/>
          <w:highlight w:val="none"/>
        </w:rPr>
      </w:pPr>
      <w:r>
        <w:rPr>
          <w:rFonts w:hint="eastAsia" w:ascii="宋体" w:hAnsi="宋体" w:eastAsia="宋体" w:cs="宋体"/>
          <w:color w:val="auto"/>
          <w:sz w:val="24"/>
          <w:szCs w:val="24"/>
          <w:highlight w:val="none"/>
        </w:rPr>
        <w:t xml:space="preserve">自本公告发布之日起5个工作日。</w:t>
      </w:r>
      <w:r/>
    </w:p>
    <w:p>
      <w:pPr>
        <w:ind w:firstLine="0"/>
        <w:jc w:val="left"/>
        <w:spacing w:line="360" w:lineRule="auto"/>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六、其他补充事宜</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1.本次招标不收取投标保证金。</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2.本招标文件中标注★号的部分为实质性要求和条件，由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根据实际情况设置，投标人须逐条明确作出满足实质性要求和条件的响应，否则将按无效响应处理。</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3.无论出于何种原因，</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及其委托的</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http://www.ccgp-jiangsu.gov.cn/jiangsu/zlxz/ee/ee3a4bc5a3454aa2b0d9312230633ce9.html</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682"/>
        <w:ind w:left="0" w:right="0"/>
        <w:pageBreakBefore w:val="0"/>
        <w:spacing w:before="0" w:after="0" w:line="360" w:lineRule="auto"/>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七、对本次招标提出询问，请按以下方式联系</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信息</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灌云县教育局</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地址：连云港</w:t>
      </w:r>
      <w:r>
        <w:rPr>
          <w:rFonts w:hint="eastAsia" w:ascii="宋体" w:hAnsi="宋体" w:eastAsia="宋体" w:cs="宋体"/>
          <w:color w:val="auto"/>
          <w:sz w:val="24"/>
          <w:szCs w:val="24"/>
          <w:highlight w:val="none"/>
          <w:lang w:eastAsia="zh-CN"/>
        </w:rPr>
        <w:t xml:space="preserve">市灌云县</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信息</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华瑞国际工程咨询集团有限公司</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地址：连云港市海州区海连东路9号商务大厦15楼</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朱工</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联系电话：15251212583</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eastAsia="zh-CN"/>
        </w:rPr>
        <w:t xml:space="preserve">谷主任</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联系方式</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0518-88822909</w:t>
      </w:r>
      <w:bookmarkStart w:id="13" w:name="_Toc155796357"/>
      <w:r>
        <w:rPr>
          <w:rFonts w:hint="eastAsia" w:ascii="宋体" w:hAnsi="宋体" w:eastAsia="宋体" w:cs="宋体"/>
          <w:b/>
          <w:color w:val="auto"/>
          <w:highlight w:val="none"/>
        </w:rPr>
        <w:br w:type="page" w:clear="all"/>
      </w:r>
      <w:r>
        <w:rPr>
          <w:rFonts w:hint="eastAsia" w:ascii="宋体" w:hAnsi="宋体" w:eastAsia="宋体" w:cs="宋体"/>
          <w:color w:val="auto"/>
          <w:sz w:val="24"/>
          <w:szCs w:val="24"/>
          <w:highlight w:val="none"/>
        </w:rPr>
      </w:r>
      <w:r/>
    </w:p>
    <w:p>
      <w:pPr>
        <w:pStyle w:val="681"/>
        <w:ind w:left="0" w:right="0"/>
        <w:jc w:val="center"/>
        <w:pageBreakBefore w:val="0"/>
        <w:spacing w:before="0" w:after="0" w:line="490" w:lineRule="exact"/>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第二章  投标人须知</w:t>
      </w:r>
      <w:bookmarkEnd w:id="13"/>
      <w:r/>
      <w:r/>
    </w:p>
    <w:p>
      <w:pPr>
        <w:pStyle w:val="68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一、总则</w:t>
      </w:r>
      <w:r/>
    </w:p>
    <w:p>
      <w:pPr>
        <w:pStyle w:val="68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1、采购方式</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pStyle w:val="68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2、合格的投标人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满足招标公告中申请人的资格要求的规定。</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满足本招标文件全部实质性要求和条件的规定。</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符合上述条件的投标人应承担投标及履约过程应承担的全部责任与义务。</w:t>
      </w:r>
      <w:r/>
    </w:p>
    <w:p>
      <w:pPr>
        <w:pStyle w:val="68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3、适用法律</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pStyle w:val="68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4、投标费用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投标人应自行承担所有与参与投标有关的费用，无论投标过程中的做法和结果如何，</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华瑞国际工程咨询集团有限公司</w:t>
      </w:r>
      <w:r>
        <w:rPr>
          <w:rFonts w:hint="eastAsia" w:ascii="宋体" w:hAnsi="宋体" w:eastAsia="宋体" w:cs="宋体"/>
          <w:color w:val="auto"/>
          <w:sz w:val="24"/>
          <w:szCs w:val="24"/>
          <w:highlight w:val="none"/>
        </w:rPr>
        <w:t xml:space="preserve">（以下简称</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）在任何情况下均无义务和责任承担这些费用。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本项目的招标</w:t>
      </w:r>
      <w:r>
        <w:rPr>
          <w:rFonts w:hint="eastAsia" w:ascii="宋体" w:hAnsi="宋体" w:eastAsia="宋体" w:cs="宋体"/>
          <w:color w:val="auto"/>
          <w:sz w:val="24"/>
          <w:szCs w:val="24"/>
          <w:highlight w:val="none"/>
          <w:lang w:eastAsia="zh-CN"/>
        </w:rPr>
        <w:t xml:space="preserve">代理</w:t>
      </w:r>
      <w:r>
        <w:rPr>
          <w:rFonts w:hint="eastAsia" w:ascii="宋体" w:hAnsi="宋体" w:eastAsia="宋体" w:cs="宋体"/>
          <w:color w:val="auto"/>
          <w:sz w:val="24"/>
          <w:szCs w:val="24"/>
          <w:highlight w:val="none"/>
        </w:rPr>
        <w:t xml:space="preserve">服务费按“苏招协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2022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002《江苏省招标代理服务收费指导价》”标准</w:t>
      </w:r>
      <w:r>
        <w:rPr>
          <w:rFonts w:hint="eastAsia" w:ascii="宋体" w:hAnsi="宋体" w:eastAsia="宋体" w:cs="宋体"/>
          <w:color w:val="auto"/>
          <w:sz w:val="24"/>
          <w:szCs w:val="24"/>
          <w:highlight w:val="none"/>
          <w:lang w:val="en-US" w:eastAsia="zh-CN"/>
        </w:rPr>
        <w:t xml:space="preserve">收费的37%计取；由</w:t>
      </w:r>
      <w:r>
        <w:rPr>
          <w:rFonts w:hint="eastAsia" w:ascii="宋体" w:hAnsi="宋体" w:eastAsia="宋体" w:cs="宋体"/>
          <w:color w:val="auto"/>
          <w:sz w:val="24"/>
          <w:szCs w:val="24"/>
          <w:highlight w:val="none"/>
        </w:rPr>
        <w:t xml:space="preserve">中标人在领取中标通知书时一次性支付；投标单位须将此部分费用综合考虑在投标报价中，不得单列。</w:t>
      </w:r>
      <w:r/>
    </w:p>
    <w:p>
      <w:pPr>
        <w:pStyle w:val="68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5、招标文件的约束力</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投标人一旦参与本项目采购活动，即被认为接受了本招标文件的规定和约束。</w:t>
      </w:r>
      <w:r/>
    </w:p>
    <w:p>
      <w:pPr>
        <w:pStyle w:val="68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二、招标文件</w:t>
      </w:r>
      <w:r/>
    </w:p>
    <w:p>
      <w:pPr>
        <w:pStyle w:val="68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6、招标文件的构成</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招标文件由以下部分构成：</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68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7、招标文件的澄清</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任何要求对招标文件进行澄清的投标人，应在投标截止时间十日前按招标公告中的通讯地址，以书面形式通知</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或者</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w:t>
      </w:r>
      <w:r/>
    </w:p>
    <w:p>
      <w:pPr>
        <w:pStyle w:val="68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8、招标文件的修改</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在投标截止时间前，</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可以对招标文件进行修改。</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有权按照法定的要求推迟投标截止时间和开标时间。</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招标文件的修改将在江苏政府采购网公布，补充文件将作为招标文件的组成部分，并对投标人具有约束力。</w:t>
      </w:r>
      <w:r/>
    </w:p>
    <w:p>
      <w:pPr>
        <w:pStyle w:val="68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三、投标文件编制</w:t>
      </w:r>
      <w:r/>
    </w:p>
    <w:p>
      <w:pPr>
        <w:pStyle w:val="68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9、投标文件编写注意事项</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对招标文件提出的实质性要求和条件作出响应是指投标人必须对招标文件中标明实质性要求和条件的技术参数等内容逐条作出满足原要求和条件的响应。</w:t>
      </w:r>
      <w:r/>
    </w:p>
    <w:p>
      <w:pPr>
        <w:pStyle w:val="68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10、投标文件的语言及度量衡单位</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除专用术语外，投标人提交的投标文件以及投标人与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除技术性能另有规定外，投标文件所使用的度量衡单位，均须采用国家法定计量单位。</w:t>
      </w:r>
      <w:r/>
    </w:p>
    <w:p>
      <w:pPr>
        <w:pStyle w:val="68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11、投标文件的构成</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投标人编写的投标文件应包括资格证明文件、符合性证明文件、投标分项报价表、技术要求响应及偏离表、商务要求响应及偏离表、其他证明文件、投标函、开标一览表等部分。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如投标文件制作工具中格式和内容与江苏政府采购网发布的招标文件不一致，请以江苏政府采购网发布的招标文件为准。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特别提醒投标人，混乱的编排导致投标文件被误读或评标委员会（以下简称评委会）查找不到有效文件是投标人的风险。</w:t>
      </w:r>
      <w:r/>
    </w:p>
    <w:p>
      <w:pPr>
        <w:pStyle w:val="68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12、证明投标人及投标标的符合招标文件规定的文件</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投标人应按照招标文件要求提交证明文件，证明其及投标标的符合招标文件规定。</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招标文件对证明文件无明确形式要求的，证明文件可以以文字资料、图纸和数据等形式提交。</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投标人委托代理时应当提交授权委托书，请按招标文件第六章给定格式及要求填写并附法定代表人（单位负责人）与委托代理人身份证明。</w:t>
      </w:r>
      <w:r/>
    </w:p>
    <w:p>
      <w:pPr>
        <w:pStyle w:val="683"/>
        <w:ind w:left="0" w:right="0" w:firstLine="562"/>
        <w:jc w:val="left"/>
        <w:pageBreakBefore w:val="0"/>
        <w:spacing w:before="0" w:after="0" w:line="480" w:lineRule="exact"/>
        <w:widowControl w:val="off"/>
        <w:rPr>
          <w:rFonts w:hint="eastAsia" w:ascii="宋体" w:hAnsi="宋体" w:eastAsia="宋体" w:cs="宋体"/>
          <w:color w:val="auto"/>
          <w:highlight w:val="none"/>
        </w:rPr>
      </w:pPr>
      <w:r>
        <w:rPr>
          <w:rFonts w:hint="eastAsia" w:ascii="宋体" w:hAnsi="宋体" w:eastAsia="宋体" w:cs="宋体"/>
          <w:color w:val="auto"/>
          <w:sz w:val="28"/>
          <w:szCs w:val="28"/>
          <w:highlight w:val="none"/>
        </w:rPr>
        <w:t xml:space="preserve">13、投标分项报价表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（1）投标的货物总价；</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（2）货物的标准附件、备品备件、专用工具、运输、装卸等各种费用；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（3）必要的保险费用和各项税金；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（4）投标总价要求包含安装维保费用。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投标人应根据投标报价要求在投标分项报价表中列明各项投标单价、总价等，未全部列示的作无效响应处理。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投标文件中的单价和总价无特殊规定的采用人民币报价，以元为单位标注。招标文件中另有规定的按规定执行。</w:t>
      </w:r>
      <w:r/>
    </w:p>
    <w:p>
      <w:pPr>
        <w:pStyle w:val="68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14、技术要求响应及偏离表、商务要求响应及偏离表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投标人可在投标文件中提供认为需要的其他技术文件或说明。</w:t>
      </w:r>
      <w:r/>
    </w:p>
    <w:p>
      <w:pPr>
        <w:pStyle w:val="68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15、服务承诺、培训计划、人员安排及其他</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投标人应根据招标文件要求提供有关售后服务的管理制度，售后服务机构的分布情况，售后服务人员的数量、素质、技术水平及售后服务的反应能力等。</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投标人应根据招标文件要求提供培训计划、人员安排等。</w:t>
      </w:r>
      <w:r/>
    </w:p>
    <w:p>
      <w:pPr>
        <w:pStyle w:val="68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16、投标函和开标一览表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投标人应按照招标文件提供的格式完整、正确填写投标函、开标一览表。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pStyle w:val="68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17、投标有效期</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投标有效期为招标文件规定的开标之日后六十（60）天。投标有效期比规定短的将被视为未实质性响应招标文件而予以拒绝。</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在特殊情况下，</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68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四、投标文件递交</w:t>
      </w:r>
      <w:r/>
    </w:p>
    <w:p>
      <w:pPr>
        <w:pStyle w:val="68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18、电子投标文件的递交</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投标人应当按照《操作手册》规定，在投标截止时间前制作并递交（上传）电子投标文件。</w:t>
      </w:r>
      <w:r/>
    </w:p>
    <w:p>
      <w:pPr>
        <w:pStyle w:val="68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19、投标截止时间</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投标人递交（上传）电子投标文件的时间不得迟于招标公告中规定的投标截止时间。</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投标人应充分考虑计算机硬件、软件及网络环境等风险因素，如因投标人自身原因造成电子投标文件递交（上传）不成功的按照本招标文件第二章第27.1条规定作无效投标处理。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68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20、投标文件的拒收</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拒绝接收在招标文件规定的投标截止时间后递交（上传）的任何投标文件。</w:t>
      </w:r>
      <w:r/>
    </w:p>
    <w:p>
      <w:pPr>
        <w:pStyle w:val="68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21、投标文件的撤回和修改</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投标人可在投标截止时间前，撤回其电子投标文件，具体操作方法见《操作手册》。投标人撤回电子投标文件的，则认为其不再参与本项目采购活动。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投标人可在投标截止时间前，对其电子投标文件进行修改，具体操作方法见《操作手册》。在投标截止时间之后，投标人不得对其电子投标文件做任何修改。</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在投标截止时间至招标文件规定的投标有效期满之间的这段时间内，投标人不得撤回其投标。</w:t>
      </w:r>
      <w:r/>
    </w:p>
    <w:p>
      <w:pPr>
        <w:pStyle w:val="68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五、开标与评标</w:t>
      </w:r>
      <w:r/>
    </w:p>
    <w:p>
      <w:pPr>
        <w:pStyle w:val="68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22、开标</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将在招标公告中规定的时间和地点组织公开开标。投标人应当按时参加开标活动，并在“苏采云”系统规定的时间内对其投标文件进行解密。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 开标仪式由</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 投标人在开标过程中涉及到的投标文件解密、开标结果确认等工作，应当按照《操作手册》规定执行。</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 投标人如果对开标过程和开标记录有疑义，应当按照《操作手册》规定提出，未在“苏采云”系统《开标记录表》宣布后5分钟内提出的，视同认可开标结果。</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 投标人未参加开标的，视同认可开标结果。</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22.6 投标人在开标、评标全过程中应保持通讯畅通，及时登录“苏采云”系统查阅、答复相关信息，并安排专人与</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及评委会联系。</w:t>
      </w:r>
      <w:r/>
    </w:p>
    <w:p>
      <w:pPr>
        <w:pStyle w:val="68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23、评标委员会</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 开标后，</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将组织评委会进行评标。</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 评委会由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代表和有关技术、经济等方面的评审专家组成，且人员构成符合政府采购有关规定。</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 评委会按照</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规定的评审程序、评审方法和评审标准进行独立评审并确定中标候选人。</w:t>
      </w:r>
      <w:r/>
    </w:p>
    <w:p>
      <w:pPr>
        <w:pStyle w:val="68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24、评标过程的保密与公正</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凡是与审查、澄清、评价和比较投标的有关资料以及授标建议等，</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、评审专家、</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均不得向投标人或与评标无关的其他人员透露。</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在评标过程中，投标人不得以任何行为影响评标过程，否则其投标文件将被作为无效投标文件。</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和评委会不向未中标的投标人解释未中标原因，也不公布评标过程中的相关细节。</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采用综合评分法的项目，未中标的投标人可于中标结果公告期限届满之日起通过“苏采云”系统查看自己的评审得分及排序情况。</w:t>
      </w:r>
      <w:r/>
    </w:p>
    <w:p>
      <w:pPr>
        <w:pStyle w:val="68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25、投标文件的澄清</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 评标期间，评委会对投标文件中含义不明确、同类问题表述不一致或者有明显文字和计算错误的内容，有权要求投标人作出必要的澄清、说明或者补正。</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评委会并非对每个投标人都提出澄清、说明或者补正要求。</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 需要</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进行澄清、说明或者补正的，评委会将通过“苏采云”系统向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发出“澄清要求函”，接到“澄清要求函”的投标人应当按照要求在“苏采云”系统中提交“澄清响应函”，并加盖CA电子公章。澄清、说明或者补正的内容作为投标文件的补充部分，具体操作方法见《操作手册》。</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接到评委会澄清、说明或者补正要求的投标人如未按要求响应，其风险由投标人自行承担。</w:t>
      </w:r>
      <w:r/>
    </w:p>
    <w:p>
      <w:pPr>
        <w:pStyle w:val="68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26、对投标文件的初审</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投标文件初审分为资格审查和符合性审查。</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（1）资格审查：</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依据法律法规和招标文件的规定，对投标文件中的资格证明文件进行审查。资格审查的结论，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以书面形式向评委会进行反馈。</w:t>
      </w:r>
      <w:r/>
    </w:p>
    <w:p>
      <w:pPr>
        <w:ind w:left="0" w:right="0" w:firstLine="482"/>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在进行资格审查的同时，将在信用中国网站查询投标人的信用记录，以确定投标人是否具备投标资格，查询结果留存并归档。</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的身份共同参与政府采购活动的，联合体成员中任何一方存在不良信用记录的，视同联合体存在不良信用记录。</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（2）符合性审查：评委会依据招标文件的规定，从投标文件的有效性、完整性和对招标文件的响应程度进行审查，以确定其是否对招标文件的全部实质性要求作出响应。</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未通过资格审查或符合性审查的投标人，将通过“苏采云”系统中告知其未通过的原因，评审结束后，将不再告知。</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如果投标文件实质上没有响应招标文件的要求，评委会将予以拒绝，投标人不得通过修改或撤销不符合要求的偏离或保留而使其投标成为实质性响应的投标。</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 评委会将对确定为实质性响应的投标进行进一步审核，看其是否有计算上或累加上的算术错误，修正错误的原则如下：</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非单一产品采购项目，招标文件中将载明核心产品。多家投标人提供的核心产品品牌相同的，按前两款规定处理。</w:t>
      </w:r>
      <w:r/>
    </w:p>
    <w:p>
      <w:pPr>
        <w:ind w:left="0" w:right="-315" w:firstLine="482"/>
        <w:jc w:val="left"/>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26.7 异常低价投标审查</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（一）政府采购评审中出现下列情形之一的，评审委员会应当启动异常低价投标审查程序：</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1.投标报价低于全部通过符合性审查供应商投标报价平均值65%的，即投标报价&lt;全部通过符合性审查供应商投标报价平均值×65%；</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2.投标报价低于通过符合性审查的次低报价供应商投标报价65%的，即投标报价&lt;通过符合性审查的次低报价供应商投标报价×65%；</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3.投标报价低于采购项目最高限价65%的，即投标报价&lt;采购项目最高限价×65%；</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4.评审委员会基于专业判断，认为供应商报价过低，有可能影响产品质量或者不能诚信履约的其他情形。</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pStyle w:val="68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27、无效投标条款和废标条款</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无效投标条款：</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.1.1 投标人在苏采云系统规定的时间内未成功解密电子投标文件的。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.1.2 投标人未按照招标文件要求上传电子投标文件的。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.1.3 投标人同一采购包提交两个（含两个）以上不同的投标报价的。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.1.4投标人不具备招标文件中规定资格要求的。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.1.5投标人的报价超过了采购预算或最高限价的。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.1.6未通过符合性审查的。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.1.7不符合招标文件中规定的实质性要求的（本招标文件中斜体且有下划线部分或加★号条款为实质性要求）</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.1.9 投标文件含有</w:t>
      </w:r>
      <w:r>
        <w:rPr>
          <w:rFonts w:hint="eastAsia" w:ascii="宋体" w:hAnsi="宋体" w:eastAsia="宋体" w:cs="宋体"/>
          <w:b/>
          <w:bCs/>
          <w:color w:val="auto"/>
          <w:sz w:val="24"/>
          <w:szCs w:val="24"/>
          <w:highlight w:val="none"/>
          <w:lang w:val="en-US" w:eastAsia="zh-CN"/>
        </w:rPr>
        <w:t xml:space="preserve">采购人</w:t>
      </w:r>
      <w:r>
        <w:rPr>
          <w:rFonts w:hint="eastAsia" w:ascii="宋体" w:hAnsi="宋体" w:eastAsia="宋体" w:cs="宋体"/>
          <w:b/>
          <w:bCs/>
          <w:color w:val="auto"/>
          <w:sz w:val="24"/>
          <w:szCs w:val="24"/>
          <w:highlight w:val="none"/>
        </w:rPr>
        <w:t xml:space="preserve">不能接受的附加条件的。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.1.10 评标委员会按照本招标文件规定对投标人进行异常低价投标审查后，认为投标人不能证明其报价合理性的。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.1.12 投标文件未按照招标文件要求加盖CA电子公章的。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.1.13 投标人所投标产品不符合招标文件中所列国家强制性标准的。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.1.14其他法律、法规及本招标文件规定的属无效投标的情形。</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有下列情形之一的，视为投标人串通投标，投标无效：</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（1）不同投标人的投标文件由同一单位或者个人编制。</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（2）不同投标人委托同一单位或者个人办理投标事宜。</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（3）不同投标人的投标文件载明的项目管理成员或者联系人员为同一人。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（4）不同投标人的投标文件异常一致或者投标报价呈规律性差异。</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废标条款：</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（1）因“苏采云”系统故障原因造成开标不成功的。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（2）评委会认定招标文件存在歧义、重大缺陷导致评标工作无法进行，或者招标文件内容违反国家有关强制性规定的。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（3）符合专业条件的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或者对招标文件作实质响应的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不足三家的。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（4）出现影响采购公正的违法、违规行为的。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（5）因重大变故，采购任务取消的。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 出现投标截止时间结束后参加投标的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或者在评标期间对招标文件做出实质响应的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不足三家情况的，按照政府采购有关规定执行。</w:t>
      </w:r>
      <w:r/>
    </w:p>
    <w:p>
      <w:pPr>
        <w:pStyle w:val="68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六、定标</w:t>
      </w:r>
      <w:r/>
    </w:p>
    <w:p>
      <w:pPr>
        <w:pStyle w:val="68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28、确定中标单位</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中标候选人的选取原则和数量详见招标文件第五章规定。</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应根据评委会推荐的中标候选人确定中标人。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 </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将在江苏政府采购网发布中标公告，公告期限为1个工作日。</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若有充分证据证明，中标人存在下列情形之一的，一经查实，将被取消中标资格：</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（1）提供虚假材料谋取中标的。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、采购中心行贿或者提供其他不正当利益的。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（3）属于本文件规定的无效条件，但在评标过程中又未被评委会发现的。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（4）与</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或者其他供应商恶意串通的。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（5）采取不正当手段诋毁、排挤其他供应商的。</w:t>
      </w:r>
      <w:r/>
    </w:p>
    <w:p>
      <w:pPr>
        <w:pStyle w:val="68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29、中标通知书</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中标结果确定后，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中标通知书将作为政府采购合同的一个组成部分。对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和中标人均具有法律效力。中标通知书发出后，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改变中标结果的，或者中标人放弃中标项目的，应当依法承担法律责任。</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中标人应在中标后七个工作日内，向</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提供一份与电子投标文件一致的纸质打印胶装投标文件</w:t>
      </w:r>
      <w:r>
        <w:rPr>
          <w:rFonts w:hint="eastAsia" w:ascii="宋体" w:hAnsi="宋体" w:eastAsia="宋体" w:cs="宋体"/>
          <w:color w:val="auto"/>
          <w:sz w:val="24"/>
          <w:szCs w:val="24"/>
          <w:highlight w:val="none"/>
          <w:lang w:eastAsia="zh-CN"/>
        </w:rPr>
        <w:t xml:space="preserve">（一正二副）</w:t>
      </w:r>
      <w:r>
        <w:rPr>
          <w:rFonts w:hint="eastAsia" w:ascii="宋体" w:hAnsi="宋体" w:eastAsia="宋体" w:cs="宋体"/>
          <w:color w:val="auto"/>
          <w:sz w:val="24"/>
          <w:szCs w:val="24"/>
          <w:highlight w:val="none"/>
        </w:rPr>
        <w:t xml:space="preserve">，封面、骑缝需加盖公章。</w:t>
      </w:r>
      <w:r/>
    </w:p>
    <w:p>
      <w:pPr>
        <w:pStyle w:val="68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七、授予合同</w:t>
      </w:r>
      <w:r/>
    </w:p>
    <w:p>
      <w:pPr>
        <w:pStyle w:val="68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30、签订合同</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 中标人应当在中标通知书发出之日起三十日内，按照招标文件和中标人投标文件的规定，与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签订政府采购合同。</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 招标文件、中标人的投标文件及招标过程中有关澄清、承诺等文件均应作为合同附件。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 </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应当在合同签订后2</w:t>
      </w:r>
      <w:r>
        <w:rPr>
          <w:rFonts w:hint="eastAsia" w:ascii="宋体" w:hAnsi="宋体" w:eastAsia="宋体" w:cs="宋体"/>
          <w:color w:val="auto"/>
          <w:sz w:val="24"/>
          <w:szCs w:val="24"/>
          <w:highlight w:val="none"/>
          <w:lang w:eastAsia="zh-CN"/>
        </w:rPr>
        <w:t xml:space="preserve">工作</w:t>
      </w:r>
      <w:r>
        <w:rPr>
          <w:rFonts w:hint="eastAsia" w:ascii="宋体" w:hAnsi="宋体" w:eastAsia="宋体" w:cs="宋体"/>
          <w:color w:val="auto"/>
          <w:sz w:val="24"/>
          <w:szCs w:val="24"/>
          <w:highlight w:val="none"/>
        </w:rPr>
        <w:t xml:space="preserve">日内上传合同至苏采云公示。</w:t>
      </w:r>
      <w:r/>
    </w:p>
    <w:p>
      <w:pPr>
        <w:pStyle w:val="68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31、合同标的的追加</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 政府采购合同履行中，</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需追加与合同标的相同的货物、工程或者服务的，在不改变合同其他条款的前提下，可以按照《中华人民共和国政府采购法》第四十九条规定，与</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协商签订补充合同，但所有补充合同的采购金额不得超过原合同采购金额的百分之十。</w:t>
      </w:r>
      <w:r/>
    </w:p>
    <w:p>
      <w:pPr>
        <w:pStyle w:val="68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32、政府采购履约资金扶持政策</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中标人可凭政府采购合同办理融资贷款，详情请见江苏政府采购网“政采贷”专栏。</w:t>
      </w:r>
      <w:r/>
    </w:p>
    <w:p>
      <w:pPr>
        <w:pStyle w:val="68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八、询问与质疑</w:t>
      </w:r>
      <w:r/>
    </w:p>
    <w:p>
      <w:pPr>
        <w:pStyle w:val="68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33、询问</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对政府采购活动事项有疑问的，可以提出询问，</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或者</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应当在3个工作日内对投标人依法提出的询问作出答复，但答复的内容不得涉及商业秘密。</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提出的询问超出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委托授权范围的，</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应当告知其向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提出。</w:t>
      </w:r>
      <w:r/>
    </w:p>
    <w:p>
      <w:pPr>
        <w:pStyle w:val="68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34、质疑提出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34.1 提出质疑的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应当是参与所质疑项目采购活动的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34.2 </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认为</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、采购过程、采购结果使自己的权益受到损害的，可以在知道或者应知其权益受到损害之日（获取</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之日、中标公告发布之日）起七个工作日内以书面形式向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提出质疑。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应当在法定质疑期内一次性提出针对同一采购程序环节的质疑，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如在法定期限内对同一采购程序环节提出多次质疑的，</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将只对</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第一次质疑作出答复。</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未按照采购公告要求获取</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，视为未参与该项目采购活动，不具备对该</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提出质疑的法定权利。</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34.3 提出质疑时，必须坚持“实事求是”的原则，不能臆测。属于须由法定部门调查、侦查或先行作出相关认定的事项，质疑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应当依法申请具有法定职权的部门查清、认定，并将相关结果提供给</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不具有法定调查、认定权限。</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34.4 质疑函的接收方式为</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书面原件提交。联系部门、联系电话和通讯地址详见招标文件第一章。质疑实行实名制，不得进行虚假、恶意质疑。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34.5 质疑函应当使用范本，详见招标文件第六章。</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提出质疑应当提交质疑函和必要的证明材料，应当包括下列内容：</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的姓名或者名称、地址、邮编、联系人及联系电话；</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（2）质疑项目的名称、编号；</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（3）具体、明确的质疑事项和与质疑事项相关的请求；</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（4）事实依据；</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（5）必要的法律依据；</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（6）提出质疑的日期；</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（7）必要的证明材料；</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（8）营业执照复印件及授权委托书原件、法定代表人（单位负责人）身份证复印件、委托代理人身份证复印件。</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为自然人的，应当由本人签字；</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为法人或者其他组织的，应当由法定代表人、主要负责人，或者其委托代理人签字或者盖章，并加盖单位公章。</w:t>
      </w:r>
      <w:r/>
    </w:p>
    <w:p>
      <w:pPr>
        <w:pStyle w:val="683"/>
        <w:ind w:left="0" w:right="0" w:firstLine="562"/>
        <w:jc w:val="left"/>
        <w:pageBreakBefore w:val="0"/>
        <w:spacing w:before="0" w:after="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rPr>
        <w:t xml:space="preserve">35、质疑函的受理和答复</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 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不负责搜集必要的证明材料等工作。</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 对符合法定要求的质疑，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接收并登记《质疑函登记表》。在处理过程中，发现需要质疑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进一步补充必要的证明材料的，质疑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应在法定的时间内提供，质疑答复时间相应顺延。质疑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不能按时提供必要的证明材料的，视同放弃质疑。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35.3 对不符合质疑要求的，</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有权要求其补充必要的证明材料，质疑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未在法定时间内补充必要的证明材料的，视同放弃质疑。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 以下情形的质疑依法不予受理：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（1）内容不符合《政府采购质疑和投诉办法》第十二条规定的质疑。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（2）超出政府采购法定期限的质疑。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（3）以传真、电子邮件等方式递交的非原件形式的质疑。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（4）未参与采购活动或在采购活动中自身权益未受到损害的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提出的质疑。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组成联合体，联合体中任何一方或多方未按要求签字（盖章）、加盖公章的质疑。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35.5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依法受理的质疑，将按照政府采购有关规定，在法定期限内作出答复。</w:t>
      </w:r>
      <w:r/>
    </w:p>
    <w:p>
      <w:pPr>
        <w:pStyle w:val="68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36、质疑处理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36.1 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未按照法定程序进行质疑投诉的，视为一般失信行为。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36.2 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不配合或者采取不正当手段干扰政府采购质疑、投诉处理工作的，视为一般失信行为。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36.3 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投诉受理期间，就同一事项多头举报，干扰财政部门投诉处理的，视为一般失信行为。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36.4 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在全国范围12个月内三次以上质疑查无实据的，视为一般失信行为。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36.5 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36.6 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在全国范围12个月内三次以上投诉查无实据的，视为严重失信行为。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36.7 未尽事宜，依照有关法律、法规执行。</w:t>
      </w:r>
      <w:r/>
    </w:p>
    <w:p>
      <w:pPr>
        <w:pStyle w:val="68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九、政府采购政策功能</w:t>
      </w:r>
      <w:r/>
    </w:p>
    <w:p>
      <w:pPr>
        <w:pStyle w:val="68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37、促进中小企业发展</w:t>
      </w:r>
      <w:r/>
    </w:p>
    <w:p>
      <w:pPr>
        <w:ind w:firstLine="480"/>
        <w:jc w:val="left"/>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37.2 参加本项目政府采购活动的供应商应当提供的材料： </w:t>
      </w:r>
      <w:r/>
    </w:p>
    <w:p>
      <w:pPr>
        <w:ind w:firstLine="480"/>
        <w:jc w:val="left"/>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（1）投标人提供的货物全部由中型企业、小型企业、微型企业制造的，提供《中小企业声明函》（第六章 投标文件格式）。</w:t>
      </w:r>
      <w:r/>
    </w:p>
    <w:p>
      <w:pPr>
        <w:ind w:firstLine="480"/>
        <w:jc w:val="left"/>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（2）符合《关于促进残疾人就业政府采购政策的通知》（财库〔2017〕141号）规定的条件并提供《残疾人福利性单位声明函》（第六章 响应文件格式）的残疾人福利性单位视同小型、微型企业。</w:t>
      </w:r>
      <w:r/>
    </w:p>
    <w:p>
      <w:pPr>
        <w:ind w:firstLine="480"/>
        <w:jc w:val="left"/>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37.3 享受扶持政策获得政府采购合同的，小微型企业不得将合同分包给大中型企业，中型企业不得将合同分包给大型企业</w:t>
      </w:r>
      <w:r>
        <w:rPr>
          <w:rFonts w:hint="eastAsia" w:ascii="宋体" w:hAnsi="宋体" w:eastAsia="宋体" w:cs="宋体"/>
          <w:color w:val="auto"/>
          <w:sz w:val="24"/>
          <w:szCs w:val="24"/>
          <w:highlight w:val="none"/>
        </w:rPr>
        <w:t xml:space="preserve">。</w:t>
      </w:r>
      <w:r/>
    </w:p>
    <w:p>
      <w:pPr>
        <w:pStyle w:val="68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38、采购本国产品的支持政策</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人的报价签订。 </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投标文件格式十三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38.3 投标人需按照招标文件的要求提供《关于符合本国产品标准的声明函》（以下简称《声明函》），如不提供将不享受本国产品价格评审优惠。</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38.4 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38.6政府采购中的本国产品标准及其他未尽事宜详见《国务院办公厅关于在政府采购中实施本国产品标准及相关政策的通知》（国办发〔2025〕34号）</w:t>
      </w:r>
      <w:r/>
    </w:p>
    <w:p>
      <w:pPr>
        <w:pStyle w:val="68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、支持绿色发展</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1.本项目执行《关于印发环境标志产品政府采购品目清单的通知》（财库〔2019〕18 号）、《关于印发节能产品政府采购品目清单的通知》（财库〔2019〕19 号）等有关规定，</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68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40</w:t>
      </w:r>
      <w:r>
        <w:rPr>
          <w:rFonts w:hint="eastAsia" w:ascii="宋体" w:hAnsi="宋体" w:eastAsia="宋体" w:cs="宋体"/>
          <w:color w:val="auto"/>
          <w:sz w:val="28"/>
          <w:szCs w:val="28"/>
          <w:highlight w:val="none"/>
        </w:rPr>
        <w:t xml:space="preserve">、政府采购需求标准</w:t>
      </w:r>
      <w:r/>
    </w:p>
    <w:p>
      <w:pPr>
        <w:ind w:left="0" w:right="0" w:firstLine="482"/>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.1 本项目执行《绿色数据中心政府采购</w:t>
      </w:r>
      <w:r>
        <w:rPr>
          <w:rFonts w:hint="eastAsia" w:ascii="宋体" w:hAnsi="宋体" w:eastAsia="宋体" w:cs="宋体"/>
          <w:color w:val="auto"/>
          <w:sz w:val="24"/>
          <w:szCs w:val="24"/>
          <w:highlight w:val="none"/>
        </w:rPr>
        <w:t xml:space="preserve">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w:t>
      </w:r>
      <w:r/>
    </w:p>
    <w:p>
      <w:pPr>
        <w:pStyle w:val="68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41、解释权</w:t>
      </w:r>
      <w:r/>
    </w:p>
    <w:p>
      <w:pPr>
        <w:ind w:left="0" w:right="0" w:firstLine="482"/>
        <w:jc w:val="left"/>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本招标文件是参照《中华人民共和国政府采购法》、《中华人民共和国政府采购法实施条例》、《政府采购货物和服务招标投标管理办法》及相关法律法规编制，解释权属采购人。</w:t>
      </w:r>
      <w:r/>
    </w:p>
    <w:p>
      <w:pPr>
        <w:ind w:left="0" w:right="0" w:firstLine="482"/>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构成本招标文件的各个组成文件应互为解释，互为说明；如有不明确或不一致，构成合同文件组成内容的，以合同文件约定内容为准，且以专用合同条款约定的合同文件优先顺序解释；除招标文件中有特别规定外，仅适用于政府采购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rPr>
          <w:rFonts w:hint="eastAsia" w:ascii="宋体" w:hAnsi="宋体" w:eastAsia="宋体" w:cs="宋体"/>
          <w:color w:val="auto"/>
          <w:sz w:val="24"/>
          <w:szCs w:val="24"/>
          <w:highlight w:val="none"/>
        </w:rPr>
        <w:br w:type="page" w:clear="all"/>
      </w:r>
      <w:r/>
    </w:p>
    <w:p>
      <w:pPr>
        <w:pStyle w:val="681"/>
        <w:ind w:left="0" w:right="0"/>
        <w:jc w:val="center"/>
        <w:pageBreakBefore w:val="0"/>
        <w:spacing w:before="0" w:after="0" w:line="490" w:lineRule="exact"/>
        <w:rPr>
          <w:rFonts w:hint="eastAsia" w:ascii="宋体" w:hAnsi="宋体" w:eastAsia="宋体" w:cs="宋体"/>
          <w:b w:val="0"/>
          <w:color w:val="auto"/>
          <w:highlight w:val="none"/>
        </w:rPr>
      </w:pPr>
      <w:r/>
      <w:bookmarkStart w:id="14" w:name="_Toc165205796"/>
      <w:r/>
      <w:bookmarkStart w:id="15" w:name="_Toc155796359"/>
      <w:r>
        <w:rPr>
          <w:rFonts w:hint="eastAsia" w:ascii="宋体" w:hAnsi="宋体" w:eastAsia="宋体" w:cs="宋体"/>
          <w:b w:val="0"/>
          <w:color w:val="auto"/>
          <w:highlight w:val="none"/>
        </w:rPr>
        <w:t xml:space="preserve">第三章  合同文本</w:t>
      </w:r>
      <w:bookmarkEnd w:id="14"/>
      <w:r/>
      <w:r/>
    </w:p>
    <w:p>
      <w:pPr>
        <w:pStyle w:val="697"/>
        <w:ind w:left="0" w:right="0"/>
        <w:jc w:val="center"/>
        <w:pageBreakBefore w:val="0"/>
        <w:spacing w:after="0" w:line="490" w:lineRule="exact"/>
        <w:rPr>
          <w:rFonts w:hint="eastAsia" w:ascii="宋体" w:hAnsi="宋体" w:eastAsia="宋体" w:cs="宋体"/>
          <w:b/>
          <w:bCs/>
          <w:color w:val="auto"/>
          <w:spacing w:val="-20"/>
          <w:sz w:val="48"/>
          <w:szCs w:val="48"/>
          <w:highlight w:val="none"/>
        </w:rPr>
      </w:pPr>
      <w:r/>
      <w:bookmarkStart w:id="16" w:name="_Toc3995"/>
      <w:r/>
      <w:r/>
    </w:p>
    <w:p>
      <w:pPr>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r>
      <w:bookmarkEnd w:id="16"/>
      <w:r/>
      <w:r/>
    </w:p>
    <w:p>
      <w:pPr>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br w:type="page" w:clear="all"/>
      </w:r>
      <w:r/>
    </w:p>
    <w:p>
      <w:pPr>
        <w:ind w:left="0" w:right="0"/>
        <w:jc w:val="center"/>
        <w:pageBreakBefore w:val="0"/>
        <w:spacing w:after="0" w:line="490" w:lineRule="exact"/>
        <w:widowControl w:val="off"/>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t xml:space="preserve">政府采购货物合同</w:t>
      </w:r>
      <w:r/>
    </w:p>
    <w:p>
      <w:pPr>
        <w:ind w:left="0" w:right="0"/>
        <w:pageBreakBefore w:val="0"/>
        <w:spacing w:line="490" w:lineRule="exact"/>
        <w:rPr>
          <w:rFonts w:hint="eastAsia" w:ascii="宋体" w:hAnsi="宋体" w:eastAsia="宋体" w:cs="宋体"/>
          <w:b/>
          <w:bCs/>
          <w:color w:val="auto"/>
          <w:spacing w:val="-20"/>
          <w:sz w:val="40"/>
          <w:szCs w:val="40"/>
          <w:highlight w:val="none"/>
        </w:rPr>
      </w:pPr>
      <w:r>
        <w:rPr>
          <w:rFonts w:hint="eastAsia" w:ascii="宋体" w:hAnsi="宋体" w:eastAsia="宋体" w:cs="宋体"/>
          <w:b/>
          <w:bCs/>
          <w:color w:val="auto"/>
          <w:spacing w:val="-20"/>
          <w:sz w:val="40"/>
          <w:szCs w:val="40"/>
          <w:highlight w:val="none"/>
        </w:rPr>
      </w:r>
      <w:r/>
    </w:p>
    <w:p>
      <w:pPr>
        <w:ind w:left="0" w:right="0"/>
        <w:pageBreakBefore w:val="0"/>
        <w:spacing w:line="490" w:lineRule="exact"/>
        <w:rPr>
          <w:rFonts w:hint="eastAsia" w:ascii="宋体" w:hAnsi="宋体" w:eastAsia="宋体" w:cs="宋体"/>
          <w:b/>
          <w:bCs/>
          <w:color w:val="auto"/>
          <w:spacing w:val="-20"/>
          <w:sz w:val="40"/>
          <w:szCs w:val="40"/>
          <w:highlight w:val="none"/>
        </w:rPr>
      </w:pPr>
      <w:r>
        <w:rPr>
          <w:rFonts w:hint="eastAsia" w:ascii="宋体" w:hAnsi="宋体" w:eastAsia="宋体" w:cs="宋体"/>
          <w:b/>
          <w:bCs/>
          <w:color w:val="auto"/>
          <w:spacing w:val="-20"/>
          <w:sz w:val="40"/>
          <w:szCs w:val="40"/>
          <w:highlight w:val="none"/>
        </w:rPr>
      </w:r>
      <w:r/>
    </w:p>
    <w:p>
      <w:pPr>
        <w:ind w:left="0" w:right="0"/>
        <w:pageBreakBefore w:val="0"/>
        <w:spacing w:line="490" w:lineRule="exact"/>
        <w:rPr>
          <w:rFonts w:hint="eastAsia" w:ascii="宋体" w:hAnsi="宋体" w:eastAsia="宋体" w:cs="宋体"/>
          <w:b/>
          <w:bCs/>
          <w:color w:val="auto"/>
          <w:spacing w:val="-20"/>
          <w:sz w:val="40"/>
          <w:szCs w:val="40"/>
          <w:highlight w:val="none"/>
        </w:rPr>
      </w:pPr>
      <w:r>
        <w:rPr>
          <w:rFonts w:hint="eastAsia" w:ascii="宋体" w:hAnsi="宋体" w:eastAsia="宋体" w:cs="宋体"/>
          <w:b/>
          <w:bCs/>
          <w:color w:val="auto"/>
          <w:spacing w:val="-20"/>
          <w:sz w:val="40"/>
          <w:szCs w:val="40"/>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 xml:space="preserve">项目名称：</w:t>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甲方：</w:t>
      </w:r>
      <w:r/>
    </w:p>
    <w:p>
      <w:pPr>
        <w:ind w:left="0" w:right="0"/>
        <w:pageBreakBefore w:val="0"/>
        <w:spacing w:line="490" w:lineRule="exact"/>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 xml:space="preserve">乙方：</w:t>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签订时间：</w:t>
      </w:r>
      <w:r/>
    </w:p>
    <w:p>
      <w:pPr>
        <w:ind w:left="0" w:right="0"/>
        <w:jc w:val="left"/>
        <w:pageBreakBefore w:val="0"/>
        <w:spacing w:line="490" w:lineRule="exact"/>
        <w:widowControl/>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br w:type="page" w:clear="all"/>
      </w:r>
      <w:r/>
    </w:p>
    <w:p>
      <w:pPr>
        <w:jc w:val="center"/>
        <w:keepLines/>
        <w:keepNext/>
        <w:spacing w:line="400" w:lineRule="exact"/>
        <w:widowControl w:val="off"/>
        <w:rPr>
          <w:rFonts w:hint="eastAsia" w:ascii="宋体" w:hAnsi="宋体" w:eastAsia="宋体" w:cs="宋体"/>
          <w:b w:val="0"/>
          <w:bCs w:val="0"/>
          <w:color w:val="auto"/>
          <w:sz w:val="24"/>
          <w:szCs w:val="24"/>
          <w:highlight w:val="none"/>
          <w:lang w:val="en-US" w:eastAsia="zh-CN" w:bidi="ar-SA"/>
        </w:rPr>
        <w:outlineLvl w:val="1"/>
      </w:pPr>
      <w:r>
        <w:rPr>
          <w:rFonts w:hint="eastAsia" w:ascii="宋体" w:hAnsi="宋体" w:eastAsia="宋体" w:cs="宋体"/>
          <w:b w:val="0"/>
          <w:bCs w:val="0"/>
          <w:color w:val="auto"/>
          <w:sz w:val="24"/>
          <w:szCs w:val="24"/>
          <w:highlight w:val="none"/>
          <w:lang w:val="en-US" w:eastAsia="zh-CN" w:bidi="ar-SA"/>
        </w:rPr>
        <w:t xml:space="preserve">第一节 政府采购合同协议书</w:t>
      </w:r>
      <w:r/>
    </w:p>
    <w:p>
      <w:pPr>
        <w:jc w:val="center"/>
        <w:keepLines/>
        <w:keepNext/>
        <w:spacing w:line="400" w:lineRule="exact"/>
        <w:widowControl w:val="off"/>
        <w:rPr>
          <w:rFonts w:hint="eastAsia" w:ascii="宋体" w:hAnsi="宋体" w:eastAsia="宋体" w:cs="宋体"/>
          <w:b w:val="0"/>
          <w:bCs w:val="0"/>
          <w:color w:val="auto"/>
          <w:sz w:val="24"/>
          <w:szCs w:val="24"/>
          <w:highlight w:val="none"/>
          <w:lang w:val="en-US" w:eastAsia="zh-CN" w:bidi="ar-SA"/>
        </w:rPr>
        <w:outlineLvl w:val="1"/>
      </w:pPr>
      <w:r>
        <w:rPr>
          <w:rFonts w:hint="eastAsia" w:ascii="宋体" w:hAnsi="宋体" w:eastAsia="宋体" w:cs="宋体"/>
          <w:b w:val="0"/>
          <w:bCs w:val="0"/>
          <w:color w:val="auto"/>
          <w:sz w:val="24"/>
          <w:szCs w:val="24"/>
          <w:highlight w:val="none"/>
          <w:lang w:val="en-US" w:eastAsia="zh-CN" w:bidi="ar-SA"/>
        </w:rPr>
      </w:r>
      <w:r/>
    </w:p>
    <w:p>
      <w:pPr>
        <w:keepLines w:val="0"/>
        <w:keepNext w:val="0"/>
        <w:pageBreakBefore w:val="0"/>
        <w:spacing w:before="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甲方（全称）：</w:t>
      </w:r>
      <w:r>
        <w:rPr>
          <w:rFonts w:hint="eastAsia" w:ascii="宋体" w:hAnsi="宋体" w:eastAsia="宋体" w:cs="宋体"/>
          <w:color w:val="auto"/>
          <w:sz w:val="24"/>
          <w:szCs w:val="24"/>
          <w:highlight w:val="none"/>
          <w:u w:val="single"/>
          <w:lang w:val="en-US" w:eastAsia="zh-CN" w:bidi="ar-SA"/>
        </w:rPr>
        <w:t xml:space="preserve">                        </w:t>
      </w:r>
      <w:r/>
    </w:p>
    <w:p>
      <w:pPr>
        <w:keepLines w:val="0"/>
        <w:keepNext w:val="0"/>
        <w:pageBreakBefore w:val="0"/>
        <w:spacing w:before="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乙方（全称）：</w:t>
      </w:r>
      <w:r>
        <w:rPr>
          <w:rFonts w:hint="eastAsia" w:ascii="宋体" w:hAnsi="宋体" w:eastAsia="宋体" w:cs="宋体"/>
          <w:color w:val="auto"/>
          <w:sz w:val="24"/>
          <w:szCs w:val="24"/>
          <w:highlight w:val="none"/>
          <w:u w:val="single"/>
          <w:lang w:val="en-US" w:eastAsia="zh-CN" w:bidi="ar-SA"/>
        </w:rPr>
        <w:t xml:space="preserve">                       </w:t>
      </w:r>
      <w:r/>
    </w:p>
    <w:p>
      <w:pPr>
        <w:ind w:lef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依据《中华人民共和国民法典》、《中华人民共和国政府采购法》等有关的法律法规，以及</w:t>
      </w:r>
      <w:r>
        <w:rPr>
          <w:rFonts w:hint="eastAsia" w:ascii="宋体" w:hAnsi="宋体" w:eastAsia="宋体" w:cs="宋体"/>
          <w:i w:val="0"/>
          <w:iCs w:val="0"/>
          <w:color w:val="auto"/>
          <w:sz w:val="24"/>
          <w:szCs w:val="24"/>
          <w:highlight w:val="none"/>
          <w:u w:val="none"/>
          <w:lang w:val="en-US" w:eastAsia="zh-CN" w:bidi="ar-SA"/>
        </w:rPr>
        <w:t xml:space="preserve">本采购项目</w:t>
      </w:r>
      <w:r>
        <w:rPr>
          <w:rFonts w:hint="eastAsia" w:ascii="宋体" w:hAnsi="宋体" w:eastAsia="宋体" w:cs="宋体"/>
          <w:color w:val="auto"/>
          <w:sz w:val="24"/>
          <w:szCs w:val="24"/>
          <w:highlight w:val="none"/>
          <w:lang w:val="en-US" w:eastAsia="zh-CN" w:bidi="ar-SA"/>
        </w:rPr>
        <w:t xml:space="preserve">的招标文件、乙方的《投标文件》及《中标通知书》，甲乙双方同意签订本合同。具体情况及要求如下：     </w:t>
      </w:r>
      <w:r/>
    </w:p>
    <w:p>
      <w:pPr>
        <w:numPr>
          <w:ilvl w:val="0"/>
          <w:numId w:val="0"/>
        </w:numPr>
        <w:ind w:left="0" w:firstLine="482"/>
        <w:keepLines w:val="0"/>
        <w:keepNext w:val="0"/>
        <w:pageBreakBefore w:val="0"/>
        <w:spacing w:before="0"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1.项目信息</w:t>
      </w:r>
      <w:r/>
    </w:p>
    <w:p>
      <w:pPr>
        <w:numPr>
          <w:ilvl w:val="0"/>
          <w:numId w:val="0"/>
        </w:numPr>
        <w:ind w:lef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（1）采购项目名称：</w:t>
      </w:r>
      <w:r>
        <w:rPr>
          <w:rFonts w:hint="eastAsia" w:ascii="宋体" w:hAnsi="宋体" w:eastAsia="宋体" w:cs="宋体"/>
          <w:color w:val="auto"/>
          <w:sz w:val="24"/>
          <w:szCs w:val="24"/>
          <w:highlight w:val="none"/>
          <w:u w:val="single"/>
          <w:lang w:val="en-US" w:eastAsia="zh-CN" w:bidi="ar-SA"/>
        </w:rPr>
        <w:t xml:space="preserve">                       </w:t>
      </w:r>
      <w:r/>
    </w:p>
    <w:p>
      <w:pPr>
        <w:numPr>
          <w:ilvl w:val="-1"/>
          <w:numId w:val="0"/>
        </w:numPr>
        <w:ind w:left="0" w:firstLine="480"/>
        <w:jc w:val="both"/>
        <w:keepLines w:val="0"/>
        <w:keepNext w:val="0"/>
        <w:pageBreakBefore w:val="0"/>
        <w:spacing w:before="0" w:after="0" w:line="360" w:lineRule="auto"/>
        <w:widowControl w:val="off"/>
        <w:tabs>
          <w:tab w:val="left" w:pos="999" w:leader="none"/>
        </w:tabs>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 采购项目编号：</w:t>
      </w:r>
      <w:r>
        <w:rPr>
          <w:rFonts w:hint="eastAsia" w:ascii="宋体" w:hAnsi="宋体" w:eastAsia="宋体" w:cs="宋体"/>
          <w:color w:val="auto"/>
          <w:sz w:val="24"/>
          <w:szCs w:val="24"/>
          <w:highlight w:val="none"/>
          <w:u w:val="single"/>
          <w:lang w:val="en-US" w:eastAsia="zh-CN" w:bidi="ar-SA"/>
        </w:rPr>
        <w:t xml:space="preserve">                           </w:t>
      </w:r>
      <w:r/>
    </w:p>
    <w:p>
      <w:pPr>
        <w:numPr>
          <w:ilvl w:val="-1"/>
          <w:numId w:val="0"/>
        </w:numPr>
        <w:ind w:left="0" w:firstLine="480"/>
        <w:jc w:val="both"/>
        <w:keepLines w:val="0"/>
        <w:keepNext w:val="0"/>
        <w:pageBreakBefore w:val="0"/>
        <w:spacing w:before="0" w:after="0" w:line="360" w:lineRule="auto"/>
        <w:widowControl w:val="off"/>
        <w:tabs>
          <w:tab w:val="left" w:pos="999"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（2）采购计划编号：</w:t>
      </w:r>
      <w:r>
        <w:rPr>
          <w:rFonts w:hint="eastAsia" w:ascii="宋体" w:hAnsi="宋体" w:eastAsia="宋体" w:cs="宋体"/>
          <w:color w:val="auto"/>
          <w:sz w:val="24"/>
          <w:szCs w:val="24"/>
          <w:highlight w:val="none"/>
          <w:u w:val="single"/>
          <w:lang w:val="en-US" w:eastAsia="zh-CN" w:bidi="ar-SA"/>
        </w:rPr>
        <w:t xml:space="preserve">                       </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（3）项目内容：</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采购标的及数量（台/套</w:t>
      </w:r>
      <w:r>
        <w:rPr>
          <w:rFonts w:hint="eastAsia" w:ascii="宋体" w:hAnsi="宋体" w:eastAsia="宋体" w:cs="宋体"/>
          <w:color w:val="auto"/>
          <w:sz w:val="24"/>
          <w:szCs w:val="24"/>
          <w:highlight w:val="none"/>
          <w:lang w:val="en" w:eastAsia="zh-CN" w:bidi="ar-SA"/>
        </w:rPr>
        <w:t xml:space="preserve">/个/架/组等</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 w:eastAsia="zh-CN" w:bidi="ar-SA"/>
        </w:rPr>
      </w:pPr>
      <w:r>
        <w:rPr>
          <w:rFonts w:hint="eastAsia" w:ascii="宋体" w:hAnsi="宋体" w:eastAsia="宋体" w:cs="宋体"/>
          <w:color w:val="auto"/>
          <w:sz w:val="24"/>
          <w:szCs w:val="24"/>
          <w:highlight w:val="none"/>
          <w:lang w:val="en-US" w:eastAsia="zh-CN" w:bidi="ar-SA"/>
        </w:rPr>
        <w:t xml:space="preserve">品牌：</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 w:eastAsia="zh-CN" w:bidi="ar-SA"/>
        </w:rPr>
        <w:t xml:space="preserve"> </w:t>
      </w:r>
      <w:r>
        <w:rPr>
          <w:rFonts w:hint="eastAsia" w:ascii="宋体" w:hAnsi="宋体" w:eastAsia="宋体" w:cs="宋体"/>
          <w:color w:val="auto"/>
          <w:sz w:val="24"/>
          <w:szCs w:val="24"/>
          <w:highlight w:val="none"/>
          <w:lang w:val="en-US" w:eastAsia="zh-CN" w:bidi="ar-SA"/>
        </w:rPr>
        <w:t xml:space="preserve">规格型号：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 w:eastAsia="zh-CN" w:bidi="ar-SA"/>
        </w:rPr>
        <w:t xml:space="preserve">  </w:t>
      </w:r>
      <w:r>
        <w:rPr>
          <w:rFonts w:hint="eastAsia" w:ascii="宋体" w:hAnsi="宋体" w:eastAsia="宋体" w:cs="宋体"/>
          <w:color w:val="auto"/>
          <w:sz w:val="24"/>
          <w:szCs w:val="24"/>
          <w:highlight w:val="none"/>
          <w:u w:val="single"/>
          <w:lang w:val="en-US" w:eastAsia="zh-CN" w:bidi="ar-SA"/>
        </w:rPr>
        <w:t xml:space="preserve">    </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采购标的的技术要求、商务要求具体见附件。</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①涉及信息类产品，请填写该产品关键部件的品牌、型号：</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标的名称：</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 w:eastAsia="zh-CN" w:bidi="ar-SA"/>
        </w:rPr>
        <w:t xml:space="preserve">               </w:t>
      </w:r>
      <w:r>
        <w:rPr>
          <w:rFonts w:hint="eastAsia" w:ascii="宋体" w:hAnsi="宋体" w:eastAsia="宋体" w:cs="宋体"/>
          <w:color w:val="auto"/>
          <w:sz w:val="24"/>
          <w:szCs w:val="24"/>
          <w:highlight w:val="none"/>
          <w:u w:val="single"/>
          <w:lang w:val="en-US" w:eastAsia="zh-CN" w:bidi="ar-SA"/>
        </w:rPr>
        <w:t xml:space="preserve">    </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关键部件：</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品牌：</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型号：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关键部件</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品牌：</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型号：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关键部件：</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品牌：</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型号：</w:t>
      </w:r>
      <w:r>
        <w:rPr>
          <w:rFonts w:hint="eastAsia" w:ascii="宋体" w:hAnsi="宋体" w:eastAsia="宋体" w:cs="宋体"/>
          <w:color w:val="auto"/>
          <w:sz w:val="24"/>
          <w:szCs w:val="24"/>
          <w:highlight w:val="none"/>
          <w:u w:val="single"/>
          <w:lang w:val="en-US" w:eastAsia="zh-CN" w:bidi="ar-SA"/>
        </w:rPr>
        <w:t xml:space="preserve">       </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（注：关键部件是指财政部会同有关部门发布的政府采购需求标准规定的需要通过国家有关部门指定的测评机构开展的安全可靠测评的软硬件，如CPU芯片、操作系统、数据库等。）</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②涉及车辆采购，请填写是否属于新能源汽车：</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是，《政府采购品目分类目录》底级品目名称</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数量：</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金额：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iCs w:val="0"/>
          <w:color w:val="auto"/>
          <w:sz w:val="24"/>
          <w:szCs w:val="24"/>
          <w:highlight w:val="none"/>
          <w:lang w:val="en-US" w:eastAsia="zh-CN" w:bidi="ar-SA"/>
        </w:rPr>
        <w:t xml:space="preserve"> </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lang w:val="en-US" w:eastAsia="zh-CN" w:bidi="ar-SA"/>
        </w:rPr>
      </w:pPr>
      <w:r>
        <w:rPr>
          <w:rFonts w:hint="eastAsia" w:ascii="宋体" w:hAnsi="宋体" w:eastAsia="宋体" w:cs="宋体"/>
          <w:iCs w:val="0"/>
          <w:color w:val="auto"/>
          <w:sz w:val="24"/>
          <w:szCs w:val="24"/>
          <w:highlight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lang w:val="en-US" w:eastAsia="zh-CN" w:bidi="ar-SA"/>
        </w:rPr>
      </w:pPr>
      <w:r>
        <w:rPr>
          <w:rFonts w:hint="eastAsia" w:ascii="宋体" w:hAnsi="宋体" w:eastAsia="宋体" w:cs="宋体"/>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 w:eastAsia="zh-CN" w:bidi="ar-SA"/>
        </w:rPr>
        <w:t xml:space="preserve">4</w:t>
      </w:r>
      <w:r>
        <w:rPr>
          <w:rFonts w:hint="eastAsia" w:ascii="宋体" w:hAnsi="宋体" w:eastAsia="宋体" w:cs="宋体"/>
          <w:iCs w:val="0"/>
          <w:color w:val="auto"/>
          <w:sz w:val="24"/>
          <w:szCs w:val="24"/>
          <w:highlight w:val="none"/>
          <w:lang w:val="en-US" w:eastAsia="zh-CN" w:bidi="ar-SA"/>
        </w:rPr>
        <w:t xml:space="preserve">）政府采购组织形式：</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政府集中采购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部门集中采购  </w:t>
      </w:r>
      <w:r>
        <w:rPr>
          <w:rFonts w:ascii="Wingdings" w:hAnsi="Wingdings" w:eastAsia="Wingdings" w:cs="Wingdings"/>
          <w:iCs w:val="0"/>
          <w:color w:val="auto"/>
          <w:sz w:val="24"/>
          <w:szCs w:val="24"/>
          <w:highlight w:val="none"/>
          <w:lang w:val="en-US" w:eastAsia="zh-CN" w:bidi="ar-SA"/>
        </w:rPr>
        <w:t xml:space="preserve">þ</w:t>
      </w:r>
      <w:r>
        <w:rPr>
          <w:rFonts w:hint="eastAsia" w:ascii="宋体" w:hAnsi="宋体" w:eastAsia="宋体" w:cs="宋体"/>
          <w:iCs w:val="0"/>
          <w:color w:val="auto"/>
          <w:sz w:val="24"/>
          <w:szCs w:val="24"/>
          <w:highlight w:val="none"/>
          <w:lang w:val="en-US" w:eastAsia="zh-CN" w:bidi="ar-SA"/>
        </w:rPr>
        <w:t xml:space="preserve">分散采购</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lang w:val="en-US" w:eastAsia="zh-CN" w:bidi="ar-SA"/>
        </w:rPr>
      </w:pPr>
      <w:r>
        <w:rPr>
          <w:rFonts w:hint="eastAsia" w:ascii="宋体" w:hAnsi="宋体" w:eastAsia="宋体" w:cs="宋体"/>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 w:eastAsia="zh-CN" w:bidi="ar-SA"/>
        </w:rPr>
        <w:t xml:space="preserve">5</w:t>
      </w:r>
      <w:r>
        <w:rPr>
          <w:rFonts w:hint="eastAsia" w:ascii="宋体" w:hAnsi="宋体" w:eastAsia="宋体" w:cs="宋体"/>
          <w:iCs w:val="0"/>
          <w:color w:val="auto"/>
          <w:sz w:val="24"/>
          <w:szCs w:val="24"/>
          <w:highlight w:val="none"/>
          <w:lang w:val="en-US" w:eastAsia="zh-CN" w:bidi="ar-SA"/>
        </w:rPr>
        <w:t xml:space="preserve">）政府采购方式：</w:t>
      </w:r>
      <w:r>
        <w:rPr>
          <w:rFonts w:ascii="Wingdings" w:hAnsi="Wingdings" w:eastAsia="Wingdings" w:cs="Wingdings"/>
          <w:iCs w:val="0"/>
          <w:color w:val="auto"/>
          <w:sz w:val="24"/>
          <w:szCs w:val="24"/>
          <w:highlight w:val="none"/>
          <w:lang w:val="en-US" w:eastAsia="zh-CN" w:bidi="ar-SA"/>
        </w:rPr>
        <w:t xml:space="preserve">þ</w:t>
      </w:r>
      <w:r>
        <w:rPr>
          <w:rFonts w:hint="eastAsia" w:ascii="宋体" w:hAnsi="宋体" w:eastAsia="宋体" w:cs="宋体"/>
          <w:iCs w:val="0"/>
          <w:color w:val="auto"/>
          <w:sz w:val="24"/>
          <w:szCs w:val="24"/>
          <w:highlight w:val="none"/>
          <w:lang w:val="en-US" w:eastAsia="zh-CN" w:bidi="ar-SA"/>
        </w:rPr>
        <w:t xml:space="preserve">公开招标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邀请招标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竞争性谈判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竞争性磋商</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询价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单一来源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框架协议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其他：</w:t>
      </w:r>
      <w:r>
        <w:rPr>
          <w:rFonts w:hint="eastAsia" w:ascii="宋体" w:hAnsi="宋体" w:eastAsia="宋体" w:cs="宋体"/>
          <w:iCs w:val="0"/>
          <w:color w:val="auto"/>
          <w:sz w:val="24"/>
          <w:szCs w:val="24"/>
          <w:highlight w:val="none"/>
          <w:u w:val="single"/>
          <w:lang w:val="en-US" w:eastAsia="zh-CN" w:bidi="ar-SA"/>
        </w:rPr>
        <w:t xml:space="preserve">          </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 w:eastAsia="zh-CN" w:bidi="ar-SA"/>
        </w:rPr>
        <w:t xml:space="preserve">6</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中标（成交）采购标的制造商是否为中小企业：</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rPr>
          <w:rFonts w:hint="eastAsia" w:ascii="宋体" w:hAnsi="宋体" w:eastAsia="宋体" w:cs="宋体"/>
          <w:i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本合同是否为专门面向中小企业的采</w:t>
      </w:r>
      <w:r>
        <w:rPr>
          <w:rFonts w:hint="eastAsia" w:ascii="宋体" w:hAnsi="宋体" w:eastAsia="宋体" w:cs="宋体"/>
          <w:color w:val="auto"/>
          <w:sz w:val="24"/>
          <w:szCs w:val="24"/>
          <w:highlight w:val="none"/>
          <w:shd w:val="clear" w:color="auto"/>
          <w:lang w:val="en-US" w:eastAsia="zh-CN" w:bidi="ar-SA"/>
        </w:rPr>
        <w:t xml:space="preserve">购合同（中小企业预留合同）</w:t>
      </w:r>
      <w:r>
        <w:rPr>
          <w:rFonts w:hint="eastAsia" w:ascii="宋体" w:hAnsi="宋体" w:eastAsia="宋体" w:cs="宋体"/>
          <w:color w:val="auto"/>
          <w:sz w:val="24"/>
          <w:szCs w:val="24"/>
          <w:highlight w:val="none"/>
          <w:shd w:val="clear" w:color="auto"/>
          <w:lang w:val="en-US" w:eastAsia="zh-CN" w:bidi="ar-SA"/>
        </w:rPr>
        <w:t xml:space="preserve">：</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是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rPr>
          <w:rFonts w:hint="eastAsia" w:ascii="宋体" w:hAnsi="宋体" w:eastAsia="宋体" w:cs="宋体"/>
          <w:i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若本项目不专门面向中小企业采购，是否给予小微企业评审优惠：</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是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rPr>
          <w:rFonts w:hint="eastAsia" w:ascii="宋体" w:hAnsi="宋体" w:eastAsia="宋体" w:cs="宋体"/>
          <w:i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中标（成交）采购标的制造商是否为残疾人福利性单位：</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是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否</w:t>
      </w:r>
      <w:r/>
    </w:p>
    <w:p>
      <w:pPr>
        <w:numPr>
          <w:ilvl w:val="0"/>
          <w:numId w:val="0"/>
        </w:num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中标（成交）采购标的制造商是否为监狱企业：</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是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否</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 w:eastAsia="zh-CN" w:bidi="ar-SA"/>
        </w:rPr>
        <w:t xml:space="preserve">7</w:t>
      </w:r>
      <w:r>
        <w:rPr>
          <w:rFonts w:hint="eastAsia" w:ascii="宋体" w:hAnsi="宋体" w:eastAsia="宋体" w:cs="宋体"/>
          <w:color w:val="auto"/>
          <w:sz w:val="24"/>
          <w:szCs w:val="24"/>
          <w:highlight w:val="none"/>
          <w:lang w:val="en-US" w:eastAsia="zh-CN" w:bidi="ar-SA"/>
        </w:rPr>
        <w:t xml:space="preserve">）合同是否分包：</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是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否</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 分包主要内容：</w:t>
      </w:r>
      <w:r>
        <w:rPr>
          <w:rFonts w:hint="eastAsia" w:ascii="宋体" w:hAnsi="宋体" w:eastAsia="宋体" w:cs="宋体"/>
          <w:color w:val="auto"/>
          <w:sz w:val="24"/>
          <w:szCs w:val="24"/>
          <w:highlight w:val="none"/>
          <w:u w:val="single"/>
          <w:lang w:val="en-US" w:eastAsia="zh-CN" w:bidi="ar-SA"/>
        </w:rPr>
        <w:t xml:space="preserve">             </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分包供应商/制造商名称（如供应商和制造商不同，请分别填写）：</w:t>
      </w:r>
      <w:r>
        <w:rPr>
          <w:rFonts w:hint="eastAsia" w:ascii="宋体" w:hAnsi="宋体" w:eastAsia="宋体" w:cs="宋体"/>
          <w:color w:val="auto"/>
          <w:sz w:val="24"/>
          <w:szCs w:val="24"/>
          <w:highlight w:val="none"/>
          <w:u w:val="single"/>
          <w:lang w:val="en-US" w:eastAsia="zh-CN" w:bidi="ar-SA"/>
        </w:rPr>
        <w:t xml:space="preserve">                          </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分包供应商/制造商类型（如果供应商和制造商不同，只填写制造商类型）：</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none"/>
          <w:lang w:val="en-US" w:eastAsia="zh-CN" w:bidi="ar-SA"/>
        </w:rPr>
      </w:pP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大型企业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中型企业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小微型企业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残疾人福利性单位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监狱企业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其他</w:t>
      </w:r>
      <w:r/>
    </w:p>
    <w:p>
      <w:pPr>
        <w:numPr>
          <w:ilvl w:val="0"/>
          <w:numId w:val="1"/>
        </w:numPr>
        <w:ind w:left="0" w:firstLine="480"/>
        <w:keepLines w:val="0"/>
        <w:keepNext w:val="0"/>
        <w:pageBreakBefore w:val="0"/>
        <w:spacing w:before="0" w:line="360" w:lineRule="auto"/>
        <w:rPr>
          <w:rFonts w:hint="eastAsia" w:ascii="宋体" w:hAnsi="宋体" w:eastAsia="宋体" w:cs="宋体"/>
          <w:iCs/>
          <w:color w:val="auto"/>
          <w:sz w:val="24"/>
          <w:szCs w:val="24"/>
          <w:highlight w:val="none"/>
          <w:lang w:val="en-US" w:eastAsia="zh-CN" w:bidi="ar-SA"/>
        </w:rPr>
      </w:pPr>
      <w:r>
        <w:rPr>
          <w:rFonts w:hint="eastAsia" w:ascii="宋体" w:hAnsi="宋体" w:eastAsia="宋体" w:cs="宋体"/>
          <w:color w:val="auto"/>
          <w:sz w:val="24"/>
          <w:szCs w:val="24"/>
          <w:highlight w:val="none"/>
          <w:u w:val="none"/>
          <w:lang w:val="en-US" w:eastAsia="zh-CN" w:bidi="ar-SA"/>
        </w:rPr>
        <w:t xml:space="preserve">中标（成交）供应商是否为外商投资企业：</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是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否</w:t>
      </w:r>
      <w:r/>
    </w:p>
    <w:p>
      <w:pPr>
        <w:numPr>
          <w:ilvl w:val="0"/>
          <w:numId w:val="0"/>
        </w:numPr>
        <w:ind w:left="0" w:firstLine="480"/>
        <w:keepLines w:val="0"/>
        <w:keepNext w:val="0"/>
        <w:pageBreakBefore w:val="0"/>
        <w:spacing w:before="0" w:line="360" w:lineRule="auto"/>
        <w:rPr>
          <w:rFonts w:hint="eastAsia" w:ascii="宋体" w:hAnsi="宋体" w:eastAsia="宋体" w:cs="宋体"/>
          <w:iCs/>
          <w:color w:val="auto"/>
          <w:sz w:val="24"/>
          <w:szCs w:val="24"/>
          <w:highlight w:val="none"/>
          <w:lang w:val="en-US" w:eastAsia="zh-CN" w:bidi="ar-SA"/>
        </w:rPr>
      </w:pPr>
      <w:r>
        <w:rPr>
          <w:rFonts w:hint="eastAsia" w:ascii="宋体" w:hAnsi="宋体" w:eastAsia="宋体" w:cs="宋体"/>
          <w:color w:val="auto"/>
          <w:sz w:val="24"/>
          <w:szCs w:val="24"/>
          <w:highlight w:val="none"/>
          <w:u w:val="none"/>
          <w:lang w:val="en-US" w:eastAsia="zh-CN" w:bidi="ar-SA"/>
        </w:rPr>
        <w:t xml:space="preserve">外商投资企业类型：</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color w:val="auto"/>
          <w:sz w:val="24"/>
          <w:szCs w:val="24"/>
          <w:highlight w:val="none"/>
          <w:u w:val="none"/>
          <w:lang w:val="en-US" w:eastAsia="zh-CN" w:bidi="ar-SA"/>
        </w:rPr>
        <w:t xml:space="preserve">全部由外国投资者投资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部分由外国投资者投资</w:t>
      </w:r>
      <w:r/>
    </w:p>
    <w:p>
      <w:pPr>
        <w:numPr>
          <w:ilvl w:val="0"/>
          <w:numId w:val="1"/>
        </w:numPr>
        <w:ind w:left="0" w:firstLine="480"/>
        <w:keepLines w:val="0"/>
        <w:keepNext w:val="0"/>
        <w:pageBreakBefore w:val="0"/>
        <w:spacing w:line="360" w:lineRule="auto"/>
        <w:tabs>
          <w:tab w:val="left" w:pos="1340" w:leader="none"/>
        </w:tabs>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是否涉及进口产品：</w:t>
      </w:r>
      <w:r/>
    </w:p>
    <w:p>
      <w:pPr>
        <w:numPr>
          <w:ilvl w:val="0"/>
          <w:numId w:val="0"/>
        </w:numPr>
        <w:ind w:left="0" w:firstLine="720"/>
        <w:keepLines w:val="0"/>
        <w:keepNext w:val="0"/>
        <w:pageBreakBefore w:val="0"/>
        <w:spacing w:line="360" w:lineRule="auto"/>
        <w:tabs>
          <w:tab w:val="left" w:pos="1340" w:leader="none"/>
        </w:tabs>
        <w:rPr>
          <w:rFonts w:hint="eastAsia" w:ascii="宋体" w:hAnsi="宋体" w:eastAsia="宋体" w:cs="宋体"/>
          <w:iCs w:val="0"/>
          <w:color w:val="auto"/>
          <w:sz w:val="24"/>
          <w:szCs w:val="24"/>
          <w:highlight w:val="none"/>
          <w:lang w:val="en-US" w:eastAsia="zh-CN" w:bidi="ar-SA"/>
        </w:rPr>
      </w:pP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是，《政府采购品目分类目录》底级品目名称</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金额：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国别：</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品牌：</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规格型号：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iCs w:val="0"/>
          <w:color w:val="auto"/>
          <w:sz w:val="24"/>
          <w:szCs w:val="24"/>
          <w:highlight w:val="none"/>
          <w:lang w:val="en-US" w:eastAsia="zh-CN" w:bidi="ar-SA"/>
        </w:rPr>
        <w:t xml:space="preserve">     </w:t>
      </w:r>
      <w:r/>
    </w:p>
    <w:p>
      <w:pPr>
        <w:ind w:left="0" w:firstLine="720"/>
        <w:keepLines w:val="0"/>
        <w:keepNext w:val="0"/>
        <w:pageBreakBefore w:val="0"/>
        <w:spacing w:before="0" w:line="360" w:lineRule="auto"/>
        <w:rPr>
          <w:rFonts w:hint="eastAsia" w:ascii="宋体" w:hAnsi="宋体" w:eastAsia="宋体" w:cs="宋体"/>
          <w:color w:val="auto"/>
          <w:sz w:val="24"/>
          <w:szCs w:val="24"/>
          <w:highlight w:val="none"/>
          <w:u w:val="none"/>
          <w:lang w:val="en-US" w:eastAsia="zh-CN" w:bidi="ar-SA"/>
        </w:rPr>
      </w:pP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 （1</w:t>
      </w:r>
      <w:r>
        <w:rPr>
          <w:rFonts w:hint="eastAsia" w:ascii="宋体" w:hAnsi="宋体" w:eastAsia="宋体" w:cs="宋体"/>
          <w:b w:val="0"/>
          <w:bCs w:val="0"/>
          <w:color w:val="auto"/>
          <w:sz w:val="24"/>
          <w:szCs w:val="24"/>
          <w:highlight w:val="none"/>
          <w:u w:val="none"/>
          <w:lang w:val="en" w:eastAsia="zh-CN" w:bidi="ar-SA"/>
        </w:rPr>
        <w:t xml:space="preserve">0</w:t>
      </w:r>
      <w:r>
        <w:rPr>
          <w:rFonts w:hint="eastAsia" w:ascii="宋体" w:hAnsi="宋体" w:eastAsia="宋体" w:cs="宋体"/>
          <w:b w:val="0"/>
          <w:bCs w:val="0"/>
          <w:color w:val="auto"/>
          <w:sz w:val="24"/>
          <w:szCs w:val="24"/>
          <w:highlight w:val="none"/>
          <w:u w:val="none"/>
          <w:lang w:val="en-US" w:eastAsia="zh-CN" w:bidi="ar-SA"/>
        </w:rPr>
        <w:t xml:space="preserve">）是否涉及节能产品：</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iCs/>
          <w:color w:val="auto"/>
          <w:sz w:val="24"/>
          <w:szCs w:val="24"/>
          <w:highlight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是，《节能产品政府采购品目清单》的底级品目名称：</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iCs/>
          <w:color w:val="auto"/>
          <w:sz w:val="24"/>
          <w:szCs w:val="24"/>
          <w:highlight w:val="none"/>
          <w:lang w:val="en-US" w:eastAsia="zh-CN" w:bidi="ar-SA"/>
        </w:rPr>
        <w:t xml:space="preserve">     </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iCs/>
          <w:color w:val="auto"/>
          <w:sz w:val="24"/>
          <w:szCs w:val="24"/>
          <w:highlight w:val="none"/>
          <w:lang w:val="en-US" w:eastAsia="zh-CN" w:bidi="ar-SA"/>
        </w:rPr>
      </w:pPr>
      <w:r>
        <w:rPr>
          <w:rFonts w:hint="eastAsia" w:ascii="宋体" w:hAnsi="宋体" w:eastAsia="宋体" w:cs="宋体"/>
          <w:iCs/>
          <w:color w:val="auto"/>
          <w:sz w:val="24"/>
          <w:szCs w:val="24"/>
          <w:highlight w:val="none"/>
          <w:lang w:val="en-US" w:eastAsia="zh-CN" w:bidi="ar-SA"/>
        </w:rPr>
        <w:t xml:space="preserve">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强制采购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优先采购    </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iCs w:val="0"/>
          <w:color w:val="auto"/>
          <w:sz w:val="24"/>
          <w:szCs w:val="24"/>
          <w:highlight w:val="none"/>
          <w:lang w:val="en-US" w:eastAsia="zh-CN" w:bidi="ar-SA"/>
        </w:rPr>
      </w:pPr>
      <w:r>
        <w:rPr>
          <w:rFonts w:hint="eastAsia" w:ascii="宋体" w:hAnsi="宋体" w:eastAsia="宋体" w:cs="宋体"/>
          <w:iCs/>
          <w:color w:val="auto"/>
          <w:sz w:val="24"/>
          <w:szCs w:val="24"/>
          <w:highlight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  是否涉及环境标志产品：</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i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是，《环境标志产品政府采购品目清单》的底级品目名称：</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iCs/>
          <w:color w:val="auto"/>
          <w:sz w:val="24"/>
          <w:szCs w:val="24"/>
          <w:highlight w:val="none"/>
          <w:lang w:val="en-US" w:eastAsia="zh-CN" w:bidi="ar-SA"/>
        </w:rPr>
        <w:t xml:space="preserve"> </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iCs/>
          <w:color w:val="auto"/>
          <w:sz w:val="24"/>
          <w:szCs w:val="24"/>
          <w:highlight w:val="none"/>
          <w:lang w:val="en-US" w:eastAsia="zh-CN" w:bidi="ar-SA"/>
        </w:rPr>
      </w:pPr>
      <w:r>
        <w:rPr>
          <w:rFonts w:hint="eastAsia" w:ascii="宋体" w:hAnsi="宋体" w:eastAsia="宋体" w:cs="宋体"/>
          <w:iCs/>
          <w:color w:val="auto"/>
          <w:sz w:val="24"/>
          <w:szCs w:val="24"/>
          <w:highlight w:val="none"/>
          <w:lang w:val="en-US" w:eastAsia="zh-CN" w:bidi="ar-SA"/>
        </w:rPr>
        <w:t xml:space="preserve">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强制采购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优先采购    </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iCs/>
          <w:color w:val="auto"/>
          <w:sz w:val="24"/>
          <w:szCs w:val="24"/>
          <w:highlight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  </w:t>
      </w:r>
      <w:r>
        <w:rPr>
          <w:rFonts w:hint="eastAsia" w:ascii="宋体" w:hAnsi="宋体" w:eastAsia="宋体" w:cs="宋体"/>
          <w:b w:val="0"/>
          <w:bCs w:val="0"/>
          <w:color w:val="auto"/>
          <w:sz w:val="24"/>
          <w:szCs w:val="24"/>
          <w:highlight w:val="none"/>
          <w:u w:val="none"/>
          <w:lang w:val="en-US" w:eastAsia="zh-CN" w:bidi="ar-SA"/>
        </w:rPr>
        <w:t xml:space="preserve">是否涉及绿色产品：</w:t>
      </w:r>
      <w:r>
        <w:rPr>
          <w:rFonts w:hint="eastAsia" w:ascii="宋体" w:hAnsi="宋体" w:eastAsia="宋体" w:cs="宋体"/>
          <w:iCs w:val="0"/>
          <w:color w:val="auto"/>
          <w:sz w:val="24"/>
          <w:szCs w:val="24"/>
          <w:highlight w:val="none"/>
          <w:u w:val="none"/>
          <w:lang w:val="en-US" w:eastAsia="zh-CN" w:bidi="ar-SA"/>
        </w:rPr>
        <w:t xml:space="preserve"> </w:t>
      </w:r>
      <w:r/>
    </w:p>
    <w:p>
      <w:pPr>
        <w:ind w:left="0" w:firstLine="720"/>
        <w:keepLines w:val="0"/>
        <w:keepNext w:val="0"/>
        <w:pageBreakBefore w:val="0"/>
        <w:spacing w:line="360" w:lineRule="auto"/>
        <w:rPr>
          <w:rFonts w:hint="eastAsia" w:ascii="宋体" w:hAnsi="宋体" w:eastAsia="宋体" w:cs="宋体"/>
          <w:color w:val="auto"/>
          <w:sz w:val="24"/>
          <w:szCs w:val="24"/>
          <w:highlight w:val="none"/>
          <w:u w:val="single"/>
          <w:lang w:val="en-US" w:eastAsia="zh-CN" w:bidi="ar-SA"/>
        </w:rPr>
      </w:pPr>
      <w:r>
        <w:rPr>
          <w:rFonts w:ascii="Wingdings" w:hAnsi="Wingdings" w:eastAsia="Wingdings" w:cs="Wingdings"/>
          <w:iCs w:val="0"/>
          <w:color w:val="auto"/>
          <w:sz w:val="24"/>
          <w:szCs w:val="24"/>
          <w:highlight w:val="none"/>
          <w:u w:val="none"/>
          <w:lang w:val="en-US" w:eastAsia="zh-CN" w:bidi="ar-SA"/>
        </w:rPr>
        <w:t xml:space="preserve">¨</w:t>
      </w:r>
      <w:r>
        <w:rPr>
          <w:rFonts w:hint="eastAsia" w:ascii="宋体" w:hAnsi="宋体" w:eastAsia="宋体" w:cs="宋体"/>
          <w:iCs w:val="0"/>
          <w:color w:val="auto"/>
          <w:sz w:val="24"/>
          <w:szCs w:val="24"/>
          <w:highlight w:val="none"/>
          <w:u w:val="none"/>
          <w:lang w:val="en-US" w:eastAsia="zh-CN" w:bidi="ar-SA"/>
        </w:rPr>
        <w:t xml:space="preserve">是，绿色产品政府采购相关政策确定的底级品目名称：</w:t>
      </w:r>
      <w:r>
        <w:rPr>
          <w:rFonts w:hint="eastAsia" w:ascii="宋体" w:hAnsi="宋体" w:eastAsia="宋体" w:cs="宋体"/>
          <w:color w:val="auto"/>
          <w:sz w:val="24"/>
          <w:szCs w:val="24"/>
          <w:highlight w:val="none"/>
          <w:u w:val="single"/>
          <w:lang w:val="en-US" w:eastAsia="zh-CN" w:bidi="ar-SA"/>
        </w:rPr>
        <w:t xml:space="preserve">         </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iCs/>
          <w:color w:val="auto"/>
          <w:sz w:val="24"/>
          <w:szCs w:val="24"/>
          <w:highlight w:val="none"/>
          <w:lang w:val="en-US" w:eastAsia="zh-CN" w:bidi="ar-SA"/>
        </w:rPr>
      </w:pPr>
      <w:r>
        <w:rPr>
          <w:rFonts w:hint="eastAsia" w:ascii="宋体" w:hAnsi="宋体" w:eastAsia="宋体" w:cs="宋体"/>
          <w:iCs/>
          <w:color w:val="auto"/>
          <w:sz w:val="24"/>
          <w:szCs w:val="24"/>
          <w:highlight w:val="none"/>
          <w:lang w:val="en-US" w:eastAsia="zh-CN" w:bidi="ar-SA"/>
        </w:rPr>
        <w:t xml:space="preserve">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强制采购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优先采购    </w:t>
      </w:r>
      <w:r/>
    </w:p>
    <w:p>
      <w:pPr>
        <w:ind w:left="0" w:firstLine="720"/>
        <w:keepLines w:val="0"/>
        <w:keepNext w:val="0"/>
        <w:pageBreakBefore w:val="0"/>
        <w:spacing w:line="360" w:lineRule="auto"/>
        <w:rPr>
          <w:rFonts w:hint="eastAsia" w:ascii="宋体" w:hAnsi="宋体" w:eastAsia="宋体" w:cs="宋体"/>
          <w:iCs w:val="0"/>
          <w:color w:val="auto"/>
          <w:sz w:val="24"/>
          <w:szCs w:val="24"/>
          <w:highlight w:val="none"/>
          <w:u w:val="none"/>
          <w:lang w:val="en-US" w:eastAsia="zh-CN" w:bidi="ar-SA"/>
        </w:rPr>
      </w:pPr>
      <w:r>
        <w:rPr>
          <w:rFonts w:ascii="Wingdings" w:hAnsi="Wingdings" w:eastAsia="Wingdings" w:cs="Wingdings"/>
          <w:iCs w:val="0"/>
          <w:color w:val="auto"/>
          <w:sz w:val="24"/>
          <w:szCs w:val="24"/>
          <w:highlight w:val="none"/>
          <w:u w:val="none"/>
          <w:lang w:val="en-US" w:eastAsia="zh-CN" w:bidi="ar-SA"/>
        </w:rPr>
        <w:t xml:space="preserve">¨</w:t>
      </w:r>
      <w:r>
        <w:rPr>
          <w:rFonts w:hint="eastAsia" w:ascii="宋体" w:hAnsi="宋体" w:eastAsia="宋体" w:cs="宋体"/>
          <w:iCs w:val="0"/>
          <w:color w:val="auto"/>
          <w:sz w:val="24"/>
          <w:szCs w:val="24"/>
          <w:highlight w:val="none"/>
          <w:u w:val="none"/>
          <w:lang w:val="en-US" w:eastAsia="zh-CN" w:bidi="ar-SA"/>
        </w:rPr>
        <w:t xml:space="preserve">否</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 w:eastAsia="zh-CN" w:bidi="ar-SA"/>
        </w:rPr>
        <w:t xml:space="preserve">1</w:t>
      </w:r>
      <w:r>
        <w:rPr>
          <w:rFonts w:hint="eastAsia" w:ascii="宋体" w:hAnsi="宋体" w:eastAsia="宋体" w:cs="宋体"/>
          <w:color w:val="auto"/>
          <w:sz w:val="24"/>
          <w:szCs w:val="24"/>
          <w:highlight w:val="none"/>
          <w:lang w:val="en-US" w:eastAsia="zh-CN" w:bidi="ar-SA"/>
        </w:rPr>
        <w:t xml:space="preserve">）涉及商品包装和快递包装的，是否参考《商品包装政府采购需求标准（试行）》、《快递包装政府采购需求标准（试行）》明确产品及相关快递服务的具体包装要求：</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lang w:val="en-US" w:eastAsia="zh-CN" w:bidi="ar-SA"/>
        </w:rPr>
      </w:pP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是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否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不涉及</w:t>
      </w:r>
      <w:r/>
    </w:p>
    <w:p>
      <w:pPr>
        <w:numPr>
          <w:ilvl w:val="0"/>
          <w:numId w:val="0"/>
        </w:numPr>
        <w:ind w:firstLine="482"/>
        <w:keepLines w:val="0"/>
        <w:keepNext w:val="0"/>
        <w:pageBreakBefore w:val="0"/>
        <w:spacing w:before="0"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2.合同金额</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（1）合同金额小写：</w:t>
      </w:r>
      <w:r>
        <w:rPr>
          <w:rFonts w:hint="eastAsia" w:ascii="宋体" w:hAnsi="宋体" w:eastAsia="宋体" w:cs="宋体"/>
          <w:color w:val="auto"/>
          <w:sz w:val="24"/>
          <w:szCs w:val="24"/>
          <w:highlight w:val="none"/>
          <w:u w:val="single"/>
          <w:lang w:val="en-US" w:eastAsia="zh-CN" w:bidi="ar-SA"/>
        </w:rPr>
        <w:t xml:space="preserve">                           </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                 大写：</w:t>
      </w:r>
      <w:r>
        <w:rPr>
          <w:rFonts w:hint="eastAsia" w:ascii="宋体" w:hAnsi="宋体" w:eastAsia="宋体" w:cs="宋体"/>
          <w:color w:val="auto"/>
          <w:sz w:val="24"/>
          <w:szCs w:val="24"/>
          <w:highlight w:val="none"/>
          <w:u w:val="single"/>
          <w:lang w:val="en-US" w:eastAsia="zh-CN" w:bidi="ar-SA"/>
        </w:rPr>
        <w:t xml:space="preserve">                           </w:t>
      </w:r>
      <w:r/>
    </w:p>
    <w:p>
      <w:pPr>
        <w:ind w:firstLine="480"/>
        <w:keepLines w:val="0"/>
        <w:keepNext w:val="0"/>
        <w:pageBreakBefore w:val="0"/>
        <w:spacing w:before="0" w:line="36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（2）合同定价方式：</w:t>
      </w:r>
      <w:r>
        <w:rPr>
          <w:rFonts w:ascii="Wingdings 2" w:hAnsi="Wingdings 2" w:eastAsia="Wingdings 2" w:cs="Wingdings 2"/>
          <w:b/>
          <w:bCs/>
          <w:iCs/>
          <w:color w:val="auto"/>
          <w:sz w:val="24"/>
          <w:szCs w:val="24"/>
          <w:highlight w:val="none"/>
          <w:u w:val="single"/>
          <w:lang w:val="en-US" w:eastAsia="zh-CN" w:bidi="ar-SA"/>
        </w:rPr>
        <w:t xml:space="preserve">£</w:t>
      </w:r>
      <w:r>
        <w:rPr>
          <w:rFonts w:hint="eastAsia" w:ascii="宋体" w:hAnsi="宋体" w:eastAsia="宋体" w:cs="宋体"/>
          <w:b/>
          <w:bCs/>
          <w:iCs/>
          <w:color w:val="auto"/>
          <w:sz w:val="24"/>
          <w:szCs w:val="24"/>
          <w:highlight w:val="none"/>
          <w:u w:val="single"/>
          <w:lang w:val="en-US" w:eastAsia="zh-CN" w:bidi="ar-SA"/>
        </w:rPr>
        <w:t xml:space="preserve">固定总价  </w:t>
      </w:r>
      <w:r>
        <w:rPr>
          <w:rFonts w:ascii="Wingdings 2" w:hAnsi="Wingdings 2" w:eastAsia="Wingdings 2" w:cs="Wingdings 2"/>
          <w:b/>
          <w:bCs/>
          <w:iCs/>
          <w:color w:val="auto"/>
          <w:sz w:val="24"/>
          <w:szCs w:val="24"/>
          <w:highlight w:val="none"/>
          <w:u w:val="single"/>
          <w:lang w:val="en-US" w:eastAsia="zh-CN" w:bidi="ar-SA"/>
        </w:rPr>
        <w:t xml:space="preserve">R</w:t>
      </w:r>
      <w:r>
        <w:rPr>
          <w:rFonts w:hint="eastAsia" w:ascii="宋体" w:hAnsi="宋体" w:eastAsia="宋体" w:cs="宋体"/>
          <w:b/>
          <w:bCs/>
          <w:iCs/>
          <w:color w:val="auto"/>
          <w:sz w:val="24"/>
          <w:szCs w:val="24"/>
          <w:highlight w:val="none"/>
          <w:u w:val="single"/>
          <w:lang w:val="en-US" w:eastAsia="zh-CN" w:bidi="ar-SA"/>
        </w:rPr>
        <w:t xml:space="preserve">固定单价</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（3）付款方式：</w:t>
      </w:r>
      <w:r/>
    </w:p>
    <w:p>
      <w:pPr>
        <w:ind w:firstLine="482"/>
        <w:keepLines w:val="0"/>
        <w:keepNext w:val="0"/>
        <w:pageBreakBefore w:val="0"/>
        <w:spacing w:before="0" w:line="36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single"/>
          <w:lang w:val="en-US" w:eastAsia="zh-CN" w:bidi="ar-SA"/>
        </w:rPr>
        <w:t xml:space="preserve"> 合同签订后30日内，支付合同价款的10%作为预付款，全部货物供货、附属土建实施、安装调试完成，验收合格并经结算审核后，根据审核价付清全部款项。</w:t>
      </w:r>
      <w:r/>
    </w:p>
    <w:p>
      <w:pPr>
        <w:ind w:firstLine="482"/>
        <w:keepLines w:val="0"/>
        <w:keepNext w:val="0"/>
        <w:pageBreakBefore w:val="0"/>
        <w:spacing w:before="0" w:line="36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single"/>
          <w:lang w:val="en-US" w:eastAsia="zh-CN" w:bidi="ar-SA"/>
        </w:rPr>
        <w:t xml:space="preserve">付款时由乙方提供增值税发票，甲方按相关财务支付规定办理支付手续。</w:t>
      </w:r>
      <w:r/>
    </w:p>
    <w:p>
      <w:pPr>
        <w:ind w:firstLine="480"/>
        <w:keepLines w:val="0"/>
        <w:keepNext w:val="0"/>
        <w:pageBreakBefore w:val="0"/>
        <w:spacing w:before="0" w:line="360" w:lineRule="auto"/>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当采购数量与实际使用数量不一致时，乙方根据实际使用量提供产品和服务，合同的最终结算金额按实际使用量乘以中标单价进行计算。</w:t>
      </w:r>
      <w:r/>
    </w:p>
    <w:p>
      <w:pPr>
        <w:numPr>
          <w:ilvl w:val="0"/>
          <w:numId w:val="0"/>
        </w:numPr>
        <w:ind w:firstLine="482"/>
        <w:keepLines w:val="0"/>
        <w:keepNext w:val="0"/>
        <w:pageBreakBefore w:val="0"/>
        <w:spacing w:before="0" w:line="360" w:lineRule="auto"/>
        <w:rPr>
          <w:rFonts w:hint="eastAsia" w:ascii="宋体" w:hAnsi="宋体" w:eastAsia="宋体" w:cs="宋体"/>
          <w:b/>
          <w:bCs w:val="0"/>
          <w:color w:val="auto"/>
          <w:sz w:val="24"/>
          <w:szCs w:val="24"/>
          <w:highlight w:val="none"/>
          <w:u w:val="single"/>
          <w:lang w:val="en-US" w:eastAsia="zh-CN" w:bidi="ar-SA"/>
        </w:rPr>
      </w:pPr>
      <w:r>
        <w:rPr>
          <w:rFonts w:hint="eastAsia" w:ascii="宋体" w:hAnsi="宋体" w:eastAsia="宋体" w:cs="宋体"/>
          <w:b/>
          <w:bCs w:val="0"/>
          <w:color w:val="auto"/>
          <w:sz w:val="24"/>
          <w:szCs w:val="24"/>
          <w:highlight w:val="none"/>
          <w:lang w:val="en-US" w:eastAsia="zh-CN" w:bidi="ar-SA"/>
        </w:rPr>
        <w:t xml:space="preserve">3.合同履行</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（1）起始日期：</w:t>
      </w:r>
      <w:r>
        <w:rPr>
          <w:rFonts w:hint="eastAsia" w:ascii="宋体" w:hAnsi="宋体" w:eastAsia="宋体" w:cs="宋体"/>
          <w:color w:val="auto"/>
          <w:sz w:val="24"/>
          <w:szCs w:val="24"/>
          <w:highlight w:val="none"/>
          <w:u w:val="single"/>
          <w:lang w:val="en-US" w:eastAsia="zh-CN" w:bidi="ar-SA"/>
        </w:rPr>
        <w:t xml:space="preserve">2026</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日，完成日期：</w:t>
      </w:r>
      <w:r>
        <w:rPr>
          <w:rFonts w:hint="eastAsia" w:ascii="宋体" w:hAnsi="宋体" w:eastAsia="宋体" w:cs="宋体"/>
          <w:color w:val="auto"/>
          <w:sz w:val="24"/>
          <w:szCs w:val="24"/>
          <w:highlight w:val="none"/>
          <w:u w:val="single"/>
          <w:lang w:val="en-US" w:eastAsia="zh-CN" w:bidi="ar-SA"/>
        </w:rPr>
        <w:t xml:space="preserve">2026</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w:t>
      </w:r>
      <w:r/>
    </w:p>
    <w:p>
      <w:pPr>
        <w:ind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（2）履约地点</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灌云县高新区高级中学新校区 </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（3）履约担保：</w:t>
      </w:r>
      <w:r>
        <w:rPr>
          <w:rFonts w:hint="eastAsia" w:ascii="宋体" w:hAnsi="宋体" w:eastAsia="宋体" w:cs="宋体"/>
          <w:color w:val="auto"/>
          <w:sz w:val="24"/>
          <w:szCs w:val="24"/>
          <w:highlight w:val="none"/>
          <w:lang w:val="en-US" w:eastAsia="zh-CN" w:bidi="ar-SA"/>
        </w:rPr>
        <w:t xml:space="preserve">是否收取履约保证金：</w:t>
      </w:r>
      <w:r>
        <w:rPr>
          <w:rFonts w:ascii="Wingdings" w:hAnsi="Wingdings" w:eastAsia="Wingdings" w:cs="Wingdings"/>
          <w:color w:val="auto"/>
          <w:sz w:val="24"/>
          <w:szCs w:val="24"/>
          <w:highlight w:val="none"/>
          <w:lang w:val="en-US" w:eastAsia="zh-CN" w:bidi="ar-SA"/>
        </w:rPr>
        <w:t xml:space="preserve">þ</w:t>
      </w:r>
      <w:r>
        <w:rPr>
          <w:rFonts w:hint="eastAsia" w:ascii="宋体" w:hAnsi="宋体" w:eastAsia="宋体" w:cs="宋体"/>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否</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收取履约保证金形式：</w:t>
      </w:r>
      <w:r>
        <w:rPr>
          <w:rFonts w:hint="eastAsia" w:ascii="宋体" w:hAnsi="宋体" w:eastAsia="宋体" w:cs="宋体"/>
          <w:bCs/>
          <w:color w:val="auto"/>
          <w:sz w:val="24"/>
          <w:szCs w:val="24"/>
          <w:highlight w:val="none"/>
          <w:u w:val="single"/>
          <w:lang w:val="en-US" w:eastAsia="zh-CN" w:bidi="ar-SA"/>
        </w:rPr>
        <w:t xml:space="preserve">支票、汇票、本票或者金融机构、担保机构出具的保函等非现金形式。</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收取履约保证金金额：</w:t>
      </w:r>
      <w:r>
        <w:rPr>
          <w:rFonts w:hint="eastAsia" w:ascii="宋体" w:hAnsi="宋体" w:eastAsia="宋体" w:cs="宋体"/>
          <w:bCs/>
          <w:color w:val="auto"/>
          <w:sz w:val="24"/>
          <w:szCs w:val="24"/>
          <w:highlight w:val="none"/>
          <w:u w:val="single"/>
          <w:lang w:val="en-US" w:eastAsia="zh-CN" w:bidi="ar-SA"/>
        </w:rPr>
        <w:t xml:space="preserve">政府采购合同金额的10%</w:t>
      </w:r>
      <w:r/>
    </w:p>
    <w:p>
      <w:pPr>
        <w:ind w:firstLine="480"/>
        <w:keepLines w:val="0"/>
        <w:keepNext w:val="0"/>
        <w:pageBreakBefore w:val="0"/>
        <w:spacing w:line="360" w:lineRule="auto"/>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u w:val="none"/>
          <w:lang w:val="en-US" w:eastAsia="zh-CN" w:bidi="ar-SA"/>
        </w:rPr>
        <w:t xml:space="preserve">履约担保的退还：</w:t>
      </w:r>
      <w:r>
        <w:rPr>
          <w:rFonts w:hint="eastAsia" w:ascii="宋体" w:hAnsi="宋体" w:eastAsia="宋体" w:cs="宋体"/>
          <w:bCs/>
          <w:color w:val="auto"/>
          <w:sz w:val="24"/>
          <w:szCs w:val="24"/>
          <w:highlight w:val="none"/>
          <w:u w:val="single"/>
          <w:lang w:val="en-US" w:eastAsia="zh-CN"/>
        </w:rPr>
        <w:t xml:space="preserve">全部货物供货及附属土建施工完成并经</w:t>
      </w:r>
      <w:r>
        <w:rPr>
          <w:rFonts w:hint="eastAsia" w:ascii="宋体" w:hAnsi="宋体" w:eastAsia="宋体" w:cs="宋体"/>
          <w:color w:val="auto"/>
          <w:sz w:val="24"/>
          <w:szCs w:val="24"/>
          <w:highlight w:val="none"/>
          <w:u w:val="single"/>
        </w:rPr>
        <w:t xml:space="preserve">验收合格后</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rPr>
        <w:t xml:space="preserve">15日内退还</w:t>
      </w:r>
      <w:r>
        <w:rPr>
          <w:rFonts w:hint="eastAsia" w:ascii="宋体" w:hAnsi="宋体" w:eastAsia="宋体" w:cs="宋体"/>
          <w:bCs/>
          <w:color w:val="auto"/>
          <w:sz w:val="24"/>
          <w:szCs w:val="24"/>
          <w:highlight w:val="none"/>
          <w:u w:val="single"/>
          <w:lang w:val="en-US" w:eastAsia="zh-CN" w:bidi="ar-SA"/>
        </w:rPr>
        <w:t xml:space="preserve">。</w:t>
      </w:r>
      <w:r/>
    </w:p>
    <w:p>
      <w:pPr>
        <w:numPr>
          <w:ilvl w:val="0"/>
          <w:numId w:val="0"/>
        </w:numPr>
        <w:ind w:firstLine="482"/>
        <w:keepLines w:val="0"/>
        <w:keepNext w:val="0"/>
        <w:pageBreakBefore w:val="0"/>
        <w:spacing w:before="0"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4.合同验收</w:t>
      </w:r>
      <w:r/>
    </w:p>
    <w:p>
      <w:pPr>
        <w:numPr>
          <w:ilvl w:val="0"/>
          <w:numId w:val="0"/>
        </w:num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（1）验收组织方式：</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自行组织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委托第三方组织</w:t>
      </w:r>
      <w:r/>
    </w:p>
    <w:p>
      <w:pPr>
        <w:numPr>
          <w:ilvl w:val="0"/>
          <w:numId w:val="0"/>
        </w:num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         验收主体：</w:t>
      </w:r>
      <w:r>
        <w:rPr>
          <w:rFonts w:hint="eastAsia" w:ascii="宋体" w:hAnsi="宋体" w:eastAsia="宋体" w:cs="宋体"/>
          <w:bCs/>
          <w:color w:val="auto"/>
          <w:sz w:val="24"/>
          <w:szCs w:val="24"/>
          <w:highlight w:val="none"/>
          <w:u w:val="single"/>
          <w:lang w:val="en-US" w:eastAsia="zh-CN" w:bidi="ar-SA"/>
        </w:rPr>
        <w:t xml:space="preserve"> 灌云县教育局 </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        是否邀请本项目的其他供应商参加验收：</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þ</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是否邀请专家参加验收：</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是否邀请服务对象参加验收：</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是否邀请第三方检测机构参加验收：</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是否进行抽查检测：</w:t>
      </w:r>
      <w:r>
        <w:rPr>
          <w:rFonts w:ascii="Wingdings" w:hAnsi="Wingdings" w:eastAsia="Wingdings" w:cs="Wingdings"/>
          <w:color w:val="auto"/>
          <w:sz w:val="24"/>
          <w:szCs w:val="24"/>
          <w:highlight w:val="none"/>
          <w:lang w:val="en-US" w:eastAsia="zh-CN" w:bidi="ar-SA"/>
        </w:rPr>
        <w:t xml:space="preserve">þ</w:t>
      </w:r>
      <w:r>
        <w:rPr>
          <w:rFonts w:hint="eastAsia" w:ascii="宋体" w:hAnsi="宋体" w:eastAsia="宋体" w:cs="宋体"/>
          <w:bCs/>
          <w:color w:val="auto"/>
          <w:sz w:val="24"/>
          <w:szCs w:val="24"/>
          <w:highlight w:val="none"/>
          <w:lang w:val="en-US" w:eastAsia="zh-CN" w:bidi="ar-SA"/>
        </w:rPr>
        <w:t xml:space="preserve">是，抽查比例：</w:t>
      </w:r>
      <w:r>
        <w:rPr>
          <w:rFonts w:hint="eastAsia" w:ascii="宋体" w:hAnsi="宋体" w:eastAsia="宋体" w:cs="宋体"/>
          <w:bCs/>
          <w:color w:val="auto"/>
          <w:sz w:val="24"/>
          <w:szCs w:val="24"/>
          <w:highlight w:val="none"/>
          <w:u w:val="single"/>
          <w:lang w:val="en-US" w:eastAsia="zh-CN" w:bidi="ar-SA"/>
        </w:rPr>
        <w:t xml:space="preserve">按甲方要求</w:t>
      </w:r>
      <w:r>
        <w:rPr>
          <w:rFonts w:hint="eastAsia" w:ascii="宋体" w:hAnsi="宋体" w:eastAsia="宋体" w:cs="宋体"/>
          <w:bCs/>
          <w:color w:val="auto"/>
          <w:sz w:val="24"/>
          <w:szCs w:val="24"/>
          <w:highlight w:val="none"/>
          <w:lang w:val="en-US" w:eastAsia="zh-CN" w:bidi="ar-SA"/>
        </w:rPr>
        <w:t xml:space="preserve">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是否存在破坏性检测：</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是</w:t>
      </w:r>
      <w:r>
        <w:rPr>
          <w:rFonts w:ascii="Wingdings" w:hAnsi="Wingdings" w:eastAsia="Wingdings" w:cs="Wingdings"/>
          <w:color w:val="auto"/>
          <w:sz w:val="24"/>
          <w:szCs w:val="24"/>
          <w:highlight w:val="none"/>
          <w:lang w:val="en-US" w:eastAsia="zh-CN" w:bidi="ar-SA"/>
        </w:rPr>
        <w:t xml:space="preserve">þ</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lang w:val="en-US" w:eastAsia="zh-CN" w:bidi="ar-SA"/>
        </w:rPr>
        <w:t xml:space="preserve">验收组织的其他事项：</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（2）履约验收时间：</w:t>
      </w:r>
      <w:r>
        <w:rPr>
          <w:rFonts w:hint="eastAsia" w:ascii="宋体" w:hAnsi="宋体" w:eastAsia="宋体" w:cs="宋体"/>
          <w:bCs/>
          <w:color w:val="auto"/>
          <w:sz w:val="24"/>
          <w:szCs w:val="24"/>
          <w:highlight w:val="none"/>
          <w:u w:val="single"/>
          <w:lang w:val="en-US" w:eastAsia="zh-CN" w:bidi="ar-SA"/>
        </w:rPr>
        <w:t xml:space="preserve">采购人依法组织验收</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（3）履约验收方式：</w:t>
      </w:r>
      <w:r>
        <w:rPr>
          <w:rFonts w:ascii="Wingdings" w:hAnsi="Wingdings" w:eastAsia="Wingdings" w:cs="Wingdings"/>
          <w:color w:val="auto"/>
          <w:sz w:val="24"/>
          <w:szCs w:val="24"/>
          <w:highlight w:val="none"/>
          <w:lang w:val="en-US" w:eastAsia="zh-CN" w:bidi="ar-SA"/>
        </w:rPr>
        <w:t xml:space="preserve">þ</w:t>
      </w:r>
      <w:r>
        <w:rPr>
          <w:rFonts w:hint="eastAsia" w:ascii="宋体" w:hAnsi="宋体" w:eastAsia="宋体" w:cs="宋体"/>
          <w:bCs/>
          <w:color w:val="auto"/>
          <w:sz w:val="24"/>
          <w:szCs w:val="24"/>
          <w:highlight w:val="none"/>
          <w:lang w:val="en-US" w:eastAsia="zh-CN" w:bidi="ar-SA"/>
        </w:rPr>
        <w:t xml:space="preserve">一次性验收        </w:t>
      </w:r>
      <w:r/>
    </w:p>
    <w:p>
      <w:pPr>
        <w:ind w:firstLine="480"/>
        <w:keepLines w:val="0"/>
        <w:keepNext w:val="0"/>
        <w:pageBreakBefore w:val="0"/>
        <w:spacing w:line="360" w:lineRule="auto"/>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u w:val="none"/>
          <w:lang w:val="en-US" w:eastAsia="zh-CN" w:bidi="ar-SA"/>
        </w:rPr>
        <w:t xml:space="preserve">（4）履约验收程序：</w:t>
      </w:r>
      <w:r>
        <w:rPr>
          <w:rFonts w:hint="eastAsia" w:ascii="宋体" w:hAnsi="宋体" w:eastAsia="宋体" w:cs="宋体"/>
          <w:bCs/>
          <w:color w:val="auto"/>
          <w:sz w:val="24"/>
          <w:szCs w:val="24"/>
          <w:highlight w:val="none"/>
          <w:u w:val="single"/>
          <w:lang w:val="en-US" w:eastAsia="zh-CN"/>
        </w:rPr>
        <w:t xml:space="preserve">详见招标文件</w:t>
      </w:r>
      <w:r>
        <w:rPr>
          <w:rFonts w:hint="eastAsia" w:ascii="宋体" w:hAnsi="宋体" w:eastAsia="宋体" w:cs="宋体"/>
          <w:bCs/>
          <w:color w:val="auto"/>
          <w:sz w:val="24"/>
          <w:szCs w:val="24"/>
          <w:highlight w:val="none"/>
          <w:u w:val="single"/>
          <w:lang w:val="en-US" w:eastAsia="zh-CN" w:bidi="ar-SA"/>
        </w:rPr>
        <w:t xml:space="preserve">。</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（5）履约验收标准：</w:t>
      </w:r>
      <w:r>
        <w:rPr>
          <w:rFonts w:hint="eastAsia" w:ascii="宋体" w:hAnsi="宋体" w:eastAsia="宋体" w:cs="宋体"/>
          <w:bCs/>
          <w:color w:val="auto"/>
          <w:sz w:val="24"/>
          <w:szCs w:val="24"/>
          <w:highlight w:val="none"/>
          <w:u w:val="single"/>
          <w:lang w:val="en-US" w:eastAsia="zh-CN" w:bidi="ar-SA"/>
        </w:rPr>
        <w:t xml:space="preserve">符合招标文件技术要求</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（6）是否以采购活动中供应商提供的样品作为参考：</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þ</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lang w:val="en-US" w:eastAsia="zh-CN" w:bidi="ar-SA"/>
        </w:rPr>
        <w:t xml:space="preserve">（7）履约验收其他事项：</w:t>
      </w:r>
      <w:r>
        <w:rPr>
          <w:rFonts w:hint="eastAsia" w:ascii="宋体" w:hAnsi="宋体" w:eastAsia="宋体" w:cs="宋体"/>
          <w:bCs/>
          <w:color w:val="auto"/>
          <w:sz w:val="24"/>
          <w:szCs w:val="24"/>
          <w:highlight w:val="none"/>
          <w:u w:val="single"/>
          <w:lang w:val="en-US" w:eastAsia="zh-CN" w:bidi="ar-SA"/>
        </w:rPr>
        <w:t xml:space="preserve">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r/>
    </w:p>
    <w:p>
      <w:pPr>
        <w:numPr>
          <w:ilvl w:val="0"/>
          <w:numId w:val="0"/>
        </w:numPr>
        <w:ind w:firstLine="482"/>
        <w:keepLines w:val="0"/>
        <w:keepNext w:val="0"/>
        <w:pageBreakBefore w:val="0"/>
        <w:spacing w:before="0"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5.组成合同的文件</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本协议书与下列文件一起构成合同文件，如下述文件之间有任何抵触、矛盾或歧义，应按以下顺序解释：</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（1）政府采购合同协议书及其变更、补充协议</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（2）政府采购合同专用条款</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（3）政府采购合同通用条款</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（4）中标（成交）通知书</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（5）投标（响应）文件</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（6）招标文件</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（7）有关技术文件，图纸</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rPr>
          <w:rFonts w:hint="eastAsia" w:ascii="宋体" w:hAnsi="宋体" w:eastAsia="宋体" w:cs="宋体"/>
          <w:bCs w:val="0"/>
          <w:color w:val="auto"/>
          <w:sz w:val="24"/>
          <w:szCs w:val="24"/>
          <w:highlight w:val="none"/>
          <w:lang w:val="en-US" w:eastAsia="zh-CN" w:bidi="ar-SA"/>
        </w:rPr>
        <w:t xml:space="preserve">国家法律、行政法规和规章制度规定或合同约定的作为合同组成部分的其他文件</w:t>
      </w:r>
      <w:r/>
    </w:p>
    <w:p>
      <w:pPr>
        <w:numPr>
          <w:ilvl w:val="0"/>
          <w:numId w:val="0"/>
        </w:numPr>
        <w:ind w:firstLine="482"/>
        <w:keepLines w:val="0"/>
        <w:keepNext w:val="0"/>
        <w:pageBreakBefore w:val="0"/>
        <w:spacing w:before="0"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6.合同生效</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本合同自</w:t>
      </w:r>
      <w:r>
        <w:rPr>
          <w:rFonts w:hint="eastAsia" w:ascii="宋体" w:hAnsi="宋体" w:eastAsia="宋体" w:cs="宋体"/>
          <w:color w:val="auto"/>
          <w:sz w:val="24"/>
          <w:szCs w:val="24"/>
          <w:highlight w:val="none"/>
          <w:u w:val="single"/>
          <w:lang w:val="en-US" w:eastAsia="zh-CN" w:bidi="ar-SA"/>
        </w:rPr>
        <w:t xml:space="preserve"> 双方签字盖章后 </w:t>
      </w:r>
      <w:r>
        <w:rPr>
          <w:rFonts w:hint="eastAsia" w:ascii="宋体" w:hAnsi="宋体" w:eastAsia="宋体" w:cs="宋体"/>
          <w:color w:val="auto"/>
          <w:sz w:val="24"/>
          <w:szCs w:val="24"/>
          <w:highlight w:val="none"/>
          <w:lang w:val="en-US" w:eastAsia="zh-CN" w:bidi="ar-SA"/>
        </w:rPr>
        <w:t xml:space="preserve">生效。</w:t>
      </w:r>
      <w:r/>
    </w:p>
    <w:p>
      <w:pPr>
        <w:numPr>
          <w:ilvl w:val="0"/>
          <w:numId w:val="0"/>
        </w:numPr>
        <w:ind w:firstLine="482"/>
        <w:keepLines w:val="0"/>
        <w:keepNext w:val="0"/>
        <w:pageBreakBefore w:val="0"/>
        <w:spacing w:before="0"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7.合同份数</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本合同一式</w:t>
      </w:r>
      <w:r>
        <w:rPr>
          <w:rFonts w:hint="eastAsia" w:ascii="宋体" w:hAnsi="宋体" w:eastAsia="宋体" w:cs="宋体"/>
          <w:color w:val="auto"/>
          <w:sz w:val="24"/>
          <w:szCs w:val="24"/>
          <w:highlight w:val="none"/>
          <w:u w:val="single"/>
          <w:lang w:val="en-US" w:eastAsia="zh-CN" w:bidi="ar-SA"/>
        </w:rPr>
        <w:t xml:space="preserve"> 陆 </w:t>
      </w:r>
      <w:r>
        <w:rPr>
          <w:rFonts w:hint="eastAsia" w:ascii="宋体" w:hAnsi="宋体" w:eastAsia="宋体" w:cs="宋体"/>
          <w:color w:val="auto"/>
          <w:sz w:val="24"/>
          <w:szCs w:val="24"/>
          <w:highlight w:val="none"/>
          <w:lang w:val="en-US" w:eastAsia="zh-CN" w:bidi="ar-SA"/>
        </w:rPr>
        <w:t xml:space="preserve">份，甲方执</w:t>
      </w:r>
      <w:r>
        <w:rPr>
          <w:rFonts w:hint="eastAsia" w:ascii="宋体" w:hAnsi="宋体" w:eastAsia="宋体" w:cs="宋体"/>
          <w:color w:val="auto"/>
          <w:sz w:val="24"/>
          <w:szCs w:val="24"/>
          <w:highlight w:val="none"/>
          <w:u w:val="single"/>
          <w:lang w:val="en-US" w:eastAsia="zh-CN" w:bidi="ar-SA"/>
        </w:rPr>
        <w:t xml:space="preserve">  叁 </w:t>
      </w:r>
      <w:r>
        <w:rPr>
          <w:rFonts w:hint="eastAsia" w:ascii="宋体" w:hAnsi="宋体" w:eastAsia="宋体" w:cs="宋体"/>
          <w:color w:val="auto"/>
          <w:sz w:val="24"/>
          <w:szCs w:val="24"/>
          <w:highlight w:val="none"/>
          <w:lang w:val="en-US" w:eastAsia="zh-CN" w:bidi="ar-SA"/>
        </w:rPr>
        <w:t xml:space="preserve">份，乙方执</w:t>
      </w:r>
      <w:r>
        <w:rPr>
          <w:rFonts w:hint="eastAsia" w:ascii="宋体" w:hAnsi="宋体" w:eastAsia="宋体" w:cs="宋体"/>
          <w:color w:val="auto"/>
          <w:sz w:val="24"/>
          <w:szCs w:val="24"/>
          <w:highlight w:val="none"/>
          <w:u w:val="single"/>
          <w:lang w:val="en-US" w:eastAsia="zh-CN" w:bidi="ar-SA"/>
        </w:rPr>
        <w:t xml:space="preserve"> 叁 </w:t>
      </w:r>
      <w:r>
        <w:rPr>
          <w:rFonts w:hint="eastAsia" w:ascii="宋体" w:hAnsi="宋体" w:eastAsia="宋体" w:cs="宋体"/>
          <w:color w:val="auto"/>
          <w:sz w:val="24"/>
          <w:szCs w:val="24"/>
          <w:highlight w:val="none"/>
          <w:lang w:val="en-US" w:eastAsia="zh-CN" w:bidi="ar-SA"/>
        </w:rPr>
        <w:t xml:space="preserve">份，均具有同等法律效力。</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合同订立时间：</w:t>
      </w:r>
      <w:r>
        <w:rPr>
          <w:rFonts w:hint="eastAsia" w:ascii="宋体" w:hAnsi="宋体" w:eastAsia="宋体" w:cs="宋体"/>
          <w:color w:val="auto"/>
          <w:sz w:val="24"/>
          <w:szCs w:val="24"/>
          <w:highlight w:val="none"/>
          <w:u w:val="single"/>
          <w:lang w:val="en-US" w:eastAsia="zh-CN" w:bidi="ar-SA"/>
        </w:rPr>
        <w:t xml:space="preserve"> 2026 </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合同订立地点：</w:t>
      </w:r>
      <w:r>
        <w:rPr>
          <w:rFonts w:hint="eastAsia" w:ascii="宋体" w:hAnsi="宋体" w:eastAsia="宋体" w:cs="宋体"/>
          <w:color w:val="auto"/>
          <w:sz w:val="24"/>
          <w:szCs w:val="24"/>
          <w:highlight w:val="none"/>
          <w:u w:val="single"/>
          <w:lang w:val="en-US" w:eastAsia="zh-CN" w:bidi="ar-SA"/>
        </w:rPr>
        <w:t xml:space="preserve">  灌云县教育局    </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附件：具体标的及其</w:t>
      </w:r>
      <w:r>
        <w:rPr>
          <w:rFonts w:hint="eastAsia" w:ascii="宋体" w:hAnsi="宋体" w:eastAsia="宋体" w:cs="宋体"/>
          <w:color w:val="auto"/>
          <w:sz w:val="24"/>
          <w:szCs w:val="24"/>
          <w:highlight w:val="none"/>
          <w:u w:val="none"/>
          <w:lang w:val="en-US" w:eastAsia="zh-CN" w:bidi="ar-SA"/>
        </w:rPr>
        <w:t xml:space="preserve">技术要求和商务要求</w:t>
      </w:r>
      <w:r>
        <w:rPr>
          <w:rFonts w:hint="eastAsia" w:ascii="宋体" w:hAnsi="宋体" w:eastAsia="宋体" w:cs="宋体"/>
          <w:color w:val="auto"/>
          <w:sz w:val="24"/>
          <w:szCs w:val="24"/>
          <w:highlight w:val="none"/>
          <w:lang w:val="en-US" w:eastAsia="zh-CN" w:bidi="ar-SA"/>
        </w:rPr>
        <w:t xml:space="preserve">等。</w:t>
      </w:r>
      <w:r>
        <w:rPr>
          <w:rFonts w:hint="eastAsia" w:ascii="宋体" w:hAnsi="宋体" w:eastAsia="宋体" w:cs="宋体"/>
          <w:color w:val="auto"/>
          <w:sz w:val="24"/>
          <w:szCs w:val="24"/>
          <w:highlight w:val="none"/>
          <w:lang w:val="en-US" w:eastAsia="zh-CN" w:bidi="ar-SA"/>
        </w:rPr>
        <w:br w:type="page" w:clear="all"/>
      </w:r>
      <w:r/>
    </w:p>
    <w:p>
      <w:pPr>
        <w:ind w:firstLine="48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bl>
      <w:tblPr>
        <w:tblStyle w:val="691"/>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35"/>
        <w:gridCol w:w="2437"/>
        <w:gridCol w:w="2149"/>
        <w:gridCol w:w="2300"/>
      </w:tblGrid>
      <w:tr>
        <w:trPr>
          <w:jc w:val="center"/>
          <w:trHeight w:val="490"/>
        </w:trPr>
        <w:tc>
          <w:tcPr>
            <w:gridSpan w:val="2"/>
            <w:tcBorders>
              <w:bottom w:val="single" w:color="auto" w:sz="2" w:space="0"/>
              <w:right w:val="single" w:color="auto" w:sz="2" w:space="0"/>
            </w:tcBorders>
            <w:tcW w:w="2561"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甲方（采购人）</w:t>
            </w:r>
            <w:r/>
          </w:p>
        </w:tc>
        <w:tc>
          <w:tcPr>
            <w:gridSpan w:val="2"/>
            <w:tcBorders>
              <w:left w:val="single" w:color="auto" w:sz="2" w:space="0"/>
              <w:bottom w:val="single" w:color="auto" w:sz="2" w:space="0"/>
            </w:tcBorders>
            <w:tcW w:w="243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乙方（供应商）</w:t>
            </w:r>
            <w:r/>
          </w:p>
        </w:tc>
      </w:tr>
      <w:tr>
        <w:trPr>
          <w:jc w:val="center"/>
          <w:trHeight w:val="917"/>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单位名称（公章或合同章）</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单位名称（公章或合同章）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1171"/>
        </w:trPr>
        <w:tc>
          <w:tcPr>
            <w:tcBorders>
              <w:top w:val="single" w:color="auto" w:sz="2" w:space="0"/>
              <w:right w:val="single" w:color="auto" w:sz="2" w:space="0"/>
            </w:tcBorders>
            <w:tcW w:w="1225" w:type="pct"/>
            <w:vAlign w:val="center"/>
            <w:vMerge w:val="restart"/>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法定代表人</w:t>
            </w:r>
            <w:r/>
          </w:p>
          <w:p>
            <w:pPr>
              <w:ind w:firstLine="115"/>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或其委托代理人（签章）</w:t>
            </w:r>
            <w:r/>
          </w:p>
        </w:tc>
        <w:tc>
          <w:tcPr>
            <w:tcBorders>
              <w:top w:val="single" w:color="auto" w:sz="2" w:space="0"/>
              <w:left w:val="single" w:color="auto" w:sz="2" w:space="0"/>
              <w:right w:val="single" w:color="auto" w:sz="2" w:space="0"/>
            </w:tcBorders>
            <w:tcW w:w="1335" w:type="pct"/>
            <w:vAlign w:val="center"/>
            <w:vMerge w:val="restart"/>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法定代表人</w:t>
            </w:r>
            <w:r/>
          </w:p>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或其委托代理人（签章）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3"/>
        </w:trPr>
        <w:tc>
          <w:tcPr>
            <w:tcBorders>
              <w:bottom w:val="single" w:color="auto" w:sz="2" w:space="0"/>
              <w:right w:val="single" w:color="auto" w:sz="2" w:space="0"/>
            </w:tcBorders>
            <w:tcW w:w="1225" w:type="pct"/>
            <w:vAlign w:val="center"/>
            <w:vMerge w:val="continue"/>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left w:val="single" w:color="auto" w:sz="2" w:space="0"/>
              <w:bottom w:val="single" w:color="auto" w:sz="2" w:space="0"/>
              <w:right w:val="single" w:color="auto" w:sz="2" w:space="0"/>
            </w:tcBorders>
            <w:tcW w:w="1335" w:type="pct"/>
            <w:vAlign w:val="center"/>
            <w:vMerge w:val="continue"/>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拥有者性别</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住  所</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住  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 系 人</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 系 人</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通信地址</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通信地址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邮政编码</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邮政编码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电子邮箱</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电子邮箱</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统一社会信用代码</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统一社会信用代码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开户名称</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586"/>
        </w:trPr>
        <w:tc>
          <w:tcPr>
            <w:gridSpan w:val="4"/>
            <w:tcBorders>
              <w:top w:val="single" w:color="auto" w:sz="2" w:space="0"/>
            </w:tcBorders>
            <w:tcW w:w="5000" w:type="pct"/>
            <w:vAlign w:val="center"/>
            <w:textDirection w:val="lrTb"/>
            <w:noWrap w:val="false"/>
          </w:tcPr>
          <w:p>
            <w:pPr>
              <w:ind w:left="0"/>
              <w:jc w:val="left"/>
              <w:spacing w:before="156" w:after="0" w:line="360" w:lineRule="auto"/>
              <w:widowControl w:val="off"/>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注：涉及联合体或其他合同主体的信息应按上表格式加列。</w:t>
            </w:r>
            <w:r/>
          </w:p>
        </w:tc>
      </w:tr>
    </w:tbl>
    <w:p>
      <w:pPr>
        <w:jc w:val="center"/>
        <w:keepLines/>
        <w:keepNext/>
        <w:spacing w:before="156" w:line="360" w:lineRule="auto"/>
        <w:widowControl w:val="off"/>
        <w:rPr>
          <w:rFonts w:hint="eastAsia" w:ascii="宋体" w:hAnsi="宋体" w:eastAsia="宋体" w:cs="宋体"/>
          <w:b/>
          <w:bCs/>
          <w:color w:val="auto"/>
          <w:sz w:val="24"/>
          <w:szCs w:val="24"/>
          <w:highlight w:val="none"/>
          <w:lang w:val="en-US" w:eastAsia="zh-CN" w:bidi="ar-SA"/>
        </w:rPr>
        <w:outlineLvl w:val="1"/>
      </w:pPr>
      <w:r>
        <w:rPr>
          <w:rFonts w:hint="eastAsia" w:ascii="宋体" w:hAnsi="宋体" w:eastAsia="宋体" w:cs="宋体"/>
          <w:b/>
          <w:bCs/>
          <w:color w:val="auto"/>
          <w:sz w:val="24"/>
          <w:szCs w:val="24"/>
          <w:highlight w:val="none"/>
          <w:u w:val="single"/>
          <w:lang w:val="en-US" w:eastAsia="zh-CN" w:bidi="ar-SA"/>
        </w:rPr>
        <w:br w:type="page" w:clear="all"/>
      </w:r>
      <w:bookmarkStart w:id="17" w:name="_Toc27624"/>
      <w:r>
        <w:rPr>
          <w:rFonts w:hint="eastAsia" w:ascii="宋体" w:hAnsi="宋体" w:eastAsia="宋体" w:cs="宋体"/>
          <w:b w:val="0"/>
          <w:bCs w:val="0"/>
          <w:color w:val="auto"/>
          <w:sz w:val="24"/>
          <w:szCs w:val="24"/>
          <w:highlight w:val="none"/>
          <w:lang w:val="en-US" w:eastAsia="zh-CN" w:bidi="ar-SA"/>
        </w:rPr>
        <w:t xml:space="preserve">第二节 政府采购合同通用条款</w:t>
      </w:r>
      <w:bookmarkEnd w:id="17"/>
      <w:r/>
      <w:r/>
    </w:p>
    <w:p>
      <w:pPr>
        <w:ind w:firstLine="482"/>
        <w:jc w:val="left"/>
        <w:pageBreakBefore w:val="0"/>
        <w:spacing w:line="360" w:lineRule="auto"/>
        <w:tabs>
          <w:tab w:val="left" w:pos="8820" w:leader="none"/>
          <w:tab w:val="left" w:pos="9345" w:leader="none"/>
          <w:tab w:val="left" w:pos="9765" w:leader="none"/>
        </w:tabs>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 </w:t>
      </w:r>
      <w:r>
        <w:rPr>
          <w:rFonts w:hint="eastAsia" w:ascii="宋体" w:hAnsi="宋体" w:eastAsia="宋体" w:cs="宋体"/>
          <w:b/>
          <w:bCs/>
          <w:color w:val="auto"/>
          <w:sz w:val="24"/>
          <w:szCs w:val="24"/>
          <w:highlight w:val="none"/>
          <w:lang w:val="en-US" w:eastAsia="zh-CN" w:bidi="ar-SA"/>
        </w:rPr>
        <w:t xml:space="preserve">定义</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1.1合同当事人</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（1）采购人（以下称甲方）是指使用财政性资金，通过政府采购方式向供应商购买货物及其相关服务的国家机关、事业单位、团体组织。</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（2）供应商（以下称乙方）是指参加政府采购活动并且中标（成交），向采购人提供合同约定的货物及其相关服务的法人、非法人组织或者自然人。</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（3）其他合同主体是指除采购人和供应商以外，</w:t>
      </w:r>
      <w:r>
        <w:rPr>
          <w:rFonts w:hint="eastAsia" w:ascii="宋体" w:hAnsi="宋体" w:eastAsia="宋体" w:cs="宋体"/>
          <w:bCs/>
          <w:color w:val="auto"/>
          <w:sz w:val="24"/>
          <w:szCs w:val="24"/>
          <w:highlight w:val="none"/>
          <w:lang w:val="en-US" w:eastAsia="zh-CN" w:bidi="ar-SA"/>
        </w:rPr>
        <w:t xml:space="preserve">依法参与合同缔结或履行，享有权利、承担义务的合同当事人</w:t>
      </w:r>
      <w:r>
        <w:rPr>
          <w:rFonts w:hint="eastAsia" w:ascii="宋体" w:hAnsi="宋体" w:eastAsia="宋体" w:cs="宋体"/>
          <w:color w:val="auto"/>
          <w:sz w:val="24"/>
          <w:szCs w:val="24"/>
          <w:highlight w:val="none"/>
          <w:lang w:val="en-US" w:eastAsia="zh-CN" w:bidi="ar-SA"/>
        </w:rPr>
        <w:t xml:space="preserve">。</w:t>
      </w:r>
      <w:r/>
    </w:p>
    <w:p>
      <w:pPr>
        <w:ind w:firstLine="480"/>
        <w:jc w:val="left"/>
        <w:pageBreakBefore w:val="0"/>
        <w:spacing w:line="360" w:lineRule="auto"/>
        <w:tabs>
          <w:tab w:val="left" w:pos="570" w:leader="none"/>
          <w:tab w:val="left" w:pos="9240" w:leader="none"/>
          <w:tab w:val="left" w:pos="95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1.2本合同下列术语应解释为：</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（1）“合同”系指</w:t>
      </w:r>
      <w:r>
        <w:rPr>
          <w:rFonts w:hint="eastAsia" w:ascii="宋体" w:hAnsi="宋体" w:eastAsia="宋体" w:cs="宋体"/>
          <w:bCs/>
          <w:color w:val="auto"/>
          <w:sz w:val="24"/>
          <w:szCs w:val="24"/>
          <w:highlight w:val="none"/>
          <w:lang w:val="en-US" w:eastAsia="zh-CN" w:bidi="ar-SA"/>
        </w:rPr>
        <w:t xml:space="preserve">合同当事人意思表示达成一致的任何协议，包括签署的</w:t>
      </w:r>
      <w:r>
        <w:rPr>
          <w:rFonts w:hint="eastAsia" w:ascii="宋体" w:hAnsi="宋体" w:eastAsia="宋体" w:cs="宋体"/>
          <w:color w:val="auto"/>
          <w:sz w:val="24"/>
          <w:szCs w:val="24"/>
          <w:highlight w:val="none"/>
          <w:lang w:val="en-US" w:eastAsia="zh-CN" w:bidi="ar-SA"/>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bCs w:val="0"/>
          <w:color w:val="auto"/>
          <w:sz w:val="24"/>
          <w:szCs w:val="24"/>
          <w:highlight w:val="none"/>
          <w:lang w:val="en-US" w:eastAsia="zh-CN" w:bidi="ar-SA"/>
        </w:rPr>
        <w:t xml:space="preserve">国家法律、行政法规和规章制度规定或合同约定的作为合同组成部分的其他文件</w:t>
      </w:r>
      <w:r>
        <w:rPr>
          <w:rFonts w:hint="eastAsia" w:ascii="宋体" w:hAnsi="宋体" w:eastAsia="宋体" w:cs="宋体"/>
          <w:color w:val="auto"/>
          <w:sz w:val="24"/>
          <w:szCs w:val="24"/>
          <w:highlight w:val="none"/>
          <w:lang w:val="en-US" w:eastAsia="zh-CN" w:bidi="ar-SA"/>
        </w:rPr>
        <w:t xml:space="preserve">。</w:t>
      </w:r>
      <w:r/>
    </w:p>
    <w:p>
      <w:pPr>
        <w:ind w:firstLine="480"/>
        <w:jc w:val="left"/>
        <w:pageBreakBefore w:val="0"/>
        <w:spacing w:line="360" w:lineRule="auto"/>
        <w:tabs>
          <w:tab w:val="left" w:pos="570" w:leader="none"/>
          <w:tab w:val="left" w:pos="9240" w:leader="none"/>
          <w:tab w:val="left" w:pos="95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（2）“合同价款”系指根据本合同规定乙方在全面履行合同义务后甲方应支付给乙方的价款。</w:t>
      </w:r>
      <w:r/>
    </w:p>
    <w:p>
      <w:pPr>
        <w:ind w:firstLine="480"/>
        <w:jc w:val="left"/>
        <w:pageBreakBefore w:val="0"/>
        <w:spacing w:line="360" w:lineRule="auto"/>
        <w:tabs>
          <w:tab w:val="left" w:pos="570" w:leader="none"/>
          <w:tab w:val="left" w:pos="9240" w:leader="none"/>
          <w:tab w:val="left" w:pos="95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（3）“货物”系指乙方根据本合同规定须向甲方提供的各种形态和种类的物品，包括原材料、设备、产品（包括软件）及相关的其备品备件、工具、手册及</w:t>
      </w:r>
      <w:r>
        <w:rPr>
          <w:rFonts w:hint="eastAsia" w:ascii="宋体" w:hAnsi="宋体" w:eastAsia="宋体" w:cs="宋体"/>
          <w:color w:val="auto"/>
          <w:sz w:val="24"/>
          <w:szCs w:val="24"/>
          <w:highlight w:val="none"/>
          <w:lang w:val="en" w:eastAsia="zh-CN" w:bidi="ar-SA"/>
        </w:rPr>
        <w:t xml:space="preserve">其他</w:t>
      </w:r>
      <w:r>
        <w:rPr>
          <w:rFonts w:hint="eastAsia" w:ascii="宋体" w:hAnsi="宋体" w:eastAsia="宋体" w:cs="宋体"/>
          <w:color w:val="auto"/>
          <w:sz w:val="24"/>
          <w:szCs w:val="24"/>
          <w:highlight w:val="none"/>
          <w:lang w:val="en-US" w:eastAsia="zh-CN" w:bidi="ar-SA"/>
        </w:rPr>
        <w:t xml:space="preserve">技术资料和材料等。</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（4）“相关服务”系指根据合同规定，乙方应提供的与货物有关的技术、管理和</w:t>
      </w:r>
      <w:r>
        <w:rPr>
          <w:rFonts w:hint="eastAsia" w:ascii="宋体" w:hAnsi="宋体" w:eastAsia="宋体" w:cs="宋体"/>
          <w:color w:val="auto"/>
          <w:sz w:val="24"/>
          <w:szCs w:val="24"/>
          <w:highlight w:val="none"/>
          <w:lang w:val="en" w:eastAsia="zh-CN" w:bidi="ar-SA"/>
        </w:rPr>
        <w:t xml:space="preserve">其他</w:t>
      </w:r>
      <w:r>
        <w:rPr>
          <w:rFonts w:hint="eastAsia" w:ascii="宋体" w:hAnsi="宋体" w:eastAsia="宋体" w:cs="宋体"/>
          <w:color w:val="auto"/>
          <w:sz w:val="24"/>
          <w:szCs w:val="24"/>
          <w:highlight w:val="none"/>
          <w:lang w:val="en-US" w:eastAsia="zh-CN" w:bidi="ar-SA"/>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auto"/>
          <w:sz w:val="24"/>
          <w:szCs w:val="24"/>
          <w:highlight w:val="none"/>
          <w:lang w:val="en" w:eastAsia="zh-CN" w:bidi="ar-SA"/>
        </w:rPr>
        <w:t xml:space="preserve">其他</w:t>
      </w:r>
      <w:r>
        <w:rPr>
          <w:rFonts w:hint="eastAsia" w:ascii="宋体" w:hAnsi="宋体" w:eastAsia="宋体" w:cs="宋体"/>
          <w:color w:val="auto"/>
          <w:sz w:val="24"/>
          <w:szCs w:val="24"/>
          <w:highlight w:val="none"/>
          <w:lang w:val="en-US" w:eastAsia="zh-CN" w:bidi="ar-SA"/>
        </w:rPr>
        <w:t xml:space="preserve">义务。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left"/>
        <w:pageBreakBefore w:val="0"/>
        <w:spacing w:line="360" w:lineRule="auto"/>
        <w:tabs>
          <w:tab w:val="left" w:pos="570" w:leader="none"/>
          <w:tab w:val="left" w:pos="9240" w:leader="none"/>
          <w:tab w:val="left" w:pos="95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w:t>
      </w:r>
      <w:r/>
    </w:p>
    <w:p>
      <w:pPr>
        <w:ind w:firstLine="480"/>
        <w:jc w:val="left"/>
        <w:pageBreakBefore w:val="0"/>
        <w:spacing w:line="360" w:lineRule="auto"/>
        <w:tabs>
          <w:tab w:val="left" w:pos="570" w:leader="none"/>
          <w:tab w:val="left" w:pos="9240" w:leader="none"/>
          <w:tab w:val="left" w:pos="95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（7）其他术语解释，见【</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w:t>
      </w:r>
      <w:r/>
    </w:p>
    <w:p>
      <w:pPr>
        <w:numPr>
          <w:ilvl w:val="0"/>
          <w:numId w:val="0"/>
        </w:num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w:t>
      </w:r>
      <w:r>
        <w:rPr>
          <w:rFonts w:hint="eastAsia" w:ascii="宋体" w:hAnsi="宋体" w:eastAsia="宋体" w:cs="宋体"/>
          <w:b/>
          <w:color w:val="auto"/>
          <w:sz w:val="24"/>
          <w:szCs w:val="24"/>
          <w:highlight w:val="none"/>
          <w:lang w:val="en-US" w:eastAsia="zh-CN" w:bidi="ar-SA"/>
        </w:rPr>
        <w:t xml:space="preserve">合同标的及金额</w:t>
      </w:r>
      <w:r/>
    </w:p>
    <w:p>
      <w:pPr>
        <w:ind w:firstLine="480"/>
        <w:jc w:val="left"/>
        <w:pageBreakBefore w:val="0"/>
        <w:spacing w:line="360" w:lineRule="auto"/>
        <w:rPr>
          <w:rFonts w:hint="eastAsia" w:ascii="宋体" w:hAnsi="宋体" w:eastAsia="宋体" w:cs="宋体"/>
          <w:b/>
          <w:bCs/>
          <w:i/>
          <w:i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auto"/>
          <w:sz w:val="24"/>
          <w:szCs w:val="24"/>
          <w:highlight w:val="none"/>
          <w:lang w:val="en" w:eastAsia="zh-CN" w:bidi="ar-SA"/>
        </w:rPr>
        <w:t xml:space="preserve">其他</w:t>
      </w:r>
      <w:r>
        <w:rPr>
          <w:rFonts w:hint="eastAsia" w:ascii="宋体" w:hAnsi="宋体" w:eastAsia="宋体" w:cs="宋体"/>
          <w:color w:val="auto"/>
          <w:sz w:val="24"/>
          <w:szCs w:val="24"/>
          <w:highlight w:val="none"/>
          <w:lang w:val="en-US" w:eastAsia="zh-CN" w:bidi="ar-SA"/>
        </w:rPr>
        <w:t xml:space="preserve">任何费用。</w:t>
      </w:r>
      <w:r/>
    </w:p>
    <w:p>
      <w:pPr>
        <w:ind w:firstLine="482"/>
        <w:jc w:val="left"/>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3. 履行合同的时间、地点和方式</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 乙方应当在约定的时间、地点，按照约定方式履行合同。</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 甲方的权利和义务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4.2 甲方有权要求乙方按时提交各阶段有关安排计划，并有权定期核对乙方提供货物数量、规格、质量等内容。甲方有权督促乙方工作并要求乙方更换不符合要求的货物。</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4.3 甲方有权要求乙方对缺陷部分予以修复，并按合同约定享有货物保修及其他合同约定的权利。</w:t>
      </w:r>
      <w:r/>
    </w:p>
    <w:p>
      <w:p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4.4 甲方应当按照合同约定及时对交付的货物进行验收，</w:t>
      </w:r>
      <w:r>
        <w:rPr>
          <w:rFonts w:hint="eastAsia" w:ascii="宋体" w:hAnsi="宋体" w:eastAsia="宋体" w:cs="宋体"/>
          <w:b w:val="0"/>
          <w:bCs w:val="0"/>
          <w:color w:val="auto"/>
          <w:sz w:val="24"/>
          <w:szCs w:val="24"/>
          <w:highlight w:val="none"/>
          <w:lang w:val="en-US" w:eastAsia="zh-CN" w:bidi="ar-SA"/>
        </w:rPr>
        <w:t xml:space="preserve">未</w:t>
      </w:r>
      <w:r>
        <w:rPr>
          <w:rFonts w:hint="eastAsia" w:ascii="宋体" w:hAnsi="宋体" w:eastAsia="宋体" w:cs="宋体"/>
          <w:color w:val="auto"/>
          <w:sz w:val="24"/>
          <w:szCs w:val="24"/>
          <w:highlight w:val="none"/>
          <w:lang w:val="en-US" w:eastAsia="zh-CN" w:bidi="ar-SA"/>
        </w:rPr>
        <w:t xml:space="preserve">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b w:val="0"/>
          <w:bCs w:val="0"/>
          <w:color w:val="auto"/>
          <w:sz w:val="24"/>
          <w:szCs w:val="24"/>
          <w:highlight w:val="none"/>
          <w:lang w:val="en-US" w:eastAsia="zh-CN" w:bidi="ar-SA"/>
        </w:rPr>
        <w:t xml:space="preserve">约定的期限内对乙方履约提出任何异议或者向乙方作出任何说明的，</w:t>
      </w:r>
      <w:r>
        <w:rPr>
          <w:rFonts w:hint="eastAsia" w:ascii="宋体" w:hAnsi="宋体" w:eastAsia="宋体" w:cs="宋体"/>
          <w:color w:val="auto"/>
          <w:sz w:val="24"/>
          <w:szCs w:val="24"/>
          <w:highlight w:val="none"/>
          <w:lang w:val="en-US" w:eastAsia="zh-CN" w:bidi="ar-SA"/>
        </w:rPr>
        <w:t xml:space="preserve">视为验收通过。</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4.5 甲方应当根据合同约定及时向乙方支付合同价款，不得以内部人员变更、履行内部付款流程等为由，拒绝或迟延支付。</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4.6 国家法律法规规定及</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约定应由甲方承担的其他义务和责任。</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5. 乙方的权利和义务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5.1 签署合同后，乙方应确定项目负责人（或项目联系人），负责与本合同有关的事务。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80"/>
        <w:jc w:val="both"/>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5.3乙方有权根据合同约定向甲方收取合同价款。</w:t>
      </w:r>
      <w:r/>
    </w:p>
    <w:p>
      <w:pPr>
        <w:ind w:firstLine="480"/>
        <w:jc w:val="both"/>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5.4国家法律法规规定及</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b w:val="0"/>
          <w:bCs w:val="0"/>
          <w:color w:val="auto"/>
          <w:sz w:val="24"/>
          <w:szCs w:val="24"/>
          <w:highlight w:val="none"/>
          <w:lang w:val="en-US" w:eastAsia="zh-CN" w:bidi="ar-SA"/>
        </w:rPr>
        <w:t xml:space="preserve">约定应</w:t>
      </w:r>
      <w:r>
        <w:rPr>
          <w:rFonts w:hint="eastAsia" w:ascii="宋体" w:hAnsi="宋体" w:eastAsia="宋体" w:cs="宋体"/>
          <w:color w:val="auto"/>
          <w:sz w:val="24"/>
          <w:szCs w:val="24"/>
          <w:highlight w:val="none"/>
          <w:lang w:val="en-US" w:eastAsia="zh-CN" w:bidi="ar-SA"/>
        </w:rPr>
        <w:t xml:space="preserve">由乙方承担的其他义务和责任。</w:t>
      </w:r>
      <w:r/>
    </w:p>
    <w:p>
      <w:pPr>
        <w:numPr>
          <w:ilvl w:val="0"/>
          <w:numId w:val="2"/>
        </w:num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合同履行</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6.1 甲乙双方应当按照</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约定顺序履行合同义务；如果没有先后顺序的，应当同时履行。</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7. 货物包装、运输、保险和交付要求</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7.1 本合同</w:t>
      </w:r>
      <w:r>
        <w:rPr>
          <w:rFonts w:hint="eastAsia" w:ascii="宋体" w:hAnsi="宋体" w:eastAsia="宋体" w:cs="宋体"/>
          <w:bCs/>
          <w:color w:val="auto"/>
          <w:sz w:val="24"/>
          <w:szCs w:val="24"/>
          <w:highlight w:val="none"/>
          <w:lang w:val="en-US" w:eastAsia="zh-CN" w:bidi="ar-SA"/>
        </w:rPr>
        <w:t xml:space="preserve">涉及商品包装、快递包装的，</w:t>
      </w:r>
      <w:r>
        <w:rPr>
          <w:rFonts w:hint="eastAsia" w:ascii="宋体" w:hAnsi="宋体" w:eastAsia="宋体" w:cs="宋体"/>
          <w:color w:val="auto"/>
          <w:sz w:val="24"/>
          <w:szCs w:val="24"/>
          <w:highlight w:val="none"/>
          <w:lang w:val="en-US" w:eastAsia="zh-CN" w:bidi="ar-SA"/>
        </w:rPr>
        <w:t xml:space="preserve">除</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bCs/>
          <w:color w:val="auto"/>
          <w:sz w:val="24"/>
          <w:szCs w:val="24"/>
          <w:highlight w:val="none"/>
          <w:lang w:val="en-US" w:eastAsia="zh-CN" w:bidi="ar-SA"/>
        </w:rPr>
        <w:t xml:space="preserve">另有约定外，</w:t>
      </w:r>
      <w:r>
        <w:rPr>
          <w:rFonts w:hint="eastAsia" w:ascii="宋体" w:hAnsi="宋体" w:eastAsia="宋体" w:cs="宋体"/>
          <w:color w:val="auto"/>
          <w:sz w:val="24"/>
          <w:szCs w:val="24"/>
          <w:highlight w:val="none"/>
          <w:lang w:val="en-US" w:eastAsia="zh-CN" w:bidi="ar-SA"/>
        </w:rPr>
        <w:t xml:space="preserve">包装应适应远距离运输、防潮、防震、防锈和防野蛮装卸等要求，确保货物安全无损地运抵</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b w:val="0"/>
          <w:bCs/>
          <w:color w:val="auto"/>
          <w:sz w:val="24"/>
          <w:szCs w:val="24"/>
          <w:highlight w:val="none"/>
          <w:lang w:val="en-US" w:eastAsia="zh-CN" w:bidi="ar-SA"/>
        </w:rPr>
        <w:t xml:space="preserve">约定的</w:t>
      </w:r>
      <w:r>
        <w:rPr>
          <w:rFonts w:hint="eastAsia" w:ascii="宋体" w:hAnsi="宋体" w:eastAsia="宋体" w:cs="宋体"/>
          <w:color w:val="auto"/>
          <w:sz w:val="24"/>
          <w:szCs w:val="24"/>
          <w:highlight w:val="none"/>
          <w:lang w:val="en-US" w:eastAsia="zh-CN" w:bidi="ar-SA"/>
        </w:rPr>
        <w:t xml:space="preserve">指定现场。</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7.2 除</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bCs/>
          <w:color w:val="auto"/>
          <w:sz w:val="24"/>
          <w:szCs w:val="24"/>
          <w:highlight w:val="none"/>
          <w:lang w:val="en-US" w:eastAsia="zh-CN" w:bidi="ar-SA"/>
        </w:rPr>
        <w:t xml:space="preserve">另有约定外，</w:t>
      </w:r>
      <w:r>
        <w:rPr>
          <w:rFonts w:hint="eastAsia" w:ascii="宋体" w:hAnsi="宋体" w:eastAsia="宋体" w:cs="宋体"/>
          <w:color w:val="auto"/>
          <w:sz w:val="24"/>
          <w:szCs w:val="24"/>
          <w:highlight w:val="none"/>
          <w:lang w:val="en-US" w:eastAsia="zh-CN" w:bidi="ar-SA"/>
        </w:rPr>
        <w:t xml:space="preserve">乙方负责办理将货物运抵本合同规定的交货地点，并装卸、交付至甲方的一切运输事项，相关费用应包含在合同价款中。</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7.3 货物保险要求按</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bCs/>
          <w:color w:val="auto"/>
          <w:sz w:val="24"/>
          <w:szCs w:val="24"/>
          <w:highlight w:val="none"/>
          <w:lang w:val="en-US" w:eastAsia="zh-CN" w:bidi="ar-SA"/>
        </w:rPr>
        <w:t xml:space="preserve">规定执行</w:t>
      </w:r>
      <w:r>
        <w:rPr>
          <w:rFonts w:hint="eastAsia" w:ascii="宋体" w:hAnsi="宋体" w:eastAsia="宋体" w:cs="宋体"/>
          <w:color w:val="auto"/>
          <w:sz w:val="24"/>
          <w:szCs w:val="24"/>
          <w:highlight w:val="none"/>
          <w:lang w:val="en-US" w:eastAsia="zh-CN" w:bidi="ar-SA"/>
        </w:rPr>
        <w:t xml:space="preserve">。</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7.5 乙方在运输到达之前应提前通知甲方，并提示货物运输装卸的注意事项，甲方配合乙方做好货物的接收工作。</w:t>
      </w:r>
      <w:r/>
    </w:p>
    <w:p>
      <w:pPr>
        <w:ind w:firstLine="48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7.6 如因包装、运输问题导致货物损毁、丢失或者品质下降，甲方有权要求降价、换货、拒收部分或整批货物，由此产生的费用和损失，均由乙方承担。</w:t>
      </w:r>
      <w:r/>
    </w:p>
    <w:p>
      <w:pPr>
        <w:ind w:firstLine="482"/>
        <w:jc w:val="left"/>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8. 质量标准和保证</w:t>
      </w:r>
      <w:r/>
    </w:p>
    <w:p>
      <w:pPr>
        <w:ind w:firstLine="480"/>
        <w:jc w:val="left"/>
        <w:pageBreakBefore w:val="0"/>
        <w:spacing w:before="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8.1 质量标准</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jc w:val="left"/>
        <w:pageBreakBefore w:val="0"/>
        <w:spacing w:before="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（2）采用中华人民共和国法定计量单位。</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（3）乙方所提供的货物应符合国家有关安全、环保、卫生的规定。</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8.2 保证</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规定或乙方书面承诺（两者以较长的为准）的质量保证期内，本保证保持有效。</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（2）在质量保证期内所发现的缺陷，甲方应尽快以书面形式通知乙方。</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（3）乙方收到通知后，应在</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规定的响应时间内以合理的速度免费维修或更换有缺陷的货物或部件。</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（5）乙方在约定的时间内未能弥补缺陷，甲方可采取必要的补救措施，但其风险和费用将由乙方承担，甲方根据合同约定对乙方行使的其他权利不受影响。</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9. 权利瑕疵担保</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9.1 乙方保证对其出售的货物享有合法的权利。</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9.2 乙方保证在交付的货物上不存在抵押权等担保物权。</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9.3 如甲方使用上述货物构成对第三人侵权的，则由乙方承担全部责任。</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10. 知识产权保护</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10.1 乙方对其所销售的货物应当享有知识产权或经权利人合法授权，保证没有侵犯任何第三人的知识产权等权利。</w:t>
      </w:r>
      <w:bookmarkStart w:id="18" w:name="_Hlk163047038"/>
      <w:r>
        <w:rPr>
          <w:rFonts w:hint="eastAsia" w:ascii="宋体" w:hAnsi="宋体" w:eastAsia="宋体" w:cs="宋体"/>
          <w:color w:val="auto"/>
          <w:sz w:val="24"/>
          <w:szCs w:val="24"/>
          <w:highlight w:val="none"/>
          <w:lang w:val="en-US" w:eastAsia="zh-CN" w:bidi="ar-SA"/>
        </w:rPr>
        <w:t xml:space="preserve">因违反前述约定对第三人构成侵权的，应当由乙方向第三人承担法律责任；甲方依法向第三人赔偿后，有权向乙方追偿。甲方有其他损失的，乙方应当赔偿</w:t>
      </w:r>
      <w:bookmarkEnd w:id="18"/>
      <w:r>
        <w:rPr>
          <w:rFonts w:hint="eastAsia" w:ascii="宋体" w:hAnsi="宋体" w:eastAsia="宋体" w:cs="宋体"/>
          <w:color w:val="auto"/>
          <w:sz w:val="24"/>
          <w:szCs w:val="24"/>
          <w:highlight w:val="none"/>
          <w:lang w:val="en-US" w:eastAsia="zh-CN" w:bidi="ar-SA"/>
        </w:rPr>
        <w:t xml:space="preserve">。</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11. 保密义务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中约定。</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12. 合同价款支付</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12.1 合同价款支付按照国库集中支付制度及财政管理相关规定执行。</w:t>
      </w:r>
      <w:r/>
    </w:p>
    <w:p>
      <w:pPr>
        <w:ind w:firstLine="480"/>
        <w:jc w:val="both"/>
        <w:keepLines/>
        <w:keepNext/>
        <w:pageBreakBefore w:val="0"/>
        <w:spacing w:before="0" w:line="360" w:lineRule="auto"/>
        <w:widowControl w:val="off"/>
        <w:rPr>
          <w:rFonts w:hint="eastAsia" w:ascii="宋体" w:hAnsi="宋体" w:eastAsia="宋体" w:cs="宋体"/>
          <w:b/>
          <w:bCs/>
          <w:color w:val="auto"/>
          <w:sz w:val="24"/>
          <w:szCs w:val="24"/>
          <w:highlight w:val="none"/>
          <w:lang w:val="en-US" w:eastAsia="zh-CN" w:bidi="ar-SA"/>
        </w:rPr>
        <w:outlineLvl w:val="1"/>
      </w:pPr>
      <w:r>
        <w:rPr>
          <w:rFonts w:hint="eastAsia" w:ascii="宋体" w:hAnsi="宋体" w:eastAsia="宋体" w:cs="宋体"/>
          <w:b w:val="0"/>
          <w:bCs w:val="0"/>
          <w:color w:val="auto"/>
          <w:sz w:val="24"/>
          <w:szCs w:val="24"/>
          <w:highlight w:val="none"/>
          <w:lang w:val="en-US" w:eastAsia="zh-CN" w:bidi="ar-SA"/>
        </w:rPr>
        <w:t xml:space="preserve">12.2 对于满足合同约定支付条件的，甲方</w:t>
      </w:r>
      <w:r>
        <w:rPr>
          <w:rFonts w:hint="eastAsia" w:ascii="宋体" w:hAnsi="宋体" w:eastAsia="宋体" w:cs="宋体"/>
          <w:b w:val="0"/>
          <w:bCs w:val="0"/>
          <w:i w:val="0"/>
          <w:iCs w:val="0"/>
          <w:caps w:val="0"/>
          <w:color w:val="auto"/>
          <w:spacing w:val="0"/>
          <w:sz w:val="24"/>
          <w:szCs w:val="24"/>
          <w:highlight w:val="none"/>
          <w:shd w:val="clear" w:color="auto"/>
          <w:vertAlign w:val="baseline"/>
          <w:lang w:val="en-US" w:eastAsia="zh-CN" w:bidi="ar-SA"/>
        </w:rPr>
        <w:t xml:space="preserve">原则上应当自收到发票后10个工作日内</w:t>
      </w:r>
      <w:r>
        <w:rPr>
          <w:rFonts w:hint="eastAsia" w:ascii="宋体" w:hAnsi="宋体" w:eastAsia="宋体" w:cs="宋体"/>
          <w:b w:val="0"/>
          <w:bCs w:val="0"/>
          <w:color w:val="auto"/>
          <w:sz w:val="24"/>
          <w:szCs w:val="24"/>
          <w:highlight w:val="none"/>
          <w:lang w:val="en-US" w:eastAsia="zh-CN" w:bidi="ar-SA"/>
        </w:rPr>
        <w:t xml:space="preserve">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b w:val="0"/>
          <w:bCs w:val="0"/>
          <w:color w:val="auto"/>
          <w:sz w:val="24"/>
          <w:szCs w:val="24"/>
          <w:highlight w:val="none"/>
          <w:lang w:val="en-US" w:eastAsia="zh-CN" w:bidi="ar-SA"/>
        </w:rPr>
        <w:t xml:space="preserve">】中约定。</w:t>
      </w:r>
      <w:r/>
    </w:p>
    <w:p>
      <w:pPr>
        <w:ind w:firstLine="482"/>
        <w:jc w:val="both"/>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13. 履约保证金</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13.1 乙方应当以支票、汇票、本票或者金融机构、担保机构出具的保函等非现金形式提交。</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13.2 如果乙方出现</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b w:val="0"/>
          <w:bCs w:val="0"/>
          <w:color w:val="auto"/>
          <w:sz w:val="24"/>
          <w:szCs w:val="24"/>
          <w:highlight w:val="none"/>
          <w:lang w:val="en-US" w:eastAsia="zh-CN" w:bidi="ar-SA"/>
        </w:rPr>
        <w:t xml:space="preserve">约定情形的</w:t>
      </w:r>
      <w:r>
        <w:rPr>
          <w:rFonts w:hint="eastAsia" w:ascii="宋体" w:hAnsi="宋体" w:eastAsia="宋体" w:cs="宋体"/>
          <w:color w:val="auto"/>
          <w:sz w:val="24"/>
          <w:szCs w:val="24"/>
          <w:highlight w:val="none"/>
          <w:lang w:val="en-US" w:eastAsia="zh-CN" w:bidi="ar-SA"/>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13.3 甲方在项目通过验收后按照</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规定的时间内将履约保证金退还乙方；逾期退还的，乙方可要求甲方支付违约金，违约金按照</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规定支付。</w:t>
      </w:r>
      <w:r/>
    </w:p>
    <w:p>
      <w:pPr>
        <w:ind w:firstLine="482"/>
        <w:jc w:val="left"/>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14. </w:t>
      </w:r>
      <w:r>
        <w:rPr>
          <w:rFonts w:hint="eastAsia" w:ascii="宋体" w:hAnsi="宋体" w:eastAsia="宋体" w:cs="宋体"/>
          <w:b/>
          <w:color w:val="auto"/>
          <w:sz w:val="24"/>
          <w:szCs w:val="24"/>
          <w:highlight w:val="none"/>
          <w:lang w:val="en-US" w:eastAsia="zh-CN" w:bidi="ar-SA"/>
        </w:rPr>
        <w:t xml:space="preserve">售后服务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14.1 除项目不涉及或采购活动中明确约定无须承担外，乙方还应提供下列服务：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（1）货物的现场移动、安装、调试、启动监督及技术支持；</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（2）提供货物组装和维修所需的专用工具和辅助材料；</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约定的期限内对所有的货物实施运行监督、维修，但前提条件是该服务并不能免除乙方在质量保证期内所承担的义务；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（4）在制造商所在地或指定现场就货物的安装、启动、运营、维护、废弃处置等对甲方操作人员进行培训；</w:t>
      </w:r>
      <w:r/>
    </w:p>
    <w:p>
      <w:pPr>
        <w:ind w:firstLine="48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（5）依照法律、行政法规的规定或者按照</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约定，货物在有效使用年限届满后应予回收的，乙方负有自行或者委托第三人对货物予以回收的义务；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规定由乙方提供的其他服务。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14.2 乙方提供的售后服务的费用已包含在合同价款中，甲方不再另行支付。</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15. 违约责任</w:t>
      </w:r>
      <w:r/>
    </w:p>
    <w:p>
      <w:pPr>
        <w:ind w:firstLine="480"/>
        <w:jc w:val="left"/>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15.1质量瑕疵的违约责任</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乙方提供的产品不符合合同约定的质量标准或存在产品质量缺陷，甲方有权要求乙方根据</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b w:val="0"/>
          <w:bCs/>
          <w:color w:val="auto"/>
          <w:sz w:val="24"/>
          <w:szCs w:val="24"/>
          <w:highlight w:val="none"/>
          <w:lang w:val="en-US" w:eastAsia="zh-CN" w:bidi="ar-SA"/>
        </w:rPr>
        <w:t xml:space="preserve">要求</w:t>
      </w:r>
      <w:r>
        <w:rPr>
          <w:rFonts w:hint="eastAsia" w:ascii="宋体" w:hAnsi="宋体" w:eastAsia="宋体" w:cs="宋体"/>
          <w:color w:val="auto"/>
          <w:sz w:val="24"/>
          <w:szCs w:val="24"/>
          <w:highlight w:val="none"/>
          <w:lang w:val="en-US" w:eastAsia="zh-CN" w:bidi="ar-SA"/>
        </w:rPr>
        <w:t xml:space="preserve">及时修理、重作、更换，并承担由此给甲方造成的损失。</w:t>
      </w:r>
      <w:r/>
    </w:p>
    <w:p>
      <w:pPr>
        <w:ind w:firstLine="480"/>
        <w:jc w:val="left"/>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15.2 迟延交货的违约责任</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规定执行。如果涉及公共利益，且赔偿金额无法弥补公共利益损失，甲方可要求继续履行或者采取其他补救措施。</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15.3 迟延支付的违约责任</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甲方存在迟延支付乙方合同款项的，应当承担</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规定的逾期付款利息。</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15.4其他违约责任根据项目实际需要按</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规定执行。</w:t>
      </w:r>
      <w:r/>
    </w:p>
    <w:p>
      <w:pPr>
        <w:numPr>
          <w:ilvl w:val="0"/>
          <w:numId w:val="3"/>
        </w:numPr>
        <w:ind w:firstLine="482"/>
        <w:jc w:val="left"/>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合同变更、中止与终止</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16.1合同的变更</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政府采购合同履行中，在不改变合同其他条款的前提下，甲方可以在合同价款10%的范围内追加与合同标的相同的货物，并就此与乙方协商一致后签订补充协议。</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16.2合同的中止</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（1）合同履行过程中因供应商就采购文件、采购过程或结果提起投诉的，甲方认为有必要的，可以中止合同的履行。</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（4）甲方不得以行政区划调整、政府换届、机构或者职能调整以及相关责任人更替为由中止合同。</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16.3合同的终止</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（1）合同因有效期限届满而终止；</w:t>
      </w:r>
      <w:r/>
    </w:p>
    <w:p>
      <w:p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（2）乙方未按合同约定履行，构成根本性违约的，甲方有权终止合同，并追究乙方的违约责任。</w:t>
      </w:r>
      <w:r/>
    </w:p>
    <w:p>
      <w:pPr>
        <w:ind w:firstLine="48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16.4 </w:t>
      </w:r>
      <w:r>
        <w:rPr>
          <w:rFonts w:hint="eastAsia" w:ascii="宋体" w:hAnsi="宋体" w:eastAsia="宋体" w:cs="宋体"/>
          <w:color w:val="auto"/>
          <w:sz w:val="24"/>
          <w:szCs w:val="24"/>
          <w:highlight w:val="none"/>
          <w:lang w:val="en-US" w:eastAsia="zh-CN" w:bidi="ar-SA"/>
        </w:rPr>
        <w:t xml:space="preserve">涉及国家利益、社会公共利益的情形</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17. 合同分包</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17.1 乙方不得将合同转包给其他供应商。涉及合同分包的，乙方应根据采购文件和投标（响应）文件规定进行合同分包。</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17.2 乙方执行政府采购政策向中小企业依法分包的，乙方应当按采购文件和投标（响应）文件签订分包意向协议，分包意向协议属于本合同组成部分。</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18. 不可抗力</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18.1 不可抗力是指合同双方不能预见、不能避免且不能克服的客观情况。</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18.2 任何一方对由于不可抗力造成的部分或全部不能履行合同不承担违约责任。但迟延履行后发生不可抗力的，不能免除责任。</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19. 解决争议的方法</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19.2 选择仲裁的，应在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中明确仲裁机构及仲裁地；通过诉讼方式解决的，可以在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中进一步约定选择与争议有实际联系的地点的人民法院管辖，但管辖法院的约定不得违反级别管辖和专属管辖的规定。</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19.3 如甲乙双方有争议的事项不影响合同其他部分的履行，在争议解决期间，合同其他部分应当继续履行。</w:t>
      </w:r>
      <w:r/>
    </w:p>
    <w:p>
      <w:pPr>
        <w:ind w:firstLine="482"/>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20. 政府采购政策</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20.1 </w:t>
      </w:r>
      <w:r>
        <w:rPr>
          <w:rFonts w:hint="eastAsia" w:ascii="宋体" w:hAnsi="宋体" w:eastAsia="宋体" w:cs="宋体"/>
          <w:color w:val="auto"/>
          <w:sz w:val="24"/>
          <w:szCs w:val="24"/>
          <w:highlight w:val="none"/>
          <w:lang w:val="en-GB" w:eastAsia="zh-CN" w:bidi="ar-SA"/>
        </w:rPr>
        <w:t xml:space="preserve">本合同应当按照规定执行政府采购政策。</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20.2 本合同依法执行政府采购政策的方式和内容，属于合同履约验收的范围。甲乙双方</w:t>
      </w:r>
      <w:r>
        <w:rPr>
          <w:rFonts w:hint="eastAsia" w:ascii="宋体" w:hAnsi="宋体" w:eastAsia="宋体" w:cs="宋体"/>
          <w:color w:val="auto"/>
          <w:sz w:val="24"/>
          <w:szCs w:val="24"/>
          <w:highlight w:val="none"/>
          <w:lang w:val="en-GB" w:eastAsia="zh-CN" w:bidi="ar-SA"/>
        </w:rPr>
        <w:t xml:space="preserve">未按规定要求执行政府采购政策造成损失的</w:t>
      </w:r>
      <w:r>
        <w:rPr>
          <w:rFonts w:hint="eastAsia" w:ascii="宋体" w:hAnsi="宋体" w:eastAsia="宋体" w:cs="宋体"/>
          <w:color w:val="auto"/>
          <w:sz w:val="24"/>
          <w:szCs w:val="24"/>
          <w:highlight w:val="none"/>
          <w:lang w:val="en-US" w:eastAsia="zh-CN" w:bidi="ar-SA"/>
        </w:rPr>
        <w:t xml:space="preserve">，有过错的一方应当承担赔偿责任，双方都有过错的，各自承担相应的责任。</w:t>
      </w:r>
      <w:r/>
    </w:p>
    <w:p>
      <w:pPr>
        <w:ind w:firstLine="480"/>
        <w:jc w:val="both"/>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21. 法律适用</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21.1 本合同的订立、生效、解释、履行及与本合同有关的争议解决，均适用法律、行政法规。</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21.2 本合同条款与法律、行政法规的强制性规定不一致的，双方当事人应按照法律、行政法规的强制性规定修改本合同的相关条款。</w:t>
      </w:r>
      <w:r/>
    </w:p>
    <w:p>
      <w:pPr>
        <w:numPr>
          <w:ilvl w:val="-1"/>
          <w:numId w:val="0"/>
        </w:numPr>
        <w:ind w:firstLine="482"/>
        <w:jc w:val="left"/>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22. 通知</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22.1 本合同任何一方向对方发出的通知、信件、数据电文等，应当发送至本合同第一部分《政府采购合同协议书》所约定的通讯地址、联系人、联系电话或电子邮箱。</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22.2 一方当事人变更名称、住所、联系人、联系电话或电子邮箱等信息的，应当在变更后3日内及时书面通知对方，对方实际收到变更通知前的送达仍为有效送达。</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22.3本合同一方给另一方的通知均应采用书面形式，传真或快递送到本合同中规定的对方的地址和办理签收手续。</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22.4通知以送达之日或通知书中规定的生效之日起生效，两者中以较迟之日为准。</w:t>
      </w:r>
      <w:r/>
    </w:p>
    <w:p>
      <w:pPr>
        <w:numPr>
          <w:ilvl w:val="0"/>
          <w:numId w:val="4"/>
        </w:num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合同未尽事项</w:t>
      </w:r>
      <w:r/>
    </w:p>
    <w:p>
      <w:pPr>
        <w:ind w:firstLine="480"/>
        <w:jc w:val="left"/>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23.1合同未尽事项见</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bCs/>
          <w:color w:val="auto"/>
          <w:sz w:val="24"/>
          <w:szCs w:val="24"/>
          <w:highlight w:val="none"/>
          <w:lang w:val="en-US" w:eastAsia="zh-CN" w:bidi="ar-SA"/>
        </w:rPr>
        <w:t xml:space="preserve">。</w:t>
      </w:r>
      <w:r/>
    </w:p>
    <w:p>
      <w:pPr>
        <w:ind w:firstLine="480"/>
        <w:jc w:val="left"/>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23.2 合同附件与合同正文具有同等的法律效力。</w:t>
      </w:r>
      <w:bookmarkStart w:id="19" w:name="_Toc20313"/>
      <w:r/>
      <w:r/>
    </w:p>
    <w:p>
      <w:pPr>
        <w:ind w:firstLine="480"/>
        <w:jc w:val="left"/>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23.3 甲方保留对合同修改和完善的权利。</w:t>
      </w:r>
      <w:r/>
    </w:p>
    <w:p>
      <w:pPr>
        <w:jc w:val="cente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br w:type="page" w:clear="all"/>
      </w:r>
      <w:r/>
    </w:p>
    <w:p>
      <w:pPr>
        <w:jc w:val="center"/>
        <w:keepLines/>
        <w:keepNext/>
        <w:spacing w:line="360" w:lineRule="auto"/>
        <w:widowControl w:val="off"/>
        <w:rPr>
          <w:rFonts w:hint="eastAsia" w:ascii="宋体" w:hAnsi="宋体" w:eastAsia="宋体" w:cs="宋体"/>
          <w:b w:val="0"/>
          <w:bCs w:val="0"/>
          <w:color w:val="auto"/>
          <w:sz w:val="24"/>
          <w:szCs w:val="24"/>
          <w:highlight w:val="none"/>
          <w:lang w:val="en-US" w:eastAsia="zh-CN" w:bidi="ar-SA"/>
        </w:rPr>
        <w:outlineLvl w:val="1"/>
      </w:pPr>
      <w:r>
        <w:rPr>
          <w:rFonts w:hint="eastAsia" w:ascii="宋体" w:hAnsi="宋体" w:eastAsia="宋体" w:cs="宋体"/>
          <w:b w:val="0"/>
          <w:bCs w:val="0"/>
          <w:color w:val="auto"/>
          <w:sz w:val="24"/>
          <w:szCs w:val="24"/>
          <w:highlight w:val="none"/>
          <w:lang w:val="en-US" w:eastAsia="zh-CN" w:bidi="ar-SA"/>
        </w:rPr>
        <w:t xml:space="preserve">第三节 政府采购合同专用条款</w:t>
      </w:r>
      <w:bookmarkEnd w:id="19"/>
      <w:r/>
      <w:r/>
    </w:p>
    <w:tbl>
      <w:tblPr>
        <w:tblStyle w:val="691"/>
        <w:tblW w:w="9066"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836"/>
        <w:gridCol w:w="2520"/>
        <w:gridCol w:w="4710"/>
      </w:tblGrid>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第1.2（6）项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联合体具体要求</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不接受联合体</w:t>
            </w:r>
            <w:r/>
          </w:p>
        </w:tc>
      </w:tr>
      <w:tr>
        <w:trPr>
          <w:trHeight w:val="604"/>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第1.2（7）项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其他术语解释</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第4.4款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履约验收中甲方提出异议或作出说明的期限</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如有质量异议，乙方应在接到甲方异议的3天内做出书面答复，逾期则视为乙方同意甲方提出的异议和处理意见</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第4.6款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约定甲方承担的其他义务和责任</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（1）尊重乙方的正当合法权益，按照合同约定的条件，按时支付款项；</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（2）接收货物的义务；</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（3）根据合同约定的标准和时间，验收货物的义务；</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（4）如发生验收不通过，返厂维修、退货时，有相关退货及重新验收的义务；</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第5.4款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约定乙方承担的其他义务和责任</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1、乙方应按招标文件规定的时间向甲方提供使用货物的有关技术资料。</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2、乙方交货前应对产品作出全面检查和对验收文件进行整理，并列出清单，作为甲方收货验收和使用的技术条件依据，检验的结果应随货物交甲方。</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乙方应按招标文件规定的货物性能、技术要求、质量标准向甲方提供未经使用的全新产品。乙方需在货物定制（生产）2日前将中标项目所需供货技术参数、数量等报给甲方审核确认，如未经甲方许可进行生产，甲方有权拒绝其供货，且可以要求乙方赔偿给甲方造成的损失。</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第6.1款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履行合同义务的顺序</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按照国家法律法规要求执行</w:t>
            </w:r>
            <w:r/>
          </w:p>
        </w:tc>
      </w:tr>
      <w:tr>
        <w:trPr>
          <w:trHeight w:val="667"/>
        </w:trPr>
        <w:tc>
          <w:tcPr>
            <w:tcW w:w="1836" w:type="dxa"/>
            <w:vAlign w:val="center"/>
            <w:vMerge w:val="restart"/>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第7.1款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包装特殊要求</w:t>
            </w:r>
            <w:r/>
          </w:p>
        </w:tc>
        <w:tc>
          <w:tcPr>
            <w:tcW w:w="4710"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绿色环保</w:t>
            </w:r>
            <w:r/>
          </w:p>
        </w:tc>
      </w:tr>
      <w:tr>
        <w:trPr>
          <w:trHeight w:val="667"/>
        </w:trPr>
        <w:tc>
          <w:tcPr>
            <w:tcW w:w="1836" w:type="dxa"/>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指定现场</w:t>
            </w:r>
            <w:r/>
          </w:p>
        </w:tc>
        <w:tc>
          <w:tcPr>
            <w:tcW w:w="4710"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灌云县高新区高级中学</w:t>
            </w:r>
            <w:r/>
          </w:p>
        </w:tc>
      </w:tr>
      <w:tr>
        <w:trPr>
          <w:trHeight w:val="502"/>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第7.2款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运输特殊要求</w:t>
            </w:r>
            <w:r/>
          </w:p>
        </w:tc>
        <w:tc>
          <w:tcPr>
            <w:tcW w:w="4710"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1、使用说明书、质量检验证明书、随配附件和工具以及清单一并附于货物内。</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2、乙方在货物发运手续办理完毕后24小时内或货到甲方48小时前通知甲方，以准备接货。</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3、货物在交付甲方前发生的风险均由乙方负责。</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4、货物在规定的交付期限内由乙方送达甲方指定的地点视为交付，乙方同时需通知甲方货物已送达。</w:t>
            </w:r>
            <w:r/>
          </w:p>
        </w:tc>
      </w:tr>
      <w:tr>
        <w:trPr>
          <w:trHeight w:val="667"/>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第7.3款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保险要求</w:t>
            </w:r>
            <w:r/>
          </w:p>
        </w:tc>
        <w:tc>
          <w:tcPr>
            <w:tcW w:w="4710"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安装实施过程中发生的一切安全问题均由乙方自行承担；乙方必须安排具有相应资格人员参与安装实施，进场安装实施人员在本项目履约期间具有人身意外伤害险；在安装实施中要严格按行业规定进行安装实施，若出现任何安全事故，责任由乙方自行承担</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第8.2（1）项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质量保证期</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2年（以验收合格之日起计算）</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第8.2（3）项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货物质量缺陷响应时间</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bookmarkStart w:id="20" w:name="auto_fouce_13"/>
            <w:r>
              <w:rPr>
                <w:rFonts w:hint="eastAsia" w:ascii="宋体" w:hAnsi="宋体" w:eastAsia="宋体" w:cs="宋体"/>
                <w:color w:val="auto"/>
                <w:sz w:val="24"/>
                <w:szCs w:val="24"/>
                <w:highlight w:val="none"/>
                <w:lang w:val="en-US" w:eastAsia="zh-CN" w:bidi="ar-SA"/>
              </w:rPr>
              <w:t xml:space="preserve">提供的货物在质保期内因产品本身的质量问题发生损坏，在接到甲方通知后响应时间不超过1小时内到达现场，2小时内完成甲方提出的维修或更换要求，并解决损坏。如未能在约定时间内响应，甲方有权自行委托第三方处理并扣除相应费用。若超过12个小时无法解决，由乙方提供性能不低于故障产品的备用产品供甲方使用直至设备维修完成。在质保期内，乙方应对货物出现的质量及安全问题负责处理解决并承担一切费用。</w:t>
            </w:r>
            <w:bookmarkEnd w:id="20"/>
            <w:r>
              <w:rPr>
                <w:rFonts w:hint="eastAsia" w:ascii="宋体" w:hAnsi="宋体" w:eastAsia="宋体" w:cs="宋体"/>
                <w:color w:val="auto"/>
                <w:sz w:val="24"/>
                <w:szCs w:val="24"/>
                <w:highlight w:val="none"/>
                <w:lang w:val="en-US" w:eastAsia="zh-CN" w:bidi="ar-SA"/>
              </w:rPr>
              <w:t xml:space="preserve"> </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ind w:firstLine="0"/>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第11.1款</w:t>
            </w:r>
            <w:r/>
          </w:p>
        </w:tc>
        <w:tc>
          <w:tcPr>
            <w:tcW w:w="2520" w:type="dxa"/>
            <w:vAlign w:val="center"/>
            <w:textDirection w:val="lrTb"/>
            <w:noWrap w:val="false"/>
          </w:tcPr>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其他应当保密的信息</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乙方应保证，甲方使用该货物或货物的任何一部分时，免受第三方提出的侵犯其专利权、商标权或其他知识产权的起诉。如发生此类纠纷，由乙方承担一切责任</w:t>
            </w:r>
            <w:r/>
          </w:p>
        </w:tc>
      </w:tr>
      <w:tr>
        <w:trPr>
          <w:trHeight w:val="697"/>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第12.2款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合同价款支付时间</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697"/>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第13.2款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履约保证金不予退还的情形</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(1)违反合同义务且未承担违约责任；(2)未按时履行违约责任；(3)未能履行与甲方签订的合同，且损失超出履约保证金金额</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第13.3款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履约保证金退还时间</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完成合同范围内的所有内容，并经验收合格后，退还履约保证金。</w:t>
            </w:r>
            <w:r/>
          </w:p>
        </w:tc>
      </w:tr>
      <w:tr>
        <w:trPr>
          <w:trHeight w:val="604"/>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第14.1（3）项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运行监督、维修期限</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同质保期</w:t>
            </w:r>
            <w:r/>
          </w:p>
        </w:tc>
      </w:tr>
      <w:tr>
        <w:trPr>
          <w:trHeight w:val="409"/>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第14.1（5）项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货物回收的约定</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第14.1（6）项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乙方提供的其他服务</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应甲方要求，乙方应提供下列服务，所有服务费用已包含在合同总价中。</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1.安装</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1.1乙方必须向甲方提供合同货物所需的材料及技术资料以及组装/维修所需工具。</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1.2乙方已对甲方现场进行详细考察，完全了解现场的状况及环境要求，并承诺不因上述原因对甲方索赔。</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1.3在合同规定的期限内对所提供的标的物实行使用监督、维修服务的前提条件是该服务并不能免除乙方在质量保证期内所承担的义务。</w:t>
            </w:r>
            <w:r/>
          </w:p>
        </w:tc>
      </w:tr>
      <w:tr>
        <w:trPr>
          <w:trHeight w:val="481"/>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第15.1款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修理、重作、更换相关具体规定</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乙方对所供货物与技术要求不符负有责任，如经检测证实不符或缺陷存在的，包括潜在的缺陷或使用不合适的材料，甲方可根据本</w:t>
            </w:r>
            <w:r>
              <w:rPr>
                <w:rFonts w:hint="eastAsia" w:ascii="宋体" w:hAnsi="宋体" w:eastAsia="宋体" w:cs="宋体"/>
                <w:color w:val="auto"/>
                <w:sz w:val="24"/>
                <w:szCs w:val="24"/>
                <w:highlight w:val="none"/>
                <w:lang w:val="en-US" w:eastAsia="zh-CN" w:bidi="ar-SA"/>
              </w:rPr>
              <w:t xml:space="preserve">合同有关质量保证或检验、安装的规定，在质量保证期内及时提出索赔，乙方同意甲方选择下述一种或多种结合的方法解决索赔事宜：1、乙方同意甲方退货，乙方承担由此发生的一切损失和费用，包括利息、银行手续费、运费、保险费、检验费、仓储费、装卸费以及为保管、维护和退回被拒收货物所发生的其他必要费用。2、用符合合同规定的规格、质量和性能要求的新零件、部件和/或设备来更换有缺陷的部分和/或修补缺陷部分，以使货物达到合同规定的规格、质量和性能，乙方承担一切费用和风险并负担甲方遭受的一切损失。同时乙方相应延长被更换货物的质保期。</w:t>
            </w:r>
            <w:bookmarkStart w:id="21" w:name="auto_fouce_16"/>
            <w:r>
              <w:rPr>
                <w:rFonts w:hint="eastAsia" w:ascii="宋体" w:hAnsi="宋体" w:eastAsia="宋体" w:cs="宋体"/>
                <w:color w:val="auto"/>
                <w:sz w:val="24"/>
                <w:szCs w:val="24"/>
                <w:highlight w:val="none"/>
                <w:lang w:val="en-US" w:eastAsia="zh-CN" w:bidi="ar-SA"/>
              </w:rPr>
              <w:t xml:space="preserve">如质保期内同一部件出现三次以上质量问题，乙方除免费更换外需额外支付相当于该部件价值200%的质量处罚金。</w:t>
            </w:r>
            <w:bookmarkEnd w:id="21"/>
            <w:r>
              <w:rPr>
                <w:rFonts w:hint="eastAsia" w:ascii="宋体" w:hAnsi="宋体" w:eastAsia="宋体" w:cs="宋体"/>
                <w:color w:val="auto"/>
                <w:sz w:val="24"/>
                <w:szCs w:val="24"/>
                <w:highlight w:val="none"/>
                <w:lang w:val="en-US" w:eastAsia="zh-CN" w:bidi="ar-SA"/>
              </w:rPr>
              <w:t xml:space="preserve">3、乙方收到索赔通知后3天内，未给甲方答复的，视为索赔已被乙方接受。乙方未能在收到索赔通知后3天内，或征得甲方同意的延长期限内，按照甲方从上列方法中选择的方案解决索赔事宜的，甲方将有权从未付货款中扣回索赔金额，同时保留进一步要求索赔的权利。甲方有权优先选择解除合同并要求乙方支付合同总金额20%的违约金，且不排除同时主张损失赔偿的权利。若质量问题涉及安全隐患，乙方需按该批次货物价值的300%承担惩罚性赔偿责任。</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第15.2（2）项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迟延交货赔偿费</w:t>
            </w:r>
            <w:r/>
          </w:p>
        </w:tc>
        <w:tc>
          <w:tcPr>
            <w:tcW w:w="4710" w:type="dxa"/>
            <w:vAlign w:val="center"/>
            <w:textDirection w:val="lrTb"/>
            <w:noWrap w:val="false"/>
          </w:tcPr>
          <w:p>
            <w:pPr>
              <w:jc w:val="left"/>
              <w:rPr>
                <w:rFonts w:hint="eastAsia" w:ascii="宋体" w:hAnsi="宋体" w:eastAsia="宋体" w:cs="宋体"/>
                <w:color w:val="auto"/>
                <w:sz w:val="24"/>
                <w:szCs w:val="24"/>
                <w:highlight w:val="none"/>
                <w:u w:val="single"/>
                <w:lang w:val="en-US" w:eastAsia="zh-CN" w:bidi="ar-SA"/>
              </w:rPr>
            </w:pPr>
            <w:r/>
            <w:bookmarkStart w:id="22" w:name="auto_fouce_17"/>
            <w:r>
              <w:rPr>
                <w:rFonts w:hint="eastAsia" w:ascii="宋体" w:hAnsi="宋体" w:eastAsia="宋体" w:cs="宋体"/>
                <w:color w:val="auto"/>
                <w:sz w:val="24"/>
                <w:szCs w:val="24"/>
                <w:highlight w:val="none"/>
                <w:u w:val="none"/>
                <w:lang w:val="en-US" w:eastAsia="zh-CN" w:bidi="ar-SA"/>
              </w:rPr>
              <w:t xml:space="preserve">除不可抗力因素外，如果乙方不能按照合同规定的时间交货和提供服务，应及时以书面形式将延迟的事实、可能延迟的时间和原因通知甲方。甲方收到乙方通知后，将尽快作出评价，决定是否同意延长交货期及收取误期赔偿费。甲方可从合同未付款中扣除逾期违约金。违约金按迟延货物对应合同金额的每日0.3%累加计算（不低于5000元/天），最高不超过迟延部分合同金额的30%，且误期不能超出5个工作日。一旦达此限期，甲方有权解除合同。</w:t>
            </w:r>
            <w:bookmarkEnd w:id="22"/>
            <w:r/>
            <w:r/>
          </w:p>
        </w:tc>
      </w:tr>
      <w:tr>
        <w:trPr>
          <w:trHeight w:val="55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第15.3款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逾期付款利息</w:t>
            </w:r>
            <w:r/>
          </w:p>
        </w:tc>
        <w:tc>
          <w:tcPr>
            <w:tcW w:w="4710" w:type="dxa"/>
            <w:vAlign w:val="center"/>
            <w:textDirection w:val="lrTb"/>
            <w:noWrap w:val="false"/>
          </w:tcPr>
          <w:p>
            <w:pPr>
              <w:jc w:val="lef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w:t>
            </w:r>
            <w:r/>
          </w:p>
        </w:tc>
      </w:tr>
      <w:tr>
        <w:trPr>
          <w:trHeight w:val="876"/>
        </w:trPr>
        <w:tc>
          <w:tcPr>
            <w:tcBorders>
              <w:bottom w:val="single" w:color="auto" w:sz="2" w:space="0"/>
              <w:right w:val="single" w:color="auto" w:sz="2" w:space="0"/>
            </w:tcBorders>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第15.4款</w:t>
            </w:r>
            <w:r/>
          </w:p>
        </w:tc>
        <w:tc>
          <w:tcPr>
            <w:tcBorders>
              <w:left w:val="single" w:color="auto" w:sz="2" w:space="0"/>
              <w:bottom w:val="single" w:color="auto" w:sz="2" w:space="0"/>
              <w:right w:val="single" w:color="auto" w:sz="2" w:space="0"/>
            </w:tcBorders>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其他违约责任</w:t>
            </w:r>
            <w:r/>
          </w:p>
        </w:tc>
        <w:tc>
          <w:tcPr>
            <w:tcBorders>
              <w:left w:val="single" w:color="auto" w:sz="2" w:space="0"/>
              <w:bottom w:val="single" w:color="auto" w:sz="2" w:space="0"/>
            </w:tcBorders>
            <w:tcW w:w="4710" w:type="dxa"/>
            <w:vAlign w:val="center"/>
            <w:textDirection w:val="lrTb"/>
            <w:noWrap w:val="false"/>
          </w:tcPr>
          <w:p>
            <w:pPr>
              <w:jc w:val="left"/>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1.因乙方原因造成逾期交付货物的，乙方应按逾期交货总额每日千分之三向甲方支付违约金，由甲方从待付合同款中扣除，如逾期超过约定日期3个工作日不能交货的，甲方有权扣除履约保证金并解除本合同。乙方因逾期交货或因其他违约行为导致甲方解除合同的，乙方应向甲方支付合同总值5%的违约金，如造成甲方损失超过违约金的，超出部分由乙方继续承担赔偿责任</w:t>
            </w:r>
            <w:r/>
          </w:p>
          <w:p>
            <w:pPr>
              <w:jc w:val="lef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2.乙方所交的货物品种、型号、规格、技术参数、质量不符合合同规定及招标文件规定标准的，甲方有权拒收该货物，乙方愿意更换货物但逾期交货的，按乙方逾期交货处理。乙方拒绝更换货物的，甲方可单方面解除合同并承担由此给甲方造成的全部损失。</w:t>
            </w:r>
            <w:r/>
          </w:p>
        </w:tc>
      </w:tr>
      <w:tr>
        <w:trPr>
          <w:trHeight w:val="90"/>
        </w:trPr>
        <w:tc>
          <w:tcPr>
            <w:tcBorders>
              <w:top w:val="single" w:color="auto" w:sz="2" w:space="0"/>
              <w:right w:val="single" w:color="auto" w:sz="2" w:space="0"/>
            </w:tcBorders>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第19.2款</w:t>
            </w:r>
            <w:r/>
          </w:p>
        </w:tc>
        <w:tc>
          <w:tcPr>
            <w:tcBorders>
              <w:top w:val="single" w:color="auto" w:sz="2" w:space="0"/>
              <w:left w:val="single" w:color="auto" w:sz="2" w:space="0"/>
              <w:right w:val="single" w:color="auto" w:sz="2" w:space="0"/>
            </w:tcBorders>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解决争议的方法</w:t>
            </w:r>
            <w:r/>
          </w:p>
        </w:tc>
        <w:tc>
          <w:tcPr>
            <w:tcBorders>
              <w:top w:val="single" w:color="auto" w:sz="2" w:space="0"/>
              <w:left w:val="single" w:color="auto" w:sz="2" w:space="0"/>
            </w:tcBorders>
            <w:tcW w:w="4710" w:type="dxa"/>
            <w:vAlign w:val="center"/>
            <w:textDirection w:val="lrTb"/>
            <w:noWrap w:val="false"/>
          </w:tcPr>
          <w:p>
            <w:pPr>
              <w:jc w:val="left"/>
              <w:spacing w:line="400" w:lineRule="exact"/>
              <w:rPr>
                <w:rFonts w:hint="eastAsia" w:ascii="宋体" w:hAnsi="宋体" w:eastAsia="宋体" w:cs="宋体"/>
                <w:b w:val="0"/>
                <w:bCs w:val="0"/>
                <w:iCs/>
                <w:color w:val="auto"/>
                <w:sz w:val="24"/>
                <w:szCs w:val="24"/>
                <w:highlight w:val="none"/>
                <w:lang w:val="en-US" w:eastAsia="zh-CN" w:bidi="ar-SA"/>
              </w:rPr>
            </w:pPr>
            <w:r>
              <w:rPr>
                <w:rFonts w:hint="eastAsia" w:ascii="宋体" w:hAnsi="宋体" w:eastAsia="宋体" w:cs="宋体"/>
                <w:b w:val="0"/>
                <w:bCs w:val="0"/>
                <w:iCs/>
                <w:color w:val="auto"/>
                <w:sz w:val="24"/>
                <w:szCs w:val="24"/>
                <w:highlight w:val="none"/>
                <w:lang w:val="en-US" w:eastAsia="zh-CN" w:bidi="ar-SA"/>
              </w:rPr>
              <w:t xml:space="preserve">因本合同及合同有关事项发生的争议，按下列第</w:t>
            </w:r>
            <w:r>
              <w:rPr>
                <w:rFonts w:hint="eastAsia" w:ascii="宋体" w:hAnsi="宋体" w:eastAsia="宋体" w:cs="宋体"/>
                <w:b w:val="0"/>
                <w:bCs w:val="0"/>
                <w:iCs/>
                <w:color w:val="auto"/>
                <w:sz w:val="24"/>
                <w:szCs w:val="24"/>
                <w:highlight w:val="none"/>
                <w:u w:val="single"/>
                <w:lang w:val="en-US" w:eastAsia="zh-CN" w:bidi="ar-SA"/>
              </w:rPr>
              <w:t xml:space="preserve"> 2 </w:t>
            </w:r>
            <w:r>
              <w:rPr>
                <w:rFonts w:hint="eastAsia" w:ascii="宋体" w:hAnsi="宋体" w:eastAsia="宋体" w:cs="宋体"/>
                <w:b w:val="0"/>
                <w:bCs w:val="0"/>
                <w:iCs/>
                <w:color w:val="auto"/>
                <w:sz w:val="24"/>
                <w:szCs w:val="24"/>
                <w:highlight w:val="none"/>
                <w:lang w:val="en-US" w:eastAsia="zh-CN" w:bidi="ar-SA"/>
              </w:rPr>
              <w:t xml:space="preserve">种方式解决：</w:t>
            </w:r>
            <w:r/>
          </w:p>
          <w:p>
            <w:pPr>
              <w:jc w:val="left"/>
              <w:spacing w:line="400" w:lineRule="exact"/>
              <w:rPr>
                <w:rFonts w:hint="eastAsia" w:ascii="宋体" w:hAnsi="宋体" w:eastAsia="宋体" w:cs="宋体"/>
                <w:b w:val="0"/>
                <w:bCs w:val="0"/>
                <w:iCs/>
                <w:color w:val="auto"/>
                <w:sz w:val="24"/>
                <w:szCs w:val="24"/>
                <w:highlight w:val="none"/>
                <w:lang w:val="en-US" w:eastAsia="zh-CN" w:bidi="ar-SA"/>
              </w:rPr>
            </w:pPr>
            <w:r>
              <w:rPr>
                <w:rFonts w:hint="eastAsia" w:ascii="宋体" w:hAnsi="宋体" w:eastAsia="宋体" w:cs="宋体"/>
                <w:b w:val="0"/>
                <w:bCs w:val="0"/>
                <w:iCs/>
                <w:color w:val="auto"/>
                <w:sz w:val="24"/>
                <w:szCs w:val="24"/>
                <w:highlight w:val="none"/>
                <w:lang w:val="en-US" w:eastAsia="zh-CN" w:bidi="ar-SA"/>
              </w:rPr>
              <w:t xml:space="preserve">（1）向</w:t>
            </w:r>
            <w:r>
              <w:rPr>
                <w:rFonts w:hint="eastAsia" w:ascii="宋体" w:hAnsi="宋体" w:eastAsia="宋体" w:cs="宋体"/>
                <w:b w:val="0"/>
                <w:bCs w:val="0"/>
                <w:iCs/>
                <w:color w:val="auto"/>
                <w:sz w:val="24"/>
                <w:szCs w:val="24"/>
                <w:highlight w:val="none"/>
                <w:u w:val="single"/>
                <w:lang w:val="en-US" w:eastAsia="zh-CN" w:bidi="ar-SA"/>
              </w:rPr>
              <w:t xml:space="preserve">/</w:t>
            </w:r>
            <w:r>
              <w:rPr>
                <w:rFonts w:hint="eastAsia" w:ascii="宋体" w:hAnsi="宋体" w:eastAsia="宋体" w:cs="宋体"/>
                <w:b w:val="0"/>
                <w:bCs w:val="0"/>
                <w:iCs/>
                <w:color w:val="auto"/>
                <w:sz w:val="24"/>
                <w:szCs w:val="24"/>
                <w:highlight w:val="none"/>
                <w:lang w:val="en-US" w:eastAsia="zh-CN" w:bidi="ar-SA"/>
              </w:rPr>
              <w:t xml:space="preserve">仲裁委员会申请仲裁，仲裁地点为</w:t>
            </w:r>
            <w:r>
              <w:rPr>
                <w:rFonts w:hint="eastAsia" w:ascii="宋体" w:hAnsi="宋体" w:eastAsia="宋体" w:cs="宋体"/>
                <w:b w:val="0"/>
                <w:bCs w:val="0"/>
                <w:iCs/>
                <w:color w:val="auto"/>
                <w:sz w:val="24"/>
                <w:szCs w:val="24"/>
                <w:highlight w:val="none"/>
                <w:u w:val="single"/>
                <w:lang w:val="en-US" w:eastAsia="zh-CN" w:bidi="ar-SA"/>
              </w:rPr>
              <w:t xml:space="preserve">/</w:t>
            </w:r>
            <w:r>
              <w:rPr>
                <w:rFonts w:hint="eastAsia" w:ascii="宋体" w:hAnsi="宋体" w:eastAsia="宋体" w:cs="宋体"/>
                <w:b w:val="0"/>
                <w:bCs w:val="0"/>
                <w:iCs/>
                <w:color w:val="auto"/>
                <w:sz w:val="24"/>
                <w:szCs w:val="24"/>
                <w:highlight w:val="none"/>
                <w:lang w:val="en-US" w:eastAsia="zh-CN" w:bidi="ar-SA"/>
              </w:rPr>
              <w:t xml:space="preserve">；</w:t>
            </w:r>
            <w:r/>
          </w:p>
          <w:p>
            <w:pPr>
              <w:ind w:firstLine="0"/>
              <w:jc w:val="lef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b w:val="0"/>
                <w:bCs w:val="0"/>
                <w:iCs/>
                <w:color w:val="auto"/>
                <w:sz w:val="24"/>
                <w:szCs w:val="24"/>
                <w:highlight w:val="none"/>
                <w:lang w:val="en-US" w:eastAsia="zh-CN" w:bidi="ar-SA"/>
              </w:rPr>
              <w:t xml:space="preserve">（2）向</w:t>
            </w:r>
            <w:r>
              <w:rPr>
                <w:rFonts w:hint="eastAsia" w:ascii="宋体" w:hAnsi="宋体" w:eastAsia="宋体" w:cs="宋体"/>
                <w:b w:val="0"/>
                <w:bCs w:val="0"/>
                <w:iCs/>
                <w:color w:val="auto"/>
                <w:sz w:val="24"/>
                <w:szCs w:val="24"/>
                <w:highlight w:val="none"/>
                <w:u w:val="single"/>
                <w:lang w:val="en-US" w:eastAsia="zh-CN" w:bidi="ar-SA"/>
              </w:rPr>
              <w:t xml:space="preserve">连云港市灌云县</w:t>
            </w:r>
            <w:r>
              <w:rPr>
                <w:rFonts w:hint="eastAsia" w:ascii="宋体" w:hAnsi="宋体" w:eastAsia="宋体" w:cs="宋体"/>
                <w:b w:val="0"/>
                <w:bCs w:val="0"/>
                <w:iCs/>
                <w:color w:val="auto"/>
                <w:sz w:val="24"/>
                <w:szCs w:val="24"/>
                <w:highlight w:val="none"/>
                <w:lang w:val="en-US" w:eastAsia="zh-CN" w:bidi="ar-SA"/>
              </w:rPr>
              <w:t xml:space="preserve">人民法院起诉。</w:t>
            </w:r>
            <w:r/>
          </w:p>
        </w:tc>
      </w:tr>
      <w:tr>
        <w:trPr>
          <w:trHeight w:val="548"/>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第23.1款</w:t>
            </w:r>
            <w:r/>
          </w:p>
        </w:tc>
        <w:tc>
          <w:tcPr>
            <w:tcW w:w="2520" w:type="dxa"/>
            <w:vAlign w:val="center"/>
            <w:textDirection w:val="lrTb"/>
            <w:noWrap w:val="false"/>
          </w:tcPr>
          <w:p>
            <w:pPr>
              <w:jc w:val="left"/>
              <w:keepLines w:val="0"/>
              <w:keepNext w:val="0"/>
              <w:pageBreakBefore w:val="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其他专用条款</w:t>
            </w:r>
            <w:r/>
          </w:p>
        </w:tc>
        <w:tc>
          <w:tcPr>
            <w:tcW w:w="4710" w:type="dxa"/>
            <w:vAlign w:val="center"/>
            <w:textDirection w:val="lrTb"/>
            <w:noWrap w:val="false"/>
          </w:tcPr>
          <w:p>
            <w:pPr>
              <w:jc w:val="both"/>
              <w:keepLines w:val="0"/>
              <w:keepNext w:val="0"/>
              <w:pageBreakBefore w:val="0"/>
              <w:spacing w:after="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bl>
    <w:p>
      <w:pPr>
        <w:pStyle w:val="702"/>
        <w:ind w:firstLine="480"/>
        <w:jc w:val="left"/>
        <w:keepLines w:val="0"/>
        <w:keepNext w:val="0"/>
        <w:pageBreakBefore w:val="0"/>
        <w:spacing w:line="48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jc w:val="left"/>
        <w:pageBreakBefore w:val="0"/>
        <w:spacing w:line="49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pStyle w:val="681"/>
        <w:ind w:left="0" w:right="0"/>
        <w:jc w:val="center"/>
        <w:keepLines/>
        <w:keepNext/>
        <w:pageBreakBefore w:val="0"/>
        <w:spacing w:before="0" w:after="0" w:line="360" w:lineRule="auto"/>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第四章  采购需求</w:t>
      </w:r>
      <w:bookmarkEnd w:id="15"/>
      <w:r/>
      <w:r/>
    </w:p>
    <w:p>
      <w:pPr>
        <w:ind w:firstLine="480"/>
        <w:jc w:val="left"/>
        <w:spacing w:line="500" w:lineRule="exact"/>
        <w:rPr>
          <w:rFonts w:hint="eastAsia" w:ascii="宋体" w:hAnsi="宋体" w:eastAsia="宋体" w:cs="宋体"/>
          <w:strike w:val="0"/>
          <w:color w:val="auto"/>
          <w:sz w:val="24"/>
          <w:szCs w:val="24"/>
          <w:highlight w:val="none"/>
        </w:rPr>
      </w:pPr>
      <w:r>
        <w:rPr>
          <w:rFonts w:hint="eastAsia" w:ascii="宋体" w:hAnsi="宋体" w:eastAsia="宋体" w:cs="宋体"/>
          <w:b/>
          <w:bCs/>
          <w:color w:val="auto"/>
          <w:sz w:val="24"/>
          <w:szCs w:val="24"/>
          <w:highlight w:val="none"/>
        </w:rPr>
        <w:t xml:space="preserve">说明：本项目属性为货物，</w:t>
      </w:r>
      <w:r>
        <w:rPr>
          <w:rFonts w:hint="eastAsia" w:ascii="宋体" w:hAnsi="宋体" w:eastAsia="宋体" w:cs="宋体"/>
          <w:b/>
          <w:bCs/>
          <w:strike w:val="0"/>
          <w:color w:val="auto"/>
          <w:sz w:val="24"/>
          <w:szCs w:val="24"/>
          <w:highlight w:val="none"/>
        </w:rPr>
        <w:t xml:space="preserve">采购标的对应的中小企业划分标准所属行业为</w:t>
      </w:r>
      <w:r>
        <w:rPr>
          <w:rFonts w:hint="eastAsia" w:ascii="宋体" w:hAnsi="宋体" w:eastAsia="宋体" w:cs="宋体"/>
          <w:b/>
          <w:bCs/>
          <w:strike w:val="0"/>
          <w:color w:val="auto"/>
          <w:sz w:val="24"/>
          <w:szCs w:val="24"/>
          <w:highlight w:val="none"/>
          <w:lang w:val="en-US" w:eastAsia="zh-CN"/>
        </w:rPr>
        <w:t xml:space="preserve">工业</w:t>
      </w:r>
      <w:r>
        <w:rPr>
          <w:rFonts w:hint="eastAsia" w:ascii="宋体" w:hAnsi="宋体" w:eastAsia="宋体" w:cs="宋体"/>
          <w:b/>
          <w:bCs/>
          <w:strike w:val="0"/>
          <w:color w:val="auto"/>
          <w:sz w:val="24"/>
          <w:szCs w:val="24"/>
          <w:highlight w:val="none"/>
        </w:rPr>
        <w:t xml:space="preserve">。</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根据《政府采购需求管理办法》等有关规定，</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确定采购需求。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2、本项目需求中标注★号的部分为实质性要求和条件（由采购人根据实际情况设置），投标人必须作出满足或者优于原要求和条件的响应，否则投标无效。</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特别提醒：为落实政府采购中实施本国产品标准及相关政策</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1.本项目对采购本国产品给予政策支持，具体内容见招标文件“第二章”。</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一、项目概况</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eastAsia="zh-CN"/>
        </w:rPr>
        <w:t xml:space="preserve">灌云县高新区高级中学</w:t>
      </w:r>
      <w:r>
        <w:rPr>
          <w:rFonts w:hint="eastAsia" w:ascii="宋体" w:hAnsi="宋体" w:eastAsia="宋体" w:cs="宋体"/>
          <w:color w:val="auto"/>
          <w:sz w:val="24"/>
          <w:szCs w:val="24"/>
          <w:highlight w:val="none"/>
        </w:rPr>
        <w:t xml:space="preserve">建设需要，现需对相关配套设备进行采购</w:t>
      </w:r>
      <w:r>
        <w:rPr>
          <w:rFonts w:hint="eastAsia" w:ascii="宋体" w:hAnsi="宋体" w:eastAsia="宋体" w:cs="宋体"/>
          <w:color w:val="auto"/>
          <w:sz w:val="24"/>
          <w:szCs w:val="24"/>
          <w:highlight w:val="none"/>
          <w:lang w:val="en-US" w:eastAsia="zh-CN"/>
        </w:rPr>
        <w:t xml:space="preserve">及附属工程实施</w:t>
      </w:r>
      <w:r>
        <w:rPr>
          <w:rFonts w:hint="eastAsia" w:ascii="宋体" w:hAnsi="宋体" w:eastAsia="宋体" w:cs="宋体"/>
          <w:color w:val="auto"/>
          <w:sz w:val="24"/>
          <w:szCs w:val="24"/>
          <w:highlight w:val="none"/>
        </w:rPr>
        <w:t xml:space="preserve">。</w:t>
      </w:r>
      <w:r/>
    </w:p>
    <w:p>
      <w:pPr>
        <w:ind w:righ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二、</w:t>
      </w:r>
      <w:r>
        <w:rPr>
          <w:rFonts w:hint="eastAsia" w:ascii="宋体" w:hAnsi="宋体" w:eastAsia="宋体" w:cs="宋体"/>
          <w:b/>
          <w:color w:val="auto"/>
          <w:sz w:val="24"/>
          <w:szCs w:val="24"/>
          <w:highlight w:val="none"/>
          <w:lang w:val="en-US" w:eastAsia="zh-CN"/>
        </w:rPr>
        <w:t xml:space="preserve">项目需求</w:t>
      </w:r>
      <w:r/>
    </w:p>
    <w:p>
      <w:pPr>
        <w:ind w:right="0" w:firstLine="482"/>
        <w:jc w:val="left"/>
        <w:keepLines w:val="0"/>
        <w:keepNext w:val="0"/>
        <w:pageBreakBefore w:val="0"/>
        <w:spacing w:line="490" w:lineRule="exact"/>
        <w:widowControl w:val="off"/>
        <w:rPr>
          <w:rFonts w:hint="eastAsia" w:ascii="宋体" w:hAnsi="宋体" w:eastAsia="宋体" w:cs="宋体"/>
          <w:b/>
          <w:color w:val="auto"/>
          <w:sz w:val="24"/>
          <w:szCs w:val="24"/>
          <w:highlight w:val="none"/>
          <w:lang w:val="en-US" w:eastAsia="zh-CN"/>
        </w:rPr>
      </w:pPr>
      <w:r/>
      <w:bookmarkStart w:id="23" w:name="_Toc139966432"/>
      <w:r/>
      <w:bookmarkStart w:id="24" w:name="_Toc139967216"/>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一）货物需求清单</w:t>
      </w:r>
      <w:r/>
    </w:p>
    <w:p>
      <w:pPr>
        <w:ind w:right="0" w:firstLine="422"/>
        <w:jc w:val="left"/>
        <w:keepLines w:val="0"/>
        <w:keepNext w:val="0"/>
        <w:pageBreakBefore w:val="0"/>
        <w:spacing w:line="490" w:lineRule="exact"/>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bCs/>
          <w:i w:val="0"/>
          <w:iCs w:val="0"/>
          <w:color w:val="auto"/>
          <w:sz w:val="21"/>
          <w:szCs w:val="21"/>
          <w:highlight w:val="none"/>
          <w:u w:val="none"/>
          <w:lang w:val="en-US" w:eastAsia="zh-CN" w:bidi="ar"/>
        </w:rPr>
        <w:t xml:space="preserve">  1、雨棚、穿孔板、地板等采购</w:t>
      </w:r>
      <w:r/>
    </w:p>
    <w:tbl>
      <w:tblPr>
        <w:tblStyle w:val="691"/>
        <w:tblW w:w="8974"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67"/>
        <w:gridCol w:w="1425"/>
        <w:gridCol w:w="3665"/>
        <w:gridCol w:w="741"/>
        <w:gridCol w:w="1088"/>
        <w:gridCol w:w="1088"/>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规格参数及要求</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所属行业</w:t>
            </w:r>
            <w:r/>
          </w:p>
        </w:tc>
      </w:tr>
      <w:tr>
        <w:trPr>
          <w:trHeight w:val="23"/>
        </w:trPr>
        <w:tc>
          <w:tcPr>
            <w:gridSpan w:val="6"/>
            <w:shd w:val="clear" w:color="auto" w:fill="auto"/>
            <w:tcBorders>
              <w:top w:val="single" w:color="000000" w:sz="4" w:space="0"/>
              <w:left w:val="single" w:color="000000" w:sz="4" w:space="0"/>
              <w:bottom w:val="single" w:color="000000" w:sz="4" w:space="0"/>
              <w:right w:val="single" w:color="000000" w:sz="4" w:space="0"/>
            </w:tcBorders>
            <w:tcW w:w="89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玻璃雨棚、坡道钢结构雨棚</w:t>
            </w:r>
            <w:r/>
          </w:p>
        </w:tc>
      </w:tr>
      <w:tr>
        <w:trPr>
          <w:trHeight w:val="23"/>
        </w:trPr>
        <w:tc>
          <w:tcPr>
            <w:gridSpan w:val="6"/>
            <w:shd w:val="clear" w:color="auto" w:fill="auto"/>
            <w:tcBorders>
              <w:top w:val="single" w:color="000000" w:sz="4" w:space="0"/>
              <w:left w:val="single" w:color="000000" w:sz="4" w:space="0"/>
              <w:bottom w:val="single" w:color="000000" w:sz="4" w:space="0"/>
              <w:right w:val="single" w:color="000000" w:sz="4" w:space="0"/>
            </w:tcBorders>
            <w:tcW w:w="89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1#体育馆</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玻璃雨棚</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1、龙骨材料种类、规格、中距:80*150*10mm碳钢牛角挑梁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2、玻璃材料品种、规格:8+1.52Pvb+8mm钢化夹胶玻璃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3、含150*150*10mm预埋板、扣件、化学锚栓等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4、工程量按水平投影面计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5、其他未尽事宜详见图纸及相关规范</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110.33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1"/>
                <w:szCs w:val="21"/>
                <w:highlight w:val="none"/>
                <w:lang w:val="en-US" w:eastAsia="zh-CN"/>
              </w:rPr>
              <w:t xml:space="preserve">工业</w:t>
            </w:r>
            <w:r/>
          </w:p>
        </w:tc>
      </w:tr>
      <w:tr>
        <w:trPr>
          <w:trHeight w:val="23"/>
        </w:trPr>
        <w:tc>
          <w:tcPr>
            <w:gridSpan w:val="6"/>
            <w:shd w:val="clear" w:color="auto" w:fill="auto"/>
            <w:tcBorders>
              <w:top w:val="single" w:color="000000" w:sz="4" w:space="0"/>
              <w:left w:val="single" w:color="000000" w:sz="4" w:space="0"/>
              <w:bottom w:val="single" w:color="000000" w:sz="4" w:space="0"/>
              <w:right w:val="single" w:color="000000" w:sz="4" w:space="0"/>
            </w:tcBorders>
            <w:tcW w:w="89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2-A#艺术综合楼、2-B#行政办公楼、2-C#信息技术楼</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玻璃雨棚</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1、龙骨材料种类、规格、中距:80*150*10mm碳钢牛角挑梁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2、玻璃材料品种、规格:8+1.52Pvb+8mm钢化夹胶玻璃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3、含150*150*10mm预埋板、扣件、化学锚栓等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4、工程量按水平投影面计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5、其他未尽事宜详见图纸及相关规范</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77.76</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1"/>
                <w:szCs w:val="21"/>
                <w:highlight w:val="none"/>
                <w:lang w:val="en-US" w:eastAsia="zh-CN"/>
              </w:rPr>
              <w:t xml:space="preserve">工业</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实腹钢柱</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1、柱类型:箱型柱，规格详见设计图纸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2、钢材品种、规格:Q235B 热镀锌型材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3、规格:GZ1箱150*150*12*12 表面除锈厂家完成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4、钢柱柱底部-150*75*10加劲板预埋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5、单根柱质量:3t以内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6、探伤要求:焊缝质量等级要求及检测方法详见图纸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7、含安装及运输费用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8、部位:汽车坡道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9、其他不尽事宜依据施工图报价、施工</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1.248</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1"/>
                <w:szCs w:val="21"/>
                <w:highlight w:val="none"/>
                <w:lang w:val="en-US" w:eastAsia="zh-CN"/>
              </w:rPr>
              <w:t xml:space="preserve">工业</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钢梁</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1、梁类型:箱型，规格详见设计图纸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2、钢材品种、规格:箱150*250*8*8 Q235 表面除锈厂家完成 热镀锌型材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3、单根质量:3t以内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4、探伤要求:焊缝质量等级要求及检测方法详见图纸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5、含安装及运输费用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6、部位:汽车坡道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7、其他不尽事宜依据施工图报价、施工</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8.109</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1"/>
                <w:szCs w:val="21"/>
                <w:highlight w:val="none"/>
                <w:lang w:val="en-US" w:eastAsia="zh-CN"/>
              </w:rPr>
              <w:t xml:space="preserve">工业</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玻璃雨篷</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1、玻璃雨篷固定方式:不锈钢接驳爪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2、玻璃材料品种、规格:6+1.52PVB+6厚钢化夹胶玻璃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3、嵌缝材料种类:中性硅酮透明耐候密封胶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4、含支撑钢构制作、运输安装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5、部位:汽车坡道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6、未明之处详见设计文件</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285.14</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1"/>
                <w:szCs w:val="21"/>
                <w:highlight w:val="none"/>
                <w:lang w:val="en-US" w:eastAsia="zh-CN"/>
              </w:rPr>
              <w:t xml:space="preserve">工业</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金属扶手、栏杆、栏板</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1、扶手材料种类、规格:φ60*3不锈钢钢管扶手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2、栏杆材料种类、规格:φ60*3不锈钢钢管钢立柱栏杆、φ28不锈钢钢管钢立柱栏杆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3、部位:汽车坡道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4、其他不尽事宜详见图纸图集15J403-1-D13-PB1</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36.72</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1"/>
                <w:szCs w:val="21"/>
                <w:highlight w:val="none"/>
                <w:lang w:val="en-US" w:eastAsia="zh-CN"/>
              </w:rPr>
              <w:t xml:space="preserve">工业</w:t>
            </w:r>
            <w:r/>
          </w:p>
        </w:tc>
      </w:tr>
      <w:tr>
        <w:trPr>
          <w:trHeight w:val="23"/>
        </w:trPr>
        <w:tc>
          <w:tcPr>
            <w:gridSpan w:val="6"/>
            <w:shd w:val="clear" w:color="auto" w:fill="auto"/>
            <w:tcBorders>
              <w:top w:val="single" w:color="000000" w:sz="4" w:space="0"/>
              <w:left w:val="single" w:color="000000" w:sz="4" w:space="0"/>
              <w:bottom w:val="single" w:color="000000" w:sz="4" w:space="0"/>
              <w:right w:val="single" w:color="000000" w:sz="4" w:space="0"/>
            </w:tcBorders>
            <w:tcW w:w="89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4#楼图书馆报告厅</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玻璃雨棚</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1、龙骨材料种类、规格、中距:80*150*10mm碳钢牛角挑梁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2、玻璃材料品种、规格:8+1.52Pvb+8mm钢化夹胶玻璃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3、含150*150*10mm预埋板、扣件、化学锚栓等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4、工程量按水平投影面计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5、其他未尽事宜详见图纸及相关规范</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33.97</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1"/>
                <w:szCs w:val="21"/>
                <w:highlight w:val="none"/>
                <w:lang w:val="en-US" w:eastAsia="zh-CN"/>
              </w:rPr>
              <w:t xml:space="preserve">工业</w:t>
            </w:r>
            <w:r/>
          </w:p>
        </w:tc>
      </w:tr>
      <w:tr>
        <w:trPr>
          <w:trHeight w:val="23"/>
        </w:trPr>
        <w:tc>
          <w:tcPr>
            <w:gridSpan w:val="6"/>
            <w:shd w:val="clear" w:color="auto" w:fill="auto"/>
            <w:tcBorders>
              <w:top w:val="single" w:color="000000" w:sz="4" w:space="0"/>
              <w:left w:val="single" w:color="000000" w:sz="4" w:space="0"/>
              <w:bottom w:val="single" w:color="000000" w:sz="4" w:space="0"/>
              <w:right w:val="single" w:color="000000" w:sz="4" w:space="0"/>
            </w:tcBorders>
            <w:tcW w:w="89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6#楼综合楼、高三教学楼</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玻璃雨棚</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1、龙骨材料种类、规格、中距:80*150*10mm碳钢牛角挑梁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2、玻璃材料品种、规格:8+1.52Pvb+8mm钢化夹胶玻璃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3、含150*150*10mm预埋板、扣件、化学锚栓等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4、工程量按水平投影面计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5、其他未尽事宜详见图纸及相关规范</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1"/>
                <w:szCs w:val="21"/>
                <w:highlight w:val="none"/>
                <w:lang w:val="en-US" w:eastAsia="zh-CN"/>
              </w:rPr>
              <w:t xml:space="preserve">工业</w:t>
            </w:r>
            <w:r/>
          </w:p>
        </w:tc>
      </w:tr>
      <w:tr>
        <w:trPr>
          <w:trHeight w:val="23"/>
        </w:trPr>
        <w:tc>
          <w:tcPr>
            <w:gridSpan w:val="6"/>
            <w:shd w:val="clear" w:color="auto" w:fill="auto"/>
            <w:tcBorders>
              <w:top w:val="single" w:color="000000" w:sz="4" w:space="0"/>
              <w:left w:val="single" w:color="000000" w:sz="4" w:space="0"/>
              <w:bottom w:val="single" w:color="000000" w:sz="4" w:space="0"/>
              <w:right w:val="single" w:color="000000" w:sz="4" w:space="0"/>
            </w:tcBorders>
            <w:tcW w:w="89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7#食堂</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玻璃雨棚</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1、龙骨材料种类、规格、中距:80*150*10mm碳钢牛角挑梁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2、玻璃材料品种、规格:8+1.52Pvb+8mm钢化夹胶玻璃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3、含150*150*10mm预埋板、扣件、化学锚栓等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4、工程量按水平投影面计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5、其他未尽事宜详见图纸及相关规范</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504.91</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1"/>
                <w:szCs w:val="21"/>
                <w:highlight w:val="none"/>
                <w:lang w:val="en-US" w:eastAsia="zh-CN"/>
              </w:rPr>
              <w:t xml:space="preserve">工业</w:t>
            </w:r>
            <w:r/>
          </w:p>
        </w:tc>
      </w:tr>
      <w:tr>
        <w:trPr>
          <w:trHeight w:val="23"/>
        </w:trPr>
        <w:tc>
          <w:tcPr>
            <w:gridSpan w:val="5"/>
            <w:shd w:val="clear" w:color="auto" w:fill="auto"/>
            <w:tcBorders>
              <w:top w:val="single" w:color="000000" w:sz="4" w:space="0"/>
              <w:left w:val="single" w:color="000000" w:sz="4" w:space="0"/>
              <w:bottom w:val="single" w:color="000000" w:sz="4" w:space="0"/>
              <w:right w:val="single" w:color="000000" w:sz="4" w:space="0"/>
            </w:tcBorders>
            <w:tcW w:w="78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北侧门卫</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玻璃雨棚</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1、龙骨材料种类、规格、中距:80*150*10mm碳钢牛角挑梁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2、玻璃材料品种、规格:8+1.52Pvb+8mm钢化夹胶玻璃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3、含150*150*10mm预埋板、扣件、化学锚栓等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4、工程量按水平投影面计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5、其他未尽事宜详见图纸及相关规范</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1"/>
                <w:szCs w:val="21"/>
                <w:highlight w:val="none"/>
                <w:lang w:val="en-US" w:eastAsia="zh-CN"/>
              </w:rPr>
              <w:t xml:space="preserve">工业</w:t>
            </w:r>
            <w:r/>
          </w:p>
        </w:tc>
      </w:tr>
      <w:tr>
        <w:trPr>
          <w:trHeight w:val="23"/>
        </w:trPr>
        <w:tc>
          <w:tcPr>
            <w:gridSpan w:val="5"/>
            <w:shd w:val="clear" w:color="auto" w:fill="auto"/>
            <w:tcBorders>
              <w:top w:val="single" w:color="000000" w:sz="4" w:space="0"/>
              <w:left w:val="single" w:color="000000" w:sz="4" w:space="0"/>
              <w:bottom w:val="single" w:color="000000" w:sz="4" w:space="0"/>
              <w:right w:val="single" w:color="000000" w:sz="4" w:space="0"/>
            </w:tcBorders>
            <w:tcW w:w="78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南侧门卫</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玻璃雨棚</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1、龙骨材料种类、规格、中距:80*150*10mm碳钢牛角挑梁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2、玻璃材料品种、规格:8+1.52Pvb+8mm钢化夹胶玻璃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3、含150*150*10mm预埋板、扣件、化学锚栓等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4、工程量按水平投影面计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5、其他未尽事宜详见图纸及相关规范</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1"/>
                <w:szCs w:val="21"/>
                <w:highlight w:val="none"/>
                <w:lang w:val="en-US" w:eastAsia="zh-CN"/>
              </w:rPr>
              <w:t xml:space="preserve">工业</w:t>
            </w:r>
            <w:r/>
          </w:p>
        </w:tc>
      </w:tr>
      <w:tr>
        <w:trPr>
          <w:trHeight w:val="23"/>
        </w:trPr>
        <w:tc>
          <w:tcPr>
            <w:gridSpan w:val="6"/>
            <w:shd w:val="clear" w:color="auto" w:fill="auto"/>
            <w:tcBorders>
              <w:top w:val="single" w:color="000000" w:sz="4" w:space="0"/>
              <w:left w:val="single" w:color="000000" w:sz="4" w:space="0"/>
              <w:bottom w:val="single" w:color="000000" w:sz="4" w:space="0"/>
              <w:right w:val="single" w:color="000000" w:sz="4" w:space="0"/>
            </w:tcBorders>
            <w:tcW w:w="89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铝板</w:t>
            </w:r>
            <w:r/>
          </w:p>
        </w:tc>
      </w:tr>
      <w:tr>
        <w:trPr>
          <w:trHeight w:val="23"/>
        </w:trPr>
        <w:tc>
          <w:tcPr>
            <w:gridSpan w:val="5"/>
            <w:shd w:val="clear" w:color="auto" w:fill="auto"/>
            <w:tcBorders>
              <w:top w:val="single" w:color="000000" w:sz="4" w:space="0"/>
              <w:left w:val="single" w:color="000000" w:sz="4" w:space="0"/>
              <w:bottom w:val="single" w:color="000000" w:sz="4" w:space="0"/>
              <w:right w:val="single" w:color="000000" w:sz="4" w:space="0"/>
            </w:tcBorders>
            <w:tcW w:w="78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2-A#艺术综合楼、2-B#行政办公楼、2-C#信息技术楼</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带骨架幕墙</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1、骨架材料种类、规格、中距:40*60*1.5热镀锌方管，L50*5热镀锌角钢固定，M8*100膨胀螺栓组件，钢龙骨为热浸镀锌处理。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2、面层材料品种、规格、颜色:2.5mm厚穿孔铝板（氟碳喷涂），板材表面采用三涂两烤涂层处理，涂层厚度大于40um，颜色符合甲方要求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3、面层固定方式:铝合金角码固定、M12*110不锈钢螺栓*2，含底部膨胀螺栓M8*100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4、工程量按立面投影面计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5、其余未描述详细之处见图纸及规范要求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253.94</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p>
        </w:tc>
      </w:tr>
      <w:tr>
        <w:trPr>
          <w:trHeight w:val="23"/>
        </w:trPr>
        <w:tc>
          <w:tcPr>
            <w:gridSpan w:val="6"/>
            <w:shd w:val="clear" w:color="auto" w:fill="auto"/>
            <w:tcBorders>
              <w:top w:val="single" w:color="000000" w:sz="4" w:space="0"/>
              <w:left w:val="single" w:color="000000" w:sz="4" w:space="0"/>
              <w:bottom w:val="single" w:color="000000" w:sz="4" w:space="0"/>
              <w:right w:val="single" w:color="000000" w:sz="4" w:space="0"/>
            </w:tcBorders>
            <w:tcW w:w="89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3#高一、高二教学楼--土建</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带骨架幕墙</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1、骨架材料种类、规格、中距:40*60*1.5热镀锌方管，L50*5热镀锌角钢固定，M8*100膨胀螺栓组件，钢龙骨为热浸镀锌处理。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2、面层材料品种、规格、颜色:2.5mm厚白色/浅灰色穿孔铝板（氟碳喷涂），板材表面采用三涂两烤涂层处理，涂层厚度大于40um，颜色符合甲方要求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3、面层固定方式:铝合金角码固定、M12*110不锈钢螺栓*2，含底部膨胀螺栓M8*100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4、工程量按立面投影面计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5、其余未描述详细之处见图纸及规范要求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96.96</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p>
        </w:tc>
      </w:tr>
      <w:tr>
        <w:trPr>
          <w:trHeight w:val="23"/>
        </w:trPr>
        <w:tc>
          <w:tcPr>
            <w:gridSpan w:val="5"/>
            <w:shd w:val="clear" w:color="auto" w:fill="auto"/>
            <w:tcBorders>
              <w:top w:val="single" w:color="000000" w:sz="4" w:space="0"/>
              <w:left w:val="single" w:color="000000" w:sz="4" w:space="0"/>
              <w:bottom w:val="single" w:color="000000" w:sz="4" w:space="0"/>
              <w:right w:val="single" w:color="000000" w:sz="4" w:space="0"/>
            </w:tcBorders>
            <w:tcW w:w="78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5B#理科实验楼</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带骨架幕墙</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1、骨架材料种类、规格、中距:40*60*1.5热镀锌方管，L50*5热镀锌角钢固定，M8*100膨胀螺栓组件，钢龙骨为热浸镀锌处理。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2、面层材料品种、规格、颜色:2.5mm厚白灰色穿孔铝板（氟碳喷涂），板材表面采用三涂两烤涂层处理，涂层厚度大于40um，颜色符合甲方要求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3、面层固定方式:铝合金角码固定、M12*110不锈钢螺栓*2，含底部膨胀螺栓M8*100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4、工程量按立面投影面计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5、其余未描述详细之处见图纸及规范要求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p>
        </w:tc>
      </w:tr>
      <w:tr>
        <w:trPr>
          <w:trHeight w:val="23"/>
        </w:trPr>
        <w:tc>
          <w:tcPr>
            <w:gridSpan w:val="5"/>
            <w:shd w:val="clear" w:color="auto" w:fill="auto"/>
            <w:tcBorders>
              <w:top w:val="single" w:color="000000" w:sz="4" w:space="0"/>
              <w:left w:val="single" w:color="000000" w:sz="4" w:space="0"/>
              <w:bottom w:val="single" w:color="000000" w:sz="4" w:space="0"/>
              <w:right w:val="single" w:color="000000" w:sz="4" w:space="0"/>
            </w:tcBorders>
            <w:tcW w:w="78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6#楼综合楼、高三教学楼</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带骨架幕墙</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1、骨架材料种类、规格、中距:40*60*1.5热镀锌方管，L50*5热镀锌角钢固定，M8*100膨胀螺栓组件，钢龙骨为热浸镀锌处理。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2、面层材料品种、规格、颜色:2.5mm厚白灰色穿孔铝板（氟碳喷涂），板材表面采用三涂两烤涂层处理，涂层厚度大于40um，颜色符合甲方要求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3、面层固定方式:铝合金角码固定、M12*110不锈钢螺栓*2，含底部膨胀螺栓M8*100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4、工程量按立面投影面计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5、其余未描述详细之处见图纸及规范要求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47.28</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p>
        </w:tc>
      </w:tr>
      <w:tr>
        <w:trPr>
          <w:trHeight w:val="23"/>
        </w:trPr>
        <w:tc>
          <w:tcPr>
            <w:gridSpan w:val="6"/>
            <w:shd w:val="clear" w:color="auto" w:fill="auto"/>
            <w:tcBorders>
              <w:top w:val="single" w:color="000000" w:sz="4" w:space="0"/>
              <w:left w:val="single" w:color="000000" w:sz="4" w:space="0"/>
              <w:bottom w:val="single" w:color="000000" w:sz="4" w:space="0"/>
              <w:right w:val="single" w:color="000000" w:sz="4" w:space="0"/>
            </w:tcBorders>
            <w:tcW w:w="89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其他零星</w:t>
            </w:r>
            <w:r/>
          </w:p>
        </w:tc>
      </w:tr>
      <w:tr>
        <w:trPr>
          <w:trHeight w:val="23"/>
        </w:trPr>
        <w:tc>
          <w:tcPr>
            <w:gridSpan w:val="6"/>
            <w:shd w:val="clear" w:color="auto" w:fill="auto"/>
            <w:tcBorders>
              <w:top w:val="single" w:color="000000" w:sz="4" w:space="0"/>
              <w:left w:val="single" w:color="000000" w:sz="4" w:space="0"/>
              <w:bottom w:val="single" w:color="000000" w:sz="4" w:space="0"/>
              <w:right w:val="single" w:color="000000" w:sz="4" w:space="0"/>
            </w:tcBorders>
            <w:tcW w:w="89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1#楼体育馆</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成品隔断（淋浴区）</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1、隔断材料品种、规格、颜色:12mm厚成品抗倍特卫生间隔断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2、配件品种、规格:含五金及所有配件、辅材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3、其余未描述详尽之处详见图纸、图集及规范要求。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202.9</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p>
        </w:tc>
      </w:tr>
      <w:tr>
        <w:trPr>
          <w:trHeight w:val="23"/>
        </w:trPr>
        <w:tc>
          <w:tcPr>
            <w:gridSpan w:val="6"/>
            <w:shd w:val="clear" w:color="auto" w:fill="auto"/>
            <w:tcBorders>
              <w:top w:val="single" w:color="000000" w:sz="4" w:space="0"/>
              <w:left w:val="single" w:color="000000" w:sz="4" w:space="0"/>
              <w:bottom w:val="single" w:color="000000" w:sz="4" w:space="0"/>
              <w:right w:val="single" w:color="000000" w:sz="4" w:space="0"/>
            </w:tcBorders>
            <w:tcW w:w="89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2-A#艺术综合楼、2-B#行政办公楼、2-C#信息技术楼</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金属格栅</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1、骨架、边框材料种类、规格:200*500*1.0mm预埋板 膨胀螺栓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2、面层:100*300*2.5mm铝合金方管  氟碳喷涂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3、部位:外立面</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1"/>
                <w:szCs w:val="21"/>
                <w:highlight w:val="none"/>
                <w:lang w:val="en-US" w:eastAsia="zh-CN"/>
              </w:rPr>
              <w:t xml:space="preserve">工业</w:t>
            </w:r>
            <w:r/>
          </w:p>
        </w:tc>
      </w:tr>
      <w:tr>
        <w:trPr>
          <w:trHeight w:val="23"/>
        </w:trPr>
        <w:tc>
          <w:tcPr>
            <w:gridSpan w:val="6"/>
            <w:shd w:val="clear" w:color="auto" w:fill="auto"/>
            <w:tcBorders>
              <w:top w:val="single" w:color="000000" w:sz="4" w:space="0"/>
              <w:left w:val="single" w:color="000000" w:sz="4" w:space="0"/>
              <w:bottom w:val="single" w:color="000000" w:sz="4" w:space="0"/>
              <w:right w:val="single" w:color="000000" w:sz="4" w:space="0"/>
            </w:tcBorders>
            <w:tcW w:w="89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4#楼图书馆报告厅</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橡胶板楼地面</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1、粘结层厚度、材料种类:5mm自流平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2、面层材料品种、规格、颜色:2mm厚塑胶地板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3、其余未描述详尽之处详见图纸、图集及规范要求。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828.89</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竹、木（复合）地板</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1、基层材料种类、规格:5mm自流平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2、面层材料品种、规格、颜色:12mm强化复合地板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3、地板消音垫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4、其余未描述详尽之处详见图纸、图集及规范要求。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1253.64</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舞台幕布</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1、面层材料种类:加厚金丝绒阻燃布料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2、具体材质及颜色等符合甲方要求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3、含电动轨道、舞台专用电机、檐幕轨道等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4、工程量按实结算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87.72</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可拆卸挡板屏风</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1、骨架、边框材料种类、规格:铝合金边框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2、双层40mm厚密度板中空结构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3、含优质万向轮、辅材等</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钢梯</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1、钢材品种、规格:Q235B镀锌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2、钢梯形式:踏步式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3、螺栓种类:φ8膨胀螺栓固定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4、部位:舞台处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5、耐火时间符合规范要求</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0.36</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1"/>
                <w:szCs w:val="21"/>
                <w:highlight w:val="none"/>
                <w:lang w:val="en-US" w:eastAsia="zh-CN"/>
              </w:rPr>
              <w:t xml:space="preserve">工业</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木板楼梯面层</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1、面层材料品种、规格、颜色:40mm厚实木地板（螺栓固定)</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塑料扶手、栏杆、栏板</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1、扶手材料种类、规格:PVC圆扶手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2、栏杆材料种类、规格:10mm不锈钢拉丝扶手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3、部位:舞台踏步</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1"/>
                <w:szCs w:val="21"/>
                <w:highlight w:val="none"/>
                <w:lang w:val="en-US" w:eastAsia="zh-CN"/>
              </w:rPr>
              <w:t xml:space="preserve">工业</w:t>
            </w:r>
            <w:r/>
          </w:p>
        </w:tc>
      </w:tr>
      <w:tr>
        <w:trPr>
          <w:trHeight w:val="23"/>
        </w:trPr>
        <w:tc>
          <w:tcPr>
            <w:gridSpan w:val="6"/>
            <w:shd w:val="clear" w:color="auto" w:fill="auto"/>
            <w:tcBorders>
              <w:top w:val="single" w:color="000000" w:sz="4" w:space="0"/>
              <w:left w:val="single" w:color="000000" w:sz="4" w:space="0"/>
              <w:bottom w:val="single" w:color="000000" w:sz="4" w:space="0"/>
              <w:right w:val="single" w:color="000000" w:sz="4" w:space="0"/>
            </w:tcBorders>
            <w:tcW w:w="897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注：施工做法按照清单项目特征执行；所有楼栋涉及穿孔铝板幕墙区域为空调外机处；</w:t>
            </w:r>
            <w:r>
              <w:rPr>
                <w:rStyle w:val="924"/>
                <w:rFonts w:hint="eastAsia" w:ascii="宋体" w:hAnsi="宋体" w:eastAsia="宋体" w:cs="宋体"/>
                <w:color w:val="auto"/>
                <w:sz w:val="21"/>
                <w:szCs w:val="21"/>
                <w:highlight w:val="none"/>
                <w:lang w:val="en-US" w:eastAsia="zh-CN" w:bidi="ar"/>
              </w:rPr>
              <w:t xml:space="preserve">                                                  </w:t>
            </w:r>
            <w:r/>
          </w:p>
        </w:tc>
      </w:tr>
    </w:tbl>
    <w:p>
      <w:pPr>
        <w:ind w:right="0"/>
        <w:jc w:val="left"/>
        <w:keepLines w:val="0"/>
        <w:keepNext w:val="0"/>
        <w:pageBreakBefore w:val="0"/>
        <w:spacing w:line="490" w:lineRule="exact"/>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bCs/>
          <w:i w:val="0"/>
          <w:iCs w:val="0"/>
          <w:color w:val="auto"/>
          <w:sz w:val="21"/>
          <w:szCs w:val="21"/>
          <w:highlight w:val="none"/>
          <w:u w:val="none"/>
          <w:lang w:val="en-US" w:eastAsia="zh-CN" w:bidi="ar"/>
        </w:rPr>
        <w:t xml:space="preserve">2、恒温恒湿泳池水处理系统采购</w:t>
      </w:r>
      <w:r/>
    </w:p>
    <w:tbl>
      <w:tblPr>
        <w:tblStyle w:val="691"/>
        <w:tblW w:w="901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26"/>
        <w:gridCol w:w="1512"/>
        <w:gridCol w:w="3703"/>
        <w:gridCol w:w="741"/>
        <w:gridCol w:w="1068"/>
        <w:gridCol w:w="1068"/>
      </w:tblGrid>
      <w:tr>
        <w:trPr>
          <w:trHeight w:val="550"/>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ffffff" w:fill="ffffff"/>
            <w:tcBorders>
              <w:top w:val="single" w:color="000000" w:sz="4" w:space="0"/>
              <w:left w:val="single" w:color="000000" w:sz="4" w:space="0"/>
              <w:bottom w:val="single" w:color="000000" w:sz="4" w:space="0"/>
              <w:right w:val="single" w:color="000000" w:sz="4" w:space="0"/>
            </w:tcBorders>
            <w:tcW w:w="37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规格参数及要求</w:t>
            </w:r>
            <w:r/>
          </w:p>
        </w:tc>
        <w:tc>
          <w:tcPr>
            <w:shd w:val="clear" w:color="ffffff" w:fill="ffffff"/>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ffffff" w:fill="ffffff"/>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shd w:val="clear" w:color="ffffff" w:fill="ffffff"/>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所属行业</w:t>
            </w:r>
            <w:r/>
          </w:p>
        </w:tc>
      </w:tr>
      <w:tr>
        <w:trPr>
          <w:trHeight w:val="1380"/>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循环水泵</w:t>
            </w:r>
            <w:r/>
          </w:p>
        </w:tc>
        <w:tc>
          <w:tcPr>
            <w:shd w:val="clear" w:color="auto" w:fill="auto"/>
            <w:tcBorders>
              <w:top w:val="single" w:color="000000" w:sz="4" w:space="0"/>
              <w:left w:val="single" w:color="000000" w:sz="4" w:space="0"/>
              <w:bottom w:val="single" w:color="000000" w:sz="4" w:space="0"/>
              <w:right w:val="single" w:color="000000" w:sz="4" w:space="0"/>
            </w:tcBorders>
            <w:tcW w:w="37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1、名称:游泳池过滤循环泵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2、型号:N=5.5KW/380V，Q=78m³/h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3、具体详见图纸，满足甲方使用要求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4、含电气配管、电线电缆、检查接线等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5、含设备固定、减震等措施</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1020"/>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玻璃钢立式顶出石英砂过滤砂缸</w:t>
            </w:r>
            <w:r/>
          </w:p>
        </w:tc>
        <w:tc>
          <w:tcPr>
            <w:shd w:val="clear" w:color="auto" w:fill="auto"/>
            <w:tcBorders>
              <w:top w:val="single" w:color="000000" w:sz="4" w:space="0"/>
              <w:left w:val="single" w:color="000000" w:sz="4" w:space="0"/>
              <w:bottom w:val="single" w:color="000000" w:sz="4" w:space="0"/>
              <w:right w:val="single" w:color="000000" w:sz="4" w:space="0"/>
            </w:tcBorders>
            <w:tcW w:w="37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1、名称:游泳池过滤砂缸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2、直径:Φ1400，过滤面积1.54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3、含砂层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4、具体详见图纸，满足甲方使用要求</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1740"/>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离心式泵</w:t>
            </w:r>
            <w:r/>
          </w:p>
        </w:tc>
        <w:tc>
          <w:tcPr>
            <w:shd w:val="clear" w:color="auto" w:fill="auto"/>
            <w:tcBorders>
              <w:top w:val="single" w:color="000000" w:sz="4" w:space="0"/>
              <w:left w:val="single" w:color="000000" w:sz="4" w:space="0"/>
              <w:bottom w:val="single" w:color="000000" w:sz="4" w:space="0"/>
              <w:right w:val="single" w:color="000000" w:sz="4" w:space="0"/>
            </w:tcBorders>
            <w:tcW w:w="37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1、名称:游泳池絮凝剂投药泵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2、规格:54L/h，1bar，PVDF泵头，手动调节流量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3、含配套投药桶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4、含设备固定、减震等措施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5、含配套管道、阀门、仪表、电气配管、电线电缆、检查接线等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6、具体详见图纸，满足甲方使用要求</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1640"/>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离心式泵</w:t>
            </w:r>
            <w:r/>
          </w:p>
        </w:tc>
        <w:tc>
          <w:tcPr>
            <w:shd w:val="clear" w:color="auto" w:fill="auto"/>
            <w:tcBorders>
              <w:top w:val="single" w:color="000000" w:sz="4" w:space="0"/>
              <w:left w:val="single" w:color="000000" w:sz="4" w:space="0"/>
              <w:bottom w:val="single" w:color="000000" w:sz="4" w:space="0"/>
              <w:right w:val="single" w:color="000000" w:sz="4" w:space="0"/>
            </w:tcBorders>
            <w:tcW w:w="37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1、名称:游泳池PH调整剂投药泵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2、规格:54L/h，1bar，PVDF泵头，手动调节流量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3、含配套投药桶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4、含设备固定、减震等措施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5、含配套管道、阀门、仪表、电气配管、电线电缆、检查接线等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6、具体详见图纸，满足甲方使用要求</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1800"/>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离心式泵</w:t>
            </w:r>
            <w:r/>
          </w:p>
        </w:tc>
        <w:tc>
          <w:tcPr>
            <w:shd w:val="clear" w:color="auto" w:fill="auto"/>
            <w:tcBorders>
              <w:top w:val="single" w:color="000000" w:sz="4" w:space="0"/>
              <w:left w:val="single" w:color="000000" w:sz="4" w:space="0"/>
              <w:bottom w:val="single" w:color="000000" w:sz="4" w:space="0"/>
              <w:right w:val="single" w:color="000000" w:sz="4" w:space="0"/>
            </w:tcBorders>
            <w:tcW w:w="37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1、名称:游泳池消毒剂投药泵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2、规格:54L/h，1bar，PVDF泵头，手动调节流量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3、含配套投药桶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4、含设备固定、减震等措施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5、含配套管道、阀门、仪表、电气配管、电线电缆、检查接线等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6、具体详见图纸，满足甲方使用要求</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1320"/>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过程分析仪表</w:t>
            </w:r>
            <w:r/>
          </w:p>
        </w:tc>
        <w:tc>
          <w:tcPr>
            <w:shd w:val="clear" w:color="auto" w:fill="auto"/>
            <w:tcBorders>
              <w:top w:val="single" w:color="000000" w:sz="4" w:space="0"/>
              <w:left w:val="single" w:color="000000" w:sz="4" w:space="0"/>
              <w:bottom w:val="single" w:color="000000" w:sz="4" w:space="0"/>
              <w:right w:val="single" w:color="000000" w:sz="4" w:space="0"/>
            </w:tcBorders>
            <w:tcW w:w="37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1、名称:游泳池水质监测仪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2、功能:自动检测ORP&amp;PH水质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3、含电气配管、电线电缆、检查接线等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4、具体详见图纸，满足甲方使用要求</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1800"/>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7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1、名称:泳池水循环系统电控柜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2、规格:设备用电功率48KW，预留最大用电功率55KW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3、端子板外部接线材质、规格:按图纸要求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4、安装方式:明装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5、含箱体及箱内所有电器元器件、浪涌及接地装置等，具体要求见图纸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6、具体详见图纸，满足甲方使用要求</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1480"/>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其他泵</w:t>
            </w:r>
            <w:r/>
          </w:p>
        </w:tc>
        <w:tc>
          <w:tcPr>
            <w:shd w:val="clear" w:color="auto" w:fill="auto"/>
            <w:tcBorders>
              <w:top w:val="single" w:color="000000" w:sz="4" w:space="0"/>
              <w:left w:val="single" w:color="000000" w:sz="4" w:space="0"/>
              <w:bottom w:val="single" w:color="000000" w:sz="4" w:space="0"/>
              <w:right w:val="single" w:color="000000" w:sz="4" w:space="0"/>
            </w:tcBorders>
            <w:tcW w:w="37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1、名称:热泵增压泵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2、规格:Q=20m³/H ，H=25M (自带毛发收集器)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3、含电气配管、电线电缆、检查接线等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4、含设备固定、减震等措施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5、具体详见图纸，满足甲方使用要求</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1680"/>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泳池专用空气源热泵</w:t>
            </w:r>
            <w:r/>
          </w:p>
        </w:tc>
        <w:tc>
          <w:tcPr>
            <w:shd w:val="clear" w:color="auto" w:fill="auto"/>
            <w:tcBorders>
              <w:top w:val="single" w:color="000000" w:sz="4" w:space="0"/>
              <w:left w:val="single" w:color="000000" w:sz="4" w:space="0"/>
              <w:bottom w:val="single" w:color="000000" w:sz="4" w:space="0"/>
              <w:right w:val="single" w:color="000000" w:sz="4" w:space="0"/>
            </w:tcBorders>
            <w:tcW w:w="37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1、型号、规格: 380V/50HzHP20 制热量:74.4KW 功率:16.9kw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2、安装方式:落地式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3、减震装置形式:含减震措施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4、含电气配管、电线电缆、检查接线等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5、含基础</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1700"/>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7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1、名称:恒温系统电控柜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2、规格:设备用电功率117.6KW，预留最大用电功率150KW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3、端子板外部接线材质、规格:按图纸要求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4、安装方式:明装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5、含箱体及箱内所有电器元器件、浪涌及接地装置等，具体要求见图纸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6、具体详见图纸，满足甲方使用要求</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1140"/>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水箱</w:t>
            </w:r>
            <w:r/>
          </w:p>
        </w:tc>
        <w:tc>
          <w:tcPr>
            <w:shd w:val="clear" w:color="auto" w:fill="auto"/>
            <w:tcBorders>
              <w:top w:val="single" w:color="000000" w:sz="4" w:space="0"/>
              <w:left w:val="single" w:color="000000" w:sz="4" w:space="0"/>
              <w:bottom w:val="single" w:color="000000" w:sz="4" w:space="0"/>
              <w:right w:val="single" w:color="000000" w:sz="4" w:space="0"/>
            </w:tcBorders>
            <w:tcW w:w="37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1、名称:不锈钢均衡水箱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2、材质、类型:304不锈钢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3、型号、规格:6*4*2.5m(H)，60吨保温水箱</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1800"/>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臭氧系统</w:t>
            </w:r>
            <w:r/>
          </w:p>
        </w:tc>
        <w:tc>
          <w:tcPr>
            <w:shd w:val="clear" w:color="auto" w:fill="auto"/>
            <w:tcBorders>
              <w:top w:val="single" w:color="000000" w:sz="4" w:space="0"/>
              <w:left w:val="single" w:color="000000" w:sz="4" w:space="0"/>
              <w:bottom w:val="single" w:color="000000" w:sz="4" w:space="0"/>
              <w:right w:val="single" w:color="000000" w:sz="4" w:space="0"/>
            </w:tcBorders>
            <w:tcW w:w="37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1、名称:臭氧系统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2、含臭氧发生器200g/H，接触反应塔有效容积11立方，φ1800mmH=2600MM，制氧机，吸附罐有效容积6立方φ1800mmH=2600MM，臭氧毁灭装置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3、含配套管道、阀门、仪表、电气配管、电线电缆、检查接线等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4、具体详见图纸，满足甲方使用要求</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1140"/>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管道式UV杀菌器</w:t>
            </w:r>
            <w:r/>
          </w:p>
        </w:tc>
        <w:tc>
          <w:tcPr>
            <w:shd w:val="clear" w:color="auto" w:fill="auto"/>
            <w:tcBorders>
              <w:top w:val="single" w:color="000000" w:sz="4" w:space="0"/>
              <w:left w:val="single" w:color="000000" w:sz="4" w:space="0"/>
              <w:bottom w:val="single" w:color="000000" w:sz="4" w:space="0"/>
              <w:right w:val="single" w:color="000000" w:sz="4" w:space="0"/>
            </w:tcBorders>
            <w:tcW w:w="37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1、名称:管道式UV杀菌器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2、型号:N=1.5KW/220V，Q=312m³/h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3、含电气配管、电线电缆、检查接线等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4、具体详见图纸，满足甲方使用要求</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826"/>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给、排水附（配）件</w:t>
            </w:r>
            <w:r/>
          </w:p>
        </w:tc>
        <w:tc>
          <w:tcPr>
            <w:shd w:val="clear" w:color="auto" w:fill="auto"/>
            <w:tcBorders>
              <w:top w:val="single" w:color="000000" w:sz="4" w:space="0"/>
              <w:left w:val="single" w:color="000000" w:sz="4" w:space="0"/>
              <w:bottom w:val="single" w:color="000000" w:sz="4" w:space="0"/>
              <w:right w:val="single" w:color="000000" w:sz="4" w:space="0"/>
            </w:tcBorders>
            <w:tcW w:w="37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1、名称:布水口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2、材质:塑料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3、型号、规格:SP-1424，De63</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891"/>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给、排水附（配）件</w:t>
            </w:r>
            <w:r/>
          </w:p>
        </w:tc>
        <w:tc>
          <w:tcPr>
            <w:shd w:val="clear" w:color="auto" w:fill="auto"/>
            <w:tcBorders>
              <w:top w:val="single" w:color="000000" w:sz="4" w:space="0"/>
              <w:left w:val="single" w:color="000000" w:sz="4" w:space="0"/>
              <w:bottom w:val="single" w:color="000000" w:sz="4" w:space="0"/>
              <w:right w:val="single" w:color="000000" w:sz="4" w:space="0"/>
            </w:tcBorders>
            <w:tcW w:w="37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1、名称:溢流回水口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2、材质:塑料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3、型号、规格:De100，SP-1030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960"/>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给、排水附（配）件</w:t>
            </w:r>
            <w:r/>
          </w:p>
        </w:tc>
        <w:tc>
          <w:tcPr>
            <w:shd w:val="clear" w:color="auto" w:fill="auto"/>
            <w:tcBorders>
              <w:top w:val="single" w:color="000000" w:sz="4" w:space="0"/>
              <w:left w:val="single" w:color="000000" w:sz="4" w:space="0"/>
              <w:bottom w:val="single" w:color="000000" w:sz="4" w:space="0"/>
              <w:right w:val="single" w:color="000000" w:sz="4" w:space="0"/>
            </w:tcBorders>
            <w:tcW w:w="37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1、名称:排水口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2、材质:塑料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3、型号、规格:300*300，SP-1032</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780"/>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水扶梯四级梯</w:t>
            </w:r>
            <w:r/>
          </w:p>
        </w:tc>
        <w:tc>
          <w:tcPr>
            <w:shd w:val="clear" w:color="auto" w:fill="auto"/>
            <w:tcBorders>
              <w:top w:val="single" w:color="000000" w:sz="4" w:space="0"/>
              <w:left w:val="single" w:color="000000" w:sz="4" w:space="0"/>
              <w:bottom w:val="single" w:color="000000" w:sz="4" w:space="0"/>
              <w:right w:val="single" w:color="000000" w:sz="4" w:space="0"/>
            </w:tcBorders>
            <w:tcW w:w="37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1、材质:316不锈钢，1.5mm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2、规格:SF415</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1900"/>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37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1、安装部位:室内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2、介质:给水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3、材质、规格:e-PSP钢塑复合压力管，塑层为食品级PPR材质，De110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4、连接形式:双热熔连接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5、压力试验及吹、洗设计要求:满足图纸及设计要求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6、含管件</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1980"/>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37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1、安装部位:室内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2、介质:给水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3、材质、规格:e-PSP钢塑复合压力管，塑层为食品级PPR材质，De160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4、连接形式:双热熔连接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5、压力试验及吹、洗设计要求:满足图纸及设计要求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6、含管件</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1360"/>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37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1、安装部位:室内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2、介质:给水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3、材质、规格:PVC管，De250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4、连接形式:胶粘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5、压力试验及吹、洗设计要求:满足图纸及设计要求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6、含管件</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1620"/>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37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1、安装部位:室内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2、介质:给水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3、材质、规格:PVC管，De200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4、连接形式:胶粘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5、压力试验及吹、洗设计要求:满足图纸及设计要求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6、含管件</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1840"/>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37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1、安装部位:室内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2、介质:给水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3、材质、规格:PVC管，De160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4、连接形式:胶粘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5、压力试验及吹、洗设计要求:满足图纸及设计要求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6、含管件</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1760"/>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37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1、安装部位:室内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2、介质:给水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3、材质、规格:PVC管，De100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4、连接形式:胶粘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5、压力试验及吹、洗设计要求:满足图纸及设计要求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6、含管件</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305"/>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37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1、安装部位:室内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2、介质:排水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3、材质、规格:PVC管，De250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4、连接形式:胶粘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5、压力试验及吹、洗设计要求:满足图纸及设计要求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6、含管件</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1880"/>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37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1、安装部位:室内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2、介质:排水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3、材质、规格:PVC管，De200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4、连接形式:胶粘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5、压力试验及吹、洗设计要求:满足图纸及设计要求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6、含管件</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1740"/>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37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1、安装部位:室内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2、介质:排水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3、材质、规格:PVC管，De160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4、连接形式:胶粘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5、压力试验及吹、洗设计要求:满足图纸及设计要求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6、含管件</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1740"/>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37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1、安装部位:室内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2、介质:排水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3、材质、规格:PVC管，De100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4、连接形式:胶粘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5、压力试验及吹、洗设计要求:满足图纸及设计要求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6、含管件</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1800"/>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37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1、安装部位:室内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2、介质:排水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3、材质、规格:PVC管，De63</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4、连接形式:胶粘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5、压力试验及吹、洗设计要求:满足图纸及设计要求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6、含管件</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1171"/>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焊接法兰阀门</w:t>
            </w:r>
            <w:r/>
          </w:p>
        </w:tc>
        <w:tc>
          <w:tcPr>
            <w:shd w:val="clear" w:color="auto" w:fill="auto"/>
            <w:tcBorders>
              <w:top w:val="single" w:color="000000" w:sz="4" w:space="0"/>
              <w:left w:val="single" w:color="000000" w:sz="4" w:space="0"/>
              <w:bottom w:val="single" w:color="000000" w:sz="4" w:space="0"/>
              <w:right w:val="single" w:color="000000" w:sz="4" w:space="0"/>
            </w:tcBorders>
            <w:tcW w:w="37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1、类型:止回阀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2、材质:铜质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3、规格、压力等级:DN100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4、连接形式:法兰连接</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1300"/>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焊接法兰阀门</w:t>
            </w:r>
            <w:r/>
          </w:p>
        </w:tc>
        <w:tc>
          <w:tcPr>
            <w:shd w:val="clear" w:color="auto" w:fill="auto"/>
            <w:tcBorders>
              <w:top w:val="single" w:color="000000" w:sz="4" w:space="0"/>
              <w:left w:val="single" w:color="000000" w:sz="4" w:space="0"/>
              <w:bottom w:val="single" w:color="000000" w:sz="4" w:space="0"/>
              <w:right w:val="single" w:color="000000" w:sz="4" w:space="0"/>
            </w:tcBorders>
            <w:tcW w:w="37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1、类型:闸阀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2、材质:铜质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3、规格、压力等级:DN100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4、连接形式:法兰连接</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1080"/>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焊接法兰阀门</w:t>
            </w:r>
            <w:r/>
          </w:p>
        </w:tc>
        <w:tc>
          <w:tcPr>
            <w:shd w:val="clear" w:color="auto" w:fill="auto"/>
            <w:tcBorders>
              <w:top w:val="single" w:color="000000" w:sz="4" w:space="0"/>
              <w:left w:val="single" w:color="000000" w:sz="4" w:space="0"/>
              <w:bottom w:val="single" w:color="000000" w:sz="4" w:space="0"/>
              <w:right w:val="single" w:color="000000" w:sz="4" w:space="0"/>
            </w:tcBorders>
            <w:tcW w:w="37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1、类型:闸阀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2、材质:铜质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3、规格、压力等级:DN150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4、连接形式:法兰连接</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786"/>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水表</w:t>
            </w:r>
            <w:r/>
          </w:p>
        </w:tc>
        <w:tc>
          <w:tcPr>
            <w:shd w:val="clear" w:color="auto" w:fill="auto"/>
            <w:tcBorders>
              <w:top w:val="single" w:color="000000" w:sz="4" w:space="0"/>
              <w:left w:val="single" w:color="000000" w:sz="4" w:space="0"/>
              <w:bottom w:val="single" w:color="000000" w:sz="4" w:space="0"/>
              <w:right w:val="single" w:color="000000" w:sz="4" w:space="0"/>
            </w:tcBorders>
            <w:tcW w:w="37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1、安装部位（室内外）:室内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2、型号、规格:DN150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3、连接形式:法兰连接</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948"/>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焊接法兰阀门</w:t>
            </w:r>
            <w:r/>
          </w:p>
        </w:tc>
        <w:tc>
          <w:tcPr>
            <w:shd w:val="clear" w:color="auto" w:fill="auto"/>
            <w:tcBorders>
              <w:top w:val="single" w:color="000000" w:sz="4" w:space="0"/>
              <w:left w:val="single" w:color="000000" w:sz="4" w:space="0"/>
              <w:bottom w:val="single" w:color="000000" w:sz="4" w:space="0"/>
              <w:right w:val="single" w:color="000000" w:sz="4" w:space="0"/>
            </w:tcBorders>
            <w:tcW w:w="37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1、类型:电磁阀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2、规格、压力等级:DN150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3、连接形式:法兰连接</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960"/>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物位检测仪表</w:t>
            </w:r>
            <w:r/>
          </w:p>
        </w:tc>
        <w:tc>
          <w:tcPr>
            <w:shd w:val="clear" w:color="auto" w:fill="auto"/>
            <w:tcBorders>
              <w:top w:val="single" w:color="000000" w:sz="4" w:space="0"/>
              <w:left w:val="single" w:color="000000" w:sz="4" w:space="0"/>
              <w:bottom w:val="single" w:color="000000" w:sz="4" w:space="0"/>
              <w:right w:val="single" w:color="000000" w:sz="4" w:space="0"/>
            </w:tcBorders>
            <w:tcW w:w="37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1、名称:电子液位信号器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2、规格:DN150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1080"/>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塑料阀门</w:t>
            </w:r>
            <w:r/>
          </w:p>
        </w:tc>
        <w:tc>
          <w:tcPr>
            <w:shd w:val="clear" w:color="auto" w:fill="auto"/>
            <w:tcBorders>
              <w:top w:val="single" w:color="000000" w:sz="4" w:space="0"/>
              <w:left w:val="single" w:color="000000" w:sz="4" w:space="0"/>
              <w:bottom w:val="single" w:color="000000" w:sz="4" w:space="0"/>
              <w:right w:val="single" w:color="000000" w:sz="4" w:space="0"/>
            </w:tcBorders>
            <w:tcW w:w="37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1、名称:UPVC球阀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2、规格:DN50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3、连接形式:螺纹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1080"/>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塑料阀门</w:t>
            </w:r>
            <w:r/>
          </w:p>
        </w:tc>
        <w:tc>
          <w:tcPr>
            <w:shd w:val="clear" w:color="auto" w:fill="auto"/>
            <w:tcBorders>
              <w:top w:val="single" w:color="000000" w:sz="4" w:space="0"/>
              <w:left w:val="single" w:color="000000" w:sz="4" w:space="0"/>
              <w:bottom w:val="single" w:color="000000" w:sz="4" w:space="0"/>
              <w:right w:val="single" w:color="000000" w:sz="4" w:space="0"/>
            </w:tcBorders>
            <w:tcW w:w="37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1、名称:UPVC蝶阀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2、规格:DN100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3、连接形式:法兰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1040"/>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塑料阀门</w:t>
            </w:r>
            <w:r/>
          </w:p>
        </w:tc>
        <w:tc>
          <w:tcPr>
            <w:shd w:val="clear" w:color="auto" w:fill="auto"/>
            <w:tcBorders>
              <w:top w:val="single" w:color="000000" w:sz="4" w:space="0"/>
              <w:left w:val="single" w:color="000000" w:sz="4" w:space="0"/>
              <w:bottom w:val="single" w:color="000000" w:sz="4" w:space="0"/>
              <w:right w:val="single" w:color="000000" w:sz="4" w:space="0"/>
            </w:tcBorders>
            <w:tcW w:w="37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1、名称:UPVC蝶阀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2、规格:DN150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3、连接形式:法兰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1020"/>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塑料阀门</w:t>
            </w:r>
            <w:r/>
          </w:p>
        </w:tc>
        <w:tc>
          <w:tcPr>
            <w:shd w:val="clear" w:color="auto" w:fill="auto"/>
            <w:tcBorders>
              <w:top w:val="single" w:color="000000" w:sz="4" w:space="0"/>
              <w:left w:val="single" w:color="000000" w:sz="4" w:space="0"/>
              <w:bottom w:val="single" w:color="000000" w:sz="4" w:space="0"/>
              <w:right w:val="single" w:color="000000" w:sz="4" w:space="0"/>
            </w:tcBorders>
            <w:tcW w:w="37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1、名称:UPVC蝶阀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2、规格:DN200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3、连接形式:法兰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823"/>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塑料阀门</w:t>
            </w:r>
            <w:r/>
          </w:p>
        </w:tc>
        <w:tc>
          <w:tcPr>
            <w:shd w:val="clear" w:color="auto" w:fill="auto"/>
            <w:tcBorders>
              <w:top w:val="single" w:color="000000" w:sz="4" w:space="0"/>
              <w:left w:val="single" w:color="000000" w:sz="4" w:space="0"/>
              <w:bottom w:val="single" w:color="000000" w:sz="4" w:space="0"/>
              <w:right w:val="single" w:color="000000" w:sz="4" w:space="0"/>
            </w:tcBorders>
            <w:tcW w:w="37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1、名称:UPVC蝶阀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2、规格:DN250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3、连接形式:法兰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1040"/>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塑料阀门</w:t>
            </w:r>
            <w:r/>
          </w:p>
        </w:tc>
        <w:tc>
          <w:tcPr>
            <w:shd w:val="clear" w:color="auto" w:fill="auto"/>
            <w:tcBorders>
              <w:top w:val="single" w:color="000000" w:sz="4" w:space="0"/>
              <w:left w:val="single" w:color="000000" w:sz="4" w:space="0"/>
              <w:bottom w:val="single" w:color="000000" w:sz="4" w:space="0"/>
              <w:right w:val="single" w:color="000000" w:sz="4" w:space="0"/>
            </w:tcBorders>
            <w:tcW w:w="37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1、名称:UPVC止回阀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2、规格:DN100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3、连接形式:法兰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845"/>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塑料阀门</w:t>
            </w:r>
            <w:r/>
          </w:p>
        </w:tc>
        <w:tc>
          <w:tcPr>
            <w:shd w:val="clear" w:color="auto" w:fill="auto"/>
            <w:tcBorders>
              <w:top w:val="single" w:color="000000" w:sz="4" w:space="0"/>
              <w:left w:val="single" w:color="000000" w:sz="4" w:space="0"/>
              <w:bottom w:val="single" w:color="000000" w:sz="4" w:space="0"/>
              <w:right w:val="single" w:color="000000" w:sz="4" w:space="0"/>
            </w:tcBorders>
            <w:tcW w:w="37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1、名称:Y型过滤器UPVC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2、规格:DN100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3、连接形式:法兰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838"/>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塑料阀门</w:t>
            </w:r>
            <w:r/>
          </w:p>
        </w:tc>
        <w:tc>
          <w:tcPr>
            <w:shd w:val="clear" w:color="auto" w:fill="auto"/>
            <w:tcBorders>
              <w:top w:val="single" w:color="000000" w:sz="4" w:space="0"/>
              <w:left w:val="single" w:color="000000" w:sz="4" w:space="0"/>
              <w:bottom w:val="single" w:color="000000" w:sz="4" w:space="0"/>
              <w:right w:val="single" w:color="000000" w:sz="4" w:space="0"/>
            </w:tcBorders>
            <w:tcW w:w="37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1、名称:UPVC止回阀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2、规格:DN150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3、连接形式:法兰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900"/>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塑料阀门</w:t>
            </w:r>
            <w:r/>
          </w:p>
        </w:tc>
        <w:tc>
          <w:tcPr>
            <w:shd w:val="clear" w:color="auto" w:fill="auto"/>
            <w:tcBorders>
              <w:top w:val="single" w:color="000000" w:sz="4" w:space="0"/>
              <w:left w:val="single" w:color="000000" w:sz="4" w:space="0"/>
              <w:bottom w:val="single" w:color="000000" w:sz="4" w:space="0"/>
              <w:right w:val="single" w:color="000000" w:sz="4" w:space="0"/>
            </w:tcBorders>
            <w:tcW w:w="37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1、名称:UPVC止回阀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2、规格:DN50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3、连接形式:螺纹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500"/>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压力仪表</w:t>
            </w:r>
            <w:r/>
          </w:p>
        </w:tc>
        <w:tc>
          <w:tcPr>
            <w:shd w:val="clear" w:color="auto" w:fill="auto"/>
            <w:tcBorders>
              <w:top w:val="single" w:color="000000" w:sz="4" w:space="0"/>
              <w:left w:val="single" w:color="000000" w:sz="4" w:space="0"/>
              <w:bottom w:val="single" w:color="000000" w:sz="4" w:space="0"/>
              <w:right w:val="single" w:color="000000" w:sz="4" w:space="0"/>
            </w:tcBorders>
            <w:tcW w:w="37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1、名称:压力表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440"/>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温度仪表</w:t>
            </w:r>
            <w:r/>
          </w:p>
        </w:tc>
        <w:tc>
          <w:tcPr>
            <w:shd w:val="clear" w:color="auto" w:fill="auto"/>
            <w:tcBorders>
              <w:top w:val="single" w:color="000000" w:sz="4" w:space="0"/>
              <w:left w:val="single" w:color="000000" w:sz="4" w:space="0"/>
              <w:bottom w:val="single" w:color="000000" w:sz="4" w:space="0"/>
              <w:right w:val="single" w:color="000000" w:sz="4" w:space="0"/>
            </w:tcBorders>
            <w:tcW w:w="37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1、名称:温度计</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445"/>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温度仪表</w:t>
            </w:r>
            <w:r/>
          </w:p>
        </w:tc>
        <w:tc>
          <w:tcPr>
            <w:shd w:val="clear" w:color="auto" w:fill="auto"/>
            <w:tcBorders>
              <w:top w:val="single" w:color="000000" w:sz="4" w:space="0"/>
              <w:left w:val="single" w:color="000000" w:sz="4" w:space="0"/>
              <w:bottom w:val="single" w:color="000000" w:sz="4" w:space="0"/>
              <w:right w:val="single" w:color="000000" w:sz="4" w:space="0"/>
            </w:tcBorders>
            <w:tcW w:w="37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1、名称:温度探头</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840"/>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软接头（软管）</w:t>
            </w:r>
            <w:r/>
          </w:p>
        </w:tc>
        <w:tc>
          <w:tcPr>
            <w:shd w:val="clear" w:color="auto" w:fill="auto"/>
            <w:tcBorders>
              <w:top w:val="single" w:color="000000" w:sz="4" w:space="0"/>
              <w:left w:val="single" w:color="000000" w:sz="4" w:space="0"/>
              <w:bottom w:val="single" w:color="000000" w:sz="4" w:space="0"/>
              <w:right w:val="single" w:color="000000" w:sz="4" w:space="0"/>
            </w:tcBorders>
            <w:tcW w:w="37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1、名称:橡胶软接头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2、规格:DN100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3、连接形式:法兰连接</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604"/>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管道支架</w:t>
            </w:r>
            <w:r/>
          </w:p>
        </w:tc>
        <w:tc>
          <w:tcPr>
            <w:shd w:val="clear" w:color="auto" w:fill="auto"/>
            <w:tcBorders>
              <w:top w:val="single" w:color="000000" w:sz="4" w:space="0"/>
              <w:left w:val="single" w:color="000000" w:sz="4" w:space="0"/>
              <w:bottom w:val="single" w:color="000000" w:sz="4" w:space="0"/>
              <w:right w:val="single" w:color="000000" w:sz="4" w:space="0"/>
            </w:tcBorders>
            <w:tcW w:w="37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1、材质:型钢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2、含防腐刷漆</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1140"/>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套管</w:t>
            </w:r>
            <w:r/>
          </w:p>
        </w:tc>
        <w:tc>
          <w:tcPr>
            <w:shd w:val="clear" w:color="auto" w:fill="auto"/>
            <w:tcBorders>
              <w:top w:val="single" w:color="000000" w:sz="4" w:space="0"/>
              <w:left w:val="single" w:color="000000" w:sz="4" w:space="0"/>
              <w:bottom w:val="single" w:color="000000" w:sz="4" w:space="0"/>
              <w:right w:val="single" w:color="000000" w:sz="4" w:space="0"/>
            </w:tcBorders>
            <w:tcW w:w="37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1、名称、类型:刚性防水套管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2、材质:钢管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3、规格:DN300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4、填料材质:按图纸及规范要求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1100"/>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套管</w:t>
            </w:r>
            <w:r/>
          </w:p>
        </w:tc>
        <w:tc>
          <w:tcPr>
            <w:shd w:val="clear" w:color="auto" w:fill="auto"/>
            <w:tcBorders>
              <w:top w:val="single" w:color="000000" w:sz="4" w:space="0"/>
              <w:left w:val="single" w:color="000000" w:sz="4" w:space="0"/>
              <w:bottom w:val="single" w:color="000000" w:sz="4" w:space="0"/>
              <w:right w:val="single" w:color="000000" w:sz="4" w:space="0"/>
            </w:tcBorders>
            <w:tcW w:w="37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1、名称、类型:刚性防水套管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2、材质:钢管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3、规格:DN150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4、填料材质:按图纸及规范要求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1146"/>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管道绝热</w:t>
            </w:r>
            <w:r/>
          </w:p>
        </w:tc>
        <w:tc>
          <w:tcPr>
            <w:shd w:val="clear" w:color="auto" w:fill="auto"/>
            <w:tcBorders>
              <w:top w:val="single" w:color="000000" w:sz="4" w:space="0"/>
              <w:left w:val="single" w:color="000000" w:sz="4" w:space="0"/>
              <w:bottom w:val="single" w:color="000000" w:sz="4" w:space="0"/>
              <w:right w:val="single" w:color="000000" w:sz="4" w:space="0"/>
            </w:tcBorders>
            <w:tcW w:w="37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1、绝热材料品种:阻燃橡塑管壳，采用双导铝箔胶带缠绕保护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2、绝热厚度:50mm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3、管道外径:φ133以下</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1108"/>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管道绝热</w:t>
            </w:r>
            <w:r/>
          </w:p>
        </w:tc>
        <w:tc>
          <w:tcPr>
            <w:shd w:val="clear" w:color="auto" w:fill="auto"/>
            <w:tcBorders>
              <w:top w:val="single" w:color="000000" w:sz="4" w:space="0"/>
              <w:left w:val="single" w:color="000000" w:sz="4" w:space="0"/>
              <w:bottom w:val="single" w:color="000000" w:sz="4" w:space="0"/>
              <w:right w:val="single" w:color="000000" w:sz="4" w:space="0"/>
            </w:tcBorders>
            <w:tcW w:w="37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1、绝热材料品种:阻燃橡塑管壳，采用双导铝箔胶带缠绕保护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2、绝热厚度:40mm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3、管道外径:φ133以下</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6.66</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1503"/>
        </w:trPr>
        <w:tc>
          <w:tcPr>
            <w:gridSpan w:val="6"/>
            <w:shd w:val="clear" w:color="auto" w:fill="auto"/>
            <w:tcBorders>
              <w:top w:val="single" w:color="000000" w:sz="4" w:space="0"/>
              <w:left w:val="single" w:color="000000" w:sz="4" w:space="0"/>
              <w:bottom w:val="single" w:color="000000" w:sz="4" w:space="0"/>
              <w:right w:val="single" w:color="000000" w:sz="4" w:space="0"/>
            </w:tcBorders>
            <w:tcW w:w="9018" w:type="dxa"/>
            <w:vAlign w:val="center"/>
            <w:textDirection w:val="lrTb"/>
            <w:noWrap w:val="false"/>
          </w:tcPr>
          <w:p>
            <w:pPr>
              <w:jc w:val="both"/>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备注：1、接市政供水给水管由招标人引至设备房，管材以体育馆给排水设计说明为准，采用e-PSP钢塑复合压力管，塑层为食品级PPR材质，双热熔连接，阀门材质为铜质；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保温管材以体育馆给排水设计说明为准，位于室外明露的冷热水管和消防管需保温，保温层厚度50mm；位于室内的热水供水及回水管需保温，保温层厚度40mm；保温材料采用阻燃橡塑管壳，保温层安装完毕后，采用双导铝箔胶带缠绕保护。</w:t>
            </w:r>
            <w:r/>
          </w:p>
        </w:tc>
      </w:tr>
    </w:tbl>
    <w:p>
      <w:pPr>
        <w:ind w:right="0" w:firstLine="422"/>
        <w:jc w:val="left"/>
        <w:keepLines w:val="0"/>
        <w:keepNext w:val="0"/>
        <w:pageBreakBefore w:val="0"/>
        <w:spacing w:line="490" w:lineRule="exact"/>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bCs/>
          <w:i w:val="0"/>
          <w:iCs w:val="0"/>
          <w:color w:val="auto"/>
          <w:sz w:val="21"/>
          <w:szCs w:val="21"/>
          <w:highlight w:val="none"/>
          <w:u w:val="none"/>
          <w:lang w:val="en-US" w:eastAsia="zh-CN" w:bidi="ar"/>
        </w:rPr>
        <w:t xml:space="preserve">3、实验室废水处理装置采购</w:t>
      </w:r>
      <w:r/>
    </w:p>
    <w:tbl>
      <w:tblPr>
        <w:tblStyle w:val="691"/>
        <w:tblW w:w="895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26"/>
        <w:gridCol w:w="1663"/>
        <w:gridCol w:w="3450"/>
        <w:gridCol w:w="740"/>
        <w:gridCol w:w="1088"/>
        <w:gridCol w:w="1088"/>
      </w:tblGrid>
      <w:tr>
        <w:trPr>
          <w:trHeight w:val="550"/>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ffffff" w:fill="ffffff"/>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规格参数及要求</w:t>
            </w:r>
            <w:r/>
          </w:p>
        </w:tc>
        <w:tc>
          <w:tcPr>
            <w:shd w:val="clear" w:color="ffffff" w:fill="ffffff"/>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ffffff"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shd w:val="clear" w:color="ffffff"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所属行业</w:t>
            </w:r>
            <w:r/>
          </w:p>
        </w:tc>
      </w:tr>
      <w:tr>
        <w:trPr>
          <w:trHeight w:val="1780"/>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1、安装部位:室内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2、介质:排水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3、材质、规格:PE管，DN50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4、连接形式:热熔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5、压力试验及吹、洗设计要求:按图纸要求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6、含管件</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1260"/>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闸阀</w:t>
            </w:r>
            <w:r/>
          </w:p>
        </w:tc>
        <w:tc>
          <w:tcPr>
            <w:shd w:val="clear" w:color="auto" w:fill="auto"/>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螺纹阀门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1、类型:闸阀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2、材质:铸铁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3、规格、压力等级:DN50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4、连接形式:螺纹连接</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1800"/>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玻璃钢成套处理设备</w:t>
            </w:r>
            <w:r/>
          </w:p>
        </w:tc>
        <w:tc>
          <w:tcPr>
            <w:shd w:val="clear" w:color="auto" w:fill="auto"/>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玻璃钢成套处理设备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1、型号、规格:5.0*2.0*2.0m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2、含曝气系统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3、含立体弹性填料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4、含配套管道、阀门、仪表、电气配管、电线电缆、检查接线等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5、具体详见图纸，满足甲方使用要求</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1380"/>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潜污泵</w:t>
            </w:r>
            <w:r/>
          </w:p>
        </w:tc>
        <w:tc>
          <w:tcPr>
            <w:shd w:val="clear" w:color="auto" w:fill="auto"/>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离心式泵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1、名称:潜污泵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2、型号:25WQ7-8-0.55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3、含配套管道、阀门、电气配管、阻燃防水线缆、液位计、减震措施等</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1380"/>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回流泵</w:t>
            </w:r>
            <w:r/>
          </w:p>
        </w:tc>
        <w:tc>
          <w:tcPr>
            <w:shd w:val="clear" w:color="auto" w:fill="auto"/>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离心式泵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1、名称:回流泵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2、型号:25WQ7-8-0.55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3、含配套管道、阀门、电气配管、阻燃防水线缆、液位计、减震措施等</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1320"/>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鼓风机</w:t>
            </w:r>
            <w:r/>
          </w:p>
        </w:tc>
        <w:tc>
          <w:tcPr>
            <w:shd w:val="clear" w:color="auto" w:fill="auto"/>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回转式鼓风机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1、名称:鼓风机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2、型号:HC-251S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3、含电气配管、电线电缆、检查接线等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4、具体详见图纸，满足甲方使用要求</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193"/>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自动控制柜</w:t>
            </w:r>
            <w:r/>
          </w:p>
        </w:tc>
        <w:tc>
          <w:tcPr>
            <w:shd w:val="clear" w:color="auto" w:fill="auto"/>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配电箱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1、名称:自动控制柜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2、规格:LT-DK-PCL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3、端子板外部接线材质、规格:按图纸要求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4、安装方式:明装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5、含箱体及箱内所有电器元器件、浪涌及接地装置等，具体要求见图纸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6、具体详见图纸，满足甲方使用要求</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1620"/>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酸碱中和加药装置</w:t>
            </w:r>
            <w:r/>
          </w:p>
        </w:tc>
        <w:tc>
          <w:tcPr>
            <w:shd w:val="clear" w:color="auto" w:fill="auto"/>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离心式泵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1、名称:酸碱中和加药装置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2、规格:PE-500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3、含配套管道、阀门、仪表、电气配管、电线电缆、检查接线等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4、具体详见图纸，满足甲方使用要求</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1160"/>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挖基坑土方</w:t>
            </w:r>
            <w:r/>
          </w:p>
        </w:tc>
        <w:tc>
          <w:tcPr>
            <w:shd w:val="clear" w:color="auto" w:fill="auto"/>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挖基坑土方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1、土壤类别:投标单位勘察现场综合考虑报价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2、挖土深度:3.4m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3、弃土运距:投标单位勘察现场综合考虑报价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246.77</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p>
        </w:tc>
      </w:tr>
      <w:tr>
        <w:trPr>
          <w:trHeight w:val="1240"/>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回填方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1、密实度要求:具体详见图纸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2、填方材料品种:素土回填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3、填方来源、运距:投标单位勘察现场综合考虑报价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224.79</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p>
        </w:tc>
      </w:tr>
      <w:tr>
        <w:trPr>
          <w:trHeight w:val="960"/>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余方弃置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1、废弃料品种:基础土方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2、运距:投标单位勘察现场综合考虑报价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21.98</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p>
        </w:tc>
      </w:tr>
      <w:tr>
        <w:trPr>
          <w:trHeight w:val="780"/>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满堂基础</w:t>
            </w:r>
            <w:r/>
          </w:p>
        </w:tc>
        <w:tc>
          <w:tcPr>
            <w:shd w:val="clear" w:color="auto" w:fill="auto"/>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满堂基础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1、混凝土种类:预拌砼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2、混凝土强度等级:C35</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p>
        </w:tc>
      </w:tr>
      <w:tr>
        <w:trPr>
          <w:trHeight w:val="780"/>
        </w:trPr>
        <w:tc>
          <w:tcPr>
            <w:shd w:val="clear" w:color="ffffff" w:fill="ffffff"/>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现浇构件钢筋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1、钢筋种类、规格:三级钢，12以外</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0.618</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p>
        </w:tc>
      </w:tr>
      <w:tr>
        <w:trPr>
          <w:trHeight w:val="360"/>
        </w:trPr>
        <w:tc>
          <w:tcPr>
            <w:gridSpan w:val="6"/>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备注：一体化设备基础暂按C35砼筏板基础考虑，厚度为500mm，筏板钢筋为14@150双层双向。</w:t>
            </w:r>
            <w:r/>
          </w:p>
        </w:tc>
      </w:tr>
    </w:tbl>
    <w:p>
      <w:pPr>
        <w:ind w:right="0" w:firstLine="422"/>
        <w:jc w:val="left"/>
        <w:keepLines w:val="0"/>
        <w:keepNext w:val="0"/>
        <w:pageBreakBefore w:val="0"/>
        <w:spacing w:line="490" w:lineRule="exact"/>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bCs/>
          <w:i w:val="0"/>
          <w:iCs w:val="0"/>
          <w:color w:val="auto"/>
          <w:sz w:val="21"/>
          <w:szCs w:val="21"/>
          <w:highlight w:val="none"/>
          <w:u w:val="none"/>
          <w:lang w:val="en-US" w:eastAsia="zh-CN" w:bidi="ar"/>
        </w:rPr>
        <w:t xml:space="preserve">4、雨水收集池采购-安装</w:t>
      </w:r>
      <w:r/>
    </w:p>
    <w:tbl>
      <w:tblPr>
        <w:tblStyle w:val="691"/>
        <w:tblW w:w="896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39"/>
        <w:gridCol w:w="1659"/>
        <w:gridCol w:w="3441"/>
        <w:gridCol w:w="768"/>
        <w:gridCol w:w="1079"/>
        <w:gridCol w:w="1079"/>
      </w:tblGrid>
      <w:tr>
        <w:trPr>
          <w:trHeight w:val="550"/>
        </w:trPr>
        <w:tc>
          <w:tcPr>
            <w:shd w:val="clear" w:color="ffffff" w:fill="ffffff"/>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W w:w="165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ffffff" w:fill="ffffff"/>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规格参数及要求</w:t>
            </w:r>
            <w:r/>
          </w:p>
        </w:tc>
        <w:tc>
          <w:tcPr>
            <w:shd w:val="clear" w:color="ffffff"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ffffff"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shd w:val="clear" w:color="ffffff" w:fill="ffffff"/>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所属行业</w:t>
            </w:r>
            <w:r/>
          </w:p>
        </w:tc>
      </w:tr>
      <w:tr>
        <w:trPr>
          <w:trHeight w:val="285"/>
        </w:trPr>
        <w:tc>
          <w:tcPr>
            <w:gridSpan w:val="6"/>
            <w:shd w:val="clear" w:color="ffffff" w:fill="ffffff"/>
            <w:tcBorders>
              <w:top w:val="single" w:color="000000" w:sz="4" w:space="0"/>
              <w:left w:val="single" w:color="000000" w:sz="4" w:space="0"/>
              <w:bottom w:val="single" w:color="000000" w:sz="4" w:space="0"/>
              <w:right w:val="single" w:color="000000" w:sz="4" w:space="0"/>
            </w:tcBorders>
            <w:tcW w:w="8965"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给排水</w:t>
            </w:r>
            <w:r/>
          </w:p>
        </w:tc>
      </w:tr>
      <w:tr>
        <w:trPr>
          <w:trHeight w:val="1603"/>
        </w:trPr>
        <w:tc>
          <w:tcPr>
            <w:shd w:val="clear" w:color="ffffff" w:fill="ffffff"/>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截污挂篮沉淀装置</w: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1、名称:截污挂篮沉淀装置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2、规格:规格尺寸：φ630*300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3、材质:PE+304不锈钢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4、含主体井座，加高井筒及检查井盖、垫层、模板、土方等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5、满足图纸及验收要求</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1762"/>
        </w:trPr>
        <w:tc>
          <w:tcPr>
            <w:shd w:val="clear" w:color="ffffff" w:fill="ffffff"/>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弃流过滤装置</w: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1、名称:弃流过滤装置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2、规格:规格尺寸：φ630*300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3、材质:PE+304不锈钢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4、内置水流堰挡板、控制阀、控制球，不锈钢滤网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5、含主体井座，加高井筒及检查井盖、垫层、模板、土方等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6、满足图纸及验收要求</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1190"/>
        </w:trPr>
        <w:tc>
          <w:tcPr>
            <w:shd w:val="clear" w:color="ffffff" w:fill="ffffff"/>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离心式泵</w: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1、名称:蓄水池排污泵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2、型号:50WQ15-25-4.0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3、规格:Q=15m3/h，H=25m，N=4.0kW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4、减振装置形式、数量:按图纸要求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5、满足图纸及验收要求</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1349"/>
        </w:trPr>
        <w:tc>
          <w:tcPr>
            <w:shd w:val="clear" w:color="ffffff" w:fill="ffffff"/>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离心式泵</w: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1、名称:雨水回用泵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2、型号:100WQ25-100-11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3、规格:Q=25m3/h，H=100m，N=11kW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4、减振装置形式、数量:按图纸要求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5、一用一备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6、满足图纸及验收要求</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1471"/>
        </w:trPr>
        <w:tc>
          <w:tcPr>
            <w:shd w:val="clear" w:color="ffffff" w:fill="ffffff"/>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离心式泵</w: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1、名称:雨水提升泵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2、型号:50WQ15-25-4.0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3、规格:Q=15m3/h，H=25m，N=4.0kW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4、减振装置形式、数量:按图纸要求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5、一用一备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6、满足图纸及验收要求</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1667"/>
        </w:trPr>
        <w:tc>
          <w:tcPr>
            <w:shd w:val="clear" w:color="ffffff" w:fill="ffffff"/>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雨水地埋一体机</w: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1、名称:雨水地埋一体机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2、型号:JZDM-20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3、规格:1050mm*850mm*800m(h)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4、含高速过滤装置、消毒装置、压力感应装置、泄压回水系统、补水系统、反冲洗系统，处理量20m3/h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5、满足图纸及验收要求</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1225"/>
        </w:trPr>
        <w:tc>
          <w:tcPr>
            <w:shd w:val="clear" w:color="ffffff" w:fill="ffffff"/>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PP模块</w: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1、材料：PP聚丙烯（蓝色模块）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2、尺寸：1000*1000*250mm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3、蓝色模块，承压≥60T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4、具体做法详见施工图</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1350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1012"/>
        </w:trPr>
        <w:tc>
          <w:tcPr>
            <w:shd w:val="clear" w:color="ffffff" w:fill="ffffff"/>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1、类型:电磁阀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2、材质:球墨铸铁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3、规格、压力等级:DN50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4、连接形式:螺纹连接</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909"/>
        </w:trPr>
        <w:tc>
          <w:tcPr>
            <w:shd w:val="clear" w:color="ffffff" w:fill="ffffff"/>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水表</w: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1、安装部位（室内外）:室外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2、型号、规格:DN50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3、连接形式:螺纹连接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4、附件配置:含同规格阀门1个</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852"/>
        </w:trPr>
        <w:tc>
          <w:tcPr>
            <w:shd w:val="clear" w:color="ffffff" w:fill="ffffff"/>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水表</w: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1、安装部位（室内外）:室外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2、型号、规格:DN100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3、连接形式:法兰连接</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1105"/>
        </w:trPr>
        <w:tc>
          <w:tcPr>
            <w:shd w:val="clear" w:color="ffffff" w:fill="ffffff"/>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1、类型:止回阀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2、材质:304不锈钢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3、规格、压力等级:DN50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4、连接形式:螺纹连接</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984"/>
        </w:trPr>
        <w:tc>
          <w:tcPr>
            <w:shd w:val="clear" w:color="ffffff" w:fill="ffffff"/>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1、类型:球阀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2、材质:304不锈钢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3、规格、压力等级:DN50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4、连接形式:螺纹连接</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289"/>
        </w:trPr>
        <w:tc>
          <w:tcPr>
            <w:shd w:val="clear" w:color="ffffff" w:fill="ffffff"/>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1、类型:球阀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2、材质:球墨铸铁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3、规格、压力等级:DN50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4、连接形式:螺纹连接</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965"/>
        </w:trPr>
        <w:tc>
          <w:tcPr>
            <w:shd w:val="clear" w:color="ffffff" w:fill="ffffff"/>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焊接法兰阀门</w: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1、类型:球阀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2、材质:304不锈钢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3、规格、压力等级:DN100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4、连接形式:法兰连接</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572"/>
        </w:trPr>
        <w:tc>
          <w:tcPr>
            <w:shd w:val="clear" w:color="ffffff" w:fill="ffffff"/>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焊接法兰阀门</w: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1、类型:止回阀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2、材质:304不锈钢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3、规格、压力等级:DN100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4、连接形式:法兰连接</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992"/>
        </w:trPr>
        <w:tc>
          <w:tcPr>
            <w:shd w:val="clear" w:color="ffffff" w:fill="ffffff"/>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焊接法兰阀门</w: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1、类型:球阀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2、材质:球墨铸铁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3、规格、压力等级:DN100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4、连接形式:法兰连接</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711"/>
        </w:trPr>
        <w:tc>
          <w:tcPr>
            <w:shd w:val="clear" w:color="ffffff" w:fill="ffffff"/>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w: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1、名称:组合式液位计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2、规格尺寸满足验收要求</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806"/>
        </w:trPr>
        <w:tc>
          <w:tcPr>
            <w:shd w:val="clear" w:color="ffffff" w:fill="ffffff"/>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给、排水附（配）件</w: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1、名称:地漏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2、材质:不锈钢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3、型号、规格:DN50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1405"/>
        </w:trPr>
        <w:tc>
          <w:tcPr>
            <w:shd w:val="clear" w:color="ffffff" w:fill="ffffff"/>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1、安装部位:室外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2、介质:给水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3、材质、规格:PPR管，DN50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4、连接形式:热熔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5、压力试验及吹、洗设计要求:按图纸要求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6、含管件</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7.66</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1358"/>
        </w:trPr>
        <w:tc>
          <w:tcPr>
            <w:shd w:val="clear" w:color="ffffff" w:fill="ffffff"/>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1、安装部位:室外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2、介质:排水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3、材质、规格:PVC管，DN50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4、连接形式:热熔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5、压力试验及吹、洗设计要求:按图纸要求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6、含管件</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387.97</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1040"/>
        </w:trPr>
        <w:tc>
          <w:tcPr>
            <w:shd w:val="clear" w:color="ffffff" w:fill="ffffff"/>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1、安装部位:室外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2、介质:排水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3、材质、规格:PVC管，DN100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4、连接形式:热熔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5、压力试验及吹、洗设计要求:按图纸要求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6、含管件</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31.18</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285"/>
        </w:trPr>
        <w:tc>
          <w:tcPr>
            <w:gridSpan w:val="6"/>
            <w:shd w:val="clear" w:color="auto" w:fill="auto"/>
            <w:tcBorders>
              <w:top w:val="single" w:color="000000" w:sz="4" w:space="0"/>
              <w:left w:val="single" w:color="000000" w:sz="4" w:space="0"/>
              <w:bottom w:val="single" w:color="000000" w:sz="4" w:space="0"/>
              <w:right w:val="single" w:color="000000" w:sz="4" w:space="0"/>
            </w:tcBorders>
            <w:tcW w:w="8965"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电气</w:t>
            </w:r>
            <w:r/>
          </w:p>
        </w:tc>
      </w:tr>
      <w:tr>
        <w:trPr>
          <w:trHeight w:val="2128"/>
        </w:trPr>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1、名称:多功能变频控制柜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2、型号:JZ-200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3、基础形式、材质、规格:基础土建单列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4、端子板外部接线材质、规格:按图纸要求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5、安装方式:落地式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6、含接地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7、具体详见图纸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8、满足图纸及验收要求</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898"/>
        </w:trPr>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1、名称:电气配管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2、材质:PVC管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3、规格:DN32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4、配置形式:按图纸要求</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458</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1059"/>
        </w:trPr>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1、名称:电气配管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2、材质:镀锌钢管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3、规格:DN32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4、配置形式:按图纸要求</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1021"/>
        </w:trPr>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1、名称:电力电缆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2、规格:YJV-5*10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3、材质:铜芯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4、敷设方式、部位:管道敷设</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993"/>
        </w:trPr>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6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1、名称:电气配线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2、规格:RVV-2*1.0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3、材质:铜芯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4、配线部位:管内穿线</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852"/>
        </w:trPr>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6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1、名称:电气配线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2、规格:RVV-4*6</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3、材质:铜芯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4、配线部位:管内穿线</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r>
        <w:trPr>
          <w:trHeight w:val="1012"/>
        </w:trPr>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5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34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1、名称:电气配线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2、规格:RVV-3*4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3、材质:铜芯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4、配线部位:管内穿线</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strike w:val="0"/>
                <w:color w:val="auto"/>
                <w:sz w:val="24"/>
                <w:szCs w:val="24"/>
                <w:highlight w:val="none"/>
                <w:lang w:val="en-US" w:eastAsia="zh-CN"/>
              </w:rPr>
              <w:t xml:space="preserve">工业</w:t>
            </w:r>
            <w:r/>
          </w:p>
        </w:tc>
      </w:tr>
    </w:tbl>
    <w:p>
      <w:pPr>
        <w:ind w:right="0" w:firstLine="482"/>
        <w:jc w:val="left"/>
        <w:keepLines w:val="0"/>
        <w:keepNext w:val="0"/>
        <w:pageBreakBefore w:val="0"/>
        <w:spacing w:line="490" w:lineRule="exact"/>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注：货物需求清单中1-4表中所属行业为“/”的产品，中小企业声明函中无须列明。</w:t>
      </w:r>
      <w:r/>
    </w:p>
    <w:p>
      <w:pPr>
        <w:ind w:right="0" w:firstLine="482"/>
        <w:jc w:val="left"/>
        <w:keepLines w:val="0"/>
        <w:keepNext w:val="0"/>
        <w:pageBreakBefore w:val="0"/>
        <w:spacing w:line="490" w:lineRule="exact"/>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根据财政部令87号第31条：供应商提供相同品牌产品且通过资格审查、符合性审查的不同的投标人参加同一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ind w:left="0" w:right="0" w:firstLine="562"/>
        <w:jc w:val="left"/>
        <w:keepLines w:val="0"/>
        <w:keepNext w:val="0"/>
        <w:pageBreakBefore w:val="0"/>
        <w:spacing w:line="490" w:lineRule="exact"/>
        <w:widowControl w:val="off"/>
        <w:rPr>
          <w:rFonts w:hint="default" w:ascii="宋体" w:hAnsi="宋体" w:eastAsia="宋体" w:cs="宋体"/>
          <w:b/>
          <w:color w:val="auto"/>
          <w:sz w:val="24"/>
          <w:szCs w:val="24"/>
          <w:highlight w:val="none"/>
          <w:u w:val="single"/>
          <w:lang w:val="en-US" w:eastAsia="zh-CN"/>
        </w:rPr>
      </w:pPr>
      <w:r>
        <w:rPr>
          <w:rFonts w:hint="eastAsia" w:ascii="宋体" w:hAnsi="宋体" w:eastAsia="宋体" w:cs="宋体"/>
          <w:b/>
          <w:color w:val="auto"/>
          <w:sz w:val="24"/>
          <w:szCs w:val="24"/>
          <w:highlight w:val="none"/>
        </w:rPr>
        <w:t xml:space="preserve">核心产品：</w:t>
      </w:r>
      <w:r>
        <w:rPr>
          <w:rFonts w:hint="eastAsia" w:ascii="宋体" w:hAnsi="宋体" w:eastAsia="宋体" w:cs="宋体"/>
          <w:b/>
          <w:color w:val="auto"/>
          <w:sz w:val="24"/>
          <w:szCs w:val="24"/>
          <w:highlight w:val="none"/>
          <w:u w:val="single"/>
          <w:lang w:val="en-US" w:eastAsia="zh-CN"/>
        </w:rPr>
        <w:t xml:space="preserve"> PP模块 </w:t>
      </w:r>
      <w:r/>
    </w:p>
    <w:p>
      <w:pPr>
        <w:numPr>
          <w:ilvl w:val="0"/>
          <w:numId w:val="0"/>
        </w:numPr>
        <w:ind w:right="0"/>
        <w:jc w:val="left"/>
        <w:keepLines w:val="0"/>
        <w:keepNext w:val="0"/>
        <w:pageBreakBefore w:val="0"/>
        <w:spacing w:line="490" w:lineRule="exact"/>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（二）附属工程实施需求清单</w:t>
      </w:r>
      <w:r/>
    </w:p>
    <w:tbl>
      <w:tblPr>
        <w:tblStyle w:val="691"/>
        <w:tblW w:w="904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95"/>
        <w:gridCol w:w="1525"/>
        <w:gridCol w:w="4491"/>
        <w:gridCol w:w="1162"/>
        <w:gridCol w:w="975"/>
      </w:tblGrid>
      <w:tr>
        <w:trPr>
          <w:trHeight w:val="525"/>
        </w:trPr>
        <w:tc>
          <w:tcPr>
            <w:gridSpan w:val="5"/>
            <w:shd w:val="clear" w:color="ffffff" w:fill="ffffff"/>
            <w:tcW w:w="904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雨水收集池-土建需求清单</w:t>
            </w:r>
            <w:r/>
          </w:p>
        </w:tc>
      </w:tr>
      <w:tr>
        <w:trPr>
          <w:trHeight w:val="285"/>
        </w:trPr>
        <w:tc>
          <w:tcPr>
            <w:shd w:val="clear" w:color="ffffff" w:fill="ffffff"/>
            <w:tcW w:w="89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ffffff" w:fill="ffffff"/>
            <w:tcW w:w="152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项目名称</w:t>
            </w:r>
            <w:r/>
          </w:p>
        </w:tc>
        <w:tc>
          <w:tcPr>
            <w:shd w:val="clear" w:color="ffffff" w:fill="ffffff"/>
            <w:tcW w:w="449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项目特征描述</w:t>
            </w:r>
            <w:r/>
          </w:p>
        </w:tc>
        <w:tc>
          <w:tcPr>
            <w:shd w:val="clear" w:color="ffffff" w:fill="ffffff"/>
            <w:tcW w:w="116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计量单位</w:t>
            </w:r>
            <w:r/>
          </w:p>
        </w:tc>
        <w:tc>
          <w:tcPr>
            <w:shd w:val="clear" w:color="ffffff" w:fill="ffffff"/>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工程量</w:t>
            </w:r>
            <w:r/>
          </w:p>
        </w:tc>
      </w:tr>
      <w:tr>
        <w:trPr>
          <w:trHeight w:val="285"/>
        </w:trPr>
        <w:tc>
          <w:tcPr>
            <w:gridSpan w:val="5"/>
            <w:shd w:val="clear" w:color="ffffff" w:fill="ffffff"/>
            <w:tcW w:w="90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雨水收集池</w:t>
            </w:r>
            <w:r/>
          </w:p>
        </w:tc>
      </w:tr>
      <w:tr>
        <w:trPr>
          <w:trHeight w:val="1246"/>
        </w:trPr>
        <w:tc>
          <w:tcPr>
            <w:shd w:val="clear" w:color="ffffff"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5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挖基坑土方</w:t>
            </w:r>
            <w:r/>
          </w:p>
        </w:tc>
        <w:tc>
          <w:tcPr>
            <w:shd w:val="clear" w:color="auto" w:fill="auto"/>
            <w:tcW w:w="44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1、土壤类别:投标单位根据现场实际情况自行考虑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2、挖土深度:详见图纸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3、弃土运距:临时堆土场地及运距投标人自行考虑</w:t>
            </w:r>
            <w:r/>
          </w:p>
        </w:tc>
        <w:tc>
          <w:tcPr>
            <w:shd w:val="clear" w:color="auto" w:fill="auto"/>
            <w:tcW w:w="11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m³</w:t>
            </w:r>
            <w:r/>
          </w:p>
        </w:tc>
        <w:tc>
          <w:tcPr>
            <w:shd w:val="clear" w:color="auto" w:fill="auto"/>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3601.8</w:t>
            </w:r>
            <w:r/>
          </w:p>
        </w:tc>
      </w:tr>
      <w:tr>
        <w:trPr>
          <w:trHeight w:val="1452"/>
        </w:trPr>
        <w:tc>
          <w:tcPr>
            <w:shd w:val="clear" w:color="ffffff"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W w:w="15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挖沟槽土方</w:t>
            </w:r>
            <w:r/>
          </w:p>
        </w:tc>
        <w:tc>
          <w:tcPr>
            <w:shd w:val="clear" w:color="auto" w:fill="auto"/>
            <w:tcW w:w="44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1、土壤类别:投标单位根据现场实际情况自行考虑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2、挖土深度:详见图纸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3、弃土运距:临时堆土场地及运距投标人自行考虑</w:t>
            </w:r>
            <w:r/>
          </w:p>
        </w:tc>
        <w:tc>
          <w:tcPr>
            <w:shd w:val="clear" w:color="auto" w:fill="auto"/>
            <w:tcW w:w="11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m³</w:t>
            </w:r>
            <w:r/>
          </w:p>
        </w:tc>
        <w:tc>
          <w:tcPr>
            <w:shd w:val="clear" w:color="auto" w:fill="auto"/>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35.07</w:t>
            </w:r>
            <w:r/>
          </w:p>
        </w:tc>
      </w:tr>
      <w:tr>
        <w:trPr>
          <w:trHeight w:val="1302"/>
        </w:trPr>
        <w:tc>
          <w:tcPr>
            <w:shd w:val="clear" w:color="ffffff"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W w:w="15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回填方</w:t>
            </w:r>
            <w:r/>
          </w:p>
        </w:tc>
        <w:tc>
          <w:tcPr>
            <w:shd w:val="clear" w:color="auto" w:fill="auto"/>
            <w:tcW w:w="44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1、密实度要求:符合设计要求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2、填方材料品种:原土回填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3、填方来源、运距:投标单位根据现场实际情况自行考虑</w:t>
            </w:r>
            <w:r/>
          </w:p>
        </w:tc>
        <w:tc>
          <w:tcPr>
            <w:shd w:val="clear" w:color="auto" w:fill="auto"/>
            <w:tcW w:w="11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m³</w:t>
            </w:r>
            <w:r/>
          </w:p>
        </w:tc>
        <w:tc>
          <w:tcPr>
            <w:shd w:val="clear" w:color="auto" w:fill="auto"/>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1906.57</w:t>
            </w:r>
            <w:r/>
          </w:p>
        </w:tc>
      </w:tr>
      <w:tr>
        <w:trPr>
          <w:trHeight w:val="768"/>
        </w:trPr>
        <w:tc>
          <w:tcPr>
            <w:shd w:val="clear" w:color="ffffff"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15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余方弃置</w:t>
            </w:r>
            <w:r/>
          </w:p>
        </w:tc>
        <w:tc>
          <w:tcPr>
            <w:shd w:val="clear" w:color="auto" w:fill="auto"/>
            <w:tcW w:w="44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1、废弃料品种:余方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2、运距:运至甲方指定地点，运距投标人自行考虑</w:t>
            </w:r>
            <w:r/>
          </w:p>
        </w:tc>
        <w:tc>
          <w:tcPr>
            <w:shd w:val="clear" w:color="auto" w:fill="auto"/>
            <w:tcW w:w="11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m³</w:t>
            </w:r>
            <w:r/>
          </w:p>
        </w:tc>
        <w:tc>
          <w:tcPr>
            <w:shd w:val="clear" w:color="auto" w:fill="auto"/>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1695.94</w:t>
            </w:r>
            <w:r/>
          </w:p>
        </w:tc>
      </w:tr>
      <w:tr>
        <w:trPr>
          <w:trHeight w:val="359"/>
        </w:trPr>
        <w:tc>
          <w:tcPr>
            <w:shd w:val="clear" w:color="ffffff"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15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素土夯实</w:t>
            </w:r>
            <w:r/>
          </w:p>
        </w:tc>
        <w:tc>
          <w:tcPr>
            <w:shd w:val="clear" w:color="auto" w:fill="auto"/>
            <w:tcW w:w="44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1、素土夯实</w:t>
            </w:r>
            <w:r/>
          </w:p>
        </w:tc>
        <w:tc>
          <w:tcPr>
            <w:shd w:val="clear" w:color="auto" w:fill="auto"/>
            <w:tcW w:w="11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c>
          <w:tcPr>
            <w:shd w:val="clear" w:color="auto" w:fill="auto"/>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638.64</w:t>
            </w:r>
            <w:r/>
          </w:p>
        </w:tc>
      </w:tr>
      <w:tr>
        <w:trPr>
          <w:trHeight w:val="740"/>
        </w:trPr>
        <w:tc>
          <w:tcPr>
            <w:shd w:val="clear" w:color="ffffff"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W w:w="15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垫层</w:t>
            </w:r>
            <w:r/>
          </w:p>
        </w:tc>
        <w:tc>
          <w:tcPr>
            <w:shd w:val="clear" w:color="auto" w:fill="auto"/>
            <w:tcW w:w="44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1、部位:控制柜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2、垫层材料种类、配合比、厚度:200mm碎石垫层</w:t>
            </w:r>
            <w:r/>
          </w:p>
        </w:tc>
        <w:tc>
          <w:tcPr>
            <w:shd w:val="clear" w:color="auto" w:fill="auto"/>
            <w:tcW w:w="11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m³</w:t>
            </w:r>
            <w:r/>
          </w:p>
        </w:tc>
        <w:tc>
          <w:tcPr>
            <w:shd w:val="clear" w:color="auto" w:fill="auto"/>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0.13</w:t>
            </w:r>
            <w:r/>
          </w:p>
        </w:tc>
      </w:tr>
      <w:tr>
        <w:trPr>
          <w:trHeight w:val="872"/>
        </w:trPr>
        <w:tc>
          <w:tcPr>
            <w:shd w:val="clear" w:color="ffffff"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W w:w="15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垫层</w:t>
            </w:r>
            <w:r/>
          </w:p>
        </w:tc>
        <w:tc>
          <w:tcPr>
            <w:shd w:val="clear" w:color="auto" w:fill="auto"/>
            <w:tcW w:w="44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1、混凝土种类:预拌砼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2、混凝土强度等级:C30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3、含模板、养生</w:t>
            </w:r>
            <w:r/>
          </w:p>
        </w:tc>
        <w:tc>
          <w:tcPr>
            <w:shd w:val="clear" w:color="auto" w:fill="auto"/>
            <w:tcW w:w="11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m³</w:t>
            </w:r>
            <w:r/>
          </w:p>
        </w:tc>
        <w:tc>
          <w:tcPr>
            <w:shd w:val="clear" w:color="auto" w:fill="auto"/>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63.93</w:t>
            </w:r>
            <w:r/>
          </w:p>
        </w:tc>
      </w:tr>
      <w:tr>
        <w:trPr>
          <w:trHeight w:val="1114"/>
        </w:trPr>
        <w:tc>
          <w:tcPr>
            <w:shd w:val="clear" w:color="ffffff"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W w:w="15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独立基础</w:t>
            </w:r>
            <w:r/>
          </w:p>
        </w:tc>
        <w:tc>
          <w:tcPr>
            <w:shd w:val="clear" w:color="auto" w:fill="auto"/>
            <w:tcW w:w="44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1、部位:控制柜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2、混凝土种类:预拌砼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3、混凝土强度等级:C30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4、含模板、养生</w:t>
            </w:r>
            <w:r/>
          </w:p>
        </w:tc>
        <w:tc>
          <w:tcPr>
            <w:shd w:val="clear" w:color="auto" w:fill="auto"/>
            <w:tcW w:w="11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m³</w:t>
            </w:r>
            <w:r/>
          </w:p>
        </w:tc>
        <w:tc>
          <w:tcPr>
            <w:shd w:val="clear" w:color="auto" w:fill="auto"/>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0.15</w:t>
            </w:r>
            <w:r/>
          </w:p>
        </w:tc>
      </w:tr>
      <w:tr>
        <w:trPr>
          <w:trHeight w:val="872"/>
        </w:trPr>
        <w:tc>
          <w:tcPr>
            <w:shd w:val="clear" w:color="ffffff"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W w:w="15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满堂基础</w:t>
            </w:r>
            <w:r/>
          </w:p>
        </w:tc>
        <w:tc>
          <w:tcPr>
            <w:shd w:val="clear" w:color="auto" w:fill="auto"/>
            <w:tcW w:w="44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1、混凝土种类:预拌砼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2、混凝土强度等级:C30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3、含模板、养生</w:t>
            </w:r>
            <w:r/>
          </w:p>
        </w:tc>
        <w:tc>
          <w:tcPr>
            <w:shd w:val="clear" w:color="auto" w:fill="auto"/>
            <w:tcW w:w="11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m³</w:t>
            </w:r>
            <w:r/>
          </w:p>
        </w:tc>
        <w:tc>
          <w:tcPr>
            <w:shd w:val="clear" w:color="auto" w:fill="auto"/>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121.55</w:t>
            </w:r>
            <w:r/>
          </w:p>
        </w:tc>
      </w:tr>
      <w:tr>
        <w:trPr>
          <w:trHeight w:val="806"/>
        </w:trPr>
        <w:tc>
          <w:tcPr>
            <w:shd w:val="clear" w:color="ffffff"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15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平板</w:t>
            </w:r>
            <w:r/>
          </w:p>
        </w:tc>
        <w:tc>
          <w:tcPr>
            <w:shd w:val="clear" w:color="auto" w:fill="auto"/>
            <w:tcW w:w="44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1、混凝土种类:预拌砼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2、混凝土强度等级:C30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3、含模板、养生</w:t>
            </w:r>
            <w:r/>
          </w:p>
        </w:tc>
        <w:tc>
          <w:tcPr>
            <w:shd w:val="clear" w:color="auto" w:fill="auto"/>
            <w:tcW w:w="11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m³</w:t>
            </w:r>
            <w:r/>
          </w:p>
        </w:tc>
        <w:tc>
          <w:tcPr>
            <w:shd w:val="clear" w:color="auto" w:fill="auto"/>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118.98</w:t>
            </w:r>
            <w:r/>
          </w:p>
        </w:tc>
      </w:tr>
      <w:tr>
        <w:trPr>
          <w:trHeight w:val="374"/>
        </w:trPr>
        <w:tc>
          <w:tcPr>
            <w:shd w:val="clear" w:color="ffffff"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W w:w="15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现浇构件钢筋</w:t>
            </w:r>
            <w:r/>
          </w:p>
        </w:tc>
        <w:tc>
          <w:tcPr>
            <w:shd w:val="clear" w:color="auto" w:fill="auto"/>
            <w:tcW w:w="44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1、钢筋种类、规格:三级钢 φ12以内</w:t>
            </w:r>
            <w:r/>
          </w:p>
        </w:tc>
        <w:tc>
          <w:tcPr>
            <w:shd w:val="clear" w:color="auto" w:fill="auto"/>
            <w:tcW w:w="11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w:t>
            </w:r>
            <w:r/>
          </w:p>
        </w:tc>
        <w:tc>
          <w:tcPr>
            <w:shd w:val="clear" w:color="auto" w:fill="auto"/>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30.38</w:t>
            </w:r>
            <w:r/>
          </w:p>
        </w:tc>
      </w:tr>
      <w:tr>
        <w:trPr>
          <w:trHeight w:val="900"/>
        </w:trPr>
        <w:tc>
          <w:tcPr>
            <w:shd w:val="clear" w:color="ffffff" w:fill="ffffff"/>
            <w:tcW w:w="89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W w:w="15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铺设挤塑聚苯板</w:t>
            </w:r>
            <w:r/>
          </w:p>
        </w:tc>
        <w:tc>
          <w:tcPr>
            <w:shd w:val="clear" w:color="auto" w:fill="auto"/>
            <w:tcW w:w="44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1、聚苯乙烯保护板1800×600×50mm</w:t>
            </w:r>
            <w:r/>
          </w:p>
        </w:tc>
        <w:tc>
          <w:tcPr>
            <w:shd w:val="clear" w:color="auto" w:fill="auto"/>
            <w:tcW w:w="11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c>
          <w:tcPr>
            <w:shd w:val="clear" w:color="auto" w:fill="auto"/>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779.7</w:t>
            </w:r>
            <w:r/>
          </w:p>
        </w:tc>
      </w:tr>
      <w:tr>
        <w:trPr>
          <w:trHeight w:val="928"/>
        </w:trPr>
        <w:tc>
          <w:tcPr>
            <w:shd w:val="clear" w:color="ffffff"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W w:w="15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防渗铺设</w:t>
            </w:r>
            <w:r/>
          </w:p>
        </w:tc>
        <w:tc>
          <w:tcPr>
            <w:shd w:val="clear" w:color="auto" w:fill="auto"/>
            <w:tcW w:w="44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1、铺设方式:防渗复合膜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2、规格尺寸：1300g/m2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3、具体详见图纸</w:t>
            </w:r>
            <w:r/>
          </w:p>
        </w:tc>
        <w:tc>
          <w:tcPr>
            <w:shd w:val="clear" w:color="auto" w:fill="auto"/>
            <w:tcW w:w="11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c>
          <w:tcPr>
            <w:shd w:val="clear" w:color="auto" w:fill="auto"/>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1789</w:t>
            </w:r>
            <w:r/>
          </w:p>
        </w:tc>
      </w:tr>
      <w:tr>
        <w:trPr>
          <w:trHeight w:val="974"/>
        </w:trPr>
        <w:tc>
          <w:tcPr>
            <w:shd w:val="clear" w:color="ffffff"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W w:w="15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实心砖墙</w:t>
            </w:r>
            <w:r/>
          </w:p>
        </w:tc>
        <w:tc>
          <w:tcPr>
            <w:shd w:val="clear" w:color="auto" w:fill="auto"/>
            <w:tcW w:w="44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1、砖品种、规格、强度等级:MU10混凝土实心砖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2、砂浆强度等级、配合比:M7.5水泥砂浆</w:t>
            </w:r>
            <w:r/>
          </w:p>
        </w:tc>
        <w:tc>
          <w:tcPr>
            <w:shd w:val="clear" w:color="auto" w:fill="auto"/>
            <w:tcW w:w="11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m³</w:t>
            </w:r>
            <w:r/>
          </w:p>
        </w:tc>
        <w:tc>
          <w:tcPr>
            <w:shd w:val="clear" w:color="auto" w:fill="auto"/>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89.04</w:t>
            </w:r>
            <w:r/>
          </w:p>
        </w:tc>
      </w:tr>
      <w:tr>
        <w:trPr>
          <w:trHeight w:val="675"/>
        </w:trPr>
        <w:tc>
          <w:tcPr>
            <w:shd w:val="clear" w:color="ffffff"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15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回填砂</w:t>
            </w:r>
            <w:r/>
          </w:p>
        </w:tc>
        <w:tc>
          <w:tcPr>
            <w:shd w:val="clear" w:color="auto" w:fill="auto"/>
            <w:tcW w:w="44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1、回填砂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2、范围：PP模块池四周</w:t>
            </w:r>
            <w:r/>
          </w:p>
        </w:tc>
        <w:tc>
          <w:tcPr>
            <w:shd w:val="clear" w:color="auto" w:fill="auto"/>
            <w:tcW w:w="11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m³</w:t>
            </w:r>
            <w:r/>
          </w:p>
        </w:tc>
        <w:tc>
          <w:tcPr>
            <w:shd w:val="clear" w:color="auto" w:fill="auto"/>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48.35</w:t>
            </w:r>
            <w:r/>
          </w:p>
        </w:tc>
      </w:tr>
      <w:tr>
        <w:trPr>
          <w:trHeight w:val="2221"/>
        </w:trPr>
        <w:tc>
          <w:tcPr>
            <w:shd w:val="clear" w:color="ffffff"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W w:w="15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塑料检查井（检修口）</w:t>
            </w:r>
            <w:r/>
          </w:p>
        </w:tc>
        <w:tc>
          <w:tcPr>
            <w:shd w:val="clear" w:color="auto" w:fill="auto"/>
            <w:tcW w:w="44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1、检查井材质、规格:DN630mm塑料成品检查井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2、∅700mm铸铁圆形检查井盖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3、井座加固:100mm厚中砂保护、200mmC30混凝土承压圈、内配钢筋等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4、PE膜与井筒焊接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5、含防坠网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6、具体做法详见图纸</w:t>
            </w:r>
            <w:r/>
          </w:p>
        </w:tc>
        <w:tc>
          <w:tcPr>
            <w:shd w:val="clear" w:color="auto" w:fill="auto"/>
            <w:tcW w:w="11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座</w:t>
            </w:r>
            <w:r/>
          </w:p>
        </w:tc>
        <w:tc>
          <w:tcPr>
            <w:shd w:val="clear" w:color="auto" w:fill="auto"/>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965"/>
        </w:trPr>
        <w:tc>
          <w:tcPr>
            <w:shd w:val="clear" w:color="ffffff"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W w:w="15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不锈钢成品出水井</w:t>
            </w:r>
            <w:r/>
          </w:p>
        </w:tc>
        <w:tc>
          <w:tcPr>
            <w:shd w:val="clear" w:color="auto" w:fill="auto"/>
            <w:tcW w:w="44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1、1000*1000*2500mm不锈钢成品出水井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2、不锈钢格栅截面尺寸为30*30*0.9mm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3、具体做法详见图纸</w:t>
            </w:r>
            <w:r/>
          </w:p>
        </w:tc>
        <w:tc>
          <w:tcPr>
            <w:shd w:val="clear" w:color="auto" w:fill="auto"/>
            <w:tcW w:w="11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座</w:t>
            </w:r>
            <w:r/>
          </w:p>
        </w:tc>
        <w:tc>
          <w:tcPr>
            <w:shd w:val="clear" w:color="auto" w:fill="auto"/>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2567"/>
        </w:trPr>
        <w:tc>
          <w:tcPr>
            <w:shd w:val="clear" w:color="ffffff"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W w:w="15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砌筑井（阀门井）</w:t>
            </w:r>
            <w:r/>
          </w:p>
        </w:tc>
        <w:tc>
          <w:tcPr>
            <w:shd w:val="clear" w:color="auto" w:fill="auto"/>
            <w:tcW w:w="44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1、内径1500*800mm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2、垫层材质及厚度:200mm碎石垫层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3、基础材质及厚度:200mmC30混凝土底板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4、砌筑材料品种、规格、强度等级:M7.5水泥砂浆砌筑MU10砖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5、勾缝、抹面要求:井内外1：3水泥砂浆抹面厚20mm，井外1.5mm聚氨酯防水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6、盖板材质、规格:加强型球磨井盖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7、具体做法详见图纸</w:t>
            </w:r>
            <w:r/>
          </w:p>
        </w:tc>
        <w:tc>
          <w:tcPr>
            <w:shd w:val="clear" w:color="auto" w:fill="auto"/>
            <w:tcW w:w="11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座</w:t>
            </w:r>
            <w:r/>
          </w:p>
        </w:tc>
        <w:tc>
          <w:tcPr>
            <w:shd w:val="clear" w:color="auto" w:fill="auto"/>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90"/>
        </w:trPr>
        <w:tc>
          <w:tcPr>
            <w:shd w:val="clear" w:color="ffffff" w:fill="ffffff"/>
            <w:tcW w:w="89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W w:w="15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砌筑井（地埋一体机井）</w:t>
            </w:r>
            <w:r/>
          </w:p>
        </w:tc>
        <w:tc>
          <w:tcPr>
            <w:shd w:val="clear" w:color="auto" w:fill="auto"/>
            <w:tcW w:w="44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1、内径1500*1200mm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2、垫层材质及厚度:200mm碎石垫层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3、基础材质及厚度:200mmC30混凝土底板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4、砌筑材料品种、规格、强度等级:M7.5水泥砂浆砌筑MU10砖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5、勾缝、抹面要求:井内外1：3水泥砂浆抹面厚20mm，井外1.5mm聚氨酯防水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6、盖板材质、规格:轻型球磨盖板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7、具体做法详见图纸</w:t>
            </w:r>
            <w:r/>
          </w:p>
        </w:tc>
        <w:tc>
          <w:tcPr>
            <w:shd w:val="clear" w:color="auto" w:fill="auto"/>
            <w:tcW w:w="11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座</w:t>
            </w:r>
            <w:r/>
          </w:p>
        </w:tc>
        <w:tc>
          <w:tcPr>
            <w:shd w:val="clear" w:color="auto" w:fill="auto"/>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90"/>
        </w:trPr>
        <w:tc>
          <w:tcPr>
            <w:shd w:val="clear" w:color="ffffff"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15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砌筑井(安全分流井）</w:t>
            </w:r>
            <w:r/>
          </w:p>
        </w:tc>
        <w:tc>
          <w:tcPr>
            <w:shd w:val="clear" w:color="auto" w:fill="auto"/>
            <w:tcW w:w="44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1、基础材质及厚度:100mmC30混凝土底板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2、砌筑材料品种、规格、强度等级:M7.5水泥砂浆砌筑MU10砖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3、勾缝、抹面要求:井内外1：3水泥砂浆抹面厚20mm，井外1.5mm聚氨酯防水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4、井盖、井圈材质及规格:∅700mm成品球磨铸铁井盖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5、含防坠网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6、具体做法详见图纸</w:t>
            </w:r>
            <w:r/>
          </w:p>
        </w:tc>
        <w:tc>
          <w:tcPr>
            <w:shd w:val="clear" w:color="auto" w:fill="auto"/>
            <w:tcW w:w="11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座</w:t>
            </w:r>
            <w:r/>
          </w:p>
        </w:tc>
        <w:tc>
          <w:tcPr>
            <w:shd w:val="clear" w:color="auto" w:fill="auto"/>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825"/>
        </w:trPr>
        <w:tc>
          <w:tcPr>
            <w:shd w:val="clear" w:color="ffffff"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W w:w="15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塑料管</w:t>
            </w:r>
            <w:r/>
          </w:p>
        </w:tc>
        <w:tc>
          <w:tcPr>
            <w:shd w:val="clear" w:color="auto" w:fill="auto"/>
            <w:tcW w:w="44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1、材质及规格:采用聚乙烯(HDPE)双壁波纹管  DN300mm</w:t>
            </w:r>
            <w:r/>
          </w:p>
        </w:tc>
        <w:tc>
          <w:tcPr>
            <w:shd w:val="clear" w:color="auto" w:fill="auto"/>
            <w:tcW w:w="11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trHeight w:val="285"/>
        </w:trPr>
        <w:tc>
          <w:tcPr>
            <w:gridSpan w:val="5"/>
            <w:shd w:val="clear" w:color="auto" w:fill="auto"/>
            <w:tcW w:w="9048"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基坑支护</w:t>
            </w:r>
            <w:r/>
          </w:p>
        </w:tc>
      </w:tr>
      <w:tr>
        <w:trPr>
          <w:trHeight w:val="1706"/>
        </w:trPr>
        <w:tc>
          <w:tcPr>
            <w:shd w:val="clear" w:color="auto" w:fill="auto"/>
            <w:tcW w:w="89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W w:w="15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钢板桩</w:t>
            </w:r>
            <w:r/>
          </w:p>
        </w:tc>
        <w:tc>
          <w:tcPr>
            <w:shd w:val="clear" w:color="auto" w:fill="auto"/>
            <w:tcW w:w="44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1、桩长:9m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2、桩型号:拉森钢板桩Q295bz-400*170*15.5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3、地层情况: 投标人根据现场自行考虑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4、打拔钢板桩、进出场往返运费综合考虑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钢板桩使用天数投标人综合考虑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6、未尽之处详见施工图设计文件</w:t>
            </w:r>
            <w:r/>
          </w:p>
        </w:tc>
        <w:tc>
          <w:tcPr>
            <w:shd w:val="clear" w:color="auto" w:fill="auto"/>
            <w:tcW w:w="11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w:t>
            </w:r>
            <w:r/>
          </w:p>
        </w:tc>
        <w:tc>
          <w:tcPr>
            <w:shd w:val="clear" w:color="auto" w:fill="auto"/>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182.183</w:t>
            </w:r>
            <w:r/>
          </w:p>
        </w:tc>
      </w:tr>
      <w:tr>
        <w:trPr>
          <w:trHeight w:val="1358"/>
        </w:trPr>
        <w:tc>
          <w:tcPr>
            <w:shd w:val="clear" w:color="auto" w:fill="auto"/>
            <w:tcW w:w="89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W w:w="15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钢支撑</w:t>
            </w:r>
            <w:r/>
          </w:p>
        </w:tc>
        <w:tc>
          <w:tcPr>
            <w:shd w:val="clear" w:color="auto" w:fill="auto"/>
            <w:tcW w:w="449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1、部位:围檩、角撑、对撑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2、钢材品种、规格:焊接HW400*400*13*21型钢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3、安拆、进出场往返运费综合考虑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4、未尽之处详见施工图设计文件</w:t>
            </w:r>
            <w:r/>
          </w:p>
        </w:tc>
        <w:tc>
          <w:tcPr>
            <w:shd w:val="clear" w:color="auto" w:fill="auto"/>
            <w:tcW w:w="11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w:t>
            </w:r>
            <w:r/>
          </w:p>
        </w:tc>
        <w:tc>
          <w:tcPr>
            <w:shd w:val="clear" w:color="auto" w:fill="auto"/>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21.085</w:t>
            </w:r>
            <w:r/>
          </w:p>
        </w:tc>
      </w:tr>
      <w:tr>
        <w:trPr>
          <w:trHeight w:val="355"/>
        </w:trPr>
        <w:tc>
          <w:tcPr>
            <w:shd w:val="clear" w:color="auto" w:fill="auto"/>
            <w:tcW w:w="89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W w:w="15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排水、降水</w:t>
            </w:r>
            <w:r/>
          </w:p>
        </w:tc>
        <w:tc>
          <w:tcPr>
            <w:shd w:val="clear" w:color="auto" w:fill="auto"/>
            <w:tcW w:w="4491"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排水、降水</w:t>
            </w:r>
            <w:r/>
          </w:p>
        </w:tc>
        <w:tc>
          <w:tcPr>
            <w:shd w:val="clear" w:color="auto" w:fill="auto"/>
            <w:tcW w:w="11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675"/>
        </w:trPr>
        <w:tc>
          <w:tcPr>
            <w:shd w:val="clear" w:color="auto" w:fill="auto"/>
            <w:tcW w:w="89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W w:w="15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大型机械设备进出场及安拆</w:t>
            </w:r>
            <w:r/>
          </w:p>
        </w:tc>
        <w:tc>
          <w:tcPr>
            <w:shd w:val="clear" w:color="auto" w:fill="auto"/>
            <w:tcW w:w="4491"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大型机械设备进出场及安拆</w:t>
            </w:r>
            <w:r/>
          </w:p>
        </w:tc>
        <w:tc>
          <w:tcPr>
            <w:shd w:val="clear" w:color="auto" w:fill="auto"/>
            <w:tcW w:w="11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bl>
    <w:p>
      <w:pPr>
        <w:jc w:val="left"/>
        <w:keepLines w:val="0"/>
        <w:keepNext w:val="0"/>
        <w:spacing w:line="360" w:lineRule="auto"/>
        <w:widowControl/>
        <w:rPr>
          <w:rFonts w:hint="eastAsia" w:ascii="宋体" w:hAnsi="宋体" w:eastAsia="宋体" w:cs="宋体"/>
          <w:b/>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注：上表中所列内容，中小企业声明函中无须列明。本项目施工过程中工程量具体以实际工程量为准。投标人可自行前往现场踏勘。</w:t>
      </w:r>
      <w:r/>
    </w:p>
    <w:p>
      <w:pPr>
        <w:ind w:left="0" w:right="0" w:firstLine="562"/>
        <w:jc w:val="left"/>
        <w:keepLines w:val="0"/>
        <w:keepNext w:val="0"/>
        <w:pageBreakBefore w:val="0"/>
        <w:spacing w:line="49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、交付要求</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合同履行期限：</w:t>
      </w:r>
      <w:r>
        <w:rPr>
          <w:rFonts w:hint="eastAsia" w:ascii="宋体" w:hAnsi="宋体" w:eastAsia="宋体" w:cs="宋体"/>
          <w:color w:val="auto"/>
          <w:sz w:val="24"/>
          <w:szCs w:val="24"/>
          <w:highlight w:val="none"/>
          <w:lang w:val="en-US" w:eastAsia="zh-CN"/>
        </w:rPr>
        <w:t xml:space="preserve">自合同签订之日起60日历天内完成</w:t>
      </w:r>
      <w:r>
        <w:rPr>
          <w:rFonts w:hint="eastAsia" w:ascii="宋体" w:hAnsi="宋体" w:eastAsia="宋体" w:cs="宋体"/>
          <w:color w:val="auto"/>
          <w:sz w:val="24"/>
          <w:szCs w:val="24"/>
          <w:highlight w:val="none"/>
        </w:rPr>
        <w:t xml:space="preserve">本项目全部货物供货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施工、安装、调试、检测、验收合格并交付使用；</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2.交货方式：现场验收。</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3.交货地点</w:t>
      </w:r>
      <w:r>
        <w:rPr>
          <w:rFonts w:hint="eastAsia" w:ascii="宋体" w:hAnsi="宋体" w:eastAsia="宋体" w:cs="宋体"/>
          <w:color w:val="auto"/>
          <w:sz w:val="24"/>
          <w:szCs w:val="24"/>
          <w:highlight w:val="none"/>
          <w:lang w:eastAsia="zh-CN"/>
        </w:rPr>
        <w:t xml:space="preserve">：采购人指定地点。</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交货质量</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lang w:eastAsia="zh-CN"/>
        </w:rPr>
        <w:t xml:space="preserve">投标人负责将货物运到采购人指定地点，由投标人负责办理运输、装卸和安装等，费用由投标人负责，由采购人组织验收，检验不合格或不符合质量要求，投标人除无条件退货外，还应承担采购人的一切损失。</w:t>
      </w:r>
      <w:r/>
    </w:p>
    <w:p>
      <w:pPr>
        <w:ind w:left="0" w:right="0" w:firstLine="480"/>
        <w:jc w:val="left"/>
        <w:keepLines w:val="0"/>
        <w:keepNext w:val="0"/>
        <w:pageBreakBefore w:val="0"/>
        <w:spacing w:line="490" w:lineRule="exact"/>
        <w:widowControl/>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2"/>
          <w:highlight w:val="none"/>
          <w:lang w:val="en-US" w:eastAsia="zh-CN"/>
        </w:rPr>
        <w:t xml:space="preserve">附属工程实施</w:t>
      </w:r>
      <w:r>
        <w:rPr>
          <w:rFonts w:hint="eastAsia" w:ascii="宋体" w:hAnsi="宋体" w:eastAsia="宋体" w:cs="宋体"/>
          <w:color w:val="auto"/>
          <w:sz w:val="24"/>
          <w:szCs w:val="22"/>
          <w:highlight w:val="none"/>
          <w:lang w:eastAsia="zh-CN"/>
        </w:rPr>
        <w:t xml:space="preserve">严格按施工图纸、国家现行的施工及技术验收规范进行施工，做好自检工作，并按规定程序进行检测和报验，确保工程质量和工期。</w:t>
      </w:r>
      <w:r/>
    </w:p>
    <w:p>
      <w:pPr>
        <w:ind w:left="0" w:right="0" w:firstLine="562"/>
        <w:jc w:val="left"/>
        <w:keepLines w:val="0"/>
        <w:keepNext w:val="0"/>
        <w:pageBreakBefore w:val="0"/>
        <w:spacing w:line="49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、人员配备要求</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1、安装实施过程中发生的一切安全问题均由投标人自行承担；</w:t>
      </w:r>
      <w:r/>
    </w:p>
    <w:p>
      <w:pPr>
        <w:ind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投标</w:t>
      </w:r>
      <w:r>
        <w:rPr>
          <w:rFonts w:hint="eastAsia" w:ascii="宋体" w:hAnsi="宋体" w:eastAsia="宋体" w:cs="宋体"/>
          <w:color w:val="auto"/>
          <w:sz w:val="24"/>
          <w:szCs w:val="24"/>
          <w:highlight w:val="none"/>
          <w:lang w:val="en-US" w:eastAsia="zh-CN"/>
        </w:rPr>
        <w:t xml:space="preserve">人必须安排具有相应资格的人员参与安装实施，进场安装实施人员在本项目履约期间具有人身意外伤害险；在安装实施中要严格按行业规定进行安装实施，若出现任何安全事故，责任由投标人自行承担</w:t>
      </w:r>
      <w:r>
        <w:rPr>
          <w:rFonts w:hint="eastAsia" w:ascii="宋体" w:hAnsi="宋体" w:eastAsia="宋体" w:cs="宋体"/>
          <w:color w:val="auto"/>
          <w:sz w:val="24"/>
          <w:szCs w:val="24"/>
          <w:highlight w:val="none"/>
        </w:rPr>
        <w:t xml:space="preserve">。</w:t>
      </w:r>
      <w:r/>
    </w:p>
    <w:p>
      <w:pPr>
        <w:ind w:left="0" w:right="0" w:firstLine="562"/>
        <w:jc w:val="left"/>
        <w:keepLines w:val="0"/>
        <w:keepNext w:val="0"/>
        <w:pageBreakBefore w:val="0"/>
        <w:spacing w:line="49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、履约验收要求</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以招标文件、中标人的投标文件、承诺、合同为依据，成立验收小组，负责对项目进行全面的验收。</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2、货物的验收包括：数量、外观、质量、性能、包装等；所有设备和附（配）件应符合其规定的性能，无瑕疵和缺陷，质量为合格产品。</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对质量问题负责包退、包换和包修，因此发生的费用由</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自行负责。</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货物的检验、验收等按照以下原则执行：有国家标准的执行国家标准；无国家标准的执行行业标准；无行业标准的执行地方标准；无地方标准的执行企业标准。生产制造所需要的所有主材和辅助材料的质量、安全符合国家规定。</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4、货物到达</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指定地点并安装、调试工作完成后，通知</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根据相关部门规定的验收方案，严格按照有关要求及标准，对整个项目进行验收；交付使用时要同时向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提供详细的技术文件、调试报告、安装记录、原厂保修卡、随机资料及配件。</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按合同约定履约完成全部项目，并满足使用要求，须及时向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或合同签订的甲方提交验收申请。合同签订的甲方（使用者）须进行初步验收，完全达到符合采购合同约定的验收条件时，再向验收小组申请正式验收。</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须提交规范供货承诺书、合同签订的甲方（使用者）须向验收组提交规范验货承诺书。</w:t>
      </w:r>
      <w:r/>
    </w:p>
    <w:p>
      <w:pPr>
        <w:ind w:left="0" w:right="0" w:firstLine="48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采购设备、材料前须得到</w:t>
      </w:r>
      <w:r>
        <w:rPr>
          <w:rFonts w:hint="eastAsia" w:ascii="宋体" w:hAnsi="宋体" w:eastAsia="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rPr>
        <w:t xml:space="preserve">的认可，如</w:t>
      </w:r>
      <w:r>
        <w:rPr>
          <w:rFonts w:hint="eastAsia" w:ascii="宋体" w:hAnsi="宋体" w:eastAsia="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rPr>
        <w:t xml:space="preserve">对设备、材料的品牌有规定，必须按其规定执行，否则，</w:t>
      </w:r>
      <w:r>
        <w:rPr>
          <w:rFonts w:hint="eastAsia" w:ascii="宋体" w:hAnsi="宋体" w:eastAsia="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rPr>
        <w:t xml:space="preserve">有权要求</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按规定品牌更换，但</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所报材料单价不做调整。材料的规格、技术指标、质量等级详见施工图, 同时应满足相关技术规范要求。</w:t>
      </w:r>
      <w:r/>
    </w:p>
    <w:p>
      <w:pPr>
        <w:ind w:firstLine="480"/>
        <w:jc w:val="left"/>
        <w:spacing w:line="490" w:lineRule="exact"/>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若</w:t>
      </w:r>
      <w:r>
        <w:rPr>
          <w:rFonts w:hint="eastAsia" w:ascii="宋体" w:hAnsi="宋体" w:eastAsia="宋体" w:cs="宋体"/>
          <w:b w:val="0"/>
          <w:bCs w:val="0"/>
          <w:color w:val="auto"/>
          <w:sz w:val="24"/>
          <w:szCs w:val="24"/>
          <w:highlight w:val="none"/>
          <w:lang w:val="en-US" w:eastAsia="zh-CN"/>
        </w:rPr>
        <w:t xml:space="preserve">项目</w:t>
      </w:r>
      <w:r>
        <w:rPr>
          <w:rFonts w:hint="eastAsia" w:ascii="宋体" w:hAnsi="宋体" w:eastAsia="宋体" w:cs="宋体"/>
          <w:b w:val="0"/>
          <w:bCs w:val="0"/>
          <w:color w:val="auto"/>
          <w:sz w:val="24"/>
          <w:szCs w:val="24"/>
          <w:highlight w:val="none"/>
        </w:rPr>
        <w:t xml:space="preserve">质量不符合</w:t>
      </w:r>
      <w:r>
        <w:rPr>
          <w:rFonts w:hint="eastAsia" w:ascii="宋体" w:hAnsi="宋体" w:eastAsia="宋体" w:cs="宋体"/>
          <w:b w:val="0"/>
          <w:bCs w:val="0"/>
          <w:color w:val="auto"/>
          <w:sz w:val="24"/>
          <w:szCs w:val="24"/>
          <w:highlight w:val="none"/>
          <w:lang w:val="en-US" w:eastAsia="zh-CN"/>
        </w:rPr>
        <w:t xml:space="preserve">项目</w:t>
      </w:r>
      <w:r>
        <w:rPr>
          <w:rFonts w:hint="eastAsia" w:ascii="宋体" w:hAnsi="宋体" w:eastAsia="宋体" w:cs="宋体"/>
          <w:b w:val="0"/>
          <w:bCs w:val="0"/>
          <w:color w:val="auto"/>
          <w:sz w:val="24"/>
          <w:szCs w:val="24"/>
          <w:highlight w:val="none"/>
        </w:rPr>
        <w:t xml:space="preserve">验收规范及设计要求的，</w:t>
      </w:r>
      <w:r>
        <w:rPr>
          <w:rFonts w:hint="eastAsia" w:ascii="宋体" w:hAnsi="宋体" w:eastAsia="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rPr>
        <w:t xml:space="preserve">按要求须在限期内返工或需采取其他补救措施达到合格标准，所发生的费用均由</w:t>
      </w:r>
      <w:r>
        <w:rPr>
          <w:rFonts w:hint="eastAsia" w:ascii="宋体" w:hAnsi="宋体" w:eastAsia="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rPr>
        <w:t xml:space="preserve">承担。</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b w:val="0"/>
          <w:bCs w:val="0"/>
          <w:color w:val="auto"/>
          <w:sz w:val="24"/>
          <w:szCs w:val="24"/>
          <w:highlight w:val="none"/>
        </w:rPr>
        <w:t xml:space="preserve">负责本</w:t>
      </w:r>
      <w:r>
        <w:rPr>
          <w:rFonts w:hint="eastAsia" w:ascii="宋体" w:hAnsi="宋体" w:eastAsia="宋体" w:cs="宋体"/>
          <w:b w:val="0"/>
          <w:bCs w:val="0"/>
          <w:color w:val="auto"/>
          <w:sz w:val="24"/>
          <w:szCs w:val="24"/>
          <w:highlight w:val="none"/>
          <w:lang w:val="en-US" w:eastAsia="zh-CN"/>
        </w:rPr>
        <w:t xml:space="preserve">项目</w:t>
      </w:r>
      <w:r>
        <w:rPr>
          <w:rFonts w:hint="eastAsia" w:ascii="宋体" w:hAnsi="宋体" w:eastAsia="宋体" w:cs="宋体"/>
          <w:b w:val="0"/>
          <w:bCs w:val="0"/>
          <w:color w:val="auto"/>
          <w:sz w:val="24"/>
          <w:szCs w:val="24"/>
          <w:highlight w:val="none"/>
        </w:rPr>
        <w:t xml:space="preserve">竣工资料的整理，保证资料符合要求，及时报送总包并配合总包整体工程竣工验收。</w:t>
      </w:r>
      <w:r/>
    </w:p>
    <w:p>
      <w:pPr>
        <w:ind w:left="0" w:right="0" w:firstLine="562"/>
        <w:jc w:val="left"/>
        <w:keepLines w:val="0"/>
        <w:keepNext w:val="0"/>
        <w:pageBreakBefore w:val="0"/>
        <w:spacing w:line="49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、售后服务要求</w:t>
      </w:r>
      <w:r/>
    </w:p>
    <w:p>
      <w:pPr>
        <w:ind w:left="0" w:right="0" w:firstLine="480"/>
        <w:jc w:val="left"/>
        <w:keepLines w:val="0"/>
        <w:keepNext w:val="0"/>
        <w:pageBreakBefore w:val="0"/>
        <w:spacing w:line="49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★质保期</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lang w:val="en-US" w:eastAsia="zh-CN"/>
        </w:rPr>
        <w:t xml:space="preserve">以验收合格之日起计算</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w:t>
      </w:r>
      <w:r/>
    </w:p>
    <w:p>
      <w:pPr>
        <w:ind w:left="0" w:right="0" w:firstLine="480"/>
        <w:jc w:val="left"/>
        <w:keepLines w:val="0"/>
        <w:keepNext w:val="0"/>
        <w:pageBreakBefore w:val="0"/>
        <w:spacing w:line="49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投标</w:t>
      </w:r>
      <w:r>
        <w:rPr>
          <w:rFonts w:hint="eastAsia" w:ascii="宋体" w:hAnsi="宋体" w:eastAsia="宋体" w:cs="宋体"/>
          <w:b w:val="0"/>
          <w:bCs w:val="0"/>
          <w:color w:val="auto"/>
          <w:sz w:val="24"/>
          <w:szCs w:val="24"/>
          <w:highlight w:val="none"/>
        </w:rPr>
        <w:t xml:space="preserve">人所提供的货物，若技术性能无特殊说明，则按生产企业或国家有关部门最新颁布的标准及规范为准。</w:t>
      </w:r>
      <w:r/>
    </w:p>
    <w:p>
      <w:pPr>
        <w:ind w:left="0" w:right="0" w:firstLine="480"/>
        <w:jc w:val="left"/>
        <w:keepLines w:val="0"/>
        <w:keepNext w:val="0"/>
        <w:pageBreakBefore w:val="0"/>
        <w:spacing w:line="49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投标</w:t>
      </w:r>
      <w:r>
        <w:rPr>
          <w:rFonts w:hint="eastAsia" w:ascii="宋体" w:hAnsi="宋体" w:eastAsia="宋体" w:cs="宋体"/>
          <w:b w:val="0"/>
          <w:bCs w:val="0"/>
          <w:color w:val="auto"/>
          <w:sz w:val="24"/>
          <w:szCs w:val="24"/>
          <w:highlight w:val="none"/>
        </w:rPr>
        <w:t xml:space="preserve">人应按</w:t>
      </w:r>
      <w:r>
        <w:rPr>
          <w:rFonts w:hint="eastAsia" w:ascii="宋体" w:hAnsi="宋体" w:eastAsia="宋体" w:cs="宋体"/>
          <w:b w:val="0"/>
          <w:bCs w:val="0"/>
          <w:color w:val="auto"/>
          <w:sz w:val="24"/>
          <w:szCs w:val="24"/>
          <w:highlight w:val="none"/>
          <w:lang w:eastAsia="zh-CN"/>
        </w:rPr>
        <w:t xml:space="preserve">招标</w:t>
      </w:r>
      <w:r>
        <w:rPr>
          <w:rFonts w:hint="eastAsia" w:ascii="宋体" w:hAnsi="宋体" w:eastAsia="宋体" w:cs="宋体"/>
          <w:b w:val="0"/>
          <w:bCs w:val="0"/>
          <w:color w:val="auto"/>
          <w:sz w:val="24"/>
          <w:szCs w:val="24"/>
          <w:highlight w:val="none"/>
        </w:rPr>
        <w:t xml:space="preserve">文件规定的货物性能、技术要求、质量标准向</w:t>
      </w:r>
      <w:r>
        <w:rPr>
          <w:rFonts w:hint="eastAsia" w:ascii="宋体" w:hAnsi="宋体" w:eastAsia="宋体" w:cs="宋体"/>
          <w:b w:val="0"/>
          <w:bCs w:val="0"/>
          <w:color w:val="auto"/>
          <w:sz w:val="24"/>
          <w:szCs w:val="24"/>
          <w:highlight w:val="none"/>
          <w:lang w:eastAsia="zh-CN"/>
        </w:rPr>
        <w:t xml:space="preserve">采购人</w:t>
      </w:r>
      <w:r>
        <w:rPr>
          <w:rFonts w:hint="eastAsia" w:ascii="宋体" w:hAnsi="宋体" w:eastAsia="宋体" w:cs="宋体"/>
          <w:b w:val="0"/>
          <w:bCs w:val="0"/>
          <w:color w:val="auto"/>
          <w:sz w:val="24"/>
          <w:szCs w:val="24"/>
          <w:highlight w:val="none"/>
        </w:rPr>
        <w:t xml:space="preserve">提供未经使用的全新产品</w:t>
      </w:r>
      <w:r>
        <w:rPr>
          <w:rFonts w:hint="eastAsia" w:ascii="宋体" w:hAnsi="宋体" w:eastAsia="宋体" w:cs="宋体"/>
          <w:b w:val="0"/>
          <w:bCs w:val="0"/>
          <w:color w:val="auto"/>
          <w:sz w:val="24"/>
          <w:szCs w:val="24"/>
          <w:highlight w:val="none"/>
          <w:lang w:eastAsia="zh-CN"/>
        </w:rPr>
        <w:t xml:space="preserve">。</w:t>
      </w:r>
      <w:r/>
    </w:p>
    <w:p>
      <w:pPr>
        <w:ind w:left="0" w:right="0" w:firstLine="562"/>
        <w:jc w:val="left"/>
        <w:keepLines w:val="0"/>
        <w:keepNext w:val="0"/>
        <w:pageBreakBefore w:val="0"/>
        <w:spacing w:line="49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、投标报价要求</w:t>
      </w:r>
      <w:r/>
    </w:p>
    <w:p>
      <w:pPr>
        <w:ind w:left="0" w:right="0" w:firstLine="480"/>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1、本项目报价不得超过预算价（最高限价）。</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2、报价应包含与本次采购项目有关的所有费用。</w:t>
      </w:r>
      <w:r>
        <w:rPr>
          <w:rFonts w:hint="eastAsia" w:ascii="宋体" w:hAnsi="宋体" w:eastAsia="宋体" w:cs="宋体"/>
          <w:color w:val="auto"/>
          <w:sz w:val="24"/>
          <w:szCs w:val="24"/>
          <w:highlight w:val="none"/>
          <w:lang w:val="en-US" w:eastAsia="zh-CN"/>
        </w:rPr>
        <w:t xml:space="preserve">投标人根据货物需求清单及施工清单内容报各项综合单价及本项目总价，全费用单价包括：人工费、材料费、机械费、管理费、利润、规费、税金、措施费、材料检验费、超高费、高层增加费、非夜间施工照明费、夜间施工费、保险、担保、场内运输费、二次搬运费、赶工、施工降效费用等完成项目的全部费用；总价须包含所有货物、施工内容、以及安装、运费等完成本项目所产生的一切费用。总价作为定标的依据，各项综合单价作为据实结算的依据。</w:t>
      </w:r>
      <w:r/>
    </w:p>
    <w:p>
      <w:pPr>
        <w:jc w:val="left"/>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p>
      <w:pPr>
        <w:ind w:firstLine="241"/>
        <w:jc w:val="left"/>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八、其他要求 </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val="en-US" w:eastAsia="zh-CN"/>
        </w:rPr>
        <w:t xml:space="preserve">须按采购需求的要求进行供货、安装，同时须按场地情况及采购人要求进行深化设计及附属土建施工，施工过程中需要办理的所有文件需由</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val="en-US" w:eastAsia="zh-CN"/>
        </w:rPr>
        <w:t xml:space="preserve">办理，采购人负责协调。</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的任何错漏、优惠、竞争性报价不得作为减轻责任、减少服务、增加收费、降低服务质量的理由</w:t>
      </w:r>
      <w:r>
        <w:rPr>
          <w:rFonts w:hint="eastAsia" w:ascii="宋体" w:hAnsi="宋体" w:eastAsia="宋体" w:cs="宋体"/>
          <w:color w:val="auto"/>
          <w:sz w:val="24"/>
          <w:szCs w:val="24"/>
          <w:highlight w:val="none"/>
          <w:lang w:eastAsia="zh-CN"/>
        </w:rPr>
        <w:t xml:space="preserve">。</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报价除包含</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文件中列明的项目外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还应包括保障服务正常运行应当具有的</w:t>
      </w:r>
      <w:r>
        <w:rPr>
          <w:rFonts w:hint="eastAsia" w:ascii="宋体" w:hAnsi="宋体" w:eastAsia="宋体" w:cs="宋体"/>
          <w:color w:val="auto"/>
          <w:sz w:val="24"/>
          <w:szCs w:val="24"/>
          <w:highlight w:val="none"/>
          <w:lang w:eastAsia="zh-CN"/>
        </w:rPr>
        <w:t xml:space="preserve">备件</w:t>
      </w:r>
      <w:r>
        <w:rPr>
          <w:rFonts w:hint="eastAsia" w:ascii="宋体" w:hAnsi="宋体" w:eastAsia="宋体" w:cs="宋体"/>
          <w:color w:val="auto"/>
          <w:sz w:val="24"/>
          <w:szCs w:val="24"/>
          <w:highlight w:val="none"/>
        </w:rPr>
        <w:t xml:space="preserve">和服务，对服务正常运行应当具有的</w:t>
      </w:r>
      <w:r>
        <w:rPr>
          <w:rFonts w:hint="eastAsia" w:ascii="宋体" w:hAnsi="宋体" w:eastAsia="宋体" w:cs="宋体"/>
          <w:color w:val="auto"/>
          <w:sz w:val="24"/>
          <w:szCs w:val="24"/>
          <w:highlight w:val="none"/>
          <w:lang w:eastAsia="zh-CN"/>
        </w:rPr>
        <w:t xml:space="preserve">备件</w:t>
      </w:r>
      <w:r>
        <w:rPr>
          <w:rFonts w:hint="eastAsia" w:ascii="宋体" w:hAnsi="宋体" w:eastAsia="宋体" w:cs="宋体"/>
          <w:color w:val="auto"/>
          <w:sz w:val="24"/>
          <w:szCs w:val="24"/>
          <w:highlight w:val="none"/>
        </w:rPr>
        <w:t xml:space="preserve">和服务理解不一致的以</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理解为准。</w:t>
      </w:r>
      <w:r/>
    </w:p>
    <w:p>
      <w:pPr>
        <w:ind w:right="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、付款方式</w:t>
      </w:r>
      <w:r>
        <w:rPr>
          <w:rFonts w:hint="eastAsia" w:ascii="宋体" w:hAnsi="宋体" w:eastAsia="宋体" w:cs="宋体"/>
          <w:b/>
          <w:color w:val="auto"/>
          <w:sz w:val="24"/>
          <w:szCs w:val="24"/>
          <w:highlight w:val="none"/>
          <w:lang w:eastAsia="zh-CN"/>
        </w:rPr>
        <w:t xml:space="preserve">及履约保证金</w:t>
      </w:r>
      <w:r/>
    </w:p>
    <w:p>
      <w:pPr>
        <w:pStyle w:val="737"/>
        <w:ind w:right="0" w:firstLine="480"/>
        <w:jc w:val="left"/>
        <w:keepLines w:val="0"/>
        <w:keepNext w:val="0"/>
        <w:pageBreakBefore w:val="0"/>
        <w:spacing w:line="480" w:lineRule="exact"/>
        <w:shd w:val="clear" w:color="auto"/>
        <w:widowControl w:val="off"/>
        <w:rPr>
          <w:rFonts w:hint="eastAsia" w:ascii="宋体" w:hAnsi="宋体" w:eastAsia="宋体" w:cs="宋体"/>
          <w:b/>
          <w:bCs w:val="0"/>
          <w:color w:val="auto"/>
          <w:sz w:val="24"/>
          <w:szCs w:val="24"/>
          <w:highlight w:val="none"/>
          <w:lang w:eastAsia="zh-CN"/>
        </w:rPr>
        <w:outlineLvl w:val="9"/>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1</w:t>
      </w:r>
      <w:r>
        <w:rPr>
          <w:rFonts w:hint="eastAsia" w:ascii="宋体" w:hAnsi="宋体" w:eastAsia="宋体" w:cs="宋体"/>
          <w:b/>
          <w:bCs w:val="0"/>
          <w:color w:val="auto"/>
          <w:sz w:val="24"/>
          <w:szCs w:val="24"/>
          <w:highlight w:val="none"/>
          <w:lang w:eastAsia="zh-CN"/>
        </w:rPr>
        <w:t xml:space="preserve">）付款方式</w:t>
      </w:r>
      <w:r/>
    </w:p>
    <w:p>
      <w:pPr>
        <w:ind w:left="0" w:right="0" w:firstLine="562"/>
        <w:jc w:val="left"/>
        <w:keepLines w:val="0"/>
        <w:keepNext w:val="0"/>
        <w:pageBreakBefore w:val="0"/>
        <w:spacing w:line="49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合同签订后30日内，支付合同价款的10%作为预付款，全部货物供货、附属土建施工、安装调试完成，验收合格并经结算审核后，根据审核价付清全部款项。</w:t>
      </w:r>
      <w:r/>
    </w:p>
    <w:p>
      <w:pPr>
        <w:ind w:left="0" w:right="0" w:firstLine="562"/>
        <w:jc w:val="left"/>
        <w:keepLines w:val="0"/>
        <w:keepNext w:val="0"/>
        <w:pageBreakBefore w:val="0"/>
        <w:spacing w:line="490" w:lineRule="exact"/>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（2）履约保证金</w:t>
      </w:r>
      <w:r/>
    </w:p>
    <w:p>
      <w:pPr>
        <w:ind w:left="0" w:right="0" w:firstLine="562"/>
        <w:jc w:val="left"/>
        <w:keepLines w:val="0"/>
        <w:keepNext w:val="0"/>
        <w:pageBreakBefore w:val="0"/>
        <w:spacing w:line="49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1.履约保证金的金额：中标价的10%。</w:t>
      </w:r>
      <w:r/>
    </w:p>
    <w:p>
      <w:pPr>
        <w:ind w:left="0" w:right="0" w:firstLine="562"/>
        <w:jc w:val="left"/>
        <w:keepLines w:val="0"/>
        <w:keepNext w:val="0"/>
        <w:pageBreakBefore w:val="0"/>
        <w:spacing w:line="49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履约保证金应当以支票、汇票、本票或者金融机构、担保机构出具的保函等非现金形式提交。依据《关于在全省政府采购领域推行电子履约保函(保险)的通知》（苏财购〔2023〕150号）鼓励投标人自愿使用履约保函(保险)代替缴纳约保证金。如以履约保函(保险)形式缴纳履约保证金，投标人可通过政府采购电子履约保函(保险)平台(www.jsdzbh.com)在线申请履约保函(保险)。</w:t>
      </w:r>
      <w:r/>
    </w:p>
    <w:p>
      <w:pPr>
        <w:ind w:left="0" w:right="0" w:firstLine="562"/>
        <w:jc w:val="left"/>
        <w:keepLines w:val="0"/>
        <w:keepNext w:val="0"/>
        <w:pageBreakBefore w:val="0"/>
        <w:spacing w:line="49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3.履约保证金提交时间：合同签订前提交履约保证金。</w:t>
      </w:r>
      <w:r/>
    </w:p>
    <w:p>
      <w:pPr>
        <w:ind w:left="0" w:right="0" w:firstLine="562"/>
        <w:jc w:val="left"/>
        <w:keepLines w:val="0"/>
        <w:keepNext w:val="0"/>
        <w:pageBreakBefore w:val="0"/>
        <w:spacing w:line="49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4.履约保证金的退还：完成合同范围内的所有内容，并经验收合格后，采购人退还投标人履约保证金。</w:t>
      </w:r>
      <w:r/>
    </w:p>
    <w:p>
      <w:pPr>
        <w:ind w:left="0" w:right="0" w:firstLine="562"/>
        <w:jc w:val="left"/>
        <w:keepLines w:val="0"/>
        <w:keepNext w:val="0"/>
        <w:pageBreakBefore w:val="0"/>
        <w:spacing w:line="49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不予退还的情形：投标人不履行合同，履约保证金不予退还。投标人违约的，采购人将按照招标文件及合同约定扣除其全部或部分履约保证金。如投标人违约给采购人造成的损失超过履约保证金的，应当依法赔偿超过部分的损失。</w:t>
      </w:r>
      <w:r/>
    </w:p>
    <w:p>
      <w:pPr>
        <w:ind w:right="0"/>
        <w:jc w:val="left"/>
        <w:keepLines w:val="0"/>
        <w:keepNext w:val="0"/>
        <w:pageBreakBefore w:val="0"/>
        <w:spacing w:line="49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十、其他</w:t>
      </w:r>
      <w:bookmarkEnd w:id="23"/>
      <w:r/>
      <w:bookmarkEnd w:id="24"/>
      <w:r/>
      <w:r/>
    </w:p>
    <w:p>
      <w:pPr>
        <w:ind w:left="0" w:right="0" w:firstLine="480"/>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本项目报价不得超过预算价（最高限价）。</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特别提醒投标人：应根据国家收费标准并结合市场实际进行报价。</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工作中涉及的敏感资料、电子数据等相关信息，</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应严格执行保密的相关规定，不得以任何方式向任何第三人披露、泄露或许可第三人使用，否则追究其相应法律责任。</w:t>
      </w:r>
      <w:r/>
    </w:p>
    <w:p>
      <w:pPr>
        <w:ind w:left="0" w:right="0"/>
        <w:jc w:val="left"/>
        <w:pageBreakBefore w:val="0"/>
        <w:spacing w:line="49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681"/>
        <w:ind w:left="0" w:right="0"/>
        <w:jc w:val="center"/>
        <w:pageBreakBefore w:val="0"/>
        <w:spacing w:before="0" w:after="0" w:line="360" w:lineRule="auto"/>
        <w:widowControl w:val="off"/>
        <w:rPr>
          <w:rFonts w:hint="eastAsia" w:ascii="宋体" w:hAnsi="宋体" w:eastAsia="宋体" w:cs="宋体"/>
          <w:b w:val="0"/>
          <w:color w:val="auto"/>
          <w:highlight w:val="none"/>
        </w:rPr>
      </w:pPr>
      <w:r/>
      <w:bookmarkStart w:id="25" w:name="_Toc155796360"/>
      <w:r>
        <w:rPr>
          <w:rFonts w:hint="eastAsia" w:ascii="宋体" w:hAnsi="宋体" w:eastAsia="宋体" w:cs="宋体"/>
          <w:b w:val="0"/>
          <w:color w:val="auto"/>
          <w:highlight w:val="none"/>
        </w:rPr>
        <w:t xml:space="preserve">第五章  评标方法与评标标准</w:t>
      </w:r>
      <w:bookmarkEnd w:id="25"/>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一、评标方法</w:t>
      </w:r>
      <w:r/>
    </w:p>
    <w:p>
      <w:pPr>
        <w:ind w:left="0" w:right="0" w:firstLine="480"/>
        <w:jc w:val="left"/>
        <w:pageBreakBefore w:val="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none"/>
          <w:lang w:eastAsia="zh-CN"/>
        </w:rPr>
        <w:t xml:space="preserve">由</w:t>
      </w:r>
      <w:r>
        <w:rPr>
          <w:rFonts w:hint="eastAsia" w:ascii="宋体" w:hAnsi="宋体" w:eastAsia="宋体" w:cs="宋体"/>
          <w:color w:val="auto"/>
          <w:sz w:val="24"/>
          <w:szCs w:val="24"/>
          <w:highlight w:val="none"/>
          <w:u w:val="none"/>
          <w:lang w:val="en-US" w:eastAsia="zh-CN"/>
        </w:rPr>
        <w:t xml:space="preserve">采购人</w:t>
      </w:r>
      <w:r>
        <w:rPr>
          <w:rFonts w:hint="eastAsia" w:ascii="宋体" w:hAnsi="宋体" w:eastAsia="宋体" w:cs="宋体"/>
          <w:color w:val="auto"/>
          <w:sz w:val="24"/>
          <w:szCs w:val="24"/>
          <w:highlight w:val="none"/>
          <w:u w:val="none"/>
          <w:lang w:eastAsia="zh-CN"/>
        </w:rPr>
        <w:t xml:space="preserve">代表随机抽取确定排序</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。投标文件满足招标文件全部实质性要求，且按照评审因素的量化指标评审得分最高的投标人为中标候选人。</w:t>
      </w:r>
      <w:r/>
    </w:p>
    <w:p>
      <w:pPr>
        <w:ind w:left="0" w:right="0" w:firstLine="480"/>
        <w:jc w:val="left"/>
        <w:pageBreakBefore w:val="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二、评标标准</w:t>
      </w:r>
      <w:r/>
    </w:p>
    <w:p>
      <w:pPr>
        <w:ind w:left="0" w:right="0" w:firstLine="480"/>
        <w:jc w:val="left"/>
        <w:pageBreakBefore w:val="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left="0" w:right="0" w:firstLine="480"/>
        <w:jc w:val="left"/>
        <w:pageBreakBefore w:val="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（2）本项目评分总分为100分，按四舍五入取至小数点后两位。</w:t>
      </w:r>
      <w:r/>
    </w:p>
    <w:p>
      <w:pPr>
        <w:ind w:left="0" w:right="0" w:firstLine="480"/>
        <w:jc w:val="left"/>
        <w:pageBreakBefore w:val="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（3）总得分=价格分+技术分+商务分。</w:t>
      </w:r>
      <w:r/>
    </w:p>
    <w:p>
      <w:pPr>
        <w:ind w:left="0" w:right="0"/>
        <w:jc w:val="center"/>
        <w:pageBreakBefore w:val="0"/>
        <w:spacing w:line="490" w:lineRule="exact"/>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t xml:space="preserve">综合评分法</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（1）价格分（</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（2）技术分（</w:t>
      </w:r>
      <w:r>
        <w:rPr>
          <w:rFonts w:hint="eastAsia" w:ascii="宋体" w:hAnsi="宋体" w:eastAsia="宋体" w:cs="宋体"/>
          <w:color w:val="auto"/>
          <w:sz w:val="24"/>
          <w:szCs w:val="24"/>
          <w:highlight w:val="none"/>
          <w:lang w:val="en-US" w:eastAsia="zh-CN"/>
        </w:rPr>
        <w:t xml:space="preserve">51</w:t>
      </w:r>
      <w:r>
        <w:rPr>
          <w:rFonts w:hint="eastAsia" w:ascii="宋体" w:hAnsi="宋体" w:eastAsia="宋体" w:cs="宋体"/>
          <w:color w:val="auto"/>
          <w:sz w:val="24"/>
          <w:szCs w:val="24"/>
          <w:highlight w:val="none"/>
        </w:rPr>
        <w:t xml:space="preserve">分）</w:t>
      </w:r>
      <w:r/>
    </w:p>
    <w:tbl>
      <w:tblPr>
        <w:tblStyle w:val="691"/>
        <w:tblW w:w="89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65"/>
        <w:gridCol w:w="6960"/>
      </w:tblGrid>
      <w:tr>
        <w:trPr>
          <w:jc w:val="center"/>
          <w:trHeight w:val="368"/>
        </w:trPr>
        <w:tc>
          <w:tcPr>
            <w:tcW w:w="1965" w:type="dxa"/>
            <w:vAlign w:val="center"/>
            <w:textDirection w:val="lrTb"/>
            <w:noWrap/>
          </w:tcPr>
          <w:p>
            <w:pPr>
              <w:ind w:left="0" w:right="0"/>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W w:w="6960" w:type="dxa"/>
            <w:vAlign w:val="center"/>
            <w:textDirection w:val="lrTb"/>
            <w:noWrap/>
          </w:tcPr>
          <w:p>
            <w:pPr>
              <w:ind w:left="0" w:right="0"/>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评审标准</w:t>
            </w:r>
            <w:r/>
          </w:p>
        </w:tc>
      </w:tr>
      <w:tr>
        <w:trPr>
          <w:jc w:val="center"/>
          <w:trHeight w:val="281"/>
        </w:trPr>
        <w:tc>
          <w:tcPr>
            <w:tcW w:w="1965" w:type="dxa"/>
            <w:vAlign w:val="center"/>
            <w:textDirection w:val="lrTb"/>
            <w:noWrap/>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技术响应</w:t>
            </w:r>
            <w:r/>
          </w:p>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10分</w:t>
            </w:r>
            <w:r>
              <w:rPr>
                <w:rFonts w:hint="eastAsia" w:ascii="宋体" w:hAnsi="宋体" w:eastAsia="宋体" w:cs="宋体"/>
                <w:color w:val="auto"/>
                <w:sz w:val="24"/>
                <w:szCs w:val="24"/>
                <w:highlight w:val="none"/>
                <w:lang w:eastAsia="zh-CN"/>
              </w:rPr>
              <w:t xml:space="preserve">）</w:t>
            </w:r>
            <w:r/>
          </w:p>
        </w:tc>
        <w:tc>
          <w:tcPr>
            <w:tcW w:w="6960" w:type="dxa"/>
            <w:vAlign w:val="center"/>
            <w:textDirection w:val="lrTb"/>
            <w:noWrap/>
          </w:tcPr>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投标人所投产品对货物需求清单中技术参数及要求进行响应，投标人所投产品完全满足或优于招标文件技术参数及要求的得10分，每负偏离一项扣0.5分，扣完为止。</w:t>
            </w:r>
            <w:r/>
          </w:p>
          <w:p>
            <w:pPr>
              <w:ind w:right="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注：投标人须按照采购需求货物需求清单中的具体参数需求响应，提供符合或优于招标文件要求的技术偏离表，否则不得分。</w:t>
            </w:r>
            <w:r/>
          </w:p>
        </w:tc>
      </w:tr>
      <w:tr>
        <w:trPr>
          <w:jc w:val="center"/>
          <w:trHeight w:val="978"/>
        </w:trPr>
        <w:tc>
          <w:tcPr>
            <w:tcBorders>
              <w:bottom w:val="single" w:color="auto" w:sz="4" w:space="0"/>
            </w:tcBorders>
            <w:tcW w:w="1965" w:type="dxa"/>
            <w:vAlign w:val="center"/>
            <w:textDirection w:val="lrTb"/>
            <w:noWrap/>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项目整体实施</w:t>
            </w:r>
            <w:r/>
          </w:p>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rPr>
              <w:t xml:space="preserve">方案</w:t>
            </w:r>
            <w:r>
              <w:rPr>
                <w:rFonts w:hint="eastAsia" w:ascii="宋体" w:hAnsi="宋体" w:eastAsia="宋体" w:cs="宋体"/>
                <w:color w:val="auto"/>
                <w:sz w:val="24"/>
                <w:szCs w:val="24"/>
                <w:highlight w:val="none"/>
                <w:lang w:val="en-US" w:eastAsia="zh-CN"/>
              </w:rPr>
              <w:t xml:space="preserve">（11分）</w:t>
            </w:r>
            <w:r/>
          </w:p>
        </w:tc>
        <w:tc>
          <w:tcPr>
            <w:tcBorders>
              <w:bottom w:val="single" w:color="auto" w:sz="4" w:space="0"/>
            </w:tcBorders>
            <w:tcW w:w="6960" w:type="dxa"/>
            <w:vAlign w:val="center"/>
            <w:textDirection w:val="lrTb"/>
            <w:noWrap/>
          </w:tcPr>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根据投标人提供的项目整体实施方案，内容包含但不限于二次深化设计、设备采购及安装调试方案、附属实施方案等编制内容，实施工作内容的重难点进行分析并制定出相应的措施。</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（1）方案全面科学合理，措施切实可行，有完善的部署方案，能够保质保量完成任务的得11分；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（2）方案较全面科学合理，措施较切实可行，部署方案较得当，较能够保质保量完成任务的得8分；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（3）方案科学合理性一般，供货保证措施可行性较强，部署方案简单的得5分；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（4）方案科学合理性欠缺，供货保证措施可行性一般，部署方案不清晰的得3分；</w:t>
            </w:r>
            <w:r/>
          </w:p>
          <w:p>
            <w:pPr>
              <w:ind w:right="0"/>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（5）未见阐述不得分。 </w:t>
            </w:r>
            <w:r/>
          </w:p>
        </w:tc>
      </w:tr>
      <w:tr>
        <w:trPr>
          <w:jc w:val="center"/>
          <w:trHeight w:val="281"/>
        </w:trPr>
        <w:tc>
          <w:tcPr>
            <w:tcBorders>
              <w:bottom w:val="single" w:color="auto" w:sz="4" w:space="0"/>
            </w:tcBorders>
            <w:tcW w:w="1965" w:type="dxa"/>
            <w:vAlign w:val="center"/>
            <w:textDirection w:val="lrTb"/>
            <w:noWrap/>
          </w:tcPr>
          <w:p>
            <w:pPr>
              <w:ind w:firstLine="0"/>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质量保证措施</w:t>
            </w:r>
            <w:r/>
          </w:p>
          <w:p>
            <w:pPr>
              <w:ind w:firstLine="0"/>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(10分)</w:t>
            </w:r>
            <w:r/>
          </w:p>
        </w:tc>
        <w:tc>
          <w:tcPr>
            <w:tcBorders>
              <w:bottom w:val="single" w:color="auto" w:sz="4" w:space="0"/>
            </w:tcBorders>
            <w:tcW w:w="6960" w:type="dxa"/>
            <w:vAlign w:val="top"/>
            <w:textDirection w:val="lrTb"/>
            <w:noWrap/>
          </w:tcPr>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根据投标人提供的项目质量保证措施，内容包含但不限于质量保证措施、详细具体的技术培训计划等内容：</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（1）有科学健全的质量保证措施、详细具体的技术培训计划，且内容特别契合本项目实际，能突出重点培训内容的得10分；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（2）质量保证措施较科学健全、较详细具体的技术培训计划，且内容较契合本项目实际，能突出重点培训内容的得7分；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（3）质量保证措施但措施科学合理性一般、有技术培训计划但内容不够周密具体的得4分；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（4）质量保证措施及技术培训计划过于简单的得2分；</w:t>
            </w:r>
            <w:r/>
          </w:p>
          <w:p>
            <w:pPr>
              <w:ind w:right="0"/>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（5）未见阐述不得分。</w:t>
            </w:r>
            <w:r/>
          </w:p>
        </w:tc>
      </w:tr>
      <w:tr>
        <w:trPr>
          <w:jc w:val="center"/>
          <w:trHeight w:val="281"/>
        </w:trPr>
        <w:tc>
          <w:tcPr>
            <w:tcBorders>
              <w:bottom w:val="single" w:color="auto" w:sz="4" w:space="0"/>
            </w:tcBorders>
            <w:tcW w:w="1965" w:type="dxa"/>
            <w:vAlign w:val="center"/>
            <w:textDirection w:val="lrTb"/>
            <w:noWrap/>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进度计划和各阶段进度的保证措施</w:t>
            </w:r>
            <w:r>
              <w:rPr>
                <w:rFonts w:hint="eastAsia" w:ascii="宋体" w:hAnsi="宋体" w:eastAsia="宋体" w:cs="宋体"/>
                <w:color w:val="auto"/>
                <w:sz w:val="24"/>
                <w:szCs w:val="24"/>
                <w:highlight w:val="none"/>
                <w:lang w:val="en-US" w:eastAsia="zh-CN"/>
              </w:rPr>
              <w:t xml:space="preserve">（10分）</w:t>
            </w:r>
            <w:r/>
          </w:p>
        </w:tc>
        <w:tc>
          <w:tcPr>
            <w:tcBorders>
              <w:bottom w:val="single" w:color="auto" w:sz="4" w:space="0"/>
            </w:tcBorders>
            <w:tcW w:w="6960" w:type="dxa"/>
            <w:vAlign w:val="center"/>
            <w:textDirection w:val="lrTb"/>
            <w:noWrap/>
          </w:tcPr>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根据投标人提供的进度计划和各阶段进度的保证措施进行综合评审。</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（1）项目进度计划完整，各阶段进度的保证措施清晰准确可行的得10分；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（2）项目进度计划较完整，各阶段进度的保证措施较清晰准确可行的得7分；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（3）项目进度计划合理性一般，各阶段进度的保证措施不够清晰准确的得4分；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（4）进度计划和各阶段进度的保证措施过于简单的，可行性一般的得2分；</w:t>
            </w:r>
            <w:r/>
          </w:p>
          <w:p>
            <w:pPr>
              <w:ind w:right="0"/>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（5）未见阐述不得分。</w:t>
            </w:r>
            <w:r/>
          </w:p>
        </w:tc>
      </w:tr>
      <w:tr>
        <w:trPr>
          <w:jc w:val="center"/>
          <w:trHeight w:val="281"/>
        </w:trPr>
        <w:tc>
          <w:tcPr>
            <w:tcBorders>
              <w:top w:val="single" w:color="auto" w:sz="4" w:space="0"/>
              <w:left w:val="single" w:color="auto" w:sz="4" w:space="0"/>
              <w:bottom w:val="single" w:color="auto" w:sz="4" w:space="0"/>
              <w:right w:val="single" w:color="auto" w:sz="4" w:space="0"/>
            </w:tcBorders>
            <w:tcW w:w="1965" w:type="dxa"/>
            <w:vAlign w:val="center"/>
            <w:textDirection w:val="lrTb"/>
            <w:noWrap/>
          </w:tcPr>
          <w:p>
            <w:pPr>
              <w:ind w:firstLine="0"/>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w:t>
            </w:r>
            <w:r/>
          </w:p>
          <w:p>
            <w:pPr>
              <w:ind w:firstLine="0"/>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960" w:type="dxa"/>
            <w:vAlign w:val="center"/>
            <w:textDirection w:val="lrTb"/>
            <w:noWrap/>
          </w:tcPr>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投标人提供的售后服务方案，方案内容包含但不限于解决质量或操作问题的形式、维修时间、地点、人员、服务方案周密性等内容：</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（1）方案内容全面，有针对性，科学合理，组织保障有力，操作性强的得10分；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（2）方案内容较全面，较有针对性，较科学合理，组织保障较有力，操作性较强的得7分；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（3）方案内容完整性针对性一般，组织保障基本涵盖，操作性强得4分；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（4）方案内容有缺项，针对性一般，内容简单，组织保障一般，操作性一般的得2分；</w:t>
            </w:r>
            <w:r/>
          </w:p>
          <w:p>
            <w:pPr>
              <w:ind w:right="0"/>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（5）未见阐述不得分。 </w:t>
            </w:r>
            <w:r/>
          </w:p>
        </w:tc>
      </w:tr>
      <w:tr>
        <w:trPr>
          <w:jc w:val="center"/>
          <w:trHeight w:val="621"/>
        </w:trPr>
        <w:tc>
          <w:tcPr>
            <w:gridSpan w:val="2"/>
            <w:tcBorders>
              <w:top w:val="single" w:color="auto" w:sz="4" w:space="0"/>
              <w:left w:val="none" w:color="000000" w:sz="4" w:space="0"/>
              <w:bottom w:val="single" w:color="auto" w:sz="4" w:space="0"/>
              <w:right w:val="none" w:color="000000" w:sz="4" w:space="0"/>
            </w:tcBorders>
            <w:tcW w:w="8925" w:type="dxa"/>
            <w:vAlign w:val="center"/>
            <w:textDirection w:val="lrTb"/>
            <w:noWrap/>
          </w:tcPr>
          <w:p>
            <w:pPr>
              <w:ind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（3）商务分（19分）</w:t>
            </w:r>
            <w:r/>
          </w:p>
        </w:tc>
      </w:tr>
      <w:tr>
        <w:trPr>
          <w:jc w:val="center"/>
          <w:trHeight w:val="621"/>
        </w:trPr>
        <w:tc>
          <w:tcPr>
            <w:tcBorders>
              <w:top w:val="single" w:color="auto" w:sz="4" w:space="0"/>
              <w:left w:val="single" w:color="auto" w:sz="4" w:space="0"/>
              <w:bottom w:val="single" w:color="auto" w:sz="4" w:space="0"/>
              <w:right w:val="single" w:color="auto" w:sz="4" w:space="0"/>
            </w:tcBorders>
            <w:tcW w:w="1965" w:type="dxa"/>
            <w:vAlign w:val="center"/>
            <w:textDirection w:val="lrTb"/>
            <w:noWrap/>
          </w:tcPr>
          <w:p>
            <w:pPr>
              <w:ind w:firstLine="0"/>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项目组成员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分）</w:t>
            </w:r>
            <w:r/>
          </w:p>
        </w:tc>
        <w:tc>
          <w:tcPr>
            <w:tcBorders>
              <w:top w:val="single" w:color="auto" w:sz="4" w:space="0"/>
              <w:left w:val="single" w:color="auto" w:sz="4" w:space="0"/>
              <w:bottom w:val="single" w:color="auto" w:sz="4" w:space="0"/>
              <w:right w:val="single" w:color="auto" w:sz="4" w:space="0"/>
            </w:tcBorders>
            <w:tcW w:w="6960" w:type="dxa"/>
            <w:vAlign w:val="center"/>
            <w:textDirection w:val="lrTb"/>
            <w:noWrap/>
          </w:tcPr>
          <w:p>
            <w:pPr>
              <w:ind w:firstLine="0"/>
              <w:jc w:val="left"/>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本项目拟投入的组成员中，每有1人具有高级工程师及以上职称的得2分，每有1人具有中级工程师职称的得1分，本项最高得10分。</w:t>
            </w:r>
            <w:r/>
          </w:p>
          <w:p>
            <w:pPr>
              <w:ind w:firstLine="0"/>
              <w:jc w:val="left"/>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注：以上人员不重复得分，每人仅计分一次。须提供上述人员相关证书及投标人为其缴纳的2026年1月以来任意一个月由社保机构出具的社保缴纳证明，如是退休人员仍在执业有效期内的，应提供相关退休证明及聘用合同，相关资料原件彩色扫描件上传至电子响应文件中，否则不得分。</w:t>
            </w:r>
            <w:r/>
          </w:p>
        </w:tc>
      </w:tr>
      <w:tr>
        <w:trPr>
          <w:jc w:val="center"/>
          <w:trHeight w:val="621"/>
        </w:trPr>
        <w:tc>
          <w:tcPr>
            <w:shd w:val="clear" w:color="auto" w:fill="auto"/>
            <w:tcBorders>
              <w:top w:val="single" w:color="auto" w:sz="4" w:space="0"/>
              <w:left w:val="single" w:color="auto" w:sz="4" w:space="0"/>
              <w:bottom w:val="single" w:color="auto" w:sz="4" w:space="0"/>
              <w:right w:val="single" w:color="auto" w:sz="4" w:space="0"/>
            </w:tcBorders>
            <w:tcW w:w="1965" w:type="dxa"/>
            <w:vAlign w:val="center"/>
            <w:textDirection w:val="lrTb"/>
            <w:noWrap/>
          </w:tcPr>
          <w:p>
            <w:pPr>
              <w:ind w:firstLine="0"/>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类似业绩</w:t>
            </w:r>
            <w:r/>
          </w:p>
          <w:p>
            <w:pPr>
              <w:ind w:firstLine="0"/>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960" w:type="dxa"/>
            <w:vAlign w:val="center"/>
            <w:textDirection w:val="lrTb"/>
            <w:noWrap/>
          </w:tcPr>
          <w:p>
            <w:pPr>
              <w:ind w:firstLine="0"/>
              <w:jc w:val="left"/>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自202</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年1月1日以来</w:t>
            </w:r>
            <w:r>
              <w:rPr>
                <w:rFonts w:hint="eastAsia" w:ascii="宋体" w:hAnsi="宋体" w:eastAsia="宋体" w:cs="宋体"/>
                <w:b w:val="0"/>
                <w:bCs w:val="0"/>
                <w:color w:val="auto"/>
                <w:sz w:val="24"/>
                <w:szCs w:val="24"/>
                <w:highlight w:val="none"/>
                <w:lang w:eastAsia="zh-CN"/>
              </w:rPr>
              <w:t xml:space="preserve">（时间以合同签订时间为准）</w:t>
            </w:r>
            <w:r>
              <w:rPr>
                <w:rFonts w:hint="eastAsia" w:ascii="宋体" w:hAnsi="宋体" w:eastAsia="宋体" w:cs="宋体"/>
                <w:b w:val="0"/>
                <w:bCs w:val="0"/>
                <w:color w:val="auto"/>
                <w:sz w:val="24"/>
                <w:szCs w:val="24"/>
                <w:highlight w:val="none"/>
              </w:rPr>
              <w:t xml:space="preserve">，投标人</w:t>
            </w:r>
            <w:r>
              <w:rPr>
                <w:rFonts w:hint="eastAsia" w:ascii="宋体" w:hAnsi="宋体" w:eastAsia="宋体" w:cs="宋体"/>
                <w:b w:val="0"/>
                <w:bCs w:val="0"/>
                <w:color w:val="auto"/>
                <w:sz w:val="24"/>
                <w:szCs w:val="24"/>
                <w:highlight w:val="none"/>
                <w:lang w:val="en-US" w:eastAsia="zh-CN"/>
              </w:rPr>
              <w:t xml:space="preserve">承担过类似项目供货业绩的，每提供1个得3分，最高得9分。</w:t>
            </w:r>
            <w:r/>
          </w:p>
          <w:p>
            <w:pPr>
              <w:ind w:firstLine="0"/>
              <w:jc w:val="left"/>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注：</w:t>
            </w:r>
            <w:r>
              <w:rPr>
                <w:rFonts w:hint="eastAsia" w:ascii="宋体" w:hAnsi="宋体" w:eastAsia="宋体" w:cs="宋体"/>
                <w:b w:val="0"/>
                <w:bCs w:val="0"/>
                <w:color w:val="auto"/>
                <w:sz w:val="24"/>
                <w:szCs w:val="24"/>
                <w:highlight w:val="none"/>
              </w:rPr>
              <w:t xml:space="preserve">提供合同原件</w:t>
            </w:r>
            <w:r>
              <w:rPr>
                <w:rFonts w:hint="eastAsia" w:ascii="宋体" w:hAnsi="宋体" w:eastAsia="宋体" w:cs="宋体"/>
                <w:b w:val="0"/>
                <w:bCs w:val="0"/>
                <w:color w:val="auto"/>
                <w:sz w:val="24"/>
                <w:szCs w:val="24"/>
                <w:highlight w:val="none"/>
                <w:lang w:eastAsia="zh-CN"/>
              </w:rPr>
              <w:t xml:space="preserve">彩色</w:t>
            </w:r>
            <w:r>
              <w:rPr>
                <w:rFonts w:hint="eastAsia" w:ascii="宋体" w:hAnsi="宋体" w:eastAsia="宋体" w:cs="宋体"/>
                <w:b w:val="0"/>
                <w:bCs w:val="0"/>
                <w:color w:val="auto"/>
                <w:sz w:val="24"/>
                <w:szCs w:val="24"/>
                <w:highlight w:val="none"/>
              </w:rPr>
              <w:t xml:space="preserve">扫描件</w:t>
            </w:r>
            <w:r>
              <w:rPr>
                <w:rFonts w:hint="eastAsia" w:ascii="宋体" w:hAnsi="宋体" w:eastAsia="宋体" w:cs="宋体"/>
                <w:b w:val="0"/>
                <w:bCs w:val="0"/>
                <w:color w:val="auto"/>
                <w:sz w:val="24"/>
                <w:szCs w:val="24"/>
                <w:highlight w:val="none"/>
                <w:lang w:val="en-US" w:eastAsia="zh-CN"/>
              </w:rPr>
              <w:t xml:space="preserve">上传至电子投标文件中</w:t>
            </w:r>
            <w:r>
              <w:rPr>
                <w:rFonts w:hint="eastAsia" w:ascii="宋体" w:hAnsi="宋体" w:eastAsia="宋体" w:cs="宋体"/>
                <w:b w:val="0"/>
                <w:bCs w:val="0"/>
                <w:color w:val="auto"/>
                <w:sz w:val="24"/>
                <w:szCs w:val="24"/>
                <w:highlight w:val="none"/>
              </w:rPr>
              <w:t xml:space="preserve">，合同的标的名称、</w:t>
            </w:r>
            <w:r>
              <w:rPr>
                <w:rFonts w:hint="eastAsia" w:ascii="宋体" w:hAnsi="宋体" w:eastAsia="宋体" w:cs="宋体"/>
                <w:b w:val="0"/>
                <w:bCs w:val="0"/>
                <w:color w:val="auto"/>
                <w:sz w:val="24"/>
                <w:szCs w:val="24"/>
                <w:highlight w:val="none"/>
                <w:lang w:eastAsia="zh-CN"/>
              </w:rPr>
              <w:t xml:space="preserve">内容、</w:t>
            </w:r>
            <w:r>
              <w:rPr>
                <w:rFonts w:hint="eastAsia" w:ascii="宋体" w:hAnsi="宋体" w:eastAsia="宋体" w:cs="宋体"/>
                <w:b w:val="0"/>
                <w:bCs w:val="0"/>
                <w:color w:val="auto"/>
                <w:sz w:val="24"/>
                <w:szCs w:val="24"/>
                <w:highlight w:val="none"/>
              </w:rPr>
              <w:t xml:space="preserve">签订时间等信息必须清晰，否则不得分。</w:t>
            </w:r>
            <w:r>
              <w:rPr>
                <w:rFonts w:hint="eastAsia" w:ascii="宋体" w:hAnsi="宋体" w:eastAsia="宋体" w:cs="宋体"/>
                <w:b w:val="0"/>
                <w:bCs w:val="0"/>
                <w:color w:val="auto"/>
                <w:sz w:val="24"/>
                <w:szCs w:val="24"/>
                <w:highlight w:val="none"/>
                <w:lang w:val="zh-CN"/>
              </w:rPr>
              <w:t xml:space="preserve">合同中产品</w:t>
            </w:r>
            <w:r>
              <w:rPr>
                <w:rFonts w:hint="eastAsia" w:ascii="宋体" w:hAnsi="宋体" w:eastAsia="宋体" w:cs="宋体"/>
                <w:b w:val="0"/>
                <w:bCs w:val="0"/>
                <w:color w:val="auto"/>
                <w:sz w:val="24"/>
                <w:szCs w:val="24"/>
                <w:highlight w:val="none"/>
              </w:rPr>
              <w:t xml:space="preserve">名称相同或类似，由评审委员会统一认定后给予得分。</w:t>
            </w:r>
            <w:r/>
          </w:p>
        </w:tc>
      </w:tr>
    </w:tbl>
    <w:p>
      <w:pPr>
        <w:rPr>
          <w:rFonts w:hint="eastAsia" w:ascii="宋体" w:hAnsi="宋体" w:eastAsia="宋体" w:cs="宋体"/>
          <w:b w:val="0"/>
          <w:color w:val="auto"/>
          <w:highlight w:val="none"/>
        </w:rPr>
      </w:pPr>
      <w:r>
        <w:rPr>
          <w:rFonts w:hint="eastAsia" w:ascii="宋体" w:hAnsi="宋体" w:eastAsia="宋体" w:cs="宋体"/>
          <w:b w:val="0"/>
          <w:color w:val="auto"/>
          <w:highlight w:val="none"/>
        </w:rPr>
        <w:br w:type="page" w:clear="all"/>
      </w:r>
      <w:r/>
    </w:p>
    <w:p>
      <w:pPr>
        <w:pStyle w:val="681"/>
        <w:ind w:left="0" w:right="0"/>
        <w:jc w:val="center"/>
        <w:pageBreakBefore w:val="0"/>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第六章  投标文件格式</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jc w:val="center"/>
        <w:pageBreakBefore w:val="0"/>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ind w:left="0" w:right="0"/>
        <w:jc w:val="center"/>
        <w:pageBreakBefore w:val="0"/>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ind w:left="0" w:right="0"/>
        <w:jc w:val="center"/>
        <w:pageBreakBefore w:val="0"/>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投  标  文  件</w:t>
      </w:r>
      <w:r/>
    </w:p>
    <w:p>
      <w:pPr>
        <w:ind w:left="0" w:right="0"/>
        <w:jc w:val="center"/>
        <w:pageBreakBefore w:val="0"/>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ind w:left="0" w:right="0"/>
        <w:jc w:val="center"/>
        <w:pageBreakBefore w:val="0"/>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ind w:left="0" w:right="0"/>
        <w:jc w:val="both"/>
        <w:pageBreakBefore w:val="0"/>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left="0" w:right="0"/>
        <w:jc w:val="center"/>
        <w:pageBreakBefore w:val="0"/>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left="0" w:right="0" w:firstLine="1084"/>
        <w:pageBreakBefore w:val="0"/>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 目 名 称：</w:t>
      </w:r>
      <w:r/>
    </w:p>
    <w:p>
      <w:pPr>
        <w:ind w:left="0" w:right="0" w:firstLine="1084"/>
        <w:pageBreakBefore w:val="0"/>
        <w:spacing w:line="360" w:lineRule="auto"/>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 目 编 号：</w:t>
      </w:r>
      <w:r/>
    </w:p>
    <w:p>
      <w:pPr>
        <w:ind w:left="0" w:right="0"/>
        <w:pageBreakBefore w:val="0"/>
        <w:spacing w:line="360" w:lineRule="auto"/>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（加盖CA电子公章）</w:t>
      </w:r>
      <w:r/>
    </w:p>
    <w:p>
      <w:pPr>
        <w:ind w:left="0" w:right="0"/>
        <w:pageBreakBefore w:val="0"/>
        <w:spacing w:line="360" w:lineRule="auto"/>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p>
    <w:p>
      <w:pPr>
        <w:ind w:left="0" w:right="0"/>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left="0" w:right="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一、法人或者其他组织的营业执照等证明文件，自然人的身份证明</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color w:val="auto"/>
          <w:sz w:val="36"/>
          <w:highlight w:val="none"/>
          <w:u w:val="single"/>
        </w:rPr>
      </w:pPr>
      <w:r>
        <w:rPr>
          <w:rFonts w:hint="eastAsia" w:ascii="宋体" w:hAnsi="宋体" w:eastAsia="宋体" w:cs="宋体"/>
          <w:i/>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二、具有良好的商业信誉和健全的财务会计制度</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三、依法缴纳税收和社会保障资金的相关材料</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jc w:val="center"/>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财务状况报告及税收、社会保障资金缴纳情况承诺函</w:t>
      </w:r>
      <w:r/>
    </w:p>
    <w:p>
      <w:pPr>
        <w:ind w:left="0" w:right="0"/>
        <w:jc w:val="left"/>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left="0" w:right="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i/>
          <w:color w:val="auto"/>
          <w:sz w:val="24"/>
          <w:szCs w:val="24"/>
          <w:highlight w:val="none"/>
          <w:u w:val="single"/>
          <w:lang w:eastAsia="zh-CN"/>
        </w:rPr>
        <w:t xml:space="preserve">采购人</w:t>
      </w:r>
      <w:r>
        <w:rPr>
          <w:rFonts w:hint="eastAsia" w:ascii="宋体" w:hAnsi="宋体" w:eastAsia="宋体" w:cs="宋体"/>
          <w:i/>
          <w:color w:val="auto"/>
          <w:sz w:val="24"/>
          <w:szCs w:val="24"/>
          <w:highlight w:val="none"/>
          <w:u w:val="single"/>
        </w:rPr>
        <w:t xml:space="preserve">名称</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w:t>
      </w:r>
      <w:r>
        <w:rPr>
          <w:rFonts w:hint="eastAsia" w:ascii="宋体" w:hAnsi="宋体" w:eastAsia="宋体" w:cs="宋体"/>
          <w:i/>
          <w:color w:val="auto"/>
          <w:sz w:val="24"/>
          <w:szCs w:val="24"/>
          <w:highlight w:val="none"/>
          <w:u w:val="single"/>
          <w:lang w:eastAsia="zh-CN"/>
        </w:rPr>
        <w:t xml:space="preserve">投标人</w:t>
      </w:r>
      <w:r>
        <w:rPr>
          <w:rFonts w:hint="eastAsia" w:ascii="宋体" w:hAnsi="宋体" w:eastAsia="宋体" w:cs="宋体"/>
          <w:i/>
          <w:color w:val="auto"/>
          <w:sz w:val="24"/>
          <w:szCs w:val="24"/>
          <w:highlight w:val="none"/>
          <w:u w:val="single"/>
        </w:rPr>
        <w:t xml:space="preserve">名称</w:t>
      </w:r>
      <w:r>
        <w:rPr>
          <w:rFonts w:hint="eastAsia" w:ascii="宋体" w:hAnsi="宋体" w:eastAsia="宋体" w:cs="宋体"/>
          <w:color w:val="auto"/>
          <w:sz w:val="24"/>
          <w:szCs w:val="24"/>
          <w:highlight w:val="none"/>
        </w:rPr>
        <w:t xml:space="preserve">参加</w:t>
      </w:r>
      <w:r>
        <w:rPr>
          <w:rFonts w:hint="eastAsia" w:ascii="宋体" w:hAnsi="宋体" w:eastAsia="宋体" w:cs="宋体"/>
          <w:i/>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（项目编号：</w:t>
      </w:r>
      <w:r>
        <w:rPr>
          <w:rFonts w:hint="eastAsia" w:ascii="宋体" w:hAnsi="宋体" w:eastAsia="宋体" w:cs="宋体"/>
          <w:i/>
          <w:color w:val="auto"/>
          <w:sz w:val="24"/>
          <w:szCs w:val="24"/>
          <w:highlight w:val="none"/>
          <w:u w:val="single"/>
        </w:rPr>
        <w:t xml:space="preserve">项目编号</w:t>
      </w:r>
      <w:r>
        <w:rPr>
          <w:rFonts w:hint="eastAsia" w:ascii="宋体" w:hAnsi="宋体" w:eastAsia="宋体" w:cs="宋体"/>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（1）具有良好的商业信誉和健全的财务会计制度（财务状况报告）；</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（2）有依法缴纳税收和社会保障资金的良好记录。</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（公章）：</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法定代表人（单位负责人）或委托代理人（签名或签章）：</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四、具备履行合同所必需的设备和专业技术能力的声明及证明材料</w:t>
      </w:r>
      <w:r/>
    </w:p>
    <w:p>
      <w:pPr>
        <w:ind w:left="0" w:right="0"/>
        <w:jc w:val="center"/>
        <w:pageBreakBefore w:val="0"/>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ind w:left="0" w:right="0"/>
        <w:jc w:val="center"/>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具备履行合同所必需的设备和专业技术能力的声明</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。（须附证明材料）</w:t>
      </w:r>
      <w:r/>
    </w:p>
    <w:p>
      <w:pPr>
        <w:ind w:left="0" w:right="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。（须附证明材料）</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left="0" w:right="0"/>
        <w:jc w:val="left"/>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附主要设备和主要专业技术能力的证明材料如下：</w:t>
      </w:r>
      <w:r/>
    </w:p>
    <w:p>
      <w:pPr>
        <w:ind w:left="0" w:right="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五、参加政府采购活动前3年内在经营活动中没有重大违法记录的书面声明</w:t>
      </w:r>
      <w:r/>
    </w:p>
    <w:p>
      <w:pPr>
        <w:ind w:left="0" w:right="0"/>
        <w:jc w:val="center"/>
        <w:pageBreakBefore w:val="0"/>
        <w:spacing w:line="360" w:lineRule="auto"/>
        <w:rPr>
          <w:rFonts w:hint="eastAsia" w:ascii="宋体" w:hAnsi="宋体" w:eastAsia="宋体" w:cs="宋体"/>
          <w:b/>
          <w:bCs/>
          <w:color w:val="auto"/>
          <w:sz w:val="44"/>
          <w:szCs w:val="44"/>
          <w:highlight w:val="none"/>
        </w:rPr>
      </w:pPr>
      <w:r>
        <w:rPr>
          <w:rFonts w:hint="eastAsia" w:ascii="宋体" w:hAnsi="宋体" w:eastAsia="宋体" w:cs="宋体"/>
          <w:bCs/>
          <w:color w:val="auto"/>
          <w:sz w:val="36"/>
          <w:szCs w:val="28"/>
          <w:highlight w:val="none"/>
        </w:rPr>
        <w:t xml:space="preserve">声  明</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六、法律、行政法规规定的其他条件的证明文件</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（如有，请按要求提供）</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七、落实政府采购政策需满足的资格要求的证明文件</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（如有，请按要求提供）</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八、特定资格要求的证明文件</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（如有，请按要求提供）</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iCs/>
          <w:color w:val="auto"/>
          <w:sz w:val="36"/>
          <w:highlight w:val="none"/>
          <w:u w:val="single"/>
        </w:rPr>
        <w:outlineLvl w:val="1"/>
      </w:pPr>
      <w:r>
        <w:rPr>
          <w:rFonts w:hint="eastAsia" w:ascii="宋体" w:hAnsi="宋体" w:eastAsia="宋体" w:cs="宋体"/>
          <w:i/>
          <w:color w:val="auto"/>
          <w:sz w:val="28"/>
          <w:szCs w:val="28"/>
          <w:highlight w:val="none"/>
          <w:u w:val="single"/>
        </w:rPr>
        <w:t xml:space="preserve">九、授权委托书与法定代表人（单位负责人）身份证明</w:t>
      </w:r>
      <w:r/>
    </w:p>
    <w:p>
      <w:pPr>
        <w:ind w:left="0" w:right="0"/>
        <w:jc w:val="center"/>
        <w:pageBreakBefore w:val="0"/>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授权委托书</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采购单位</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本人</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（投标人名称）</w:t>
      </w:r>
      <w:r>
        <w:rPr>
          <w:rFonts w:hint="eastAsia" w:ascii="宋体" w:hAnsi="宋体" w:eastAsia="宋体" w:cs="宋体"/>
          <w:color w:val="auto"/>
          <w:sz w:val="24"/>
          <w:szCs w:val="24"/>
          <w:highlight w:val="none"/>
        </w:rPr>
        <w:t xml:space="preserve">的法定代表人（单位负责人），现委托</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为我方代理人。代理人根据授权，以我方名义签署、澄清确认、递交、撤回、修改</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项目（项目编号：）投标文件和处理有关事宜，其法律后果由我方承担。</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委托期限：自本授权委托书签署之日起至响应有效期届满之日止。</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w:t>
      </w:r>
      <w:r>
        <w:rPr>
          <w:rFonts w:hint="eastAsia" w:ascii="宋体" w:hAnsi="宋体" w:eastAsia="宋体" w:cs="宋体"/>
          <w:color w:val="auto"/>
          <w:sz w:val="24"/>
          <w:szCs w:val="24"/>
          <w:highlight w:val="none"/>
        </w:rPr>
        <w:br/>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投标人名称（加盖公章）：</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法定代表人（单位负责人）（签字、签章或印鉴）：</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委托代理人（签字/签章）：</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ind w:left="0" w:right="0" w:firstLine="48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法定代表人（单位负责人）有效期内的身份证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69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委托代理人有效期内的身份证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69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ind w:left="0" w:right="0"/>
        <w:jc w:val="left"/>
        <w:pageBreakBefore w:val="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填报说明：</w:t>
      </w:r>
      <w:r/>
    </w:p>
    <w:p>
      <w:pPr>
        <w:ind w:left="0" w:right="0" w:firstLine="480"/>
        <w:jc w:val="left"/>
        <w:pageBreakBefore w:val="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1、若</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为事业单位或其他组织或分支机构（仅当招标文件注明允许分支机构投标的），则法定代表人（单位负责人）处的签署人可为单位负责人。</w:t>
      </w:r>
      <w:r/>
    </w:p>
    <w:p>
      <w:pPr>
        <w:ind w:left="0" w:right="0" w:firstLine="480"/>
        <w:jc w:val="left"/>
        <w:pageBreakBefore w:val="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2、若投标文件中全部签字之处均为法定代表人（单位负责人）本人签署，则可不提供本《授权委托书》，但须提供《法定代表人（单位负责人）身份证明》。</w:t>
      </w:r>
      <w:r/>
    </w:p>
    <w:p>
      <w:pPr>
        <w:ind w:left="0" w:right="0" w:firstLine="480"/>
        <w:jc w:val="left"/>
        <w:pageBreakBefore w:val="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为自然人的情形，可不提供本《授权委托书》。</w:t>
      </w:r>
      <w:r/>
    </w:p>
    <w:p>
      <w:pPr>
        <w:ind w:left="0" w:right="0"/>
        <w:jc w:val="center"/>
        <w:pageBreakBefore w:val="0"/>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法定代表人（单位负责人）身份证明</w:t>
      </w:r>
      <w:r/>
    </w:p>
    <w:p>
      <w:pPr>
        <w:ind w:left="0" w:right="0"/>
        <w:pageBreakBefore w:val="0"/>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ind w:left="0" w:right="0"/>
        <w:pageBreakBefore w:val="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采购单位</w:t>
      </w:r>
      <w:r/>
    </w:p>
    <w:p>
      <w:pPr>
        <w:ind w:left="0" w:right="0" w:firstLine="48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兹证明，</w:t>
      </w:r>
      <w:r/>
    </w:p>
    <w:p>
      <w:pPr>
        <w:ind w:left="0" w:right="0"/>
        <w:pageBreakBefore w:val="0"/>
        <w:spacing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姓名：性别：年龄：职务：</w:t>
      </w:r>
      <w:r/>
    </w:p>
    <w:p>
      <w:pPr>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pageBreakBefore w:val="0"/>
        <w:spacing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（投标人名称）</w:t>
      </w:r>
      <w:r>
        <w:rPr>
          <w:rFonts w:hint="eastAsia" w:ascii="宋体" w:hAnsi="宋体" w:eastAsia="宋体" w:cs="宋体"/>
          <w:color w:val="auto"/>
          <w:sz w:val="24"/>
          <w:szCs w:val="24"/>
          <w:highlight w:val="none"/>
        </w:rPr>
        <w:t xml:space="preserve">的法定代表人（单位负责人）。</w:t>
      </w:r>
      <w:r/>
    </w:p>
    <w:p>
      <w:pPr>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pageBreakBefore w:val="0"/>
        <w:spacing w:line="360" w:lineRule="auto"/>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法</w:t>
      </w:r>
      <w:r>
        <w:rPr>
          <w:rFonts w:hint="eastAsia" w:ascii="宋体" w:hAnsi="宋体" w:eastAsia="宋体" w:cs="宋体"/>
          <w:color w:val="auto"/>
          <w:sz w:val="24"/>
          <w:szCs w:val="24"/>
          <w:highlight w:val="none"/>
        </w:rPr>
        <w:t xml:space="preserve">定</w:t>
      </w:r>
      <w:r>
        <w:rPr>
          <w:rFonts w:hint="eastAsia" w:ascii="宋体" w:hAnsi="宋体" w:eastAsia="宋体" w:cs="宋体"/>
          <w:color w:val="auto"/>
          <w:spacing w:val="-3"/>
          <w:sz w:val="24"/>
          <w:szCs w:val="24"/>
          <w:highlight w:val="none"/>
        </w:rPr>
        <w:t xml:space="preserve">代</w:t>
      </w:r>
      <w:r>
        <w:rPr>
          <w:rFonts w:hint="eastAsia" w:ascii="宋体" w:hAnsi="宋体" w:eastAsia="宋体" w:cs="宋体"/>
          <w:color w:val="auto"/>
          <w:sz w:val="24"/>
          <w:szCs w:val="24"/>
          <w:highlight w:val="none"/>
        </w:rPr>
        <w:t xml:space="preserve">表</w:t>
      </w:r>
      <w:r>
        <w:rPr>
          <w:rFonts w:hint="eastAsia" w:ascii="宋体" w:hAnsi="宋体" w:eastAsia="宋体" w:cs="宋体"/>
          <w:color w:val="auto"/>
          <w:spacing w:val="-3"/>
          <w:sz w:val="24"/>
          <w:szCs w:val="24"/>
          <w:highlight w:val="none"/>
        </w:rPr>
        <w:t xml:space="preserve">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3"/>
          <w:sz w:val="24"/>
          <w:szCs w:val="24"/>
          <w:highlight w:val="none"/>
        </w:rPr>
        <w:t xml:space="preserve">单</w:t>
      </w:r>
      <w:r>
        <w:rPr>
          <w:rFonts w:hint="eastAsia" w:ascii="宋体" w:hAnsi="宋体" w:eastAsia="宋体" w:cs="宋体"/>
          <w:color w:val="auto"/>
          <w:sz w:val="24"/>
          <w:szCs w:val="24"/>
          <w:highlight w:val="none"/>
        </w:rPr>
        <w:t xml:space="preserve">位</w:t>
      </w:r>
      <w:r>
        <w:rPr>
          <w:rFonts w:hint="eastAsia" w:ascii="宋体" w:hAnsi="宋体" w:eastAsia="宋体" w:cs="宋体"/>
          <w:color w:val="auto"/>
          <w:spacing w:val="-3"/>
          <w:sz w:val="24"/>
          <w:szCs w:val="24"/>
          <w:highlight w:val="none"/>
        </w:rPr>
        <w:t xml:space="preserve">负</w:t>
      </w:r>
      <w:r>
        <w:rPr>
          <w:rFonts w:hint="eastAsia" w:ascii="宋体" w:hAnsi="宋体" w:eastAsia="宋体" w:cs="宋体"/>
          <w:color w:val="auto"/>
          <w:sz w:val="24"/>
          <w:szCs w:val="24"/>
          <w:highlight w:val="none"/>
        </w:rPr>
        <w:t xml:space="preserve">责人</w:t>
      </w:r>
      <w:r>
        <w:rPr>
          <w:rFonts w:hint="eastAsia" w:ascii="宋体" w:hAnsi="宋体" w:eastAsia="宋体" w:cs="宋体"/>
          <w:color w:val="auto"/>
          <w:spacing w:val="-3"/>
          <w:sz w:val="24"/>
          <w:szCs w:val="24"/>
          <w:highlight w:val="none"/>
        </w:rPr>
        <w:t xml:space="preserve">）有效期内的身份证正反面电子件：</w:t>
      </w:r>
      <w:r/>
    </w:p>
    <w:tbl>
      <w:tblPr>
        <w:tblStyle w:val="69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ind w:left="0" w:right="0"/>
        <w:pageBreakBefore w:val="0"/>
        <w:spacing w:line="360" w:lineRule="auto"/>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投标人名称（加盖公章）</w:t>
      </w:r>
      <w:r>
        <w:rPr>
          <w:rFonts w:hint="eastAsia" w:ascii="宋体" w:hAnsi="宋体" w:eastAsia="宋体" w:cs="宋体"/>
          <w:color w:val="auto"/>
          <w:sz w:val="24"/>
          <w:szCs w:val="24"/>
          <w:highlight w:val="none"/>
          <w:lang w:val="zh-CN"/>
        </w:rPr>
        <w:t xml:space="preserve">：</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法定代表人（</w:t>
      </w:r>
      <w:r>
        <w:rPr>
          <w:rFonts w:hint="eastAsia" w:ascii="宋体" w:hAnsi="宋体" w:eastAsia="宋体" w:cs="宋体"/>
          <w:color w:val="auto"/>
          <w:sz w:val="24"/>
          <w:szCs w:val="24"/>
          <w:highlight w:val="none"/>
        </w:rPr>
        <w:t xml:space="preserve">单位负责人</w:t>
      </w:r>
      <w:r>
        <w:rPr>
          <w:rFonts w:hint="eastAsia" w:ascii="宋体" w:hAnsi="宋体" w:eastAsia="宋体" w:cs="宋体"/>
          <w:color w:val="auto"/>
          <w:spacing w:val="-3"/>
          <w:sz w:val="24"/>
          <w:szCs w:val="24"/>
          <w:highlight w:val="none"/>
        </w:rPr>
        <w:t xml:space="preserve">）（签字、签章或印鉴）：</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十、投标函</w:t>
      </w:r>
      <w:r/>
    </w:p>
    <w:p>
      <w:pPr>
        <w:ind w:left="0" w:right="0"/>
        <w:jc w:val="center"/>
        <w:pageBreakBefore w:val="0"/>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36"/>
          <w:szCs w:val="28"/>
          <w:highlight w:val="none"/>
        </w:rPr>
        <w:t xml:space="preserve">投标函</w:t>
      </w:r>
      <w:r/>
    </w:p>
    <w:p>
      <w:pPr>
        <w:ind w:left="0" w:right="0"/>
        <w:jc w:val="left"/>
        <w:pageBreakBefore w:val="0"/>
        <w:spacing w:line="360"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致：</w:t>
      </w:r>
      <w:r>
        <w:rPr>
          <w:rFonts w:hint="eastAsia" w:ascii="宋体" w:hAnsi="宋体" w:eastAsia="宋体" w:cs="宋体"/>
          <w:color w:val="auto"/>
          <w:sz w:val="24"/>
          <w:szCs w:val="21"/>
          <w:highlight w:val="none"/>
          <w:lang w:val="en-US" w:eastAsia="zh-CN"/>
        </w:rPr>
        <w:t xml:space="preserve"> </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根据贵方的JSZC-_________________号招标文件，正式授权下述签字人_________________(姓名)代表我方______________（投标人的名称），全权处理本次项目投标的有关事宜。</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据此函，__________签字人兹宣布同意如下：</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1.按招标文件规定的各项要求，向买方提供所需货物（包含与货物相关的工程、服务）。</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2.我们完全理解贵方不一定将合同授予最低报价的投标人。</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3.我们已详细审核全部招标文件及其有效补充文件，我们知道必须放弃提出含糊不清或误解问题的权利。</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4.我们同意从规定的开标日期起遵循本投标文件，并在规定的投标有效期期满之前均具有约束力。</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5.同意向贵方提供贵方可能另外要求的与投标有关的任何证据或资料，并保证我方已提供和将要提供的文件是真实的、准确的。</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6.一旦我方中标</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我方将根据招标文件的规定，严格履行合同的责任和义务</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并保证在招标文件规定的时间完成项目，交付买方验收、使用。</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7.与本投标有关的正式通讯地址为：</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        址：</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邮        编：</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        话：</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        真：</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投标人开户行：</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账        号： </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十一、中小企业声明函</w:t>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ind w:left="0" w:right="0"/>
        <w:jc w:val="center"/>
        <w:pageBreakBefore w:val="0"/>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36"/>
          <w:szCs w:val="28"/>
          <w:highlight w:val="none"/>
        </w:rPr>
        <w:t xml:space="preserve">中小企业声明函</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left="0" w:right="0" w:firstLine="480"/>
        <w:pageBreakBefore w:val="0"/>
        <w:spacing w:line="360" w:lineRule="auto"/>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招标文件</w:t>
      </w:r>
      <w:r>
        <w:rPr>
          <w:rFonts w:hint="eastAsia" w:ascii="宋体" w:hAnsi="宋体" w:eastAsia="宋体" w:cs="宋体"/>
          <w:color w:val="auto"/>
          <w:sz w:val="24"/>
          <w:szCs w:val="24"/>
          <w:highlight w:val="none"/>
          <w:u w:val="single"/>
        </w:rPr>
        <w:t xml:space="preserve">中明确的所属行业）</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招标文件</w:t>
      </w:r>
      <w:r>
        <w:rPr>
          <w:rFonts w:hint="eastAsia" w:ascii="宋体" w:hAnsi="宋体" w:eastAsia="宋体" w:cs="宋体"/>
          <w:color w:val="auto"/>
          <w:sz w:val="24"/>
          <w:szCs w:val="24"/>
          <w:highlight w:val="none"/>
          <w:u w:val="single"/>
        </w:rPr>
        <w:t xml:space="preserve">中明确的所属行业）</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招标文件</w:t>
      </w:r>
      <w:r>
        <w:rPr>
          <w:rFonts w:hint="eastAsia" w:ascii="宋体" w:hAnsi="宋体" w:eastAsia="宋体" w:cs="宋体"/>
          <w:color w:val="auto"/>
          <w:sz w:val="24"/>
          <w:szCs w:val="24"/>
          <w:highlight w:val="none"/>
          <w:u w:val="single"/>
        </w:rPr>
        <w:t xml:space="preserve">中明确的所属行业）</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left="0" w:right="0" w:firstLine="28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left="0" w:right="0" w:firstLine="28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left="0" w:right="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填报说明：</w:t>
      </w:r>
      <w:r/>
    </w:p>
    <w:p>
      <w:pPr>
        <w:ind w:left="0" w:right="0"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1、从业人员、营业收入、资产总额填报上一年度数据，无上一年度数据的新成立企业可不填报。</w:t>
      </w:r>
      <w:r/>
    </w:p>
    <w:p>
      <w:pPr>
        <w:ind w:left="0" w:right="0"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2、请</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如实填写，所填内容须与投标分项报价表一致，如填写不完整或不一致或填写有误，将不享受扶持政策。</w:t>
      </w:r>
      <w:r/>
    </w:p>
    <w:p>
      <w:pPr>
        <w:ind w:left="0" w:right="0"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3、中标人的《中小企业声明函》随中标结果公开，接受社会监督。</w:t>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十二、残疾人福利性单位声明函</w:t>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ind w:left="0" w:right="0"/>
        <w:jc w:val="center"/>
        <w:pageBreakBefore w:val="0"/>
        <w:spacing w:line="360" w:lineRule="auto"/>
        <w:tabs>
          <w:tab w:val="left" w:pos="360" w:leader="none"/>
        </w:tabs>
        <w:rPr>
          <w:rFonts w:hint="eastAsia" w:ascii="宋体" w:hAnsi="宋体" w:eastAsia="宋体" w:cs="宋体"/>
          <w:color w:val="auto"/>
          <w:sz w:val="24"/>
          <w:szCs w:val="21"/>
          <w:highlight w:val="none"/>
        </w:rPr>
      </w:pPr>
      <w:r>
        <w:rPr>
          <w:rFonts w:hint="eastAsia" w:ascii="宋体" w:hAnsi="宋体" w:eastAsia="宋体" w:cs="宋体"/>
          <w:bCs/>
          <w:color w:val="auto"/>
          <w:sz w:val="36"/>
          <w:szCs w:val="28"/>
          <w:highlight w:val="none"/>
        </w:rPr>
        <w:t xml:space="preserve">残疾人福利性单位声明函</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 xml:space="preserve">〔2017〕</w:t>
      </w:r>
      <w:r>
        <w:rPr>
          <w:rFonts w:hint="eastAsia" w:ascii="宋体" w:hAnsi="宋体" w:eastAsia="宋体" w:cs="宋体"/>
          <w:color w:val="auto"/>
          <w:sz w:val="24"/>
          <w:szCs w:val="21"/>
          <w:highlight w:val="none"/>
        </w:rPr>
        <w:t xml:space="preserve">141号）的规定，本单位为符合条件的残疾人福利性单位，且本单位参加单位的项目（</w:t>
      </w:r>
      <w:r>
        <w:rPr>
          <w:rFonts w:hint="eastAsia" w:ascii="宋体" w:hAnsi="宋体" w:eastAsia="宋体" w:cs="宋体"/>
          <w:color w:val="auto"/>
          <w:sz w:val="24"/>
          <w:szCs w:val="24"/>
          <w:highlight w:val="none"/>
        </w:rPr>
        <w:t xml:space="preserve">项目编号：，分包号：</w:t>
      </w:r>
      <w:r>
        <w:rPr>
          <w:rFonts w:hint="eastAsia" w:ascii="宋体" w:hAnsi="宋体" w:eastAsia="宋体" w:cs="宋体"/>
          <w:color w:val="auto"/>
          <w:sz w:val="24"/>
          <w:szCs w:val="21"/>
          <w:highlight w:val="none"/>
        </w:rPr>
        <w:t xml:space="preserve">）采购活动提供本单位制造的货物，或者提供其他残疾人福利性单位制造的货物（不包括使用非残疾人福利性单位注册商标的货物）。相关企业的具体情况如下：</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1"/>
          <w:highlight w:val="none"/>
          <w:u w:val="single"/>
        </w:rPr>
        <w:t xml:space="preserve">（标的名称）</w:t>
      </w:r>
      <w:r>
        <w:rPr>
          <w:rFonts w:hint="eastAsia" w:ascii="宋体" w:hAnsi="宋体" w:eastAsia="宋体" w:cs="宋体"/>
          <w:color w:val="auto"/>
          <w:sz w:val="24"/>
          <w:szCs w:val="21"/>
          <w:highlight w:val="none"/>
        </w:rPr>
        <w:t xml:space="preserve">，制造商为</w:t>
      </w:r>
      <w:r>
        <w:rPr>
          <w:rFonts w:hint="eastAsia" w:ascii="宋体" w:hAnsi="宋体" w:eastAsia="宋体" w:cs="宋体"/>
          <w:color w:val="auto"/>
          <w:sz w:val="24"/>
          <w:szCs w:val="21"/>
          <w:highlight w:val="none"/>
          <w:u w:val="single"/>
        </w:rPr>
        <w:t xml:space="preserve">（企业名称）</w:t>
      </w:r>
      <w:r>
        <w:rPr>
          <w:rFonts w:hint="eastAsia" w:ascii="宋体" w:hAnsi="宋体" w:eastAsia="宋体" w:cs="宋体"/>
          <w:color w:val="auto"/>
          <w:sz w:val="24"/>
          <w:szCs w:val="21"/>
          <w:highlight w:val="none"/>
        </w:rPr>
        <w:t xml:space="preserve">，属于残疾人福利性单位； </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u w:val="single"/>
        </w:rPr>
        <w:t xml:space="preserve">（标的名称）</w:t>
      </w:r>
      <w:r>
        <w:rPr>
          <w:rFonts w:hint="eastAsia" w:ascii="宋体" w:hAnsi="宋体" w:eastAsia="宋体" w:cs="宋体"/>
          <w:color w:val="auto"/>
          <w:sz w:val="24"/>
          <w:szCs w:val="21"/>
          <w:highlight w:val="none"/>
        </w:rPr>
        <w:t xml:space="preserve">，制造商为</w:t>
      </w:r>
      <w:r>
        <w:rPr>
          <w:rFonts w:hint="eastAsia" w:ascii="宋体" w:hAnsi="宋体" w:eastAsia="宋体" w:cs="宋体"/>
          <w:color w:val="auto"/>
          <w:sz w:val="24"/>
          <w:szCs w:val="21"/>
          <w:highlight w:val="none"/>
          <w:u w:val="single"/>
        </w:rPr>
        <w:t xml:space="preserve">（企业名称）</w:t>
      </w:r>
      <w:r>
        <w:rPr>
          <w:rFonts w:hint="eastAsia" w:ascii="宋体" w:hAnsi="宋体" w:eastAsia="宋体" w:cs="宋体"/>
          <w:color w:val="auto"/>
          <w:sz w:val="24"/>
          <w:szCs w:val="21"/>
          <w:highlight w:val="none"/>
        </w:rPr>
        <w:t xml:space="preserve">，属于残疾人福利性单位；</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w:t>
      </w:r>
      <w:r/>
    </w:p>
    <w:p>
      <w:pPr>
        <w:ind w:left="0" w:right="0" w:firstLine="48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left="0" w:right="0" w:firstLine="48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left="0" w:right="0" w:firstLine="28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单位名称（盖章）：</w:t>
      </w:r>
      <w:r/>
    </w:p>
    <w:p>
      <w:pPr>
        <w:ind w:left="0" w:right="0" w:firstLine="28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填报说明：</w:t>
      </w:r>
      <w:r/>
    </w:p>
    <w:p>
      <w:pPr>
        <w:ind w:left="0" w:right="0" w:firstLine="480"/>
        <w:jc w:val="left"/>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请</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如实填写，所填内容须与投标分项报价表一致，如填写不完整或不一致或填写有误，将不享受扶持政策。</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2、中标人的《残疾人福利性单位声明函》随中标结果公开</w:t>
      </w:r>
      <w:r>
        <w:rPr>
          <w:rFonts w:hint="eastAsia" w:ascii="宋体" w:hAnsi="宋体" w:eastAsia="宋体" w:cs="宋体"/>
          <w:color w:val="auto"/>
          <w:sz w:val="24"/>
          <w:szCs w:val="24"/>
          <w:highlight w:val="none"/>
        </w:rPr>
        <w:t xml:space="preserve">，接受社会监督</w:t>
      </w:r>
      <w:r>
        <w:rPr>
          <w:rFonts w:hint="eastAsia" w:ascii="宋体" w:hAnsi="宋体" w:eastAsia="宋体" w:cs="宋体"/>
          <w:bCs/>
          <w:color w:val="auto"/>
          <w:sz w:val="24"/>
          <w:szCs w:val="24"/>
          <w:highlight w:val="none"/>
        </w:rPr>
        <w:t xml:space="preserve">。</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6"/>
          <w:highlight w:val="none"/>
        </w:rPr>
      </w:pPr>
      <w:r>
        <w:rPr>
          <w:rFonts w:hint="eastAsia" w:ascii="宋体" w:hAnsi="宋体" w:eastAsia="宋体" w:cs="宋体"/>
          <w:color w:val="auto"/>
          <w:sz w:val="36"/>
          <w:highlight w:val="none"/>
        </w:rPr>
        <w:br w:type="page" w:clear="all"/>
      </w:r>
      <w:r/>
    </w:p>
    <w:p>
      <w:pPr>
        <w:ind w:left="0" w:right="0"/>
        <w:jc w:val="left"/>
        <w:keepLines/>
        <w:keepNext/>
        <w:pageBreakBefore w:val="0"/>
        <w:spacing w:line="360" w:lineRule="auto"/>
        <w:rPr>
          <w:rFonts w:hint="default" w:ascii="宋体" w:hAnsi="宋体" w:eastAsia="宋体" w:cs="宋体"/>
          <w:i/>
          <w:color w:val="auto"/>
          <w:sz w:val="28"/>
          <w:szCs w:val="28"/>
          <w:highlight w:val="none"/>
          <w:u w:val="single"/>
          <w:lang w:val="en-US" w:eastAsia="zh-CN"/>
        </w:rPr>
        <w:outlineLvl w:val="1"/>
      </w:pPr>
      <w:r>
        <w:rPr>
          <w:rFonts w:hint="eastAsia" w:ascii="宋体" w:hAnsi="宋体" w:eastAsia="宋体" w:cs="宋体"/>
          <w:i/>
          <w:color w:val="auto"/>
          <w:sz w:val="28"/>
          <w:szCs w:val="28"/>
          <w:highlight w:val="none"/>
          <w:u w:val="single"/>
        </w:rPr>
        <w:t xml:space="preserve">十</w:t>
      </w:r>
      <w:r>
        <w:rPr>
          <w:rFonts w:hint="eastAsia" w:ascii="宋体" w:hAnsi="宋体" w:eastAsia="宋体" w:cs="宋体"/>
          <w:i/>
          <w:color w:val="auto"/>
          <w:sz w:val="28"/>
          <w:szCs w:val="28"/>
          <w:highlight w:val="none"/>
          <w:u w:val="single"/>
          <w:lang w:eastAsia="zh-CN"/>
        </w:rPr>
        <w:t xml:space="preserve">三</w:t>
      </w:r>
      <w:r>
        <w:rPr>
          <w:rFonts w:hint="eastAsia" w:ascii="宋体" w:hAnsi="宋体" w:eastAsia="宋体" w:cs="宋体"/>
          <w:i/>
          <w:color w:val="auto"/>
          <w:sz w:val="28"/>
          <w:szCs w:val="28"/>
          <w:highlight w:val="none"/>
          <w:u w:val="single"/>
        </w:rPr>
        <w:t xml:space="preserve">、投标分项报价表</w:t>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投标分项报价表</w:t>
      </w:r>
      <w:r/>
    </w:p>
    <w:p>
      <w:pPr>
        <w:ind w:left="0" w:right="0" w:firstLine="21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w:t>
      </w:r>
      <w:r>
        <w:rPr>
          <w:rFonts w:hint="eastAsia" w:ascii="宋体" w:hAnsi="宋体" w:eastAsia="宋体" w:cs="宋体"/>
          <w:color w:val="auto"/>
          <w:sz w:val="21"/>
          <w:szCs w:val="21"/>
          <w:highlight w:val="none"/>
          <w:lang w:val="en-US" w:eastAsia="zh-CN"/>
        </w:rPr>
        <w:t xml:space="preserve">   项目编号：                                  </w:t>
      </w:r>
      <w:r>
        <w:rPr>
          <w:rFonts w:hint="eastAsia" w:ascii="宋体" w:hAnsi="宋体" w:eastAsia="宋体" w:cs="宋体"/>
          <w:color w:val="auto"/>
          <w:sz w:val="21"/>
          <w:szCs w:val="21"/>
          <w:highlight w:val="none"/>
        </w:rPr>
        <w:t xml:space="preserve">单位：元</w:t>
      </w:r>
      <w:r/>
    </w:p>
    <w:tbl>
      <w:tblPr>
        <w:tblStyle w:val="691"/>
        <w:tblW w:w="92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50"/>
        <w:gridCol w:w="705"/>
        <w:gridCol w:w="1215"/>
        <w:gridCol w:w="825"/>
        <w:gridCol w:w="768"/>
        <w:gridCol w:w="927"/>
        <w:gridCol w:w="780"/>
        <w:gridCol w:w="765"/>
        <w:gridCol w:w="750"/>
        <w:gridCol w:w="793"/>
      </w:tblGrid>
      <w:tr>
        <w:trPr>
          <w:jc w:val="center"/>
          <w:trHeight w:val="990"/>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序号</w:t>
            </w:r>
            <w:r/>
          </w:p>
        </w:tc>
        <w:tc>
          <w:tcPr>
            <w:tcW w:w="1250"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货物</w:t>
            </w:r>
            <w:r>
              <w:rPr>
                <w:rFonts w:hint="eastAsia" w:ascii="宋体" w:hAnsi="宋体" w:eastAsia="宋体" w:cs="宋体"/>
                <w:bCs/>
                <w:color w:val="auto"/>
                <w:szCs w:val="24"/>
                <w:highlight w:val="none"/>
                <w:lang w:val="en-US" w:eastAsia="zh-CN"/>
              </w:rPr>
              <w:t xml:space="preserve">  </w:t>
            </w:r>
            <w:r>
              <w:rPr>
                <w:rFonts w:hint="eastAsia" w:ascii="宋体" w:hAnsi="宋体" w:eastAsia="宋体" w:cs="宋体"/>
                <w:bCs/>
                <w:color w:val="auto"/>
                <w:szCs w:val="24"/>
                <w:highlight w:val="none"/>
              </w:rPr>
              <w:t xml:space="preserve">（标的）名称</w:t>
            </w:r>
            <w:r/>
          </w:p>
        </w:tc>
        <w:tc>
          <w:tcPr>
            <w:tcW w:w="705"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品牌</w:t>
            </w:r>
            <w:r/>
          </w:p>
        </w:tc>
        <w:tc>
          <w:tcPr>
            <w:tcW w:w="1215"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
                <w:bCs w:val="0"/>
                <w:color w:val="auto"/>
                <w:szCs w:val="24"/>
                <w:highlight w:val="none"/>
              </w:rPr>
              <w:t xml:space="preserve">是否符合本国产品标准</w:t>
            </w:r>
            <w:r/>
          </w:p>
        </w:tc>
        <w:tc>
          <w:tcPr>
            <w:tcW w:w="825"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规格型号</w:t>
            </w:r>
            <w:r/>
          </w:p>
        </w:tc>
        <w:tc>
          <w:tcPr>
            <w:tcW w:w="768"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制造商</w:t>
            </w:r>
            <w:r/>
          </w:p>
        </w:tc>
        <w:tc>
          <w:tcPr>
            <w:tcW w:w="927"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制造商企业类型</w:t>
            </w:r>
            <w:r/>
          </w:p>
        </w:tc>
        <w:tc>
          <w:tcPr>
            <w:tcW w:w="780"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单价</w:t>
            </w:r>
            <w:r/>
          </w:p>
        </w:tc>
        <w:tc>
          <w:tcPr>
            <w:tcW w:w="765"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数量</w:t>
            </w:r>
            <w:r/>
          </w:p>
        </w:tc>
        <w:tc>
          <w:tcPr>
            <w:tcW w:w="750"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计量单位</w:t>
            </w:r>
            <w:r/>
          </w:p>
        </w:tc>
        <w:tc>
          <w:tcPr>
            <w:tcW w:w="793"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单项合计价</w:t>
            </w:r>
            <w:r/>
          </w:p>
        </w:tc>
      </w:tr>
      <w:tr>
        <w:trPr>
          <w:jc w:val="center"/>
          <w:trHeight w:val="581"/>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12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1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2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8"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27"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80" w:type="dxa"/>
            <w:vAlign w:val="center"/>
            <w:textDirection w:val="lrTb"/>
            <w:noWrap w:val="false"/>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3"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48"/>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W w:w="12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1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2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8"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27"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80" w:type="dxa"/>
            <w:vAlign w:val="center"/>
            <w:textDirection w:val="lrTb"/>
            <w:noWrap w:val="false"/>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3"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51"/>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tcW w:w="12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1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2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8"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27"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80" w:type="dxa"/>
            <w:vAlign w:val="center"/>
            <w:textDirection w:val="lrTb"/>
            <w:noWrap w:val="false"/>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3"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47"/>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tc>
        <w:tc>
          <w:tcPr>
            <w:tcW w:w="12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1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2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8"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27"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8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3"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67"/>
        </w:trPr>
        <w:tc>
          <w:tcPr>
            <w:gridSpan w:val="6"/>
            <w:tcW w:w="5284" w:type="dxa"/>
            <w:vAlign w:val="center"/>
            <w:textDirection w:val="lrTb"/>
            <w:noWrap/>
          </w:tcPr>
          <w:p>
            <w:pPr>
              <w:ind w:left="0" w:right="0"/>
              <w:jc w:val="center"/>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总计（元）</w:t>
            </w:r>
            <w:r/>
          </w:p>
        </w:tc>
        <w:tc>
          <w:tcPr>
            <w:gridSpan w:val="5"/>
            <w:tcW w:w="4015" w:type="dxa"/>
            <w:vAlign w:val="center"/>
            <w:textDirection w:val="lrTb"/>
            <w:noWrap w:val="false"/>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67"/>
        </w:trPr>
        <w:tc>
          <w:tcPr>
            <w:gridSpan w:val="11"/>
            <w:tcW w:w="9299"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b/>
                <w:bCs/>
                <w:color w:val="auto"/>
                <w:sz w:val="21"/>
                <w:szCs w:val="21"/>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该部分供应商填写）</w:t>
            </w:r>
            <w:r/>
          </w:p>
        </w:tc>
      </w:tr>
    </w:tbl>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left="0" w:right="0" w:firstLine="210"/>
        <w:jc w:val="left"/>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 w:val="21"/>
          <w:szCs w:val="21"/>
          <w:highlight w:val="none"/>
        </w:rPr>
        <w:t xml:space="preserve">项目名称：      </w:t>
      </w:r>
      <w:r>
        <w:rPr>
          <w:rFonts w:hint="eastAsia" w:ascii="宋体" w:hAnsi="宋体" w:eastAsia="宋体" w:cs="宋体"/>
          <w:color w:val="auto"/>
          <w:sz w:val="21"/>
          <w:szCs w:val="21"/>
          <w:highlight w:val="none"/>
          <w:lang w:val="en-US" w:eastAsia="zh-CN"/>
        </w:rPr>
        <w:t xml:space="preserve">   项目编号：                                  </w:t>
      </w:r>
      <w:r>
        <w:rPr>
          <w:rFonts w:hint="eastAsia" w:ascii="宋体" w:hAnsi="宋体" w:eastAsia="宋体" w:cs="宋体"/>
          <w:color w:val="auto"/>
          <w:sz w:val="21"/>
          <w:szCs w:val="21"/>
          <w:highlight w:val="none"/>
        </w:rPr>
        <w:t xml:space="preserve">单位：元</w:t>
      </w:r>
      <w:r/>
    </w:p>
    <w:tbl>
      <w:tblPr>
        <w:tblStyle w:val="691"/>
        <w:tblW w:w="9163"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95"/>
        <w:gridCol w:w="1450"/>
        <w:gridCol w:w="3106"/>
        <w:gridCol w:w="858"/>
        <w:gridCol w:w="939"/>
        <w:gridCol w:w="1217"/>
        <w:gridCol w:w="698"/>
      </w:tblGrid>
      <w:tr>
        <w:trPr>
          <w:trHeight w:val="608"/>
        </w:trPr>
        <w:tc>
          <w:tcPr>
            <w:gridSpan w:val="7"/>
            <w:shd w:val="clear" w:color="ffffff" w:fill="ffffff"/>
            <w:tcW w:w="916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雨水收集池-土建分项报价表</w:t>
            </w:r>
            <w:r/>
          </w:p>
        </w:tc>
      </w:tr>
      <w:tr>
        <w:trPr>
          <w:trHeight w:val="225"/>
        </w:trPr>
        <w:tc>
          <w:tcPr>
            <w:shd w:val="clear" w:color="ffffff" w:fill="ffffff"/>
            <w:tcW w:w="89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ffffff" w:fill="ffffff"/>
            <w:tcW w:w="145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项目名称</w:t>
            </w:r>
            <w:r/>
          </w:p>
        </w:tc>
        <w:tc>
          <w:tcPr>
            <w:shd w:val="clear" w:color="ffffff" w:fill="ffffff"/>
            <w:tcW w:w="310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项目特征描述</w:t>
            </w:r>
            <w:r/>
          </w:p>
        </w:tc>
        <w:tc>
          <w:tcPr>
            <w:shd w:val="clear" w:color="ffffff" w:fill="ffffff"/>
            <w:tcW w:w="85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计量单位</w:t>
            </w:r>
            <w:r/>
          </w:p>
        </w:tc>
        <w:tc>
          <w:tcPr>
            <w:shd w:val="clear" w:color="ffffff" w:fill="ffffff"/>
            <w:tcW w:w="93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工程量</w:t>
            </w:r>
            <w:r/>
          </w:p>
        </w:tc>
        <w:tc>
          <w:tcPr>
            <w:shd w:val="clear" w:color="ffffff" w:fill="ffffff"/>
            <w:tcW w:w="121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综合单价</w:t>
            </w:r>
            <w:r/>
          </w:p>
        </w:tc>
        <w:tc>
          <w:tcPr>
            <w:shd w:val="clear" w:color="ffffff" w:fill="ffffff"/>
            <w:tcW w:w="69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综合合价</w:t>
            </w:r>
            <w:r/>
          </w:p>
        </w:tc>
      </w:tr>
      <w:tr>
        <w:trPr>
          <w:trHeight w:val="450"/>
        </w:trPr>
        <w:tc>
          <w:tcPr>
            <w:gridSpan w:val="7"/>
            <w:shd w:val="clear" w:color="ffffff" w:fill="ffffff"/>
            <w:tcW w:w="9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雨水收集池</w:t>
            </w:r>
            <w:r/>
          </w:p>
        </w:tc>
      </w:tr>
      <w:tr>
        <w:trPr>
          <w:trHeight w:val="1398"/>
        </w:trPr>
        <w:tc>
          <w:tcPr>
            <w:shd w:val="clear" w:color="ffffff"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4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挖基坑土方</w:t>
            </w:r>
            <w:r/>
          </w:p>
        </w:tc>
        <w:tc>
          <w:tcPr>
            <w:shd w:val="clear" w:color="auto" w:fill="auto"/>
            <w:tcW w:w="3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1、土壤类别:投标单位根据现场实际情况自行考虑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2、挖土深度:详见图纸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3、弃土运距:临时堆土场地及运距投标人自行考虑</w:t>
            </w:r>
            <w:r/>
          </w:p>
        </w:tc>
        <w:tc>
          <w:tcPr>
            <w:shd w:val="clear" w:color="auto" w:fill="auto"/>
            <w:tcW w:w="8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m3</w:t>
            </w:r>
            <w:r/>
          </w:p>
        </w:tc>
        <w:tc>
          <w:tcPr>
            <w:shd w:val="clear" w:color="auto" w:fill="auto"/>
            <w:tcW w:w="9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3601.8</w:t>
            </w:r>
            <w:r/>
          </w:p>
        </w:tc>
        <w:tc>
          <w:tcPr>
            <w:shd w:val="clear" w:color="auto" w:fill="auto"/>
            <w:tcW w:w="121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ffffff" w:fill="ffffff"/>
            <w:tcW w:w="698"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75"/>
        </w:trPr>
        <w:tc>
          <w:tcPr>
            <w:shd w:val="clear" w:color="ffffff"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W w:w="14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挖沟槽土方</w:t>
            </w:r>
            <w:r/>
          </w:p>
        </w:tc>
        <w:tc>
          <w:tcPr>
            <w:shd w:val="clear" w:color="auto" w:fill="auto"/>
            <w:tcW w:w="3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1、土壤类别:投标单位根据现场实际情况自行考虑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2、挖土深度:详见图纸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3、弃土运距:临时堆土场地及运距投标人自行考虑</w:t>
            </w:r>
            <w:r/>
          </w:p>
        </w:tc>
        <w:tc>
          <w:tcPr>
            <w:shd w:val="clear" w:color="auto" w:fill="auto"/>
            <w:tcW w:w="8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m3</w:t>
            </w:r>
            <w:r/>
          </w:p>
        </w:tc>
        <w:tc>
          <w:tcPr>
            <w:shd w:val="clear" w:color="auto" w:fill="auto"/>
            <w:tcW w:w="9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35.07</w:t>
            </w:r>
            <w:r/>
          </w:p>
        </w:tc>
        <w:tc>
          <w:tcPr>
            <w:shd w:val="clear" w:color="auto" w:fill="auto"/>
            <w:tcW w:w="121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ffffff" w:fill="ffffff"/>
            <w:tcW w:w="698"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900"/>
        </w:trPr>
        <w:tc>
          <w:tcPr>
            <w:shd w:val="clear" w:color="ffffff"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W w:w="14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回填方</w:t>
            </w:r>
            <w:r/>
          </w:p>
        </w:tc>
        <w:tc>
          <w:tcPr>
            <w:shd w:val="clear" w:color="auto" w:fill="auto"/>
            <w:tcW w:w="3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1、密实度要求:符合设计要求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2、填方材料品种:原土回填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3、填方来源、运距:投标单位根据现场实际情况自行考虑</w:t>
            </w:r>
            <w:r/>
          </w:p>
        </w:tc>
        <w:tc>
          <w:tcPr>
            <w:shd w:val="clear" w:color="auto" w:fill="auto"/>
            <w:tcW w:w="8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m3</w:t>
            </w:r>
            <w:r/>
          </w:p>
        </w:tc>
        <w:tc>
          <w:tcPr>
            <w:shd w:val="clear" w:color="auto" w:fill="auto"/>
            <w:tcW w:w="9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1906.57</w:t>
            </w:r>
            <w:r/>
          </w:p>
        </w:tc>
        <w:tc>
          <w:tcPr>
            <w:shd w:val="clear" w:color="auto" w:fill="auto"/>
            <w:tcW w:w="121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ffffff" w:fill="ffffff"/>
            <w:tcW w:w="698"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0"/>
        </w:trPr>
        <w:tc>
          <w:tcPr>
            <w:shd w:val="clear" w:color="ffffff"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14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余方弃置</w:t>
            </w:r>
            <w:r/>
          </w:p>
        </w:tc>
        <w:tc>
          <w:tcPr>
            <w:shd w:val="clear" w:color="auto" w:fill="auto"/>
            <w:tcW w:w="3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1、废弃料品种:余方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2、运距:运至甲方指定地点，运距投标人自行考虑</w:t>
            </w:r>
            <w:r/>
          </w:p>
        </w:tc>
        <w:tc>
          <w:tcPr>
            <w:shd w:val="clear" w:color="auto" w:fill="auto"/>
            <w:tcW w:w="8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m3</w:t>
            </w:r>
            <w:r/>
          </w:p>
        </w:tc>
        <w:tc>
          <w:tcPr>
            <w:shd w:val="clear" w:color="auto" w:fill="auto"/>
            <w:tcW w:w="9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1695.94</w:t>
            </w:r>
            <w:r/>
          </w:p>
        </w:tc>
        <w:tc>
          <w:tcPr>
            <w:shd w:val="clear" w:color="auto" w:fill="auto"/>
            <w:tcW w:w="121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ffffff" w:fill="ffffff"/>
            <w:tcW w:w="698"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0"/>
        </w:trPr>
        <w:tc>
          <w:tcPr>
            <w:shd w:val="clear" w:color="ffffff"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14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素土夯实</w:t>
            </w:r>
            <w:r/>
          </w:p>
        </w:tc>
        <w:tc>
          <w:tcPr>
            <w:shd w:val="clear" w:color="auto" w:fill="auto"/>
            <w:tcW w:w="3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1、素土夯实</w:t>
            </w:r>
            <w:r/>
          </w:p>
        </w:tc>
        <w:tc>
          <w:tcPr>
            <w:shd w:val="clear" w:color="auto" w:fill="auto"/>
            <w:tcW w:w="8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W w:w="9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638.64</w:t>
            </w:r>
            <w:r/>
          </w:p>
        </w:tc>
        <w:tc>
          <w:tcPr>
            <w:shd w:val="clear" w:color="auto" w:fill="auto"/>
            <w:tcW w:w="121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ffffff" w:fill="ffffff"/>
            <w:tcW w:w="698"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0"/>
        </w:trPr>
        <w:tc>
          <w:tcPr>
            <w:shd w:val="clear" w:color="ffffff"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W w:w="14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垫层</w:t>
            </w:r>
            <w:r/>
          </w:p>
        </w:tc>
        <w:tc>
          <w:tcPr>
            <w:shd w:val="clear" w:color="auto" w:fill="auto"/>
            <w:tcW w:w="3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1、部位:控制柜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2、垫层材料种类、配合比、厚度:200mm碎石垫层</w:t>
            </w:r>
            <w:r/>
          </w:p>
        </w:tc>
        <w:tc>
          <w:tcPr>
            <w:shd w:val="clear" w:color="auto" w:fill="auto"/>
            <w:tcW w:w="8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m3</w:t>
            </w:r>
            <w:r/>
          </w:p>
        </w:tc>
        <w:tc>
          <w:tcPr>
            <w:shd w:val="clear" w:color="auto" w:fill="auto"/>
            <w:tcW w:w="9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0.13</w:t>
            </w:r>
            <w:r/>
          </w:p>
        </w:tc>
        <w:tc>
          <w:tcPr>
            <w:shd w:val="clear" w:color="auto" w:fill="auto"/>
            <w:tcW w:w="121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ffffff" w:fill="ffffff"/>
            <w:tcW w:w="698"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75"/>
        </w:trPr>
        <w:tc>
          <w:tcPr>
            <w:shd w:val="clear" w:color="ffffff"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W w:w="14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垫层</w:t>
            </w:r>
            <w:r/>
          </w:p>
        </w:tc>
        <w:tc>
          <w:tcPr>
            <w:shd w:val="clear" w:color="auto" w:fill="auto"/>
            <w:tcW w:w="3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1、混凝土种类:预拌砼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2、混凝土强度等级:C30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3、含模板、养生</w:t>
            </w:r>
            <w:r/>
          </w:p>
        </w:tc>
        <w:tc>
          <w:tcPr>
            <w:shd w:val="clear" w:color="auto" w:fill="auto"/>
            <w:tcW w:w="8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m3</w:t>
            </w:r>
            <w:r/>
          </w:p>
        </w:tc>
        <w:tc>
          <w:tcPr>
            <w:shd w:val="clear" w:color="auto" w:fill="auto"/>
            <w:tcW w:w="9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63.93</w:t>
            </w:r>
            <w:r/>
          </w:p>
        </w:tc>
        <w:tc>
          <w:tcPr>
            <w:shd w:val="clear" w:color="auto" w:fill="auto"/>
            <w:tcW w:w="121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ffffff" w:fill="ffffff"/>
            <w:tcW w:w="698"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900"/>
        </w:trPr>
        <w:tc>
          <w:tcPr>
            <w:shd w:val="clear" w:color="ffffff"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W w:w="14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独立基础</w:t>
            </w:r>
            <w:r/>
          </w:p>
        </w:tc>
        <w:tc>
          <w:tcPr>
            <w:shd w:val="clear" w:color="auto" w:fill="auto"/>
            <w:tcW w:w="3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1、部位:控制柜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2、混凝土种类:预拌砼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3、混凝土强度等级:C30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4、含模板、养生</w:t>
            </w:r>
            <w:r/>
          </w:p>
        </w:tc>
        <w:tc>
          <w:tcPr>
            <w:shd w:val="clear" w:color="auto" w:fill="auto"/>
            <w:tcW w:w="8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m3</w:t>
            </w:r>
            <w:r/>
          </w:p>
        </w:tc>
        <w:tc>
          <w:tcPr>
            <w:shd w:val="clear" w:color="auto" w:fill="auto"/>
            <w:tcW w:w="9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0.15</w:t>
            </w:r>
            <w:r/>
          </w:p>
        </w:tc>
        <w:tc>
          <w:tcPr>
            <w:shd w:val="clear" w:color="auto" w:fill="auto"/>
            <w:tcW w:w="121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ffffff" w:fill="ffffff"/>
            <w:tcW w:w="698"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75"/>
        </w:trPr>
        <w:tc>
          <w:tcPr>
            <w:shd w:val="clear" w:color="ffffff"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W w:w="14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满堂基础</w:t>
            </w:r>
            <w:r/>
          </w:p>
        </w:tc>
        <w:tc>
          <w:tcPr>
            <w:shd w:val="clear" w:color="auto" w:fill="auto"/>
            <w:tcW w:w="3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1、混凝土种类:预拌砼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2、混凝土强度等级:C30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3、含模板、养生</w:t>
            </w:r>
            <w:r/>
          </w:p>
        </w:tc>
        <w:tc>
          <w:tcPr>
            <w:shd w:val="clear" w:color="auto" w:fill="auto"/>
            <w:tcW w:w="8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m3</w:t>
            </w:r>
            <w:r/>
          </w:p>
        </w:tc>
        <w:tc>
          <w:tcPr>
            <w:shd w:val="clear" w:color="auto" w:fill="auto"/>
            <w:tcW w:w="9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121.55</w:t>
            </w:r>
            <w:r/>
          </w:p>
        </w:tc>
        <w:tc>
          <w:tcPr>
            <w:shd w:val="clear" w:color="auto" w:fill="auto"/>
            <w:tcW w:w="121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ffffff" w:fill="ffffff"/>
            <w:tcW w:w="698"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75"/>
        </w:trPr>
        <w:tc>
          <w:tcPr>
            <w:shd w:val="clear" w:color="ffffff"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14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平板</w:t>
            </w:r>
            <w:r/>
          </w:p>
        </w:tc>
        <w:tc>
          <w:tcPr>
            <w:shd w:val="clear" w:color="auto" w:fill="auto"/>
            <w:tcW w:w="3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1、混凝土种类:预拌砼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2、混凝土强度等级:C30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3、含模板、养生</w:t>
            </w:r>
            <w:r/>
          </w:p>
        </w:tc>
        <w:tc>
          <w:tcPr>
            <w:shd w:val="clear" w:color="auto" w:fill="auto"/>
            <w:tcW w:w="8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m3</w:t>
            </w:r>
            <w:r/>
          </w:p>
        </w:tc>
        <w:tc>
          <w:tcPr>
            <w:shd w:val="clear" w:color="auto" w:fill="auto"/>
            <w:tcW w:w="9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118.98</w:t>
            </w:r>
            <w:r/>
          </w:p>
        </w:tc>
        <w:tc>
          <w:tcPr>
            <w:shd w:val="clear" w:color="auto" w:fill="auto"/>
            <w:tcW w:w="121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ffffff" w:fill="ffffff"/>
            <w:tcW w:w="698"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0"/>
        </w:trPr>
        <w:tc>
          <w:tcPr>
            <w:shd w:val="clear" w:color="ffffff"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W w:w="14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现浇构件钢筋</w:t>
            </w:r>
            <w:r/>
          </w:p>
        </w:tc>
        <w:tc>
          <w:tcPr>
            <w:shd w:val="clear" w:color="auto" w:fill="auto"/>
            <w:tcW w:w="3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1、钢筋种类、规格:三级钢 φ12以内</w:t>
            </w:r>
            <w:r/>
          </w:p>
        </w:tc>
        <w:tc>
          <w:tcPr>
            <w:shd w:val="clear" w:color="auto" w:fill="auto"/>
            <w:tcW w:w="8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w:t>
            </w:r>
            <w:r/>
          </w:p>
        </w:tc>
        <w:tc>
          <w:tcPr>
            <w:shd w:val="clear" w:color="auto" w:fill="auto"/>
            <w:tcW w:w="9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30.38</w:t>
            </w:r>
            <w:r/>
          </w:p>
        </w:tc>
        <w:tc>
          <w:tcPr>
            <w:shd w:val="clear" w:color="auto" w:fill="auto"/>
            <w:tcW w:w="121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ffffff" w:fill="ffffff"/>
            <w:tcW w:w="698"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0"/>
        </w:trPr>
        <w:tc>
          <w:tcPr>
            <w:shd w:val="clear" w:color="ffffff"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W w:w="14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铺设挤塑聚苯板</w:t>
            </w:r>
            <w:r/>
          </w:p>
        </w:tc>
        <w:tc>
          <w:tcPr>
            <w:shd w:val="clear" w:color="auto" w:fill="auto"/>
            <w:tcW w:w="3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1、聚苯乙烯保护板1800×600×50mm</w:t>
            </w:r>
            <w:r/>
          </w:p>
        </w:tc>
        <w:tc>
          <w:tcPr>
            <w:shd w:val="clear" w:color="auto" w:fill="auto"/>
            <w:tcW w:w="8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W w:w="9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779.7</w:t>
            </w:r>
            <w:r/>
          </w:p>
        </w:tc>
        <w:tc>
          <w:tcPr>
            <w:shd w:val="clear" w:color="auto" w:fill="auto"/>
            <w:tcW w:w="121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98"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75"/>
        </w:trPr>
        <w:tc>
          <w:tcPr>
            <w:shd w:val="clear" w:color="ffffff"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W w:w="14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防渗铺设</w:t>
            </w:r>
            <w:r/>
          </w:p>
        </w:tc>
        <w:tc>
          <w:tcPr>
            <w:shd w:val="clear" w:color="auto" w:fill="auto"/>
            <w:tcW w:w="3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1、铺设方式:防渗复合膜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2、规格尺寸：1300g/m2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3、具体详见图纸</w:t>
            </w:r>
            <w:r/>
          </w:p>
        </w:tc>
        <w:tc>
          <w:tcPr>
            <w:shd w:val="clear" w:color="auto" w:fill="auto"/>
            <w:tcW w:w="8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W w:w="9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1789</w:t>
            </w:r>
            <w:r/>
          </w:p>
        </w:tc>
        <w:tc>
          <w:tcPr>
            <w:shd w:val="clear" w:color="auto" w:fill="auto"/>
            <w:tcW w:w="121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98"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0"/>
        </w:trPr>
        <w:tc>
          <w:tcPr>
            <w:shd w:val="clear" w:color="ffffff"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W w:w="14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实心砖墙</w:t>
            </w:r>
            <w:r/>
          </w:p>
        </w:tc>
        <w:tc>
          <w:tcPr>
            <w:shd w:val="clear" w:color="auto" w:fill="auto"/>
            <w:tcW w:w="3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1、砖品种、规格、强度等级:MU10混凝土实心砖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2、砂浆强度等级、配合比:M7.5水泥砂浆</w:t>
            </w:r>
            <w:r/>
          </w:p>
        </w:tc>
        <w:tc>
          <w:tcPr>
            <w:shd w:val="clear" w:color="auto" w:fill="auto"/>
            <w:tcW w:w="8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m3</w:t>
            </w:r>
            <w:r/>
          </w:p>
        </w:tc>
        <w:tc>
          <w:tcPr>
            <w:shd w:val="clear" w:color="auto" w:fill="auto"/>
            <w:tcW w:w="9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89.04</w:t>
            </w:r>
            <w:r/>
          </w:p>
        </w:tc>
        <w:tc>
          <w:tcPr>
            <w:shd w:val="clear" w:color="auto" w:fill="auto"/>
            <w:tcW w:w="121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98"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0"/>
        </w:trPr>
        <w:tc>
          <w:tcPr>
            <w:shd w:val="clear" w:color="ffffff"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14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回填砂</w:t>
            </w:r>
            <w:r/>
          </w:p>
        </w:tc>
        <w:tc>
          <w:tcPr>
            <w:shd w:val="clear" w:color="auto" w:fill="auto"/>
            <w:tcW w:w="3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1、回填砂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2、范围：PP模块池四周</w:t>
            </w:r>
            <w:r/>
          </w:p>
        </w:tc>
        <w:tc>
          <w:tcPr>
            <w:shd w:val="clear" w:color="auto" w:fill="auto"/>
            <w:tcW w:w="8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m3</w:t>
            </w:r>
            <w:r/>
          </w:p>
        </w:tc>
        <w:tc>
          <w:tcPr>
            <w:shd w:val="clear" w:color="auto" w:fill="auto"/>
            <w:tcW w:w="9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48.35</w:t>
            </w:r>
            <w:r/>
          </w:p>
        </w:tc>
        <w:tc>
          <w:tcPr>
            <w:shd w:val="clear" w:color="auto" w:fill="auto"/>
            <w:tcW w:w="121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98"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75"/>
        </w:trPr>
        <w:tc>
          <w:tcPr>
            <w:shd w:val="clear" w:color="ffffff"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W w:w="14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塑料检查井（检修口）</w:t>
            </w:r>
            <w:r/>
          </w:p>
        </w:tc>
        <w:tc>
          <w:tcPr>
            <w:shd w:val="clear" w:color="auto" w:fill="auto"/>
            <w:tcW w:w="3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1、检查井材质、规格:DN630mm塑料成品检查井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2、∅700mm铸铁圆形检查井盖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3、井座加固:100mm厚中砂保护、200mmC30混凝土承压圈、内配钢筋等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4、PE膜与井筒焊接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5、含防坠网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6、具体做法详见图纸</w:t>
            </w:r>
            <w:r/>
          </w:p>
        </w:tc>
        <w:tc>
          <w:tcPr>
            <w:shd w:val="clear" w:color="auto" w:fill="auto"/>
            <w:tcW w:w="8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座</w:t>
            </w:r>
            <w:r/>
          </w:p>
        </w:tc>
        <w:tc>
          <w:tcPr>
            <w:shd w:val="clear" w:color="auto" w:fill="auto"/>
            <w:tcW w:w="9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W w:w="121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98"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75"/>
        </w:trPr>
        <w:tc>
          <w:tcPr>
            <w:shd w:val="clear" w:color="ffffff"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W w:w="14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不锈钢成品出水井</w:t>
            </w:r>
            <w:r/>
          </w:p>
        </w:tc>
        <w:tc>
          <w:tcPr>
            <w:shd w:val="clear" w:color="auto" w:fill="auto"/>
            <w:tcW w:w="3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1、1000*1000*2500mm不锈钢成品出水井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2、不锈钢格栅截面尺寸为30*30*0.9mm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3、具体做法详见图纸</w:t>
            </w:r>
            <w:r/>
          </w:p>
        </w:tc>
        <w:tc>
          <w:tcPr>
            <w:shd w:val="clear" w:color="auto" w:fill="auto"/>
            <w:tcW w:w="8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座</w:t>
            </w:r>
            <w:r/>
          </w:p>
        </w:tc>
        <w:tc>
          <w:tcPr>
            <w:shd w:val="clear" w:color="auto" w:fill="auto"/>
            <w:tcW w:w="9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W w:w="121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98"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025"/>
        </w:trPr>
        <w:tc>
          <w:tcPr>
            <w:shd w:val="clear" w:color="ffffff"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W w:w="14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砌筑井（阀门井）</w:t>
            </w:r>
            <w:r/>
          </w:p>
        </w:tc>
        <w:tc>
          <w:tcPr>
            <w:shd w:val="clear" w:color="auto" w:fill="auto"/>
            <w:tcW w:w="3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1、内径1500*800mm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2、垫层材质及厚度:200mm碎石垫层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3、基础材质及厚度:200mmC30混凝土底板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4、砌筑材料品种、规格、强度等级:M7.5水泥砂浆砌筑MU10砖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5、勾缝、抹面要求:井内外1：3水泥砂浆抹面厚20mm，井外1.5mm聚氨酯防水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6、盖板材质、规格:加强型球磨井盖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7、具体做法详见图纸</w:t>
            </w:r>
            <w:r/>
          </w:p>
        </w:tc>
        <w:tc>
          <w:tcPr>
            <w:shd w:val="clear" w:color="auto" w:fill="auto"/>
            <w:tcW w:w="8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座</w:t>
            </w:r>
            <w:r/>
          </w:p>
        </w:tc>
        <w:tc>
          <w:tcPr>
            <w:shd w:val="clear" w:color="auto" w:fill="auto"/>
            <w:tcW w:w="9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21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98"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025"/>
        </w:trPr>
        <w:tc>
          <w:tcPr>
            <w:shd w:val="clear" w:color="ffffff" w:fill="ffffff"/>
            <w:tcW w:w="89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W w:w="14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砌筑井（地埋一体机井）</w:t>
            </w:r>
            <w:r/>
          </w:p>
        </w:tc>
        <w:tc>
          <w:tcPr>
            <w:shd w:val="clear" w:color="auto" w:fill="auto"/>
            <w:tcW w:w="3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1、内径1500*1200mm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2、垫层材质及厚度:200mm碎石垫层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3、基础材质及厚度:200mmC30混凝土底板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4、砌筑材料品种、规格、强度等级:M7.5水泥砂浆砌筑MU10砖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5、勾缝、抹面要求:井内外1：3水泥砂浆抹面厚20mm，井外1.5mm聚氨酯防水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6、盖板材质、规格:轻型球磨盖板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7、具体做法详见图纸</w:t>
            </w:r>
            <w:r/>
          </w:p>
        </w:tc>
        <w:tc>
          <w:tcPr>
            <w:shd w:val="clear" w:color="auto" w:fill="auto"/>
            <w:tcW w:w="8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座</w:t>
            </w:r>
            <w:r/>
          </w:p>
        </w:tc>
        <w:tc>
          <w:tcPr>
            <w:shd w:val="clear" w:color="auto" w:fill="auto"/>
            <w:tcW w:w="9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21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98"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800"/>
        </w:trPr>
        <w:tc>
          <w:tcPr>
            <w:shd w:val="clear" w:color="ffffff"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14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砌筑井(安全分流井）</w:t>
            </w:r>
            <w:r/>
          </w:p>
        </w:tc>
        <w:tc>
          <w:tcPr>
            <w:shd w:val="clear" w:color="auto" w:fill="auto"/>
            <w:tcW w:w="3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1、基础材质及厚度:100mmC30混凝土底板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2、砌筑材料品种、规格、强度等级:M7.5水泥砂浆砌筑MU10砖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3、勾缝、抹面要求:井内外1：3水泥砂浆抹面厚20mm，井外1.5mm聚氨酯防水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4、井盖、井圈材质及规格:∅700mm成品球磨铸铁井盖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5、含防坠网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6、具体做法详见图纸</w:t>
            </w:r>
            <w:r/>
          </w:p>
        </w:tc>
        <w:tc>
          <w:tcPr>
            <w:shd w:val="clear" w:color="auto" w:fill="auto"/>
            <w:tcW w:w="8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座</w:t>
            </w:r>
            <w:r/>
          </w:p>
        </w:tc>
        <w:tc>
          <w:tcPr>
            <w:shd w:val="clear" w:color="auto" w:fill="auto"/>
            <w:tcW w:w="9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21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98"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0"/>
        </w:trPr>
        <w:tc>
          <w:tcPr>
            <w:shd w:val="clear" w:color="ffffff" w:fill="ffffff"/>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W w:w="14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塑料管</w:t>
            </w:r>
            <w:r/>
          </w:p>
        </w:tc>
        <w:tc>
          <w:tcPr>
            <w:shd w:val="clear" w:color="auto" w:fill="auto"/>
            <w:tcW w:w="3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1、材质及规格:采用聚乙烯(HDPE)双壁波纹管  DN300mm</w:t>
            </w:r>
            <w:r/>
          </w:p>
        </w:tc>
        <w:tc>
          <w:tcPr>
            <w:shd w:val="clear" w:color="auto" w:fill="auto"/>
            <w:tcW w:w="8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W w:w="9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121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98"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0"/>
        </w:trPr>
        <w:tc>
          <w:tcPr>
            <w:gridSpan w:val="7"/>
            <w:shd w:val="clear" w:color="auto" w:fill="auto"/>
            <w:tcW w:w="916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基坑支护</w:t>
            </w:r>
            <w:r/>
          </w:p>
        </w:tc>
      </w:tr>
      <w:tr>
        <w:trPr>
          <w:trHeight w:val="403"/>
        </w:trPr>
        <w:tc>
          <w:tcPr>
            <w:shd w:val="clear" w:color="auto" w:fill="auto"/>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W w:w="14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钢板桩</w:t>
            </w:r>
            <w:r/>
          </w:p>
        </w:tc>
        <w:tc>
          <w:tcPr>
            <w:shd w:val="clear" w:color="auto" w:fill="auto"/>
            <w:tcW w:w="3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1、桩长:9m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2、桩型号:拉森钢板桩Q295bz-400*170*15.5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3、地层情况: 投标人根据现场自行考虑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4、打拔钢板桩、进出场往返运费综合考虑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钢板桩使用天数投标人综合考虑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6、未尽之处详见施工图设计文件</w:t>
            </w:r>
            <w:r/>
          </w:p>
        </w:tc>
        <w:tc>
          <w:tcPr>
            <w:shd w:val="clear" w:color="auto" w:fill="auto"/>
            <w:tcW w:w="8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w:t>
            </w:r>
            <w:r/>
          </w:p>
        </w:tc>
        <w:tc>
          <w:tcPr>
            <w:shd w:val="clear" w:color="auto" w:fill="auto"/>
            <w:tcW w:w="9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182.183</w:t>
            </w:r>
            <w:r/>
          </w:p>
        </w:tc>
        <w:tc>
          <w:tcPr>
            <w:shd w:val="clear" w:color="auto" w:fill="auto"/>
            <w:tcW w:w="121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98"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900"/>
        </w:trPr>
        <w:tc>
          <w:tcPr>
            <w:shd w:val="clear" w:color="auto" w:fill="auto"/>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W w:w="14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钢支撑</w:t>
            </w:r>
            <w:r/>
          </w:p>
        </w:tc>
        <w:tc>
          <w:tcPr>
            <w:shd w:val="clear" w:color="auto" w:fill="auto"/>
            <w:tcW w:w="31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1、部位:围檩、角撑、对撑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2、钢材品种、规格:焊接HW400*400*13*21型钢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3、安拆、进出场往返运费综合考虑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4、未尽之处详见施工图设计文件</w:t>
            </w:r>
            <w:r/>
          </w:p>
        </w:tc>
        <w:tc>
          <w:tcPr>
            <w:shd w:val="clear" w:color="auto" w:fill="auto"/>
            <w:tcW w:w="8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w:t>
            </w:r>
            <w:r/>
          </w:p>
        </w:tc>
        <w:tc>
          <w:tcPr>
            <w:shd w:val="clear" w:color="auto" w:fill="auto"/>
            <w:tcW w:w="9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21.085</w:t>
            </w:r>
            <w:r/>
          </w:p>
        </w:tc>
        <w:tc>
          <w:tcPr>
            <w:shd w:val="clear" w:color="auto" w:fill="auto"/>
            <w:tcW w:w="121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98"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0"/>
        </w:trPr>
        <w:tc>
          <w:tcPr>
            <w:shd w:val="clear" w:color="auto" w:fill="auto"/>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W w:w="14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排水、降水</w:t>
            </w:r>
            <w:r/>
          </w:p>
        </w:tc>
        <w:tc>
          <w:tcPr>
            <w:shd w:val="clear" w:color="auto" w:fill="auto"/>
            <w:tcW w:w="3106"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排水、降水</w:t>
            </w:r>
            <w:r/>
          </w:p>
        </w:tc>
        <w:tc>
          <w:tcPr>
            <w:shd w:val="clear" w:color="auto" w:fill="auto"/>
            <w:tcW w:w="8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W w:w="9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21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98"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0"/>
        </w:trPr>
        <w:tc>
          <w:tcPr>
            <w:shd w:val="clear" w:color="auto" w:fill="auto"/>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W w:w="14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大型机械设备进出场及安拆</w:t>
            </w:r>
            <w:r/>
          </w:p>
        </w:tc>
        <w:tc>
          <w:tcPr>
            <w:shd w:val="clear" w:color="auto" w:fill="auto"/>
            <w:tcW w:w="3106"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大型机械设备进出场及安拆</w:t>
            </w:r>
            <w:r/>
          </w:p>
        </w:tc>
        <w:tc>
          <w:tcPr>
            <w:shd w:val="clear" w:color="auto" w:fill="auto"/>
            <w:tcW w:w="8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W w:w="9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21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98"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0"/>
        </w:trPr>
        <w:tc>
          <w:tcPr>
            <w:gridSpan w:val="5"/>
            <w:shd w:val="clear" w:color="auto" w:fill="auto"/>
            <w:tcW w:w="72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合计</w:t>
            </w:r>
            <w:r/>
          </w:p>
        </w:tc>
        <w:tc>
          <w:tcPr>
            <w:gridSpan w:val="2"/>
            <w:shd w:val="clear" w:color="auto" w:fill="auto"/>
            <w:tcW w:w="191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ind w:right="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right="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投标人（盖章）：</w:t>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法定代表人（单位负责人）或委托代理人（签字或盖章）：</w:t>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日期：年月日</w:t>
      </w:r>
      <w:r/>
    </w:p>
    <w:p>
      <w:pPr>
        <w:ind w:left="0" w:right="0"/>
        <w:pageBreakBefore w:val="0"/>
        <w:spacing w:line="360" w:lineRule="auto"/>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p>
      <w:pPr>
        <w:ind w:left="0" w:right="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填报说明：</w:t>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1、“制造商企业类型”栏填写内容为“大型”“中型”“小型”“微型”“监狱企业”或“残疾人福利性单位”。</w:t>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2、以上报价包含但不限于</w:t>
      </w:r>
      <w:r>
        <w:rPr>
          <w:rFonts w:hint="eastAsia" w:ascii="宋体" w:hAnsi="宋体" w:eastAsia="宋体" w:cs="宋体"/>
          <w:color w:val="auto"/>
          <w:szCs w:val="24"/>
          <w:highlight w:val="none"/>
          <w:lang w:val="en-US" w:eastAsia="zh-CN"/>
        </w:rPr>
        <w:t xml:space="preserve">人工费、材料费、机械费、管理费、利润、规费、税金、措施费、材料检验费、超高费、高层增加费、非夜间施工照明费、夜间施工费、保险、担保、场内运输费、二次搬运费、赶工、施工降效费用等完成项目的全部费用</w:t>
      </w:r>
      <w:r>
        <w:rPr>
          <w:rFonts w:hint="eastAsia" w:ascii="宋体" w:hAnsi="宋体" w:eastAsia="宋体" w:cs="宋体"/>
          <w:color w:val="auto"/>
          <w:szCs w:val="24"/>
          <w:highlight w:val="none"/>
        </w:rPr>
        <w:t xml:space="preserve">。</w:t>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3、请</w:t>
      </w:r>
      <w:r>
        <w:rPr>
          <w:rFonts w:hint="eastAsia" w:ascii="宋体" w:hAnsi="宋体" w:eastAsia="宋体" w:cs="宋体"/>
          <w:color w:val="auto"/>
          <w:szCs w:val="24"/>
          <w:highlight w:val="none"/>
          <w:lang w:eastAsia="zh-CN"/>
        </w:rPr>
        <w:t xml:space="preserve">投标人</w:t>
      </w:r>
      <w:r>
        <w:rPr>
          <w:rFonts w:hint="eastAsia" w:ascii="宋体" w:hAnsi="宋体" w:eastAsia="宋体" w:cs="宋体"/>
          <w:color w:val="auto"/>
          <w:szCs w:val="24"/>
          <w:highlight w:val="none"/>
        </w:rPr>
        <w:t xml:space="preserve">如实、正确填写本表，所填内容将作为评审的依据，其内容应与对应的证明资料相符。</w:t>
      </w:r>
      <w:r/>
    </w:p>
    <w:p>
      <w:pPr>
        <w:ind w:left="0" w:right="0"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Cs w:val="24"/>
          <w:highlight w:val="none"/>
        </w:rPr>
        <w:t xml:space="preserve">4、行数或事项不够，可自行增加。</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6"/>
        <w:numPr>
          <w:ilvl w:val="0"/>
          <w:numId w:val="0"/>
        </w:numPr>
        <w:jc w:val="center"/>
        <w:spacing w:line="360" w:lineRule="auto"/>
        <w:rPr>
          <w:rFonts w:hint="eastAsia" w:ascii="宋体" w:hAnsi="宋体" w:cs="宋体"/>
          <w:b w:val="0"/>
          <w:bCs w:val="0"/>
          <w:color w:val="auto"/>
          <w:sz w:val="32"/>
          <w:szCs w:val="32"/>
          <w:highlight w:val="none"/>
        </w:rPr>
      </w:pPr>
      <w:r>
        <w:rPr>
          <w:rFonts w:hint="eastAsia" w:ascii="宋体" w:hAnsi="宋体" w:eastAsia="宋体" w:cs="宋体"/>
          <w:i/>
          <w:iCs/>
          <w:color w:val="auto"/>
          <w:sz w:val="36"/>
          <w:highlight w:val="none"/>
          <w:u w:val="single"/>
        </w:rPr>
        <w:br w:type="page" w:clear="all"/>
      </w:r>
      <w:r>
        <w:rPr>
          <w:rFonts w:hint="eastAsia" w:ascii="宋体" w:hAnsi="宋体" w:cs="宋体"/>
          <w:b w:val="0"/>
          <w:bCs w:val="0"/>
          <w:color w:val="auto"/>
          <w:sz w:val="32"/>
          <w:szCs w:val="32"/>
          <w:highlight w:val="none"/>
        </w:rPr>
        <w:t xml:space="preserve">投标报价汇总表</w:t>
      </w:r>
      <w:r/>
    </w:p>
    <w:p>
      <w:pPr>
        <w:ind w:right="320"/>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单位：(人民币)元</w:t>
      </w:r>
      <w:r/>
    </w:p>
    <w:tbl>
      <w:tblPr>
        <w:tblStyle w:val="691"/>
        <w:tblpPr w:horzAnchor="page" w:tblpX="1633" w:vertAnchor="text" w:tblpY="417" w:leftFromText="180" w:topFromText="0" w:rightFromText="180" w:bottomFromText="0"/>
        <w:tblW w:w="95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5"/>
        <w:gridCol w:w="3125"/>
        <w:gridCol w:w="3802"/>
        <w:gridCol w:w="1463"/>
      </w:tblGrid>
      <w:tr>
        <w:trPr>
          <w:trHeight w:val="651"/>
        </w:trPr>
        <w:tc>
          <w:tcPr>
            <w:tcW w:w="1145"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序号</w:t>
            </w:r>
            <w:r/>
          </w:p>
        </w:tc>
        <w:tc>
          <w:tcPr>
            <w:tcW w:w="3125"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内容</w:t>
            </w:r>
            <w:r/>
          </w:p>
        </w:tc>
        <w:tc>
          <w:tcPr>
            <w:tcW w:w="3802"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小</w:t>
            </w:r>
            <w:r>
              <w:rPr>
                <w:rFonts w:hint="eastAsia" w:ascii="宋体" w:hAnsi="宋体" w:eastAsia="宋体" w:cs="宋体"/>
                <w:b w:val="0"/>
                <w:bCs w:val="0"/>
                <w:color w:val="auto"/>
                <w:sz w:val="21"/>
                <w:szCs w:val="21"/>
                <w:highlight w:val="none"/>
              </w:rPr>
              <w:t xml:space="preserve">计</w:t>
            </w:r>
            <w:r>
              <w:rPr>
                <w:rFonts w:hint="eastAsia" w:ascii="宋体" w:hAnsi="宋体" w:eastAsia="宋体" w:cs="宋体"/>
                <w:b w:val="0"/>
                <w:bCs w:val="0"/>
                <w:color w:val="auto"/>
                <w:sz w:val="21"/>
                <w:szCs w:val="21"/>
                <w:highlight w:val="none"/>
                <w:lang w:eastAsia="zh-CN"/>
              </w:rPr>
              <w:t xml:space="preserve">（元）</w:t>
            </w:r>
            <w:r/>
          </w:p>
        </w:tc>
        <w:tc>
          <w:tcPr>
            <w:tcW w:w="1463"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备注</w:t>
            </w:r>
            <w:r/>
          </w:p>
        </w:tc>
      </w:tr>
      <w:tr>
        <w:trPr>
          <w:trHeight w:val="679"/>
        </w:trPr>
        <w:tc>
          <w:tcPr>
            <w:tcW w:w="1145"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1</w:t>
            </w:r>
            <w:r/>
          </w:p>
        </w:tc>
        <w:tc>
          <w:tcPr>
            <w:tcW w:w="3125" w:type="dxa"/>
            <w:vAlign w:val="center"/>
            <w:textDirection w:val="lrTb"/>
            <w:noWrap w:val="false"/>
          </w:tcPr>
          <w:p>
            <w:pPr>
              <w:jc w:val="left"/>
              <w:keepLines w:val="0"/>
              <w:keepNext w:val="0"/>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货物清单报价</w:t>
            </w:r>
            <w:r/>
          </w:p>
        </w:tc>
        <w:tc>
          <w:tcPr>
            <w:tcW w:w="3802" w:type="dxa"/>
            <w:vAlign w:val="top"/>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463" w:type="dxa"/>
            <w:vAlign w:val="top"/>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690"/>
        </w:trPr>
        <w:tc>
          <w:tcPr>
            <w:tcW w:w="1145"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2</w:t>
            </w:r>
            <w:r/>
          </w:p>
        </w:tc>
        <w:tc>
          <w:tcPr>
            <w:tcW w:w="3125" w:type="dxa"/>
            <w:vAlign w:val="center"/>
            <w:textDirection w:val="lrTb"/>
            <w:noWrap w:val="false"/>
          </w:tcPr>
          <w:p>
            <w:pPr>
              <w:jc w:val="left"/>
              <w:keepLines w:val="0"/>
              <w:keepNext w:val="0"/>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施工清单报价</w:t>
            </w:r>
            <w:r/>
          </w:p>
        </w:tc>
        <w:tc>
          <w:tcPr>
            <w:tcW w:w="3802" w:type="dxa"/>
            <w:vAlign w:val="top"/>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463" w:type="dxa"/>
            <w:vAlign w:val="top"/>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1009"/>
        </w:trPr>
        <w:tc>
          <w:tcPr>
            <w:gridSpan w:val="2"/>
            <w:tcW w:w="4270"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合计</w:t>
            </w:r>
            <w:r/>
          </w:p>
        </w:tc>
        <w:tc>
          <w:tcPr>
            <w:gridSpan w:val="2"/>
            <w:tcW w:w="5265" w:type="dxa"/>
            <w:vAlign w:val="center"/>
            <w:textDirection w:val="lrTb"/>
            <w:noWrap w:val="false"/>
          </w:tcPr>
          <w:p>
            <w:p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大写：人民币</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rPr>
              <w:t xml:space="preserve">元整 （¥ </w:t>
            </w:r>
            <w:r>
              <w:rPr>
                <w:rFonts w:hint="eastAsia" w:ascii="宋体" w:hAnsi="宋体" w:eastAsia="宋体" w:cs="宋体"/>
                <w:b w:val="0"/>
                <w:bCs w:val="0"/>
                <w:color w:val="auto"/>
                <w:sz w:val="21"/>
                <w:szCs w:val="21"/>
                <w:highlight w:val="none"/>
                <w:u w:val="single"/>
              </w:rPr>
              <w:t xml:space="preserve">         .00 ）</w:t>
            </w:r>
            <w:r/>
          </w:p>
        </w:tc>
      </w:tr>
    </w:tbl>
    <w:p>
      <w:pPr>
        <w:pStyle w:val="721"/>
        <w:rPr>
          <w:rFonts w:hint="eastAsia"/>
          <w:color w:val="auto"/>
          <w:highlight w:val="none"/>
        </w:rPr>
      </w:pPr>
      <w:r>
        <w:rPr>
          <w:rFonts w:hint="eastAsia"/>
          <w:color w:val="auto"/>
          <w:highlight w:val="none"/>
        </w:rPr>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投标人（盖章）：</w:t>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法定代表人（单位负责人）或委托代理人（签字或盖章）：</w:t>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年</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月</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日</w:t>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r>
      <w:r/>
    </w:p>
    <w:p>
      <w:pPr>
        <w:rPr>
          <w:rFonts w:hint="eastAsia" w:ascii="宋体" w:hAnsi="宋体" w:eastAsia="宋体" w:cs="宋体"/>
          <w:i/>
          <w:color w:val="auto"/>
          <w:sz w:val="28"/>
          <w:szCs w:val="28"/>
          <w:highlight w:val="none"/>
          <w:u w:val="single"/>
        </w:rPr>
      </w:pPr>
      <w:r>
        <w:rPr>
          <w:rFonts w:hint="eastAsia" w:ascii="宋体" w:hAnsi="宋体" w:eastAsia="宋体" w:cs="宋体"/>
          <w:i/>
          <w:color w:val="auto"/>
          <w:sz w:val="28"/>
          <w:szCs w:val="28"/>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w:t>
      </w:r>
      <w:r>
        <w:rPr>
          <w:rFonts w:hint="eastAsia" w:ascii="宋体" w:hAnsi="宋体" w:eastAsia="宋体" w:cs="宋体"/>
          <w:i/>
          <w:color w:val="auto"/>
          <w:sz w:val="28"/>
          <w:szCs w:val="28"/>
          <w:highlight w:val="none"/>
          <w:u w:val="single"/>
          <w:lang w:eastAsia="zh-CN"/>
        </w:rPr>
        <w:t xml:space="preserve">四</w:t>
      </w:r>
      <w:r>
        <w:rPr>
          <w:rFonts w:hint="eastAsia" w:ascii="宋体" w:hAnsi="宋体" w:eastAsia="宋体" w:cs="宋体"/>
          <w:i/>
          <w:color w:val="auto"/>
          <w:sz w:val="28"/>
          <w:szCs w:val="28"/>
          <w:highlight w:val="none"/>
          <w:u w:val="single"/>
        </w:rPr>
        <w:t xml:space="preserve">、关于符合本国产品标准的声明函</w:t>
      </w:r>
      <w:r/>
    </w:p>
    <w:p>
      <w:pPr>
        <w:ind w:firstLine="420"/>
        <w:jc w:val="left"/>
        <w:spacing w:before="0" w:beforeAutospacing="0" w:after="0" w:afterAutospacing="0" w:line="360" w:lineRule="auto"/>
        <w:rPr>
          <w:rFonts w:hint="eastAsia" w:ascii="宋体" w:hAnsi="宋体" w:eastAsia="宋体" w:cs="宋体"/>
          <w:color w:val="auto"/>
          <w:szCs w:val="24"/>
          <w:highlight w:val="none"/>
          <w:lang w:val="en-US" w:eastAsia="zh-CN" w:bidi="ar-SA"/>
        </w:rPr>
      </w:pPr>
      <w:r>
        <w:rPr>
          <w:rFonts w:hint="eastAsia" w:ascii="宋体" w:hAnsi="宋体" w:eastAsia="宋体" w:cs="宋体"/>
          <w:color w:val="auto"/>
          <w:szCs w:val="24"/>
          <w:highlight w:val="none"/>
          <w:lang w:val="en-US" w:eastAsia="zh-CN" w:bidi="ar-SA"/>
        </w:rPr>
      </w:r>
      <w:r/>
    </w:p>
    <w:p>
      <w:pPr>
        <w:ind w:firstLine="420"/>
        <w:jc w:val="left"/>
        <w:spacing w:before="0" w:beforeAutospacing="0" w:after="0" w:afterAutospacing="0" w:line="360" w:lineRule="auto"/>
        <w:rPr>
          <w:rFonts w:hint="eastAsia" w:ascii="宋体" w:hAnsi="宋体" w:eastAsia="宋体" w:cs="宋体"/>
          <w:color w:val="auto"/>
          <w:szCs w:val="24"/>
          <w:highlight w:val="none"/>
          <w:lang w:val="en-US" w:eastAsia="zh-CN" w:bidi="ar-SA"/>
        </w:rPr>
      </w:pPr>
      <w:r>
        <w:rPr>
          <w:rFonts w:hint="eastAsia" w:ascii="宋体" w:hAnsi="宋体" w:eastAsia="宋体" w:cs="宋体"/>
          <w:color w:val="auto"/>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1.</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1</w:t>
      </w:r>
      <w:r>
        <w:rPr>
          <w:rFonts w:hint="eastAsia" w:ascii="宋体" w:hAnsi="宋体" w:eastAsia="宋体" w:cs="宋体"/>
          <w:color w:val="auto"/>
          <w:sz w:val="24"/>
          <w:szCs w:val="24"/>
          <w:highlight w:val="none"/>
          <w:shd w:val="clear" w:color="auto" w:fill="ffffff"/>
          <w:lang w:val="en-US" w:eastAsia="zh-CN" w:bidi="ar-SA"/>
        </w:rPr>
        <w:t xml:space="preserve">，生产厂为</w:t>
      </w:r>
      <w:r>
        <w:rPr>
          <w:rFonts w:hint="eastAsia" w:ascii="宋体" w:hAnsi="宋体" w:eastAsia="宋体" w:cs="宋体"/>
          <w:i w:val="0"/>
          <w:color w:val="auto"/>
          <w:sz w:val="21"/>
          <w:szCs w:val="24"/>
          <w:highlight w:val="none"/>
          <w:u w:val="single"/>
          <w:shd w:val="clear" w:color="auto" w:fill="ffffff"/>
          <w:lang w:val="en-US" w:eastAsia="zh-CN" w:bidi="ar-SA"/>
        </w:rPr>
        <w:t xml:space="preserve">（厂名）</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2</w:t>
      </w:r>
      <w:r>
        <w:rPr>
          <w:rFonts w:hint="eastAsia" w:ascii="宋体" w:hAnsi="宋体" w:eastAsia="宋体" w:cs="宋体"/>
          <w:color w:val="auto"/>
          <w:sz w:val="24"/>
          <w:szCs w:val="24"/>
          <w:highlight w:val="none"/>
          <w:shd w:val="clear" w:color="auto" w:fill="ffffff"/>
          <w:lang w:val="en-US" w:eastAsia="zh-CN" w:bidi="ar-SA"/>
        </w:rPr>
        <w:t xml:space="preserve">，厂址为</w:t>
      </w:r>
      <w:r>
        <w:rPr>
          <w:rFonts w:hint="eastAsia" w:ascii="宋体" w:hAnsi="宋体" w:eastAsia="宋体" w:cs="宋体"/>
          <w:i w:val="0"/>
          <w:color w:val="auto"/>
          <w:sz w:val="21"/>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 </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auto"/>
          <w:sz w:val="21"/>
          <w:szCs w:val="24"/>
          <w:highlight w:val="none"/>
          <w:u w:val="single"/>
          <w:shd w:val="clear" w:color="auto" w:fill="ffffff"/>
          <w:lang w:val="en-US" w:eastAsia="zh-CN" w:bidi="ar-SA"/>
        </w:rPr>
        <w:t xml:space="preserve">（规定比例）</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3</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（关键组件）</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4</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（关键工序）</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5</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，生产厂为</w:t>
      </w:r>
      <w:r>
        <w:rPr>
          <w:rFonts w:hint="eastAsia" w:ascii="宋体" w:hAnsi="宋体" w:eastAsia="宋体" w:cs="宋体"/>
          <w:i w:val="0"/>
          <w:color w:val="auto"/>
          <w:sz w:val="21"/>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SA"/>
        </w:rPr>
        <w:t xml:space="preserve">，厂址为</w:t>
      </w:r>
      <w:r>
        <w:rPr>
          <w:rFonts w:hint="eastAsia" w:ascii="宋体" w:hAnsi="宋体" w:eastAsia="宋体" w:cs="宋体"/>
          <w:i w:val="0"/>
          <w:color w:val="auto"/>
          <w:sz w:val="21"/>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auto"/>
          <w:sz w:val="21"/>
          <w:szCs w:val="24"/>
          <w:highlight w:val="none"/>
          <w:u w:val="single"/>
          <w:shd w:val="clear" w:color="auto" w:fill="ffffff"/>
          <w:lang w:val="en-US" w:eastAsia="zh-CN" w:bidi="ar-SA"/>
        </w:rPr>
        <w:t xml:space="preserve">（规定比例）</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（关键组件）</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（关键工序）</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480" w:firstLine="4728"/>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公司（单位）名称（盖章）：　                                          日期：　   年　  月　  日         </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1.产品如有型号，请在“产品名称”栏一并填写。</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2.生产厂名与厂址应与生产厂营业执照载明的相关信息保持一致。</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4.该产品的关键组件要求实施前，“关键组件”栏可不填，下同。</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5.该产品的关键工序要求实施前，“关键工序”栏可不填，下同。</w:t>
      </w:r>
      <w:r/>
    </w:p>
    <w:p>
      <w:pPr>
        <w:jc w:val="left"/>
        <w:keepLines w:val="0"/>
        <w:keepNext w:val="0"/>
        <w:pageBreakBefore w:val="0"/>
        <w:spacing w:line="360" w:lineRule="auto"/>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6.用斜线划除的地方无需填写。</w:t>
      </w:r>
      <w:r/>
    </w:p>
    <w:p>
      <w:pPr>
        <w:jc w:val="left"/>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7.请投标人如实填写，如填写有误，将承担一切不利后果。</w:t>
      </w:r>
      <w:r/>
    </w:p>
    <w:p>
      <w:pPr>
        <w:jc w:val="left"/>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8.投标人提供虚假《声明函》、虚假证明文件谋取中标的，依照《中华人民共和国政府采购法》等法律法规规定追究相应责任。</w:t>
      </w:r>
      <w:r/>
    </w:p>
    <w:p>
      <w:pPr>
        <w:keepLines w:val="0"/>
        <w:keepNext w:val="0"/>
        <w:pageBreakBefore w:val="0"/>
        <w:rPr>
          <w:rFonts w:hint="eastAsia" w:ascii="宋体" w:hAnsi="宋体" w:eastAsia="宋体" w:cs="宋体"/>
          <w:iCs/>
          <w:color w:val="auto"/>
          <w:sz w:val="21"/>
          <w:szCs w:val="21"/>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9.</w:t>
      </w:r>
      <w:r>
        <w:rPr>
          <w:rFonts w:hint="eastAsia" w:ascii="宋体" w:hAnsi="宋体" w:eastAsia="宋体" w:cs="宋体"/>
          <w:color w:val="auto"/>
          <w:sz w:val="24"/>
          <w:szCs w:val="24"/>
          <w:highlight w:val="none"/>
          <w:lang w:val="en-US" w:eastAsia="zh-CN" w:bidi="ar-SA"/>
        </w:rPr>
        <w:t xml:space="preserve">中标人的《声明函》或有关证明文件随中标结果公开，接受社会监督</w:t>
      </w:r>
      <w:r/>
    </w:p>
    <w:p>
      <w:pPr>
        <w:rPr>
          <w:rFonts w:hint="eastAsia" w:ascii="宋体" w:hAnsi="宋体" w:eastAsia="宋体" w:cs="宋体"/>
          <w:i/>
          <w:color w:val="auto"/>
          <w:sz w:val="28"/>
          <w:szCs w:val="28"/>
          <w:highlight w:val="none"/>
          <w:u w:val="single"/>
        </w:rPr>
      </w:pPr>
      <w:r>
        <w:rPr>
          <w:rFonts w:hint="eastAsia" w:ascii="宋体" w:hAnsi="宋体" w:eastAsia="宋体" w:cs="宋体"/>
          <w:i/>
          <w:color w:val="auto"/>
          <w:sz w:val="28"/>
          <w:szCs w:val="28"/>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lang w:eastAsia="zh-CN"/>
        </w:rPr>
        <w:t xml:space="preserve">十五、</w:t>
      </w:r>
      <w:r>
        <w:rPr>
          <w:rFonts w:hint="eastAsia" w:ascii="宋体" w:hAnsi="宋体" w:eastAsia="宋体" w:cs="宋体"/>
          <w:i/>
          <w:color w:val="auto"/>
          <w:sz w:val="28"/>
          <w:szCs w:val="28"/>
          <w:highlight w:val="none"/>
          <w:u w:val="single"/>
        </w:rPr>
        <w:t xml:space="preserve">技术要求响应及偏离表</w:t>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技术要求响应及偏离表</w:t>
      </w:r>
      <w:r/>
    </w:p>
    <w:p>
      <w:pPr>
        <w:ind w:left="0" w:right="0" w:firstLine="480"/>
        <w:jc w:val="left"/>
        <w:pageBreakBefore w:val="0"/>
        <w:spacing w:line="360" w:lineRule="auto"/>
        <w:rPr>
          <w:rFonts w:hint="eastAsia" w:ascii="宋体" w:hAnsi="宋体" w:eastAsia="宋体" w:cs="宋体"/>
          <w:color w:val="auto"/>
          <w:sz w:val="36"/>
          <w:highlight w:val="none"/>
        </w:rPr>
      </w:pPr>
      <w:r>
        <w:rPr>
          <w:rFonts w:hint="eastAsia" w:ascii="宋体" w:hAnsi="宋体" w:eastAsia="宋体" w:cs="宋体"/>
          <w:color w:val="auto"/>
          <w:sz w:val="24"/>
          <w:szCs w:val="24"/>
          <w:highlight w:val="none"/>
        </w:rPr>
        <w:t xml:space="preserve">项目名称：      项目编号：   </w:t>
      </w:r>
      <w:r/>
    </w:p>
    <w:tbl>
      <w:tblPr>
        <w:tblStyle w:val="69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27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W w:w="302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W w:w="139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cantSplit/>
          <w:jc w:val="center"/>
          <w:trHeight w:val="640"/>
        </w:trPr>
        <w:tc>
          <w:tcPr>
            <w:tcW w:w="8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27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2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8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27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2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8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27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2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8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327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2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bookmarkStart w:id="26" w:name="_Hlt26955054"/>
      <w:r/>
      <w:bookmarkEnd w:id="26"/>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w:t>
      </w:r>
      <w:r>
        <w:rPr>
          <w:rFonts w:hint="eastAsia" w:ascii="宋体" w:hAnsi="宋体" w:eastAsia="宋体" w:cs="宋体"/>
          <w:i/>
          <w:color w:val="auto"/>
          <w:sz w:val="28"/>
          <w:szCs w:val="28"/>
          <w:highlight w:val="none"/>
          <w:u w:val="single"/>
          <w:lang w:eastAsia="zh-CN"/>
        </w:rPr>
        <w:t xml:space="preserve">六</w:t>
      </w:r>
      <w:r>
        <w:rPr>
          <w:rFonts w:hint="eastAsia" w:ascii="宋体" w:hAnsi="宋体" w:eastAsia="宋体" w:cs="宋体"/>
          <w:i/>
          <w:color w:val="auto"/>
          <w:sz w:val="28"/>
          <w:szCs w:val="28"/>
          <w:highlight w:val="none"/>
          <w:u w:val="single"/>
        </w:rPr>
        <w:t xml:space="preserve">、商务要求响应及偏离表</w:t>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商务要求响应及偏离表</w:t>
      </w:r>
      <w:r/>
    </w:p>
    <w:p>
      <w:pPr>
        <w:ind w:left="0" w:right="0"/>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w:t>
      </w:r>
      <w:r/>
    </w:p>
    <w:tbl>
      <w:tblPr>
        <w:tblStyle w:val="691"/>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bookmarkStart w:id="27" w:name="_Hlt26782999"/>
            <w:r/>
            <w:bookmarkEnd w:id="27"/>
            <w:r/>
            <w:bookmarkStart w:id="28" w:name="_Hlt26671372"/>
            <w:r/>
            <w:bookmarkEnd w:id="28"/>
            <w:r/>
            <w:bookmarkStart w:id="29" w:name="_Hlt26580838"/>
            <w:r/>
            <w:bookmarkEnd w:id="29"/>
            <w:r/>
            <w:bookmarkStart w:id="30" w:name="_Hlt26671343"/>
            <w:r/>
            <w:bookmarkEnd w:id="30"/>
            <w:r/>
            <w:bookmarkStart w:id="31" w:name="_Hlt26609391"/>
            <w:r/>
            <w:bookmarkEnd w:id="31"/>
            <w:r/>
            <w:bookmarkStart w:id="32" w:name="_Hlt24879081"/>
            <w:r/>
            <w:bookmarkEnd w:id="32"/>
            <w:r/>
            <w:bookmarkStart w:id="33" w:name="_Hlt26955064"/>
            <w:r/>
            <w:bookmarkEnd w:id="33"/>
            <w:r/>
            <w:bookmarkStart w:id="34" w:name="_Hlt26955056"/>
            <w:r/>
            <w:bookmarkEnd w:id="34"/>
            <w:r>
              <w:rPr>
                <w:rFonts w:hint="eastAsia" w:ascii="宋体" w:hAnsi="宋体" w:eastAsia="宋体" w:cs="宋体"/>
                <w:color w:val="auto"/>
                <w:sz w:val="24"/>
                <w:szCs w:val="24"/>
                <w:highlight w:val="none"/>
              </w:rPr>
              <w:t xml:space="preserve">序号</w:t>
            </w:r>
            <w:r/>
          </w:p>
        </w:tc>
        <w:tc>
          <w:tcPr>
            <w:tcW w:w="326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W w:w="303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W w:w="1391"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cantSplit/>
          <w:trHeight w:val="640"/>
        </w:trPr>
        <w:tc>
          <w:tcPr>
            <w:tcW w:w="81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26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3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1"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81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26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3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1"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81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26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3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1"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81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326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3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1"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left="0" w:right="0"/>
        <w:pageBreakBefore w:val="0"/>
        <w:spacing w:line="360" w:lineRule="auto"/>
        <w:rPr>
          <w:rFonts w:hint="eastAsia" w:ascii="宋体" w:hAnsi="宋体" w:eastAsia="宋体" w:cs="宋体"/>
          <w:color w:val="auto"/>
          <w:highlight w:val="none"/>
        </w:rPr>
      </w:pPr>
      <w:r/>
      <w:bookmarkStart w:id="35" w:name="_格式2__法定代表人授权书"/>
      <w:r/>
      <w:bookmarkEnd w:id="35"/>
      <w:r/>
      <w:bookmarkStart w:id="36" w:name="_Hlt26609389"/>
      <w:r/>
      <w:bookmarkEnd w:id="36"/>
      <w:r/>
      <w:bookmarkStart w:id="37" w:name="_Hlt26955066"/>
      <w:r/>
      <w:bookmarkEnd w:id="37"/>
      <w:r/>
      <w:bookmarkStart w:id="38" w:name="_Hlt26671374"/>
      <w:r/>
      <w:bookmarkEnd w:id="38"/>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br w:type="page" w:clear="all"/>
      </w:r>
      <w:r/>
    </w:p>
    <w:p>
      <w:pPr>
        <w:numPr>
          <w:ilvl w:val="0"/>
          <w:numId w:val="0"/>
        </w:num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w:t>
      </w:r>
      <w:r>
        <w:rPr>
          <w:rFonts w:hint="eastAsia" w:ascii="宋体" w:hAnsi="宋体" w:eastAsia="宋体" w:cs="宋体"/>
          <w:i/>
          <w:color w:val="auto"/>
          <w:sz w:val="28"/>
          <w:szCs w:val="28"/>
          <w:highlight w:val="none"/>
          <w:u w:val="single"/>
          <w:lang w:eastAsia="zh-CN"/>
        </w:rPr>
        <w:t xml:space="preserve">七</w:t>
      </w:r>
      <w:r>
        <w:rPr>
          <w:rFonts w:hint="eastAsia" w:ascii="宋体" w:hAnsi="宋体" w:eastAsia="宋体" w:cs="宋体"/>
          <w:i/>
          <w:color w:val="auto"/>
          <w:sz w:val="28"/>
          <w:szCs w:val="28"/>
          <w:highlight w:val="none"/>
          <w:u w:val="single"/>
        </w:rPr>
        <w:t xml:space="preserve">、类似项目业绩一览表</w:t>
      </w:r>
      <w:r/>
    </w:p>
    <w:p>
      <w:pPr>
        <w:numPr>
          <w:ilvl w:val="0"/>
          <w:numId w:val="0"/>
        </w:numPr>
        <w:ind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类似项目业绩一览表</w:t>
      </w:r>
      <w:r/>
    </w:p>
    <w:p>
      <w:pPr>
        <w:ind w:left="0" w:right="0" w:firstLine="240"/>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w:t>
      </w:r>
      <w:r/>
    </w:p>
    <w:tbl>
      <w:tblPr>
        <w:tblStyle w:val="69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686"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1850"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签订时间</w:t>
            </w:r>
            <w:r/>
          </w:p>
        </w:tc>
        <w:tc>
          <w:tcPr>
            <w:tcW w:w="198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采购单位</w:t>
            </w:r>
            <w:r/>
          </w:p>
        </w:tc>
        <w:tc>
          <w:tcPr>
            <w:tcW w:w="13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主要标的</w:t>
            </w:r>
            <w:r/>
          </w:p>
        </w:tc>
      </w:tr>
      <w:tr>
        <w:trPr>
          <w:cantSplit/>
          <w:jc w:val="center"/>
          <w:trHeight w:val="640"/>
        </w:trPr>
        <w:tc>
          <w:tcPr>
            <w:tcW w:w="67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686"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67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686"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67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686"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67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686"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w:t>
      </w:r>
      <w:r>
        <w:rPr>
          <w:rFonts w:hint="eastAsia" w:ascii="宋体" w:hAnsi="宋体" w:eastAsia="宋体" w:cs="宋体"/>
          <w:i/>
          <w:color w:val="auto"/>
          <w:sz w:val="28"/>
          <w:szCs w:val="28"/>
          <w:highlight w:val="none"/>
          <w:u w:val="single"/>
          <w:lang w:eastAsia="zh-CN"/>
        </w:rPr>
        <w:t xml:space="preserve">八</w:t>
      </w:r>
      <w:r>
        <w:rPr>
          <w:rFonts w:hint="eastAsia" w:ascii="宋体" w:hAnsi="宋体" w:eastAsia="宋体" w:cs="宋体"/>
          <w:i/>
          <w:color w:val="auto"/>
          <w:sz w:val="28"/>
          <w:szCs w:val="28"/>
          <w:highlight w:val="none"/>
          <w:u w:val="single"/>
        </w:rPr>
        <w:t xml:space="preserve">、项目团队人员一览表</w:t>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项目团队人员一览表</w:t>
      </w:r>
      <w:r/>
    </w:p>
    <w:p>
      <w:pPr>
        <w:ind w:left="0" w:right="0"/>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分包号：</w:t>
      </w:r>
      <w:r/>
    </w:p>
    <w:tbl>
      <w:tblPr>
        <w:tblStyle w:val="691"/>
        <w:tblW w:w="89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8"/>
        <w:gridCol w:w="2227"/>
        <w:gridCol w:w="2696"/>
        <w:gridCol w:w="2910"/>
      </w:tblGrid>
      <w:tr>
        <w:trPr>
          <w:cantSplit/>
          <w:jc w:val="center"/>
        </w:trPr>
        <w:tc>
          <w:tcPr>
            <w:tcW w:w="1088"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222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本项目拟担任职务</w:t>
            </w:r>
            <w:r/>
          </w:p>
        </w:tc>
        <w:tc>
          <w:tcPr>
            <w:tcW w:w="2696"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技术职称、专业资质</w:t>
            </w:r>
            <w:r/>
          </w:p>
        </w:tc>
        <w:tc>
          <w:tcPr>
            <w:tcW w:w="2910"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主要资历及担任过的职务</w:t>
            </w:r>
            <w:r/>
          </w:p>
        </w:tc>
      </w:tr>
      <w:tr>
        <w:trPr>
          <w:cantSplit/>
          <w:jc w:val="center"/>
          <w:trHeight w:val="640"/>
        </w:trPr>
        <w:tc>
          <w:tcPr>
            <w:tcW w:w="1088"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2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96"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1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088"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2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96"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1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088"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2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96"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1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088"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2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96"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1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643"/>
        <w:jc w:val="left"/>
        <w:pageBreakBefore w:val="0"/>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Cs/>
          <w:i/>
          <w:color w:val="auto"/>
          <w:sz w:val="36"/>
          <w:szCs w:val="36"/>
          <w:highlight w:val="none"/>
          <w:u w:val="single"/>
        </w:rPr>
      </w:pPr>
      <w:r>
        <w:rPr>
          <w:rFonts w:hint="eastAsia" w:ascii="宋体" w:hAnsi="宋体" w:eastAsia="宋体" w:cs="宋体"/>
          <w:bCs/>
          <w:i/>
          <w:color w:val="auto"/>
          <w:sz w:val="36"/>
          <w:szCs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lang w:eastAsia="zh-CN"/>
        </w:rPr>
        <w:t xml:space="preserve">十九</w:t>
      </w:r>
      <w:r>
        <w:rPr>
          <w:rFonts w:hint="eastAsia" w:ascii="宋体" w:hAnsi="宋体" w:eastAsia="宋体" w:cs="宋体"/>
          <w:i/>
          <w:color w:val="auto"/>
          <w:sz w:val="28"/>
          <w:szCs w:val="28"/>
          <w:highlight w:val="none"/>
          <w:u w:val="single"/>
        </w:rPr>
        <w:t xml:space="preserve">、开标一览表</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投标人全称（CA公章）：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分包号：</w:t>
      </w:r>
      <w:r/>
    </w:p>
    <w:tbl>
      <w:tblPr>
        <w:tblStyle w:val="722"/>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投标货物名称</w:t>
            </w:r>
            <w:r/>
          </w:p>
        </w:tc>
        <w:tc>
          <w:tcPr>
            <w:tcW w:w="5703"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r>
      <w:tr>
        <w:trPr/>
        <w:tc>
          <w:tcPr>
            <w:tcW w:w="2802"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703"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w:t>
            </w:r>
            <w:r/>
          </w:p>
        </w:tc>
      </w:tr>
      <w:tr>
        <w:trPr/>
        <w:tc>
          <w:tcPr>
            <w:tcW w:w="2802"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核心产品</w:t>
            </w:r>
            <w:r/>
          </w:p>
        </w:tc>
        <w:tc>
          <w:tcPr>
            <w:tcW w:w="5703"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48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年月日</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80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40"/>
          <w:szCs w:val="32"/>
          <w:highlight w:val="none"/>
        </w:rPr>
        <w:br w:type="page" w:clear="all"/>
      </w:r>
      <w:r/>
    </w:p>
    <w:p>
      <w:pPr>
        <w:ind w:left="0" w:right="0"/>
        <w:jc w:val="center"/>
        <w:pageBreakBefore w:val="0"/>
        <w:spacing w:line="360" w:lineRule="auto"/>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t xml:space="preserve">质疑函范本</w:t>
      </w:r>
      <w:r/>
    </w:p>
    <w:p>
      <w:pPr>
        <w:ind w:left="0" w:right="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p>
    <w:p>
      <w:pPr>
        <w:ind w:left="0" w:right="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基本信息</w:t>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地址：邮编：</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联系人：联系电话：</w:t>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地址：邮编：</w:t>
      </w:r>
      <w:r/>
    </w:p>
    <w:p>
      <w:pPr>
        <w:ind w:left="0" w:right="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质疑项目的编号：包号：</w:t>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名称：</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获取日期：</w:t>
      </w:r>
      <w:r/>
    </w:p>
    <w:p>
      <w:pPr>
        <w:ind w:left="0" w:right="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left="0" w:right="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ind w:left="0" w:right="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left="0" w:right="0"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提出质疑时，应提交质疑函和必要的证明材料。</w:t>
      </w:r>
      <w:r/>
    </w:p>
    <w:p>
      <w:pPr>
        <w:ind w:left="0" w:right="0"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若委托代理人进行质疑的，质疑函应按要求列明“授权代表”的有关内容，并在附件中提交由质疑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签署的授权委托书。授权委托书应载明代理人的姓名或者名称、代理事项、具体权限、期限和相关事项。</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为自然人的，应当由本人签字；</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为法人或者其他组织的，应当由法定代表人、主要负责人签字或者盖章，并加盖公章。</w:t>
      </w:r>
      <w:r/>
    </w:p>
    <w:p>
      <w:pPr>
        <w:ind w:left="0" w:right="0"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若对项目的某一分包进行质疑，质疑函中应列明具体分包号。</w:t>
      </w:r>
      <w:r/>
    </w:p>
    <w:p>
      <w:pPr>
        <w:ind w:left="0" w:right="0"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left="0" w:right="0"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left="0" w:right="0" w:firstLine="480"/>
        <w:jc w:val="left"/>
        <w:pageBreakBefore w:val="0"/>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6.质疑</w:t>
      </w:r>
      <w:r>
        <w:rPr>
          <w:rFonts w:hint="eastAsia" w:ascii="宋体" w:hAnsi="宋体" w:eastAsia="宋体" w:cs="宋体"/>
          <w:b w:val="0"/>
          <w:bCs/>
          <w:color w:val="auto"/>
          <w:sz w:val="24"/>
          <w:szCs w:val="24"/>
          <w:highlight w:val="none"/>
          <w:lang w:eastAsia="zh-CN"/>
        </w:rPr>
        <w:t xml:space="preserve">投标人</w:t>
      </w:r>
      <w:r>
        <w:rPr>
          <w:rFonts w:hint="eastAsia" w:ascii="宋体" w:hAnsi="宋体" w:eastAsia="宋体" w:cs="宋体"/>
          <w:b w:val="0"/>
          <w:bCs/>
          <w:color w:val="auto"/>
          <w:sz w:val="24"/>
          <w:szCs w:val="24"/>
          <w:highlight w:val="none"/>
        </w:rPr>
        <w:t xml:space="preserve">为自然人的，质疑函应附自然人身份证明复印件并由本人签字；质疑</w:t>
      </w:r>
      <w:r>
        <w:rPr>
          <w:rFonts w:hint="eastAsia" w:ascii="宋体" w:hAnsi="宋体" w:eastAsia="宋体" w:cs="宋体"/>
          <w:b w:val="0"/>
          <w:bCs/>
          <w:color w:val="auto"/>
          <w:sz w:val="24"/>
          <w:szCs w:val="24"/>
          <w:highlight w:val="none"/>
          <w:lang w:eastAsia="zh-CN"/>
        </w:rPr>
        <w:t xml:space="preserve">投标人</w:t>
      </w:r>
      <w:r>
        <w:rPr>
          <w:rFonts w:hint="eastAsia" w:ascii="宋体" w:hAnsi="宋体" w:eastAsia="宋体" w:cs="宋体"/>
          <w:b w:val="0"/>
          <w:bCs/>
          <w:color w:val="auto"/>
          <w:sz w:val="24"/>
          <w:szCs w:val="24"/>
          <w:highlight w:val="none"/>
        </w:rPr>
        <w:t xml:space="preserve">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066"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楷体_GB2312">
    <w:panose1 w:val="02010609060101010101"/>
  </w:font>
  <w:font w:name="Wingdings">
    <w:panose1 w:val="05000000000000000000"/>
  </w:font>
  <w:font w:name="华文楷体">
    <w:panose1 w:val="02010600040101010101"/>
  </w:font>
  <w:font w:name="MS Mincho">
    <w:panose1 w:val="02020603050405090304"/>
  </w:font>
  <w:font w:name="Courier New">
    <w:panose1 w:val="02070309020205020404"/>
  </w:font>
  <w:font w:name="黑体">
    <w:panose1 w:val="02010609060101010101"/>
  </w:font>
  <w:font w:name="仿宋_GB2312">
    <w:panose1 w:val="02010609060101010101"/>
  </w:font>
  <w:font w:name="Calibri">
    <w:panose1 w:val="020F0502020204030204"/>
  </w:font>
  <w:font w:name="Arial">
    <w:panose1 w:val="020B0604020202020204"/>
  </w:font>
  <w:font w:name="monospace">
    <w:panose1 w:val="020B0503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jc w:val="center"/>
    </w:pPr>
    <w:r/>
    <w:r/>
  </w:p>
  <w:p>
    <w:pPr>
      <w:pStyle w:val="70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707"/>
          <w:jc w:val="center"/>
        </w:pPr>
        <w:r>
          <w:fldChar w:fldCharType="begin"/>
        </w:r>
        <w:r>
          <w:instrText xml:space="preserve"> PAGE   \* MERGEFORMAT </w:instrText>
        </w:r>
        <w:r>
          <w:fldChar w:fldCharType="separate"/>
        </w:r>
        <w:r>
          <w:rPr>
            <w:lang w:val="zh-CN"/>
          </w:rPr>
          <w:t xml:space="preserve">73</w:t>
        </w:r>
        <w:r>
          <w:rPr>
            <w:lang w:val="zh-CN"/>
          </w:rPr>
          <w:fldChar w:fldCharType="end"/>
        </w:r>
        <w:r/>
      </w:p>
    </w:sdtContent>
  </w:sdt>
  <w:p>
    <w:pPr>
      <w:pStyle w:val="70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8"/>
      <w:numFmt w:val="decimal"/>
      <w:isLgl w:val="false"/>
      <w:suff w:val="nothing"/>
      <w:lvlText w:val="（%1）"/>
      <w:lvlJc w:val="left"/>
      <w:pPr>
        <w:ind w:left="12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default="1">
    <w:name w:val="Normal"/>
    <w:link w:val="920"/>
    <w:uiPriority w:val="0"/>
    <w:qFormat/>
    <w:pPr>
      <w:jc w:val="both"/>
      <w:widowControl w:val="off"/>
    </w:pPr>
    <w:rPr>
      <w:rFonts w:hint="default" w:asciiTheme="minorHAnsi" w:hAnsiTheme="minorHAnsi" w:eastAsiaTheme="minorEastAsia" w:cstheme="minorBidi"/>
      <w:sz w:val="21"/>
      <w:szCs w:val="22"/>
    </w:rPr>
  </w:style>
  <w:style w:type="paragraph" w:styleId="681">
    <w:name w:val="Heading 1"/>
    <w:basedOn w:val="680"/>
    <w:next w:val="680"/>
    <w:link w:val="889"/>
    <w:uiPriority w:val="9"/>
    <w:qFormat/>
    <w:pPr>
      <w:keepLines/>
      <w:keepNext/>
      <w:spacing w:before="340" w:after="330" w:line="578" w:lineRule="auto"/>
      <w:outlineLvl w:val="0"/>
    </w:pPr>
    <w:rPr>
      <w:b/>
      <w:bCs/>
      <w:sz w:val="44"/>
      <w:szCs w:val="44"/>
    </w:rPr>
  </w:style>
  <w:style w:type="paragraph" w:styleId="682">
    <w:name w:val="Heading 2"/>
    <w:basedOn w:val="680"/>
    <w:next w:val="680"/>
    <w:link w:val="891"/>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83">
    <w:name w:val="Heading 3"/>
    <w:basedOn w:val="680"/>
    <w:next w:val="680"/>
    <w:link w:val="892"/>
    <w:uiPriority w:val="9"/>
    <w:unhideWhenUsed/>
    <w:qFormat/>
    <w:pPr>
      <w:keepLines/>
      <w:keepNext/>
      <w:spacing w:before="260" w:after="260" w:line="416" w:lineRule="auto"/>
      <w:outlineLvl w:val="2"/>
    </w:pPr>
    <w:rPr>
      <w:b/>
      <w:bCs/>
      <w:sz w:val="32"/>
      <w:szCs w:val="32"/>
    </w:rPr>
  </w:style>
  <w:style w:type="paragraph" w:styleId="684">
    <w:name w:val="Heading 4"/>
    <w:basedOn w:val="680"/>
    <w:next w:val="680"/>
    <w:link w:val="742"/>
    <w:uiPriority w:val="9"/>
    <w:unhideWhenUsed/>
    <w:qFormat/>
    <w:pPr>
      <w:keepLines/>
      <w:keepNext/>
      <w:spacing w:before="320" w:after="200"/>
      <w:outlineLvl w:val="3"/>
    </w:pPr>
    <w:rPr>
      <w:rFonts w:ascii="Arial" w:hAnsi="Arial" w:eastAsia="Arial" w:cs="Arial"/>
      <w:b/>
      <w:bCs/>
      <w:sz w:val="26"/>
      <w:szCs w:val="26"/>
    </w:rPr>
  </w:style>
  <w:style w:type="paragraph" w:styleId="685">
    <w:name w:val="Heading 5"/>
    <w:basedOn w:val="680"/>
    <w:next w:val="680"/>
    <w:link w:val="743"/>
    <w:uiPriority w:val="9"/>
    <w:unhideWhenUsed/>
    <w:qFormat/>
    <w:pPr>
      <w:keepLines/>
      <w:keepNext/>
      <w:spacing w:before="320" w:after="200"/>
      <w:outlineLvl w:val="4"/>
    </w:pPr>
    <w:rPr>
      <w:rFonts w:ascii="Arial" w:hAnsi="Arial" w:eastAsia="Arial" w:cs="Arial"/>
      <w:b/>
      <w:bCs/>
      <w:sz w:val="24"/>
      <w:szCs w:val="24"/>
    </w:rPr>
  </w:style>
  <w:style w:type="paragraph" w:styleId="686">
    <w:name w:val="Heading 6"/>
    <w:basedOn w:val="680"/>
    <w:next w:val="680"/>
    <w:link w:val="744"/>
    <w:uiPriority w:val="9"/>
    <w:unhideWhenUsed/>
    <w:qFormat/>
    <w:pPr>
      <w:keepLines/>
      <w:keepNext/>
      <w:spacing w:before="320" w:after="200"/>
      <w:outlineLvl w:val="5"/>
    </w:pPr>
    <w:rPr>
      <w:rFonts w:ascii="Arial" w:hAnsi="Arial" w:eastAsia="Arial" w:cs="Arial"/>
      <w:b/>
      <w:bCs/>
      <w:sz w:val="22"/>
      <w:szCs w:val="22"/>
    </w:rPr>
  </w:style>
  <w:style w:type="paragraph" w:styleId="687">
    <w:name w:val="Heading 7"/>
    <w:basedOn w:val="680"/>
    <w:next w:val="680"/>
    <w:link w:val="745"/>
    <w:uiPriority w:val="9"/>
    <w:unhideWhenUsed/>
    <w:qFormat/>
    <w:pPr>
      <w:keepLines/>
      <w:keepNext/>
      <w:spacing w:before="320" w:after="200"/>
      <w:outlineLvl w:val="6"/>
    </w:pPr>
    <w:rPr>
      <w:rFonts w:ascii="Arial" w:hAnsi="Arial" w:eastAsia="Arial" w:cs="Arial"/>
      <w:b/>
      <w:bCs/>
      <w:i/>
      <w:iCs/>
      <w:sz w:val="22"/>
      <w:szCs w:val="22"/>
    </w:rPr>
  </w:style>
  <w:style w:type="paragraph" w:styleId="688">
    <w:name w:val="Heading 8"/>
    <w:basedOn w:val="680"/>
    <w:next w:val="680"/>
    <w:link w:val="746"/>
    <w:uiPriority w:val="9"/>
    <w:unhideWhenUsed/>
    <w:qFormat/>
    <w:pPr>
      <w:keepLines/>
      <w:keepNext/>
      <w:spacing w:before="320" w:after="200"/>
      <w:outlineLvl w:val="7"/>
    </w:pPr>
    <w:rPr>
      <w:rFonts w:ascii="Arial" w:hAnsi="Arial" w:eastAsia="Arial" w:cs="Arial"/>
      <w:i/>
      <w:iCs/>
      <w:sz w:val="22"/>
      <w:szCs w:val="22"/>
    </w:rPr>
  </w:style>
  <w:style w:type="paragraph" w:styleId="689">
    <w:name w:val="Heading 9"/>
    <w:basedOn w:val="680"/>
    <w:next w:val="680"/>
    <w:link w:val="747"/>
    <w:uiPriority w:val="9"/>
    <w:unhideWhenUsed/>
    <w:qFormat/>
    <w:pPr>
      <w:keepLines/>
      <w:keepNext/>
      <w:spacing w:before="320" w:after="200"/>
      <w:outlineLvl w:val="8"/>
    </w:pPr>
    <w:rPr>
      <w:rFonts w:ascii="Arial" w:hAnsi="Arial" w:eastAsia="Arial" w:cs="Arial"/>
      <w:i/>
      <w:iCs/>
      <w:sz w:val="21"/>
      <w:szCs w:val="21"/>
    </w:rPr>
  </w:style>
  <w:style w:type="character" w:styleId="690" w:default="1">
    <w:name w:val="Default Paragraph Font"/>
    <w:uiPriority w:val="1"/>
    <w:semiHidden/>
    <w:unhideWhenUsed/>
    <w:qFormat/>
  </w:style>
  <w:style w:type="table" w:styleId="691" w:default="1">
    <w:name w:val="Normal Table"/>
    <w:uiPriority w:val="99"/>
    <w:semiHidden/>
    <w:unhideWhenUsed/>
    <w:qFormat/>
    <w:tblPr>
      <w:tblCellMar>
        <w:left w:w="108" w:type="dxa"/>
        <w:top w:w="0" w:type="dxa"/>
        <w:right w:w="108" w:type="dxa"/>
        <w:bottom w:w="0" w:type="dxa"/>
      </w:tblCellMar>
    </w:tblPr>
  </w:style>
  <w:style w:type="paragraph" w:styleId="692">
    <w:name w:val="toc 7"/>
    <w:basedOn w:val="680"/>
    <w:next w:val="680"/>
    <w:uiPriority w:val="39"/>
    <w:unhideWhenUsed/>
    <w:qFormat/>
    <w:pPr>
      <w:ind w:left="1701" w:right="0" w:firstLine="0"/>
      <w:spacing w:after="57"/>
    </w:pPr>
  </w:style>
  <w:style w:type="paragraph" w:styleId="693">
    <w:name w:val="Normal Indent"/>
    <w:basedOn w:val="680"/>
    <w:uiPriority w:val="0"/>
    <w:qFormat/>
    <w:pPr>
      <w:ind w:firstLine="420"/>
    </w:pPr>
    <w:rPr>
      <w:b/>
      <w:sz w:val="24"/>
      <w:szCs w:val="20"/>
    </w:rPr>
  </w:style>
  <w:style w:type="paragraph" w:styleId="694">
    <w:name w:val="Caption"/>
    <w:basedOn w:val="680"/>
    <w:next w:val="68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5">
    <w:name w:val="Document Map"/>
    <w:basedOn w:val="680"/>
    <w:link w:val="890"/>
    <w:uiPriority w:val="99"/>
    <w:semiHidden/>
    <w:unhideWhenUsed/>
    <w:qFormat/>
    <w:rPr>
      <w:rFonts w:ascii="宋体" w:eastAsia="宋体"/>
      <w:sz w:val="18"/>
      <w:szCs w:val="18"/>
    </w:rPr>
  </w:style>
  <w:style w:type="paragraph" w:styleId="696">
    <w:name w:val="annotation text"/>
    <w:basedOn w:val="680"/>
    <w:link w:val="894"/>
    <w:uiPriority w:val="0"/>
    <w:qFormat/>
    <w:pPr>
      <w:ind w:firstLine="420"/>
      <w:jc w:val="left"/>
      <w:spacing w:line="360" w:lineRule="auto"/>
    </w:pPr>
    <w:rPr>
      <w:rFonts w:ascii="Times New Roman" w:hAnsi="Times New Roman" w:eastAsia="宋体" w:cs="Times New Roman"/>
      <w:color w:val="ff0000"/>
      <w:szCs w:val="24"/>
    </w:rPr>
  </w:style>
  <w:style w:type="paragraph" w:styleId="697">
    <w:name w:val="Body Text"/>
    <w:basedOn w:val="680"/>
    <w:next w:val="698"/>
    <w:link w:val="902"/>
    <w:uiPriority w:val="0"/>
    <w:unhideWhenUsed/>
    <w:qFormat/>
    <w:pPr>
      <w:spacing w:after="120"/>
    </w:pPr>
    <w:rPr>
      <w:rFonts w:ascii="Calibri" w:hAnsi="Calibri" w:eastAsia="宋体" w:cs="Times New Roman"/>
    </w:rPr>
  </w:style>
  <w:style w:type="paragraph" w:styleId="698">
    <w:name w:val="Body Text First Indent"/>
    <w:basedOn w:val="680"/>
    <w:uiPriority w:val="0"/>
    <w:qFormat/>
    <w:pPr>
      <w:ind w:firstLine="200"/>
      <w:spacing w:line="360" w:lineRule="auto"/>
    </w:pPr>
    <w:rPr>
      <w:rFonts w:ascii="仿宋_GB2312" w:hAnsi="Times New Roman" w:eastAsia="仿宋_GB2312" w:cs="Times New Roman"/>
      <w:sz w:val="30"/>
      <w:szCs w:val="30"/>
    </w:rPr>
  </w:style>
  <w:style w:type="paragraph" w:styleId="699">
    <w:name w:val="Body Text Indent"/>
    <w:basedOn w:val="680"/>
    <w:link w:val="903"/>
    <w:uiPriority w:val="0"/>
    <w:qFormat/>
    <w:pPr>
      <w:ind w:left="420"/>
      <w:spacing w:after="120"/>
    </w:pPr>
    <w:rPr>
      <w:rFonts w:ascii="Times New Roman" w:hAnsi="Times New Roman" w:eastAsia="宋体" w:cs="Times New Roman"/>
      <w:szCs w:val="24"/>
    </w:rPr>
  </w:style>
  <w:style w:type="paragraph" w:styleId="700">
    <w:name w:val="toc 5"/>
    <w:basedOn w:val="680"/>
    <w:next w:val="680"/>
    <w:uiPriority w:val="39"/>
    <w:unhideWhenUsed/>
    <w:qFormat/>
    <w:pPr>
      <w:ind w:left="1134" w:right="0" w:firstLine="0"/>
      <w:spacing w:after="57"/>
    </w:pPr>
  </w:style>
  <w:style w:type="paragraph" w:styleId="701">
    <w:name w:val="toc 3"/>
    <w:basedOn w:val="680"/>
    <w:next w:val="680"/>
    <w:uiPriority w:val="39"/>
    <w:unhideWhenUsed/>
    <w:qFormat/>
    <w:pPr>
      <w:ind w:left="567" w:right="0" w:firstLine="0"/>
      <w:spacing w:after="57"/>
    </w:pPr>
  </w:style>
  <w:style w:type="paragraph" w:styleId="702">
    <w:name w:val="Plain Text"/>
    <w:basedOn w:val="680"/>
    <w:link w:val="904"/>
    <w:uiPriority w:val="0"/>
    <w:qFormat/>
    <w:rPr>
      <w:rFonts w:ascii="宋体" w:hAnsi="Courier New" w:eastAsia="宋体" w:cs="Courier New"/>
      <w:szCs w:val="21"/>
    </w:rPr>
  </w:style>
  <w:style w:type="paragraph" w:styleId="703">
    <w:name w:val="toc 8"/>
    <w:basedOn w:val="680"/>
    <w:next w:val="680"/>
    <w:uiPriority w:val="39"/>
    <w:unhideWhenUsed/>
    <w:qFormat/>
    <w:pPr>
      <w:ind w:left="1984" w:right="0" w:firstLine="0"/>
      <w:spacing w:after="57"/>
    </w:pPr>
  </w:style>
  <w:style w:type="paragraph" w:styleId="704">
    <w:name w:val="Date"/>
    <w:basedOn w:val="680"/>
    <w:next w:val="680"/>
    <w:link w:val="893"/>
    <w:uiPriority w:val="99"/>
    <w:semiHidden/>
    <w:unhideWhenUsed/>
    <w:qFormat/>
    <w:pPr>
      <w:ind w:left="100"/>
    </w:pPr>
  </w:style>
  <w:style w:type="paragraph" w:styleId="705">
    <w:name w:val="endnote text"/>
    <w:basedOn w:val="680"/>
    <w:link w:val="885"/>
    <w:uiPriority w:val="99"/>
    <w:semiHidden/>
    <w:unhideWhenUsed/>
    <w:qFormat/>
    <w:pPr>
      <w:spacing w:after="0" w:line="240" w:lineRule="auto"/>
    </w:pPr>
    <w:rPr>
      <w:sz w:val="20"/>
    </w:rPr>
  </w:style>
  <w:style w:type="paragraph" w:styleId="706">
    <w:name w:val="Balloon Text"/>
    <w:basedOn w:val="680"/>
    <w:link w:val="895"/>
    <w:uiPriority w:val="99"/>
    <w:semiHidden/>
    <w:unhideWhenUsed/>
    <w:qFormat/>
    <w:rPr>
      <w:sz w:val="18"/>
      <w:szCs w:val="18"/>
    </w:rPr>
  </w:style>
  <w:style w:type="paragraph" w:styleId="707">
    <w:name w:val="Footer"/>
    <w:basedOn w:val="680"/>
    <w:link w:val="888"/>
    <w:uiPriority w:val="99"/>
    <w:unhideWhenUsed/>
    <w:qFormat/>
    <w:pPr>
      <w:jc w:val="left"/>
      <w:tabs>
        <w:tab w:val="center" w:pos="4153" w:leader="none"/>
        <w:tab w:val="right" w:pos="8306" w:leader="none"/>
      </w:tabs>
    </w:pPr>
    <w:rPr>
      <w:sz w:val="18"/>
      <w:szCs w:val="18"/>
    </w:rPr>
  </w:style>
  <w:style w:type="paragraph" w:styleId="708">
    <w:name w:val="Header"/>
    <w:basedOn w:val="680"/>
    <w:link w:val="88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09">
    <w:name w:val="toc 1"/>
    <w:basedOn w:val="680"/>
    <w:next w:val="680"/>
    <w:uiPriority w:val="39"/>
    <w:unhideWhenUsed/>
    <w:qFormat/>
  </w:style>
  <w:style w:type="paragraph" w:styleId="710">
    <w:name w:val="toc 4"/>
    <w:basedOn w:val="680"/>
    <w:next w:val="680"/>
    <w:uiPriority w:val="39"/>
    <w:unhideWhenUsed/>
    <w:qFormat/>
    <w:pPr>
      <w:ind w:left="850" w:right="0" w:firstLine="0"/>
      <w:spacing w:after="57"/>
    </w:pPr>
  </w:style>
  <w:style w:type="paragraph" w:styleId="711">
    <w:name w:val="Subtitle"/>
    <w:basedOn w:val="680"/>
    <w:next w:val="680"/>
    <w:link w:val="751"/>
    <w:uiPriority w:val="11"/>
    <w:qFormat/>
    <w:pPr>
      <w:spacing w:before="200" w:after="200"/>
    </w:pPr>
    <w:rPr>
      <w:sz w:val="24"/>
      <w:szCs w:val="24"/>
    </w:rPr>
  </w:style>
  <w:style w:type="paragraph" w:styleId="712">
    <w:name w:val="footnote text"/>
    <w:basedOn w:val="680"/>
    <w:link w:val="884"/>
    <w:uiPriority w:val="99"/>
    <w:semiHidden/>
    <w:unhideWhenUsed/>
    <w:qFormat/>
    <w:pPr>
      <w:spacing w:after="40" w:line="240" w:lineRule="auto"/>
    </w:pPr>
    <w:rPr>
      <w:sz w:val="18"/>
    </w:rPr>
  </w:style>
  <w:style w:type="paragraph" w:styleId="713">
    <w:name w:val="toc 6"/>
    <w:basedOn w:val="680"/>
    <w:next w:val="680"/>
    <w:uiPriority w:val="39"/>
    <w:unhideWhenUsed/>
    <w:qFormat/>
    <w:pPr>
      <w:ind w:left="1417" w:right="0" w:firstLine="0"/>
      <w:spacing w:after="57"/>
    </w:pPr>
  </w:style>
  <w:style w:type="paragraph" w:styleId="714">
    <w:name w:val="table of figures"/>
    <w:basedOn w:val="680"/>
    <w:next w:val="680"/>
    <w:uiPriority w:val="99"/>
    <w:unhideWhenUsed/>
    <w:qFormat/>
    <w:pPr>
      <w:spacing w:after="0" w:afterAutospacing="0"/>
    </w:pPr>
  </w:style>
  <w:style w:type="paragraph" w:styleId="715">
    <w:name w:val="toc 2"/>
    <w:basedOn w:val="680"/>
    <w:next w:val="680"/>
    <w:uiPriority w:val="39"/>
    <w:unhideWhenUsed/>
    <w:qFormat/>
    <w:pPr>
      <w:ind w:left="283" w:right="0" w:firstLine="0"/>
      <w:spacing w:after="57"/>
    </w:pPr>
  </w:style>
  <w:style w:type="paragraph" w:styleId="716">
    <w:name w:val="toc 9"/>
    <w:basedOn w:val="680"/>
    <w:next w:val="680"/>
    <w:uiPriority w:val="39"/>
    <w:unhideWhenUsed/>
    <w:qFormat/>
    <w:pPr>
      <w:ind w:left="2268" w:right="0" w:firstLine="0"/>
      <w:spacing w:after="57"/>
    </w:pPr>
  </w:style>
  <w:style w:type="paragraph" w:styleId="717">
    <w:name w:val="List Continue 2"/>
    <w:basedOn w:val="680"/>
    <w:next w:val="680"/>
    <w:uiPriority w:val="0"/>
    <w:qFormat/>
    <w:pPr>
      <w:ind w:left="840"/>
      <w:spacing w:after="120"/>
    </w:pPr>
  </w:style>
  <w:style w:type="paragraph" w:styleId="718">
    <w:name w:val="Normal (Web)"/>
    <w:basedOn w:val="680"/>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719">
    <w:name w:val="Title"/>
    <w:basedOn w:val="680"/>
    <w:next w:val="680"/>
    <w:link w:val="750"/>
    <w:uiPriority w:val="10"/>
    <w:qFormat/>
    <w:pPr>
      <w:contextualSpacing/>
      <w:spacing w:before="300" w:after="200"/>
    </w:pPr>
    <w:rPr>
      <w:sz w:val="48"/>
      <w:szCs w:val="48"/>
    </w:rPr>
  </w:style>
  <w:style w:type="paragraph" w:styleId="720">
    <w:name w:val="annotation subject"/>
    <w:basedOn w:val="696"/>
    <w:next w:val="696"/>
    <w:link w:val="900"/>
    <w:uiPriority w:val="99"/>
    <w:semiHidden/>
    <w:unhideWhenUsed/>
    <w:qFormat/>
    <w:pPr>
      <w:ind w:firstLine="0"/>
      <w:spacing w:line="240" w:lineRule="auto"/>
    </w:pPr>
    <w:rPr>
      <w:rFonts w:asciiTheme="minorHAnsi" w:hAnsiTheme="minorHAnsi" w:eastAsiaTheme="minorEastAsia" w:cstheme="minorBidi"/>
      <w:b/>
      <w:bCs/>
      <w:szCs w:val="22"/>
    </w:rPr>
  </w:style>
  <w:style w:type="paragraph" w:styleId="721">
    <w:name w:val="Body Text First Indent 2"/>
    <w:basedOn w:val="699"/>
    <w:uiPriority w:val="0"/>
    <w:qFormat/>
    <w:pPr>
      <w:ind w:left="0" w:firstLine="420"/>
      <w:spacing w:after="0" w:line="360" w:lineRule="auto"/>
    </w:pPr>
    <w:rPr>
      <w:rFonts w:ascii="宋体" w:hAnsi="宋体" w:eastAsia="宋体" w:cs="Times New Roman"/>
      <w:szCs w:val="20"/>
    </w:rPr>
  </w:style>
  <w:style w:type="table" w:styleId="722">
    <w:name w:val="Table Grid"/>
    <w:basedOn w:val="6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3">
    <w:name w:val="endnote reference"/>
    <w:basedOn w:val="690"/>
    <w:uiPriority w:val="99"/>
    <w:semiHidden/>
    <w:unhideWhenUsed/>
    <w:qFormat/>
    <w:rPr>
      <w:vertAlign w:val="superscript"/>
    </w:rPr>
  </w:style>
  <w:style w:type="character" w:styleId="724">
    <w:name w:val="FollowedHyperlink"/>
    <w:basedOn w:val="690"/>
    <w:uiPriority w:val="99"/>
    <w:semiHidden/>
    <w:unhideWhenUsed/>
    <w:qFormat/>
    <w:rPr>
      <w:color w:val="800080"/>
      <w:u w:val="none"/>
    </w:rPr>
  </w:style>
  <w:style w:type="character" w:styleId="725">
    <w:name w:val="HTML Definition"/>
    <w:basedOn w:val="690"/>
    <w:uiPriority w:val="99"/>
    <w:semiHidden/>
    <w:unhideWhenUsed/>
    <w:qFormat/>
  </w:style>
  <w:style w:type="character" w:styleId="726">
    <w:name w:val="HTML Typewriter"/>
    <w:basedOn w:val="690"/>
    <w:uiPriority w:val="99"/>
    <w:semiHidden/>
    <w:unhideWhenUsed/>
    <w:qFormat/>
    <w:rPr>
      <w:rFonts w:hint="default" w:ascii="monospace" w:hAnsi="monospace" w:eastAsia="monospace" w:cs="monospace"/>
      <w:sz w:val="20"/>
    </w:rPr>
  </w:style>
  <w:style w:type="character" w:styleId="727">
    <w:name w:val="HTML Acronym"/>
    <w:basedOn w:val="690"/>
    <w:uiPriority w:val="99"/>
    <w:semiHidden/>
    <w:unhideWhenUsed/>
    <w:qFormat/>
  </w:style>
  <w:style w:type="character" w:styleId="728">
    <w:name w:val="HTML Variable"/>
    <w:basedOn w:val="690"/>
    <w:uiPriority w:val="99"/>
    <w:semiHidden/>
    <w:unhideWhenUsed/>
    <w:qFormat/>
  </w:style>
  <w:style w:type="character" w:styleId="729">
    <w:name w:val="Hyperlink"/>
    <w:uiPriority w:val="99"/>
    <w:qFormat/>
    <w:rPr>
      <w:color w:val="0000ff"/>
      <w:u w:val="none"/>
    </w:rPr>
  </w:style>
  <w:style w:type="character" w:styleId="730">
    <w:name w:val="HTML Code"/>
    <w:basedOn w:val="690"/>
    <w:uiPriority w:val="99"/>
    <w:semiHidden/>
    <w:unhideWhenUsed/>
    <w:qFormat/>
    <w:rPr>
      <w:rFonts w:hint="default" w:ascii="monospace" w:hAnsi="monospace" w:eastAsia="monospace" w:cs="monospace"/>
      <w:sz w:val="20"/>
    </w:rPr>
  </w:style>
  <w:style w:type="character" w:styleId="731">
    <w:name w:val="annotation reference"/>
    <w:uiPriority w:val="0"/>
    <w:qFormat/>
    <w:rPr>
      <w:sz w:val="21"/>
      <w:szCs w:val="21"/>
    </w:rPr>
  </w:style>
  <w:style w:type="character" w:styleId="732">
    <w:name w:val="HTML Cite"/>
    <w:basedOn w:val="690"/>
    <w:uiPriority w:val="99"/>
    <w:semiHidden/>
    <w:unhideWhenUsed/>
    <w:qFormat/>
  </w:style>
  <w:style w:type="character" w:styleId="733">
    <w:name w:val="footnote reference"/>
    <w:basedOn w:val="690"/>
    <w:uiPriority w:val="99"/>
    <w:unhideWhenUsed/>
    <w:qFormat/>
    <w:rPr>
      <w:vertAlign w:val="superscript"/>
    </w:rPr>
  </w:style>
  <w:style w:type="character" w:styleId="734">
    <w:name w:val="HTML Keyboard"/>
    <w:basedOn w:val="690"/>
    <w:uiPriority w:val="99"/>
    <w:semiHidden/>
    <w:unhideWhenUsed/>
    <w:qFormat/>
    <w:rPr>
      <w:rFonts w:hint="default" w:ascii="monospace" w:hAnsi="monospace" w:eastAsia="monospace" w:cs="monospace"/>
      <w:sz w:val="20"/>
    </w:rPr>
  </w:style>
  <w:style w:type="character" w:styleId="735">
    <w:name w:val="HTML Sample"/>
    <w:basedOn w:val="690"/>
    <w:uiPriority w:val="99"/>
    <w:semiHidden/>
    <w:unhideWhenUsed/>
    <w:qFormat/>
    <w:rPr>
      <w:rFonts w:ascii="monospace" w:hAnsi="monospace" w:eastAsia="monospace" w:cs="monospace"/>
    </w:rPr>
  </w:style>
  <w:style w:type="paragraph" w:styleId="736" w:customStyle="1">
    <w:name w:val="首行缩进"/>
    <w:basedOn w:val="680"/>
    <w:uiPriority w:val="0"/>
    <w:qFormat/>
    <w:pPr>
      <w:ind w:firstLine="480"/>
    </w:pPr>
    <w:rPr>
      <w:lang w:val="zh-CN"/>
    </w:rPr>
  </w:style>
  <w:style w:type="paragraph" w:styleId="737" w:customStyle="1">
    <w:name w:val="Default"/>
    <w:link w:val="901"/>
    <w:uiPriority w:val="99"/>
    <w:qFormat/>
    <w:pPr>
      <w:widowControl w:val="off"/>
    </w:pPr>
    <w:rPr>
      <w:rFonts w:hint="default" w:ascii="MS Mincho" w:hAnsi="Calibri" w:eastAsia="宋体" w:cs="Times New Roman"/>
      <w:color w:val="000000"/>
      <w:sz w:val="21"/>
      <w:szCs w:val="24"/>
    </w:rPr>
  </w:style>
  <w:style w:type="paragraph" w:styleId="738" w:customStyle="1">
    <w:name w:val="段"/>
    <w:next w:val="680"/>
    <w:uiPriority w:val="0"/>
    <w:qFormat/>
    <w:pPr>
      <w:ind w:firstLine="200"/>
      <w:jc w:val="both"/>
      <w:spacing w:line="360" w:lineRule="auto"/>
    </w:pPr>
    <w:rPr>
      <w:rFonts w:hint="default" w:ascii="宋体" w:hAnsi="Calibri" w:eastAsia="宋体" w:cs="Times New Roman"/>
      <w:sz w:val="24"/>
      <w:szCs w:val="22"/>
      <w:lang w:val="en-US" w:eastAsia="zh-CN" w:bidi="ar-SA"/>
    </w:rPr>
  </w:style>
  <w:style w:type="character" w:styleId="739" w:customStyle="1">
    <w:name w:val="Heading 1 Char"/>
    <w:basedOn w:val="690"/>
    <w:uiPriority w:val="9"/>
    <w:qFormat/>
    <w:rPr>
      <w:rFonts w:ascii="Arial" w:hAnsi="Arial" w:eastAsia="Arial" w:cs="Arial"/>
      <w:sz w:val="40"/>
      <w:szCs w:val="40"/>
    </w:rPr>
  </w:style>
  <w:style w:type="character" w:styleId="740" w:customStyle="1">
    <w:name w:val="Heading 2 Char"/>
    <w:basedOn w:val="690"/>
    <w:uiPriority w:val="9"/>
    <w:qFormat/>
    <w:rPr>
      <w:rFonts w:ascii="Arial" w:hAnsi="Arial" w:eastAsia="Arial" w:cs="Arial"/>
      <w:sz w:val="34"/>
    </w:rPr>
  </w:style>
  <w:style w:type="character" w:styleId="741" w:customStyle="1">
    <w:name w:val="Heading 3 Char"/>
    <w:basedOn w:val="690"/>
    <w:uiPriority w:val="9"/>
    <w:qFormat/>
    <w:rPr>
      <w:rFonts w:ascii="Arial" w:hAnsi="Arial" w:eastAsia="Arial" w:cs="Arial"/>
      <w:sz w:val="30"/>
      <w:szCs w:val="30"/>
    </w:rPr>
  </w:style>
  <w:style w:type="character" w:styleId="742" w:customStyle="1">
    <w:name w:val="Heading 4 Char"/>
    <w:basedOn w:val="690"/>
    <w:link w:val="684"/>
    <w:uiPriority w:val="9"/>
    <w:qFormat/>
    <w:rPr>
      <w:rFonts w:ascii="Arial" w:hAnsi="Arial" w:eastAsia="Arial" w:cs="Arial"/>
      <w:b/>
      <w:bCs/>
      <w:sz w:val="26"/>
      <w:szCs w:val="26"/>
    </w:rPr>
  </w:style>
  <w:style w:type="character" w:styleId="743" w:customStyle="1">
    <w:name w:val="Heading 5 Char"/>
    <w:basedOn w:val="690"/>
    <w:link w:val="685"/>
    <w:uiPriority w:val="9"/>
    <w:qFormat/>
    <w:rPr>
      <w:rFonts w:ascii="Arial" w:hAnsi="Arial" w:eastAsia="Arial" w:cs="Arial"/>
      <w:b/>
      <w:bCs/>
      <w:sz w:val="24"/>
      <w:szCs w:val="24"/>
    </w:rPr>
  </w:style>
  <w:style w:type="character" w:styleId="744" w:customStyle="1">
    <w:name w:val="Heading 6 Char"/>
    <w:basedOn w:val="690"/>
    <w:link w:val="686"/>
    <w:uiPriority w:val="9"/>
    <w:qFormat/>
    <w:rPr>
      <w:rFonts w:ascii="Arial" w:hAnsi="Arial" w:eastAsia="Arial" w:cs="Arial"/>
      <w:b/>
      <w:bCs/>
      <w:sz w:val="22"/>
      <w:szCs w:val="22"/>
    </w:rPr>
  </w:style>
  <w:style w:type="character" w:styleId="745" w:customStyle="1">
    <w:name w:val="Heading 7 Char"/>
    <w:basedOn w:val="690"/>
    <w:link w:val="687"/>
    <w:uiPriority w:val="9"/>
    <w:qFormat/>
    <w:rPr>
      <w:rFonts w:ascii="Arial" w:hAnsi="Arial" w:eastAsia="Arial" w:cs="Arial"/>
      <w:b/>
      <w:bCs/>
      <w:i/>
      <w:iCs/>
      <w:sz w:val="22"/>
      <w:szCs w:val="22"/>
    </w:rPr>
  </w:style>
  <w:style w:type="character" w:styleId="746" w:customStyle="1">
    <w:name w:val="Heading 8 Char"/>
    <w:basedOn w:val="690"/>
    <w:link w:val="688"/>
    <w:uiPriority w:val="9"/>
    <w:qFormat/>
    <w:rPr>
      <w:rFonts w:ascii="Arial" w:hAnsi="Arial" w:eastAsia="Arial" w:cs="Arial"/>
      <w:i/>
      <w:iCs/>
      <w:sz w:val="22"/>
      <w:szCs w:val="22"/>
    </w:rPr>
  </w:style>
  <w:style w:type="character" w:styleId="747" w:customStyle="1">
    <w:name w:val="Heading 9 Char"/>
    <w:basedOn w:val="690"/>
    <w:link w:val="689"/>
    <w:uiPriority w:val="9"/>
    <w:qFormat/>
    <w:rPr>
      <w:rFonts w:ascii="Arial" w:hAnsi="Arial" w:eastAsia="Arial" w:cs="Arial"/>
      <w:i/>
      <w:iCs/>
      <w:sz w:val="21"/>
      <w:szCs w:val="21"/>
    </w:rPr>
  </w:style>
  <w:style w:type="paragraph" w:styleId="748">
    <w:name w:val="List Paragraph"/>
    <w:basedOn w:val="680"/>
    <w:uiPriority w:val="34"/>
    <w:qFormat/>
    <w:pPr>
      <w:contextualSpacing/>
      <w:ind w:left="720"/>
    </w:pPr>
  </w:style>
  <w:style w:type="paragraph" w:styleId="749">
    <w:name w:val="No Spacing"/>
    <w:uiPriority w:val="1"/>
    <w:qFormat/>
    <w:pPr>
      <w:spacing w:before="0" w:after="0" w:line="240" w:lineRule="auto"/>
    </w:pPr>
    <w:rPr>
      <w:rFonts w:hint="default" w:asciiTheme="minorHAnsi" w:hAnsiTheme="minorHAnsi" w:eastAsiaTheme="minorEastAsia" w:cstheme="minorBidi"/>
    </w:rPr>
  </w:style>
  <w:style w:type="character" w:styleId="750" w:customStyle="1">
    <w:name w:val="Title Char"/>
    <w:basedOn w:val="690"/>
    <w:link w:val="719"/>
    <w:uiPriority w:val="10"/>
    <w:qFormat/>
    <w:rPr>
      <w:sz w:val="48"/>
      <w:szCs w:val="48"/>
    </w:rPr>
  </w:style>
  <w:style w:type="character" w:styleId="751" w:customStyle="1">
    <w:name w:val="Subtitle Char"/>
    <w:basedOn w:val="690"/>
    <w:link w:val="711"/>
    <w:uiPriority w:val="11"/>
    <w:qFormat/>
    <w:rPr>
      <w:sz w:val="24"/>
      <w:szCs w:val="24"/>
    </w:rPr>
  </w:style>
  <w:style w:type="paragraph" w:styleId="752">
    <w:name w:val="Quote"/>
    <w:basedOn w:val="680"/>
    <w:next w:val="680"/>
    <w:link w:val="753"/>
    <w:uiPriority w:val="29"/>
    <w:qFormat/>
    <w:pPr>
      <w:ind w:left="720" w:right="720"/>
    </w:pPr>
    <w:rPr>
      <w:i/>
    </w:rPr>
  </w:style>
  <w:style w:type="character" w:styleId="753" w:customStyle="1">
    <w:name w:val="Quote Char"/>
    <w:link w:val="752"/>
    <w:uiPriority w:val="29"/>
    <w:qFormat/>
    <w:rPr>
      <w:i/>
    </w:rPr>
  </w:style>
  <w:style w:type="paragraph" w:styleId="754">
    <w:name w:val="Intense Quote"/>
    <w:basedOn w:val="680"/>
    <w:next w:val="680"/>
    <w:link w:val="7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customStyle="1">
    <w:name w:val="Intense Quote Char"/>
    <w:link w:val="754"/>
    <w:uiPriority w:val="30"/>
    <w:qFormat/>
    <w:rPr>
      <w:i/>
    </w:rPr>
  </w:style>
  <w:style w:type="character" w:styleId="756" w:customStyle="1">
    <w:name w:val="Header Char"/>
    <w:basedOn w:val="690"/>
    <w:uiPriority w:val="99"/>
    <w:qFormat/>
  </w:style>
  <w:style w:type="character" w:styleId="757" w:customStyle="1">
    <w:name w:val="Footer Char"/>
    <w:basedOn w:val="690"/>
    <w:uiPriority w:val="99"/>
    <w:qFormat/>
  </w:style>
  <w:style w:type="character" w:styleId="758" w:customStyle="1">
    <w:name w:val="Caption Char"/>
    <w:uiPriority w:val="99"/>
    <w:qFormat/>
  </w:style>
  <w:style w:type="table" w:styleId="759" w:customStyle="1">
    <w:name w:val="Table Grid Light"/>
    <w:basedOn w:val="69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0" w:customStyle="1">
    <w:name w:val="Plain Table 1"/>
    <w:basedOn w:val="69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2"/>
    <w:basedOn w:val="69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3"/>
    <w:basedOn w:val="6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Plain Table 4"/>
    <w:basedOn w:val="6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Plain Table 5"/>
    <w:basedOn w:val="6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Grid Table 1 Light"/>
    <w:basedOn w:val="69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1"/>
    <w:basedOn w:val="69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2"/>
    <w:basedOn w:val="69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3"/>
    <w:basedOn w:val="69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4"/>
    <w:basedOn w:val="69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5"/>
    <w:basedOn w:val="69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6"/>
    <w:basedOn w:val="69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2" w:customStyle="1">
    <w:name w:val="Grid Table 2"/>
    <w:basedOn w:val="6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3" w:customStyle="1">
    <w:name w:val="Grid Table 2 - Accent 1"/>
    <w:basedOn w:val="69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4" w:customStyle="1">
    <w:name w:val="Grid Table 2 - Accent 2"/>
    <w:basedOn w:val="69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5" w:customStyle="1">
    <w:name w:val="Grid Table 2 - Accent 3"/>
    <w:basedOn w:val="69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6" w:customStyle="1">
    <w:name w:val="Grid Table 2 - Accent 4"/>
    <w:basedOn w:val="69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7" w:customStyle="1">
    <w:name w:val="Grid Table 2 - Accent 5"/>
    <w:basedOn w:val="69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8" w:customStyle="1">
    <w:name w:val="Grid Table 2 - Accent 6"/>
    <w:basedOn w:val="69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9" w:customStyle="1">
    <w:name w:val="Grid Table 3"/>
    <w:basedOn w:val="6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1"/>
    <w:basedOn w:val="69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2"/>
    <w:basedOn w:val="69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3"/>
    <w:basedOn w:val="69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4"/>
    <w:basedOn w:val="69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5"/>
    <w:basedOn w:val="69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6"/>
    <w:basedOn w:val="69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4"/>
    <w:basedOn w:val="69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Grid Table 4 - Accent 1"/>
    <w:basedOn w:val="69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8" w:customStyle="1">
    <w:name w:val="Grid Table 4 - Accent 2"/>
    <w:basedOn w:val="69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9" w:customStyle="1">
    <w:name w:val="Grid Table 4 - Accent 3"/>
    <w:basedOn w:val="69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0" w:customStyle="1">
    <w:name w:val="Grid Table 4 - Accent 4"/>
    <w:basedOn w:val="69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1" w:customStyle="1">
    <w:name w:val="Grid Table 4 - Accent 5"/>
    <w:basedOn w:val="69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2" w:customStyle="1">
    <w:name w:val="Grid Table 4 - Accent 6"/>
    <w:basedOn w:val="69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3" w:customStyle="1">
    <w:name w:val="Grid Table 5 Dark"/>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customStyle="1">
    <w:name w:val="Grid Table 5 Dark- Accent 1"/>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5" w:customStyle="1">
    <w:name w:val="Grid Table 5 Dark - Accent 2"/>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6" w:customStyle="1">
    <w:name w:val="Grid Table 5 Dark - Accent 3"/>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7" w:customStyle="1">
    <w:name w:val="Grid Table 5 Dark- Accent 4"/>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8" w:customStyle="1">
    <w:name w:val="Grid Table 5 Dark - Accent 5"/>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9" w:customStyle="1">
    <w:name w:val="Grid Table 5 Dark - Accent 6"/>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0" w:customStyle="1">
    <w:name w:val="Grid Table 6 Colorful"/>
    <w:basedOn w:val="69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1" w:customStyle="1">
    <w:name w:val="Grid Table 6 Colorful - Accent 1"/>
    <w:basedOn w:val="69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2" w:customStyle="1">
    <w:name w:val="Grid Table 6 Colorful - Accent 2"/>
    <w:basedOn w:val="69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3" w:customStyle="1">
    <w:name w:val="Grid Table 6 Colorful - Accent 3"/>
    <w:basedOn w:val="69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4" w:customStyle="1">
    <w:name w:val="Grid Table 6 Colorful - Accent 4"/>
    <w:basedOn w:val="69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5" w:customStyle="1">
    <w:name w:val="Grid Table 6 Colorful - Accent 5"/>
    <w:basedOn w:val="69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6" w:customStyle="1">
    <w:name w:val="Grid Table 6 Colorful - Accent 6"/>
    <w:basedOn w:val="69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7" w:customStyle="1">
    <w:name w:val="Grid Table 7 Colorful"/>
    <w:basedOn w:val="69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8" w:customStyle="1">
    <w:name w:val="Grid Table 7 Colorful - Accent 1"/>
    <w:basedOn w:val="69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9" w:customStyle="1">
    <w:name w:val="Grid Table 7 Colorful - Accent 2"/>
    <w:basedOn w:val="69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Grid Table 7 Colorful - Accent 3"/>
    <w:basedOn w:val="69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1" w:customStyle="1">
    <w:name w:val="Grid Table 7 Colorful - Accent 4"/>
    <w:basedOn w:val="69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7 Colorful - Accent 5"/>
    <w:basedOn w:val="69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3" w:customStyle="1">
    <w:name w:val="Grid Table 7 Colorful - Accent 6"/>
    <w:basedOn w:val="69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4" w:customStyle="1">
    <w:name w:val="List Table 1 Light"/>
    <w:basedOn w:val="69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customStyle="1">
    <w:name w:val="List Table 1 Light - Accent 1"/>
    <w:basedOn w:val="69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6" w:customStyle="1">
    <w:name w:val="List Table 1 Light - Accent 2"/>
    <w:basedOn w:val="69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7" w:customStyle="1">
    <w:name w:val="List Table 1 Light - Accent 3"/>
    <w:basedOn w:val="69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8" w:customStyle="1">
    <w:name w:val="List Table 1 Light - Accent 4"/>
    <w:basedOn w:val="69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9" w:customStyle="1">
    <w:name w:val="List Table 1 Light - Accent 5"/>
    <w:basedOn w:val="69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List Table 1 Light - Accent 6"/>
    <w:basedOn w:val="69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List Table 2"/>
    <w:basedOn w:val="69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2" w:customStyle="1">
    <w:name w:val="List Table 2 - Accent 1"/>
    <w:basedOn w:val="69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3" w:customStyle="1">
    <w:name w:val="List Table 2 - Accent 2"/>
    <w:basedOn w:val="69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4" w:customStyle="1">
    <w:name w:val="List Table 2 - Accent 3"/>
    <w:basedOn w:val="69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5" w:customStyle="1">
    <w:name w:val="List Table 2 - Accent 4"/>
    <w:basedOn w:val="69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6" w:customStyle="1">
    <w:name w:val="List Table 2 - Accent 5"/>
    <w:basedOn w:val="69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7" w:customStyle="1">
    <w:name w:val="List Table 2 - Accent 6"/>
    <w:basedOn w:val="69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8" w:customStyle="1">
    <w:name w:val="List Table 3"/>
    <w:basedOn w:val="6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3 - Accent 1"/>
    <w:basedOn w:val="69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3 - Accent 2"/>
    <w:basedOn w:val="69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1" w:customStyle="1">
    <w:name w:val="List Table 3 - Accent 3"/>
    <w:basedOn w:val="69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2" w:customStyle="1">
    <w:name w:val="List Table 3 - Accent 4"/>
    <w:basedOn w:val="69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3" w:customStyle="1">
    <w:name w:val="List Table 3 - Accent 5"/>
    <w:basedOn w:val="69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4" w:customStyle="1">
    <w:name w:val="List Table 3 - Accent 6"/>
    <w:basedOn w:val="69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5" w:customStyle="1">
    <w:name w:val="List Table 4"/>
    <w:basedOn w:val="6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4 - Accent 1"/>
    <w:basedOn w:val="69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4 - Accent 2"/>
    <w:basedOn w:val="69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8" w:customStyle="1">
    <w:name w:val="List Table 4 - Accent 3"/>
    <w:basedOn w:val="69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9" w:customStyle="1">
    <w:name w:val="List Table 4 - Accent 4"/>
    <w:basedOn w:val="69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0" w:customStyle="1">
    <w:name w:val="List Table 4 - Accent 5"/>
    <w:basedOn w:val="69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1" w:customStyle="1">
    <w:name w:val="List Table 4 - Accent 6"/>
    <w:basedOn w:val="69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2" w:customStyle="1">
    <w:name w:val="List Table 5 Dark"/>
    <w:basedOn w:val="69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1"/>
    <w:basedOn w:val="69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2"/>
    <w:basedOn w:val="69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3"/>
    <w:basedOn w:val="69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4"/>
    <w:basedOn w:val="69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5"/>
    <w:basedOn w:val="69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6"/>
    <w:basedOn w:val="69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6 Colorful"/>
    <w:basedOn w:val="69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0" w:customStyle="1">
    <w:name w:val="List Table 6 Colorful - Accent 1"/>
    <w:basedOn w:val="69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1" w:customStyle="1">
    <w:name w:val="List Table 6 Colorful - Accent 2"/>
    <w:basedOn w:val="69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2" w:customStyle="1">
    <w:name w:val="List Table 6 Colorful - Accent 3"/>
    <w:basedOn w:val="69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3" w:customStyle="1">
    <w:name w:val="List Table 6 Colorful - Accent 4"/>
    <w:basedOn w:val="69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4" w:customStyle="1">
    <w:name w:val="List Table 6 Colorful - Accent 5"/>
    <w:basedOn w:val="69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5" w:customStyle="1">
    <w:name w:val="List Table 6 Colorful - Accent 6"/>
    <w:basedOn w:val="69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6" w:customStyle="1">
    <w:name w:val="List Table 7 Colorful"/>
    <w:basedOn w:val="69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List Table 7 Colorful - Accent 1"/>
    <w:basedOn w:val="69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8" w:customStyle="1">
    <w:name w:val="List Table 7 Colorful - Accent 2"/>
    <w:basedOn w:val="69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List Table 7 Colorful - Accent 3"/>
    <w:basedOn w:val="69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0" w:customStyle="1">
    <w:name w:val="List Table 7 Colorful - Accent 4"/>
    <w:basedOn w:val="69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List Table 7 Colorful - Accent 5"/>
    <w:basedOn w:val="69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2" w:customStyle="1">
    <w:name w:val="List Table 7 Colorful - Accent 6"/>
    <w:basedOn w:val="69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3" w:customStyle="1">
    <w:name w:val="Lined - Accent"/>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4" w:customStyle="1">
    <w:name w:val="Lined - Accent 1"/>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5" w:customStyle="1">
    <w:name w:val="Lined - Accent 2"/>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6" w:customStyle="1">
    <w:name w:val="Lined - Accent 3"/>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7" w:customStyle="1">
    <w:name w:val="Lined - Accent 4"/>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Lined - Accent 5"/>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Lined - Accent 6"/>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amp; Lined - Accent"/>
    <w:basedOn w:val="69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1" w:customStyle="1">
    <w:name w:val="Bordered &amp; Lined - Accent 1"/>
    <w:basedOn w:val="69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2" w:customStyle="1">
    <w:name w:val="Bordered &amp; Lined - Accent 2"/>
    <w:basedOn w:val="69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3" w:customStyle="1">
    <w:name w:val="Bordered &amp; Lined - Accent 3"/>
    <w:basedOn w:val="69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4" w:customStyle="1">
    <w:name w:val="Bordered &amp; Lined - Accent 4"/>
    <w:basedOn w:val="69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Bordered &amp; Lined - Accent 5"/>
    <w:basedOn w:val="69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Bordered &amp; Lined - Accent 6"/>
    <w:basedOn w:val="69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w:basedOn w:val="69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8" w:customStyle="1">
    <w:name w:val="Bordered - Accent 1"/>
    <w:basedOn w:val="69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9" w:customStyle="1">
    <w:name w:val="Bordered - Accent 2"/>
    <w:basedOn w:val="69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0" w:customStyle="1">
    <w:name w:val="Bordered - Accent 3"/>
    <w:basedOn w:val="69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1" w:customStyle="1">
    <w:name w:val="Bordered - Accent 4"/>
    <w:basedOn w:val="69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2" w:customStyle="1">
    <w:name w:val="Bordered - Accent 5"/>
    <w:basedOn w:val="69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3" w:customStyle="1">
    <w:name w:val="Bordered - Accent 6"/>
    <w:basedOn w:val="69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4" w:customStyle="1">
    <w:name w:val="Footnote Text Char"/>
    <w:link w:val="712"/>
    <w:uiPriority w:val="99"/>
    <w:qFormat/>
    <w:rPr>
      <w:sz w:val="18"/>
    </w:rPr>
  </w:style>
  <w:style w:type="character" w:styleId="885" w:customStyle="1">
    <w:name w:val="Endnote Text Char"/>
    <w:link w:val="705"/>
    <w:uiPriority w:val="99"/>
    <w:qFormat/>
    <w:rPr>
      <w:sz w:val="20"/>
    </w:rPr>
  </w:style>
  <w:style w:type="paragraph" w:styleId="886" w:customStyle="1">
    <w:name w:val="TOC Heading"/>
    <w:uiPriority w:val="39"/>
    <w:unhideWhenUsed/>
    <w:qFormat/>
    <w:rPr>
      <w:rFonts w:hint="default" w:asciiTheme="minorHAnsi" w:hAnsiTheme="minorHAnsi" w:eastAsiaTheme="minorEastAsia" w:cstheme="minorBidi"/>
    </w:rPr>
  </w:style>
  <w:style w:type="character" w:styleId="887" w:customStyle="1">
    <w:name w:val="页眉 字符"/>
    <w:basedOn w:val="690"/>
    <w:link w:val="708"/>
    <w:uiPriority w:val="99"/>
    <w:qFormat/>
    <w:rPr>
      <w:sz w:val="18"/>
      <w:szCs w:val="18"/>
    </w:rPr>
  </w:style>
  <w:style w:type="character" w:styleId="888" w:customStyle="1">
    <w:name w:val="页脚 字符"/>
    <w:basedOn w:val="690"/>
    <w:link w:val="707"/>
    <w:uiPriority w:val="99"/>
    <w:qFormat/>
    <w:rPr>
      <w:sz w:val="18"/>
      <w:szCs w:val="18"/>
    </w:rPr>
  </w:style>
  <w:style w:type="character" w:styleId="889" w:customStyle="1">
    <w:name w:val="标题 1 字符"/>
    <w:basedOn w:val="690"/>
    <w:link w:val="681"/>
    <w:uiPriority w:val="9"/>
    <w:qFormat/>
    <w:rPr>
      <w:b/>
      <w:bCs/>
      <w:sz w:val="44"/>
      <w:szCs w:val="44"/>
    </w:rPr>
  </w:style>
  <w:style w:type="character" w:styleId="890" w:customStyle="1">
    <w:name w:val="文档结构图 字符"/>
    <w:basedOn w:val="690"/>
    <w:link w:val="695"/>
    <w:uiPriority w:val="99"/>
    <w:semiHidden/>
    <w:qFormat/>
    <w:rPr>
      <w:rFonts w:ascii="宋体" w:eastAsia="宋体"/>
      <w:sz w:val="18"/>
      <w:szCs w:val="18"/>
    </w:rPr>
  </w:style>
  <w:style w:type="character" w:styleId="891" w:customStyle="1">
    <w:name w:val="标题 2 字符"/>
    <w:basedOn w:val="690"/>
    <w:link w:val="682"/>
    <w:uiPriority w:val="9"/>
    <w:qFormat/>
    <w:rPr>
      <w:rFonts w:asciiTheme="majorHAnsi" w:hAnsiTheme="majorHAnsi" w:eastAsiaTheme="majorEastAsia" w:cstheme="majorBidi"/>
      <w:b/>
      <w:bCs/>
      <w:sz w:val="32"/>
      <w:szCs w:val="32"/>
    </w:rPr>
  </w:style>
  <w:style w:type="character" w:styleId="892" w:customStyle="1">
    <w:name w:val="标题 3 字符"/>
    <w:basedOn w:val="690"/>
    <w:link w:val="683"/>
    <w:uiPriority w:val="9"/>
    <w:qFormat/>
    <w:rPr>
      <w:b/>
      <w:bCs/>
      <w:sz w:val="32"/>
      <w:szCs w:val="32"/>
    </w:rPr>
  </w:style>
  <w:style w:type="character" w:styleId="893" w:customStyle="1">
    <w:name w:val="日期 字符"/>
    <w:basedOn w:val="690"/>
    <w:link w:val="704"/>
    <w:uiPriority w:val="99"/>
    <w:semiHidden/>
    <w:qFormat/>
  </w:style>
  <w:style w:type="character" w:styleId="894" w:customStyle="1">
    <w:name w:val="批注文字 字符"/>
    <w:basedOn w:val="690"/>
    <w:link w:val="696"/>
    <w:uiPriority w:val="0"/>
    <w:qFormat/>
    <w:rPr>
      <w:rFonts w:ascii="Times New Roman" w:hAnsi="Times New Roman" w:eastAsia="宋体" w:cs="Times New Roman"/>
      <w:color w:val="ff0000"/>
      <w:sz w:val="21"/>
      <w:szCs w:val="24"/>
    </w:rPr>
  </w:style>
  <w:style w:type="character" w:styleId="895" w:customStyle="1">
    <w:name w:val="批注框文本 字符"/>
    <w:basedOn w:val="690"/>
    <w:link w:val="706"/>
    <w:uiPriority w:val="99"/>
    <w:semiHidden/>
    <w:qFormat/>
    <w:rPr>
      <w:sz w:val="18"/>
      <w:szCs w:val="18"/>
    </w:rPr>
  </w:style>
  <w:style w:type="paragraph" w:styleId="896" w:customStyle="1">
    <w:name w:val="Table Text"/>
    <w:basedOn w:val="680"/>
    <w:uiPriority w:val="0"/>
    <w:semiHidden/>
    <w:qFormat/>
    <w:rPr>
      <w:rFonts w:ascii="宋体" w:hAnsi="宋体" w:eastAsia="宋体" w:cs="宋体"/>
      <w:sz w:val="24"/>
      <w:szCs w:val="24"/>
      <w:lang w:eastAsia="en-US"/>
    </w:rPr>
  </w:style>
  <w:style w:type="character" w:styleId="897" w:customStyle="1">
    <w:name w:val="font31"/>
    <w:basedOn w:val="690"/>
    <w:uiPriority w:val="0"/>
    <w:qFormat/>
    <w:rPr>
      <w:rFonts w:hint="eastAsia" w:ascii="宋体" w:hAnsi="宋体" w:eastAsia="宋体" w:cs="宋体"/>
      <w:color w:val="000000"/>
      <w:sz w:val="18"/>
      <w:szCs w:val="18"/>
      <w:u w:val="none"/>
    </w:rPr>
  </w:style>
  <w:style w:type="character" w:styleId="898" w:customStyle="1">
    <w:name w:val="font41"/>
    <w:basedOn w:val="690"/>
    <w:uiPriority w:val="0"/>
    <w:qFormat/>
    <w:rPr>
      <w:rFonts w:ascii="Calibri" w:hAnsi="Calibri" w:cs="Calibri"/>
      <w:color w:val="000000"/>
      <w:sz w:val="18"/>
      <w:szCs w:val="18"/>
      <w:u w:val="none"/>
    </w:rPr>
  </w:style>
  <w:style w:type="character" w:styleId="899" w:customStyle="1">
    <w:name w:val="font11"/>
    <w:basedOn w:val="690"/>
    <w:uiPriority w:val="0"/>
    <w:qFormat/>
    <w:rPr>
      <w:rFonts w:hint="eastAsia" w:ascii="宋体" w:hAnsi="宋体" w:eastAsia="宋体" w:cs="宋体"/>
      <w:color w:val="000000"/>
      <w:sz w:val="18"/>
      <w:szCs w:val="18"/>
      <w:u w:val="none"/>
    </w:rPr>
  </w:style>
  <w:style w:type="character" w:styleId="900" w:customStyle="1">
    <w:name w:val="批注主题 字符"/>
    <w:basedOn w:val="894"/>
    <w:link w:val="720"/>
    <w:uiPriority w:val="99"/>
    <w:semiHidden/>
    <w:qFormat/>
    <w:rPr>
      <w:rFonts w:ascii="Times New Roman" w:hAnsi="Times New Roman" w:eastAsia="宋体" w:cs="Times New Roman"/>
      <w:b/>
      <w:bCs/>
      <w:color w:val="ff0000"/>
      <w:sz w:val="21"/>
      <w:szCs w:val="22"/>
    </w:rPr>
  </w:style>
  <w:style w:type="character" w:styleId="901" w:customStyle="1">
    <w:name w:val="Default Char"/>
    <w:link w:val="737"/>
    <w:uiPriority w:val="99"/>
    <w:qFormat/>
    <w:rPr>
      <w:rFonts w:ascii="MS Mincho" w:hAnsi="Calibri" w:eastAsia="宋体" w:cs="Times New Roman"/>
      <w:color w:val="000000"/>
      <w:sz w:val="21"/>
      <w:szCs w:val="24"/>
    </w:rPr>
  </w:style>
  <w:style w:type="character" w:styleId="902" w:customStyle="1">
    <w:name w:val="正文文本 字符"/>
    <w:basedOn w:val="690"/>
    <w:link w:val="697"/>
    <w:uiPriority w:val="0"/>
    <w:qFormat/>
    <w:rPr>
      <w:rFonts w:ascii="Calibri" w:hAnsi="Calibri" w:eastAsia="宋体" w:cs="Times New Roman"/>
      <w:sz w:val="21"/>
      <w:szCs w:val="22"/>
    </w:rPr>
  </w:style>
  <w:style w:type="character" w:styleId="903" w:customStyle="1">
    <w:name w:val="正文文本缩进 字符"/>
    <w:basedOn w:val="690"/>
    <w:link w:val="699"/>
    <w:uiPriority w:val="0"/>
    <w:qFormat/>
    <w:rPr>
      <w:rFonts w:ascii="Times New Roman" w:hAnsi="Times New Roman" w:eastAsia="宋体" w:cs="Times New Roman"/>
      <w:sz w:val="21"/>
      <w:szCs w:val="24"/>
    </w:rPr>
  </w:style>
  <w:style w:type="character" w:styleId="904" w:customStyle="1">
    <w:name w:val="纯文本 字符"/>
    <w:basedOn w:val="690"/>
    <w:link w:val="702"/>
    <w:uiPriority w:val="0"/>
    <w:qFormat/>
    <w:rPr>
      <w:rFonts w:ascii="宋体" w:hAnsi="Courier New" w:eastAsia="宋体" w:cs="Courier New"/>
      <w:sz w:val="21"/>
      <w:szCs w:val="21"/>
    </w:rPr>
  </w:style>
  <w:style w:type="paragraph" w:styleId="905" w:customStyle="1">
    <w:name w:val="AONormal"/>
    <w:uiPriority w:val="0"/>
    <w:qFormat/>
    <w:pPr>
      <w:ind w:firstLine="440"/>
      <w:spacing w:line="400" w:lineRule="exact"/>
    </w:pPr>
    <w:rPr>
      <w:rFonts w:hint="default" w:ascii="华文楷体" w:hAnsi="华文楷体" w:eastAsia="华文楷体" w:cs="华文楷体"/>
      <w:sz w:val="22"/>
      <w:szCs w:val="21"/>
    </w:rPr>
  </w:style>
  <w:style w:type="paragraph" w:styleId="906" w:customStyle="1">
    <w:name w:val="列出段落1"/>
    <w:basedOn w:val="680"/>
    <w:uiPriority w:val="0"/>
    <w:qFormat/>
    <w:pPr>
      <w:ind w:firstLine="420"/>
    </w:pPr>
    <w:rPr>
      <w:rFonts w:ascii="Times New Roman" w:hAnsi="Times New Roman" w:eastAsia="宋体" w:cs="Times New Roman"/>
      <w:szCs w:val="21"/>
    </w:rPr>
  </w:style>
  <w:style w:type="table" w:styleId="907" w:customStyle="1">
    <w:name w:val="网格型1"/>
    <w:basedOn w:val="908"/>
    <w:uiPriority w:val="59"/>
    <w:qFormat/>
    <w:tblPr/>
  </w:style>
  <w:style w:type="table" w:styleId="908" w:customStyle="1">
    <w:name w:val="普通表格1"/>
    <w:uiPriority w:val="99"/>
    <w:unhideWhenUsed/>
    <w:qFormat/>
    <w:tblPr/>
  </w:style>
  <w:style w:type="paragraph" w:styleId="909" w:customStyle="1">
    <w:name w:val="正文文本1"/>
    <w:basedOn w:val="680"/>
    <w:next w:val="680"/>
    <w:uiPriority w:val="0"/>
    <w:qFormat/>
    <w:rPr>
      <w:rFonts w:ascii="楷体_GB2312" w:hAnsi="Arial" w:eastAsia="楷体_GB2312" w:cs="Times New Roman"/>
      <w:sz w:val="28"/>
      <w:szCs w:val="28"/>
    </w:rPr>
  </w:style>
  <w:style w:type="paragraph" w:styleId="910" w:customStyle="1">
    <w:name w:val="普通正文"/>
    <w:basedOn w:val="680"/>
    <w:uiPriority w:val="0"/>
    <w:qFormat/>
    <w:pPr>
      <w:ind w:firstLine="480"/>
      <w:jc w:val="left"/>
      <w:spacing w:before="120" w:after="120" w:line="360" w:lineRule="auto"/>
    </w:pPr>
    <w:rPr>
      <w:rFonts w:ascii="Arial" w:hAnsi="Arial"/>
      <w:sz w:val="24"/>
      <w:szCs w:val="24"/>
    </w:rPr>
  </w:style>
  <w:style w:type="character" w:styleId="911" w:customStyle="1">
    <w:name w:val="hover"/>
    <w:basedOn w:val="690"/>
    <w:uiPriority w:val="0"/>
    <w:qFormat/>
    <w:rPr>
      <w:color w:val="5fb878"/>
    </w:rPr>
  </w:style>
  <w:style w:type="character" w:styleId="912" w:customStyle="1">
    <w:name w:val="hover1"/>
    <w:basedOn w:val="690"/>
    <w:uiPriority w:val="0"/>
    <w:qFormat/>
    <w:rPr>
      <w:color w:val="ffffff"/>
    </w:rPr>
  </w:style>
  <w:style w:type="character" w:styleId="913" w:customStyle="1">
    <w:name w:val="hover2"/>
    <w:basedOn w:val="690"/>
    <w:uiPriority w:val="0"/>
    <w:qFormat/>
    <w:rPr>
      <w:color w:val="5fb878"/>
    </w:rPr>
  </w:style>
  <w:style w:type="paragraph" w:styleId="914" w:customStyle="1">
    <w:name w:val="正文文字 6"/>
    <w:next w:val="680"/>
    <w:uiPriority w:val="99"/>
    <w:qFormat/>
    <w:pPr>
      <w:ind w:left="240"/>
      <w:jc w:val="both"/>
      <w:widowControl w:val="off"/>
    </w:pPr>
    <w:rPr>
      <w:rFonts w:ascii="宋体" w:hAnsi="Times New Roman" w:eastAsia="宋体" w:cs="Times New Roman"/>
      <w:b/>
      <w:bCs/>
      <w:sz w:val="32"/>
      <w:szCs w:val="32"/>
      <w:lang w:val="en-US" w:eastAsia="zh-CN" w:bidi="ar-SA"/>
    </w:rPr>
  </w:style>
  <w:style w:type="paragraph" w:styleId="915" w:customStyle="1">
    <w:name w:val="标题 41"/>
    <w:next w:val="916"/>
    <w:uiPriority w:val="0"/>
    <w:qFormat/>
    <w:pPr>
      <w:jc w:val="both"/>
      <w:keepLines/>
      <w:keepNext/>
      <w:spacing w:before="280" w:after="290" w:line="376" w:lineRule="auto"/>
      <w:widowControl w:val="off"/>
      <w:outlineLvl w:val="3"/>
    </w:pPr>
    <w:rPr>
      <w:rFonts w:hint="default" w:ascii="Arial" w:hAnsi="Arial" w:eastAsia="黑体" w:cs="Arial"/>
      <w:b/>
      <w:bCs/>
      <w:sz w:val="28"/>
      <w:szCs w:val="28"/>
      <w:lang w:val="en-US" w:eastAsia="zh-CN" w:bidi="ar-SA"/>
    </w:rPr>
  </w:style>
  <w:style w:type="paragraph" w:styleId="916" w:customStyle="1">
    <w:name w:val="正文缩进1"/>
    <w:uiPriority w:val="0"/>
    <w:qFormat/>
    <w:pPr>
      <w:ind w:firstLine="420"/>
      <w:jc w:val="both"/>
      <w:widowControl w:val="off"/>
    </w:pPr>
    <w:rPr>
      <w:rFonts w:hint="default" w:ascii="Times New Roman" w:hAnsi="Times New Roman" w:eastAsia="宋体" w:cs="Times New Roman"/>
      <w:sz w:val="21"/>
      <w:szCs w:val="21"/>
      <w:lang w:val="en-US" w:eastAsia="zh-CN" w:bidi="ar-SA"/>
    </w:rPr>
  </w:style>
  <w:style w:type="paragraph" w:styleId="917" w:customStyle="1">
    <w:name w:val="正文首行缩进 211"/>
    <w:uiPriority w:val="0"/>
    <w:qFormat/>
    <w:pPr>
      <w:ind w:left="420" w:firstLine="420"/>
      <w:jc w:val="both"/>
      <w:spacing w:after="120"/>
      <w:widowControl w:val="off"/>
      <w:tabs>
        <w:tab w:val="left" w:pos="525" w:leader="none"/>
        <w:tab w:val="left" w:pos="4320" w:leader="none"/>
      </w:tabs>
    </w:pPr>
    <w:rPr>
      <w:rFonts w:hint="default" w:ascii="Times New Roman" w:hAnsi="Times New Roman" w:eastAsia="宋体" w:cs="Times New Roman"/>
      <w:sz w:val="21"/>
      <w:szCs w:val="21"/>
      <w:lang w:val="en-US" w:eastAsia="zh-CN" w:bidi="ar-SA"/>
    </w:rPr>
  </w:style>
  <w:style w:type="paragraph" w:styleId="918" w:customStyle="1">
    <w:name w:val="正文文本缩进11"/>
    <w:next w:val="919"/>
    <w:uiPriority w:val="0"/>
    <w:qFormat/>
    <w:pPr>
      <w:ind w:left="420"/>
      <w:jc w:val="both"/>
      <w:spacing w:after="120"/>
      <w:widowControl w:val="off"/>
    </w:pPr>
    <w:rPr>
      <w:rFonts w:hint="default" w:ascii="Times New Roman" w:hAnsi="Times New Roman" w:eastAsia="宋体" w:cs="Times New Roman"/>
      <w:sz w:val="21"/>
      <w:szCs w:val="21"/>
      <w:lang w:val="en-US" w:eastAsia="zh-CN" w:bidi="ar-SA"/>
    </w:rPr>
  </w:style>
  <w:style w:type="paragraph" w:styleId="919" w:customStyle="1">
    <w:name w:val="寄信人地址1"/>
    <w:uiPriority w:val="99"/>
    <w:qFormat/>
    <w:pPr>
      <w:jc w:val="both"/>
      <w:widowControl w:val="off"/>
    </w:pPr>
    <w:rPr>
      <w:rFonts w:hint="default" w:ascii="Arial" w:hAnsi="Arial" w:eastAsia="宋体" w:cs="Arial"/>
      <w:sz w:val="21"/>
      <w:szCs w:val="21"/>
      <w:lang w:val="en-US" w:eastAsia="zh-CN" w:bidi="ar-SA"/>
    </w:rPr>
  </w:style>
  <w:style w:type="character" w:styleId="920" w:customStyle="1">
    <w:name w:val="NormalCharacter1"/>
    <w:link w:val="680"/>
    <w:uiPriority w:val="0"/>
    <w:semiHidden/>
    <w:qFormat/>
    <w:rPr>
      <w:rFonts w:hint="default" w:asciiTheme="minorHAnsi" w:hAnsiTheme="minorHAnsi" w:eastAsiaTheme="minorEastAsia" w:cstheme="minorBidi"/>
      <w:sz w:val="21"/>
      <w:szCs w:val="22"/>
    </w:rPr>
  </w:style>
  <w:style w:type="paragraph" w:styleId="921" w:customStyle="1">
    <w:name w:val="正文1"/>
    <w:uiPriority w:val="99"/>
    <w:qFormat/>
    <w:pPr>
      <w:jc w:val="both"/>
      <w:widowControl w:val="off"/>
    </w:pPr>
    <w:rPr>
      <w:rFonts w:ascii="Calibri" w:hAnsi="Calibri" w:eastAsia="宋体" w:cs="Calibri"/>
      <w:lang w:val="en-US" w:eastAsia="zh-CN" w:bidi="ar-SA"/>
    </w:rPr>
  </w:style>
  <w:style w:type="character" w:styleId="922" w:customStyle="1">
    <w:name w:val="font91"/>
    <w:basedOn w:val="690"/>
    <w:uiPriority w:val="0"/>
    <w:qFormat/>
    <w:rPr>
      <w:rFonts w:hint="eastAsia" w:ascii="宋体" w:hAnsi="宋体" w:eastAsia="宋体" w:cs="宋体"/>
      <w:color w:val="ff0000"/>
      <w:sz w:val="18"/>
      <w:szCs w:val="18"/>
      <w:u w:val="none"/>
    </w:rPr>
  </w:style>
  <w:style w:type="character" w:styleId="923" w:customStyle="1">
    <w:name w:val="font81"/>
    <w:basedOn w:val="690"/>
    <w:uiPriority w:val="0"/>
    <w:qFormat/>
    <w:rPr>
      <w:rFonts w:hint="eastAsia" w:ascii="宋体" w:hAnsi="宋体" w:eastAsia="宋体" w:cs="宋体"/>
      <w:color w:val="ff0000"/>
      <w:sz w:val="18"/>
      <w:szCs w:val="18"/>
      <w:u w:val="none"/>
    </w:rPr>
  </w:style>
  <w:style w:type="character" w:styleId="924" w:customStyle="1">
    <w:name w:val="font61"/>
    <w:basedOn w:val="690"/>
    <w:uiPriority w:val="0"/>
    <w:qFormat/>
    <w:rPr>
      <w:rFonts w:ascii="Arial" w:hAnsi="Arial" w:cs="Arial"/>
      <w:color w:val="000000"/>
      <w:sz w:val="18"/>
      <w:szCs w:val="18"/>
      <w:u w:val="none"/>
    </w:rPr>
  </w:style>
  <w:style w:type="paragraph" w:styleId="925" w:customStyle="1">
    <w:name w:val="正文文本缩进1"/>
    <w:basedOn w:val="680"/>
    <w:next w:val="680"/>
    <w:uiPriority w:val="0"/>
    <w:qFormat/>
    <w:pPr>
      <w:ind w:firstLine="645"/>
    </w:pPr>
    <w:rPr>
      <w:rFonts w:ascii="楷体_GB2312" w:eastAsia="楷体_GB2312"/>
      <w:sz w:val="32"/>
      <w:szCs w:val="20"/>
    </w:rPr>
  </w:style>
  <w:style w:type="paragraph" w:styleId="926" w:customStyle="1">
    <w:name w:val="样式 标题 2 + 黑色 行距: 1.5 倍行距"/>
    <w:basedOn w:val="682"/>
    <w:uiPriority w:val="0"/>
    <w:qFormat/>
    <w:pPr>
      <w:spacing w:line="360" w:lineRule="auto"/>
    </w:pPr>
    <w:rPr>
      <w:rFonts w:eastAsia="宋体" w:cs="宋体"/>
      <w:color w:val="000000"/>
      <w:szCs w:val="20"/>
    </w:rPr>
  </w:style>
  <w:style w:type="numbering" w:styleId="9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2024年4月16日修订</dc:description>
  <cp:lastModifiedBy>邢欢</cp:lastModifiedBy>
  <cp:revision>7</cp:revision>
  <dcterms:created xsi:type="dcterms:W3CDTF">2024-05-21T01:33:00Z</dcterms:created>
  <dcterms:modified xsi:type="dcterms:W3CDTF">2026-04-13T11:06:11Z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26D2081EF7ED4B728FF8335457FA13DF_13</vt:lpwstr>
  </property>
  <property fmtid="{D5CDD505-2E9C-101B-9397-08002B2CF9AE}" pid="4" name="KSOTemplateDocerSaveRecord">
    <vt:lpwstr>eyJoZGlkIjoiM2Y1MjMzZjY0MzNlZWY2MzhmODgyYmU1ZjhhODg3ZjIiLCJ1c2VySWQiOiIyNTA1MTQ3OTAifQ==</vt:lpwstr>
  </property>
</Properties>
</file>