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0"/>
        <w:jc w:val="center"/>
        <w:spacing w:line="360" w:lineRule="auto"/>
        <w:rPr>
          <w:rFonts w:hint="eastAsia" w:ascii="宋体" w:hAnsi="宋体" w:eastAsia="宋体" w:cs="Times New Roman"/>
          <w:b/>
          <w:color w:val="000000"/>
          <w:sz w:val="72"/>
          <w:highlight w:val="none"/>
        </w:rPr>
      </w:pPr>
      <w:r>
        <w:rPr>
          <w:rFonts w:hint="eastAsia" w:ascii="宋体" w:hAnsi="宋体" w:eastAsia="宋体" w:cs="Times New Roman"/>
          <w:b/>
          <w:color w:val="000000"/>
          <w:sz w:val="72"/>
          <w:highlight w:val="none"/>
        </w:rPr>
      </w:r>
      <w:r/>
    </w:p>
    <w:p>
      <w:pPr>
        <w:pStyle w:val="740"/>
        <w:jc w:val="center"/>
        <w:spacing w:line="360" w:lineRule="auto"/>
        <w:rPr>
          <w:rFonts w:ascii="宋体" w:hAnsi="宋体" w:eastAsia="宋体" w:cs="Times New Roman"/>
          <w:b/>
          <w:color w:val="000000"/>
          <w:sz w:val="72"/>
          <w:highlight w:val="none"/>
        </w:rPr>
      </w:pPr>
      <w:r>
        <w:rPr>
          <w:rFonts w:hint="eastAsia" w:ascii="宋体" w:hAnsi="宋体" w:eastAsia="宋体" w:cs="Times New Roman"/>
          <w:b/>
          <w:color w:val="000000"/>
          <w:sz w:val="72"/>
          <w:highlight w:val="none"/>
        </w:rPr>
        <w:t xml:space="preserve">太仓市政府采购</w:t>
      </w:r>
      <w:r>
        <w:rPr>
          <w:rFonts w:ascii="宋体" w:hAnsi="宋体" w:eastAsia="宋体" w:cs="Times New Roman"/>
          <w:b/>
          <w:color w:val="000000"/>
          <w:sz w:val="72"/>
          <w:highlight w:val="none"/>
        </w:rPr>
      </w:r>
      <w:r/>
    </w:p>
    <w:p>
      <w:pPr>
        <w:pStyle w:val="740"/>
        <w:jc w:val="center"/>
        <w:spacing w:line="360" w:lineRule="auto"/>
        <w:rPr>
          <w:rFonts w:ascii="宋体" w:hAnsi="宋体" w:eastAsia="宋体" w:cs="Times New Roman"/>
          <w:color w:val="000000"/>
          <w:highlight w:val="none"/>
        </w:rPr>
      </w:pPr>
      <w:r>
        <w:rPr>
          <w:rFonts w:hint="eastAsia" w:ascii="宋体" w:hAnsi="宋体" w:eastAsia="宋体" w:cs="Times New Roman"/>
          <w:b/>
          <w:color w:val="000000"/>
          <w:sz w:val="72"/>
          <w:highlight w:val="none"/>
        </w:rPr>
        <w:t xml:space="preserve">竞争性磋商文件</w:t>
      </w:r>
      <w:r>
        <w:rPr>
          <w:rFonts w:ascii="宋体" w:hAnsi="宋体" w:eastAsia="宋体" w:cs="Times New Roman"/>
          <w:color w:val="000000"/>
          <w:highlight w:val="none"/>
        </w:rPr>
      </w:r>
      <w:r/>
    </w:p>
    <w:p>
      <w:pPr>
        <w:pStyle w:val="740"/>
        <w:ind w:firstLine="630"/>
        <w:spacing w:line="360" w:lineRule="auto"/>
        <w:tabs>
          <w:tab w:val="left" w:pos="3570" w:leader="none"/>
        </w:tabs>
        <w:rPr>
          <w:rFonts w:ascii="宋体" w:hAnsi="宋体" w:eastAsia="宋体" w:cs="Times New Roman"/>
          <w:color w:val="000000"/>
          <w:highlight w:val="none"/>
        </w:rPr>
      </w:pPr>
      <w:r>
        <w:rPr>
          <w:rFonts w:ascii="宋体" w:hAnsi="宋体" w:eastAsia="宋体" w:cs="Times New Roman"/>
          <w:color w:val="000000"/>
          <w:highlight w:val="none"/>
        </w:rPr>
        <w:tab/>
      </w:r>
      <w:r>
        <w:rPr>
          <w:rFonts w:ascii="宋体" w:hAnsi="宋体" w:eastAsia="宋体" w:cs="Times New Roman"/>
          <w:color w:val="000000"/>
          <w:highlight w:val="none"/>
        </w:rPr>
      </w:r>
      <w:r/>
    </w:p>
    <w:p>
      <w:pPr>
        <w:pStyle w:val="740"/>
        <w:ind w:firstLine="630"/>
        <w:spacing w:line="360" w:lineRule="auto"/>
        <w:rPr>
          <w:rFonts w:ascii="宋体" w:hAnsi="宋体" w:eastAsia="宋体" w:cs="Times New Roman"/>
          <w:color w:val="000000"/>
          <w:highlight w:val="none"/>
        </w:rPr>
      </w:pPr>
      <w:r>
        <w:rPr>
          <w:rFonts w:ascii="宋体" w:hAnsi="宋体" w:eastAsia="宋体" w:cs="Times New Roman"/>
          <w:color w:val="000000"/>
          <w:highlight w:val="none"/>
        </w:rPr>
      </w:r>
      <w:r/>
    </w:p>
    <w:p>
      <w:pPr>
        <w:pStyle w:val="740"/>
        <w:ind w:right="1280"/>
        <w:spacing w:line="360" w:lineRule="auto"/>
        <w:rPr>
          <w:rFonts w:ascii="宋体" w:hAnsi="宋体" w:eastAsia="宋体" w:cs="Times New Roman"/>
          <w:color w:val="000000"/>
          <w:sz w:val="32"/>
          <w:highlight w:val="none"/>
        </w:rPr>
      </w:pPr>
      <w:r>
        <w:rPr>
          <w:rFonts w:ascii="宋体" w:hAnsi="宋体" w:eastAsia="宋体" w:cs="Times New Roman"/>
          <w:color w:val="000000"/>
          <w:sz w:val="32"/>
          <w:highlight w:val="none"/>
        </w:rPr>
      </w:r>
      <w:r/>
    </w:p>
    <w:p>
      <w:pPr>
        <w:pStyle w:val="740"/>
        <w:ind w:firstLine="1084"/>
        <w:spacing w:line="360" w:lineRule="auto"/>
        <w:rPr>
          <w:rFonts w:ascii="宋体" w:hAnsi="宋体" w:eastAsia="宋体" w:cs="Times New Roman"/>
          <w:b/>
          <w:color w:val="000000"/>
          <w:sz w:val="36"/>
          <w:szCs w:val="36"/>
          <w:highlight w:val="none"/>
          <w:lang w:val="en-US" w:eastAsia="zh-CN"/>
        </w:rPr>
      </w:pPr>
      <w:r>
        <w:rPr>
          <w:rFonts w:hint="eastAsia" w:ascii="宋体" w:hAnsi="宋体" w:eastAsia="宋体" w:cs="Times New Roman"/>
          <w:b/>
          <w:color w:val="000000"/>
          <w:sz w:val="36"/>
          <w:szCs w:val="36"/>
          <w:highlight w:val="none"/>
        </w:rPr>
        <w:t xml:space="preserve">项目编号：</w:t>
      </w:r>
      <w:r>
        <w:rPr>
          <w:rFonts w:hint="eastAsia" w:ascii="宋体" w:hAnsi="宋体" w:eastAsia="宋体" w:cs="Times New Roman"/>
          <w:b/>
          <w:color w:val="000000"/>
          <w:sz w:val="36"/>
          <w:szCs w:val="36"/>
          <w:highlight w:val="none"/>
          <w:lang w:eastAsia="zh-CN"/>
        </w:rPr>
        <w:t xml:space="preserve">JSZC-320585-SZHZ-C2026-0008</w:t>
      </w:r>
      <w:r>
        <w:rPr>
          <w:rFonts w:ascii="宋体" w:hAnsi="宋体" w:eastAsia="宋体" w:cs="Times New Roman"/>
          <w:b/>
          <w:color w:val="000000"/>
          <w:sz w:val="36"/>
          <w:szCs w:val="36"/>
          <w:highlight w:val="none"/>
          <w:lang w:val="en-US" w:eastAsia="zh-CN"/>
        </w:rPr>
      </w:r>
      <w:r/>
    </w:p>
    <w:p>
      <w:pPr>
        <w:pStyle w:val="740"/>
        <w:ind w:firstLine="1084"/>
        <w:spacing w:line="360" w:lineRule="auto"/>
        <w:rPr>
          <w:rFonts w:hint="eastAsia" w:ascii="宋体" w:hAnsi="宋体" w:eastAsia="宋体" w:cs="Times New Roman"/>
          <w:b/>
          <w:color w:val="000000"/>
          <w:sz w:val="36"/>
          <w:szCs w:val="36"/>
          <w:highlight w:val="none"/>
          <w:lang w:eastAsia="zh-CN"/>
        </w:rPr>
      </w:pPr>
      <w:r>
        <w:rPr>
          <w:rFonts w:hint="eastAsia" w:ascii="宋体" w:hAnsi="宋体" w:eastAsia="宋体" w:cs="Times New Roman"/>
          <w:b/>
          <w:color w:val="000000"/>
          <w:sz w:val="36"/>
          <w:szCs w:val="36"/>
          <w:highlight w:val="none"/>
        </w:rPr>
        <w:t xml:space="preserve">项目名称：</w:t>
      </w:r>
      <w:r>
        <w:rPr>
          <w:rFonts w:hint="eastAsia" w:ascii="宋体" w:hAnsi="宋体" w:eastAsia="宋体" w:cs="Times New Roman"/>
          <w:b/>
          <w:color w:val="000000"/>
          <w:sz w:val="36"/>
          <w:szCs w:val="36"/>
          <w:highlight w:val="none"/>
          <w:lang w:eastAsia="zh-CN"/>
        </w:rPr>
        <w:t xml:space="preserve">2026年太仓市市级财政支出项目等绩效评价管理及监督协审服务</w:t>
      </w:r>
      <w:r>
        <w:rPr>
          <w:rFonts w:hint="eastAsia" w:ascii="宋体" w:hAnsi="宋体" w:eastAsia="宋体" w:cs="Times New Roman"/>
          <w:b/>
          <w:color w:val="000000"/>
          <w:sz w:val="36"/>
          <w:szCs w:val="36"/>
          <w:highlight w:val="none"/>
          <w:lang w:eastAsia="zh-CN"/>
        </w:rPr>
      </w:r>
      <w:r/>
    </w:p>
    <w:p>
      <w:pPr>
        <w:pStyle w:val="740"/>
        <w:ind w:firstLine="1084"/>
        <w:spacing w:line="360" w:lineRule="auto"/>
        <w:rPr>
          <w:rFonts w:hint="eastAsia" w:ascii="宋体" w:hAnsi="宋体" w:eastAsia="宋体" w:cs="Times New Roman"/>
          <w:b/>
          <w:color w:val="000000"/>
          <w:sz w:val="36"/>
          <w:szCs w:val="36"/>
          <w:highlight w:val="none"/>
          <w:lang w:eastAsia="zh-CN"/>
        </w:rPr>
      </w:pPr>
      <w:r>
        <w:rPr>
          <w:rFonts w:hint="eastAsia" w:ascii="宋体" w:hAnsi="宋体" w:eastAsia="宋体" w:cs="Times New Roman"/>
          <w:b/>
          <w:color w:val="000000"/>
          <w:sz w:val="36"/>
          <w:szCs w:val="36"/>
          <w:highlight w:val="none"/>
        </w:rPr>
        <w:t xml:space="preserve">采购单位：太仓市财政局</w:t>
      </w:r>
      <w:r>
        <w:rPr>
          <w:rFonts w:hint="eastAsia" w:ascii="宋体" w:hAnsi="宋体" w:eastAsia="宋体" w:cs="Times New Roman"/>
          <w:b/>
          <w:color w:val="000000"/>
          <w:sz w:val="36"/>
          <w:szCs w:val="36"/>
          <w:highlight w:val="none"/>
          <w:lang w:eastAsia="zh-CN"/>
        </w:rPr>
      </w:r>
      <w:r/>
    </w:p>
    <w:p>
      <w:pPr>
        <w:pStyle w:val="740"/>
        <w:ind w:firstLine="1084"/>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采购项目类别：</w:t>
      </w:r>
      <w:r>
        <w:rPr>
          <w:rFonts w:hint="eastAsia" w:ascii="宋体" w:hAnsi="宋体" w:eastAsia="宋体" w:cs="Times New Roman"/>
          <w:b/>
          <w:color w:val="000000"/>
          <w:sz w:val="36"/>
          <w:szCs w:val="36"/>
          <w:highlight w:val="none"/>
          <w:lang w:val="en-US" w:eastAsia="zh-CN"/>
        </w:rPr>
        <w:t xml:space="preserve">服务</w:t>
      </w:r>
      <w:r>
        <w:rPr>
          <w:rFonts w:hint="eastAsia" w:ascii="宋体" w:hAnsi="宋体" w:eastAsia="宋体" w:cs="Times New Roman"/>
          <w:b/>
          <w:color w:val="000000"/>
          <w:sz w:val="36"/>
          <w:szCs w:val="36"/>
          <w:highlight w:val="none"/>
        </w:rPr>
        <w:t xml:space="preserve">类</w:t>
      </w:r>
      <w:r>
        <w:rPr>
          <w:rFonts w:ascii="宋体" w:hAnsi="宋体" w:eastAsia="宋体" w:cs="Times New Roman"/>
          <w:b/>
          <w:color w:val="000000"/>
          <w:sz w:val="36"/>
          <w:szCs w:val="36"/>
          <w:highlight w:val="none"/>
        </w:rPr>
      </w:r>
      <w:r/>
    </w:p>
    <w:p>
      <w:pPr>
        <w:pStyle w:val="740"/>
        <w:ind w:firstLine="1084"/>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标的所属行业：租赁和商务服务业</w:t>
      </w:r>
      <w:r>
        <w:rPr>
          <w:rFonts w:ascii="宋体" w:hAnsi="宋体" w:eastAsia="宋体" w:cs="Times New Roman"/>
          <w:b/>
          <w:color w:val="000000"/>
          <w:sz w:val="36"/>
          <w:szCs w:val="36"/>
          <w:highlight w:val="none"/>
        </w:rPr>
        <w:t xml:space="preserve"> </w:t>
      </w:r>
      <w:r>
        <w:rPr>
          <w:rFonts w:ascii="宋体" w:hAnsi="宋体" w:eastAsia="宋体" w:cs="Times New Roman"/>
          <w:b/>
          <w:color w:val="000000"/>
          <w:sz w:val="36"/>
          <w:szCs w:val="36"/>
          <w:highlight w:val="none"/>
        </w:rPr>
      </w:r>
      <w:r/>
    </w:p>
    <w:p>
      <w:pPr>
        <w:pStyle w:val="740"/>
        <w:ind w:firstLine="1084"/>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740"/>
        <w:jc w:val="center"/>
        <w:spacing w:line="1320" w:lineRule="exact"/>
        <w:rPr>
          <w:rFonts w:hint="eastAsia" w:eastAsia="黑体"/>
          <w:b/>
          <w:color w:val="000000"/>
          <w:sz w:val="84"/>
          <w:highlight w:val="none"/>
        </w:rPr>
      </w:pPr>
      <w:r>
        <w:rPr>
          <w:rFonts w:hint="eastAsia" w:eastAsia="黑体"/>
          <w:b/>
          <w:color w:val="000000"/>
          <w:sz w:val="84"/>
          <w:highlight w:val="none"/>
        </w:rPr>
      </w:r>
      <w:r/>
    </w:p>
    <w:p>
      <w:pPr>
        <w:pStyle w:val="740"/>
        <w:jc w:val="center"/>
        <w:spacing w:line="360" w:lineRule="auto"/>
        <w:rPr>
          <w:rFonts w:hint="eastAsia" w:ascii="宋体" w:hAnsi="宋体" w:eastAsia="宋体" w:cs="Times New Roman"/>
          <w:color w:val="000000"/>
          <w:sz w:val="36"/>
          <w:szCs w:val="36"/>
          <w:highlight w:val="none"/>
          <w:lang w:eastAsia="zh-CN"/>
        </w:rPr>
      </w:pPr>
      <w:r>
        <w:rPr>
          <w:rFonts w:hint="eastAsia" w:ascii="Times New Roman" w:eastAsia="黑体"/>
          <w:b/>
          <w:color w:val="000000"/>
          <w:szCs w:val="20"/>
          <w:highlight w:val="none"/>
        </w:rPr>
        <w:t xml:space="preserve"> </w:t>
      </w:r>
      <w:r>
        <w:rPr>
          <w:rFonts w:hint="eastAsia" w:ascii="宋体" w:hAnsi="宋体" w:eastAsia="宋体" w:cs="Times New Roman"/>
          <w:color w:val="000000"/>
          <w:sz w:val="36"/>
          <w:szCs w:val="36"/>
          <w:highlight w:val="none"/>
          <w:lang w:eastAsia="zh-CN"/>
        </w:rPr>
        <w:t xml:space="preserve">苏州恒中造价师事务所有限责任公司</w:t>
      </w:r>
      <w:r>
        <w:rPr>
          <w:rFonts w:hint="eastAsia" w:ascii="宋体" w:hAnsi="宋体" w:eastAsia="宋体" w:cs="Times New Roman"/>
          <w:color w:val="000000"/>
          <w:sz w:val="36"/>
          <w:szCs w:val="36"/>
          <w:highlight w:val="none"/>
          <w:lang w:eastAsia="zh-CN"/>
        </w:rPr>
      </w:r>
      <w:r/>
    </w:p>
    <w:p>
      <w:pPr>
        <w:pStyle w:val="740"/>
        <w:jc w:val="center"/>
        <w:spacing w:before="305" w:line="360" w:lineRule="auto"/>
        <w:rPr>
          <w:rFonts w:hint="eastAsia" w:ascii="宋体" w:hAnsi="宋体"/>
          <w:color w:val="000000"/>
          <w:sz w:val="36"/>
          <w:szCs w:val="36"/>
          <w:highlight w:val="none"/>
        </w:rPr>
        <w:sectPr>
          <w:footerReference w:type="first" r:id="rId12"/>
          <w:footnotePr/>
          <w:endnotePr/>
          <w:type w:val="nextPage"/>
          <w:pgSz w:w="11906" w:h="16838" w:orient="portrait"/>
          <w:pgMar w:top="1157" w:right="1236" w:bottom="1157" w:left="1236" w:header="851" w:footer="992" w:gutter="0"/>
          <w:cols w:num="1" w:sep="0" w:space="1701" w:equalWidth="1"/>
          <w:docGrid w:linePitch="360"/>
        </w:sectPr>
      </w:pPr>
      <w:r>
        <w:rPr>
          <w:rFonts w:hint="eastAsia" w:ascii="宋体" w:hAnsi="宋体" w:eastAsia="宋体" w:cs="Times New Roman"/>
          <w:color w:val="000000"/>
          <w:sz w:val="36"/>
          <w:szCs w:val="36"/>
          <w:highlight w:val="none"/>
        </w:rPr>
        <w:t xml:space="preserve">2</w:t>
      </w:r>
      <w:r>
        <w:rPr>
          <w:rFonts w:ascii="宋体" w:hAnsi="宋体" w:eastAsia="宋体" w:cs="Times New Roman"/>
          <w:color w:val="000000"/>
          <w:sz w:val="36"/>
          <w:szCs w:val="36"/>
          <w:highlight w:val="none"/>
        </w:rPr>
        <w:t xml:space="preserve">02</w:t>
      </w:r>
      <w:r>
        <w:rPr>
          <w:rFonts w:hint="eastAsia" w:ascii="宋体" w:hAnsi="宋体" w:eastAsia="宋体" w:cs="Times New Roman"/>
          <w:color w:val="000000"/>
          <w:sz w:val="36"/>
          <w:szCs w:val="36"/>
          <w:highlight w:val="none"/>
          <w:lang w:val="en-US" w:eastAsia="zh-CN"/>
        </w:rPr>
        <w:t xml:space="preserve">6</w:t>
      </w:r>
      <w:r>
        <w:rPr>
          <w:rFonts w:hint="eastAsia" w:ascii="宋体" w:hAnsi="宋体" w:eastAsia="宋体" w:cs="Times New Roman"/>
          <w:color w:val="000000"/>
          <w:sz w:val="36"/>
          <w:szCs w:val="36"/>
          <w:highlight w:val="none"/>
        </w:rPr>
        <w:t xml:space="preserve">年</w:t>
      </w:r>
      <w:r>
        <w:rPr>
          <w:rFonts w:hint="eastAsia" w:ascii="宋体" w:hAnsi="宋体" w:eastAsia="宋体" w:cs="Times New Roman"/>
          <w:color w:val="000000"/>
          <w:sz w:val="36"/>
          <w:szCs w:val="36"/>
          <w:highlight w:val="none"/>
          <w:lang w:val="en-US" w:eastAsia="zh-CN"/>
        </w:rPr>
        <w:t xml:space="preserve">05</w:t>
      </w:r>
      <w:r>
        <w:rPr>
          <w:rFonts w:hint="eastAsia" w:ascii="宋体" w:hAnsi="宋体" w:eastAsia="宋体" w:cs="Times New Roman"/>
          <w:color w:val="000000"/>
          <w:sz w:val="36"/>
          <w:szCs w:val="36"/>
          <w:highlight w:val="none"/>
        </w:rPr>
        <w:t xml:space="preserve">月</w:t>
      </w:r>
      <w:r>
        <w:rPr>
          <w:rFonts w:hint="eastAsia" w:ascii="宋体" w:hAnsi="宋体"/>
          <w:color w:val="000000"/>
          <w:sz w:val="36"/>
          <w:szCs w:val="36"/>
          <w:highlight w:val="none"/>
        </w:rPr>
      </w:r>
      <w:r/>
    </w:p>
    <w:p>
      <w:pPr>
        <w:pStyle w:val="801"/>
        <w:ind w:left="0"/>
        <w:jc w:val="center"/>
        <w:spacing w:line="240" w:lineRule="auto"/>
        <w:tabs>
          <w:tab w:val="right" w:pos="9022" w:leader="dot"/>
        </w:tabs>
        <w:rPr>
          <w:rFonts w:hint="eastAsia" w:ascii="仿宋" w:hAnsi="仿宋" w:eastAsia="仿宋" w:cs="仿宋"/>
          <w:b/>
          <w:color w:val="000000"/>
          <w:sz w:val="44"/>
          <w:szCs w:val="44"/>
          <w:highlight w:val="none"/>
          <w:lang w:val="en-US" w:eastAsia="zh-CN" w:bidi="ar-SA"/>
        </w:rPr>
      </w:pPr>
      <w:r>
        <w:rPr>
          <w:rFonts w:hint="eastAsia" w:ascii="仿宋" w:hAnsi="仿宋" w:eastAsia="仿宋" w:cs="仿宋"/>
          <w:b/>
          <w:color w:val="000000"/>
          <w:sz w:val="30"/>
          <w:szCs w:val="30"/>
          <w:highlight w:val="none"/>
          <w:lang w:val="en-US" w:eastAsia="zh-CN" w:bidi="ar-SA"/>
        </w:rPr>
        <w:t xml:space="preserve">磋商须知前附表 </w:t>
      </w:r>
      <w:r>
        <w:rPr>
          <w:rFonts w:hint="eastAsia" w:ascii="仿宋" w:hAnsi="仿宋" w:eastAsia="仿宋" w:cs="仿宋"/>
          <w:b/>
          <w:color w:val="000000"/>
          <w:sz w:val="44"/>
          <w:szCs w:val="44"/>
          <w:highlight w:val="none"/>
          <w:lang w:val="en-US" w:eastAsia="zh-CN" w:bidi="ar-SA"/>
        </w:rPr>
        <w:t xml:space="preserve"> </w:t>
      </w:r>
      <w:r>
        <w:rPr>
          <w:rFonts w:hint="eastAsia" w:ascii="仿宋" w:hAnsi="仿宋" w:eastAsia="仿宋" w:cs="仿宋"/>
          <w:b/>
          <w:color w:val="000000"/>
          <w:sz w:val="44"/>
          <w:szCs w:val="44"/>
          <w:highlight w:val="none"/>
          <w:lang w:val="en-US" w:eastAsia="zh-CN" w:bidi="ar-SA"/>
        </w:rPr>
      </w:r>
      <w:r/>
    </w:p>
    <w:tbl>
      <w:tblPr>
        <w:tblW w:w="9298" w:type="dxa"/>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46"/>
        <w:gridCol w:w="3205"/>
        <w:gridCol w:w="1470"/>
        <w:gridCol w:w="2311"/>
      </w:tblGrid>
      <w:tr>
        <w:trPr>
          <w:trHeight w:val="492"/>
        </w:trPr>
        <w:tc>
          <w:tcPr>
            <w:tcW w:w="766" w:type="dxa"/>
            <w:vAlign w:val="center"/>
            <w:textDirection w:val="lrTb"/>
            <w:noWrap w:val="false"/>
          </w:tcPr>
          <w:p>
            <w:pPr>
              <w:pStyle w:val="740"/>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rPr>
                <w:rFonts w:hint="eastAsia" w:ascii="仿宋" w:hAnsi="仿宋" w:eastAsia="仿宋" w:cs="仿宋"/>
                <w:b/>
                <w:bCs/>
                <w:color w:val="000000"/>
                <w:sz w:val="24"/>
                <w:szCs w:val="24"/>
                <w:highlight w:val="none"/>
              </w:rPr>
            </w:r>
            <w:r/>
          </w:p>
        </w:tc>
        <w:tc>
          <w:tcPr>
            <w:tcW w:w="1546" w:type="dxa"/>
            <w:vAlign w:val="center"/>
            <w:textDirection w:val="lrTb"/>
            <w:noWrap w:val="false"/>
          </w:tcPr>
          <w:p>
            <w:pPr>
              <w:pStyle w:val="740"/>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内容</w:t>
            </w:r>
            <w:r>
              <w:rPr>
                <w:rFonts w:hint="eastAsia" w:ascii="仿宋" w:hAnsi="仿宋" w:eastAsia="仿宋" w:cs="仿宋"/>
                <w:b/>
                <w:bCs/>
                <w:color w:val="000000"/>
                <w:sz w:val="24"/>
                <w:szCs w:val="24"/>
                <w:highlight w:val="none"/>
              </w:rPr>
            </w:r>
            <w:r/>
          </w:p>
        </w:tc>
        <w:tc>
          <w:tcPr>
            <w:gridSpan w:val="3"/>
            <w:tcW w:w="6986" w:type="dxa"/>
            <w:vAlign w:val="center"/>
            <w:textDirection w:val="lrTb"/>
            <w:noWrap w:val="false"/>
          </w:tcPr>
          <w:p>
            <w:pPr>
              <w:pStyle w:val="740"/>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说明与要求</w:t>
            </w:r>
            <w:r>
              <w:rPr>
                <w:rFonts w:hint="eastAsia" w:ascii="仿宋" w:hAnsi="仿宋" w:eastAsia="仿宋" w:cs="仿宋"/>
                <w:b/>
                <w:bCs/>
                <w:color w:val="000000"/>
                <w:sz w:val="24"/>
                <w:szCs w:val="24"/>
                <w:highlight w:val="none"/>
              </w:rPr>
            </w:r>
            <w:r/>
          </w:p>
        </w:tc>
      </w:tr>
      <w:tr>
        <w:trPr>
          <w:cantSplit/>
          <w:trHeight w:val="553"/>
        </w:trPr>
        <w:tc>
          <w:tcPr>
            <w:tcW w:w="766" w:type="dxa"/>
            <w:vAlign w:val="center"/>
            <w:vMerge w:val="restart"/>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采购内容</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740"/>
              <w:jc w:val="center"/>
              <w:spacing w:line="348"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2026年太仓市市级财政支出项目等绩效评价管理及监督协审服务</w:t>
            </w:r>
            <w:r>
              <w:rPr>
                <w:rFonts w:hint="eastAsia" w:ascii="仿宋" w:hAnsi="仿宋" w:eastAsia="仿宋" w:cs="仿宋"/>
                <w:color w:val="000000"/>
                <w:sz w:val="24"/>
                <w:szCs w:val="24"/>
                <w:highlight w:val="none"/>
                <w:lang w:eastAsia="zh-CN"/>
              </w:rPr>
            </w:r>
            <w:r/>
          </w:p>
        </w:tc>
      </w:tr>
      <w:tr>
        <w:trPr>
          <w:cantSplit/>
          <w:trHeight w:val="277"/>
        </w:trPr>
        <w:tc>
          <w:tcPr>
            <w:tcW w:w="766" w:type="dxa"/>
            <w:vAlign w:val="center"/>
            <w:vMerge w:val="continue"/>
            <w:textDirection w:val="lrTb"/>
            <w:noWrap w:val="false"/>
          </w:tcPr>
          <w:p>
            <w:pPr>
              <w:pStyle w:val="740"/>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采购方式</w:t>
            </w:r>
            <w:r>
              <w:rPr>
                <w:rFonts w:hint="eastAsia" w:ascii="仿宋" w:hAnsi="仿宋" w:eastAsia="仿宋" w:cs="仿宋"/>
                <w:color w:val="000000"/>
                <w:sz w:val="24"/>
                <w:szCs w:val="24"/>
                <w:highlight w:val="none"/>
              </w:rPr>
            </w:r>
            <w:r/>
          </w:p>
        </w:tc>
        <w:tc>
          <w:tcPr>
            <w:tcW w:w="3205" w:type="dxa"/>
            <w:vAlign w:val="center"/>
            <w:textDirection w:val="lrTb"/>
            <w:noWrap w:val="false"/>
          </w:tcPr>
          <w:p>
            <w:pPr>
              <w:pStyle w:val="740"/>
              <w:jc w:val="center"/>
              <w:spacing w:line="34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竞争性磋商</w:t>
            </w:r>
            <w:r>
              <w:rPr>
                <w:rFonts w:hint="eastAsia" w:ascii="仿宋" w:hAnsi="仿宋" w:eastAsia="仿宋" w:cs="仿宋"/>
                <w:color w:val="000000"/>
                <w:sz w:val="24"/>
                <w:szCs w:val="24"/>
                <w:highlight w:val="none"/>
              </w:rPr>
            </w:r>
            <w:r/>
          </w:p>
        </w:tc>
        <w:tc>
          <w:tcPr>
            <w:tcW w:w="1470" w:type="dxa"/>
            <w:vAlign w:val="center"/>
            <w:textDirection w:val="lrTb"/>
            <w:noWrap w:val="false"/>
          </w:tcPr>
          <w:p>
            <w:pPr>
              <w:pStyle w:val="740"/>
              <w:jc w:val="center"/>
              <w:spacing w:line="34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资金来源</w:t>
            </w:r>
            <w:r>
              <w:rPr>
                <w:rFonts w:hint="eastAsia" w:ascii="仿宋" w:hAnsi="仿宋" w:eastAsia="仿宋" w:cs="仿宋"/>
                <w:color w:val="000000"/>
                <w:sz w:val="24"/>
                <w:szCs w:val="24"/>
                <w:highlight w:val="none"/>
              </w:rPr>
            </w:r>
            <w:r/>
          </w:p>
        </w:tc>
        <w:tc>
          <w:tcPr>
            <w:tcW w:w="2311" w:type="dxa"/>
            <w:vAlign w:val="center"/>
            <w:textDirection w:val="lrTb"/>
            <w:noWrap w:val="false"/>
          </w:tcPr>
          <w:p>
            <w:pPr>
              <w:pStyle w:val="740"/>
              <w:jc w:val="center"/>
              <w:spacing w:line="34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财政资金</w:t>
            </w:r>
            <w:r>
              <w:rPr>
                <w:rFonts w:hint="eastAsia" w:ascii="仿宋" w:hAnsi="仿宋" w:eastAsia="仿宋" w:cs="仿宋"/>
                <w:color w:val="000000"/>
                <w:sz w:val="24"/>
                <w:szCs w:val="24"/>
                <w:highlight w:val="none"/>
              </w:rPr>
            </w:r>
            <w:r/>
          </w:p>
        </w:tc>
      </w:tr>
      <w:tr>
        <w:trPr>
          <w:cantSplit/>
          <w:trHeight w:val="369"/>
        </w:trPr>
        <w:tc>
          <w:tcPr>
            <w:tcW w:w="766" w:type="dxa"/>
            <w:vAlign w:val="center"/>
            <w:vMerge w:val="continue"/>
            <w:textDirection w:val="lrTb"/>
            <w:noWrap w:val="false"/>
          </w:tcPr>
          <w:p>
            <w:pPr>
              <w:pStyle w:val="740"/>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服务期限</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740"/>
              <w:spacing w:line="40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成交供应商应在2026年9月30日之前完成服务A、B，并向采购人提交绩效分析报告；在1年内完成服务C；</w:t>
            </w:r>
            <w:r>
              <w:rPr>
                <w:rFonts w:hint="eastAsia" w:ascii="仿宋" w:hAnsi="仿宋" w:eastAsia="仿宋" w:cs="仿宋"/>
                <w:color w:val="000000"/>
                <w:sz w:val="24"/>
                <w:szCs w:val="24"/>
                <w:highlight w:val="none"/>
              </w:rPr>
            </w:r>
            <w:r/>
          </w:p>
        </w:tc>
      </w:tr>
      <w:tr>
        <w:trPr>
          <w:cantSplit/>
          <w:trHeight w:val="611"/>
        </w:trPr>
        <w:tc>
          <w:tcPr>
            <w:tcW w:w="766" w:type="dxa"/>
            <w:vAlign w:val="center"/>
            <w:vMerge w:val="continue"/>
            <w:textDirection w:val="lrTb"/>
            <w:noWrap w:val="false"/>
          </w:tcPr>
          <w:p>
            <w:pPr>
              <w:pStyle w:val="740"/>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808"/>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包含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仿宋" w:hAnsi="仿宋" w:eastAsia="仿宋" w:cs="仿宋"/>
                <w:color w:val="000000"/>
                <w:sz w:val="24"/>
                <w:szCs w:val="24"/>
                <w:highlight w:val="none"/>
              </w:rPr>
            </w:r>
            <w:r/>
          </w:p>
        </w:tc>
      </w:tr>
      <w:tr>
        <w:trPr>
          <w:trHeight w:val="784"/>
        </w:trPr>
        <w:tc>
          <w:tcPr>
            <w:tcW w:w="76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申请人</w:t>
            </w:r>
            <w:r>
              <w:rPr>
                <w:rFonts w:hint="eastAsia" w:ascii="仿宋" w:hAnsi="仿宋" w:eastAsia="仿宋" w:cs="仿宋"/>
                <w:color w:val="000000"/>
                <w:sz w:val="24"/>
                <w:szCs w:val="24"/>
                <w:highlight w:val="none"/>
              </w:rPr>
            </w:r>
            <w:r/>
          </w:p>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主要条件</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808"/>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具有独立承担民事责任的能力；</w:t>
            </w:r>
            <w:r>
              <w:rPr>
                <w:rFonts w:hint="eastAsia" w:ascii="仿宋" w:hAnsi="仿宋" w:eastAsia="仿宋" w:cs="仿宋"/>
                <w:color w:val="000000"/>
                <w:sz w:val="24"/>
                <w:szCs w:val="24"/>
                <w:highlight w:val="none"/>
              </w:rPr>
            </w:r>
            <w:r/>
          </w:p>
          <w:p>
            <w:pPr>
              <w:pStyle w:val="808"/>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具有良好的商业信誉和健全的财务会计制度；</w:t>
            </w:r>
            <w:r>
              <w:rPr>
                <w:rFonts w:hint="eastAsia" w:ascii="仿宋" w:hAnsi="仿宋" w:eastAsia="仿宋" w:cs="仿宋"/>
                <w:color w:val="000000"/>
                <w:sz w:val="24"/>
                <w:szCs w:val="24"/>
                <w:highlight w:val="none"/>
              </w:rPr>
            </w:r>
            <w:r/>
          </w:p>
          <w:p>
            <w:pPr>
              <w:pStyle w:val="808"/>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具有履行合同所必需的设备和专业技术能力；</w:t>
            </w:r>
            <w:r>
              <w:rPr>
                <w:rFonts w:hint="eastAsia" w:ascii="仿宋" w:hAnsi="仿宋" w:eastAsia="仿宋" w:cs="仿宋"/>
                <w:color w:val="000000"/>
                <w:sz w:val="24"/>
                <w:szCs w:val="24"/>
                <w:highlight w:val="none"/>
              </w:rPr>
            </w:r>
            <w:r/>
          </w:p>
          <w:p>
            <w:pPr>
              <w:pStyle w:val="808"/>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有依法缴纳税收和社会保障资金的良好记录；</w:t>
            </w:r>
            <w:r>
              <w:rPr>
                <w:rFonts w:hint="eastAsia" w:ascii="仿宋" w:hAnsi="仿宋" w:eastAsia="仿宋" w:cs="仿宋"/>
                <w:color w:val="000000"/>
                <w:sz w:val="24"/>
                <w:szCs w:val="24"/>
                <w:highlight w:val="none"/>
              </w:rPr>
            </w:r>
            <w:r/>
          </w:p>
          <w:p>
            <w:pPr>
              <w:pStyle w:val="808"/>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参加政府采购活动前三年内，在经营活动中没有重大违法记录；</w:t>
            </w:r>
            <w:r>
              <w:rPr>
                <w:rFonts w:hint="eastAsia" w:ascii="仿宋" w:hAnsi="仿宋" w:eastAsia="仿宋" w:cs="仿宋"/>
                <w:color w:val="000000"/>
                <w:sz w:val="24"/>
                <w:szCs w:val="24"/>
                <w:highlight w:val="none"/>
              </w:rPr>
            </w:r>
            <w:r/>
          </w:p>
          <w:p>
            <w:pPr>
              <w:pStyle w:val="808"/>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法律、行政法规规定的其他条件；</w:t>
            </w:r>
            <w:r>
              <w:rPr>
                <w:rFonts w:hint="eastAsia" w:ascii="仿宋" w:hAnsi="仿宋" w:eastAsia="仿宋" w:cs="仿宋"/>
                <w:color w:val="000000"/>
                <w:sz w:val="24"/>
                <w:szCs w:val="24"/>
                <w:highlight w:val="none"/>
              </w:rPr>
            </w:r>
            <w:r/>
          </w:p>
        </w:tc>
      </w:tr>
      <w:tr>
        <w:trPr>
          <w:trHeight w:val="712"/>
        </w:trPr>
        <w:tc>
          <w:tcPr>
            <w:tcW w:w="76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采购预算价</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808"/>
              <w:ind w:left="0"/>
              <w:spacing w:line="4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人民币伍拾万元整（</w:t>
            </w:r>
            <w:r>
              <w:rPr>
                <w:rFonts w:hint="eastAsia" w:ascii="仿宋" w:hAnsi="仿宋" w:eastAsia="仿宋" w:cs="仿宋"/>
                <w:color w:val="000000"/>
                <w:sz w:val="24"/>
                <w:szCs w:val="24"/>
                <w:highlight w:val="none"/>
                <w:lang w:val="en-US" w:eastAsia="zh-CN"/>
              </w:rPr>
              <w:t xml:space="preserve">50</w:t>
            </w:r>
            <w:r>
              <w:rPr>
                <w:rFonts w:hint="eastAsia" w:ascii="仿宋" w:hAnsi="仿宋" w:eastAsia="仿宋" w:cs="仿宋"/>
                <w:color w:val="000000"/>
                <w:sz w:val="24"/>
                <w:szCs w:val="24"/>
                <w:highlight w:val="none"/>
              </w:rPr>
              <w:t xml:space="preserve">0000.00元）</w:t>
            </w:r>
            <w:r>
              <w:rPr>
                <w:rFonts w:hint="eastAsia" w:ascii="仿宋" w:hAnsi="仿宋" w:eastAsia="仿宋" w:cs="仿宋"/>
                <w:color w:val="000000"/>
                <w:sz w:val="24"/>
                <w:szCs w:val="24"/>
                <w:highlight w:val="none"/>
                <w:lang w:eastAsia="zh-CN"/>
              </w:rPr>
            </w:r>
            <w:r/>
          </w:p>
        </w:tc>
      </w:tr>
      <w:tr>
        <w:trPr>
          <w:trHeight w:val="489"/>
        </w:trPr>
        <w:tc>
          <w:tcPr>
            <w:tcW w:w="76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w:t>
            </w:r>
            <w:r>
              <w:rPr>
                <w:rFonts w:hint="eastAsia" w:ascii="仿宋" w:hAnsi="仿宋" w:eastAsia="仿宋" w:cs="仿宋"/>
                <w:color w:val="000000"/>
                <w:sz w:val="24"/>
                <w:szCs w:val="24"/>
                <w:highlight w:val="none"/>
              </w:rPr>
            </w:r>
            <w:r/>
          </w:p>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递交、磋商</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808"/>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加密的电子</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上传截止时间：202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5月18</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lang w:val="en-US" w:eastAsia="zh-CN"/>
              </w:rPr>
              <w:t xml:space="preserve">09</w:t>
            </w:r>
            <w:r>
              <w:rPr>
                <w:rFonts w:hint="eastAsia" w:ascii="仿宋" w:hAnsi="仿宋" w:eastAsia="仿宋" w:cs="仿宋"/>
                <w:color w:val="000000"/>
                <w:sz w:val="24"/>
                <w:szCs w:val="24"/>
                <w:highlight w:val="none"/>
                <w:lang w:eastAsia="zh-CN"/>
              </w:rPr>
              <w:t xml:space="preserve">点30</w:t>
            </w:r>
            <w:r>
              <w:rPr>
                <w:rFonts w:hint="eastAsia" w:ascii="仿宋" w:hAnsi="仿宋" w:eastAsia="仿宋" w:cs="仿宋"/>
                <w:color w:val="000000"/>
                <w:sz w:val="24"/>
                <w:szCs w:val="24"/>
                <w:highlight w:val="none"/>
              </w:rPr>
              <w:t xml:space="preserve">分（北京时间） </w:t>
            </w:r>
            <w:r>
              <w:rPr>
                <w:rFonts w:hint="eastAsia" w:ascii="仿宋" w:hAnsi="仿宋" w:eastAsia="仿宋" w:cs="仿宋"/>
                <w:color w:val="000000"/>
                <w:sz w:val="24"/>
                <w:szCs w:val="24"/>
                <w:highlight w:val="none"/>
              </w:rPr>
            </w:r>
            <w:r/>
          </w:p>
          <w:p>
            <w:pPr>
              <w:pStyle w:val="808"/>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开标时间：202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5月18</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lang w:val="en-US" w:eastAsia="zh-CN"/>
              </w:rPr>
              <w:t xml:space="preserve">09</w:t>
            </w:r>
            <w:r>
              <w:rPr>
                <w:rFonts w:hint="eastAsia" w:ascii="仿宋" w:hAnsi="仿宋" w:eastAsia="仿宋" w:cs="仿宋"/>
                <w:color w:val="000000"/>
                <w:sz w:val="24"/>
                <w:szCs w:val="24"/>
                <w:highlight w:val="none"/>
                <w:lang w:eastAsia="zh-CN"/>
              </w:rPr>
              <w:t xml:space="preserve">点30</w:t>
            </w:r>
            <w:r>
              <w:rPr>
                <w:rFonts w:hint="eastAsia" w:ascii="仿宋" w:hAnsi="仿宋" w:eastAsia="仿宋" w:cs="仿宋"/>
                <w:color w:val="000000"/>
                <w:sz w:val="24"/>
                <w:szCs w:val="24"/>
                <w:highlight w:val="none"/>
              </w:rPr>
              <w:t xml:space="preserve">分（北京时间）</w:t>
            </w:r>
            <w:r>
              <w:rPr>
                <w:rFonts w:hint="eastAsia" w:ascii="仿宋" w:hAnsi="仿宋" w:eastAsia="仿宋" w:cs="仿宋"/>
                <w:color w:val="000000"/>
                <w:sz w:val="24"/>
                <w:szCs w:val="24"/>
                <w:highlight w:val="none"/>
              </w:rPr>
            </w:r>
            <w:r/>
          </w:p>
          <w:p>
            <w:pPr>
              <w:pStyle w:val="808"/>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开标地点：网上不见面开标大厅</w:t>
            </w:r>
            <w:r>
              <w:rPr>
                <w:rFonts w:hint="eastAsia" w:ascii="仿宋" w:hAnsi="仿宋" w:eastAsia="仿宋" w:cs="仿宋"/>
                <w:color w:val="000000"/>
                <w:sz w:val="24"/>
                <w:szCs w:val="24"/>
                <w:highlight w:val="none"/>
              </w:rPr>
            </w:r>
            <w:r/>
          </w:p>
        </w:tc>
      </w:tr>
      <w:tr>
        <w:trPr>
          <w:trHeight w:val="575"/>
        </w:trPr>
        <w:tc>
          <w:tcPr>
            <w:tcW w:w="76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注意事项</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740"/>
              <w:jc w:val="left"/>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法定代表人为同一人的不同单位，不得参加同一分包项目投标或未划分分包的同一投标项目投标，违反上述规定的投标作</w:t>
            </w:r>
            <w:r>
              <w:rPr>
                <w:rFonts w:hint="eastAsia" w:ascii="仿宋" w:hAnsi="仿宋" w:eastAsia="仿宋" w:cs="仿宋"/>
                <w:color w:val="000000"/>
                <w:sz w:val="24"/>
                <w:szCs w:val="24"/>
                <w:highlight w:val="none"/>
                <w:lang w:eastAsia="zh-CN"/>
              </w:rPr>
              <w:t xml:space="preserve">无效响应</w:t>
            </w:r>
            <w:r>
              <w:rPr>
                <w:rFonts w:hint="eastAsia" w:ascii="仿宋" w:hAnsi="仿宋" w:eastAsia="仿宋" w:cs="仿宋"/>
                <w:color w:val="000000"/>
                <w:sz w:val="24"/>
                <w:szCs w:val="24"/>
                <w:highlight w:val="none"/>
              </w:rPr>
              <w:t xml:space="preserve">处理。</w:t>
            </w:r>
            <w:r>
              <w:rPr>
                <w:rFonts w:hint="eastAsia" w:ascii="仿宋" w:hAnsi="仿宋" w:eastAsia="仿宋" w:cs="仿宋"/>
                <w:color w:val="000000"/>
                <w:sz w:val="24"/>
                <w:szCs w:val="24"/>
                <w:highlight w:val="none"/>
              </w:rPr>
            </w:r>
            <w:r/>
          </w:p>
        </w:tc>
      </w:tr>
      <w:tr>
        <w:trPr>
          <w:trHeight w:val="722"/>
        </w:trPr>
        <w:tc>
          <w:tcPr>
            <w:tcW w:w="76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导致废标因素</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740"/>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出现下列情形之一的，为废标：</w:t>
            </w:r>
            <w:r>
              <w:rPr>
                <w:rFonts w:hint="eastAsia" w:ascii="仿宋" w:hAnsi="仿宋" w:eastAsia="仿宋" w:cs="仿宋"/>
                <w:color w:val="000000"/>
                <w:sz w:val="24"/>
                <w:szCs w:val="24"/>
                <w:highlight w:val="none"/>
              </w:rPr>
            </w:r>
            <w:r/>
          </w:p>
          <w:p>
            <w:pPr>
              <w:pStyle w:val="740"/>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1．符合条件的供应商或者对</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作实质性响应的供应商不足三家的；</w:t>
            </w:r>
            <w:r>
              <w:rPr>
                <w:rFonts w:hint="eastAsia" w:ascii="仿宋" w:hAnsi="仿宋" w:eastAsia="仿宋" w:cs="仿宋"/>
                <w:color w:val="000000"/>
                <w:sz w:val="24"/>
                <w:szCs w:val="24"/>
                <w:highlight w:val="none"/>
              </w:rPr>
            </w:r>
            <w:r/>
          </w:p>
          <w:p>
            <w:pPr>
              <w:pStyle w:val="740"/>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2．出现影响采购公正的违法、违规行为的；</w:t>
            </w:r>
            <w:r>
              <w:rPr>
                <w:rFonts w:hint="eastAsia" w:ascii="仿宋" w:hAnsi="仿宋" w:eastAsia="仿宋" w:cs="仿宋"/>
                <w:color w:val="000000"/>
                <w:sz w:val="24"/>
                <w:szCs w:val="24"/>
                <w:highlight w:val="none"/>
              </w:rPr>
            </w:r>
            <w:r/>
          </w:p>
          <w:p>
            <w:pPr>
              <w:pStyle w:val="740"/>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3．供应商的报价均超过了采购预算，采购人不能支付的；</w:t>
            </w:r>
            <w:r>
              <w:rPr>
                <w:rFonts w:hint="eastAsia" w:ascii="仿宋" w:hAnsi="仿宋" w:eastAsia="仿宋" w:cs="仿宋"/>
                <w:color w:val="000000"/>
                <w:sz w:val="24"/>
                <w:szCs w:val="24"/>
                <w:highlight w:val="none"/>
              </w:rPr>
            </w:r>
            <w:r/>
          </w:p>
          <w:p>
            <w:pPr>
              <w:pStyle w:val="740"/>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4．因重大变故，采购任务取消的。</w:t>
            </w:r>
            <w:r>
              <w:rPr>
                <w:rFonts w:hint="eastAsia" w:ascii="仿宋" w:hAnsi="仿宋" w:eastAsia="仿宋" w:cs="仿宋"/>
                <w:color w:val="000000"/>
                <w:sz w:val="24"/>
                <w:szCs w:val="24"/>
                <w:highlight w:val="none"/>
              </w:rPr>
            </w:r>
            <w:r/>
          </w:p>
        </w:tc>
      </w:tr>
      <w:tr>
        <w:trPr>
          <w:trHeight w:val="699"/>
        </w:trPr>
        <w:tc>
          <w:tcPr>
            <w:tcW w:w="76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en-US" w:eastAsia="zh-CN" w:bidi="ar-SA"/>
              </w:rPr>
            </w:r>
            <w:r/>
          </w:p>
        </w:tc>
        <w:tc>
          <w:tcPr>
            <w:tcW w:w="1546"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导致无效标</w:t>
            </w:r>
            <w:r>
              <w:rPr>
                <w:rFonts w:hint="eastAsia" w:ascii="仿宋" w:hAnsi="仿宋" w:eastAsia="仿宋" w:cs="仿宋"/>
                <w:color w:val="000000"/>
                <w:sz w:val="24"/>
                <w:szCs w:val="24"/>
                <w:highlight w:val="none"/>
              </w:rPr>
            </w:r>
            <w:r/>
          </w:p>
          <w:p>
            <w:pPr>
              <w:pStyle w:val="740"/>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因素</w:t>
            </w:r>
            <w:r>
              <w:rPr>
                <w:rFonts w:hint="eastAsia" w:ascii="仿宋" w:hAnsi="仿宋" w:eastAsia="仿宋" w:cs="仿宋"/>
                <w:color w:val="000000"/>
                <w:sz w:val="24"/>
                <w:szCs w:val="24"/>
                <w:highlight w:val="none"/>
                <w:lang w:val="en-US" w:eastAsia="zh-CN" w:bidi="ar-SA"/>
              </w:rPr>
            </w:r>
            <w:r/>
          </w:p>
        </w:tc>
        <w:tc>
          <w:tcPr>
            <w:gridSpan w:val="3"/>
            <w:tcW w:w="6986" w:type="dxa"/>
            <w:vAlign w:val="center"/>
            <w:textDirection w:val="lrTb"/>
            <w:noWrap w:val="false"/>
          </w:tcPr>
          <w:p>
            <w:pPr>
              <w:pStyle w:val="740"/>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属下列情况之一的，在资格性、符合性检查时按照</w:t>
            </w:r>
            <w:r>
              <w:rPr>
                <w:rFonts w:hint="eastAsia" w:ascii="仿宋" w:hAnsi="仿宋" w:eastAsia="仿宋" w:cs="仿宋"/>
                <w:color w:val="000000"/>
                <w:sz w:val="24"/>
                <w:szCs w:val="24"/>
                <w:highlight w:val="none"/>
                <w:lang w:eastAsia="zh-CN"/>
              </w:rPr>
              <w:t xml:space="preserve">无效响应</w:t>
            </w:r>
            <w:r>
              <w:rPr>
                <w:rFonts w:hint="eastAsia" w:ascii="仿宋" w:hAnsi="仿宋" w:eastAsia="仿宋" w:cs="仿宋"/>
                <w:color w:val="000000"/>
                <w:sz w:val="24"/>
                <w:szCs w:val="24"/>
                <w:highlight w:val="none"/>
              </w:rPr>
              <w:t xml:space="preserve">处理：</w:t>
            </w:r>
            <w:r>
              <w:rPr>
                <w:rFonts w:hint="eastAsia" w:ascii="仿宋" w:hAnsi="仿宋" w:eastAsia="仿宋" w:cs="仿宋"/>
                <w:color w:val="000000"/>
                <w:sz w:val="24"/>
                <w:szCs w:val="24"/>
                <w:highlight w:val="none"/>
              </w:rPr>
            </w:r>
            <w:r/>
          </w:p>
          <w:p>
            <w:pPr>
              <w:pStyle w:val="740"/>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未按</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要求签署、盖章或电子签章的；</w:t>
            </w:r>
            <w:r>
              <w:rPr>
                <w:rFonts w:hint="eastAsia" w:ascii="仿宋" w:hAnsi="仿宋" w:eastAsia="仿宋" w:cs="仿宋"/>
                <w:color w:val="000000"/>
                <w:sz w:val="24"/>
                <w:szCs w:val="24"/>
                <w:highlight w:val="none"/>
              </w:rPr>
            </w:r>
            <w:r/>
          </w:p>
          <w:p>
            <w:pPr>
              <w:pStyle w:val="740"/>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2不具备</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中规定的资格要求的；</w:t>
            </w:r>
            <w:r>
              <w:rPr>
                <w:rFonts w:hint="eastAsia" w:ascii="仿宋" w:hAnsi="仿宋" w:eastAsia="仿宋" w:cs="仿宋"/>
                <w:color w:val="000000"/>
                <w:sz w:val="24"/>
                <w:szCs w:val="24"/>
                <w:highlight w:val="none"/>
              </w:rPr>
            </w:r>
            <w:r/>
          </w:p>
          <w:p>
            <w:pPr>
              <w:pStyle w:val="740"/>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3报价超过</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中规定的预算金额或者最高限价的；</w:t>
            </w:r>
            <w:r>
              <w:rPr>
                <w:rFonts w:hint="eastAsia" w:ascii="仿宋" w:hAnsi="仿宋" w:eastAsia="仿宋" w:cs="仿宋"/>
                <w:color w:val="000000"/>
                <w:sz w:val="24"/>
                <w:szCs w:val="24"/>
                <w:highlight w:val="none"/>
              </w:rPr>
            </w:r>
            <w:r/>
          </w:p>
          <w:p>
            <w:pPr>
              <w:pStyle w:val="740"/>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4不同</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使用同一台电脑编制的；</w:t>
            </w:r>
            <w:r>
              <w:rPr>
                <w:rFonts w:hint="eastAsia" w:ascii="仿宋" w:hAnsi="仿宋" w:eastAsia="仿宋" w:cs="仿宋"/>
                <w:color w:val="000000"/>
                <w:sz w:val="24"/>
                <w:szCs w:val="24"/>
                <w:highlight w:val="none"/>
              </w:rPr>
            </w:r>
            <w:r/>
          </w:p>
          <w:p>
            <w:pPr>
              <w:pStyle w:val="740"/>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含有采购人不能接受的附加条件的；</w:t>
            </w:r>
            <w:r>
              <w:rPr>
                <w:rFonts w:hint="eastAsia" w:ascii="仿宋" w:hAnsi="仿宋" w:eastAsia="仿宋" w:cs="仿宋"/>
                <w:color w:val="000000"/>
                <w:sz w:val="24"/>
                <w:szCs w:val="24"/>
                <w:highlight w:val="none"/>
              </w:rPr>
            </w:r>
            <w:r/>
          </w:p>
          <w:p>
            <w:pPr>
              <w:pStyle w:val="740"/>
              <w:ind w:firstLine="1"/>
              <w:spacing w:line="460" w:lineRule="exact"/>
              <w:rPr>
                <w:rFonts w:hint="eastAsia" w:ascii="仿宋" w:hAnsi="仿宋" w:eastAsia="仿宋" w:cs="仿宋"/>
                <w:color w:val="000000"/>
                <w:sz w:val="24"/>
                <w:szCs w:val="24"/>
                <w:highlight w:val="none"/>
                <w:lang w:val="zh-CN" w:eastAsia="zh-CN" w:bidi="ar-SA"/>
              </w:rPr>
            </w:pPr>
            <w:r>
              <w:rPr>
                <w:rFonts w:hint="eastAsia" w:ascii="仿宋" w:hAnsi="仿宋" w:eastAsia="仿宋" w:cs="仿宋"/>
                <w:color w:val="000000"/>
                <w:sz w:val="24"/>
                <w:szCs w:val="24"/>
                <w:highlight w:val="none"/>
              </w:rPr>
              <w:t xml:space="preserve">6法律、法规和</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规定的其他无效情形。</w:t>
            </w:r>
            <w:r>
              <w:rPr>
                <w:rFonts w:hint="eastAsia" w:ascii="仿宋" w:hAnsi="仿宋" w:eastAsia="仿宋" w:cs="仿宋"/>
                <w:color w:val="000000"/>
                <w:sz w:val="24"/>
                <w:szCs w:val="24"/>
                <w:highlight w:val="none"/>
                <w:lang w:val="zh-CN" w:eastAsia="zh-CN" w:bidi="ar-SA"/>
              </w:rPr>
            </w:r>
            <w:r/>
          </w:p>
        </w:tc>
      </w:tr>
    </w:tbl>
    <w:p>
      <w:pPr>
        <w:pStyle w:val="740"/>
        <w:rPr>
          <w:rFonts w:hint="eastAsia" w:ascii="宋体" w:hAnsi="宋体"/>
          <w:color w:val="000000"/>
          <w:highlight w:val="none"/>
        </w:rPr>
      </w:pPr>
      <w:r>
        <w:rPr>
          <w:rFonts w:hint="eastAsia" w:ascii="宋体" w:hAnsi="宋体"/>
          <w:color w:val="000000"/>
          <w:highlight w:val="none"/>
        </w:rPr>
      </w:r>
      <w:r/>
    </w:p>
    <w:p>
      <w:pPr>
        <w:pStyle w:val="766"/>
        <w:ind w:firstLine="1044"/>
        <w:jc w:val="center"/>
        <w:rPr>
          <w:rFonts w:ascii="宋体" w:hAnsi="宋体"/>
          <w:b/>
          <w:color w:val="000000"/>
          <w:sz w:val="52"/>
          <w:highlight w:val="none"/>
        </w:rPr>
      </w:pPr>
      <w:r>
        <w:rPr>
          <w:rFonts w:ascii="宋体" w:hAnsi="宋体"/>
          <w:b/>
          <w:color w:val="000000"/>
          <w:sz w:val="52"/>
          <w:highlight w:val="none"/>
        </w:rPr>
      </w:r>
      <w:r/>
    </w:p>
    <w:p>
      <w:pPr>
        <w:pStyle w:val="766"/>
        <w:ind w:firstLine="1044"/>
        <w:jc w:val="center"/>
        <w:rPr>
          <w:rFonts w:ascii="宋体" w:hAnsi="宋体"/>
          <w:b/>
          <w:color w:val="000000"/>
          <w:sz w:val="52"/>
          <w:highlight w:val="none"/>
        </w:rPr>
      </w:pPr>
      <w:r>
        <w:rPr>
          <w:rFonts w:ascii="宋体" w:hAnsi="宋体"/>
          <w:b/>
          <w:color w:val="000000"/>
          <w:sz w:val="52"/>
          <w:highlight w:val="none"/>
        </w:rPr>
      </w:r>
      <w:r/>
    </w:p>
    <w:p>
      <w:pPr>
        <w:pStyle w:val="766"/>
        <w:ind w:firstLine="1044"/>
        <w:jc w:val="center"/>
        <w:rPr>
          <w:rFonts w:ascii="宋体" w:hAnsi="宋体"/>
          <w:b/>
          <w:color w:val="000000"/>
          <w:sz w:val="52"/>
          <w:highlight w:val="none"/>
        </w:rPr>
      </w:pPr>
      <w:r>
        <w:rPr>
          <w:rFonts w:ascii="宋体" w:hAnsi="宋体"/>
          <w:b/>
          <w:color w:val="000000"/>
          <w:sz w:val="52"/>
          <w:highlight w:val="none"/>
        </w:rPr>
      </w:r>
      <w:r/>
    </w:p>
    <w:p>
      <w:pPr>
        <w:pStyle w:val="740"/>
        <w:rPr>
          <w:rFonts w:ascii="宋体" w:hAnsi="宋体"/>
          <w:b/>
          <w:color w:val="000000"/>
          <w:sz w:val="52"/>
          <w:highlight w:val="none"/>
        </w:rPr>
      </w:pPr>
      <w:r>
        <w:rPr>
          <w:rFonts w:ascii="宋体" w:hAnsi="宋体"/>
          <w:b/>
          <w:color w:val="000000"/>
          <w:sz w:val="52"/>
          <w:highlight w:val="none"/>
        </w:rPr>
      </w:r>
      <w:r/>
    </w:p>
    <w:p>
      <w:pPr>
        <w:pStyle w:val="740"/>
        <w:rPr>
          <w:rFonts w:ascii="宋体" w:hAnsi="宋体"/>
          <w:b/>
          <w:color w:val="000000"/>
          <w:sz w:val="52"/>
          <w:highlight w:val="none"/>
        </w:rPr>
      </w:pPr>
      <w:r>
        <w:rPr>
          <w:rFonts w:ascii="宋体" w:hAnsi="宋体"/>
          <w:b/>
          <w:color w:val="000000"/>
          <w:sz w:val="52"/>
          <w:highlight w:val="none"/>
        </w:rPr>
      </w:r>
      <w:r/>
    </w:p>
    <w:p>
      <w:pPr>
        <w:pStyle w:val="740"/>
        <w:rPr>
          <w:rFonts w:ascii="宋体" w:hAnsi="宋体"/>
          <w:b/>
          <w:color w:val="000000"/>
          <w:sz w:val="52"/>
          <w:highlight w:val="none"/>
        </w:rPr>
      </w:pPr>
      <w:r>
        <w:rPr>
          <w:rFonts w:ascii="宋体" w:hAnsi="宋体"/>
          <w:b/>
          <w:color w:val="000000"/>
          <w:sz w:val="52"/>
          <w:highlight w:val="none"/>
        </w:rPr>
      </w:r>
      <w:r/>
    </w:p>
    <w:p>
      <w:pPr>
        <w:pStyle w:val="752"/>
        <w:rPr>
          <w:rFonts w:ascii="宋体" w:hAnsi="宋体"/>
          <w:b/>
          <w:color w:val="000000"/>
          <w:sz w:val="52"/>
          <w:highlight w:val="none"/>
        </w:rPr>
      </w:pPr>
      <w:r>
        <w:rPr>
          <w:rFonts w:ascii="宋体" w:hAnsi="宋体"/>
          <w:b/>
          <w:color w:val="000000"/>
          <w:sz w:val="52"/>
          <w:highlight w:val="none"/>
        </w:rPr>
      </w:r>
      <w:r/>
    </w:p>
    <w:p>
      <w:pPr>
        <w:pStyle w:val="740"/>
        <w:rPr>
          <w:rFonts w:ascii="宋体" w:hAnsi="宋体"/>
          <w:b/>
          <w:color w:val="000000"/>
          <w:sz w:val="52"/>
          <w:highlight w:val="none"/>
        </w:rPr>
      </w:pPr>
      <w:r>
        <w:rPr>
          <w:rFonts w:ascii="宋体" w:hAnsi="宋体"/>
          <w:b/>
          <w:color w:val="000000"/>
          <w:sz w:val="52"/>
          <w:highlight w:val="none"/>
        </w:rPr>
      </w:r>
      <w:r/>
    </w:p>
    <w:p>
      <w:pPr>
        <w:pStyle w:val="752"/>
        <w:rPr>
          <w:rFonts w:ascii="宋体" w:hAnsi="宋体"/>
          <w:b/>
          <w:color w:val="000000"/>
          <w:sz w:val="52"/>
          <w:highlight w:val="none"/>
        </w:rPr>
      </w:pPr>
      <w:r>
        <w:rPr>
          <w:rFonts w:ascii="宋体" w:hAnsi="宋体"/>
          <w:b/>
          <w:color w:val="000000"/>
          <w:sz w:val="52"/>
          <w:highlight w:val="none"/>
        </w:rPr>
      </w:r>
      <w:r/>
    </w:p>
    <w:p>
      <w:pPr>
        <w:pStyle w:val="740"/>
        <w:rPr>
          <w:rFonts w:ascii="宋体" w:hAnsi="宋体"/>
          <w:b/>
          <w:color w:val="000000"/>
          <w:sz w:val="52"/>
          <w:highlight w:val="none"/>
        </w:rPr>
      </w:pPr>
      <w:r>
        <w:rPr>
          <w:rFonts w:ascii="宋体" w:hAnsi="宋体"/>
          <w:b/>
          <w:color w:val="000000"/>
          <w:sz w:val="52"/>
          <w:highlight w:val="none"/>
        </w:rPr>
      </w:r>
      <w:r/>
    </w:p>
    <w:p>
      <w:pPr>
        <w:pStyle w:val="752"/>
        <w:rPr>
          <w:highlight w:val="none"/>
        </w:rPr>
      </w:pPr>
      <w:r>
        <w:rPr>
          <w:highlight w:val="none"/>
        </w:rPr>
      </w:r>
      <w:r/>
    </w:p>
    <w:p>
      <w:pPr>
        <w:pStyle w:val="766"/>
        <w:ind w:firstLine="1044"/>
        <w:jc w:val="center"/>
        <w:rPr>
          <w:rFonts w:hint="eastAsia" w:ascii="宋体" w:hAnsi="宋体"/>
          <w:b/>
          <w:color w:val="000000"/>
          <w:sz w:val="52"/>
          <w:highlight w:val="none"/>
        </w:rPr>
      </w:pPr>
      <w:r>
        <w:rPr>
          <w:rFonts w:hint="eastAsia" w:ascii="宋体" w:hAnsi="宋体"/>
          <w:b/>
          <w:color w:val="000000"/>
          <w:sz w:val="52"/>
          <w:highlight w:val="none"/>
        </w:rPr>
      </w:r>
      <w:r/>
    </w:p>
    <w:p>
      <w:pPr>
        <w:pStyle w:val="766"/>
        <w:ind w:firstLine="1044"/>
        <w:jc w:val="center"/>
        <w:rPr>
          <w:rFonts w:hint="eastAsia" w:ascii="宋体" w:hAnsi="宋体"/>
          <w:b/>
          <w:color w:val="000000"/>
          <w:sz w:val="52"/>
          <w:highlight w:val="none"/>
        </w:rPr>
      </w:pPr>
      <w:r>
        <w:rPr>
          <w:rFonts w:hint="eastAsia" w:ascii="宋体" w:hAnsi="宋体"/>
          <w:b/>
          <w:color w:val="000000"/>
          <w:sz w:val="52"/>
          <w:highlight w:val="none"/>
        </w:rPr>
      </w:r>
      <w:r/>
    </w:p>
    <w:p>
      <w:pPr>
        <w:pStyle w:val="766"/>
        <w:ind w:firstLine="0"/>
        <w:jc w:val="center"/>
        <w:rPr>
          <w:rFonts w:hint="eastAsia" w:ascii="仿宋" w:hAnsi="仿宋" w:eastAsia="仿宋" w:cs="仿宋"/>
          <w:b/>
          <w:color w:val="000000"/>
          <w:sz w:val="52"/>
          <w:highlight w:val="none"/>
        </w:rPr>
      </w:pPr>
      <w:r>
        <w:rPr>
          <w:rFonts w:hint="eastAsia" w:ascii="仿宋" w:hAnsi="仿宋" w:eastAsia="仿宋" w:cs="仿宋"/>
          <w:b/>
          <w:color w:val="000000"/>
          <w:sz w:val="52"/>
          <w:highlight w:val="none"/>
        </w:rPr>
        <w:t xml:space="preserve">目</w:t>
      </w:r>
      <w:r>
        <w:rPr>
          <w:rFonts w:hint="eastAsia" w:ascii="仿宋" w:hAnsi="仿宋" w:eastAsia="仿宋" w:cs="仿宋"/>
          <w:b/>
          <w:color w:val="000000"/>
          <w:sz w:val="52"/>
          <w:highlight w:val="none"/>
          <w:lang w:val="en-US" w:eastAsia="zh-CN"/>
        </w:rPr>
        <w:t xml:space="preserve"> </w:t>
      </w:r>
      <w:r>
        <w:rPr>
          <w:rFonts w:hint="eastAsia" w:ascii="仿宋" w:hAnsi="仿宋" w:eastAsia="仿宋" w:cs="仿宋"/>
          <w:b/>
          <w:color w:val="000000"/>
          <w:sz w:val="52"/>
          <w:highlight w:val="none"/>
        </w:rPr>
        <w:t xml:space="preserve">录</w:t>
      </w:r>
      <w:r>
        <w:rPr>
          <w:rFonts w:hint="eastAsia" w:ascii="仿宋" w:hAnsi="仿宋" w:eastAsia="仿宋" w:cs="仿宋"/>
          <w:b/>
          <w:color w:val="000000"/>
          <w:sz w:val="52"/>
          <w:highlight w:val="none"/>
        </w:rPr>
      </w:r>
      <w:r/>
    </w:p>
    <w:p>
      <w:pPr>
        <w:pStyle w:val="740"/>
        <w:ind w:left="0" w:right="0" w:firstLine="0"/>
        <w:jc w:val="center"/>
        <w:spacing w:before="0" w:after="0" w:line="240" w:lineRule="auto"/>
        <w:rPr>
          <w:rFonts w:hint="eastAsia" w:ascii="仿宋" w:hAnsi="仿宋" w:eastAsia="仿宋" w:cs="仿宋"/>
          <w:highlight w:val="none"/>
        </w:rPr>
      </w:pPr>
      <w:r>
        <w:rPr>
          <w:rFonts w:hint="eastAsia" w:ascii="仿宋" w:hAnsi="仿宋" w:eastAsia="仿宋" w:cs="仿宋"/>
          <w:highlight w:val="none"/>
        </w:rPr>
      </w:r>
      <w:r/>
    </w:p>
    <w:p>
      <w:pPr>
        <w:pStyle w:val="801"/>
        <w:tabs>
          <w:tab w:val="right" w:pos="8306" w:leader="dot"/>
        </w:tabs>
        <w:rPr>
          <w:rFonts w:hint="eastAsia" w:ascii="仿宋" w:hAnsi="仿宋" w:eastAsia="仿宋" w:cs="仿宋"/>
          <w:sz w:val="28"/>
          <w:szCs w:val="28"/>
          <w:highlight w:val="none"/>
        </w:rPr>
      </w:pPr>
      <w:r>
        <w:rPr>
          <w:rFonts w:hint="eastAsia" w:ascii="仿宋" w:hAnsi="仿宋" w:eastAsia="仿宋" w:cs="仿宋"/>
          <w:b/>
          <w:color w:val="000000"/>
          <w:sz w:val="28"/>
          <w:szCs w:val="28"/>
          <w:highlight w:val="none"/>
        </w:rPr>
        <w:fldChar w:fldCharType="begin"/>
      </w:r>
      <w:r>
        <w:rPr>
          <w:rFonts w:hint="eastAsia" w:ascii="仿宋" w:hAnsi="仿宋" w:eastAsia="仿宋" w:cs="仿宋"/>
          <w:b/>
          <w:color w:val="000000"/>
          <w:sz w:val="28"/>
          <w:szCs w:val="28"/>
          <w:highlight w:val="none"/>
        </w:rPr>
        <w:instrText xml:space="preserve">TOC \o "1-1" \h \u </w:instrText>
      </w:r>
      <w:r>
        <w:rPr>
          <w:rFonts w:hint="eastAsia" w:ascii="仿宋" w:hAnsi="仿宋" w:eastAsia="仿宋" w:cs="仿宋"/>
          <w:b/>
          <w:color w:val="000000"/>
          <w:sz w:val="28"/>
          <w:szCs w:val="28"/>
          <w:highlight w:val="none"/>
        </w:rPr>
        <w:fldChar w:fldCharType="separate"/>
      </w: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_Toc17512 </w:instrText>
      </w:r>
      <w:r>
        <w:rPr>
          <w:rFonts w:hint="eastAsia" w:ascii="仿宋" w:hAnsi="仿宋" w:eastAsia="仿宋" w:cs="仿宋"/>
          <w:sz w:val="28"/>
          <w:szCs w:val="28"/>
          <w:highlight w:val="none"/>
        </w:rPr>
        <w:fldChar w:fldCharType="separate"/>
      </w:r>
      <w:r>
        <w:rPr>
          <w:rFonts w:hint="eastAsia" w:ascii="仿宋" w:hAnsi="仿宋" w:eastAsia="仿宋" w:cs="仿宋"/>
          <w:bCs/>
          <w:sz w:val="28"/>
          <w:szCs w:val="28"/>
          <w:highlight w:val="none"/>
          <w:lang w:eastAsia="zh-CN"/>
        </w:rPr>
        <w:t xml:space="preserve">第一章</w:t>
      </w:r>
      <w:r>
        <w:rPr>
          <w:rFonts w:hint="eastAsia" w:ascii="仿宋" w:hAnsi="仿宋" w:eastAsia="仿宋" w:cs="仿宋"/>
          <w:bCs/>
          <w:sz w:val="28"/>
          <w:szCs w:val="28"/>
          <w:highlight w:val="none"/>
          <w:lang w:val="en-US" w:eastAsia="zh-CN"/>
        </w:rPr>
        <w:t xml:space="preserve"> 磋商邀请函</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_Toc17512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highlight w:val="none"/>
        </w:rPr>
      </w:r>
      <w:r/>
    </w:p>
    <w:p>
      <w:pPr>
        <w:pStyle w:val="801"/>
        <w:tabs>
          <w:tab w:val="right" w:pos="8306" w:leader="dot"/>
        </w:tabs>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_Toc1483 </w:instrText>
      </w:r>
      <w:r>
        <w:rPr>
          <w:rFonts w:hint="eastAsia" w:ascii="仿宋" w:hAnsi="仿宋" w:eastAsia="仿宋" w:cs="仿宋"/>
          <w:sz w:val="28"/>
          <w:szCs w:val="28"/>
          <w:highlight w:val="none"/>
        </w:rPr>
        <w:fldChar w:fldCharType="separate"/>
      </w:r>
      <w:r>
        <w:rPr>
          <w:rFonts w:hint="eastAsia" w:ascii="仿宋" w:hAnsi="仿宋" w:eastAsia="仿宋" w:cs="仿宋"/>
          <w:bCs/>
          <w:sz w:val="28"/>
          <w:szCs w:val="28"/>
          <w:highlight w:val="none"/>
          <w:lang w:val="en-US" w:eastAsia="zh-CN"/>
        </w:rPr>
        <w:t xml:space="preserve">第二章 磋商须知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_Toc1483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10</w:t>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highlight w:val="none"/>
        </w:rPr>
      </w:r>
      <w:r/>
    </w:p>
    <w:p>
      <w:pPr>
        <w:pStyle w:val="801"/>
        <w:tabs>
          <w:tab w:val="right" w:pos="8306" w:leader="dot"/>
        </w:tabs>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_Toc9247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第三章 响应文件格式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_Toc9247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18</w:t>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highlight w:val="none"/>
        </w:rPr>
      </w:r>
      <w:r/>
    </w:p>
    <w:p>
      <w:pPr>
        <w:pStyle w:val="801"/>
        <w:tabs>
          <w:tab w:val="right" w:pos="8306" w:leader="dot"/>
        </w:tabs>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_Toc19931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第四章 采购内容</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_Toc19931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31</w:t>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highlight w:val="none"/>
        </w:rPr>
      </w:r>
      <w:r/>
    </w:p>
    <w:p>
      <w:pPr>
        <w:pStyle w:val="801"/>
        <w:tabs>
          <w:tab w:val="right" w:pos="8306" w:leader="dot"/>
        </w:tabs>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_Toc32240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第五章 合同主要条款</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_Toc32240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39</w:t>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highlight w:val="none"/>
        </w:rPr>
      </w:r>
      <w:r/>
    </w:p>
    <w:p>
      <w:pPr>
        <w:pStyle w:val="801"/>
        <w:tabs>
          <w:tab w:val="right" w:pos="8306" w:leader="dot"/>
        </w:tabs>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_Toc29577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第六章 评标办法与评分标准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_Toc29577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48</w:t>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highlight w:val="none"/>
        </w:rPr>
      </w:r>
      <w:r/>
    </w:p>
    <w:p>
      <w:pPr>
        <w:pStyle w:val="740"/>
        <w:rPr>
          <w:rFonts w:hint="eastAsia" w:ascii="仿宋" w:hAnsi="仿宋" w:eastAsia="仿宋" w:cs="仿宋"/>
          <w:b/>
          <w:color w:val="000000"/>
          <w:sz w:val="52"/>
          <w:highlight w:val="none"/>
        </w:rPr>
      </w:pPr>
      <w:r>
        <w:rPr>
          <w:rFonts w:hint="eastAsia" w:ascii="仿宋" w:hAnsi="仿宋" w:eastAsia="仿宋" w:cs="仿宋"/>
          <w:color w:val="000000"/>
          <w:sz w:val="28"/>
          <w:szCs w:val="28"/>
          <w:highlight w:val="none"/>
        </w:rPr>
        <w:fldChar w:fldCharType="end"/>
      </w:r>
      <w:r>
        <w:rPr>
          <w:rFonts w:hint="eastAsia" w:ascii="仿宋" w:hAnsi="仿宋" w:eastAsia="仿宋" w:cs="仿宋"/>
          <w:b/>
          <w:color w:val="000000"/>
          <w:sz w:val="52"/>
          <w:highlight w:val="none"/>
        </w:rPr>
      </w:r>
      <w:r/>
    </w:p>
    <w:p>
      <w:pPr>
        <w:pStyle w:val="740"/>
        <w:rPr>
          <w:rFonts w:hint="eastAsia" w:ascii="宋体" w:hAnsi="宋体"/>
          <w:b/>
          <w:color w:val="000000"/>
          <w:sz w:val="52"/>
          <w:highlight w:val="none"/>
        </w:rPr>
      </w:pPr>
      <w:r>
        <w:rPr>
          <w:rFonts w:hint="eastAsia" w:ascii="宋体" w:hAnsi="宋体"/>
          <w:b/>
          <w:color w:val="000000"/>
          <w:sz w:val="52"/>
          <w:highlight w:val="none"/>
        </w:rPr>
      </w:r>
      <w:r/>
    </w:p>
    <w:p>
      <w:pPr>
        <w:pStyle w:val="740"/>
        <w:rPr>
          <w:rFonts w:hint="eastAsia" w:ascii="宋体" w:hAnsi="宋体"/>
          <w:b/>
          <w:color w:val="000000"/>
          <w:sz w:val="52"/>
          <w:highlight w:val="none"/>
        </w:rPr>
      </w:pPr>
      <w:r>
        <w:rPr>
          <w:rFonts w:hint="eastAsia" w:ascii="宋体" w:hAnsi="宋体"/>
          <w:b/>
          <w:color w:val="000000"/>
          <w:sz w:val="52"/>
          <w:highlight w:val="none"/>
        </w:rPr>
      </w:r>
      <w:r/>
    </w:p>
    <w:p>
      <w:pPr>
        <w:pStyle w:val="740"/>
        <w:rPr>
          <w:rFonts w:hint="eastAsia" w:ascii="宋体" w:hAnsi="宋体"/>
          <w:b/>
          <w:color w:val="000000"/>
          <w:sz w:val="52"/>
          <w:highlight w:val="none"/>
        </w:rPr>
      </w:pPr>
      <w:r>
        <w:rPr>
          <w:rFonts w:hint="eastAsia" w:ascii="宋体" w:hAnsi="宋体"/>
          <w:b/>
          <w:color w:val="000000"/>
          <w:sz w:val="52"/>
          <w:highlight w:val="none"/>
        </w:rPr>
      </w:r>
      <w:r/>
    </w:p>
    <w:p>
      <w:pPr>
        <w:pStyle w:val="740"/>
        <w:rPr>
          <w:rFonts w:hint="eastAsia" w:ascii="宋体" w:hAnsi="宋体"/>
          <w:b/>
          <w:color w:val="000000"/>
          <w:sz w:val="52"/>
          <w:highlight w:val="none"/>
        </w:rPr>
      </w:pPr>
      <w:r>
        <w:rPr>
          <w:rFonts w:hint="eastAsia" w:ascii="宋体" w:hAnsi="宋体"/>
          <w:b/>
          <w:color w:val="000000"/>
          <w:sz w:val="52"/>
          <w:highlight w:val="none"/>
        </w:rPr>
      </w:r>
      <w:r/>
    </w:p>
    <w:p>
      <w:pPr>
        <w:pStyle w:val="740"/>
        <w:rPr>
          <w:rFonts w:hint="eastAsia" w:ascii="宋体" w:hAnsi="宋体"/>
          <w:b/>
          <w:color w:val="000000"/>
          <w:sz w:val="52"/>
          <w:highlight w:val="none"/>
        </w:rPr>
      </w:pPr>
      <w:r>
        <w:rPr>
          <w:rFonts w:hint="eastAsia" w:ascii="宋体" w:hAnsi="宋体"/>
          <w:b/>
          <w:color w:val="000000"/>
          <w:sz w:val="52"/>
          <w:highlight w:val="none"/>
        </w:rPr>
      </w:r>
      <w:r/>
    </w:p>
    <w:p>
      <w:pPr>
        <w:pStyle w:val="740"/>
        <w:rPr>
          <w:rFonts w:hint="eastAsia" w:ascii="宋体" w:hAnsi="宋体"/>
          <w:b/>
          <w:color w:val="000000"/>
          <w:sz w:val="52"/>
          <w:highlight w:val="none"/>
        </w:rPr>
      </w:pPr>
      <w:r>
        <w:rPr>
          <w:rFonts w:hint="eastAsia" w:ascii="宋体" w:hAnsi="宋体"/>
          <w:b/>
          <w:color w:val="000000"/>
          <w:sz w:val="52"/>
          <w:highlight w:val="none"/>
        </w:rPr>
      </w:r>
      <w:r/>
    </w:p>
    <w:p>
      <w:pPr>
        <w:pStyle w:val="740"/>
        <w:rPr>
          <w:rFonts w:hint="eastAsia" w:ascii="宋体" w:hAnsi="宋体"/>
          <w:b/>
          <w:color w:val="000000"/>
          <w:sz w:val="52"/>
          <w:highlight w:val="none"/>
        </w:rPr>
      </w:pPr>
      <w:r>
        <w:rPr>
          <w:rFonts w:hint="eastAsia" w:ascii="宋体" w:hAnsi="宋体"/>
          <w:b/>
          <w:color w:val="000000"/>
          <w:sz w:val="52"/>
          <w:highlight w:val="none"/>
        </w:rPr>
      </w:r>
      <w:r/>
    </w:p>
    <w:p>
      <w:pPr>
        <w:pStyle w:val="740"/>
        <w:rPr>
          <w:rFonts w:hint="eastAsia" w:ascii="宋体" w:hAnsi="宋体"/>
          <w:b/>
          <w:color w:val="000000"/>
          <w:sz w:val="52"/>
          <w:highlight w:val="none"/>
        </w:rPr>
      </w:pPr>
      <w:r>
        <w:rPr>
          <w:rFonts w:hint="eastAsia" w:ascii="宋体" w:hAnsi="宋体"/>
          <w:b/>
          <w:color w:val="000000"/>
          <w:sz w:val="52"/>
          <w:highlight w:val="none"/>
        </w:rPr>
      </w:r>
      <w:r/>
    </w:p>
    <w:p>
      <w:pPr>
        <w:pStyle w:val="740"/>
        <w:rPr>
          <w:rFonts w:hint="eastAsia" w:ascii="宋体" w:hAnsi="宋体"/>
          <w:b/>
          <w:color w:val="000000"/>
          <w:sz w:val="52"/>
          <w:highlight w:val="none"/>
        </w:rPr>
      </w:pPr>
      <w:r>
        <w:rPr>
          <w:rFonts w:hint="eastAsia" w:ascii="宋体" w:hAnsi="宋体"/>
          <w:b/>
          <w:color w:val="000000"/>
          <w:sz w:val="52"/>
          <w:highlight w:val="none"/>
        </w:rPr>
      </w:r>
      <w:r/>
    </w:p>
    <w:p>
      <w:pPr>
        <w:rPr>
          <w:rFonts w:hint="eastAsia" w:ascii="宋体" w:hAnsi="宋体"/>
          <w:b/>
          <w:bCs/>
          <w:color w:val="000000"/>
          <w:sz w:val="52"/>
          <w:szCs w:val="52"/>
          <w:highlight w:val="none"/>
        </w:rPr>
      </w:pPr>
      <w:r>
        <w:rPr>
          <w:rFonts w:hint="eastAsia" w:ascii="宋体" w:hAnsi="宋体"/>
          <w:b/>
          <w:color w:val="000000"/>
          <w:sz w:val="52"/>
          <w:highlight w:val="none"/>
        </w:rPr>
      </w:r>
      <w:r>
        <w:rPr>
          <w:rFonts w:hint="eastAsia" w:ascii="宋体" w:hAnsi="宋体"/>
          <w:b/>
          <w:color w:val="000000"/>
          <w:sz w:val="52"/>
          <w:highlight w:val="none"/>
        </w:rPr>
      </w:r>
    </w:p>
    <w:p>
      <w:pPr>
        <w:pStyle w:val="740"/>
        <w:rPr>
          <w:rFonts w:hint="eastAsia" w:ascii="宋体" w:hAnsi="宋体"/>
          <w:b/>
          <w:bCs/>
          <w:color w:val="000000"/>
          <w:sz w:val="52"/>
          <w:szCs w:val="52"/>
          <w:highlight w:val="none"/>
        </w:rPr>
      </w:pPr>
      <w:r>
        <w:rPr>
          <w:rFonts w:hint="eastAsia" w:ascii="宋体" w:hAnsi="宋体"/>
          <w:b/>
          <w:color w:val="000000"/>
          <w:sz w:val="52"/>
          <w:highlight w:val="none"/>
        </w:rPr>
      </w:r>
      <w:r/>
    </w:p>
    <w:p>
      <w:pPr>
        <w:pStyle w:val="740"/>
        <w:rPr>
          <w:rFonts w:hint="eastAsia" w:ascii="宋体" w:hAnsi="宋体"/>
          <w:b/>
          <w:color w:val="000000"/>
          <w:sz w:val="52"/>
          <w:highlight w:val="none"/>
        </w:rPr>
      </w:pPr>
      <w:r>
        <w:rPr>
          <w:rFonts w:hint="eastAsia" w:ascii="宋体" w:hAnsi="宋体"/>
          <w:b/>
          <w:color w:val="000000"/>
          <w:sz w:val="52"/>
          <w:highlight w:val="none"/>
        </w:rPr>
      </w:r>
      <w:r/>
    </w:p>
    <w:p>
      <w:pPr>
        <w:pStyle w:val="801"/>
        <w:ind w:left="0"/>
        <w:jc w:val="center"/>
        <w:spacing w:line="240" w:lineRule="auto"/>
        <w:tabs>
          <w:tab w:val="right" w:pos="9022" w:leader="dot"/>
        </w:tabs>
        <w:rPr>
          <w:rFonts w:hint="eastAsia" w:ascii="Times New Roman" w:hAnsi="Times New Roman" w:eastAsia="宋体" w:cs="Times New Roman"/>
          <w:b/>
          <w:color w:val="000000"/>
          <w:sz w:val="44"/>
          <w:szCs w:val="44"/>
          <w:highlight w:val="none"/>
          <w:lang w:val="en-US" w:eastAsia="zh-CN" w:bidi="ar-SA"/>
        </w:rPr>
      </w:pPr>
      <w:r/>
      <w:bookmarkStart w:id="0" w:name="_Toc17512"/>
      <w:r>
        <w:rPr>
          <w:rFonts w:hint="eastAsia" w:ascii="Times New Roman" w:hAnsi="Times New Roman" w:eastAsia="宋体" w:cs="Times New Roman"/>
          <w:b/>
          <w:color w:val="000000"/>
          <w:sz w:val="44"/>
          <w:szCs w:val="44"/>
          <w:highlight w:val="none"/>
          <w:lang w:val="en-US" w:eastAsia="zh-CN" w:bidi="ar-SA"/>
        </w:rPr>
        <w:t xml:space="preserve">第一章 </w:t>
      </w:r>
      <w:bookmarkStart w:id="1" w:name="OLE_LINK2"/>
      <w:r>
        <w:rPr>
          <w:rFonts w:hint="eastAsia" w:ascii="Times New Roman" w:hAnsi="Times New Roman" w:eastAsia="宋体" w:cs="Times New Roman"/>
          <w:b/>
          <w:color w:val="000000"/>
          <w:sz w:val="44"/>
          <w:szCs w:val="44"/>
          <w:highlight w:val="none"/>
          <w:lang w:val="en-US" w:eastAsia="zh-CN" w:bidi="ar-SA"/>
        </w:rPr>
        <w:t xml:space="preserve">磋商邀请函</w:t>
      </w:r>
      <w:bookmarkEnd w:id="0"/>
      <w:r>
        <w:rPr>
          <w:rFonts w:hint="eastAsia" w:ascii="Times New Roman" w:hAnsi="Times New Roman" w:eastAsia="宋体" w:cs="Times New Roman"/>
          <w:b/>
          <w:color w:val="000000"/>
          <w:sz w:val="44"/>
          <w:szCs w:val="44"/>
          <w:highlight w:val="none"/>
          <w:lang w:val="en-US" w:eastAsia="zh-CN" w:bidi="ar-SA"/>
        </w:rPr>
      </w:r>
      <w:r/>
    </w:p>
    <w:p>
      <w:pPr>
        <w:pStyle w:val="740"/>
        <w:ind w:firstLine="480"/>
        <w:spacing w:line="360" w:lineRule="auto"/>
        <w:rPr>
          <w:rFonts w:hint="eastAsia" w:ascii="仿宋" w:hAnsi="仿宋" w:eastAsia="仿宋" w:cs="仿宋"/>
          <w:color w:val="000000"/>
          <w:sz w:val="24"/>
          <w:highlight w:val="none"/>
        </w:rPr>
      </w:pPr>
      <w:r/>
      <w:bookmarkStart w:id="2" w:name="OLE_LINK3"/>
      <w:r>
        <w:rPr>
          <w:rFonts w:hint="eastAsia" w:ascii="仿宋" w:hAnsi="仿宋" w:eastAsia="仿宋" w:cs="仿宋"/>
          <w:color w:val="000000"/>
          <w:sz w:val="24"/>
          <w:highlight w:val="none"/>
        </w:rPr>
        <w:t xml:space="preserve">项目概况</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2026年太仓市市级财政支出项目等绩效评价管理及监督协审服务JSZC-320585-SZHZ-C2026-0008</w:t>
      </w:r>
      <w:r>
        <w:rPr>
          <w:rFonts w:hint="eastAsia" w:ascii="仿宋" w:hAnsi="仿宋" w:eastAsia="仿宋" w:cs="仿宋"/>
          <w:color w:val="000000"/>
          <w:sz w:val="24"/>
          <w:highlight w:val="none"/>
        </w:rPr>
        <w:t xml:space="preserve"> 采购项目的潜在供应商应在“苏采云”系统 获取采购文件，并于202</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lang w:val="en-US" w:eastAsia="zh-CN"/>
        </w:rPr>
        <w:t xml:space="preserve">5月18日09时30分</w:t>
      </w:r>
      <w:r>
        <w:rPr>
          <w:rFonts w:hint="eastAsia" w:ascii="仿宋" w:hAnsi="仿宋" w:eastAsia="仿宋" w:cs="仿宋"/>
          <w:color w:val="000000"/>
          <w:sz w:val="24"/>
          <w:highlight w:val="none"/>
        </w:rPr>
        <w:t xml:space="preserve">（北京时间）前上传电子响应文件。</w:t>
      </w:r>
      <w:r>
        <w:rPr>
          <w:rFonts w:hint="eastAsia" w:ascii="仿宋" w:hAnsi="仿宋" w:eastAsia="仿宋" w:cs="仿宋"/>
          <w:color w:val="000000"/>
          <w:sz w:val="24"/>
          <w:highlight w:val="none"/>
        </w:rPr>
      </w:r>
      <w:r/>
    </w:p>
    <w:p>
      <w:pPr>
        <w:pStyle w:val="740"/>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一、项目基本情况</w:t>
      </w:r>
      <w:r>
        <w:rPr>
          <w:rFonts w:hint="eastAsia" w:ascii="仿宋" w:hAnsi="仿宋" w:eastAsia="仿宋" w:cs="仿宋"/>
          <w:b/>
          <w:color w:val="000000"/>
          <w:sz w:val="24"/>
          <w:szCs w:val="24"/>
          <w:highlight w:val="none"/>
          <w:lang w:val="en-US" w:eastAsia="zh-CN" w:bidi="ar-SA"/>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项目编号：</w:t>
      </w:r>
      <w:r>
        <w:rPr>
          <w:rFonts w:hint="eastAsia" w:ascii="仿宋" w:hAnsi="仿宋" w:eastAsia="仿宋" w:cs="仿宋"/>
          <w:color w:val="000000"/>
          <w:sz w:val="24"/>
          <w:highlight w:val="none"/>
          <w:lang w:eastAsia="zh-CN"/>
        </w:rPr>
        <w:t xml:space="preserve">JSZC-320585-SZHZ-C2026-0008</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highlight w:val="none"/>
        </w:rPr>
        <w:t xml:space="preserve">项目名称：</w:t>
      </w:r>
      <w:r>
        <w:rPr>
          <w:rFonts w:hint="eastAsia" w:ascii="仿宋" w:hAnsi="仿宋" w:eastAsia="仿宋" w:cs="仿宋"/>
          <w:color w:val="000000"/>
          <w:sz w:val="24"/>
          <w:highlight w:val="none"/>
          <w:lang w:eastAsia="zh-CN"/>
        </w:rPr>
        <w:t xml:space="preserve">2026年太仓市市级财政支出项目等绩效评价管理及监督协审服务</w:t>
      </w:r>
      <w:r>
        <w:rPr>
          <w:rFonts w:hint="eastAsia" w:ascii="仿宋" w:hAnsi="仿宋" w:eastAsia="仿宋" w:cs="仿宋"/>
          <w:color w:val="000000"/>
          <w:sz w:val="24"/>
          <w:szCs w:val="24"/>
          <w:highlight w:val="none"/>
          <w:lang w:eastAsia="zh-CN"/>
        </w:rPr>
      </w:r>
      <w:r/>
    </w:p>
    <w:p>
      <w:pPr>
        <w:pStyle w:val="740"/>
        <w:ind w:firstLine="480"/>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预算金额：人民币伍拾万元整（</w:t>
      </w:r>
      <w:r>
        <w:rPr>
          <w:rFonts w:hint="eastAsia" w:ascii="仿宋" w:hAnsi="仿宋" w:eastAsia="仿宋" w:cs="仿宋"/>
          <w:color w:val="000000"/>
          <w:sz w:val="24"/>
          <w:highlight w:val="none"/>
          <w:lang w:val="en-US" w:eastAsia="zh-CN"/>
        </w:rPr>
        <w:t xml:space="preserve">50</w:t>
      </w:r>
      <w:r>
        <w:rPr>
          <w:rFonts w:hint="eastAsia" w:ascii="仿宋" w:hAnsi="仿宋" w:eastAsia="仿宋" w:cs="仿宋"/>
          <w:color w:val="000000"/>
          <w:sz w:val="24"/>
          <w:highlight w:val="none"/>
        </w:rPr>
        <w:t xml:space="preserve">0000.00元）</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lang w:val="en-US" w:eastAsia="zh-CN"/>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最高限价：人民币伍拾万元整（</w:t>
      </w:r>
      <w:r>
        <w:rPr>
          <w:rFonts w:hint="eastAsia" w:ascii="仿宋" w:hAnsi="仿宋" w:eastAsia="仿宋" w:cs="仿宋"/>
          <w:color w:val="000000"/>
          <w:sz w:val="24"/>
          <w:highlight w:val="none"/>
          <w:lang w:val="en-US" w:eastAsia="zh-CN"/>
        </w:rPr>
        <w:t xml:space="preserve">50</w:t>
      </w:r>
      <w:r>
        <w:rPr>
          <w:rFonts w:hint="eastAsia" w:ascii="仿宋" w:hAnsi="仿宋" w:eastAsia="仿宋" w:cs="仿宋"/>
          <w:color w:val="000000"/>
          <w:sz w:val="24"/>
          <w:highlight w:val="none"/>
        </w:rPr>
        <w:t xml:space="preserve">0000.00元）</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采购需求：2026年太仓市市级财政支出项目等绩效评价管理及监督协审服务</w:t>
      </w:r>
      <w:r>
        <w:rPr>
          <w:rFonts w:hint="eastAsia" w:ascii="仿宋" w:hAnsi="仿宋" w:eastAsia="仿宋" w:cs="仿宋"/>
          <w:color w:val="000000"/>
          <w:sz w:val="24"/>
          <w:highlight w:val="none"/>
        </w:rPr>
      </w:r>
      <w:r/>
    </w:p>
    <w:tbl>
      <w:tblPr>
        <w:tblW w:w="4988" w:type="pct"/>
        <w:jc w:val="center"/>
        <w:tblInd w:w="-7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225"/>
        <w:gridCol w:w="4742"/>
        <w:gridCol w:w="907"/>
        <w:gridCol w:w="941"/>
      </w:tblGrid>
      <w:tr>
        <w:trPr/>
        <w:tc>
          <w:tcPr>
            <w:tcW w:w="404" w:type="dxa"/>
            <w:vAlign w:val="center"/>
            <w:textDirection w:val="lrTb"/>
            <w:noWrap w:val="false"/>
          </w:tcPr>
          <w:p>
            <w:pPr>
              <w:pStyle w:val="740"/>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序号</w:t>
            </w:r>
            <w:r>
              <w:rPr>
                <w:rFonts w:hint="eastAsia" w:ascii="仿宋" w:hAnsi="仿宋" w:eastAsia="仿宋" w:cs="仿宋"/>
                <w:color w:val="000000"/>
                <w:szCs w:val="21"/>
                <w:highlight w:val="none"/>
              </w:rPr>
            </w:r>
            <w:r/>
          </w:p>
        </w:tc>
        <w:tc>
          <w:tcPr>
            <w:tcW w:w="720" w:type="dxa"/>
            <w:vAlign w:val="center"/>
            <w:textDirection w:val="lrTb"/>
            <w:noWrap w:val="false"/>
          </w:tcPr>
          <w:p>
            <w:pPr>
              <w:pStyle w:val="740"/>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服务名称</w:t>
            </w:r>
            <w:r>
              <w:rPr>
                <w:rFonts w:hint="eastAsia" w:ascii="仿宋" w:hAnsi="仿宋" w:eastAsia="仿宋" w:cs="仿宋"/>
                <w:color w:val="000000"/>
                <w:szCs w:val="21"/>
                <w:highlight w:val="none"/>
              </w:rPr>
            </w:r>
            <w:r/>
          </w:p>
        </w:tc>
        <w:tc>
          <w:tcPr>
            <w:tcW w:w="2787" w:type="dxa"/>
            <w:vAlign w:val="center"/>
            <w:textDirection w:val="lrTb"/>
            <w:noWrap w:val="false"/>
          </w:tcPr>
          <w:p>
            <w:pPr>
              <w:pStyle w:val="740"/>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服务清单</w:t>
            </w:r>
            <w:r>
              <w:rPr>
                <w:rFonts w:hint="eastAsia" w:ascii="仿宋" w:hAnsi="仿宋" w:eastAsia="仿宋" w:cs="仿宋"/>
                <w:color w:val="000000"/>
                <w:szCs w:val="21"/>
                <w:highlight w:val="none"/>
              </w:rPr>
            </w:r>
            <w:r/>
          </w:p>
        </w:tc>
        <w:tc>
          <w:tcPr>
            <w:tcW w:w="533" w:type="dxa"/>
            <w:vAlign w:val="center"/>
            <w:textDirection w:val="lrTb"/>
            <w:noWrap w:val="false"/>
          </w:tcPr>
          <w:p>
            <w:pPr>
              <w:pStyle w:val="740"/>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最高限价（万元）</w:t>
            </w:r>
            <w:r>
              <w:rPr>
                <w:rFonts w:hint="eastAsia" w:ascii="仿宋" w:hAnsi="仿宋" w:eastAsia="仿宋" w:cs="仿宋"/>
                <w:color w:val="000000"/>
                <w:szCs w:val="21"/>
                <w:highlight w:val="none"/>
              </w:rPr>
            </w:r>
            <w:r/>
          </w:p>
        </w:tc>
        <w:tc>
          <w:tcPr>
            <w:tcW w:w="553" w:type="dxa"/>
            <w:vAlign w:val="center"/>
            <w:textDirection w:val="lrTb"/>
            <w:noWrap w:val="false"/>
          </w:tcPr>
          <w:p>
            <w:pPr>
              <w:pStyle w:val="740"/>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合计</w:t>
            </w:r>
            <w:r>
              <w:rPr>
                <w:rFonts w:hint="eastAsia" w:ascii="仿宋" w:hAnsi="仿宋" w:eastAsia="仿宋" w:cs="仿宋"/>
                <w:color w:val="000000"/>
                <w:szCs w:val="21"/>
                <w:highlight w:val="none"/>
              </w:rPr>
            </w:r>
            <w:r/>
          </w:p>
          <w:p>
            <w:pPr>
              <w:pStyle w:val="740"/>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（万元）</w:t>
            </w:r>
            <w:r>
              <w:rPr>
                <w:rFonts w:hint="eastAsia" w:ascii="仿宋" w:hAnsi="仿宋" w:eastAsia="仿宋" w:cs="仿宋"/>
                <w:color w:val="000000"/>
                <w:szCs w:val="21"/>
                <w:highlight w:val="none"/>
              </w:rPr>
            </w:r>
            <w:r/>
          </w:p>
        </w:tc>
      </w:tr>
      <w:tr>
        <w:trPr/>
        <w:tc>
          <w:tcPr>
            <w:tcW w:w="404" w:type="dxa"/>
            <w:vAlign w:val="center"/>
            <w:textDirection w:val="lrTb"/>
            <w:noWrap w:val="false"/>
          </w:tcPr>
          <w:p>
            <w:pPr>
              <w:pStyle w:val="740"/>
              <w:jc w:val="center"/>
              <w:spacing w:line="400" w:lineRule="exact"/>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A</w:t>
            </w:r>
            <w:r>
              <w:rPr>
                <w:rFonts w:hint="eastAsia" w:ascii="仿宋" w:hAnsi="仿宋" w:eastAsia="仿宋" w:cs="仿宋"/>
                <w:color w:val="000000"/>
                <w:szCs w:val="21"/>
                <w:highlight w:val="none"/>
                <w:lang w:eastAsia="zh-CN"/>
              </w:rPr>
            </w:r>
            <w:r/>
          </w:p>
        </w:tc>
        <w:tc>
          <w:tcPr>
            <w:tcW w:w="720" w:type="dxa"/>
            <w:vAlign w:val="center"/>
            <w:textDirection w:val="lrTb"/>
            <w:noWrap w:val="false"/>
          </w:tcPr>
          <w:p>
            <w:pPr>
              <w:pStyle w:val="740"/>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支出标准建设服务</w:t>
            </w:r>
            <w:r>
              <w:rPr>
                <w:rFonts w:hint="eastAsia" w:ascii="仿宋" w:hAnsi="仿宋" w:eastAsia="仿宋" w:cs="仿宋"/>
                <w:color w:val="000000"/>
                <w:szCs w:val="21"/>
                <w:highlight w:val="none"/>
              </w:rPr>
            </w:r>
            <w:r/>
          </w:p>
        </w:tc>
        <w:tc>
          <w:tcPr>
            <w:tcW w:w="2787" w:type="dxa"/>
            <w:vAlign w:val="center"/>
            <w:textDirection w:val="lrTb"/>
            <w:noWrap w:val="false"/>
          </w:tcPr>
          <w:p>
            <w:pPr>
              <w:pStyle w:val="740"/>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CN"/>
              </w:rPr>
              <w:t xml:space="preserve">信息化运维</w:t>
            </w:r>
            <w:r>
              <w:rPr>
                <w:rFonts w:hint="eastAsia" w:ascii="仿宋" w:hAnsi="仿宋" w:eastAsia="仿宋" w:cs="仿宋"/>
                <w:color w:val="000000"/>
                <w:szCs w:val="21"/>
                <w:highlight w:val="none"/>
              </w:rPr>
              <w:t xml:space="preserve">支出标准体系</w:t>
            </w:r>
            <w:r>
              <w:rPr>
                <w:rFonts w:hint="eastAsia" w:ascii="仿宋" w:hAnsi="仿宋" w:eastAsia="仿宋" w:cs="仿宋"/>
                <w:color w:val="000000"/>
                <w:szCs w:val="21"/>
                <w:highlight w:val="none"/>
              </w:rPr>
            </w:r>
            <w:r/>
          </w:p>
        </w:tc>
        <w:tc>
          <w:tcPr>
            <w:tcW w:w="533" w:type="dxa"/>
            <w:vAlign w:val="center"/>
            <w:textDirection w:val="lrTb"/>
            <w:noWrap w:val="false"/>
          </w:tcPr>
          <w:p>
            <w:pPr>
              <w:pStyle w:val="740"/>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30</w:t>
            </w:r>
            <w:r>
              <w:rPr>
                <w:rFonts w:hint="eastAsia" w:ascii="仿宋" w:hAnsi="仿宋" w:eastAsia="仿宋" w:cs="仿宋"/>
                <w:color w:val="000000"/>
                <w:szCs w:val="21"/>
                <w:highlight w:val="none"/>
                <w:lang w:val="en-US" w:eastAsia="zh-CN"/>
              </w:rPr>
            </w:r>
            <w:r/>
          </w:p>
        </w:tc>
        <w:tc>
          <w:tcPr>
            <w:tcW w:w="553" w:type="dxa"/>
            <w:vAlign w:val="center"/>
            <w:vMerge w:val="restart"/>
            <w:textDirection w:val="lrTb"/>
            <w:noWrap w:val="false"/>
          </w:tcPr>
          <w:p>
            <w:pPr>
              <w:pStyle w:val="740"/>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50</w:t>
            </w:r>
            <w:r>
              <w:rPr>
                <w:rFonts w:hint="eastAsia" w:ascii="仿宋" w:hAnsi="仿宋" w:eastAsia="仿宋" w:cs="仿宋"/>
                <w:color w:val="000000"/>
                <w:szCs w:val="21"/>
                <w:highlight w:val="none"/>
                <w:lang w:val="en-US" w:eastAsia="zh-CN"/>
              </w:rPr>
            </w:r>
            <w:r/>
          </w:p>
        </w:tc>
      </w:tr>
      <w:tr>
        <w:trPr/>
        <w:tc>
          <w:tcPr>
            <w:tcW w:w="404" w:type="dxa"/>
            <w:vAlign w:val="center"/>
            <w:textDirection w:val="lrTb"/>
            <w:noWrap w:val="false"/>
          </w:tcPr>
          <w:p>
            <w:pPr>
              <w:pStyle w:val="740"/>
              <w:jc w:val="center"/>
              <w:spacing w:line="40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B</w:t>
            </w:r>
            <w:r>
              <w:rPr>
                <w:rFonts w:hint="eastAsia" w:ascii="仿宋" w:hAnsi="仿宋" w:eastAsia="仿宋" w:cs="仿宋"/>
                <w:color w:val="000000"/>
                <w:szCs w:val="21"/>
                <w:highlight w:val="none"/>
                <w:lang w:eastAsia="zh-CN"/>
              </w:rPr>
            </w:r>
            <w:r/>
          </w:p>
        </w:tc>
        <w:tc>
          <w:tcPr>
            <w:tcW w:w="720" w:type="dxa"/>
            <w:vAlign w:val="center"/>
            <w:textDirection w:val="lrTb"/>
            <w:noWrap w:val="false"/>
          </w:tcPr>
          <w:p>
            <w:pPr>
              <w:pStyle w:val="740"/>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重点绩效评价服务</w:t>
            </w:r>
            <w:r>
              <w:rPr>
                <w:rFonts w:hint="eastAsia" w:ascii="仿宋" w:hAnsi="仿宋" w:eastAsia="仿宋" w:cs="仿宋"/>
                <w:color w:val="000000"/>
                <w:szCs w:val="21"/>
                <w:highlight w:val="none"/>
              </w:rPr>
            </w:r>
            <w:r/>
          </w:p>
        </w:tc>
        <w:tc>
          <w:tcPr>
            <w:tcW w:w="2787" w:type="dxa"/>
            <w:vAlign w:val="center"/>
            <w:textDirection w:val="lrTb"/>
            <w:noWrap w:val="false"/>
          </w:tcPr>
          <w:p>
            <w:pPr>
              <w:pStyle w:val="740"/>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太仓市双创综合服务平台建设及运营重点绩效评价</w:t>
            </w:r>
            <w:r>
              <w:rPr>
                <w:rFonts w:hint="eastAsia" w:ascii="仿宋" w:hAnsi="仿宋" w:eastAsia="仿宋" w:cs="仿宋"/>
                <w:color w:val="000000"/>
                <w:szCs w:val="21"/>
                <w:highlight w:val="none"/>
              </w:rPr>
            </w:r>
            <w:r/>
          </w:p>
        </w:tc>
        <w:tc>
          <w:tcPr>
            <w:tcW w:w="533" w:type="dxa"/>
            <w:vAlign w:val="center"/>
            <w:textDirection w:val="lrTb"/>
            <w:noWrap w:val="false"/>
          </w:tcPr>
          <w:p>
            <w:pPr>
              <w:pStyle w:val="740"/>
              <w:jc w:val="center"/>
              <w:spacing w:line="40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8</w:t>
            </w:r>
            <w:r>
              <w:rPr>
                <w:rFonts w:hint="eastAsia" w:ascii="仿宋" w:hAnsi="仿宋" w:eastAsia="仿宋" w:cs="仿宋"/>
                <w:color w:val="000000"/>
                <w:szCs w:val="21"/>
                <w:highlight w:val="none"/>
                <w:lang w:eastAsia="zh-CN"/>
              </w:rPr>
            </w:r>
            <w:r/>
          </w:p>
        </w:tc>
        <w:tc>
          <w:tcPr>
            <w:tcW w:w="553" w:type="dxa"/>
            <w:vAlign w:val="top"/>
            <w:vMerge w:val="continue"/>
            <w:textDirection w:val="lrTb"/>
            <w:noWrap w:val="false"/>
          </w:tcPr>
          <w:p>
            <w:pPr>
              <w:pStyle w:val="740"/>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2789"/>
        </w:trPr>
        <w:tc>
          <w:tcPr>
            <w:tcW w:w="404" w:type="dxa"/>
            <w:vAlign w:val="center"/>
            <w:textDirection w:val="lrTb"/>
            <w:noWrap w:val="false"/>
          </w:tcPr>
          <w:p>
            <w:pPr>
              <w:pStyle w:val="740"/>
              <w:jc w:val="center"/>
              <w:spacing w:line="40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C</w:t>
            </w:r>
            <w:r>
              <w:rPr>
                <w:rFonts w:hint="eastAsia" w:ascii="仿宋" w:hAnsi="仿宋" w:eastAsia="仿宋" w:cs="仿宋"/>
                <w:color w:val="000000"/>
                <w:szCs w:val="21"/>
                <w:highlight w:val="none"/>
                <w:lang w:eastAsia="zh-CN"/>
              </w:rPr>
            </w:r>
            <w:r/>
          </w:p>
        </w:tc>
        <w:tc>
          <w:tcPr>
            <w:tcW w:w="720" w:type="dxa"/>
            <w:vAlign w:val="center"/>
            <w:textDirection w:val="lrTb"/>
            <w:noWrap w:val="false"/>
          </w:tcPr>
          <w:p>
            <w:pPr>
              <w:pStyle w:val="740"/>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辅导、培训、评审、咨询服务</w:t>
            </w:r>
            <w:r>
              <w:rPr>
                <w:rFonts w:hint="eastAsia" w:ascii="仿宋" w:hAnsi="仿宋" w:eastAsia="仿宋" w:cs="仿宋"/>
                <w:color w:val="000000"/>
                <w:szCs w:val="21"/>
                <w:highlight w:val="none"/>
              </w:rPr>
            </w:r>
            <w:r/>
          </w:p>
        </w:tc>
        <w:tc>
          <w:tcPr>
            <w:tcW w:w="2787" w:type="dxa"/>
            <w:vAlign w:val="center"/>
            <w:textDirection w:val="lrTb"/>
            <w:noWrap w:val="false"/>
          </w:tcPr>
          <w:p>
            <w:pPr>
              <w:pStyle w:val="740"/>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部门项目标准化分类和标签体系建设培训；部门整体绩效目标编制、审核辅导培训；项目绩效目标编制、审核综合培训；针对市财政局委托的第三方重点绩效评价及其他成本绩效管理试点项目，提供方案和报告的综合指导和质控；针对委托第三方服务项目组织开展专家评审工作；对重点项目自评价复核提供专家再评服务</w:t>
            </w:r>
            <w:r>
              <w:rPr>
                <w:rFonts w:hint="eastAsia" w:ascii="仿宋" w:hAnsi="仿宋" w:eastAsia="仿宋" w:cs="仿宋"/>
                <w:color w:val="000000"/>
                <w:szCs w:val="21"/>
                <w:highlight w:val="none"/>
              </w:rPr>
            </w:r>
            <w:r/>
          </w:p>
        </w:tc>
        <w:tc>
          <w:tcPr>
            <w:tcW w:w="533" w:type="dxa"/>
            <w:vAlign w:val="center"/>
            <w:textDirection w:val="lrTb"/>
            <w:noWrap w:val="false"/>
          </w:tcPr>
          <w:p>
            <w:pPr>
              <w:pStyle w:val="740"/>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12</w:t>
            </w:r>
            <w:r>
              <w:rPr>
                <w:rFonts w:hint="eastAsia" w:ascii="仿宋" w:hAnsi="仿宋" w:eastAsia="仿宋" w:cs="仿宋"/>
                <w:color w:val="000000"/>
                <w:szCs w:val="21"/>
                <w:highlight w:val="none"/>
                <w:lang w:val="en-US" w:eastAsia="zh-CN"/>
              </w:rPr>
            </w:r>
            <w:r/>
          </w:p>
        </w:tc>
        <w:tc>
          <w:tcPr>
            <w:tcW w:w="553" w:type="dxa"/>
            <w:vAlign w:val="center"/>
            <w:vMerge w:val="continue"/>
            <w:textDirection w:val="lrTb"/>
            <w:noWrap w:val="false"/>
          </w:tcPr>
          <w:p>
            <w:pPr>
              <w:pStyle w:val="740"/>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bl>
    <w:p>
      <w:pPr>
        <w:pStyle w:val="740"/>
        <w:ind w:firstLine="480"/>
        <w:keepLines w:val="0"/>
        <w:keepNext w:val="0"/>
        <w:pageBreakBefore w:val="0"/>
        <w:spacing w:line="360" w:lineRule="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响应单位已成交</w:t>
      </w:r>
      <w:r>
        <w:rPr>
          <w:rFonts w:hint="eastAsia" w:ascii="仿宋" w:hAnsi="仿宋" w:eastAsia="仿宋" w:cs="仿宋"/>
          <w:color w:val="000000"/>
          <w:sz w:val="24"/>
          <w:highlight w:val="none"/>
          <w:lang w:val="en-US" w:eastAsia="zh-CN"/>
        </w:rPr>
        <w:t xml:space="preserve">原</w:t>
      </w:r>
      <w:r>
        <w:rPr>
          <w:rFonts w:hint="eastAsia" w:ascii="仿宋" w:hAnsi="仿宋" w:eastAsia="仿宋" w:cs="仿宋"/>
          <w:color w:val="000000"/>
          <w:sz w:val="24"/>
          <w:highlight w:val="none"/>
          <w:lang w:eastAsia="zh-CN"/>
        </w:rPr>
        <w:t xml:space="preserve">2026年太仓市市级财政支出项目等绩效评价管理及监督协审服务（</w:t>
      </w:r>
      <w:r>
        <w:rPr>
          <w:rFonts w:hint="eastAsia" w:ascii="仿宋" w:hAnsi="仿宋" w:eastAsia="仿宋" w:cs="仿宋"/>
          <w:color w:val="000000"/>
          <w:sz w:val="24"/>
          <w:highlight w:val="none"/>
        </w:rPr>
        <w:t xml:space="preserve">项目编号：</w:t>
      </w:r>
      <w:r>
        <w:rPr>
          <w:rFonts w:hint="eastAsia" w:ascii="仿宋" w:hAnsi="仿宋" w:eastAsia="仿宋" w:cs="仿宋"/>
          <w:color w:val="000000"/>
          <w:sz w:val="24"/>
          <w:highlight w:val="none"/>
          <w:lang w:eastAsia="zh-CN"/>
        </w:rPr>
        <w:t xml:space="preserve">JSZC-320585-SZHZ-C2026-000</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lang w:eastAsia="zh-CN"/>
        </w:rPr>
        <w:t xml:space="preserve">）采购包</w:t>
      </w:r>
      <w:r>
        <w:rPr>
          <w:rFonts w:hint="eastAsia" w:ascii="仿宋" w:hAnsi="仿宋" w:eastAsia="仿宋" w:cs="仿宋"/>
          <w:color w:val="000000"/>
          <w:sz w:val="24"/>
          <w:highlight w:val="none"/>
          <w:lang w:val="en-US" w:eastAsia="zh-CN"/>
        </w:rPr>
        <w:t xml:space="preserve">2至采购包4的</w:t>
      </w:r>
      <w:r>
        <w:rPr>
          <w:rFonts w:hint="eastAsia" w:ascii="仿宋" w:hAnsi="仿宋" w:eastAsia="仿宋" w:cs="仿宋"/>
          <w:color w:val="000000"/>
          <w:sz w:val="24"/>
          <w:highlight w:val="none"/>
        </w:rPr>
        <w:t xml:space="preserve">，则不进入</w:t>
      </w:r>
      <w:r>
        <w:rPr>
          <w:rFonts w:hint="eastAsia" w:ascii="仿宋" w:hAnsi="仿宋" w:eastAsia="仿宋" w:cs="仿宋"/>
          <w:color w:val="000000"/>
          <w:sz w:val="24"/>
          <w:highlight w:val="none"/>
          <w:lang w:val="en-US" w:eastAsia="zh-CN"/>
        </w:rPr>
        <w:t xml:space="preserve">本项目</w:t>
      </w:r>
      <w:r>
        <w:rPr>
          <w:rFonts w:hint="eastAsia" w:ascii="仿宋" w:hAnsi="仿宋" w:eastAsia="仿宋" w:cs="仿宋"/>
          <w:color w:val="000000"/>
          <w:sz w:val="24"/>
          <w:highlight w:val="none"/>
        </w:rPr>
        <w:t xml:space="preserve">评审。</w:t>
      </w:r>
      <w:r>
        <w:rPr>
          <w:rFonts w:hint="eastAsia" w:ascii="仿宋" w:hAnsi="仿宋" w:eastAsia="仿宋" w:cs="仿宋"/>
          <w:color w:val="000000"/>
          <w:sz w:val="24"/>
          <w:highlight w:val="none"/>
        </w:rPr>
      </w:r>
      <w:r/>
    </w:p>
    <w:p>
      <w:pPr>
        <w:pStyle w:val="740"/>
        <w:ind w:firstLine="480"/>
        <w:keepLines w:val="0"/>
        <w:keepNext w:val="0"/>
        <w:pageBreakBefore w:val="0"/>
        <w:spacing w:line="360" w:lineRule="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合同履行期限：</w:t>
      </w:r>
      <w:r>
        <w:rPr>
          <w:rFonts w:hint="eastAsia" w:ascii="仿宋" w:hAnsi="仿宋" w:eastAsia="仿宋" w:cs="仿宋"/>
          <w:color w:val="000000"/>
          <w:sz w:val="24"/>
          <w:szCs w:val="24"/>
          <w:highlight w:val="none"/>
          <w:lang w:val="en-US" w:eastAsia="zh-CN" w:bidi="ar-SA"/>
        </w:rPr>
        <w:t xml:space="preserve">成交供应商应在2026年9月30日之前完成服务A、B，并向采购人提交绩效分析报告；在1年内完成服务C。</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本项目不接受联合体投标</w:t>
      </w:r>
      <w:r>
        <w:rPr>
          <w:rFonts w:hint="eastAsia" w:ascii="仿宋" w:hAnsi="仿宋" w:eastAsia="仿宋" w:cs="仿宋"/>
          <w:color w:val="000000"/>
          <w:sz w:val="24"/>
          <w:highlight w:val="none"/>
        </w:rPr>
      </w:r>
      <w:r/>
    </w:p>
    <w:p>
      <w:pPr>
        <w:pStyle w:val="740"/>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二、申请人的资格要求：</w:t>
      </w:r>
      <w:r>
        <w:rPr>
          <w:rFonts w:hint="eastAsia" w:ascii="仿宋" w:hAnsi="仿宋" w:eastAsia="仿宋" w:cs="仿宋"/>
          <w:b/>
          <w:color w:val="000000"/>
          <w:sz w:val="24"/>
          <w:szCs w:val="24"/>
          <w:highlight w:val="none"/>
          <w:lang w:val="en-US" w:eastAsia="zh-CN" w:bidi="ar-SA"/>
        </w:rPr>
      </w:r>
      <w:r/>
    </w:p>
    <w:p>
      <w:pPr>
        <w:pStyle w:val="740"/>
        <w:ind w:firstLine="482"/>
        <w:spacing w:line="360" w:lineRule="auto"/>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  </w:t>
      </w:r>
      <w:r>
        <w:rPr>
          <w:rFonts w:hint="eastAsia" w:ascii="仿宋" w:hAnsi="仿宋" w:eastAsia="仿宋" w:cs="仿宋"/>
          <w:color w:val="000000"/>
          <w:sz w:val="24"/>
          <w:highlight w:val="none"/>
        </w:rPr>
        <w:t xml:space="preserve">1、满足《中华人民共和国政府采购法》第二十二条规定：</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（1）具有独立承担民事责任的能力（提供法人或者其他组织的营业执照等证明文件，自然人的身份证明）；</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（2）具有良好的商业信誉和健全的财务会计制度（</w:t>
      </w:r>
      <w:r>
        <w:rPr>
          <w:rFonts w:hint="eastAsia" w:ascii="仿宋" w:hAnsi="仿宋" w:eastAsia="仿宋" w:cs="仿宋"/>
          <w:color w:val="000000"/>
          <w:sz w:val="24"/>
          <w:szCs w:val="24"/>
          <w:highlight w:val="none"/>
        </w:rPr>
        <w:t xml:space="preserve">提供最近一期的财务状况报告，其他组织、自然人提供银行出具的资信证明</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（3）具有履行合同所必需的设备和专业技术能力（提供履行合同所必需的设备和专业技术能力的证明材料）；</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（5）参加政府采购活动前三年内，在经营活动中没有重大违法记录（提供参加本次政府采购活动前3年内在经营活动中没有重大违法记录的书面声明）；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（6）法律、行政法规规定的其他条件；</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2、落实政府采购政策需满足的资格要求：</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本项目专门面向中小企业采购，根据《政府采购促进中小企业发展管理办法》（财库〔2020〕46号）有关规定，</w:t>
      </w:r>
      <w:r>
        <w:rPr>
          <w:rFonts w:hint="eastAsia" w:ascii="仿宋" w:hAnsi="仿宋" w:eastAsia="仿宋" w:cs="仿宋"/>
          <w:color w:val="000000"/>
          <w:sz w:val="24"/>
          <w:highlight w:val="none"/>
          <w:lang w:eastAsia="zh-CN"/>
        </w:rPr>
        <w:t xml:space="preserve">供应商</w:t>
      </w:r>
      <w:r>
        <w:rPr>
          <w:rFonts w:hint="eastAsia" w:ascii="仿宋" w:hAnsi="仿宋" w:eastAsia="仿宋" w:cs="仿宋"/>
          <w:color w:val="000000"/>
          <w:sz w:val="24"/>
          <w:highlight w:val="none"/>
        </w:rPr>
        <w:t xml:space="preserve">应提供中小企业声明函或残疾人福利性单位声明函或省级以上监狱管理局、戒毒管理局（含新疆生产建设兵团）出具的属于监狱企业的证明文件,否则视为投标无效。</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3、本项目的特定资格要求：</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2.落实政府采购政策需满足的资格要求本项目专门面向中小企业采购，根据《政府采购促进中小企业发展管理办法》（财库〔2020〕46号）有关规定，</w:t>
      </w:r>
      <w:r>
        <w:rPr>
          <w:rFonts w:hint="eastAsia" w:ascii="仿宋" w:hAnsi="仿宋" w:eastAsia="仿宋" w:cs="仿宋"/>
          <w:color w:val="000000"/>
          <w:sz w:val="24"/>
          <w:highlight w:val="none"/>
          <w:lang w:eastAsia="zh-CN"/>
        </w:rPr>
        <w:t xml:space="preserve">供应商</w:t>
      </w:r>
      <w:r>
        <w:rPr>
          <w:rFonts w:hint="eastAsia" w:ascii="仿宋" w:hAnsi="仿宋" w:eastAsia="仿宋" w:cs="仿宋"/>
          <w:color w:val="000000"/>
          <w:sz w:val="24"/>
          <w:highlight w:val="none"/>
        </w:rPr>
        <w:t xml:space="preserve">应提供中小企业声明函或残疾人福利性单位声明函或省级以上监狱管理局、戒毒管理局（含新疆生产建设兵团）出具的属于监狱企业的证明文件,否则视为投标无效。</w:t>
      </w:r>
      <w:r>
        <w:rPr>
          <w:rFonts w:hint="eastAsia" w:ascii="仿宋" w:hAnsi="仿宋" w:eastAsia="仿宋" w:cs="仿宋"/>
          <w:color w:val="000000"/>
          <w:sz w:val="24"/>
          <w:highlight w:val="none"/>
        </w:rPr>
      </w:r>
      <w:r/>
    </w:p>
    <w:p>
      <w:pPr>
        <w:pStyle w:val="740"/>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三、获取采购文件：</w:t>
      </w:r>
      <w:r>
        <w:rPr>
          <w:rFonts w:hint="eastAsia" w:ascii="仿宋" w:hAnsi="仿宋" w:eastAsia="仿宋" w:cs="仿宋"/>
          <w:b/>
          <w:color w:val="000000"/>
          <w:sz w:val="24"/>
          <w:szCs w:val="24"/>
          <w:highlight w:val="none"/>
          <w:lang w:val="en-US" w:eastAsia="zh-CN" w:bidi="ar-SA"/>
        </w:rPr>
      </w:r>
      <w:r/>
    </w:p>
    <w:p>
      <w:pPr>
        <w:pStyle w:val="740"/>
        <w:numPr>
          <w:ilvl w:val="0"/>
          <w:numId w:val="0"/>
        </w:numPr>
        <w:ind w:firstLine="480"/>
        <w:jc w:val="both"/>
        <w:keepLines w:val="0"/>
        <w:keepNext w:val="0"/>
        <w:pageBreakBefore w:val="0"/>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时间：自本公告发布之日起5个工作日</w:t>
      </w:r>
      <w:r>
        <w:rPr>
          <w:rFonts w:hint="eastAsia" w:ascii="仿宋" w:hAnsi="仿宋" w:eastAsia="仿宋" w:cs="仿宋"/>
          <w:bCs/>
          <w:color w:val="000000"/>
          <w:sz w:val="24"/>
          <w:highlight w:val="none"/>
          <w:lang w:val="en-US" w:eastAsia="zh-CN" w:bidi="ar-SA"/>
        </w:rPr>
      </w:r>
      <w:r/>
    </w:p>
    <w:p>
      <w:pPr>
        <w:pStyle w:val="740"/>
        <w:numPr>
          <w:ilvl w:val="0"/>
          <w:numId w:val="0"/>
        </w:numPr>
        <w:ind w:firstLine="480"/>
        <w:jc w:val="both"/>
        <w:keepLines w:val="0"/>
        <w:keepNext w:val="0"/>
        <w:pageBreakBefore w:val="0"/>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地点：“苏采云”系统</w:t>
      </w:r>
      <w:r>
        <w:rPr>
          <w:rFonts w:hint="eastAsia" w:ascii="仿宋" w:hAnsi="仿宋" w:eastAsia="仿宋" w:cs="仿宋"/>
          <w:bCs/>
          <w:color w:val="000000"/>
          <w:sz w:val="24"/>
          <w:highlight w:val="none"/>
          <w:lang w:val="en-US" w:eastAsia="zh-CN" w:bidi="ar-SA"/>
        </w:rPr>
      </w:r>
      <w:r/>
    </w:p>
    <w:p>
      <w:pPr>
        <w:pStyle w:val="740"/>
        <w:numPr>
          <w:ilvl w:val="0"/>
          <w:numId w:val="0"/>
        </w:numPr>
        <w:ind w:firstLine="480"/>
        <w:jc w:val="both"/>
        <w:keepLines w:val="0"/>
        <w:keepNext w:val="0"/>
        <w:pageBreakBefore w:val="0"/>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方式：自行下载</w:t>
      </w:r>
      <w:r>
        <w:rPr>
          <w:rFonts w:hint="eastAsia" w:ascii="仿宋" w:hAnsi="仿宋" w:eastAsia="仿宋" w:cs="仿宋"/>
          <w:bCs/>
          <w:color w:val="000000"/>
          <w:sz w:val="24"/>
          <w:highlight w:val="none"/>
          <w:lang w:val="en-US" w:eastAsia="zh-CN" w:bidi="ar-SA"/>
        </w:rPr>
      </w:r>
      <w:r/>
    </w:p>
    <w:p>
      <w:pPr>
        <w:pStyle w:val="740"/>
        <w:numPr>
          <w:ilvl w:val="0"/>
          <w:numId w:val="0"/>
        </w:numPr>
        <w:ind w:firstLine="480"/>
        <w:jc w:val="both"/>
        <w:keepLines w:val="0"/>
        <w:keepNext w:val="0"/>
        <w:pageBreakBefore w:val="0"/>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售价：0.00元</w:t>
      </w:r>
      <w:r>
        <w:rPr>
          <w:rFonts w:hint="eastAsia" w:ascii="仿宋" w:hAnsi="仿宋" w:eastAsia="仿宋" w:cs="仿宋"/>
          <w:bCs/>
          <w:color w:val="000000"/>
          <w:sz w:val="24"/>
          <w:highlight w:val="none"/>
          <w:lang w:val="en-US" w:eastAsia="zh-CN" w:bidi="ar-SA"/>
        </w:rPr>
      </w:r>
      <w:r/>
    </w:p>
    <w:p>
      <w:pPr>
        <w:pStyle w:val="740"/>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四、提交响应文件截止时间、开标时间和地点</w:t>
      </w:r>
      <w:r>
        <w:rPr>
          <w:rFonts w:hint="eastAsia" w:ascii="仿宋" w:hAnsi="仿宋" w:eastAsia="仿宋" w:cs="仿宋"/>
          <w:b/>
          <w:color w:val="000000"/>
          <w:sz w:val="24"/>
          <w:szCs w:val="24"/>
          <w:highlight w:val="none"/>
          <w:lang w:val="en-US" w:eastAsia="zh-CN" w:bidi="ar-SA"/>
        </w:rPr>
      </w:r>
      <w:r/>
    </w:p>
    <w:p>
      <w:pPr>
        <w:pStyle w:val="740"/>
        <w:numPr>
          <w:ilvl w:val="0"/>
          <w:numId w:val="0"/>
        </w:numPr>
        <w:ind w:firstLine="480"/>
        <w:jc w:val="both"/>
        <w:keepLines w:val="0"/>
        <w:keepNext w:val="0"/>
        <w:pageBreakBefore w:val="0"/>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时间：2026-05-18 09:30 （北京时间）</w:t>
      </w:r>
      <w:r>
        <w:rPr>
          <w:rFonts w:hint="eastAsia" w:ascii="仿宋" w:hAnsi="仿宋" w:eastAsia="仿宋" w:cs="仿宋"/>
          <w:bCs/>
          <w:color w:val="000000"/>
          <w:sz w:val="24"/>
          <w:highlight w:val="none"/>
          <w:lang w:val="en-US" w:eastAsia="zh-CN" w:bidi="ar-SA"/>
        </w:rPr>
      </w:r>
      <w:r/>
    </w:p>
    <w:p>
      <w:pPr>
        <w:pStyle w:val="740"/>
        <w:numPr>
          <w:ilvl w:val="0"/>
          <w:numId w:val="0"/>
        </w:numPr>
        <w:ind w:firstLine="480"/>
        <w:jc w:val="both"/>
        <w:keepLines w:val="0"/>
        <w:keepNext w:val="0"/>
        <w:pageBreakBefore w:val="0"/>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地点：“苏采云”系统</w:t>
      </w:r>
      <w:r>
        <w:rPr>
          <w:rFonts w:hint="eastAsia" w:ascii="仿宋" w:hAnsi="仿宋" w:eastAsia="仿宋" w:cs="仿宋"/>
          <w:bCs/>
          <w:color w:val="000000"/>
          <w:sz w:val="24"/>
          <w:highlight w:val="none"/>
          <w:lang w:val="en-US" w:eastAsia="zh-CN" w:bidi="ar-SA"/>
        </w:rPr>
      </w:r>
      <w:r/>
    </w:p>
    <w:p>
      <w:pPr>
        <w:pStyle w:val="740"/>
        <w:ind w:firstLine="482"/>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五、公告期限</w:t>
      </w:r>
      <w:r>
        <w:rPr>
          <w:rFonts w:hint="eastAsia" w:ascii="仿宋" w:hAnsi="仿宋" w:eastAsia="仿宋" w:cs="仿宋"/>
          <w:color w:val="000000"/>
          <w:sz w:val="24"/>
          <w:szCs w:val="24"/>
          <w:highlight w:val="none"/>
          <w:lang w:val="en-US" w:eastAsia="zh-CN" w:bidi="ar-SA"/>
        </w:rPr>
      </w:r>
      <w:r/>
    </w:p>
    <w:p>
      <w:pPr>
        <w:pStyle w:val="740"/>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自本公告发布之日起5个工作日。</w:t>
      </w:r>
      <w:r>
        <w:rPr>
          <w:rFonts w:hint="eastAsia" w:ascii="仿宋" w:hAnsi="仿宋" w:eastAsia="仿宋" w:cs="仿宋"/>
          <w:color w:val="000000"/>
          <w:sz w:val="24"/>
          <w:szCs w:val="24"/>
          <w:highlight w:val="none"/>
          <w:lang w:val="en-US" w:eastAsia="zh-CN" w:bidi="ar-SA"/>
        </w:rPr>
      </w:r>
      <w:r/>
    </w:p>
    <w:p>
      <w:pPr>
        <w:pStyle w:val="740"/>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六、其他补充事宜：</w:t>
      </w:r>
      <w:r>
        <w:rPr>
          <w:rFonts w:hint="eastAsia" w:ascii="仿宋" w:hAnsi="仿宋" w:eastAsia="仿宋" w:cs="仿宋"/>
          <w:b/>
          <w:color w:val="000000"/>
          <w:sz w:val="24"/>
          <w:szCs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1、本项目需要使用CA数字证书制作、上传电子响应文件完成电子投标，请供应商在参加投标活动前办理好CA数字证书申领及电子签章等操作。</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2、供应商登陆“苏采云”系统后选择要参与的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3、本项目采用不见面开标，供应商开标时无需到开标现场进行解密，采取网上开标大厅解密电子响应文件，供应商远程解密要求如下：</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1）供应商使用CA数字证书进行远程解密，解密的CA数字证书与生成加密电子响应文件时的CA数字证书需为同一个CA数字证书，否则无法解密，造成的后果由供应商自行负责。</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2）供应商登录苏采云系统，点击开标大厅，选择开标项目，完成不见面开标流程。</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3）投标截止时间后根据系统提示解密电子响应文件。解密时间为15分钟，未在规定时间内完成解密，其响应文件将被拒绝，不参与后续投标流程。</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4）在开标、评标过程中供应商代表须在网上不见面开标系统中保持在线状态，以应对可能发生的澄清、说明等回复，由于供应商代表不在线所造成的一切后果由供应商自行承担。</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5、有关供应商注册、报名、下载电子采购文件、制作上传电子响应文件、不见面开标及其他注意事项登录苏州政府采购网，在“下载中心”栏目下载“苏采云系统供应商操作手册”查阅。</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6、有关办理CA数字申领及电子签章事项，登录苏州政府采购网，点击页面底部苏采云图标，进入苏采云政府采购一体化平台，下载“新CA办理指南”文件查阅。</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7、有关电子投标制作技术疑问，请咨询苏采云软件公司客服：18261002950、0512-69820854、0519-86722802</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8、政府采购监督电话：0512-53512539</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9、本次磋商保证金：本项目无须缴纳磋商保证金。</w:t>
      </w:r>
      <w:r>
        <w:rPr>
          <w:rFonts w:hint="eastAsia" w:ascii="仿宋" w:hAnsi="仿宋" w:eastAsia="仿宋" w:cs="仿宋"/>
          <w:bCs/>
          <w:color w:val="000000"/>
          <w:sz w:val="24"/>
          <w:highlight w:val="none"/>
          <w:lang w:val="en-US" w:eastAsia="zh-CN" w:bidi="ar-SA"/>
        </w:rPr>
      </w:r>
      <w:r/>
    </w:p>
    <w:p>
      <w:pPr>
        <w:pStyle w:val="740"/>
        <w:ind w:firstLine="480"/>
        <w:jc w:val="left"/>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10、政府采购信用融资政策：中标供应商可凭政府采购合同办理融资贷款，详情请见江苏政府采购网“政采贷”专栏。</w:t>
      </w:r>
      <w:r>
        <w:rPr>
          <w:rFonts w:hint="eastAsia" w:ascii="仿宋" w:hAnsi="仿宋" w:eastAsia="仿宋" w:cs="仿宋"/>
          <w:bCs/>
          <w:color w:val="000000"/>
          <w:sz w:val="24"/>
          <w:highlight w:val="none"/>
          <w:lang w:val="en-US" w:eastAsia="zh-CN" w:bidi="ar-SA"/>
        </w:rPr>
        <w:br w:type="textWrapping" w:clear="all"/>
      </w:r>
      <w:r>
        <w:rPr>
          <w:rFonts w:hint="eastAsia" w:ascii="仿宋" w:hAnsi="仿宋" w:eastAsia="仿宋" w:cs="仿宋"/>
          <w:bCs/>
          <w:color w:val="000000"/>
          <w:sz w:val="24"/>
          <w:highlight w:val="none"/>
          <w:lang w:val="en-US" w:eastAsia="zh-CN" w:bidi="ar-SA"/>
        </w:rPr>
        <w:t xml:space="preserve">    11、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hint="eastAsia" w:ascii="仿宋" w:hAnsi="仿宋" w:eastAsia="仿宋" w:cs="仿宋"/>
          <w:bCs/>
          <w:color w:val="000000"/>
          <w:sz w:val="24"/>
          <w:highlight w:val="none"/>
          <w:lang w:val="en-US" w:eastAsia="zh-CN" w:bidi="ar-SA"/>
        </w:rPr>
      </w:r>
      <w:r/>
    </w:p>
    <w:p>
      <w:pPr>
        <w:pStyle w:val="740"/>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七、对本次招标提出询问，请按以下方式联系。</w:t>
      </w:r>
      <w:r>
        <w:rPr>
          <w:rFonts w:hint="eastAsia" w:ascii="仿宋" w:hAnsi="仿宋" w:eastAsia="仿宋" w:cs="仿宋"/>
          <w:b/>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1.采购人信息</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名称：太仓市财政局</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地址：太仓市县府东街99号</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联系方式：0512-53537923</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2.采购代</w:t>
      </w:r>
      <w:r>
        <w:rPr>
          <w:rFonts w:hint="eastAsia" w:ascii="仿宋" w:hAnsi="仿宋" w:eastAsia="仿宋" w:cs="仿宋"/>
          <w:color w:val="000000"/>
          <w:sz w:val="24"/>
          <w:highlight w:val="none"/>
        </w:rPr>
        <w:t xml:space="preserve">理机构信息</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名称：苏州恒中造价师事务所有限责任公司</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地址：苏州市太仓市公正路11号联合大厦20楼</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联系人：罗来山</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联系方式：81606981-8007</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3.项目联系方式</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项目联系人：罗来山</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电话：15806229451</w:t>
      </w:r>
      <w:r>
        <w:rPr>
          <w:rFonts w:hint="eastAsia" w:ascii="仿宋" w:hAnsi="仿宋" w:eastAsia="仿宋" w:cs="仿宋"/>
          <w:color w:val="000000"/>
          <w:sz w:val="24"/>
          <w:highlight w:val="none"/>
        </w:rPr>
      </w:r>
      <w:r/>
    </w:p>
    <w:p>
      <w:pPr>
        <w:pStyle w:val="75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5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5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0"/>
        <w:rPr>
          <w:rFonts w:hint="eastAsia"/>
          <w:highlight w:val="none"/>
        </w:rPr>
      </w:pPr>
      <w:r>
        <w:rPr>
          <w:rFonts w:hint="eastAsia"/>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left="0" w:firstLine="0"/>
        <w:rPr>
          <w:rFonts w:hint="eastAsia" w:ascii="宋体" w:hAnsi="宋体"/>
          <w:color w:val="000000"/>
          <w:sz w:val="24"/>
          <w:highlight w:val="none"/>
        </w:rPr>
      </w:pPr>
      <w:r>
        <w:rPr>
          <w:rFonts w:hint="eastAsia" w:ascii="宋体" w:hAnsi="宋体"/>
          <w:color w:val="000000"/>
          <w:sz w:val="24"/>
          <w:highlight w:val="none"/>
        </w:rPr>
      </w:r>
      <w:r/>
    </w:p>
    <w:p>
      <w:pPr>
        <w:pStyle w:val="801"/>
        <w:ind w:left="0"/>
        <w:jc w:val="center"/>
        <w:spacing w:line="240" w:lineRule="auto"/>
        <w:tabs>
          <w:tab w:val="right" w:pos="9022" w:leader="dot"/>
        </w:tabs>
        <w:rPr>
          <w:rFonts w:hint="eastAsia" w:ascii="Times New Roman" w:hAnsi="Times New Roman" w:eastAsia="宋体" w:cs="Times New Roman"/>
          <w:b/>
          <w:color w:val="000000"/>
          <w:sz w:val="44"/>
          <w:szCs w:val="44"/>
          <w:highlight w:val="none"/>
          <w:lang w:val="en-US" w:eastAsia="zh-CN" w:bidi="ar-SA"/>
        </w:rPr>
      </w:pPr>
      <w:r/>
      <w:bookmarkEnd w:id="1"/>
      <w:r/>
      <w:bookmarkEnd w:id="2"/>
      <w:r/>
      <w:bookmarkStart w:id="3" w:name="_Toc73000674"/>
      <w:r/>
      <w:bookmarkStart w:id="4" w:name="_Toc11400"/>
      <w:r/>
      <w:bookmarkStart w:id="5" w:name="_Toc68611035"/>
      <w:r/>
      <w:bookmarkStart w:id="6" w:name="_Toc1483"/>
      <w:r/>
      <w:bookmarkStart w:id="7" w:name="_Toc410207683"/>
      <w:r>
        <w:rPr>
          <w:rFonts w:hint="eastAsia" w:ascii="Times New Roman" w:hAnsi="Times New Roman" w:eastAsia="宋体" w:cs="Times New Roman"/>
          <w:b/>
          <w:color w:val="000000"/>
          <w:sz w:val="44"/>
          <w:szCs w:val="44"/>
          <w:highlight w:val="none"/>
          <w:lang w:val="en-US" w:eastAsia="zh-CN" w:bidi="ar-SA"/>
        </w:rPr>
        <w:t xml:space="preserve">第二章 </w:t>
      </w:r>
      <w:bookmarkStart w:id="8" w:name="投标人须知"/>
      <w:r/>
      <w:bookmarkEnd w:id="8"/>
      <w:r>
        <w:rPr>
          <w:rFonts w:hint="eastAsia" w:ascii="Times New Roman" w:hAnsi="Times New Roman" w:eastAsia="宋体" w:cs="Times New Roman"/>
          <w:b/>
          <w:color w:val="000000"/>
          <w:sz w:val="44"/>
          <w:szCs w:val="44"/>
          <w:highlight w:val="none"/>
          <w:lang w:val="en-US" w:eastAsia="zh-CN" w:bidi="ar-SA"/>
        </w:rPr>
        <w:t xml:space="preserve">磋商须知</w:t>
      </w:r>
      <w:bookmarkEnd w:id="3"/>
      <w:r/>
      <w:bookmarkEnd w:id="4"/>
      <w:r/>
      <w:bookmarkEnd w:id="5"/>
      <w:r/>
      <w:bookmarkEnd w:id="6"/>
      <w:r>
        <w:rPr>
          <w:rFonts w:hint="eastAsia" w:ascii="Times New Roman" w:hAnsi="Times New Roman" w:eastAsia="宋体" w:cs="Times New Roman"/>
          <w:b/>
          <w:color w:val="000000"/>
          <w:sz w:val="44"/>
          <w:szCs w:val="44"/>
          <w:highlight w:val="none"/>
          <w:lang w:val="en-US" w:eastAsia="zh-CN" w:bidi="ar-SA"/>
        </w:rPr>
      </w:r>
      <w:r/>
    </w:p>
    <w:p>
      <w:pPr>
        <w:pStyle w:val="766"/>
        <w:ind w:firstLine="482"/>
        <w:keepLines w:val="0"/>
        <w:keepNext w:val="0"/>
        <w:pageBreakBefore w:val="0"/>
        <w:spacing w:before="361" w:line="360" w:lineRule="auto"/>
        <w:widowControl w:val="off"/>
        <w:rPr>
          <w:rFonts w:hint="eastAsia" w:ascii="仿宋" w:hAnsi="仿宋" w:eastAsia="仿宋" w:cs="仿宋"/>
          <w:b/>
          <w:color w:val="000000"/>
          <w:sz w:val="24"/>
          <w:szCs w:val="24"/>
          <w:highlight w:val="none"/>
        </w:rPr>
      </w:pPr>
      <w:r/>
      <w:bookmarkStart w:id="9" w:name="_Toc7264"/>
      <w:r/>
      <w:bookmarkStart w:id="10" w:name="_Toc58248881"/>
      <w:r/>
      <w:bookmarkStart w:id="11" w:name="_Toc24711"/>
      <w:r/>
      <w:bookmarkStart w:id="12" w:name="_Toc57376407"/>
      <w:r>
        <w:rPr>
          <w:rFonts w:hint="eastAsia" w:ascii="仿宋" w:hAnsi="仿宋" w:eastAsia="仿宋" w:cs="仿宋"/>
          <w:b/>
          <w:color w:val="000000"/>
          <w:sz w:val="24"/>
          <w:szCs w:val="24"/>
          <w:highlight w:val="none"/>
        </w:rPr>
        <w:t xml:space="preserve">一、响应文件的组成及要求</w:t>
      </w:r>
      <w:r>
        <w:rPr>
          <w:rFonts w:hint="eastAsia" w:ascii="仿宋" w:hAnsi="仿宋" w:eastAsia="仿宋" w:cs="仿宋"/>
          <w:b/>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1、封面</w:t>
      </w:r>
      <w:r>
        <w:rPr>
          <w:rFonts w:hint="eastAsia" w:ascii="仿宋" w:hAnsi="仿宋" w:eastAsia="仿宋" w:cs="仿宋"/>
          <w:b/>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2、开标一览表</w:t>
      </w:r>
      <w:r>
        <w:rPr>
          <w:rFonts w:hint="eastAsia" w:ascii="仿宋" w:hAnsi="仿宋" w:eastAsia="仿宋" w:cs="仿宋"/>
          <w:b/>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3、资格审查响应文件</w:t>
      </w:r>
      <w:r>
        <w:rPr>
          <w:rFonts w:hint="eastAsia" w:ascii="仿宋" w:hAnsi="仿宋" w:eastAsia="仿宋" w:cs="仿宋"/>
          <w:b/>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3.1关于资格文件的声明函（格式见第三章）；</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3.2磋商响应单位基本情况表（格式见第三章）；</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3.3磋商响应单位法定代表人身份证复印件；</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3.4法定代表人授权委托书（如有授权，格式见第三章）；</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3.5磋商响应单位授权代理人身份证复印件（如有授权）；</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3.6合格供应商的基本条件</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3.6.1具有独立承担民事责任的能力证明。包括法人或者其他组织的营业执照等证明文件，自然人的身份证明；</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3.6.2具有良好的商业信誉和健全的财务会计制度证明</w:t>
      </w:r>
      <w:r>
        <w:rPr>
          <w:rFonts w:hint="eastAsia" w:ascii="仿宋" w:hAnsi="仿宋" w:eastAsia="仿宋" w:cs="仿宋"/>
          <w:b/>
          <w:color w:val="000000"/>
          <w:sz w:val="24"/>
          <w:szCs w:val="24"/>
          <w:highlight w:val="none"/>
        </w:rPr>
        <w:t xml:space="preserve">（法人应提供最近一期财务报告，其他组织、自然人及成立未满一年的法人应提供银行出具的资信证明）</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3.6.3履行合同所必需的设备和专业技术能力的证明材料或承诺（根据项目需求提供履行合 同所必需的设备和专业技术能力的证明材料）；</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3.6.4有依法缴纳税收和社会保障资金的良好记录</w:t>
      </w:r>
      <w:r>
        <w:rPr>
          <w:rFonts w:hint="eastAsia" w:ascii="仿宋" w:hAnsi="仿宋" w:eastAsia="仿宋" w:cs="仿宋"/>
          <w:b/>
          <w:color w:val="000000"/>
          <w:sz w:val="24"/>
          <w:szCs w:val="24"/>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3.6.5参加政府采购活动前三年内在经营活动中没有重大违法记录的书面声明函；</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3.7《中小企业声明函》或《残疾人福利性单位声明函》或由省级以上监狱管理局、戒毒管理局（含新疆生产建设兵团）出具的属于监狱企业的证明文件；</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3.8其它有关资格证明的文件；</w:t>
      </w:r>
      <w:r>
        <w:rPr>
          <w:rFonts w:hint="eastAsia" w:ascii="仿宋" w:hAnsi="仿宋" w:eastAsia="仿宋" w:cs="仿宋"/>
          <w:bCs/>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4、符合性审查响应文件</w:t>
      </w:r>
      <w:r>
        <w:rPr>
          <w:rFonts w:hint="eastAsia" w:ascii="仿宋" w:hAnsi="仿宋" w:eastAsia="仿宋" w:cs="仿宋"/>
          <w:b/>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4.1磋商响应函（格式见第三章）；</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4.2磋商报价分析表（格式见第三章）；</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4.3偏离表（格式见第三章）；</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4.4项目服务人员配置表（格式见第三章）；</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4.5其他有关符合性证明的文件；</w:t>
      </w:r>
      <w:r>
        <w:rPr>
          <w:rFonts w:hint="eastAsia" w:ascii="仿宋" w:hAnsi="仿宋" w:eastAsia="仿宋" w:cs="仿宋"/>
          <w:color w:val="000000"/>
          <w:sz w:val="24"/>
          <w:szCs w:val="24"/>
          <w:highlight w:val="none"/>
        </w:rPr>
      </w:r>
      <w:r/>
    </w:p>
    <w:p>
      <w:pPr>
        <w:pStyle w:val="766"/>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5、综合评审响应文件</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5.1拟投入复核评价工作组综合能力；</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5.2复核评价工作思路方法适用性；</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 绩效自评价复核工作重点、难点问题阐述和解决措施；</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5.4类似业绩；</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5.5与本次采购相关的其他证明材料；</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6、对属于《节能产品政府采购品目清单》政府强制采购产品的，需提供该产品有效期内的认证等相关证明材料（如有）。</w:t>
      </w:r>
      <w:r>
        <w:rPr>
          <w:rFonts w:hint="eastAsia" w:ascii="仿宋" w:hAnsi="仿宋" w:eastAsia="仿宋" w:cs="仿宋"/>
          <w:bCs/>
          <w:color w:val="000000"/>
          <w:sz w:val="24"/>
          <w:szCs w:val="24"/>
          <w:highlight w:val="none"/>
        </w:rPr>
      </w:r>
      <w:r/>
    </w:p>
    <w:p>
      <w:pPr>
        <w:pStyle w:val="766"/>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注：</w:t>
      </w:r>
      <w:r>
        <w:rPr>
          <w:rFonts w:hint="eastAsia" w:ascii="仿宋" w:hAnsi="仿宋" w:eastAsia="仿宋" w:cs="仿宋"/>
          <w:b/>
          <w:bCs/>
          <w:color w:val="000000"/>
          <w:sz w:val="24"/>
          <w:szCs w:val="24"/>
          <w:highlight w:val="none"/>
        </w:rPr>
        <w:t xml:space="preserve">（1）以上3.1-3.8为资格审查要求提供的材料，是作为对供应商资格审查、质疑身份认定的依据，响应供应商必须提供并加盖电子公章。否则，磋商响应文件将被认定为不符合资格审查要求。</w:t>
      </w:r>
      <w:r>
        <w:rPr>
          <w:rFonts w:hint="eastAsia" w:ascii="仿宋" w:hAnsi="仿宋" w:eastAsia="仿宋" w:cs="仿宋"/>
          <w:b/>
          <w:bCs/>
          <w:color w:val="000000"/>
          <w:sz w:val="24"/>
          <w:szCs w:val="24"/>
          <w:highlight w:val="none"/>
        </w:rPr>
      </w:r>
      <w:r/>
    </w:p>
    <w:p>
      <w:pPr>
        <w:pStyle w:val="766"/>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（2）以上4.1-4.5为符合性审查须提供的资料，响应供应商必须提供并加盖电子公章。否则，磋商响应文件将被认定为未实质性响应。</w:t>
      </w:r>
      <w:r>
        <w:rPr>
          <w:rFonts w:hint="eastAsia" w:ascii="仿宋" w:hAnsi="仿宋" w:eastAsia="仿宋" w:cs="仿宋"/>
          <w:color w:val="000000"/>
          <w:sz w:val="24"/>
          <w:szCs w:val="24"/>
          <w:highlight w:val="none"/>
        </w:rPr>
      </w:r>
      <w:r/>
    </w:p>
    <w:p>
      <w:pPr>
        <w:pStyle w:val="766"/>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（3）制作电子响应文件时必须与</w:t>
      </w:r>
      <w:r>
        <w:rPr>
          <w:rFonts w:hint="eastAsia" w:ascii="仿宋" w:hAnsi="仿宋" w:eastAsia="仿宋" w:cs="仿宋"/>
          <w:b/>
          <w:bCs/>
          <w:color w:val="000000"/>
          <w:sz w:val="24"/>
          <w:szCs w:val="24"/>
          <w:highlight w:val="none"/>
          <w:lang w:eastAsia="zh-CN"/>
        </w:rPr>
        <w:t xml:space="preserve">响应文件</w:t>
      </w:r>
      <w:r>
        <w:rPr>
          <w:rFonts w:hint="eastAsia" w:ascii="仿宋" w:hAnsi="仿宋" w:eastAsia="仿宋" w:cs="仿宋"/>
          <w:b/>
          <w:bCs/>
          <w:color w:val="000000"/>
          <w:sz w:val="24"/>
          <w:szCs w:val="24"/>
          <w:highlight w:val="none"/>
        </w:rPr>
        <w:t xml:space="preserve">制作软件目录一一对应，将相关资料上传至相应模块。</w:t>
      </w:r>
      <w:r>
        <w:rPr>
          <w:rFonts w:hint="eastAsia" w:ascii="仿宋" w:hAnsi="仿宋" w:eastAsia="仿宋" w:cs="仿宋"/>
          <w:b/>
          <w:bCs/>
          <w:color w:val="000000"/>
          <w:sz w:val="24"/>
          <w:szCs w:val="24"/>
          <w:highlight w:val="none"/>
        </w:rPr>
      </w:r>
      <w:r/>
    </w:p>
    <w:p>
      <w:pPr>
        <w:pStyle w:val="766"/>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（4）磋商响应文件编制要求：</w:t>
      </w:r>
      <w:r>
        <w:rPr>
          <w:rFonts w:hint="eastAsia" w:ascii="仿宋" w:hAnsi="仿宋" w:eastAsia="仿宋" w:cs="仿宋"/>
          <w:bCs/>
          <w:color w:val="000000"/>
          <w:sz w:val="24"/>
          <w:szCs w:val="24"/>
          <w:highlight w:val="none"/>
        </w:rPr>
        <w:t xml:space="preserve">本项目采用电子招投标形式，请供应商按照《苏采云系统供应商操作手册》进行制作、上传电子响应文件。</w:t>
      </w:r>
      <w:r>
        <w:rPr>
          <w:rFonts w:hint="eastAsia" w:ascii="仿宋" w:hAnsi="仿宋" w:eastAsia="仿宋" w:cs="仿宋"/>
          <w:b/>
          <w:bCs/>
          <w:color w:val="000000"/>
          <w:sz w:val="24"/>
          <w:szCs w:val="24"/>
          <w:highlight w:val="none"/>
        </w:rPr>
        <w:t xml:space="preserve">电子响应文件制作完成后请于响应文件递交截止时间前成功上传至“苏采云”系统，否则视为放弃参加该采购项目。</w:t>
      </w:r>
      <w:r>
        <w:rPr>
          <w:rFonts w:hint="eastAsia" w:ascii="仿宋" w:hAnsi="仿宋" w:eastAsia="仿宋" w:cs="仿宋"/>
          <w:bCs/>
          <w:color w:val="000000"/>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仿宋" w:hAnsi="仿宋" w:eastAsia="仿宋" w:cs="仿宋"/>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仿宋" w:hAnsi="仿宋" w:eastAsia="仿宋" w:cs="仿宋"/>
          <w:b/>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7、落实政府采购政策需满足的资格要求：</w:t>
      </w:r>
      <w:r>
        <w:rPr>
          <w:rFonts w:hint="eastAsia" w:ascii="仿宋" w:hAnsi="仿宋" w:eastAsia="仿宋" w:cs="仿宋"/>
          <w:b/>
          <w:color w:val="000000"/>
          <w:sz w:val="24"/>
          <w:szCs w:val="24"/>
          <w:highlight w:val="none"/>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8、本项目的特定资格要求：无</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9、联合体及转包、分包：本项目不接受联合体，不得转包、分包本项目。</w:t>
      </w:r>
      <w:r>
        <w:rPr>
          <w:rFonts w:hint="eastAsia" w:ascii="仿宋" w:hAnsi="仿宋" w:eastAsia="仿宋" w:cs="仿宋"/>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二、磋商程序</w:t>
      </w:r>
      <w:r>
        <w:rPr>
          <w:rFonts w:hint="eastAsia" w:ascii="仿宋" w:hAnsi="仿宋" w:eastAsia="仿宋" w:cs="仿宋"/>
          <w:b/>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1、采购代理机构按本须知规定的时间、地点主持磋商采购活动。</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2、供应商通过“苏采云”系统在线参与磋商活动。供应商应当按照《苏采云系统供应商操作手册》规定在 “苏采云”系统规定的时间内对响应文件进行解密。</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3、在磋商响应文件网上递交截止时间止成功解密的磋商供应商少于三家，则本次采购失败。</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4、由磋商小组审查供应商解密的响应文件。</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6、磋商小组要求供应商澄清、说明或者更正响应文件应当以书面形式做出。供应商的澄清、说明或者更正应当由其单位加盖电子公章。</w:t>
      </w:r>
      <w:r>
        <w:rPr>
          <w:rFonts w:hint="eastAsia" w:ascii="仿宋" w:hAnsi="仿宋" w:eastAsia="仿宋" w:cs="仿宋"/>
          <w:color w:val="000000"/>
          <w:sz w:val="24"/>
          <w:szCs w:val="24"/>
          <w:highlight w:val="none"/>
        </w:rPr>
      </w:r>
      <w:r/>
    </w:p>
    <w:p>
      <w:pPr>
        <w:pStyle w:val="89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仿宋" w:hAnsi="仿宋" w:eastAsia="仿宋" w:cs="仿宋"/>
          <w:color w:val="000000"/>
          <w:sz w:val="24"/>
          <w:szCs w:val="24"/>
          <w:highlight w:val="none"/>
        </w:rPr>
        <w:t xml:space="preserve">(</w:t>
      </w:r>
      <w:r>
        <w:rPr>
          <w:rFonts w:hint="eastAsia" w:ascii="仿宋" w:hAnsi="仿宋" w:eastAsia="仿宋" w:cs="仿宋"/>
          <w:b/>
          <w:color w:val="000000"/>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仿宋" w:hAnsi="仿宋" w:eastAsia="仿宋" w:cs="仿宋"/>
          <w:b/>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7、对于通过资格审查和符合性审查的供应商，磋商小组所有成员集中与单一供应商分别进行磋商，并给予所有参加磋商的供应商平等的磋商机会。</w:t>
      </w:r>
      <w:r>
        <w:rPr>
          <w:rFonts w:hint="eastAsia" w:ascii="仿宋" w:hAnsi="仿宋" w:eastAsia="仿宋" w:cs="仿宋"/>
          <w:b/>
          <w:color w:val="000000"/>
          <w:sz w:val="24"/>
          <w:szCs w:val="24"/>
          <w:highlight w:val="none"/>
        </w:rPr>
        <w:t xml:space="preserve">磋商小组通过“苏采云”系统向供应商发布“磋商函”，供应商应当按照要求在“苏采云”系统提交“磋商响应函”并加盖CA电子公章。</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b/>
          <w:color w:val="000000"/>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仿宋" w:hAnsi="仿宋" w:eastAsia="仿宋" w:cs="仿宋"/>
          <w:b/>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仿宋" w:hAnsi="仿宋" w:eastAsia="仿宋" w:cs="仿宋"/>
          <w:b/>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仿宋" w:hAnsi="仿宋" w:eastAsia="仿宋" w:cs="仿宋"/>
          <w:b/>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仿宋" w:hAnsi="仿宋" w:eastAsia="仿宋" w:cs="仿宋"/>
          <w:b/>
          <w:color w:val="000000"/>
          <w:sz w:val="24"/>
          <w:szCs w:val="24"/>
          <w:highlight w:val="none"/>
        </w:rPr>
      </w:r>
      <w:r/>
    </w:p>
    <w:p>
      <w:pPr>
        <w:pStyle w:val="766"/>
        <w:ind w:firstLine="480"/>
        <w:spacing w:line="360" w:lineRule="auto"/>
        <w:rPr>
          <w:rFonts w:hint="eastAsia" w:ascii="仿宋" w:hAnsi="仿宋" w:eastAsia="仿宋" w:cs="仿宋"/>
          <w:b/>
          <w:bCs/>
          <w:color w:val="000000"/>
          <w:sz w:val="24"/>
          <w:szCs w:val="24"/>
          <w:highlight w:val="none"/>
          <w:lang w:val="zh-CN"/>
        </w:rPr>
      </w:pPr>
      <w:r/>
      <w:bookmarkStart w:id="13" w:name="OLE_LINK20"/>
      <w:r>
        <w:rPr>
          <w:rFonts w:hint="eastAsia" w:ascii="仿宋" w:hAnsi="仿宋" w:eastAsia="仿宋" w:cs="仿宋"/>
          <w:b/>
          <w:bCs/>
          <w:color w:val="000000"/>
          <w:sz w:val="24"/>
          <w:szCs w:val="24"/>
          <w:highlight w:val="none"/>
          <w:lang w:val="zh-CN"/>
        </w:rPr>
        <w:t xml:space="preserve">11、异常低价响应审查</w:t>
      </w:r>
      <w:r>
        <w:rPr>
          <w:rFonts w:hint="eastAsia" w:ascii="仿宋" w:hAnsi="仿宋" w:eastAsia="仿宋" w:cs="仿宋"/>
          <w:b/>
          <w:bCs/>
          <w:color w:val="000000"/>
          <w:sz w:val="24"/>
          <w:szCs w:val="24"/>
          <w:highlight w:val="none"/>
          <w:lang w:val="zh-CN"/>
        </w:rPr>
      </w:r>
      <w:r/>
    </w:p>
    <w:p>
      <w:pPr>
        <w:pStyle w:val="766"/>
        <w:ind w:firstLine="480"/>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11.1评审过程中出现下列情形之一的，磋商小组应当启动异常低价响应审查程序：</w:t>
      </w:r>
      <w:r>
        <w:rPr>
          <w:rFonts w:hint="eastAsia" w:ascii="仿宋" w:hAnsi="仿宋" w:eastAsia="仿宋" w:cs="仿宋"/>
          <w:b/>
          <w:bCs/>
          <w:color w:val="000000"/>
          <w:sz w:val="24"/>
          <w:szCs w:val="24"/>
          <w:highlight w:val="none"/>
          <w:lang w:val="en-US"/>
        </w:rPr>
      </w:r>
      <w:r/>
    </w:p>
    <w:p>
      <w:pPr>
        <w:pStyle w:val="766"/>
        <w:ind w:firstLine="480"/>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（1）响应报价低于采购项目预算50%的，即响应报价&lt;采购项目预算×50%；</w:t>
      </w:r>
      <w:r>
        <w:rPr>
          <w:rFonts w:hint="eastAsia" w:ascii="仿宋" w:hAnsi="仿宋" w:eastAsia="仿宋" w:cs="仿宋"/>
          <w:b/>
          <w:bCs/>
          <w:color w:val="000000"/>
          <w:sz w:val="24"/>
          <w:szCs w:val="24"/>
          <w:highlight w:val="none"/>
          <w:lang w:val="en-US"/>
        </w:rPr>
      </w:r>
      <w:r/>
    </w:p>
    <w:p>
      <w:pPr>
        <w:pStyle w:val="766"/>
        <w:ind w:firstLine="480"/>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（2）响应报价低于采购项目最高限价45%的，即响应报价&lt;采购项目最高限价×45%；</w:t>
      </w:r>
      <w:r>
        <w:rPr>
          <w:rFonts w:hint="eastAsia" w:ascii="仿宋" w:hAnsi="仿宋" w:eastAsia="仿宋" w:cs="仿宋"/>
          <w:b/>
          <w:bCs/>
          <w:color w:val="000000"/>
          <w:sz w:val="24"/>
          <w:szCs w:val="24"/>
          <w:highlight w:val="none"/>
          <w:lang w:val="en-US"/>
        </w:rPr>
      </w:r>
      <w:r/>
    </w:p>
    <w:p>
      <w:pPr>
        <w:pStyle w:val="766"/>
        <w:ind w:firstLine="480"/>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（3）</w:t>
      </w:r>
      <w:bookmarkStart w:id="14" w:name="OLE_LINK15"/>
      <w:r/>
      <w:bookmarkStart w:id="15" w:name="OLE_LINK14"/>
      <w:r>
        <w:rPr>
          <w:rFonts w:hint="eastAsia" w:ascii="仿宋" w:hAnsi="仿宋" w:eastAsia="仿宋" w:cs="仿宋"/>
          <w:b/>
          <w:bCs/>
          <w:color w:val="000000"/>
          <w:sz w:val="24"/>
          <w:szCs w:val="24"/>
          <w:highlight w:val="none"/>
          <w:lang w:val="en-US"/>
        </w:rPr>
        <w:t xml:space="preserve">磋商小组</w:t>
      </w:r>
      <w:bookmarkEnd w:id="14"/>
      <w:r/>
      <w:bookmarkEnd w:id="15"/>
      <w:r>
        <w:rPr>
          <w:rFonts w:hint="eastAsia" w:ascii="仿宋" w:hAnsi="仿宋" w:eastAsia="仿宋" w:cs="仿宋"/>
          <w:b/>
          <w:bCs/>
          <w:color w:val="000000"/>
          <w:sz w:val="24"/>
          <w:szCs w:val="24"/>
          <w:highlight w:val="none"/>
          <w:lang w:val="en-US"/>
        </w:rPr>
        <w:t xml:space="preserve">认定的供应商报价过低、有可能影响产品质量或者不能诚信履约的其他情形。</w:t>
      </w:r>
      <w:r>
        <w:rPr>
          <w:rFonts w:hint="eastAsia" w:ascii="仿宋" w:hAnsi="仿宋" w:eastAsia="仿宋" w:cs="仿宋"/>
          <w:b/>
          <w:bCs/>
          <w:color w:val="000000"/>
          <w:sz w:val="24"/>
          <w:szCs w:val="24"/>
          <w:highlight w:val="none"/>
          <w:lang w:val="en-US"/>
        </w:rPr>
      </w:r>
      <w:r/>
    </w:p>
    <w:p>
      <w:pPr>
        <w:pStyle w:val="766"/>
        <w:ind w:firstLine="480"/>
        <w:spacing w:line="360" w:lineRule="auto"/>
        <w:rPr>
          <w:rFonts w:hint="eastAsia" w:ascii="仿宋" w:hAnsi="仿宋" w:eastAsia="仿宋" w:cs="仿宋"/>
          <w:b/>
          <w:bCs/>
          <w:color w:val="000000"/>
          <w:sz w:val="24"/>
          <w:szCs w:val="24"/>
          <w:highlight w:val="none"/>
          <w:lang w:val="en-US"/>
        </w:rPr>
      </w:pPr>
      <w:r/>
      <w:bookmarkStart w:id="16" w:name="OLE_LINK4"/>
      <w:r>
        <w:rPr>
          <w:rFonts w:hint="eastAsia" w:ascii="仿宋" w:hAnsi="仿宋" w:eastAsia="仿宋" w:cs="仿宋"/>
          <w:b/>
          <w:bCs/>
          <w:color w:val="000000"/>
          <w:sz w:val="24"/>
          <w:szCs w:val="24"/>
          <w:highlight w:val="none"/>
          <w:lang w:val="zh-CN"/>
        </w:rPr>
        <w:t xml:space="preserve">11.2启动异常低价响应审查后，</w:t>
      </w:r>
      <w:r>
        <w:rPr>
          <w:rFonts w:hint="eastAsia" w:ascii="仿宋" w:hAnsi="仿宋" w:eastAsia="仿宋" w:cs="仿宋"/>
          <w:b/>
          <w:bCs/>
          <w:color w:val="000000"/>
          <w:sz w:val="24"/>
          <w:szCs w:val="24"/>
          <w:highlight w:val="none"/>
          <w:lang w:val="en-US"/>
        </w:rPr>
        <w:t xml:space="preserve">磋商小组</w:t>
      </w:r>
      <w:r>
        <w:rPr>
          <w:rFonts w:hint="eastAsia" w:ascii="仿宋" w:hAnsi="仿宋" w:eastAsia="仿宋" w:cs="仿宋"/>
          <w:b/>
          <w:bCs/>
          <w:color w:val="000000"/>
          <w:sz w:val="24"/>
          <w:szCs w:val="24"/>
          <w:highlight w:val="none"/>
          <w:lang w:val="zh-CN"/>
        </w:rPr>
        <w:t xml:space="preserve">应当要求相关供应商在评审现场合理的时间内，提供项目具体成本测算等与报价合理性相关的书面说明及相关证明材料</w:t>
      </w:r>
      <w:bookmarkStart w:id="17" w:name="OLE_LINK10"/>
      <w:r/>
      <w:bookmarkStart w:id="18" w:name="OLE_LINK9"/>
      <w:r>
        <w:rPr>
          <w:rFonts w:hint="eastAsia" w:ascii="仿宋" w:hAnsi="仿宋" w:eastAsia="仿宋" w:cs="仿宋"/>
          <w:b/>
          <w:bCs/>
          <w:color w:val="000000"/>
          <w:sz w:val="24"/>
          <w:szCs w:val="24"/>
          <w:highlight w:val="none"/>
          <w:lang w:val="zh-CN"/>
        </w:rPr>
        <w:t xml:space="preserve">，</w:t>
      </w:r>
      <w:bookmarkEnd w:id="17"/>
      <w:r/>
      <w:bookmarkEnd w:id="18"/>
      <w:r>
        <w:rPr>
          <w:rFonts w:hint="eastAsia" w:ascii="仿宋" w:hAnsi="仿宋" w:eastAsia="仿宋" w:cs="仿宋"/>
          <w:b/>
          <w:bCs/>
          <w:color w:val="000000"/>
          <w:sz w:val="24"/>
          <w:szCs w:val="24"/>
          <w:highlight w:val="none"/>
          <w:lang w:val="zh-CN"/>
        </w:rPr>
        <w:t xml:space="preserve">对响应价格作出解释，由</w:t>
      </w:r>
      <w:r>
        <w:rPr>
          <w:rFonts w:hint="eastAsia" w:ascii="仿宋" w:hAnsi="仿宋" w:eastAsia="仿宋" w:cs="仿宋"/>
          <w:b/>
          <w:bCs/>
          <w:color w:val="000000"/>
          <w:sz w:val="24"/>
          <w:szCs w:val="24"/>
          <w:highlight w:val="none"/>
          <w:lang w:val="en-US"/>
        </w:rPr>
        <w:t xml:space="preserve">磋商小组</w:t>
      </w:r>
      <w:r>
        <w:rPr>
          <w:rFonts w:hint="eastAsia" w:ascii="仿宋" w:hAnsi="仿宋" w:eastAsia="仿宋" w:cs="仿宋"/>
          <w:b/>
          <w:bCs/>
          <w:color w:val="000000"/>
          <w:sz w:val="24"/>
          <w:szCs w:val="24"/>
          <w:highlight w:val="none"/>
          <w:lang w:val="zh-CN"/>
        </w:rPr>
        <w:t xml:space="preserve">结合同类产品在主要电商平台的价格、该行业当地</w:t>
      </w:r>
      <w:bookmarkStart w:id="19" w:name="OLE_LINK8"/>
      <w:r/>
      <w:bookmarkStart w:id="20" w:name="OLE_LINK7"/>
      <w:r>
        <w:rPr>
          <w:rFonts w:hint="eastAsia" w:ascii="仿宋" w:hAnsi="仿宋" w:eastAsia="仿宋" w:cs="仿宋"/>
          <w:b/>
          <w:bCs/>
          <w:color w:val="000000"/>
          <w:sz w:val="24"/>
          <w:szCs w:val="24"/>
          <w:highlight w:val="none"/>
          <w:lang w:val="zh-CN"/>
        </w:rPr>
        <w:t xml:space="preserve">薪资</w:t>
      </w:r>
      <w:bookmarkEnd w:id="19"/>
      <w:r/>
      <w:bookmarkEnd w:id="20"/>
      <w:r>
        <w:rPr>
          <w:rFonts w:hint="eastAsia" w:ascii="仿宋" w:hAnsi="仿宋" w:eastAsia="仿宋" w:cs="仿宋"/>
          <w:b/>
          <w:bCs/>
          <w:color w:val="000000"/>
          <w:sz w:val="24"/>
          <w:szCs w:val="24"/>
          <w:highlight w:val="none"/>
          <w:lang w:val="zh-CN"/>
        </w:rPr>
        <w:t xml:space="preserve">水平等情况，依据专业经验对供应商报价合理性进行判断。响应供应商不提供书面说明、证明材料，或者提供的书面说明、证明材料不能证明其报价合理性的，</w:t>
      </w:r>
      <w:r>
        <w:rPr>
          <w:rFonts w:hint="eastAsia" w:ascii="仿宋" w:hAnsi="仿宋" w:eastAsia="仿宋" w:cs="仿宋"/>
          <w:b/>
          <w:bCs/>
          <w:color w:val="000000"/>
          <w:sz w:val="24"/>
          <w:szCs w:val="24"/>
          <w:highlight w:val="none"/>
          <w:lang w:val="en-US"/>
        </w:rPr>
        <w:t xml:space="preserve">磋商小组</w:t>
      </w:r>
      <w:r>
        <w:rPr>
          <w:rFonts w:hint="eastAsia" w:ascii="仿宋" w:hAnsi="仿宋" w:eastAsia="仿宋" w:cs="仿宋"/>
          <w:b/>
          <w:bCs/>
          <w:color w:val="000000"/>
          <w:sz w:val="24"/>
          <w:szCs w:val="24"/>
          <w:highlight w:val="none"/>
          <w:lang w:val="zh-CN"/>
        </w:rPr>
        <w:t xml:space="preserve">应当将其作为无效响应处理。审查相关情况应当在评审报告中进行记录。</w:t>
      </w:r>
      <w:bookmarkEnd w:id="13"/>
      <w:r/>
      <w:bookmarkEnd w:id="16"/>
      <w:r>
        <w:rPr>
          <w:rFonts w:hint="eastAsia" w:ascii="仿宋" w:hAnsi="仿宋" w:eastAsia="仿宋" w:cs="仿宋"/>
          <w:b/>
          <w:bCs/>
          <w:color w:val="000000"/>
          <w:sz w:val="24"/>
          <w:szCs w:val="24"/>
          <w:highlight w:val="none"/>
          <w:lang w:val="en-US"/>
        </w:rPr>
      </w:r>
      <w:r/>
    </w:p>
    <w:p>
      <w:pPr>
        <w:pStyle w:val="766"/>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12、经磋商确定最终采购需求和提交最后报价的供应商后，由磋商小组采用综合评分法对提交最后报价的供应商的响应文件和最后报价进行综合评分。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4"/>
          <w:szCs w:val="24"/>
          <w:highlight w:val="none"/>
          <w:lang w:val="zh-CN"/>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、磋商小组根据磋商成交原则确定成交供应商，并将结果通知所有参加磋商的供应商。</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、如磋商过程中出现本采购文件未尽事宜，由磋商小组根据政府采购有关法律、法规讨论决定。</w:t>
      </w:r>
      <w:r>
        <w:rPr>
          <w:rFonts w:hint="eastAsia" w:ascii="仿宋" w:hAnsi="仿宋" w:eastAsia="仿宋" w:cs="仿宋"/>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三、质疑处理</w:t>
      </w:r>
      <w:r>
        <w:rPr>
          <w:rFonts w:hint="eastAsia" w:ascii="仿宋" w:hAnsi="仿宋" w:eastAsia="仿宋" w:cs="仿宋"/>
          <w:b/>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2、本次采购文件要求供应商在法定质疑期内一次性提出针对同一采购程序环节的质疑，否则不予受理。</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3、供应商提出质疑应当提交质疑函和必要的证明材料，质疑函应当包括下列内容：</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（1）供应商的姓名或者名称（以提供的营业执照副本复印件为准）、地址、邮编、联系人及联系电话；</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（2）质疑项目的名称、编号；</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（3）具体、明确的质疑事项和与质疑事项相关的请求；</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（4）事实依据；</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（5）必要的法律依据；</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（6）提出质疑的日期。</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仿宋" w:hAnsi="仿宋" w:eastAsia="仿宋" w:cs="仿宋"/>
          <w:b/>
          <w:color w:val="000000"/>
          <w:sz w:val="24"/>
          <w:szCs w:val="24"/>
          <w:highlight w:val="none"/>
        </w:rPr>
        <w:t xml:space="preserve">授权委托书</w:t>
      </w:r>
      <w:r>
        <w:rPr>
          <w:rFonts w:hint="eastAsia" w:ascii="仿宋" w:hAnsi="仿宋" w:eastAsia="仿宋" w:cs="仿宋"/>
          <w:color w:val="000000"/>
          <w:sz w:val="24"/>
          <w:szCs w:val="24"/>
          <w:highlight w:val="none"/>
        </w:rPr>
        <w:t xml:space="preserve">上应当载明代理人的姓名或者名称、代理事项、具体权限、期限和相关事项。</w:t>
      </w:r>
      <w:r>
        <w:rPr>
          <w:rFonts w:hint="eastAsia" w:ascii="仿宋" w:hAnsi="仿宋" w:eastAsia="仿宋" w:cs="仿宋"/>
          <w:color w:val="000000"/>
          <w:sz w:val="24"/>
          <w:szCs w:val="24"/>
          <w:highlight w:val="none"/>
        </w:rPr>
      </w:r>
      <w:r/>
    </w:p>
    <w:p>
      <w:pPr>
        <w:pStyle w:val="766"/>
        <w:ind w:firstLine="482"/>
        <w:jc w:val="left"/>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仿宋" w:hAnsi="仿宋" w:eastAsia="仿宋" w:cs="仿宋"/>
          <w:b/>
          <w:color w:val="000000"/>
          <w:sz w:val="24"/>
          <w:szCs w:val="24"/>
          <w:highlight w:val="none"/>
        </w:rPr>
      </w:r>
      <w:r/>
    </w:p>
    <w:p>
      <w:pPr>
        <w:pStyle w:val="766"/>
        <w:ind w:firstLine="480"/>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仿宋" w:hAnsi="仿宋" w:eastAsia="仿宋" w:cs="仿宋"/>
          <w:b/>
          <w:color w:val="000000"/>
          <w:sz w:val="24"/>
          <w:szCs w:val="24"/>
          <w:highlight w:val="none"/>
        </w:rPr>
        <w:t xml:space="preserve">《投标供应商确认函》</w:t>
      </w:r>
      <w:r>
        <w:rPr>
          <w:rFonts w:hint="eastAsia" w:ascii="仿宋" w:hAnsi="仿宋" w:eastAsia="仿宋" w:cs="仿宋"/>
          <w:color w:val="000000"/>
          <w:sz w:val="24"/>
          <w:szCs w:val="24"/>
          <w:highlight w:val="none"/>
        </w:rPr>
        <w:t xml:space="preserve">）与质疑函一起递交，否则不予受理。</w:t>
      </w:r>
      <w:r>
        <w:rPr>
          <w:rFonts w:hint="eastAsia" w:ascii="仿宋" w:hAnsi="仿宋" w:eastAsia="仿宋" w:cs="仿宋"/>
          <w:b/>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5、接收质疑函的方式：书面形式（当场送达或邮寄方式）</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质疑联系人：罗来山</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联系电话：0512-81606891-8007</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现场递交地址:太仓市公正路11号联合大厦20楼</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邮寄收取地址:太仓市公正路11号联合大厦20楼</w:t>
      </w:r>
      <w:r>
        <w:rPr>
          <w:rFonts w:hint="eastAsia" w:ascii="仿宋" w:hAnsi="仿宋" w:eastAsia="仿宋" w:cs="仿宋"/>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四、项目的终止</w:t>
      </w:r>
      <w:r>
        <w:rPr>
          <w:rFonts w:hint="eastAsia" w:ascii="仿宋" w:hAnsi="仿宋" w:eastAsia="仿宋" w:cs="仿宋"/>
          <w:b/>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出现下列情形之一的，将终止竞争性磋商采购活动：</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1、因情况变化，不再符合规定的竞争性磋商采购方式适用情形的；</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2、出现影响采购公正的违法、违规行为的；</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3、在采购活动中因重大变故，采购任务取消的。</w:t>
      </w:r>
      <w:r>
        <w:rPr>
          <w:rFonts w:hint="eastAsia" w:ascii="仿宋" w:hAnsi="仿宋" w:eastAsia="仿宋" w:cs="仿宋"/>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五、综合说明及其它要求：</w:t>
      </w:r>
      <w:r>
        <w:rPr>
          <w:rFonts w:hint="eastAsia" w:ascii="仿宋" w:hAnsi="仿宋" w:eastAsia="仿宋" w:cs="仿宋"/>
          <w:b/>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1、磋商供应商需明确详细的服务方案。</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2、磋商供应商必须承诺文件中提出的全部要求，如果其中某些条款不响应时，应在文件中逐条列出，未列出的视同响应。</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3、磋商说明：</w:t>
      </w:r>
      <w:r>
        <w:rPr>
          <w:rFonts w:hint="eastAsia" w:ascii="仿宋" w:hAnsi="仿宋" w:eastAsia="仿宋" w:cs="仿宋"/>
          <w:color w:val="000000"/>
          <w:sz w:val="24"/>
          <w:szCs w:val="24"/>
          <w:highlight w:val="none"/>
        </w:rPr>
      </w:r>
      <w:r/>
    </w:p>
    <w:p>
      <w:pPr>
        <w:pStyle w:val="740"/>
        <w:ind w:left="0" w:firstLine="420"/>
        <w:jc w:val="both"/>
        <w:spacing w:line="360" w:lineRule="auto"/>
        <w:rPr>
          <w:rFonts w:hint="eastAsia" w:ascii="仿宋" w:hAnsi="仿宋" w:eastAsia="仿宋" w:cs="仿宋"/>
          <w:color w:val="000000"/>
          <w:sz w:val="24"/>
          <w:szCs w:val="24"/>
          <w:highlight w:val="none"/>
          <w:lang w:val="zh-CN" w:eastAsia="zh-CN" w:bidi="ar-SA"/>
        </w:rPr>
      </w:pPr>
      <w:r>
        <w:rPr>
          <w:rFonts w:hint="eastAsia" w:ascii="仿宋" w:hAnsi="仿宋" w:eastAsia="仿宋" w:cs="仿宋"/>
          <w:color w:val="000000"/>
          <w:sz w:val="24"/>
          <w:szCs w:val="24"/>
          <w:highlight w:val="none"/>
          <w:lang w:val="zh-CN" w:eastAsia="zh-CN" w:bidi="ar-SA"/>
        </w:rPr>
        <w:t xml:space="preserve">（1）不符合供应商资格要求的响应文件将被认定为无效响应；</w:t>
      </w:r>
      <w:r>
        <w:rPr>
          <w:rFonts w:hint="eastAsia" w:ascii="仿宋" w:hAnsi="仿宋" w:eastAsia="仿宋" w:cs="仿宋"/>
          <w:color w:val="000000"/>
          <w:sz w:val="24"/>
          <w:szCs w:val="24"/>
          <w:highlight w:val="none"/>
          <w:lang w:val="zh-CN" w:eastAsia="zh-CN" w:bidi="ar-SA"/>
        </w:rPr>
      </w:r>
      <w:r/>
    </w:p>
    <w:p>
      <w:pPr>
        <w:pStyle w:val="740"/>
        <w:ind w:left="0" w:firstLine="422"/>
        <w:spacing w:line="360" w:lineRule="auto"/>
        <w:widowControl/>
        <w:tabs>
          <w:tab w:val="left" w:pos="420" w:leader="none"/>
        </w:tabs>
        <w:rPr>
          <w:rFonts w:hint="eastAsia" w:ascii="仿宋" w:hAnsi="仿宋" w:eastAsia="仿宋" w:cs="仿宋"/>
          <w:b/>
          <w:bCs/>
          <w:color w:val="000000"/>
          <w:sz w:val="24"/>
          <w:szCs w:val="24"/>
          <w:highlight w:val="none"/>
          <w:lang w:bidi="ar-SA"/>
        </w:rPr>
      </w:pPr>
      <w:r>
        <w:rPr>
          <w:rFonts w:hint="eastAsia" w:ascii="仿宋" w:hAnsi="仿宋" w:eastAsia="仿宋" w:cs="仿宋"/>
          <w:b/>
          <w:bCs/>
          <w:color w:val="000000"/>
          <w:sz w:val="24"/>
          <w:szCs w:val="24"/>
          <w:highlight w:val="none"/>
          <w:lang w:bidi="ar-SA"/>
        </w:rPr>
        <w:t xml:space="preserve">（2）在机器码检查中，出现不同供应商响应文件机器码一致情形的，响应文件将被认定为无效响应。</w:t>
      </w:r>
      <w:r>
        <w:rPr>
          <w:rFonts w:hint="eastAsia" w:ascii="仿宋" w:hAnsi="仿宋" w:eastAsia="仿宋" w:cs="仿宋"/>
          <w:b/>
          <w:bCs/>
          <w:color w:val="000000"/>
          <w:sz w:val="24"/>
          <w:szCs w:val="24"/>
          <w:highlight w:val="none"/>
          <w:lang w:bidi="ar-SA"/>
        </w:rPr>
      </w:r>
      <w:r/>
    </w:p>
    <w:p>
      <w:pPr>
        <w:pStyle w:val="740"/>
        <w:ind w:left="0" w:firstLine="420"/>
        <w:jc w:val="both"/>
        <w:spacing w:line="360" w:lineRule="auto"/>
        <w:rPr>
          <w:rFonts w:hint="eastAsia" w:ascii="仿宋" w:hAnsi="仿宋" w:eastAsia="仿宋" w:cs="仿宋"/>
          <w:color w:val="000000"/>
          <w:sz w:val="24"/>
          <w:szCs w:val="24"/>
          <w:highlight w:val="none"/>
          <w:lang w:val="zh-CN" w:eastAsia="zh-CN" w:bidi="ar-SA"/>
        </w:rPr>
      </w:pPr>
      <w:r>
        <w:rPr>
          <w:rFonts w:hint="eastAsia" w:ascii="仿宋" w:hAnsi="仿宋" w:eastAsia="仿宋" w:cs="仿宋"/>
          <w:color w:val="000000"/>
          <w:sz w:val="24"/>
          <w:szCs w:val="24"/>
          <w:highlight w:val="none"/>
          <w:lang w:val="zh-CN" w:eastAsia="zh-CN" w:bidi="ar-SA"/>
        </w:rPr>
        <w:t xml:space="preserve">（3）最终报价超过采购预算或最高限价的不能成交；</w:t>
      </w:r>
      <w:r>
        <w:rPr>
          <w:rFonts w:hint="eastAsia" w:ascii="仿宋" w:hAnsi="仿宋" w:eastAsia="仿宋" w:cs="仿宋"/>
          <w:color w:val="000000"/>
          <w:sz w:val="24"/>
          <w:szCs w:val="24"/>
          <w:highlight w:val="none"/>
          <w:lang w:val="zh-CN" w:eastAsia="zh-CN" w:bidi="ar-SA"/>
        </w:rPr>
      </w:r>
      <w:r/>
    </w:p>
    <w:p>
      <w:pPr>
        <w:pStyle w:val="740"/>
        <w:ind w:left="0" w:firstLine="420"/>
        <w:jc w:val="both"/>
        <w:spacing w:line="360" w:lineRule="auto"/>
        <w:rPr>
          <w:rFonts w:hint="eastAsia" w:ascii="仿宋" w:hAnsi="仿宋" w:eastAsia="仿宋" w:cs="仿宋"/>
          <w:color w:val="000000"/>
          <w:sz w:val="24"/>
          <w:szCs w:val="24"/>
          <w:highlight w:val="none"/>
          <w:lang w:val="zh-CN" w:eastAsia="zh-CN" w:bidi="ar-SA"/>
        </w:rPr>
      </w:pPr>
      <w:r>
        <w:rPr>
          <w:rFonts w:hint="eastAsia" w:ascii="仿宋" w:hAnsi="仿宋" w:eastAsia="仿宋" w:cs="仿宋"/>
          <w:color w:val="000000"/>
          <w:sz w:val="24"/>
          <w:szCs w:val="24"/>
          <w:highlight w:val="none"/>
          <w:lang w:val="zh-CN" w:eastAsia="zh-CN" w:bidi="ar-SA"/>
        </w:rPr>
        <w:t xml:space="preserve">（4）不实质性响应采购文件的不能成交。</w:t>
      </w:r>
      <w:r>
        <w:rPr>
          <w:rFonts w:hint="eastAsia" w:ascii="仿宋" w:hAnsi="仿宋" w:eastAsia="仿宋" w:cs="仿宋"/>
          <w:color w:val="000000"/>
          <w:sz w:val="24"/>
          <w:szCs w:val="24"/>
          <w:highlight w:val="none"/>
          <w:lang w:val="zh-CN" w:eastAsia="zh-CN" w:bidi="ar-SA"/>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4、履约保证金：本项目不收取履约保证金</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5、代理费服务费：</w:t>
      </w:r>
      <w:r>
        <w:rPr>
          <w:rFonts w:hint="eastAsia" w:ascii="仿宋" w:hAnsi="仿宋" w:eastAsia="仿宋" w:cs="仿宋"/>
          <w:color w:val="000000"/>
          <w:sz w:val="24"/>
          <w:highlight w:val="none"/>
        </w:rPr>
        <w:t xml:space="preserve">代理服务费由成交供应商承担。代理服务费按预算金额100万元以内1.5%、100～500万元1.1%按差额定率累进法计算，该费用应在领取中标通知书前由成交供应商支付给采购代理机构。服务费缴纳户名：苏州恒中造价师事务所有限责任公司，开户行：农行太仓城区分理处 账户：10536401040009410 财务室电话：0512-81606891-8001。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6、凡涉及采购文件的补充说明和修改，均以苏州市政府采购网最后发布的内容为准。</w:t>
      </w:r>
      <w:r>
        <w:rPr>
          <w:rFonts w:hint="eastAsia" w:ascii="仿宋" w:hAnsi="仿宋" w:eastAsia="仿宋" w:cs="仿宋"/>
          <w:color w:val="000000"/>
          <w:sz w:val="24"/>
          <w:szCs w:val="24"/>
          <w:highlight w:val="none"/>
        </w:rPr>
      </w:r>
      <w:r/>
    </w:p>
    <w:p>
      <w:pPr>
        <w:pStyle w:val="740"/>
        <w:ind w:firstLine="422"/>
        <w:spacing w:line="360" w:lineRule="auto"/>
        <w:tabs>
          <w:tab w:val="left" w:pos="42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740"/>
        <w:spacing w:before="156" w:after="156" w:line="360" w:lineRule="auto"/>
        <w:rPr>
          <w:rFonts w:hint="eastAsia" w:ascii="仿宋" w:hAnsi="仿宋" w:eastAsia="仿宋" w:cs="仿宋"/>
          <w:b/>
          <w:color w:val="000000"/>
          <w:sz w:val="24"/>
          <w:highlight w:val="none"/>
        </w:rPr>
        <w:outlineLvl w:val="9"/>
      </w:pPr>
      <w:r>
        <w:rPr>
          <w:rFonts w:hint="eastAsia" w:ascii="仿宋" w:hAnsi="仿宋" w:eastAsia="仿宋" w:cs="仿宋"/>
          <w:b/>
          <w:color w:val="000000"/>
          <w:sz w:val="24"/>
          <w:highlight w:val="none"/>
        </w:rPr>
        <w:t xml:space="preserve">六、政府采购政策：</w:t>
      </w:r>
      <w:r>
        <w:rPr>
          <w:rFonts w:hint="eastAsia" w:ascii="仿宋" w:hAnsi="仿宋" w:eastAsia="仿宋" w:cs="仿宋"/>
          <w:b/>
          <w:color w:val="000000"/>
          <w:sz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（一）节能产品和环境标志产品</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关于调整优化节能产品、环境标志产品政府采购执行机制的通知》（财库〔2019〕9号）及《关于贯彻执行绿色采购、促进残疾人就业和支持监狱企业发展有关政策的通知》（苏财购〔2019〕10号）的文件规定，采购产品如属于国家节能环保品目清单的强制采购产品的，</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应当选择强制采购产品，并提供由国家确定的认证机构出具的、处于有效期之内的节能产品或环境标志产品认证证书，否则视为未实质响应。</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（二）小微企业的价格分评审：</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为专门面向中小企业采购的项目。投标供应商应提供中小企业声明函或残疾人福利性单位声明函或省级以上监狱管理局、戒毒管理局（含新疆生产建设兵团）出具的属于监狱企业的证明文件,否则视为投标无效。</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2、中小企业划分：</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（1）符合中小企业划分标准的个体工商户，在政府采购活动中视同中小企业。</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（2）中小企业划分标准详见“工信部联企业〔2011〕300号通知”</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3、残疾人福利性单位政策：</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（1）根据《关于促进残疾人就业政府采购政策的通知》（财库〔2017〕141号）规定，</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若为残疾人福利性单位的，视同小型企业。残疾人福利性单位属于小型、微型企业的，不重复认定。</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（2）本项目专门面向中小企业采购，</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（3）中标、成交供应商为残疾人福利性单位的，《残疾人福利性单位声明函》应当随中标、成交结果同时公告，接受社会监督。</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4、监狱企业发展政策：</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（1）根据《关于政府采购支持监狱企业发展有关问题的通知》（财库〔2014〕68号）规定，</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若为监狱企业的，视同小型企业。</w:t>
      </w:r>
      <w:r>
        <w:rPr>
          <w:rFonts w:hint="eastAsia" w:ascii="仿宋" w:hAnsi="仿宋" w:eastAsia="仿宋" w:cs="仿宋"/>
          <w:color w:val="000000"/>
          <w:sz w:val="24"/>
          <w:szCs w:val="24"/>
          <w:highlight w:val="none"/>
        </w:rPr>
      </w:r>
      <w:r/>
    </w:p>
    <w:p>
      <w:pPr>
        <w:pStyle w:val="740"/>
        <w:ind w:firstLine="480"/>
        <w:spacing w:line="360" w:lineRule="auto"/>
        <w:rPr>
          <w:rFonts w:hint="eastAsia" w:ascii="宋体" w:hAnsi="宋体" w:cs="宋体"/>
          <w:color w:val="000000"/>
          <w:sz w:val="24"/>
          <w:szCs w:val="24"/>
          <w:highlight w:val="none"/>
        </w:rPr>
      </w:pPr>
      <w:r>
        <w:rPr>
          <w:rFonts w:hint="eastAsia" w:ascii="仿宋" w:hAnsi="仿宋" w:eastAsia="仿宋" w:cs="仿宋"/>
          <w:color w:val="000000"/>
          <w:sz w:val="24"/>
          <w:szCs w:val="24"/>
          <w:highlight w:val="none"/>
        </w:rPr>
        <w:t xml:space="preserve">（2）本项目专门面向中小企业采购，</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若为符合《关于政府采购支持监狱企业发展有关问题的通知》（财库〔2014〕68号）条件的监狱企业，在政府采购活动中，应当提供由省级以上监狱管理局、戒毒管理局（含新疆生产建设兵团）出具的属于监狱企业的证明文件，否则为非实质响应。并对声明的真实性负责，供应商提供声明函内容不实的，属于提供虚假材料谋取中标、成交，依照《中华人民共和国政府采购法》 等国家有关规定追究相应责任。</w:t>
      </w:r>
      <w:r>
        <w:rPr>
          <w:rFonts w:hint="eastAsia" w:ascii="宋体" w:hAnsi="宋体" w:cs="宋体"/>
          <w:color w:val="000000"/>
          <w:sz w:val="24"/>
          <w:szCs w:val="24"/>
          <w:highlight w:val="none"/>
        </w:rPr>
      </w:r>
      <w:r/>
    </w:p>
    <w:p>
      <w:pPr>
        <w:pStyle w:val="740"/>
        <w:ind w:firstLine="422"/>
        <w:spacing w:line="360" w:lineRule="auto"/>
        <w:tabs>
          <w:tab w:val="left" w:pos="42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41"/>
        <w:spacing w:before="156" w:after="156"/>
        <w:tabs>
          <w:tab w:val="left" w:pos="1134" w:leader="none"/>
        </w:tabs>
        <w:rPr>
          <w:rFonts w:ascii="Times New Roman" w:hAnsi="Times New Roman"/>
          <w:color w:val="000000"/>
          <w:sz w:val="44"/>
          <w:szCs w:val="44"/>
          <w:highlight w:val="none"/>
          <w:lang w:val="zh-CN"/>
        </w:rPr>
      </w:pPr>
      <w:r>
        <w:rPr>
          <w:rFonts w:hint="eastAsia" w:cs="宋体"/>
          <w:color w:val="000000"/>
          <w:sz w:val="24"/>
          <w:szCs w:val="24"/>
          <w:highlight w:val="none"/>
        </w:rPr>
        <w:br w:type="page" w:clear="all"/>
      </w:r>
      <w:bookmarkEnd w:id="9"/>
      <w:r/>
      <w:bookmarkEnd w:id="10"/>
      <w:r/>
      <w:bookmarkEnd w:id="11"/>
      <w:r/>
      <w:bookmarkEnd w:id="12"/>
      <w:r/>
      <w:bookmarkStart w:id="21" w:name="_Toc73000675"/>
      <w:r/>
      <w:bookmarkStart w:id="22" w:name="_Toc68611036"/>
      <w:r/>
      <w:bookmarkStart w:id="23" w:name="_Toc9247"/>
      <w:r/>
      <w:bookmarkStart w:id="24" w:name="_Toc14106"/>
      <w:r/>
      <w:bookmarkStart w:id="25" w:name="_Toc23660"/>
      <w:r/>
      <w:bookmarkStart w:id="26" w:name="_Toc4098"/>
      <w:r/>
      <w:bookmarkStart w:id="27" w:name="_Toc57376408"/>
      <w:r/>
      <w:bookmarkStart w:id="28" w:name="_Toc58248882"/>
      <w:r/>
      <w:bookmarkStart w:id="29" w:name="_Toc6898"/>
      <w:r/>
      <w:bookmarkStart w:id="30" w:name="_Toc73000676"/>
      <w:r/>
      <w:bookmarkStart w:id="31" w:name="_Toc68611037"/>
      <w:r>
        <w:rPr>
          <w:rFonts w:ascii="Times New Roman" w:hAnsi="Times New Roman"/>
          <w:color w:val="000000"/>
          <w:sz w:val="44"/>
          <w:szCs w:val="44"/>
          <w:highlight w:val="none"/>
        </w:rPr>
        <w:t xml:space="preserve">第三章</w:t>
      </w:r>
      <w:bookmarkStart w:id="32" w:name="投标文件格式"/>
      <w:r/>
      <w:bookmarkEnd w:id="32"/>
      <w:r>
        <w:rPr>
          <w:rFonts w:ascii="Times New Roman" w:hAnsi="Times New Roman"/>
          <w:color w:val="000000"/>
          <w:sz w:val="44"/>
          <w:szCs w:val="44"/>
          <w:highlight w:val="none"/>
        </w:rPr>
        <w:t xml:space="preserve"> 响应文件格式</w:t>
      </w:r>
      <w:bookmarkEnd w:id="21"/>
      <w:r/>
      <w:bookmarkEnd w:id="22"/>
      <w:r/>
      <w:bookmarkEnd w:id="23"/>
      <w:r/>
      <w:bookmarkEnd w:id="24"/>
      <w:r>
        <w:rPr>
          <w:rFonts w:ascii="Times New Roman" w:hAnsi="Times New Roman"/>
          <w:color w:val="000000"/>
          <w:sz w:val="44"/>
          <w:szCs w:val="44"/>
          <w:highlight w:val="none"/>
          <w:lang w:val="zh-CN"/>
        </w:rPr>
      </w:r>
      <w:r/>
    </w:p>
    <w:p>
      <w:pPr>
        <w:pStyle w:val="740"/>
        <w:jc w:val="left"/>
        <w:spacing w:line="44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说明：</w:t>
      </w:r>
      <w:r>
        <w:rPr>
          <w:rFonts w:hint="eastAsia" w:ascii="仿宋" w:hAnsi="仿宋" w:eastAsia="仿宋" w:cs="仿宋"/>
          <w:b/>
          <w:color w:val="000000"/>
          <w:sz w:val="24"/>
          <w:szCs w:val="24"/>
          <w:highlight w:val="none"/>
        </w:rPr>
      </w:r>
      <w:r/>
    </w:p>
    <w:p>
      <w:pPr>
        <w:pStyle w:val="897"/>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对本章所有的格式，供应商可根据自身情况进行补充和修改，但补充和修改不得造成与本格式内容有实质性的违背。</w:t>
      </w:r>
      <w:r>
        <w:rPr>
          <w:rFonts w:hint="eastAsia" w:ascii="仿宋" w:hAnsi="仿宋" w:eastAsia="仿宋" w:cs="仿宋"/>
          <w:color w:val="000000"/>
          <w:sz w:val="24"/>
          <w:szCs w:val="24"/>
          <w:highlight w:val="none"/>
        </w:rPr>
      </w:r>
      <w:r/>
    </w:p>
    <w:p>
      <w:pPr>
        <w:pStyle w:val="740"/>
        <w:rPr>
          <w:rFonts w:hint="eastAsia" w:ascii="仿宋" w:hAnsi="仿宋" w:eastAsia="仿宋" w:cs="仿宋"/>
          <w:b/>
          <w:color w:val="000000"/>
          <w:sz w:val="24"/>
          <w:szCs w:val="24"/>
          <w:highlight w:val="none"/>
        </w:rPr>
      </w:pPr>
      <w:r/>
      <w:bookmarkStart w:id="33" w:name="_Toc3821"/>
      <w:r/>
      <w:bookmarkStart w:id="34" w:name="_Toc17036"/>
      <w:r>
        <w:rPr>
          <w:rFonts w:hint="eastAsia" w:ascii="仿宋" w:hAnsi="仿宋" w:eastAsia="仿宋" w:cs="仿宋"/>
          <w:b/>
          <w:color w:val="000000"/>
          <w:sz w:val="24"/>
          <w:szCs w:val="24"/>
          <w:highlight w:val="none"/>
        </w:rPr>
      </w:r>
      <w:r/>
    </w:p>
    <w:p>
      <w:pPr>
        <w:pStyle w:val="74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spacing w:before="156" w:after="156" w:line="360" w:lineRule="auto"/>
        <w:tabs>
          <w:tab w:val="left" w:pos="1134"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附件1.开标一览表</w:t>
      </w:r>
      <w:r>
        <w:rPr>
          <w:rFonts w:hint="eastAsia" w:ascii="仿宋" w:hAnsi="仿宋" w:eastAsia="仿宋" w:cs="仿宋"/>
          <w:color w:val="000000"/>
          <w:sz w:val="24"/>
          <w:szCs w:val="24"/>
          <w:highlight w:val="none"/>
        </w:rPr>
      </w:r>
      <w:r/>
    </w:p>
    <w:p>
      <w:pPr>
        <w:pStyle w:val="74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40"/>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开标一览表（总报价）</w:t>
      </w:r>
      <w:r>
        <w:rPr>
          <w:rFonts w:hint="eastAsia" w:ascii="仿宋" w:hAnsi="仿宋" w:eastAsia="仿宋" w:cs="仿宋"/>
          <w:b/>
          <w:color w:val="000000"/>
          <w:sz w:val="24"/>
          <w:szCs w:val="24"/>
          <w:highlight w:val="none"/>
        </w:rPr>
      </w:r>
      <w:r/>
    </w:p>
    <w:p>
      <w:pPr>
        <w:pStyle w:val="88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8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8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全称（加盖公章）：</w:t>
      </w:r>
      <w:r>
        <w:rPr>
          <w:rFonts w:hint="eastAsia" w:ascii="仿宋" w:hAnsi="仿宋" w:eastAsia="仿宋" w:cs="仿宋"/>
          <w:color w:val="000000"/>
          <w:sz w:val="24"/>
          <w:szCs w:val="24"/>
          <w:highlight w:val="none"/>
        </w:rPr>
      </w:r>
      <w:r/>
    </w:p>
    <w:p>
      <w:pPr>
        <w:pStyle w:val="88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p>
      <w:pPr>
        <w:pStyle w:val="88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830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项目总价（元）</w:t>
            </w:r>
            <w:r>
              <w:rPr>
                <w:rFonts w:hint="eastAsia" w:ascii="仿宋" w:hAnsi="仿宋" w:eastAsia="仿宋" w:cs="仿宋"/>
                <w:color w:val="000000"/>
                <w:sz w:val="24"/>
                <w:szCs w:val="24"/>
                <w:highlight w:val="none"/>
              </w:rPr>
            </w:r>
            <w:r/>
          </w:p>
        </w:tc>
      </w:tr>
      <w:tr>
        <w:trP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74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pStyle w:val="74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报价（大写金额）</w:t>
            </w:r>
            <w:r>
              <w:rPr>
                <w:rFonts w:hint="eastAsia" w:ascii="仿宋" w:hAnsi="仿宋" w:eastAsia="仿宋" w:cs="仿宋"/>
                <w:color w:val="000000"/>
                <w:sz w:val="24"/>
                <w:szCs w:val="24"/>
                <w:highlight w:val="none"/>
              </w:rPr>
            </w:r>
            <w:r/>
          </w:p>
        </w:tc>
      </w:tr>
    </w:tbl>
    <w:p>
      <w:pPr>
        <w:pStyle w:val="740"/>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ind w:right="300" w:firstLine="231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740"/>
        <w:ind w:right="300" w:firstLine="231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740"/>
        <w:ind w:right="300" w:firstLine="378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740"/>
        <w:ind w:right="-200"/>
        <w:jc w:val="right"/>
        <w:spacing w:line="360" w:lineRule="auto"/>
        <w:rPr>
          <w:b/>
          <w:color w:val="000000"/>
          <w:sz w:val="24"/>
          <w:szCs w:val="24"/>
          <w:highlight w:val="none"/>
        </w:rPr>
      </w:pPr>
      <w:r>
        <w:rPr>
          <w:b/>
          <w:color w:val="000000"/>
          <w:sz w:val="24"/>
          <w:szCs w:val="24"/>
          <w:highlight w:val="none"/>
        </w:rPr>
      </w:r>
      <w:r/>
    </w:p>
    <w:p>
      <w:pPr>
        <w:pStyle w:val="740"/>
        <w:ind w:right="40"/>
        <w:spacing w:line="360" w:lineRule="auto"/>
        <w:rPr>
          <w:color w:val="000000"/>
          <w:sz w:val="24"/>
          <w:szCs w:val="24"/>
          <w:highlight w:val="none"/>
          <w:lang w:val="zh-CN"/>
        </w:rPr>
      </w:pPr>
      <w:r>
        <w:rPr>
          <w:color w:val="000000"/>
          <w:sz w:val="24"/>
          <w:szCs w:val="24"/>
          <w:highlight w:val="none"/>
          <w:lang w:val="zh-CN"/>
        </w:rPr>
      </w:r>
      <w:r/>
    </w:p>
    <w:p>
      <w:pPr>
        <w:pStyle w:val="740"/>
        <w:ind w:right="40"/>
        <w:jc w:val="center"/>
        <w:spacing w:line="360" w:lineRule="auto"/>
        <w:rPr>
          <w:color w:val="000000"/>
          <w:sz w:val="22"/>
          <w:szCs w:val="22"/>
          <w:highlight w:val="none"/>
          <w:lang w:val="zh-CN"/>
        </w:rPr>
      </w:pPr>
      <w:r>
        <w:rPr>
          <w:color w:val="000000"/>
          <w:sz w:val="22"/>
          <w:szCs w:val="22"/>
          <w:highlight w:val="none"/>
          <w:lang w:val="zh-CN"/>
        </w:rPr>
      </w:r>
      <w:r/>
    </w:p>
    <w:p>
      <w:pPr>
        <w:pStyle w:val="740"/>
        <w:jc w:val="left"/>
        <w:spacing w:line="360" w:lineRule="auto"/>
        <w:rPr>
          <w:color w:val="000000"/>
          <w:highlight w:val="none"/>
        </w:rPr>
      </w:pPr>
      <w:r>
        <w:rPr>
          <w:color w:val="000000"/>
          <w:highlight w:val="none"/>
        </w:rPr>
      </w:r>
      <w:r/>
    </w:p>
    <w:p>
      <w:pPr>
        <w:pStyle w:val="740"/>
        <w:rPr>
          <w:rFonts w:hint="eastAsia" w:ascii="仿宋" w:hAnsi="仿宋" w:eastAsia="仿宋" w:cs="仿宋"/>
          <w:color w:val="000000"/>
          <w:sz w:val="24"/>
          <w:szCs w:val="24"/>
          <w:highlight w:val="none"/>
        </w:rPr>
      </w:pPr>
      <w:r>
        <w:rPr>
          <w:b/>
          <w:color w:val="000000"/>
          <w:szCs w:val="21"/>
          <w:highlight w:val="none"/>
        </w:rPr>
        <w:br w:type="page" w:clear="all"/>
      </w:r>
      <w:r>
        <w:rPr>
          <w:rFonts w:hint="eastAsia" w:ascii="仿宋" w:hAnsi="仿宋" w:eastAsia="仿宋" w:cs="仿宋"/>
          <w:b/>
          <w:color w:val="000000"/>
          <w:sz w:val="24"/>
          <w:szCs w:val="24"/>
          <w:highlight w:val="none"/>
        </w:rPr>
        <w:t xml:space="preserve">附件2.关于资格文件的声明函</w:t>
      </w:r>
      <w:r>
        <w:rPr>
          <w:rFonts w:hint="eastAsia" w:ascii="仿宋" w:hAnsi="仿宋" w:eastAsia="仿宋" w:cs="仿宋"/>
          <w:color w:val="000000"/>
          <w:sz w:val="24"/>
          <w:szCs w:val="24"/>
          <w:highlight w:val="none"/>
        </w:rPr>
      </w:r>
      <w:r/>
    </w:p>
    <w:p>
      <w:pPr>
        <w:pStyle w:val="740"/>
        <w:ind w:firstLine="42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ind w:firstLine="42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关于资格文件的声明函</w:t>
      </w:r>
      <w:r>
        <w:rPr>
          <w:rFonts w:hint="eastAsia" w:ascii="仿宋" w:hAnsi="仿宋" w:eastAsia="仿宋" w:cs="仿宋"/>
          <w:b/>
          <w:color w:val="000000"/>
          <w:sz w:val="24"/>
          <w:szCs w:val="24"/>
          <w:highlight w:val="none"/>
        </w:rPr>
      </w:r>
      <w:r/>
    </w:p>
    <w:p>
      <w:pPr>
        <w:pStyle w:val="740"/>
        <w:ind w:firstLine="42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苏州恒中造价师事务所有限责任公司</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本公司愿就由贵单位组织实施的编号为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rPr>
          <w:rFonts w:hint="eastAsia" w:ascii="仿宋" w:hAnsi="仿宋" w:eastAsia="仿宋" w:cs="仿宋"/>
          <w:color w:val="000000"/>
          <w:sz w:val="24"/>
          <w:szCs w:val="24"/>
          <w:highlight w:val="none"/>
        </w:rPr>
      </w:r>
      <w:r/>
    </w:p>
    <w:p>
      <w:pPr>
        <w:pStyle w:val="740"/>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740"/>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740"/>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附件3.磋商响应单位基本情况表</w:t>
      </w:r>
      <w:r>
        <w:rPr>
          <w:rFonts w:hint="eastAsia" w:ascii="仿宋" w:hAnsi="仿宋" w:eastAsia="仿宋" w:cs="仿宋"/>
          <w:b/>
          <w:color w:val="000000"/>
          <w:sz w:val="24"/>
          <w:szCs w:val="24"/>
          <w:highlight w:val="none"/>
        </w:rPr>
      </w:r>
      <w:r/>
    </w:p>
    <w:p>
      <w:pPr>
        <w:pStyle w:val="74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907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成立日期</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注册地址</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注册资金</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740"/>
              <w:ind w:firstLine="216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实现利润</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2025</w:t>
            </w:r>
            <w:r>
              <w:rPr>
                <w:rFonts w:hint="eastAsia" w:ascii="仿宋" w:hAnsi="仿宋" w:eastAsia="仿宋" w:cs="仿宋"/>
                <w:color w:val="000000"/>
                <w:sz w:val="24"/>
                <w:szCs w:val="24"/>
                <w:highlight w:val="none"/>
              </w:rPr>
              <w:t xml:space="preserve">年   万元</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员工总人数</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资产总计</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2025</w:t>
            </w:r>
            <w:r>
              <w:rPr>
                <w:rFonts w:hint="eastAsia" w:ascii="仿宋" w:hAnsi="仿宋" w:eastAsia="仿宋" w:cs="仿宋"/>
                <w:color w:val="000000"/>
                <w:sz w:val="24"/>
                <w:szCs w:val="24"/>
                <w:highlight w:val="none"/>
              </w:rPr>
              <w:t xml:space="preserve">年   万元</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营业收入</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2025</w:t>
            </w:r>
            <w:r>
              <w:rPr>
                <w:rFonts w:hint="eastAsia" w:ascii="仿宋" w:hAnsi="仿宋" w:eastAsia="仿宋" w:cs="仿宋"/>
                <w:color w:val="000000"/>
                <w:sz w:val="24"/>
                <w:szCs w:val="24"/>
                <w:highlight w:val="none"/>
              </w:rPr>
              <w:t xml:space="preserve">年   万元</w:t>
            </w: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单位简历及内设机构情况</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单位优势及特长</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商业信誉和健全的财务会计制度介绍</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履行合同所必需的设备和专业技术能力情况</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依法缴纳税收和社会保障资金情况</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参加政府采购活动前三年内，在经营活动中有无重大违法记录</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其他需要说明的情况</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740"/>
        <w:ind w:firstLine="315"/>
        <w:jc w:val="left"/>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注：若事项较多，供应商可根据实际情况另纸说明。</w:t>
      </w:r>
      <w:r>
        <w:rPr>
          <w:rFonts w:hint="eastAsia" w:ascii="仿宋" w:hAnsi="仿宋" w:eastAsia="仿宋" w:cs="仿宋"/>
          <w:b/>
          <w:color w:val="000000"/>
          <w:sz w:val="24"/>
          <w:szCs w:val="24"/>
          <w:highlight w:val="none"/>
        </w:rPr>
      </w:r>
      <w:r/>
    </w:p>
    <w:p>
      <w:pPr>
        <w:pStyle w:val="740"/>
        <w:ind w:firstLine="368"/>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740"/>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740"/>
        <w:rPr>
          <w:rFonts w:hint="eastAsia" w:ascii="仿宋" w:hAnsi="仿宋" w:eastAsia="仿宋" w:cs="仿宋"/>
          <w:b/>
          <w:color w:val="000000"/>
          <w:sz w:val="24"/>
          <w:szCs w:val="24"/>
          <w:highlight w:val="none"/>
        </w:rPr>
      </w:pPr>
      <w:r>
        <w:rPr>
          <w:b/>
          <w:color w:val="000000"/>
          <w:szCs w:val="21"/>
          <w:highlight w:val="none"/>
        </w:rPr>
        <w:br w:type="page" w:clear="all"/>
      </w:r>
      <w:r>
        <w:rPr>
          <w:rFonts w:hint="eastAsia" w:ascii="仿宋" w:hAnsi="仿宋" w:eastAsia="仿宋" w:cs="仿宋"/>
          <w:b/>
          <w:color w:val="000000"/>
          <w:sz w:val="24"/>
          <w:szCs w:val="24"/>
          <w:highlight w:val="none"/>
        </w:rPr>
        <w:t xml:space="preserve">附件</w:t>
      </w:r>
      <w:bookmarkEnd w:id="33"/>
      <w:r/>
      <w:bookmarkEnd w:id="34"/>
      <w:r>
        <w:rPr>
          <w:rFonts w:hint="eastAsia" w:ascii="仿宋" w:hAnsi="仿宋" w:eastAsia="仿宋" w:cs="仿宋"/>
          <w:b/>
          <w:color w:val="000000"/>
          <w:sz w:val="24"/>
          <w:szCs w:val="24"/>
          <w:highlight w:val="none"/>
        </w:rPr>
        <w:t xml:space="preserve">4.磋商响应函</w:t>
      </w:r>
      <w:r>
        <w:rPr>
          <w:rFonts w:hint="eastAsia" w:ascii="仿宋" w:hAnsi="仿宋" w:eastAsia="仿宋" w:cs="仿宋"/>
          <w:b/>
          <w:color w:val="000000"/>
          <w:sz w:val="24"/>
          <w:szCs w:val="24"/>
          <w:highlight w:val="none"/>
        </w:rPr>
      </w:r>
      <w:r/>
    </w:p>
    <w:p>
      <w:pPr>
        <w:pStyle w:val="740"/>
        <w:jc w:val="center"/>
        <w:spacing w:line="44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磋商响应函</w:t>
      </w:r>
      <w:r>
        <w:rPr>
          <w:rFonts w:hint="eastAsia" w:ascii="仿宋" w:hAnsi="仿宋" w:eastAsia="仿宋" w:cs="仿宋"/>
          <w:b/>
          <w:color w:val="000000"/>
          <w:sz w:val="24"/>
          <w:szCs w:val="24"/>
          <w:highlight w:val="none"/>
        </w:rPr>
      </w:r>
      <w:r/>
    </w:p>
    <w:p>
      <w:pPr>
        <w:pStyle w:val="752"/>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4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致：</w:t>
      </w:r>
      <w:r>
        <w:rPr>
          <w:rFonts w:hint="eastAsia" w:ascii="仿宋" w:hAnsi="仿宋" w:eastAsia="仿宋" w:cs="仿宋"/>
          <w:color w:val="000000"/>
          <w:sz w:val="24"/>
          <w:szCs w:val="24"/>
          <w:highlight w:val="none"/>
          <w:u w:val="single"/>
          <w:lang w:val="zh-CN"/>
        </w:rPr>
        <w:t xml:space="preserve">苏州恒中造价师事务所有限责任公司</w:t>
      </w:r>
      <w:r>
        <w:rPr>
          <w:rFonts w:hint="eastAsia" w:ascii="仿宋" w:hAnsi="仿宋" w:eastAsia="仿宋" w:cs="仿宋"/>
          <w:color w:val="000000"/>
          <w:sz w:val="24"/>
          <w:szCs w:val="24"/>
          <w:highlight w:val="none"/>
          <w:lang w:val="zh-CN"/>
        </w:rPr>
      </w:r>
      <w:r/>
    </w:p>
    <w:p>
      <w:pPr>
        <w:pStyle w:val="740"/>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我方收到贵单位</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（项目编号）采购文件，经仔细阅读和研究，我方决定参加磋商活动，并向贵单位作出如下承诺：</w:t>
      </w:r>
      <w:r>
        <w:rPr>
          <w:rFonts w:hint="eastAsia" w:ascii="仿宋" w:hAnsi="仿宋" w:eastAsia="仿宋" w:cs="仿宋"/>
          <w:color w:val="000000"/>
          <w:sz w:val="24"/>
          <w:szCs w:val="24"/>
          <w:highlight w:val="none"/>
          <w:lang w:val="zh-CN"/>
        </w:rPr>
      </w:r>
      <w:r/>
    </w:p>
    <w:p>
      <w:pPr>
        <w:pStyle w:val="740"/>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1、我方愿意按照采购文件的一切要求，提供本项目的所有内容，我方的报价包括完成本项工作所需的一切应有费用。</w:t>
      </w:r>
      <w:r>
        <w:rPr>
          <w:rFonts w:hint="eastAsia" w:ascii="仿宋" w:hAnsi="仿宋" w:eastAsia="仿宋" w:cs="仿宋"/>
          <w:color w:val="000000"/>
          <w:sz w:val="24"/>
          <w:szCs w:val="24"/>
          <w:highlight w:val="none"/>
          <w:lang w:val="zh-CN"/>
        </w:rPr>
      </w:r>
      <w:r/>
    </w:p>
    <w:p>
      <w:pPr>
        <w:pStyle w:val="740"/>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2、如果我方的磋商响应文件被接受，我方将严格履行采购文件中规定的每一项要求，严格履行合同的责任和义务，保证按期、按质履行合同，完成合同所规定的全部内容。</w:t>
      </w:r>
      <w:r>
        <w:rPr>
          <w:rFonts w:hint="eastAsia" w:ascii="仿宋" w:hAnsi="仿宋" w:eastAsia="仿宋" w:cs="仿宋"/>
          <w:color w:val="000000"/>
          <w:sz w:val="24"/>
          <w:szCs w:val="24"/>
          <w:highlight w:val="none"/>
          <w:lang w:val="zh-CN"/>
        </w:rPr>
      </w:r>
      <w:r/>
    </w:p>
    <w:p>
      <w:pPr>
        <w:pStyle w:val="740"/>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3、我方已详细审查并同意采购文件及更正文件（若有）中的规定。我方完全理解并同意放弃对这方面有不明及误解的权利。</w:t>
      </w:r>
      <w:r>
        <w:rPr>
          <w:rFonts w:hint="eastAsia" w:ascii="仿宋" w:hAnsi="仿宋" w:eastAsia="仿宋" w:cs="仿宋"/>
          <w:color w:val="000000"/>
          <w:sz w:val="24"/>
          <w:szCs w:val="24"/>
          <w:highlight w:val="none"/>
          <w:lang w:val="zh-CN"/>
        </w:rPr>
      </w:r>
      <w:r/>
    </w:p>
    <w:p>
      <w:pPr>
        <w:pStyle w:val="740"/>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4、本磋商响应文件的有效期限为</w:t>
      </w:r>
      <w:r>
        <w:rPr>
          <w:rFonts w:hint="eastAsia" w:ascii="仿宋" w:hAnsi="仿宋" w:eastAsia="仿宋" w:cs="仿宋"/>
          <w:color w:val="000000"/>
          <w:sz w:val="24"/>
          <w:szCs w:val="24"/>
          <w:highlight w:val="none"/>
        </w:rPr>
        <w:t xml:space="preserve">响应文件接收</w:t>
      </w:r>
      <w:r>
        <w:rPr>
          <w:rFonts w:hint="eastAsia" w:ascii="仿宋" w:hAnsi="仿宋" w:eastAsia="仿宋" w:cs="仿宋"/>
          <w:color w:val="000000"/>
          <w:sz w:val="24"/>
          <w:szCs w:val="24"/>
          <w:highlight w:val="none"/>
          <w:lang w:val="zh-CN"/>
        </w:rPr>
        <w:t xml:space="preserve">截止时间之日起60天。</w:t>
      </w:r>
      <w:r>
        <w:rPr>
          <w:rFonts w:hint="eastAsia" w:ascii="仿宋" w:hAnsi="仿宋" w:eastAsia="仿宋" w:cs="仿宋"/>
          <w:color w:val="000000"/>
          <w:sz w:val="24"/>
          <w:szCs w:val="24"/>
          <w:highlight w:val="none"/>
          <w:lang w:val="zh-CN"/>
        </w:rPr>
      </w:r>
      <w:r/>
    </w:p>
    <w:p>
      <w:pPr>
        <w:pStyle w:val="740"/>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5、我方保证所提交的响应文件中所有资料均是真实的、准确的。若与真实情况不符，我方愿意承担由此而产生的一切后果。</w:t>
      </w:r>
      <w:r>
        <w:rPr>
          <w:rFonts w:hint="eastAsia" w:ascii="仿宋" w:hAnsi="仿宋" w:eastAsia="仿宋" w:cs="仿宋"/>
          <w:color w:val="000000"/>
          <w:sz w:val="24"/>
          <w:szCs w:val="24"/>
          <w:highlight w:val="none"/>
          <w:lang w:val="zh-CN"/>
        </w:rPr>
      </w:r>
      <w:r/>
    </w:p>
    <w:p>
      <w:pPr>
        <w:pStyle w:val="740"/>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6、我方承诺磋商响应文件在磋商开始后的全过程中保持有效，不作任何更改和变动。</w:t>
      </w:r>
      <w:r>
        <w:rPr>
          <w:rFonts w:hint="eastAsia" w:ascii="仿宋" w:hAnsi="仿宋" w:eastAsia="仿宋" w:cs="仿宋"/>
          <w:color w:val="000000"/>
          <w:sz w:val="24"/>
          <w:szCs w:val="24"/>
          <w:highlight w:val="none"/>
          <w:lang w:val="zh-CN"/>
        </w:rPr>
      </w:r>
      <w:r/>
    </w:p>
    <w:p>
      <w:pPr>
        <w:pStyle w:val="740"/>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7、我方承诺满足《中华人民共和国政府采购法》第二十二条规定的所有条件。</w:t>
      </w:r>
      <w:r>
        <w:rPr>
          <w:rFonts w:hint="eastAsia" w:ascii="仿宋" w:hAnsi="仿宋" w:eastAsia="仿宋" w:cs="仿宋"/>
          <w:color w:val="000000"/>
          <w:sz w:val="24"/>
          <w:szCs w:val="24"/>
          <w:highlight w:val="none"/>
          <w:lang w:val="zh-CN"/>
        </w:rPr>
      </w:r>
      <w:r/>
    </w:p>
    <w:p>
      <w:pPr>
        <w:pStyle w:val="740"/>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8、与本磋商相应文件有关的通讯地址：</w:t>
      </w:r>
      <w:r>
        <w:rPr>
          <w:rFonts w:hint="eastAsia" w:ascii="仿宋" w:hAnsi="仿宋" w:eastAsia="仿宋" w:cs="仿宋"/>
          <w:color w:val="000000"/>
          <w:sz w:val="24"/>
          <w:szCs w:val="24"/>
          <w:highlight w:val="none"/>
          <w:lang w:val="zh-CN"/>
        </w:rPr>
      </w:r>
      <w:r/>
    </w:p>
    <w:p>
      <w:pPr>
        <w:pStyle w:val="740"/>
        <w:ind w:firstLine="21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单   位：                                              联 系 人： </w:t>
      </w:r>
      <w:r>
        <w:rPr>
          <w:rFonts w:hint="eastAsia" w:ascii="仿宋" w:hAnsi="仿宋" w:eastAsia="仿宋" w:cs="仿宋"/>
          <w:color w:val="000000"/>
          <w:sz w:val="24"/>
          <w:szCs w:val="24"/>
          <w:highlight w:val="none"/>
          <w:lang w:val="zh-CN"/>
        </w:rPr>
      </w:r>
      <w:r/>
    </w:p>
    <w:p>
      <w:pPr>
        <w:pStyle w:val="740"/>
        <w:ind w:firstLine="21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地   址：                                              邮政编码： </w:t>
      </w:r>
      <w:r>
        <w:rPr>
          <w:rFonts w:hint="eastAsia" w:ascii="仿宋" w:hAnsi="仿宋" w:eastAsia="仿宋" w:cs="仿宋"/>
          <w:color w:val="000000"/>
          <w:sz w:val="24"/>
          <w:szCs w:val="24"/>
          <w:highlight w:val="none"/>
          <w:lang w:val="zh-CN"/>
        </w:rPr>
      </w:r>
      <w:r/>
    </w:p>
    <w:p>
      <w:pPr>
        <w:pStyle w:val="740"/>
        <w:ind w:firstLine="21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联系电话：                                             电子邮箱：</w:t>
      </w:r>
      <w:r>
        <w:rPr>
          <w:rFonts w:hint="eastAsia" w:ascii="仿宋" w:hAnsi="仿宋" w:eastAsia="仿宋" w:cs="仿宋"/>
          <w:color w:val="000000"/>
          <w:sz w:val="24"/>
          <w:szCs w:val="24"/>
          <w:highlight w:val="none"/>
          <w:lang w:val="zh-CN"/>
        </w:rPr>
      </w:r>
      <w:r/>
    </w:p>
    <w:p>
      <w:pPr>
        <w:pStyle w:val="740"/>
        <w:ind w:right="840" w:firstLine="210"/>
        <w:jc w:val="center"/>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740"/>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rPr>
        <w:t xml:space="preserve">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740"/>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740"/>
        <w:ind w:right="-200"/>
        <w:jc w:val="left"/>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附件5.磋商报价分析表</w:t>
      </w:r>
      <w:r>
        <w:rPr>
          <w:rFonts w:hint="eastAsia" w:ascii="仿宋" w:hAnsi="仿宋" w:eastAsia="仿宋" w:cs="仿宋"/>
          <w:b/>
          <w:color w:val="000000"/>
          <w:sz w:val="24"/>
          <w:szCs w:val="24"/>
          <w:highlight w:val="none"/>
        </w:rPr>
      </w:r>
      <w:r/>
    </w:p>
    <w:p>
      <w:pPr>
        <w:pStyle w:val="7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磋商报价分析表</w:t>
      </w:r>
      <w:r>
        <w:rPr>
          <w:rFonts w:hint="eastAsia" w:ascii="仿宋" w:hAnsi="仿宋" w:eastAsia="仿宋" w:cs="仿宋"/>
          <w:b/>
          <w:color w:val="000000"/>
          <w:sz w:val="24"/>
          <w:szCs w:val="24"/>
          <w:highlight w:val="none"/>
        </w:rPr>
      </w:r>
      <w:r/>
    </w:p>
    <w:p>
      <w:pPr>
        <w:pStyle w:val="740"/>
        <w:jc w:val="center"/>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tbl>
      <w:tblPr>
        <w:tblW w:w="98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W w:w="99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费用项目</w:t>
            </w:r>
            <w:r>
              <w:rPr>
                <w:rFonts w:hint="eastAsia" w:ascii="仿宋" w:hAnsi="仿宋" w:eastAsia="仿宋" w:cs="仿宋"/>
                <w:color w:val="000000"/>
                <w:sz w:val="24"/>
                <w:szCs w:val="24"/>
                <w:highlight w:val="none"/>
              </w:rPr>
            </w:r>
            <w:r/>
          </w:p>
        </w:tc>
        <w:tc>
          <w:tcPr>
            <w:tcW w:w="1409"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单位/数量</w:t>
            </w: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w:t>
            </w: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总价</w:t>
            </w: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tc>
      </w:tr>
      <w:tr>
        <w:trPr>
          <w:cantSplit/>
          <w:trHeight w:val="427"/>
        </w:trPr>
        <w:tc>
          <w:tcPr>
            <w:tcW w:w="99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93"/>
        </w:trPr>
        <w:tc>
          <w:tcPr>
            <w:tcW w:w="99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43"/>
        </w:trPr>
        <w:tc>
          <w:tcPr>
            <w:tcW w:w="99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43"/>
        </w:trPr>
        <w:tc>
          <w:tcPr>
            <w:tcW w:w="99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43"/>
        </w:trPr>
        <w:tc>
          <w:tcPr>
            <w:tcW w:w="99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43"/>
        </w:trPr>
        <w:tc>
          <w:tcPr>
            <w:tcW w:w="99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43"/>
        </w:trPr>
        <w:tc>
          <w:tcPr>
            <w:tcW w:w="99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43"/>
        </w:trPr>
        <w:tc>
          <w:tcPr>
            <w:tcW w:w="99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8"/>
        </w:trPr>
        <w:tc>
          <w:tcPr>
            <w:gridSpan w:val="2"/>
            <w:tcW w:w="3266"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合计总报价</w:t>
            </w:r>
            <w:r>
              <w:rPr>
                <w:rFonts w:hint="eastAsia" w:ascii="仿宋" w:hAnsi="仿宋" w:eastAsia="仿宋" w:cs="仿宋"/>
                <w:color w:val="000000"/>
                <w:sz w:val="24"/>
                <w:szCs w:val="24"/>
                <w:highlight w:val="none"/>
              </w:rPr>
            </w:r>
            <w:r/>
          </w:p>
        </w:tc>
        <w:tc>
          <w:tcPr>
            <w:gridSpan w:val="4"/>
            <w:tcW w:w="6592" w:type="dxa"/>
            <w:vAlign w:val="top"/>
            <w:textDirection w:val="lrTb"/>
            <w:noWrap w:val="false"/>
          </w:tcPr>
          <w:p>
            <w:pPr>
              <w:pStyle w:val="74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人民币（小写）       元</w:t>
            </w:r>
            <w:r>
              <w:rPr>
                <w:rFonts w:hint="eastAsia" w:ascii="仿宋" w:hAnsi="仿宋" w:eastAsia="仿宋" w:cs="仿宋"/>
                <w:color w:val="000000"/>
                <w:sz w:val="24"/>
                <w:szCs w:val="24"/>
                <w:highlight w:val="none"/>
              </w:rPr>
            </w:r>
            <w:r/>
          </w:p>
        </w:tc>
      </w:tr>
      <w:tr>
        <w:trPr>
          <w:cantSplit/>
          <w:trHeight w:val="518"/>
        </w:trPr>
        <w:tc>
          <w:tcPr>
            <w:gridSpan w:val="2"/>
            <w:tcW w:w="3266"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服务期限</w:t>
            </w:r>
            <w:r>
              <w:rPr>
                <w:rFonts w:hint="eastAsia" w:ascii="仿宋" w:hAnsi="仿宋" w:eastAsia="仿宋" w:cs="仿宋"/>
                <w:color w:val="000000"/>
                <w:sz w:val="24"/>
                <w:szCs w:val="24"/>
                <w:highlight w:val="none"/>
              </w:rPr>
            </w:r>
            <w:r/>
          </w:p>
        </w:tc>
        <w:tc>
          <w:tcPr>
            <w:gridSpan w:val="4"/>
            <w:tcW w:w="6592" w:type="dxa"/>
            <w:vAlign w:val="center"/>
            <w:textDirection w:val="lrTb"/>
            <w:noWrap w:val="false"/>
          </w:tcPr>
          <w:p>
            <w:pPr>
              <w:pStyle w:val="74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740"/>
        <w:ind w:right="-200"/>
        <w:jc w:val="righ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ind w:right="-200"/>
        <w:jc w:val="righ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ind w:right="-200"/>
        <w:jc w:val="righ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ind w:right="-200"/>
        <w:jc w:val="righ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740"/>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74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spacing w:line="360" w:lineRule="auto"/>
        <w:tabs>
          <w:tab w:val="left" w:pos="132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仿宋" w:hAnsi="仿宋" w:eastAsia="仿宋" w:cs="仿宋"/>
          <w:color w:val="000000"/>
          <w:sz w:val="24"/>
          <w:szCs w:val="24"/>
          <w:highlight w:val="none"/>
        </w:rPr>
      </w:r>
      <w:r/>
    </w:p>
    <w:p>
      <w:pPr>
        <w:pStyle w:val="740"/>
        <w:spacing w:line="360" w:lineRule="auto"/>
        <w:tabs>
          <w:tab w:val="left" w:pos="132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2.磋商报价分析表包含响应单位各项成本核算和投入的成本明细，合计金额应与开标一览表金额一致；否则，以开标一览表为准。</w:t>
      </w:r>
      <w:r>
        <w:rPr>
          <w:rFonts w:hint="eastAsia" w:ascii="仿宋" w:hAnsi="仿宋" w:eastAsia="仿宋" w:cs="仿宋"/>
          <w:color w:val="000000"/>
          <w:sz w:val="24"/>
          <w:szCs w:val="24"/>
          <w:highlight w:val="none"/>
        </w:rPr>
      </w:r>
      <w:r/>
    </w:p>
    <w:p>
      <w:pPr>
        <w:pStyle w:val="740"/>
        <w:spacing w:line="360" w:lineRule="auto"/>
        <w:tabs>
          <w:tab w:val="left" w:pos="1320" w:leader="none"/>
        </w:tabs>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若事</w:t>
      </w:r>
      <w:r>
        <w:rPr>
          <w:rFonts w:hint="eastAsia" w:ascii="仿宋" w:hAnsi="仿宋" w:eastAsia="仿宋" w:cs="仿宋"/>
          <w:color w:val="000000"/>
          <w:sz w:val="24"/>
          <w:szCs w:val="24"/>
          <w:highlight w:val="none"/>
        </w:rPr>
        <w:t xml:space="preserve">项较多，供应商可根据实际情况另纸说明。</w:t>
      </w:r>
      <w:r>
        <w:rPr>
          <w:rFonts w:hint="eastAsia" w:ascii="仿宋" w:hAnsi="仿宋" w:eastAsia="仿宋" w:cs="仿宋"/>
          <w:color w:val="000000"/>
          <w:sz w:val="24"/>
          <w:szCs w:val="24"/>
          <w:highlight w:val="none"/>
        </w:rPr>
      </w:r>
      <w:r/>
    </w:p>
    <w:p>
      <w:pPr>
        <w:pStyle w:val="740"/>
        <w:spacing w:line="360" w:lineRule="auto"/>
        <w:tabs>
          <w:tab w:val="left" w:pos="1320"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附件6.法定代表人授权委托书</w:t>
      </w:r>
      <w:r>
        <w:rPr>
          <w:rFonts w:hint="eastAsia" w:ascii="仿宋" w:hAnsi="仿宋" w:eastAsia="仿宋" w:cs="仿宋"/>
          <w:b/>
          <w:color w:val="000000"/>
          <w:sz w:val="24"/>
          <w:szCs w:val="24"/>
          <w:highlight w:val="none"/>
        </w:rPr>
      </w:r>
      <w:r/>
    </w:p>
    <w:p>
      <w:pPr>
        <w:pStyle w:val="740"/>
        <w:ind w:firstLine="3584"/>
        <w:spacing w:before="100" w:beforeAutospacing="1" w:after="100" w:afterAutospacing="1" w:line="48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法定代表人授权委托书</w:t>
      </w:r>
      <w:r>
        <w:rPr>
          <w:rFonts w:hint="eastAsia" w:ascii="仿宋" w:hAnsi="仿宋" w:eastAsia="仿宋" w:cs="仿宋"/>
          <w:b/>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本授权委托书声明：  我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（姓名）系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供应商名称）的法定代表人，现授权委托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（姓名）为我公司授权代表（即代理人），以本公司的名义参</w:t>
      </w:r>
      <w:r>
        <w:rPr>
          <w:rFonts w:hint="eastAsia" w:ascii="仿宋" w:hAnsi="仿宋" w:eastAsia="仿宋" w:cs="仿宋"/>
          <w:color w:val="000000"/>
          <w:sz w:val="24"/>
          <w:szCs w:val="24"/>
          <w:highlight w:val="none"/>
          <w:u w:val="single"/>
        </w:rPr>
        <w:t xml:space="preserve">加苏州恒中造价师事务所有限责任公司</w:t>
      </w:r>
      <w:r>
        <w:rPr>
          <w:rFonts w:hint="eastAsia" w:ascii="仿宋" w:hAnsi="仿宋" w:eastAsia="仿宋" w:cs="仿宋"/>
          <w:color w:val="000000"/>
          <w:sz w:val="24"/>
          <w:szCs w:val="24"/>
          <w:highlight w:val="none"/>
        </w:rPr>
        <w:t xml:space="preserve">组织实施的编号为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号（项目编号）的竞争性磋商活动。代理人在磋商活动过程中所签署的一切文件和处理与这有关的一切事务，我均予以承认。</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代理人无转委托权。特此委托。</w:t>
      </w:r>
      <w:r>
        <w:rPr>
          <w:rFonts w:hint="eastAsia" w:ascii="仿宋" w:hAnsi="仿宋" w:eastAsia="仿宋" w:cs="仿宋"/>
          <w:color w:val="000000"/>
          <w:sz w:val="24"/>
          <w:szCs w:val="24"/>
          <w:highlight w:val="none"/>
        </w:rPr>
      </w:r>
      <w:r/>
    </w:p>
    <w:p>
      <w:pPr>
        <w:pStyle w:val="740"/>
        <w:ind w:right="420" w:firstLine="315"/>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ind w:right="420" w:firstLine="315"/>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40"/>
        <w:ind w:right="420" w:firstLine="315"/>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法定代表人：（签字或盖章）</w:t>
      </w:r>
      <w:r>
        <w:rPr>
          <w:rFonts w:hint="eastAsia" w:ascii="仿宋" w:hAnsi="仿宋" w:eastAsia="仿宋" w:cs="仿宋"/>
          <w:color w:val="000000"/>
          <w:sz w:val="24"/>
          <w:szCs w:val="24"/>
          <w:highlight w:val="none"/>
          <w:lang w:val="zh-CN"/>
        </w:rPr>
      </w:r>
      <w:r/>
    </w:p>
    <w:p>
      <w:pPr>
        <w:pStyle w:val="740"/>
        <w:ind w:right="90"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740"/>
        <w:ind w:right="615"/>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br w:type="page" w:clear="all"/>
      </w:r>
      <w:bookmarkStart w:id="35" w:name="_Toc7945"/>
      <w:r/>
      <w:bookmarkStart w:id="36" w:name="_Toc241"/>
      <w:r>
        <w:rPr>
          <w:rFonts w:hint="eastAsia" w:ascii="仿宋" w:hAnsi="仿宋" w:eastAsia="仿宋" w:cs="仿宋"/>
          <w:b/>
          <w:color w:val="000000"/>
          <w:sz w:val="24"/>
          <w:szCs w:val="24"/>
          <w:highlight w:val="none"/>
        </w:rPr>
        <w:t xml:space="preserve">附件7.偏离表</w:t>
      </w:r>
      <w:r>
        <w:rPr>
          <w:rFonts w:hint="eastAsia" w:ascii="仿宋" w:hAnsi="仿宋" w:eastAsia="仿宋" w:cs="仿宋"/>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center"/>
        <w:spacing w:line="4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偏离表（技术、商务）</w:t>
      </w:r>
      <w:r>
        <w:rPr>
          <w:rFonts w:hint="eastAsia" w:ascii="仿宋" w:hAnsi="仿宋" w:eastAsia="仿宋" w:cs="仿宋"/>
          <w:b/>
          <w:color w:val="000000"/>
          <w:sz w:val="24"/>
          <w:szCs w:val="24"/>
          <w:highlight w:val="none"/>
        </w:rPr>
      </w:r>
      <w:r/>
    </w:p>
    <w:p>
      <w:pPr>
        <w:pStyle w:val="82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5168" w:type="pct"/>
        <w:tblInd w:w="-3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1"/>
        <w:gridCol w:w="1565"/>
        <w:gridCol w:w="1704"/>
        <w:gridCol w:w="1828"/>
        <w:gridCol w:w="1581"/>
        <w:gridCol w:w="1219"/>
      </w:tblGrid>
      <w:tr>
        <w:trPr>
          <w:trHeight w:val="760"/>
        </w:trPr>
        <w:tc>
          <w:tcPr>
            <w:tcW w:w="51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w:t>
            </w: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采购要求</w:t>
            </w: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响应情况</w:t>
            </w: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偏离说明</w:t>
            </w:r>
            <w:r>
              <w:rPr>
                <w:rFonts w:hint="eastAsia" w:ascii="仿宋" w:hAnsi="仿宋" w:eastAsia="仿宋" w:cs="仿宋"/>
                <w:color w:val="000000"/>
                <w:sz w:val="24"/>
                <w:szCs w:val="24"/>
                <w:highlight w:val="none"/>
              </w:rPr>
            </w:r>
            <w:r/>
          </w:p>
        </w:tc>
        <w:tc>
          <w:tcPr>
            <w:tcW w:w="691"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证明材料</w:t>
            </w:r>
            <w:r>
              <w:rPr>
                <w:rFonts w:hint="eastAsia" w:ascii="仿宋" w:hAnsi="仿宋" w:eastAsia="仿宋" w:cs="仿宋"/>
                <w:color w:val="000000"/>
                <w:sz w:val="24"/>
                <w:szCs w:val="24"/>
                <w:highlight w:val="none"/>
              </w:rPr>
            </w:r>
            <w:r/>
          </w:p>
        </w:tc>
      </w:tr>
      <w:tr>
        <w:trPr>
          <w:cantSplit/>
          <w:trHeight w:val="495"/>
        </w:trPr>
        <w:tc>
          <w:tcPr>
            <w:tcW w:w="51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740"/>
        <w:jc w:val="left"/>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740"/>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740"/>
        <w:ind w:right="48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注：1.供应商应在本表中对照磋商采购文件要求逐项对应列出响应内容，并在“偏离说明”项下填写以下内容：优于的，填写“正偏离”；符合的，填写“无偏离”；低于的，填写“负偏离”。</w:t>
      </w:r>
      <w:r>
        <w:rPr>
          <w:rFonts w:hint="eastAsia" w:ascii="仿宋" w:hAnsi="仿宋" w:eastAsia="仿宋" w:cs="仿宋"/>
          <w:color w:val="000000"/>
          <w:sz w:val="24"/>
          <w:szCs w:val="24"/>
          <w:highlight w:val="none"/>
        </w:rPr>
      </w:r>
      <w:r/>
    </w:p>
    <w:p>
      <w:pPr>
        <w:pStyle w:val="740"/>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2.若事项较多，供应商可根据实际情况另纸说明。</w:t>
      </w:r>
      <w:r>
        <w:rPr>
          <w:rFonts w:hint="eastAsia" w:ascii="仿宋" w:hAnsi="仿宋" w:eastAsia="仿宋" w:cs="仿宋"/>
          <w:color w:val="000000"/>
          <w:sz w:val="24"/>
          <w:szCs w:val="24"/>
          <w:highlight w:val="none"/>
        </w:rPr>
      </w:r>
      <w:r/>
    </w:p>
    <w:p>
      <w:pPr>
        <w:pStyle w:val="740"/>
        <w:ind w:firstLine="42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ind w:firstLine="42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740"/>
        <w:ind w:firstLine="42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827"/>
        <w:rPr>
          <w:color w:val="000000"/>
          <w:highlight w:val="none"/>
          <w:lang w:val="zh-CN"/>
        </w:rPr>
      </w:pPr>
      <w:r>
        <w:rPr>
          <w:color w:val="000000"/>
          <w:highlight w:val="none"/>
          <w:lang w:val="zh-CN"/>
        </w:rPr>
      </w:r>
      <w:r>
        <w:rPr>
          <w:color w:val="000000"/>
          <w:highlight w:val="none"/>
          <w:lang w:val="zh-CN"/>
        </w:rPr>
      </w:r>
    </w:p>
    <w:p>
      <w:pPr>
        <w:pStyle w:val="827"/>
        <w:rPr>
          <w:color w:val="000000"/>
          <w:highlight w:val="none"/>
          <w:lang w:val="zh-CN"/>
        </w:rPr>
      </w:pPr>
      <w:r>
        <w:rPr>
          <w:color w:val="000000"/>
          <w:highlight w:val="none"/>
          <w:lang w:val="zh-CN"/>
        </w:rPr>
      </w:r>
      <w:r/>
    </w:p>
    <w:p>
      <w:pPr>
        <w:pStyle w:val="827"/>
        <w:rPr>
          <w:color w:val="000000"/>
          <w:highlight w:val="none"/>
          <w:lang w:val="zh-CN"/>
        </w:rPr>
      </w:pPr>
      <w:r>
        <w:rPr>
          <w:color w:val="000000"/>
          <w:highlight w:val="none"/>
          <w:lang w:val="zh-CN"/>
        </w:rPr>
      </w:r>
      <w:r/>
    </w:p>
    <w:p>
      <w:pPr>
        <w:pStyle w:val="740"/>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附件8.</w:t>
      </w:r>
      <w:r>
        <w:rPr>
          <w:rFonts w:hint="eastAsia" w:ascii="仿宋" w:hAnsi="仿宋" w:eastAsia="仿宋" w:cs="仿宋"/>
          <w:color w:val="000000"/>
          <w:sz w:val="24"/>
          <w:szCs w:val="24"/>
          <w:highlight w:val="none"/>
        </w:rPr>
        <w:t xml:space="preserve"> </w:t>
      </w:r>
      <w:r>
        <w:rPr>
          <w:rFonts w:hint="eastAsia" w:ascii="仿宋" w:hAnsi="仿宋" w:eastAsia="仿宋" w:cs="仿宋"/>
          <w:b/>
          <w:color w:val="000000"/>
          <w:sz w:val="24"/>
          <w:szCs w:val="24"/>
          <w:highlight w:val="none"/>
        </w:rPr>
        <w:t xml:space="preserve">项目服务人员配置表（参考格式）</w:t>
      </w:r>
      <w:r>
        <w:rPr>
          <w:rFonts w:hint="eastAsia" w:ascii="仿宋" w:hAnsi="仿宋" w:eastAsia="仿宋" w:cs="仿宋"/>
          <w:b/>
          <w:color w:val="000000"/>
          <w:sz w:val="24"/>
          <w:szCs w:val="24"/>
          <w:highlight w:val="none"/>
        </w:rPr>
      </w:r>
      <w:r/>
    </w:p>
    <w:p>
      <w:pPr>
        <w:pStyle w:val="740"/>
        <w:jc w:val="center"/>
        <w:keepLines w:val="0"/>
        <w:keepNext w:val="0"/>
        <w:pageBreakBefore w:val="0"/>
        <w:spacing w:before="181" w:after="181" w:line="400" w:lineRule="exact"/>
        <w:widowControl w:val="off"/>
        <w:rPr>
          <w:rFonts w:hint="eastAsia" w:ascii="仿宋" w:hAnsi="仿宋" w:eastAsia="仿宋" w:cs="仿宋"/>
          <w:b/>
          <w:bCs/>
          <w:color w:val="000000"/>
          <w:spacing w:val="20"/>
          <w:sz w:val="24"/>
          <w:szCs w:val="24"/>
          <w:highlight w:val="none"/>
        </w:rPr>
      </w:pPr>
      <w:r>
        <w:rPr>
          <w:rFonts w:hint="eastAsia" w:ascii="仿宋" w:hAnsi="仿宋" w:eastAsia="仿宋" w:cs="仿宋"/>
          <w:b/>
          <w:bCs/>
          <w:color w:val="000000"/>
          <w:spacing w:val="20"/>
          <w:sz w:val="24"/>
          <w:szCs w:val="24"/>
          <w:highlight w:val="none"/>
        </w:rPr>
        <w:t xml:space="preserve">项目服务人员配置表</w:t>
      </w:r>
      <w:r>
        <w:rPr>
          <w:rFonts w:hint="eastAsia" w:ascii="仿宋" w:hAnsi="仿宋" w:eastAsia="仿宋" w:cs="仿宋"/>
          <w:b/>
          <w:bCs/>
          <w:color w:val="000000"/>
          <w:spacing w:val="20"/>
          <w:sz w:val="24"/>
          <w:szCs w:val="24"/>
          <w:highlight w:val="none"/>
        </w:rPr>
      </w:r>
      <w:r/>
    </w:p>
    <w:tbl>
      <w:tblPr>
        <w:tblW w:w="511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127"/>
        <w:gridCol w:w="1235"/>
        <w:gridCol w:w="1346"/>
        <w:gridCol w:w="1235"/>
        <w:gridCol w:w="959"/>
        <w:gridCol w:w="959"/>
        <w:gridCol w:w="1153"/>
      </w:tblGrid>
      <w:tr>
        <w:trPr>
          <w:trHeight w:val="760"/>
        </w:trPr>
        <w:tc>
          <w:tcPr>
            <w:tcW w:w="401" w:type="dxa"/>
            <w:vAlign w:val="center"/>
            <w:textDirection w:val="lrTb"/>
            <w:noWrap w:val="false"/>
          </w:tcPr>
          <w:p>
            <w:pPr>
              <w:pStyle w:val="740"/>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rPr>
                <w:rFonts w:hint="eastAsia" w:ascii="仿宋" w:hAnsi="仿宋" w:eastAsia="仿宋" w:cs="仿宋"/>
                <w:sz w:val="24"/>
                <w:szCs w:val="24"/>
                <w:highlight w:val="none"/>
              </w:rPr>
            </w:r>
            <w:r/>
          </w:p>
        </w:tc>
        <w:tc>
          <w:tcPr>
            <w:tcW w:w="646" w:type="dxa"/>
            <w:vAlign w:val="center"/>
            <w:textDirection w:val="lrTb"/>
            <w:noWrap w:val="false"/>
          </w:tcPr>
          <w:p>
            <w:pPr>
              <w:pStyle w:val="740"/>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姓名</w:t>
            </w: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性别</w:t>
            </w:r>
            <w:r>
              <w:rPr>
                <w:rFonts w:hint="eastAsia" w:ascii="仿宋" w:hAnsi="仿宋" w:eastAsia="仿宋" w:cs="仿宋"/>
                <w:sz w:val="24"/>
                <w:szCs w:val="24"/>
                <w:highlight w:val="none"/>
              </w:rPr>
            </w:r>
            <w:r/>
          </w:p>
        </w:tc>
        <w:tc>
          <w:tcPr>
            <w:tcW w:w="772" w:type="dxa"/>
            <w:vAlign w:val="center"/>
            <w:textDirection w:val="lrTb"/>
            <w:noWrap w:val="false"/>
          </w:tcPr>
          <w:p>
            <w:pPr>
              <w:pStyle w:val="740"/>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年龄</w:t>
            </w: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学历</w:t>
            </w: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职称</w:t>
            </w: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项目业绩经验</w:t>
            </w:r>
            <w:r>
              <w:rPr>
                <w:rFonts w:hint="eastAsia" w:ascii="仿宋" w:hAnsi="仿宋" w:eastAsia="仿宋" w:cs="仿宋"/>
                <w:sz w:val="24"/>
                <w:szCs w:val="24"/>
                <w:highlight w:val="none"/>
              </w:rPr>
            </w:r>
            <w:r/>
          </w:p>
        </w:tc>
        <w:tc>
          <w:tcPr>
            <w:tcW w:w="661" w:type="dxa"/>
            <w:vAlign w:val="top"/>
            <w:textDirection w:val="lrTb"/>
            <w:noWrap w:val="false"/>
          </w:tcPr>
          <w:p>
            <w:pPr>
              <w:pStyle w:val="740"/>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是否为固定组成员（打★）</w:t>
            </w: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646"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W w:w="646"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W w:w="646"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r>
            <w:r/>
          </w:p>
        </w:tc>
        <w:tc>
          <w:tcPr>
            <w:tcW w:w="646"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W w:w="646"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90"/>
        </w:trPr>
        <w:tc>
          <w:tcPr>
            <w:tcW w:w="401"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rPr>
            </w:r>
            <w:r/>
          </w:p>
        </w:tc>
        <w:tc>
          <w:tcPr>
            <w:tcW w:w="646"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rPr>
            </w:r>
            <w:r/>
          </w:p>
        </w:tc>
        <w:tc>
          <w:tcPr>
            <w:tcW w:w="646"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rPr>
            </w:r>
            <w:r/>
          </w:p>
        </w:tc>
        <w:tc>
          <w:tcPr>
            <w:tcW w:w="646"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rPr>
            </w:r>
            <w:r/>
          </w:p>
        </w:tc>
        <w:tc>
          <w:tcPr>
            <w:tcW w:w="646"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eastAsia="zh-CN"/>
              </w:rPr>
            </w:r>
            <w:r/>
          </w:p>
        </w:tc>
        <w:tc>
          <w:tcPr>
            <w:tcW w:w="646"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74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注：1.若事项较多，供应商可根据实际情况另纸说明。</w:t>
      </w:r>
      <w:r>
        <w:rPr>
          <w:rFonts w:hint="eastAsia" w:ascii="仿宋" w:hAnsi="仿宋" w:eastAsia="仿宋" w:cs="仿宋"/>
          <w:color w:val="000000"/>
          <w:sz w:val="24"/>
          <w:szCs w:val="24"/>
          <w:highlight w:val="none"/>
        </w:rPr>
      </w:r>
      <w:r/>
    </w:p>
    <w:p>
      <w:pPr>
        <w:pStyle w:val="740"/>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2.请将相关证明材料复印件加盖公章后附在本表后面。</w:t>
      </w:r>
      <w:r>
        <w:rPr>
          <w:rFonts w:hint="eastAsia" w:ascii="仿宋" w:hAnsi="仿宋" w:eastAsia="仿宋" w:cs="仿宋"/>
          <w:color w:val="000000"/>
          <w:sz w:val="24"/>
          <w:szCs w:val="24"/>
          <w:highlight w:val="none"/>
        </w:rPr>
      </w:r>
      <w:r/>
    </w:p>
    <w:p>
      <w:pPr>
        <w:pStyle w:val="740"/>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740"/>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740"/>
        <w:ind w:left="0" w:firstLine="422"/>
        <w:spacing w:line="360" w:lineRule="auto"/>
        <w:rPr>
          <w:rFonts w:hint="eastAsia" w:ascii="仿宋" w:hAnsi="仿宋" w:eastAsia="仿宋" w:cs="仿宋"/>
          <w:sz w:val="24"/>
          <w:szCs w:val="24"/>
          <w:highlight w:val="none"/>
        </w:rPr>
      </w:pPr>
      <w:r>
        <w:rPr>
          <w:rFonts w:hint="eastAsia" w:ascii="仿宋" w:hAnsi="仿宋" w:eastAsia="仿宋" w:cs="仿宋"/>
          <w:b/>
          <w:color w:val="000000"/>
          <w:sz w:val="24"/>
          <w:szCs w:val="24"/>
          <w:highlight w:val="none"/>
          <w:lang w:val="en-US" w:eastAsia="zh-CN"/>
        </w:rPr>
        <w:t xml:space="preserve">提示：</w:t>
      </w:r>
      <w:r>
        <w:rPr>
          <w:rFonts w:hint="eastAsia" w:ascii="仿宋" w:hAnsi="仿宋" w:eastAsia="仿宋" w:cs="仿宋"/>
          <w:b/>
          <w:color w:val="000000"/>
          <w:sz w:val="24"/>
          <w:szCs w:val="24"/>
          <w:highlight w:val="none"/>
          <w:lang w:val="zh-CN"/>
        </w:rPr>
        <w:t xml:space="preserve">响应单位的响应文件中，需提供拟派项目组人员，</w:t>
      </w:r>
      <w:r>
        <w:rPr>
          <w:rFonts w:hint="eastAsia" w:ascii="仿宋" w:hAnsi="仿宋" w:eastAsia="仿宋" w:cs="仿宋"/>
          <w:b/>
          <w:color w:val="000000"/>
          <w:sz w:val="24"/>
          <w:szCs w:val="24"/>
          <w:highlight w:val="none"/>
        </w:rPr>
        <w:t xml:space="preserve">服务项目团队不得低于</w:t>
      </w:r>
      <w:r>
        <w:rPr>
          <w:rFonts w:hint="eastAsia" w:ascii="仿宋" w:hAnsi="仿宋" w:eastAsia="仿宋" w:cs="仿宋"/>
          <w:b/>
          <w:color w:val="000000"/>
          <w:sz w:val="24"/>
          <w:szCs w:val="24"/>
          <w:highlight w:val="none"/>
          <w:lang w:val="en-US" w:eastAsia="zh-CN"/>
        </w:rPr>
        <w:t xml:space="preserve">6</w:t>
      </w:r>
      <w:r>
        <w:rPr>
          <w:rFonts w:hint="eastAsia" w:ascii="仿宋" w:hAnsi="仿宋" w:eastAsia="仿宋" w:cs="仿宋"/>
          <w:b/>
          <w:color w:val="000000"/>
          <w:sz w:val="24"/>
          <w:szCs w:val="24"/>
          <w:highlight w:val="none"/>
        </w:rPr>
        <w:t xml:space="preserve">人，固定服务成员不少于</w:t>
      </w:r>
      <w:r>
        <w:rPr>
          <w:rFonts w:hint="eastAsia" w:ascii="仿宋" w:hAnsi="仿宋" w:eastAsia="仿宋" w:cs="仿宋"/>
          <w:b/>
          <w:color w:val="000000"/>
          <w:sz w:val="24"/>
          <w:szCs w:val="24"/>
          <w:highlight w:val="none"/>
          <w:lang w:val="en-US" w:eastAsia="zh-CN"/>
        </w:rPr>
        <w:t xml:space="preserve">4</w:t>
      </w:r>
      <w:r>
        <w:rPr>
          <w:rFonts w:hint="eastAsia" w:ascii="仿宋" w:hAnsi="仿宋" w:eastAsia="仿宋" w:cs="仿宋"/>
          <w:b/>
          <w:color w:val="000000"/>
          <w:sz w:val="24"/>
          <w:szCs w:val="24"/>
          <w:highlight w:val="none"/>
        </w:rPr>
        <w:t xml:space="preserve">人（固定成员</w:t>
      </w:r>
      <w:r>
        <w:rPr>
          <w:rFonts w:hint="eastAsia" w:ascii="仿宋" w:hAnsi="仿宋" w:eastAsia="仿宋" w:cs="仿宋"/>
          <w:b/>
          <w:sz w:val="24"/>
          <w:szCs w:val="24"/>
          <w:highlight w:val="none"/>
        </w:rPr>
        <w:t xml:space="preserve">须在第三章《项目服务人员配置表》中</w:t>
      </w:r>
      <w:r>
        <w:rPr>
          <w:rFonts w:hint="eastAsia" w:ascii="仿宋" w:hAnsi="仿宋" w:eastAsia="仿宋" w:cs="仿宋"/>
          <w:b/>
          <w:color w:val="000000"/>
          <w:sz w:val="24"/>
          <w:szCs w:val="24"/>
          <w:highlight w:val="none"/>
        </w:rPr>
        <w:t xml:space="preserve">打★）</w:t>
      </w:r>
      <w:r>
        <w:rPr>
          <w:rFonts w:hint="eastAsia" w:ascii="仿宋" w:hAnsi="仿宋" w:eastAsia="仿宋" w:cs="仿宋"/>
          <w:b/>
          <w:color w:val="000000"/>
          <w:sz w:val="24"/>
          <w:szCs w:val="24"/>
          <w:highlight w:val="none"/>
          <w:lang w:val="zh-CN"/>
        </w:rPr>
        <w:t xml:space="preserve">。财务从业人员是指按照行业相关规定，具备会计专业服务能力，熟悉掌握《预算法》《会计法》《审计法》，具备一定会计从业经验的财务从业人员，</w:t>
      </w:r>
      <w:r>
        <w:rPr>
          <w:rFonts w:hint="eastAsia" w:ascii="仿宋" w:hAnsi="仿宋" w:eastAsia="仿宋" w:cs="仿宋"/>
          <w:b/>
          <w:color w:val="000000"/>
          <w:sz w:val="24"/>
          <w:szCs w:val="24"/>
          <w:highlight w:val="none"/>
          <w:lang w:val="en-US" w:eastAsia="zh-CN"/>
        </w:rPr>
        <w:t xml:space="preserve">服务项目团队</w:t>
      </w:r>
      <w:r>
        <w:rPr>
          <w:rFonts w:hint="eastAsia" w:ascii="仿宋" w:hAnsi="仿宋" w:eastAsia="仿宋" w:cs="仿宋"/>
          <w:b/>
          <w:color w:val="000000"/>
          <w:sz w:val="24"/>
          <w:szCs w:val="24"/>
          <w:highlight w:val="none"/>
          <w:lang w:val="zh-CN"/>
        </w:rPr>
        <w:t xml:space="preserve">其中至少1人为注册会计师。上述固定成员在成交后不得变更；响应单位提供的项目组成员同时出现在两家及以上的，若涉及提供虚假材料将按照《中华人民共和国政府采购法》第七十七</w:t>
      </w:r>
      <w:r>
        <w:rPr>
          <w:rFonts w:hint="eastAsia" w:ascii="仿宋" w:hAnsi="仿宋" w:eastAsia="仿宋" w:cs="仿宋"/>
          <w:b/>
          <w:color w:val="000000"/>
          <w:sz w:val="24"/>
          <w:szCs w:val="24"/>
          <w:highlight w:val="none"/>
        </w:rPr>
        <w:t xml:space="preserve">条</w:t>
      </w:r>
      <w:r>
        <w:rPr>
          <w:rFonts w:hint="eastAsia" w:ascii="仿宋" w:hAnsi="仿宋" w:eastAsia="仿宋" w:cs="仿宋"/>
          <w:b/>
          <w:color w:val="000000"/>
          <w:sz w:val="24"/>
          <w:szCs w:val="24"/>
          <w:highlight w:val="none"/>
          <w:lang w:val="zh-CN"/>
        </w:rPr>
        <w:t xml:space="preserve">执行。</w:t>
      </w:r>
      <w:r>
        <w:rPr>
          <w:rFonts w:hint="eastAsia" w:ascii="仿宋" w:hAnsi="仿宋" w:eastAsia="仿宋" w:cs="仿宋"/>
          <w:b/>
          <w:sz w:val="24"/>
          <w:szCs w:val="24"/>
          <w:highlight w:val="none"/>
        </w:rPr>
        <w:t xml:space="preserve">响应单位不得提供退休人员，若提供退休人员视为未实质性响应采购需求。</w:t>
      </w:r>
      <w:r>
        <w:rPr>
          <w:rFonts w:hint="eastAsia" w:ascii="仿宋" w:hAnsi="仿宋" w:eastAsia="仿宋" w:cs="仿宋"/>
          <w:sz w:val="24"/>
          <w:szCs w:val="24"/>
          <w:highlight w:val="none"/>
        </w:rPr>
      </w:r>
      <w:r/>
    </w:p>
    <w:p>
      <w:pPr>
        <w:pStyle w:val="740"/>
        <w:jc w:val="both"/>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pStyle w:val="740"/>
        <w:jc w:val="center"/>
        <w:spacing w:line="360" w:lineRule="auto"/>
        <w:rPr>
          <w:rFonts w:hint="eastAsia" w:ascii="仿宋" w:hAnsi="仿宋" w:eastAsia="仿宋" w:cs="仿宋"/>
          <w:b/>
          <w:bCs/>
          <w:color w:val="000000"/>
          <w:sz w:val="24"/>
          <w:szCs w:val="24"/>
          <w:highlight w:val="none"/>
        </w:rPr>
        <w:outlineLvl w:val="9"/>
      </w:pPr>
      <w:r>
        <w:rPr>
          <w:rFonts w:hint="eastAsia" w:ascii="仿宋" w:hAnsi="仿宋" w:eastAsia="仿宋" w:cs="仿宋"/>
          <w:b/>
          <w:color w:val="000000"/>
          <w:sz w:val="24"/>
          <w:szCs w:val="24"/>
          <w:highlight w:val="none"/>
        </w:rPr>
        <w:t xml:space="preserve">项目组主评人</w:t>
      </w:r>
      <w:r>
        <w:rPr>
          <w:rFonts w:hint="eastAsia" w:ascii="仿宋" w:hAnsi="仿宋" w:eastAsia="仿宋" w:cs="仿宋"/>
          <w:b/>
          <w:bCs/>
          <w:color w:val="000000"/>
          <w:sz w:val="24"/>
          <w:szCs w:val="24"/>
          <w:highlight w:val="none"/>
        </w:rPr>
        <w:t xml:space="preserve">介绍</w:t>
      </w:r>
      <w:r>
        <w:rPr>
          <w:rFonts w:hint="eastAsia" w:ascii="仿宋" w:hAnsi="仿宋" w:eastAsia="仿宋" w:cs="仿宋"/>
          <w:b/>
          <w:bCs/>
          <w:color w:val="000000"/>
          <w:sz w:val="24"/>
          <w:szCs w:val="24"/>
          <w:highlight w:val="none"/>
        </w:rPr>
      </w:r>
      <w:r/>
    </w:p>
    <w:p>
      <w:pPr>
        <w:pStyle w:val="740"/>
        <w:ind w:firstLine="48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66"/>
        <w:gridCol w:w="968"/>
        <w:gridCol w:w="966"/>
        <w:gridCol w:w="966"/>
        <w:gridCol w:w="968"/>
        <w:gridCol w:w="966"/>
        <w:gridCol w:w="2719"/>
      </w:tblGrid>
      <w:tr>
        <w:trPr>
          <w:trHeight w:val="270"/>
        </w:trPr>
        <w:tc>
          <w:tcPr>
            <w:gridSpan w:val="2"/>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 名</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性 别</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职称</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94" w:type="dxa"/>
            <w:vAlign w:val="center"/>
            <w:textDirection w:val="lrTb"/>
            <w:noWrap w:val="false"/>
          </w:tcPr>
          <w:p>
            <w:pPr>
              <w:pStyle w:val="740"/>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　</w:t>
            </w:r>
            <w:r>
              <w:rPr>
                <w:rFonts w:hint="eastAsia" w:ascii="仿宋" w:hAnsi="仿宋" w:eastAsia="仿宋" w:cs="仿宋"/>
                <w:b/>
                <w:bCs/>
                <w:color w:val="000000"/>
                <w:sz w:val="24"/>
                <w:szCs w:val="24"/>
                <w:highlight w:val="none"/>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 务</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岗位</w:t>
            </w:r>
            <w:r>
              <w:rPr>
                <w:rFonts w:hint="eastAsia" w:ascii="仿宋" w:hAnsi="仿宋" w:eastAsia="仿宋" w:cs="仿宋"/>
                <w:color w:val="000000"/>
                <w:sz w:val="24"/>
                <w:szCs w:val="24"/>
                <w:highlight w:val="none"/>
              </w:rPr>
            </w:r>
            <w:r/>
          </w:p>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资格</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学历</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pStyle w:val="74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　</w:t>
            </w:r>
            <w:r>
              <w:rPr>
                <w:rFonts w:hint="eastAsia" w:ascii="仿宋" w:hAnsi="仿宋" w:eastAsia="仿宋" w:cs="仿宋"/>
                <w:b/>
                <w:bCs/>
                <w:color w:val="000000"/>
                <w:sz w:val="24"/>
                <w:szCs w:val="24"/>
                <w:highlight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何时何校何专业毕业</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　</w:t>
            </w:r>
            <w:r>
              <w:rPr>
                <w:rFonts w:hint="eastAsia" w:ascii="仿宋" w:hAnsi="仿宋" w:eastAsia="仿宋" w:cs="仿宋"/>
                <w:b/>
                <w:bCs/>
                <w:color w:val="000000"/>
                <w:sz w:val="24"/>
                <w:szCs w:val="24"/>
                <w:highlight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w:t>
            </w: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手机</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岗位资历</w:t>
            </w: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年</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传真</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由何年月至何年月</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在何单位从事何工作、任何职</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工作经历</w:t>
            </w: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由何年月至何年月</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在何项目从事何工作、任何职</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个人</w:t>
            </w:r>
            <w:r>
              <w:rPr>
                <w:rFonts w:hint="eastAsia" w:ascii="仿宋" w:hAnsi="仿宋" w:eastAsia="仿宋" w:cs="仿宋"/>
                <w:color w:val="000000"/>
                <w:sz w:val="24"/>
                <w:szCs w:val="24"/>
                <w:highlight w:val="none"/>
              </w:rPr>
            </w:r>
            <w:r/>
          </w:p>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业绩</w:t>
            </w: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85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本人签字：                                                   年    月   日</w:t>
            </w:r>
            <w:r>
              <w:rPr>
                <w:rFonts w:hint="eastAsia" w:ascii="仿宋" w:hAnsi="仿宋" w:eastAsia="仿宋" w:cs="仿宋"/>
                <w:color w:val="000000"/>
                <w:sz w:val="24"/>
                <w:szCs w:val="24"/>
                <w:highlight w:val="none"/>
              </w:rPr>
            </w:r>
            <w:r/>
          </w:p>
        </w:tc>
      </w:tr>
    </w:tbl>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供应商名称：（公章）</w:t>
      </w:r>
      <w:r>
        <w:rPr>
          <w:rFonts w:hint="eastAsia" w:ascii="仿宋" w:hAnsi="仿宋" w:eastAsia="仿宋" w:cs="仿宋"/>
          <w:color w:val="000000"/>
          <w:sz w:val="24"/>
          <w:szCs w:val="24"/>
          <w:highlight w:val="none"/>
          <w:lang w:eastAsia="zh-CN"/>
        </w:rPr>
      </w:r>
      <w:r/>
    </w:p>
    <w:p>
      <w:pPr>
        <w:pStyle w:val="74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法定代表人或被授权人：（签字或盖章）                   年  月  日</w:t>
      </w:r>
      <w:r>
        <w:rPr>
          <w:rFonts w:hint="eastAsia" w:ascii="仿宋" w:hAnsi="仿宋" w:eastAsia="仿宋" w:cs="仿宋"/>
          <w:color w:val="000000"/>
          <w:sz w:val="24"/>
          <w:szCs w:val="24"/>
          <w:highlight w:val="none"/>
        </w:rPr>
      </w:r>
      <w:r/>
    </w:p>
    <w:p>
      <w:pPr>
        <w:pStyle w:val="75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left"/>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r>
      <w:r>
        <w:rPr>
          <w:rFonts w:hint="eastAsia" w:ascii="仿宋" w:hAnsi="仿宋" w:eastAsia="仿宋" w:cs="仿宋"/>
          <w:b/>
          <w:color w:val="000000"/>
          <w:sz w:val="24"/>
          <w:szCs w:val="24"/>
          <w:highlight w:val="none"/>
        </w:rPr>
      </w:r>
    </w:p>
    <w:p>
      <w:pPr>
        <w:pStyle w:val="740"/>
        <w:jc w:val="left"/>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附件9.针对本项目的技术方案及制度</w:t>
      </w:r>
      <w:r>
        <w:rPr>
          <w:rFonts w:hint="eastAsia" w:ascii="仿宋" w:hAnsi="仿宋" w:eastAsia="仿宋" w:cs="仿宋"/>
          <w:b/>
          <w:color w:val="000000"/>
          <w:sz w:val="24"/>
          <w:szCs w:val="24"/>
          <w:highlight w:val="none"/>
        </w:rPr>
      </w:r>
      <w:r/>
    </w:p>
    <w:p>
      <w:pPr>
        <w:pStyle w:val="740"/>
        <w:jc w:val="center"/>
        <w:keepLines w:val="0"/>
        <w:keepNext w:val="0"/>
        <w:pageBreakBefore w:val="0"/>
        <w:spacing w:before="181" w:after="181" w:line="400" w:lineRule="exact"/>
        <w:widowControl w:val="off"/>
        <w:rPr>
          <w:rFonts w:hint="eastAsia" w:ascii="仿宋" w:hAnsi="仿宋" w:eastAsia="仿宋" w:cs="仿宋"/>
          <w:b/>
          <w:bCs/>
          <w:color w:val="000000"/>
          <w:spacing w:val="20"/>
          <w:sz w:val="24"/>
          <w:szCs w:val="24"/>
          <w:highlight w:val="none"/>
        </w:rPr>
      </w:pPr>
      <w:r>
        <w:rPr>
          <w:rFonts w:hint="eastAsia" w:ascii="仿宋" w:hAnsi="仿宋" w:eastAsia="仿宋" w:cs="仿宋"/>
          <w:b/>
          <w:bCs/>
          <w:color w:val="000000"/>
          <w:spacing w:val="20"/>
          <w:sz w:val="24"/>
          <w:szCs w:val="24"/>
          <w:highlight w:val="none"/>
        </w:rPr>
        <w:t xml:space="preserve">针对本项目的技术方案及制度</w:t>
      </w:r>
      <w:r>
        <w:rPr>
          <w:rFonts w:hint="eastAsia" w:ascii="仿宋" w:hAnsi="仿宋" w:eastAsia="仿宋" w:cs="仿宋"/>
          <w:b/>
          <w:bCs/>
          <w:color w:val="000000"/>
          <w:spacing w:val="20"/>
          <w:sz w:val="24"/>
          <w:szCs w:val="24"/>
          <w:highlight w:val="none"/>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16"/>
      </w:tblGrid>
      <w:tr>
        <w:trPr/>
        <w:tc>
          <w:tcPr>
            <w:tcW w:w="5000" w:type="dxa"/>
            <w:vAlign w:val="top"/>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提示：</w:t>
            </w:r>
            <w:r>
              <w:rPr>
                <w:rFonts w:hint="eastAsia" w:ascii="仿宋" w:hAnsi="仿宋" w:eastAsia="仿宋" w:cs="仿宋"/>
                <w:color w:val="000000"/>
                <w:sz w:val="24"/>
                <w:szCs w:val="24"/>
                <w:highlight w:val="none"/>
              </w:rPr>
            </w:r>
            <w:r/>
          </w:p>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1、供应商应针对本次采购项目特点编写公司成交后拟采取的管理技术方案。</w:t>
            </w:r>
            <w:r>
              <w:rPr>
                <w:rFonts w:hint="eastAsia" w:ascii="仿宋" w:hAnsi="仿宋" w:eastAsia="仿宋" w:cs="仿宋"/>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2、供应商可根据自身情况编写，本页不够可另加页附后。</w:t>
            </w:r>
            <w:r>
              <w:rPr>
                <w:rFonts w:hint="eastAsia" w:ascii="仿宋" w:hAnsi="仿宋" w:eastAsia="仿宋" w:cs="仿宋"/>
                <w:b/>
                <w:color w:val="000000"/>
                <w:sz w:val="24"/>
                <w:szCs w:val="24"/>
                <w:highlight w:val="none"/>
              </w:rPr>
            </w:r>
            <w:r/>
          </w:p>
        </w:tc>
      </w:tr>
      <w:tr>
        <w:trPr>
          <w:trHeight w:val="9719"/>
        </w:trPr>
        <w:tc>
          <w:tcPr>
            <w:tcW w:w="5000" w:type="dxa"/>
            <w:vAlign w:val="top"/>
            <w:textDirection w:val="lrTb"/>
            <w:noWrap w:val="false"/>
          </w:tcPr>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bl>
    <w:p>
      <w:pPr>
        <w:pStyle w:val="740"/>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740"/>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rPr>
          <w:rFonts w:hint="eastAsia" w:ascii="仿宋" w:hAnsi="仿宋" w:eastAsia="仿宋" w:cs="仿宋"/>
          <w:b/>
          <w:bCs/>
          <w:color w:val="000000"/>
          <w:sz w:val="24"/>
          <w:szCs w:val="24"/>
          <w:highlight w:val="none"/>
        </w:rPr>
        <w:outlineLvl w:val="9"/>
      </w:pPr>
      <w:r>
        <w:rPr>
          <w:rFonts w:hint="eastAsia" w:ascii="仿宋" w:hAnsi="仿宋" w:eastAsia="仿宋" w:cs="仿宋"/>
          <w:b/>
          <w:color w:val="000000"/>
          <w:sz w:val="24"/>
          <w:szCs w:val="24"/>
          <w:highlight w:val="none"/>
        </w:rPr>
      </w:r>
      <w:r>
        <w:rPr>
          <w:rFonts w:hint="eastAsia" w:ascii="仿宋" w:hAnsi="仿宋" w:eastAsia="仿宋" w:cs="仿宋"/>
          <w:b/>
          <w:color w:val="000000"/>
          <w:sz w:val="24"/>
          <w:szCs w:val="24"/>
          <w:highlight w:val="none"/>
        </w:rPr>
      </w:r>
    </w:p>
    <w:p>
      <w:pPr>
        <w:pStyle w:val="740"/>
        <w:rPr>
          <w:rFonts w:hint="eastAsia" w:ascii="仿宋" w:hAnsi="仿宋" w:eastAsia="仿宋" w:cs="仿宋"/>
          <w:b/>
          <w:bCs/>
          <w:color w:val="000000"/>
          <w:sz w:val="24"/>
          <w:szCs w:val="24"/>
          <w:highlight w:val="none"/>
        </w:rPr>
        <w:outlineLvl w:val="9"/>
      </w:pPr>
      <w:r>
        <w:rPr>
          <w:rFonts w:hint="eastAsia" w:ascii="仿宋" w:hAnsi="仿宋" w:eastAsia="仿宋" w:cs="仿宋"/>
          <w:b/>
          <w:color w:val="000000"/>
          <w:sz w:val="24"/>
          <w:szCs w:val="24"/>
          <w:highlight w:val="none"/>
        </w:rPr>
        <w:t xml:space="preserve">附件10.相关业绩一览表</w:t>
      </w:r>
      <w:r>
        <w:rPr>
          <w:rFonts w:hint="eastAsia" w:ascii="仿宋" w:hAnsi="仿宋" w:eastAsia="仿宋" w:cs="仿宋"/>
          <w:b/>
          <w:color w:val="000000"/>
          <w:sz w:val="24"/>
          <w:szCs w:val="24"/>
          <w:highlight w:val="none"/>
        </w:rPr>
      </w:r>
      <w:r/>
    </w:p>
    <w:p>
      <w:pPr>
        <w:pStyle w:val="74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740"/>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相关业绩一览表</w:t>
      </w:r>
      <w:r>
        <w:rPr>
          <w:rFonts w:hint="eastAsia" w:ascii="仿宋" w:hAnsi="仿宋" w:eastAsia="仿宋" w:cs="仿宋"/>
          <w:b/>
          <w:bCs/>
          <w:color w:val="000000"/>
          <w:sz w:val="24"/>
          <w:szCs w:val="24"/>
          <w:highlight w:val="none"/>
        </w:rPr>
      </w:r>
      <w:r/>
    </w:p>
    <w:p>
      <w:pPr>
        <w:pStyle w:val="740"/>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bl>
      <w:tblPr>
        <w:tblW w:w="7644"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trHeight w:val="740"/>
        </w:trPr>
        <w:tc>
          <w:tcPr>
            <w:tcW w:w="100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合同期</w:t>
            </w: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合同金额</w:t>
            </w: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740"/>
        <w:jc w:val="left"/>
        <w:keepLines w:val="0"/>
        <w:keepNext w:val="0"/>
        <w:pageBreakBefore w:val="0"/>
        <w:spacing w:before="181"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注：1.若事项较多，供应商可根据实际情况另纸说明。</w:t>
      </w:r>
      <w:r>
        <w:rPr>
          <w:rFonts w:hint="eastAsia" w:ascii="仿宋" w:hAnsi="仿宋" w:eastAsia="仿宋" w:cs="仿宋"/>
          <w:color w:val="000000"/>
          <w:sz w:val="24"/>
          <w:szCs w:val="24"/>
          <w:highlight w:val="none"/>
        </w:rPr>
      </w:r>
      <w:r/>
    </w:p>
    <w:p>
      <w:pPr>
        <w:pStyle w:val="740"/>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2.请将其他相关证明材料复印件加盖公章后附在本表后面。</w:t>
      </w:r>
      <w:r>
        <w:rPr>
          <w:rFonts w:hint="eastAsia" w:ascii="仿宋" w:hAnsi="仿宋" w:eastAsia="仿宋" w:cs="仿宋"/>
          <w:color w:val="000000"/>
          <w:sz w:val="24"/>
          <w:szCs w:val="24"/>
          <w:highlight w:val="none"/>
        </w:rPr>
      </w:r>
      <w:r/>
    </w:p>
    <w:p>
      <w:pPr>
        <w:pStyle w:val="740"/>
        <w:jc w:val="left"/>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740"/>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88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89"/>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740"/>
        <w:rPr>
          <w:rFonts w:hint="eastAsia" w:ascii="仿宋" w:hAnsi="仿宋" w:eastAsia="仿宋" w:cs="仿宋"/>
          <w:color w:val="000000"/>
          <w:sz w:val="24"/>
          <w:szCs w:val="24"/>
          <w:highlight w:val="none"/>
        </w:rPr>
      </w:pPr>
      <w:r/>
      <w:bookmarkEnd w:id="35"/>
      <w:r/>
      <w:bookmarkEnd w:id="36"/>
      <w:r>
        <w:rPr>
          <w:rFonts w:hint="eastAsia" w:ascii="仿宋" w:hAnsi="仿宋" w:eastAsia="仿宋" w:cs="仿宋"/>
          <w:color w:val="000000"/>
          <w:sz w:val="24"/>
          <w:szCs w:val="24"/>
          <w:highlight w:val="none"/>
        </w:rPr>
      </w:r>
      <w:r/>
    </w:p>
    <w:p>
      <w:pPr>
        <w:pStyle w:val="740"/>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br w:type="page" w:clear="all"/>
      </w:r>
      <w:bookmarkStart w:id="37" w:name="_Toc21574"/>
      <w:r/>
      <w:bookmarkStart w:id="38" w:name="_Toc19621"/>
      <w:r>
        <w:rPr>
          <w:rFonts w:hint="eastAsia" w:ascii="仿宋" w:hAnsi="仿宋" w:eastAsia="仿宋" w:cs="仿宋"/>
          <w:b/>
          <w:color w:val="000000"/>
          <w:sz w:val="24"/>
          <w:szCs w:val="24"/>
          <w:highlight w:val="none"/>
        </w:rPr>
        <w:t xml:space="preserve">附件11.中小企业声明函</w:t>
      </w:r>
      <w:bookmarkEnd w:id="37"/>
      <w:r/>
      <w:bookmarkEnd w:id="38"/>
      <w:r>
        <w:rPr>
          <w:rFonts w:hint="eastAsia" w:ascii="仿宋" w:hAnsi="仿宋" w:eastAsia="仿宋" w:cs="仿宋"/>
          <w:b/>
          <w:color w:val="000000"/>
          <w:sz w:val="24"/>
          <w:szCs w:val="24"/>
          <w:highlight w:val="none"/>
        </w:rPr>
      </w:r>
      <w:r/>
    </w:p>
    <w:p>
      <w:pPr>
        <w:pStyle w:val="740"/>
        <w:jc w:val="left"/>
        <w:spacing w:line="4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center"/>
        <w:spacing w:line="480" w:lineRule="exact"/>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中小企业声明函（服务）</w:t>
      </w:r>
      <w:r>
        <w:rPr>
          <w:rFonts w:hint="eastAsia" w:ascii="仿宋" w:hAnsi="仿宋" w:eastAsia="仿宋" w:cs="仿宋"/>
          <w:b/>
          <w:color w:val="000000"/>
          <w:sz w:val="24"/>
          <w:szCs w:val="24"/>
          <w:highlight w:val="none"/>
        </w:rPr>
      </w:r>
      <w:r/>
    </w:p>
    <w:p>
      <w:pPr>
        <w:pStyle w:val="740"/>
        <w:jc w:val="left"/>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苏州恒中造价师事务所有限责任公司：</w:t>
      </w:r>
      <w:r>
        <w:rPr>
          <w:rFonts w:hint="eastAsia" w:ascii="仿宋" w:hAnsi="仿宋" w:eastAsia="仿宋" w:cs="仿宋"/>
          <w:color w:val="000000"/>
          <w:sz w:val="24"/>
          <w:szCs w:val="24"/>
          <w:highlight w:val="none"/>
        </w:rPr>
      </w:r>
      <w:r/>
    </w:p>
    <w:p>
      <w:pPr>
        <w:pStyle w:val="740"/>
        <w:ind w:firstLine="420"/>
        <w:spacing w:line="48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仿宋" w:hAnsi="仿宋" w:eastAsia="仿宋" w:cs="仿宋"/>
          <w:color w:val="000000"/>
          <w:sz w:val="24"/>
          <w:szCs w:val="24"/>
          <w:highlight w:val="none"/>
          <w:u w:val="single"/>
        </w:rPr>
      </w:r>
      <w:r/>
    </w:p>
    <w:p>
      <w:pPr>
        <w:pStyle w:val="740"/>
        <w:ind w:firstLine="42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（租赁和商务服务业）行业</w:t>
      </w:r>
      <w:r>
        <w:rPr>
          <w:rFonts w:hint="eastAsia" w:ascii="仿宋" w:hAnsi="仿宋" w:eastAsia="仿宋" w:cs="仿宋"/>
          <w:color w:val="000000"/>
          <w:sz w:val="24"/>
          <w:szCs w:val="24"/>
          <w:highlight w:val="none"/>
        </w:rPr>
        <w:t xml:space="preserve">；承接企业为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w:t>
      </w:r>
      <w:r>
        <w:rPr>
          <w:rStyle w:val="834"/>
          <w:rFonts w:hint="eastAsia" w:ascii="仿宋" w:hAnsi="仿宋" w:eastAsia="仿宋" w:cs="仿宋"/>
          <w:color w:val="000000"/>
          <w:sz w:val="24"/>
          <w:szCs w:val="24"/>
          <w:highlight w:val="none"/>
        </w:rPr>
        <w:footnoteReference w:id="2"/>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（□中型企业、□小型企业、□微型企业）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40"/>
        <w:ind w:firstLine="42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lang w:val="zh-CN"/>
        </w:rPr>
        <w:t xml:space="preserve">（</w:t>
      </w:r>
      <w:r>
        <w:rPr>
          <w:rFonts w:hint="eastAsia" w:ascii="仿宋" w:hAnsi="仿宋" w:eastAsia="仿宋" w:cs="仿宋"/>
          <w:color w:val="000000"/>
          <w:sz w:val="24"/>
          <w:szCs w:val="24"/>
          <w:highlight w:val="none"/>
          <w:u w:val="single"/>
        </w:rPr>
        <w:t xml:space="preserve">项目</w:t>
      </w:r>
      <w:r>
        <w:rPr>
          <w:rFonts w:hint="eastAsia" w:ascii="仿宋" w:hAnsi="仿宋" w:eastAsia="仿宋" w:cs="仿宋"/>
          <w:color w:val="000000"/>
          <w:sz w:val="24"/>
          <w:szCs w:val="24"/>
          <w:highlight w:val="none"/>
          <w:u w:val="single"/>
          <w:lang w:val="zh-CN"/>
        </w:rPr>
        <w:t xml:space="preserve">名称）</w:t>
      </w:r>
      <w:r>
        <w:rPr>
          <w:rFonts w:hint="eastAsia" w:ascii="仿宋" w:hAnsi="仿宋" w:eastAsia="仿宋" w:cs="仿宋"/>
          <w:color w:val="000000"/>
          <w:sz w:val="24"/>
          <w:szCs w:val="24"/>
          <w:highlight w:val="none"/>
          <w:lang w:val="zh-CN"/>
        </w:rPr>
        <w:t xml:space="preserve">，属于</w:t>
      </w:r>
      <w:r>
        <w:rPr>
          <w:rFonts w:hint="eastAsia" w:ascii="仿宋" w:hAnsi="仿宋" w:eastAsia="仿宋" w:cs="仿宋"/>
          <w:color w:val="000000"/>
          <w:sz w:val="24"/>
          <w:szCs w:val="24"/>
          <w:highlight w:val="none"/>
          <w:u w:val="single"/>
          <w:lang w:val="zh-CN"/>
        </w:rPr>
        <w:t xml:space="preserve">（</w:t>
      </w:r>
      <w:r>
        <w:rPr>
          <w:rFonts w:hint="eastAsia" w:ascii="仿宋" w:hAnsi="仿宋" w:eastAsia="仿宋" w:cs="仿宋"/>
          <w:color w:val="000000"/>
          <w:sz w:val="24"/>
          <w:szCs w:val="24"/>
          <w:highlight w:val="none"/>
          <w:u w:val="single"/>
        </w:rPr>
        <w:t xml:space="preserve">租赁和商务服务业</w:t>
      </w:r>
      <w:r>
        <w:rPr>
          <w:rFonts w:hint="eastAsia" w:ascii="仿宋" w:hAnsi="仿宋" w:eastAsia="仿宋" w:cs="仿宋"/>
          <w:color w:val="000000"/>
          <w:sz w:val="24"/>
          <w:szCs w:val="24"/>
          <w:highlight w:val="none"/>
          <w:u w:val="single"/>
          <w:lang w:val="zh-CN"/>
        </w:rPr>
        <w:t xml:space="preserve">）行业</w:t>
      </w:r>
      <w:r>
        <w:rPr>
          <w:rFonts w:hint="eastAsia" w:ascii="仿宋" w:hAnsi="仿宋" w:eastAsia="仿宋" w:cs="仿宋"/>
          <w:color w:val="000000"/>
          <w:sz w:val="24"/>
          <w:szCs w:val="24"/>
          <w:highlight w:val="none"/>
          <w:lang w:val="zh-CN"/>
        </w:rPr>
        <w:t xml:space="preserve">；承接企业为</w:t>
      </w:r>
      <w:r>
        <w:rPr>
          <w:rFonts w:hint="eastAsia" w:ascii="仿宋" w:hAnsi="仿宋" w:eastAsia="仿宋" w:cs="仿宋"/>
          <w:color w:val="000000"/>
          <w:sz w:val="24"/>
          <w:szCs w:val="24"/>
          <w:highlight w:val="none"/>
          <w:u w:val="single"/>
          <w:lang w:val="zh-CN"/>
        </w:rPr>
        <w:t xml:space="preserve">（企业名称）</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rPr>
        <w:t xml:space="preserve">（□中型企业、□小型企业、□微型企业）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40"/>
        <w:ind w:firstLine="42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40"/>
        <w:ind w:firstLine="42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rPr>
      </w:r>
      <w:r/>
    </w:p>
    <w:p>
      <w:pPr>
        <w:pStyle w:val="740"/>
        <w:ind w:firstLine="42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rPr>
      </w:r>
      <w:r/>
    </w:p>
    <w:p>
      <w:pPr>
        <w:pStyle w:val="740"/>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ind w:firstLine="402"/>
        <w:spacing w:line="28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740"/>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1、本项目专门面向中小企业采购，</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应提供中小企业声明函或残疾人福利性单位声明函或省级以上监狱管理局、戒毒管理局（含新疆生产建设兵团）出具的属于监狱企业的证明文件,否则视为投标无效。</w:t>
      </w:r>
      <w:r>
        <w:rPr>
          <w:rFonts w:hint="eastAsia" w:ascii="仿宋" w:hAnsi="仿宋" w:eastAsia="仿宋" w:cs="仿宋"/>
          <w:color w:val="000000"/>
          <w:sz w:val="24"/>
          <w:szCs w:val="24"/>
          <w:highlight w:val="none"/>
        </w:rPr>
      </w:r>
      <w:r/>
    </w:p>
    <w:p>
      <w:pPr>
        <w:pStyle w:val="740"/>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提供的中小企业声明函必须包含本项目所有货物及其货物制造商，并按照声明函格式填写完整、明确，否则视为未按规定提供声明函，投标无效。</w:t>
      </w:r>
      <w:r>
        <w:rPr>
          <w:rFonts w:hint="eastAsia" w:ascii="仿宋" w:hAnsi="仿宋" w:eastAsia="仿宋" w:cs="仿宋"/>
          <w:color w:val="000000"/>
          <w:sz w:val="24"/>
          <w:szCs w:val="24"/>
          <w:highlight w:val="none"/>
        </w:rPr>
      </w:r>
      <w:r/>
    </w:p>
    <w:p>
      <w:pPr>
        <w:pStyle w:val="740"/>
        <w:ind w:firstLine="480"/>
        <w:spacing w:line="440" w:lineRule="exac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3、中标、成交供应商享受规定的中小企业扶持政策的，《中小企业声明函》应当随中标、成交结果同时公告，接受社会监督。</w:t>
      </w:r>
      <w:r>
        <w:rPr>
          <w:rFonts w:hint="eastAsia" w:ascii="仿宋" w:hAnsi="仿宋" w:eastAsia="仿宋" w:cs="仿宋"/>
          <w:b/>
          <w:bCs/>
          <w:color w:val="000000"/>
          <w:sz w:val="24"/>
          <w:szCs w:val="24"/>
          <w:highlight w:val="none"/>
        </w:rPr>
        <w:br w:type="page" w:clear="all"/>
      </w:r>
      <w:r>
        <w:rPr>
          <w:rFonts w:hint="eastAsia" w:ascii="仿宋" w:hAnsi="仿宋" w:eastAsia="仿宋" w:cs="仿宋"/>
          <w:b/>
          <w:bCs/>
          <w:color w:val="000000"/>
          <w:sz w:val="24"/>
          <w:szCs w:val="24"/>
          <w:highlight w:val="none"/>
        </w:rPr>
        <w:t xml:space="preserve">附件12.</w:t>
      </w:r>
      <w:r>
        <w:rPr>
          <w:rFonts w:hint="eastAsia" w:ascii="仿宋" w:hAnsi="仿宋" w:eastAsia="仿宋" w:cs="仿宋"/>
          <w:b/>
          <w:color w:val="000000"/>
          <w:sz w:val="24"/>
          <w:szCs w:val="24"/>
          <w:highlight w:val="none"/>
        </w:rPr>
        <w:t xml:space="preserve">残疾人</w:t>
      </w:r>
      <w:r>
        <w:rPr>
          <w:rFonts w:hint="eastAsia" w:ascii="仿宋" w:hAnsi="仿宋" w:eastAsia="仿宋" w:cs="仿宋"/>
          <w:b/>
          <w:bCs/>
          <w:color w:val="000000"/>
          <w:sz w:val="24"/>
          <w:szCs w:val="24"/>
          <w:highlight w:val="none"/>
          <w:lang w:val="zh-CN"/>
        </w:rPr>
        <w:t xml:space="preserve">福利性单位声明函</w:t>
      </w:r>
      <w:r>
        <w:rPr>
          <w:rFonts w:hint="eastAsia" w:ascii="仿宋" w:hAnsi="仿宋" w:eastAsia="仿宋" w:cs="仿宋"/>
          <w:b/>
          <w:bCs/>
          <w:color w:val="000000"/>
          <w:sz w:val="24"/>
          <w:szCs w:val="24"/>
          <w:highlight w:val="none"/>
        </w:rPr>
      </w:r>
      <w:r/>
    </w:p>
    <w:p>
      <w:pPr>
        <w:pStyle w:val="740"/>
        <w:jc w:val="left"/>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jc w:val="center"/>
        <w:spacing w:line="4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残疾人福利性单位声明函</w:t>
      </w:r>
      <w:r>
        <w:rPr>
          <w:rFonts w:hint="eastAsia" w:ascii="仿宋" w:hAnsi="仿宋" w:eastAsia="仿宋" w:cs="仿宋"/>
          <w:b/>
          <w:color w:val="000000"/>
          <w:sz w:val="24"/>
          <w:szCs w:val="24"/>
          <w:highlight w:val="none"/>
        </w:rPr>
      </w:r>
      <w:r/>
    </w:p>
    <w:p>
      <w:pPr>
        <w:pStyle w:val="740"/>
        <w:spacing w:line="360" w:lineRule="auto"/>
        <w:rPr>
          <w:rFonts w:hint="eastAsia" w:ascii="仿宋" w:hAnsi="仿宋" w:eastAsia="仿宋" w:cs="仿宋"/>
          <w:color w:val="000000"/>
          <w:sz w:val="24"/>
          <w:szCs w:val="24"/>
          <w:highlight w:val="none"/>
          <w:u w:val="single"/>
          <w:lang w:val="zh-CN"/>
        </w:rPr>
      </w:pPr>
      <w:r/>
      <w:bookmarkStart w:id="39" w:name="_Toc3869"/>
      <w:r/>
      <w:bookmarkStart w:id="40" w:name="_Toc32206"/>
      <w:r/>
      <w:bookmarkStart w:id="41" w:name="_Toc15378"/>
      <w:r>
        <w:rPr>
          <w:rFonts w:hint="eastAsia" w:ascii="仿宋" w:hAnsi="仿宋" w:eastAsia="仿宋" w:cs="仿宋"/>
          <w:color w:val="000000"/>
          <w:sz w:val="24"/>
          <w:szCs w:val="24"/>
          <w:highlight w:val="none"/>
          <w:u w:val="single"/>
          <w:lang w:val="zh-CN"/>
        </w:rPr>
      </w:r>
      <w:r/>
    </w:p>
    <w:p>
      <w:pPr>
        <w:pStyle w:val="74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u w:val="single"/>
          <w:lang w:val="zh-CN"/>
        </w:rPr>
        <w:t xml:space="preserve">苏州恒中造价师事务所有限责任公司</w:t>
      </w:r>
      <w:r>
        <w:rPr>
          <w:rFonts w:hint="eastAsia" w:ascii="仿宋" w:hAnsi="仿宋" w:eastAsia="仿宋" w:cs="仿宋"/>
          <w:color w:val="000000"/>
          <w:sz w:val="24"/>
          <w:szCs w:val="24"/>
          <w:highlight w:val="none"/>
          <w:lang w:val="zh-CN"/>
        </w:rPr>
        <w:t xml:space="preserve">：</w:t>
      </w:r>
      <w:bookmarkEnd w:id="39"/>
      <w:r/>
      <w:bookmarkEnd w:id="40"/>
      <w:r/>
      <w:bookmarkEnd w:id="41"/>
      <w:r>
        <w:rPr>
          <w:rFonts w:hint="eastAsia" w:ascii="仿宋" w:hAnsi="仿宋" w:eastAsia="仿宋" w:cs="仿宋"/>
          <w:color w:val="000000"/>
          <w:sz w:val="24"/>
          <w:szCs w:val="24"/>
          <w:highlight w:val="none"/>
          <w:lang w:val="zh-CN"/>
        </w:rPr>
      </w:r>
      <w:r/>
    </w:p>
    <w:p>
      <w:pPr>
        <w:pStyle w:val="74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szCs w:val="24"/>
          <w:highlight w:val="none"/>
          <w:lang w:val="zh-CN"/>
        </w:rPr>
        <w:t xml:space="preserve">贵单位组织实施的编号为</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号的采购活动</w:t>
      </w:r>
      <w:r>
        <w:rPr>
          <w:rFonts w:hint="eastAsia" w:ascii="仿宋" w:hAnsi="仿宋" w:eastAsia="仿宋" w:cs="仿宋"/>
          <w:color w:val="000000"/>
          <w:sz w:val="24"/>
          <w:szCs w:val="24"/>
          <w:highlight w:val="none"/>
        </w:rPr>
        <w:t xml:space="preserve">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本单位对上述声明的真实性负责。如有虚假，将依法承担相应责任。</w:t>
      </w:r>
      <w:r>
        <w:rPr>
          <w:rFonts w:hint="eastAsia" w:ascii="仿宋" w:hAnsi="仿宋" w:eastAsia="仿宋" w:cs="仿宋"/>
          <w:color w:val="000000"/>
          <w:sz w:val="24"/>
          <w:szCs w:val="24"/>
          <w:highlight w:val="none"/>
        </w:rPr>
      </w:r>
      <w:r/>
    </w:p>
    <w:p>
      <w:pPr>
        <w:pStyle w:val="898"/>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740"/>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88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1"/>
        <w:spacing w:before="156" w:after="156" w:line="360" w:lineRule="auto"/>
        <w:tabs>
          <w:tab w:val="left" w:pos="1134" w:leader="none"/>
        </w:tabs>
        <w:rPr>
          <w:rFonts w:ascii="Times New Roman" w:hAnsi="Times New Roman"/>
          <w:color w:val="000000"/>
          <w:sz w:val="44"/>
          <w:szCs w:val="44"/>
          <w:highlight w:val="none"/>
        </w:rPr>
      </w:pPr>
      <w:r>
        <w:rPr>
          <w:rFonts w:hint="eastAsia" w:ascii="仿宋" w:hAnsi="仿宋" w:eastAsia="仿宋" w:cs="仿宋"/>
          <w:color w:val="000000"/>
          <w:sz w:val="24"/>
          <w:szCs w:val="24"/>
          <w:highlight w:val="none"/>
        </w:rPr>
        <w:br w:type="page" w:clear="all"/>
      </w:r>
      <w:bookmarkStart w:id="42" w:name="_Toc19931"/>
      <w:r>
        <w:rPr>
          <w:rFonts w:ascii="Times New Roman" w:hAnsi="Times New Roman"/>
          <w:color w:val="000000"/>
          <w:sz w:val="44"/>
          <w:szCs w:val="44"/>
          <w:highlight w:val="none"/>
        </w:rPr>
        <w:t xml:space="preserve">第四章</w:t>
      </w:r>
      <w:bookmarkEnd w:id="25"/>
      <w:r/>
      <w:bookmarkEnd w:id="26"/>
      <w:r/>
      <w:bookmarkEnd w:id="27"/>
      <w:r/>
      <w:bookmarkEnd w:id="28"/>
      <w:r/>
      <w:bookmarkStart w:id="43" w:name="招标书"/>
      <w:r/>
      <w:bookmarkEnd w:id="43"/>
      <w:r>
        <w:rPr>
          <w:rFonts w:ascii="Times New Roman" w:hAnsi="Times New Roman"/>
          <w:color w:val="000000"/>
          <w:sz w:val="44"/>
          <w:szCs w:val="44"/>
          <w:highlight w:val="none"/>
        </w:rPr>
        <w:t xml:space="preserve"> 采购内容</w:t>
      </w:r>
      <w:bookmarkEnd w:id="29"/>
      <w:r/>
      <w:bookmarkEnd w:id="30"/>
      <w:r/>
      <w:bookmarkEnd w:id="31"/>
      <w:r/>
      <w:bookmarkEnd w:id="42"/>
      <w:r>
        <w:rPr>
          <w:rFonts w:ascii="Times New Roman" w:hAnsi="Times New Roman"/>
          <w:color w:val="000000"/>
          <w:sz w:val="44"/>
          <w:szCs w:val="4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苏州恒中造价师事务所有限责任公司受太仓市财政局的委托，就</w:t>
      </w:r>
      <w:r>
        <w:rPr>
          <w:rFonts w:hint="eastAsia" w:ascii="仿宋" w:hAnsi="仿宋" w:eastAsia="仿宋" w:cs="仿宋"/>
          <w:color w:val="000000"/>
          <w:sz w:val="24"/>
          <w:szCs w:val="24"/>
          <w:highlight w:val="none"/>
          <w:lang w:eastAsia="zh-CN"/>
        </w:rPr>
        <w:t xml:space="preserve">2026年太仓市市级财政支出项目等绩效评价管理及监督协审服务</w:t>
      </w:r>
      <w:r>
        <w:rPr>
          <w:rFonts w:hint="eastAsia" w:ascii="仿宋" w:hAnsi="仿宋" w:eastAsia="仿宋" w:cs="仿宋"/>
          <w:color w:val="000000"/>
          <w:sz w:val="24"/>
          <w:szCs w:val="24"/>
          <w:highlight w:val="none"/>
        </w:rPr>
        <w:t xml:space="preserve">项目采用竞争性磋商方式进行采购，现欢迎符合相关条件的供应商参加本次磋商采购活动。</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一、项目编号：</w:t>
      </w:r>
      <w:r>
        <w:rPr>
          <w:rFonts w:hint="eastAsia" w:ascii="仿宋" w:hAnsi="仿宋" w:eastAsia="仿宋" w:cs="仿宋"/>
          <w:color w:val="000000"/>
          <w:sz w:val="24"/>
          <w:szCs w:val="24"/>
          <w:highlight w:val="none"/>
          <w:lang w:eastAsia="zh-CN"/>
        </w:rPr>
        <w:t xml:space="preserve">JSZC-320585-SZHZ-C2026-0008</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4"/>
          <w:szCs w:val="24"/>
          <w:highlight w:val="none"/>
        </w:rPr>
        <w:t xml:space="preserve">二、项目名称</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2026年太仓市市级财政支出项目等绩效评价管理及监督协审服务</w:t>
      </w:r>
      <w:r>
        <w:rPr>
          <w:rFonts w:hint="eastAsia" w:ascii="仿宋" w:hAnsi="仿宋" w:eastAsia="仿宋" w:cs="仿宋"/>
          <w:color w:val="000000"/>
          <w:sz w:val="24"/>
          <w:szCs w:val="24"/>
          <w:highlight w:val="none"/>
          <w:lang w:eastAsia="zh-CN"/>
        </w:rPr>
      </w:r>
      <w:r/>
    </w:p>
    <w:p>
      <w:pPr>
        <w:pStyle w:val="740"/>
        <w:ind w:firstLine="42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4"/>
          <w:szCs w:val="24"/>
          <w:highlight w:val="none"/>
        </w:rPr>
        <w:t xml:space="preserve">三、预算金额</w:t>
      </w:r>
      <w:r>
        <w:rPr>
          <w:rFonts w:hint="eastAsia" w:ascii="仿宋" w:hAnsi="仿宋" w:eastAsia="仿宋" w:cs="仿宋"/>
          <w:b/>
          <w:bCs/>
          <w:color w:val="000000"/>
          <w:sz w:val="24"/>
          <w:szCs w:val="24"/>
          <w:highlight w:val="none"/>
          <w:lang w:val="en-US" w:eastAsia="zh-CN"/>
        </w:rPr>
        <w:t xml:space="preserve">及最高限价</w:t>
      </w:r>
      <w:r>
        <w:rPr>
          <w:rFonts w:hint="eastAsia" w:ascii="仿宋" w:hAnsi="仿宋" w:eastAsia="仿宋" w:cs="仿宋"/>
          <w:b/>
          <w:bCs/>
          <w:color w:val="000000"/>
          <w:sz w:val="24"/>
          <w:szCs w:val="24"/>
          <w:highlight w:val="none"/>
        </w:rPr>
        <w:t xml:space="preserve">：</w:t>
      </w:r>
      <w:r>
        <w:rPr>
          <w:rFonts w:hint="eastAsia" w:ascii="仿宋" w:hAnsi="仿宋" w:eastAsia="仿宋" w:cs="仿宋"/>
          <w:color w:val="000000"/>
          <w:sz w:val="24"/>
          <w:szCs w:val="24"/>
          <w:highlight w:val="none"/>
        </w:rPr>
        <w:t xml:space="preserve">人民币伍拾万元整（</w:t>
      </w:r>
      <w:r>
        <w:rPr>
          <w:rFonts w:hint="eastAsia" w:ascii="仿宋" w:hAnsi="仿宋" w:eastAsia="仿宋" w:cs="仿宋"/>
          <w:color w:val="000000"/>
          <w:sz w:val="24"/>
          <w:szCs w:val="24"/>
          <w:highlight w:val="none"/>
          <w:lang w:val="en-US" w:eastAsia="zh-CN"/>
        </w:rPr>
        <w:t xml:space="preserve">50</w:t>
      </w:r>
      <w:r>
        <w:rPr>
          <w:rFonts w:hint="eastAsia" w:ascii="仿宋" w:hAnsi="仿宋" w:eastAsia="仿宋" w:cs="仿宋"/>
          <w:color w:val="000000"/>
          <w:sz w:val="24"/>
          <w:szCs w:val="24"/>
          <w:highlight w:val="none"/>
        </w:rPr>
        <w:t xml:space="preserve">0000.00元）</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四、合同履行期限：</w:t>
      </w:r>
      <w:r>
        <w:rPr>
          <w:rFonts w:hint="eastAsia" w:ascii="仿宋" w:hAnsi="仿宋" w:eastAsia="仿宋" w:cs="仿宋"/>
          <w:color w:val="000000"/>
          <w:sz w:val="24"/>
          <w:szCs w:val="24"/>
          <w:highlight w:val="none"/>
          <w:lang w:val="en-US" w:eastAsia="zh-CN" w:bidi="ar-SA"/>
        </w:rPr>
        <w:t xml:space="preserve">成交供应商应在2026年9月30日之前完成服务A、B，并向采购人提交绩效分析报告；在1年内完成服务C。</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五、采购内容：</w:t>
      </w:r>
      <w:bookmarkStart w:id="44" w:name="_Toc309637890"/>
      <w:r>
        <w:rPr>
          <w:rFonts w:hint="eastAsia" w:ascii="仿宋" w:hAnsi="仿宋" w:eastAsia="仿宋" w:cs="仿宋"/>
          <w:b/>
          <w:bCs/>
          <w:color w:val="000000"/>
          <w:sz w:val="24"/>
          <w:szCs w:val="24"/>
          <w:highlight w:val="none"/>
        </w:rPr>
      </w:r>
      <w:r/>
    </w:p>
    <w:p>
      <w:pPr>
        <w:pStyle w:val="740"/>
        <w:ind w:firstLine="482"/>
        <w:spacing w:line="360" w:lineRule="auto"/>
        <w:rPr>
          <w:rFonts w:hint="eastAsia" w:ascii="仿宋" w:hAnsi="仿宋" w:eastAsia="仿宋" w:cs="仿宋"/>
          <w:b/>
          <w:bCs/>
          <w:color w:val="000000"/>
          <w:sz w:val="24"/>
          <w:szCs w:val="24"/>
          <w:highlight w:val="none"/>
        </w:rPr>
      </w:pPr>
      <w:r/>
      <w:bookmarkEnd w:id="44"/>
      <w:r>
        <w:rPr>
          <w:rFonts w:hint="eastAsia" w:ascii="仿宋" w:hAnsi="仿宋" w:eastAsia="仿宋" w:cs="仿宋"/>
          <w:b/>
          <w:bCs/>
          <w:sz w:val="24"/>
          <w:szCs w:val="24"/>
          <w:highlight w:val="none"/>
        </w:rPr>
        <w:t xml:space="preserve">（一）</w:t>
      </w:r>
      <w:r>
        <w:rPr>
          <w:rFonts w:hint="eastAsia" w:ascii="仿宋" w:hAnsi="仿宋" w:eastAsia="仿宋" w:cs="仿宋"/>
          <w:b/>
          <w:bCs/>
          <w:color w:val="000000"/>
          <w:sz w:val="24"/>
          <w:szCs w:val="24"/>
          <w:highlight w:val="none"/>
        </w:rPr>
        <w:t xml:space="preserve">采购清单：</w:t>
      </w:r>
      <w:r>
        <w:rPr>
          <w:rFonts w:hint="eastAsia" w:ascii="仿宋" w:hAnsi="仿宋" w:eastAsia="仿宋" w:cs="仿宋"/>
          <w:b/>
          <w:bCs/>
          <w:color w:val="000000"/>
          <w:sz w:val="24"/>
          <w:szCs w:val="24"/>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038"/>
        <w:gridCol w:w="5270"/>
        <w:gridCol w:w="937"/>
        <w:gridCol w:w="705"/>
      </w:tblGrid>
      <w:tr>
        <w:trPr/>
        <w:tc>
          <w:tcPr>
            <w:tcW w:w="333" w:type="dxa"/>
            <w:vAlign w:val="center"/>
            <w:textDirection w:val="lrTb"/>
            <w:noWrap w:val="false"/>
          </w:tcPr>
          <w:p>
            <w:pPr>
              <w:pStyle w:val="740"/>
              <w:jc w:val="center"/>
              <w:keepLines w:val="0"/>
              <w:keepNext w:val="0"/>
              <w:pageBreakBefore w:val="0"/>
              <w:spacing w:line="24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序号</w:t>
            </w:r>
            <w:r>
              <w:rPr>
                <w:rFonts w:hint="eastAsia" w:ascii="仿宋" w:hAnsi="仿宋" w:eastAsia="仿宋" w:cs="仿宋"/>
                <w:b/>
                <w:bCs/>
                <w:color w:val="000000"/>
                <w:sz w:val="21"/>
                <w:szCs w:val="21"/>
                <w:highlight w:val="none"/>
              </w:rPr>
            </w:r>
            <w:r/>
          </w:p>
        </w:tc>
        <w:tc>
          <w:tcPr>
            <w:tcW w:w="609" w:type="dxa"/>
            <w:vAlign w:val="center"/>
            <w:textDirection w:val="lrTb"/>
            <w:noWrap w:val="false"/>
          </w:tcPr>
          <w:p>
            <w:pPr>
              <w:pStyle w:val="740"/>
              <w:jc w:val="center"/>
              <w:keepLines w:val="0"/>
              <w:keepNext w:val="0"/>
              <w:pageBreakBefore w:val="0"/>
              <w:spacing w:line="24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服务名称</w:t>
            </w:r>
            <w:r>
              <w:rPr>
                <w:rFonts w:hint="eastAsia" w:ascii="仿宋" w:hAnsi="仿宋" w:eastAsia="仿宋" w:cs="仿宋"/>
                <w:b/>
                <w:bCs/>
                <w:color w:val="000000"/>
                <w:sz w:val="21"/>
                <w:szCs w:val="21"/>
                <w:highlight w:val="none"/>
              </w:rPr>
            </w:r>
            <w:r/>
          </w:p>
        </w:tc>
        <w:tc>
          <w:tcPr>
            <w:tcW w:w="3093" w:type="dxa"/>
            <w:vAlign w:val="center"/>
            <w:textDirection w:val="lrTb"/>
            <w:noWrap w:val="false"/>
          </w:tcPr>
          <w:p>
            <w:pPr>
              <w:pStyle w:val="740"/>
              <w:jc w:val="center"/>
              <w:keepLines w:val="0"/>
              <w:keepNext w:val="0"/>
              <w:pageBreakBefore w:val="0"/>
              <w:spacing w:line="24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服务清单</w:t>
            </w:r>
            <w:r>
              <w:rPr>
                <w:rFonts w:hint="eastAsia" w:ascii="仿宋" w:hAnsi="仿宋" w:eastAsia="仿宋" w:cs="仿宋"/>
                <w:b/>
                <w:bCs/>
                <w:color w:val="000000"/>
                <w:sz w:val="21"/>
                <w:szCs w:val="21"/>
                <w:highlight w:val="none"/>
              </w:rPr>
            </w:r>
            <w:r/>
          </w:p>
        </w:tc>
        <w:tc>
          <w:tcPr>
            <w:tcW w:w="550" w:type="dxa"/>
            <w:vAlign w:val="center"/>
            <w:textDirection w:val="lrTb"/>
            <w:noWrap w:val="false"/>
          </w:tcPr>
          <w:p>
            <w:pPr>
              <w:pStyle w:val="740"/>
              <w:jc w:val="center"/>
              <w:keepLines w:val="0"/>
              <w:keepNext w:val="0"/>
              <w:pageBreakBefore w:val="0"/>
              <w:spacing w:line="24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最高限价（万元）</w:t>
            </w:r>
            <w:r>
              <w:rPr>
                <w:rFonts w:hint="eastAsia" w:ascii="仿宋" w:hAnsi="仿宋" w:eastAsia="仿宋" w:cs="仿宋"/>
                <w:b/>
                <w:bCs/>
                <w:color w:val="000000"/>
                <w:sz w:val="21"/>
                <w:szCs w:val="21"/>
                <w:highlight w:val="none"/>
              </w:rPr>
            </w:r>
            <w:r/>
          </w:p>
        </w:tc>
        <w:tc>
          <w:tcPr>
            <w:tcW w:w="413" w:type="dxa"/>
            <w:vAlign w:val="center"/>
            <w:textDirection w:val="lrTb"/>
            <w:noWrap w:val="false"/>
          </w:tcPr>
          <w:p>
            <w:pPr>
              <w:pStyle w:val="740"/>
              <w:jc w:val="center"/>
              <w:keepLines w:val="0"/>
              <w:keepNext w:val="0"/>
              <w:pageBreakBefore w:val="0"/>
              <w:spacing w:line="24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合计</w:t>
            </w:r>
            <w:r>
              <w:rPr>
                <w:rFonts w:hint="eastAsia" w:ascii="仿宋" w:hAnsi="仿宋" w:eastAsia="仿宋" w:cs="仿宋"/>
                <w:b/>
                <w:bCs/>
                <w:color w:val="000000"/>
                <w:sz w:val="21"/>
                <w:szCs w:val="21"/>
                <w:highlight w:val="none"/>
              </w:rPr>
            </w:r>
            <w:r/>
          </w:p>
          <w:p>
            <w:pPr>
              <w:pStyle w:val="740"/>
              <w:jc w:val="center"/>
              <w:keepLines w:val="0"/>
              <w:keepNext w:val="0"/>
              <w:pageBreakBefore w:val="0"/>
              <w:spacing w:line="24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（万元）</w:t>
            </w:r>
            <w:r>
              <w:rPr>
                <w:rFonts w:hint="eastAsia" w:ascii="仿宋" w:hAnsi="仿宋" w:eastAsia="仿宋" w:cs="仿宋"/>
                <w:b/>
                <w:bCs/>
                <w:color w:val="000000"/>
                <w:sz w:val="21"/>
                <w:szCs w:val="21"/>
                <w:highlight w:val="none"/>
              </w:rPr>
            </w:r>
            <w:r/>
          </w:p>
        </w:tc>
      </w:tr>
      <w:tr>
        <w:trPr/>
        <w:tc>
          <w:tcPr>
            <w:tcW w:w="333" w:type="dxa"/>
            <w:vAlign w:val="center"/>
            <w:textDirection w:val="lrTb"/>
            <w:noWrap w:val="false"/>
          </w:tcPr>
          <w:p>
            <w:pPr>
              <w:pStyle w:val="740"/>
              <w:jc w:val="center"/>
              <w:spacing w:line="40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A</w:t>
            </w:r>
            <w:r>
              <w:rPr>
                <w:rFonts w:hint="eastAsia" w:ascii="仿宋" w:hAnsi="仿宋" w:eastAsia="仿宋" w:cs="仿宋"/>
                <w:color w:val="000000"/>
                <w:sz w:val="21"/>
                <w:szCs w:val="21"/>
                <w:highlight w:val="none"/>
                <w:lang w:eastAsia="zh-CN"/>
              </w:rPr>
            </w:r>
            <w:r/>
          </w:p>
        </w:tc>
        <w:tc>
          <w:tcPr>
            <w:tcW w:w="609" w:type="dxa"/>
            <w:vAlign w:val="center"/>
            <w:textDirection w:val="lrTb"/>
            <w:noWrap w:val="false"/>
          </w:tcPr>
          <w:p>
            <w:pPr>
              <w:pStyle w:val="740"/>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支出标准建设服务</w:t>
            </w:r>
            <w:r>
              <w:rPr>
                <w:rFonts w:hint="eastAsia" w:ascii="仿宋" w:hAnsi="仿宋" w:eastAsia="仿宋" w:cs="仿宋"/>
                <w:color w:val="000000"/>
                <w:sz w:val="21"/>
                <w:szCs w:val="21"/>
                <w:highlight w:val="none"/>
              </w:rPr>
            </w:r>
            <w:r/>
          </w:p>
        </w:tc>
        <w:tc>
          <w:tcPr>
            <w:tcW w:w="3093" w:type="dxa"/>
            <w:vAlign w:val="center"/>
            <w:textDirection w:val="lrTb"/>
            <w:noWrap w:val="false"/>
          </w:tcPr>
          <w:p>
            <w:pPr>
              <w:pStyle w:val="740"/>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信息化运维</w:t>
            </w:r>
            <w:r>
              <w:rPr>
                <w:rFonts w:hint="eastAsia" w:ascii="仿宋" w:hAnsi="仿宋" w:eastAsia="仿宋" w:cs="仿宋"/>
                <w:color w:val="000000"/>
                <w:sz w:val="21"/>
                <w:szCs w:val="21"/>
                <w:highlight w:val="none"/>
              </w:rPr>
              <w:t xml:space="preserve">支出标准体系</w:t>
            </w:r>
            <w:r>
              <w:rPr>
                <w:rFonts w:hint="eastAsia" w:ascii="仿宋" w:hAnsi="仿宋" w:eastAsia="仿宋" w:cs="仿宋"/>
                <w:color w:val="000000"/>
                <w:sz w:val="21"/>
                <w:szCs w:val="21"/>
                <w:highlight w:val="none"/>
              </w:rPr>
            </w:r>
            <w:r/>
          </w:p>
        </w:tc>
        <w:tc>
          <w:tcPr>
            <w:tcW w:w="550" w:type="dxa"/>
            <w:vAlign w:val="center"/>
            <w:textDirection w:val="lrTb"/>
            <w:noWrap w:val="false"/>
          </w:tcPr>
          <w:p>
            <w:pPr>
              <w:pStyle w:val="740"/>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30</w:t>
            </w:r>
            <w:r>
              <w:rPr>
                <w:rFonts w:hint="eastAsia" w:ascii="仿宋" w:hAnsi="仿宋" w:eastAsia="仿宋" w:cs="仿宋"/>
                <w:color w:val="000000"/>
                <w:sz w:val="21"/>
                <w:szCs w:val="21"/>
                <w:highlight w:val="none"/>
                <w:lang w:val="en-US" w:eastAsia="zh-CN"/>
              </w:rPr>
            </w:r>
            <w:r/>
          </w:p>
        </w:tc>
        <w:tc>
          <w:tcPr>
            <w:tcW w:w="413" w:type="dxa"/>
            <w:vAlign w:val="center"/>
            <w:vMerge w:val="restart"/>
            <w:textDirection w:val="lrTb"/>
            <w:noWrap w:val="false"/>
          </w:tcPr>
          <w:p>
            <w:pPr>
              <w:pStyle w:val="740"/>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50</w:t>
            </w:r>
            <w:r>
              <w:rPr>
                <w:rFonts w:hint="eastAsia" w:ascii="仿宋" w:hAnsi="仿宋" w:eastAsia="仿宋" w:cs="仿宋"/>
                <w:color w:val="000000"/>
                <w:sz w:val="21"/>
                <w:szCs w:val="21"/>
                <w:highlight w:val="none"/>
                <w:lang w:val="en-US" w:eastAsia="zh-CN"/>
              </w:rPr>
            </w:r>
            <w:r/>
          </w:p>
        </w:tc>
      </w:tr>
      <w:tr>
        <w:trPr/>
        <w:tc>
          <w:tcPr>
            <w:tcW w:w="333" w:type="dxa"/>
            <w:vAlign w:val="center"/>
            <w:textDirection w:val="lrTb"/>
            <w:noWrap w:val="false"/>
          </w:tcPr>
          <w:p>
            <w:pPr>
              <w:pStyle w:val="740"/>
              <w:jc w:val="center"/>
              <w:spacing w:line="400" w:lineRule="exact"/>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B</w:t>
            </w:r>
            <w:r>
              <w:rPr>
                <w:rFonts w:hint="eastAsia" w:ascii="仿宋" w:hAnsi="仿宋" w:eastAsia="仿宋" w:cs="仿宋"/>
                <w:color w:val="000000"/>
                <w:sz w:val="21"/>
                <w:szCs w:val="21"/>
                <w:highlight w:val="none"/>
                <w:lang w:eastAsia="zh-CN"/>
              </w:rPr>
            </w:r>
            <w:r/>
          </w:p>
        </w:tc>
        <w:tc>
          <w:tcPr>
            <w:tcW w:w="609" w:type="dxa"/>
            <w:vAlign w:val="center"/>
            <w:textDirection w:val="lrTb"/>
            <w:noWrap w:val="false"/>
          </w:tcPr>
          <w:p>
            <w:pPr>
              <w:pStyle w:val="740"/>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重点绩效评价服务</w:t>
            </w:r>
            <w:r>
              <w:rPr>
                <w:rFonts w:hint="eastAsia" w:ascii="仿宋" w:hAnsi="仿宋" w:eastAsia="仿宋" w:cs="仿宋"/>
                <w:color w:val="000000"/>
                <w:sz w:val="21"/>
                <w:szCs w:val="21"/>
                <w:highlight w:val="none"/>
              </w:rPr>
            </w:r>
            <w:r/>
          </w:p>
        </w:tc>
        <w:tc>
          <w:tcPr>
            <w:tcW w:w="3093" w:type="dxa"/>
            <w:vAlign w:val="center"/>
            <w:textDirection w:val="lrTb"/>
            <w:noWrap w:val="false"/>
          </w:tcPr>
          <w:p>
            <w:pPr>
              <w:pStyle w:val="740"/>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太仓市双创综合服务平台建设及运营重点绩效评价</w:t>
            </w:r>
            <w:r>
              <w:rPr>
                <w:rFonts w:hint="eastAsia" w:ascii="仿宋" w:hAnsi="仿宋" w:eastAsia="仿宋" w:cs="仿宋"/>
                <w:color w:val="000000"/>
                <w:sz w:val="21"/>
                <w:szCs w:val="21"/>
                <w:highlight w:val="none"/>
              </w:rPr>
            </w:r>
            <w:r/>
          </w:p>
        </w:tc>
        <w:tc>
          <w:tcPr>
            <w:tcW w:w="550" w:type="dxa"/>
            <w:vAlign w:val="center"/>
            <w:textDirection w:val="lrTb"/>
            <w:noWrap w:val="false"/>
          </w:tcPr>
          <w:p>
            <w:pPr>
              <w:pStyle w:val="740"/>
              <w:jc w:val="center"/>
              <w:spacing w:line="400" w:lineRule="exact"/>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lang w:eastAsia="zh-CN"/>
              </w:rPr>
            </w:r>
            <w:r/>
          </w:p>
        </w:tc>
        <w:tc>
          <w:tcPr>
            <w:tcW w:w="413" w:type="dxa"/>
            <w:vAlign w:val="top"/>
            <w:vMerge w:val="continue"/>
            <w:textDirection w:val="lrTb"/>
            <w:noWrap w:val="false"/>
          </w:tcPr>
          <w:p>
            <w:pPr>
              <w:pStyle w:val="740"/>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3287"/>
        </w:trPr>
        <w:tc>
          <w:tcPr>
            <w:tcW w:w="333" w:type="dxa"/>
            <w:vAlign w:val="center"/>
            <w:textDirection w:val="lrTb"/>
            <w:noWrap w:val="false"/>
          </w:tcPr>
          <w:p>
            <w:pPr>
              <w:pStyle w:val="740"/>
              <w:jc w:val="center"/>
              <w:spacing w:line="400" w:lineRule="exact"/>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C</w:t>
            </w:r>
            <w:r>
              <w:rPr>
                <w:rFonts w:hint="eastAsia" w:ascii="仿宋" w:hAnsi="仿宋" w:eastAsia="仿宋" w:cs="仿宋"/>
                <w:color w:val="000000"/>
                <w:sz w:val="21"/>
                <w:szCs w:val="21"/>
                <w:highlight w:val="none"/>
                <w:lang w:eastAsia="zh-CN"/>
              </w:rPr>
            </w:r>
            <w:r/>
          </w:p>
        </w:tc>
        <w:tc>
          <w:tcPr>
            <w:tcW w:w="609" w:type="dxa"/>
            <w:vAlign w:val="center"/>
            <w:textDirection w:val="lrTb"/>
            <w:noWrap w:val="false"/>
          </w:tcPr>
          <w:p>
            <w:pPr>
              <w:pStyle w:val="740"/>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辅导、培训、评审、咨询服务</w:t>
            </w:r>
            <w:r>
              <w:rPr>
                <w:rFonts w:hint="eastAsia" w:ascii="仿宋" w:hAnsi="仿宋" w:eastAsia="仿宋" w:cs="仿宋"/>
                <w:color w:val="000000"/>
                <w:sz w:val="21"/>
                <w:szCs w:val="21"/>
                <w:highlight w:val="none"/>
              </w:rPr>
            </w:r>
            <w:r/>
          </w:p>
        </w:tc>
        <w:tc>
          <w:tcPr>
            <w:tcW w:w="3093" w:type="dxa"/>
            <w:vAlign w:val="center"/>
            <w:textDirection w:val="lrTb"/>
            <w:noWrap w:val="false"/>
          </w:tcPr>
          <w:p>
            <w:pPr>
              <w:pStyle w:val="740"/>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部门项目标准化分类和标签体系建设培训；部门整体绩效目标编制、审核辅导培训；项目绩效目标编制、审核综合培训；针对市财政局委托的第三方重点绩效评价及其他成本绩效管理试点项目，提供方案和报告的综合指导和质控；针对委托第三方服务项目组织开展专家评审工作；对重点项目自评价复核提供专家再评服务</w:t>
            </w:r>
            <w:r>
              <w:rPr>
                <w:rFonts w:hint="eastAsia" w:ascii="仿宋" w:hAnsi="仿宋" w:eastAsia="仿宋" w:cs="仿宋"/>
                <w:color w:val="000000"/>
                <w:sz w:val="21"/>
                <w:szCs w:val="21"/>
                <w:highlight w:val="none"/>
              </w:rPr>
            </w:r>
            <w:r/>
          </w:p>
        </w:tc>
        <w:tc>
          <w:tcPr>
            <w:tcW w:w="550" w:type="dxa"/>
            <w:vAlign w:val="center"/>
            <w:textDirection w:val="lrTb"/>
            <w:noWrap w:val="false"/>
          </w:tcPr>
          <w:p>
            <w:pPr>
              <w:pStyle w:val="740"/>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12</w:t>
            </w:r>
            <w:r>
              <w:rPr>
                <w:rFonts w:hint="eastAsia" w:ascii="仿宋" w:hAnsi="仿宋" w:eastAsia="仿宋" w:cs="仿宋"/>
                <w:color w:val="000000"/>
                <w:sz w:val="21"/>
                <w:szCs w:val="21"/>
                <w:highlight w:val="none"/>
                <w:lang w:val="en-US" w:eastAsia="zh-CN"/>
              </w:rPr>
            </w:r>
            <w:r/>
          </w:p>
        </w:tc>
        <w:tc>
          <w:tcPr>
            <w:tcW w:w="413" w:type="dxa"/>
            <w:vAlign w:val="center"/>
            <w:vMerge w:val="continue"/>
            <w:textDirection w:val="lrTb"/>
            <w:noWrap w:val="false"/>
          </w:tcPr>
          <w:p>
            <w:pPr>
              <w:pStyle w:val="740"/>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bl>
    <w:p>
      <w:pPr>
        <w:pStyle w:val="740"/>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p>
      <w:pPr>
        <w:pStyle w:val="740"/>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（二）服务内容及要求：</w:t>
      </w:r>
      <w:r>
        <w:rPr>
          <w:rFonts w:hint="eastAsia" w:ascii="仿宋" w:hAnsi="仿宋" w:eastAsia="仿宋" w:cs="仿宋"/>
          <w:b/>
          <w:bCs/>
          <w:sz w:val="24"/>
          <w:szCs w:val="24"/>
          <w:highlight w:val="none"/>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服务A内容：</w:t>
      </w:r>
      <w:r>
        <w:rPr>
          <w:rFonts w:hint="eastAsia" w:ascii="仿宋" w:hAnsi="仿宋" w:eastAsia="仿宋" w:cs="仿宋"/>
          <w:b/>
          <w:bCs/>
          <w:sz w:val="24"/>
          <w:szCs w:val="24"/>
          <w:highlight w:val="none"/>
        </w:rPr>
        <w:t xml:space="preserve">支出标准建设服务</w:t>
      </w:r>
      <w:r>
        <w:rPr>
          <w:rFonts w:hint="eastAsia" w:ascii="仿宋" w:hAnsi="仿宋" w:eastAsia="仿宋" w:cs="仿宋"/>
          <w:b/>
          <w:bCs/>
          <w:color w:val="000000"/>
          <w:sz w:val="24"/>
          <w:szCs w:val="24"/>
          <w:highlight w:val="none"/>
        </w:rPr>
      </w:r>
      <w:r/>
    </w:p>
    <w:p>
      <w:pPr>
        <w:pStyle w:val="740"/>
        <w:jc w:val="center"/>
        <w:keepLines w:val="0"/>
        <w:keepNext w:val="0"/>
        <w:pageBreakBefore w:val="0"/>
        <w:spacing w:line="360" w:lineRule="auto"/>
        <w:widowControl w:val="off"/>
        <w:rPr>
          <w:rFonts w:hint="eastAsia" w:ascii="仿宋" w:hAnsi="仿宋" w:eastAsia="仿宋" w:cs="仿宋"/>
          <w:b/>
          <w:bCs/>
          <w:color w:val="000000"/>
          <w:sz w:val="24"/>
          <w:szCs w:val="24"/>
          <w:highlight w:val="none"/>
          <w:lang w:eastAsia="zh-CN"/>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bCs/>
          <w:color w:val="000000"/>
          <w:sz w:val="24"/>
          <w:szCs w:val="24"/>
          <w:highlight w:val="none"/>
          <w:lang w:eastAsia="zh-CN"/>
        </w:rPr>
        <w:t xml:space="preserve">信息化运维</w:t>
      </w:r>
      <w:r>
        <w:rPr>
          <w:rFonts w:hint="eastAsia" w:ascii="仿宋" w:hAnsi="仿宋" w:eastAsia="仿宋" w:cs="仿宋"/>
          <w:b/>
          <w:bCs/>
          <w:color w:val="000000"/>
          <w:sz w:val="24"/>
          <w:szCs w:val="24"/>
          <w:highlight w:val="none"/>
        </w:rPr>
        <w:t xml:space="preserve">支出标准体系</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评分案例</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eastAsia="zh-CN"/>
        </w:rPr>
      </w:r>
      <w:r/>
    </w:p>
    <w:p>
      <w:pPr>
        <w:pStyle w:val="740"/>
        <w:ind w:firstLine="480"/>
        <w:spacing w:line="360" w:lineRule="auto"/>
        <w:rPr>
          <w:rFonts w:hint="eastAsia" w:ascii="仿宋" w:hAnsi="仿宋" w:eastAsia="仿宋" w:cs="仿宋"/>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sz w:val="24"/>
          <w:szCs w:val="24"/>
          <w:highlight w:val="none"/>
          <w:lang w:val="en-US"/>
        </w:rPr>
        <w:t xml:space="preserve">信息化</w:t>
      </w:r>
      <w:r>
        <w:rPr>
          <w:rFonts w:hint="eastAsia" w:ascii="仿宋" w:hAnsi="仿宋" w:eastAsia="仿宋" w:cs="仿宋"/>
          <w:sz w:val="24"/>
          <w:szCs w:val="24"/>
          <w:highlight w:val="none"/>
        </w:rPr>
        <w:t xml:space="preserve">运维类项目，包括硬件运维项目和软件运维项目。硬件运维指针对市级政务云、部门接入机房和必须保留的自建机房提供的硬件设备维护服务；软件运维指针对系统（平台）提供的常规例行检查、状态监控、漏洞修复、响应支持等服务。</w:t>
      </w:r>
      <w:r>
        <w:rPr>
          <w:rFonts w:hint="eastAsia" w:ascii="仿宋" w:hAnsi="仿宋" w:eastAsia="仿宋" w:cs="仿宋"/>
          <w:color w:val="000000"/>
          <w:sz w:val="24"/>
          <w:szCs w:val="24"/>
          <w:highlight w:val="none"/>
          <w:shd w:val="clear" w:color="auto" w:fill="auto"/>
        </w:rPr>
        <w:t xml:space="preserve">2025年，32个市级部门共申报163个运维项目，部门预算申报数4599.26万元，预算安排数2603.43万元。其中25年度新建运维类项目</w:t>
      </w:r>
      <w:r>
        <w:rPr>
          <w:rFonts w:hint="eastAsia" w:ascii="仿宋" w:hAnsi="仿宋" w:eastAsia="仿宋" w:cs="仿宋"/>
          <w:color w:val="000000"/>
          <w:sz w:val="24"/>
          <w:szCs w:val="24"/>
          <w:highlight w:val="none"/>
          <w:shd w:val="clear" w:color="auto" w:fill="auto"/>
          <w:lang w:eastAsia="zh-CN"/>
        </w:rPr>
        <w:t xml:space="preserve">申报</w:t>
      </w:r>
      <w:r>
        <w:rPr>
          <w:rFonts w:hint="eastAsia" w:ascii="仿宋" w:hAnsi="仿宋" w:eastAsia="仿宋" w:cs="仿宋"/>
          <w:color w:val="000000"/>
          <w:sz w:val="24"/>
          <w:szCs w:val="24"/>
          <w:highlight w:val="none"/>
          <w:shd w:val="clear" w:color="auto" w:fill="auto"/>
        </w:rPr>
        <w:t xml:space="preserve">133个，申报预算数3577.24万元，实际安排</w:t>
      </w:r>
      <w:r>
        <w:rPr>
          <w:rFonts w:hint="eastAsia" w:ascii="仿宋" w:hAnsi="仿宋" w:eastAsia="仿宋" w:cs="仿宋"/>
          <w:color w:val="000000"/>
          <w:sz w:val="24"/>
          <w:szCs w:val="24"/>
          <w:highlight w:val="none"/>
          <w:shd w:val="clear" w:color="auto" w:fill="auto"/>
          <w:lang w:val="en-US"/>
        </w:rPr>
        <w:t xml:space="preserve">122个</w:t>
      </w:r>
      <w:r>
        <w:rPr>
          <w:rFonts w:hint="eastAsia" w:ascii="仿宋" w:hAnsi="仿宋" w:eastAsia="仿宋" w:cs="仿宋"/>
          <w:color w:val="000000"/>
          <w:sz w:val="24"/>
          <w:szCs w:val="24"/>
          <w:highlight w:val="none"/>
          <w:shd w:val="clear" w:color="auto" w:fill="auto"/>
        </w:rPr>
        <w:t xml:space="preserve">，预算安排数1584.65万元。续建运维类项目30个，根据合同剩余金额安排预算数1018.78万元。</w:t>
      </w:r>
      <w:r>
        <w:rPr>
          <w:rFonts w:hint="eastAsia" w:ascii="仿宋" w:hAnsi="仿宋" w:eastAsia="仿宋" w:cs="仿宋"/>
          <w:sz w:val="24"/>
          <w:szCs w:val="24"/>
          <w:highlight w:val="none"/>
        </w:rPr>
      </w:r>
      <w:r/>
    </w:p>
    <w:p>
      <w:pPr>
        <w:pStyle w:val="740"/>
        <w:ind w:firstLine="482"/>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b/>
          <w:bCs/>
          <w:color w:val="000000"/>
          <w:sz w:val="24"/>
          <w:szCs w:val="24"/>
          <w:highlight w:val="none"/>
        </w:rPr>
        <w:t xml:space="preserve">服务</w:t>
      </w:r>
      <w:r>
        <w:rPr>
          <w:rFonts w:hint="eastAsia" w:ascii="仿宋" w:hAnsi="仿宋" w:eastAsia="仿宋" w:cs="仿宋"/>
          <w:b/>
          <w:bCs/>
          <w:color w:val="000000"/>
          <w:sz w:val="24"/>
          <w:szCs w:val="24"/>
          <w:highlight w:val="none"/>
          <w:lang w:val="en-US" w:eastAsia="zh-CN"/>
        </w:rPr>
        <w:t xml:space="preserve">A</w:t>
      </w:r>
      <w:r>
        <w:rPr>
          <w:rFonts w:hint="eastAsia" w:ascii="仿宋" w:hAnsi="仿宋" w:eastAsia="仿宋" w:cs="仿宋"/>
          <w:b/>
          <w:bCs/>
          <w:color w:val="000000"/>
          <w:sz w:val="24"/>
          <w:szCs w:val="24"/>
          <w:highlight w:val="none"/>
        </w:rPr>
        <w:t xml:space="preserve">要求：</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（1）开展摸排分析。收集相关政策文件及资料，</w:t>
      </w:r>
      <w:r>
        <w:rPr>
          <w:rFonts w:hint="eastAsia" w:ascii="仿宋" w:hAnsi="仿宋" w:eastAsia="仿宋" w:cs="仿宋"/>
          <w:sz w:val="24"/>
          <w:szCs w:val="24"/>
          <w:highlight w:val="none"/>
          <w:lang w:val="en-US"/>
        </w:rPr>
        <w:t xml:space="preserve">梳理全市信息化运维项目情况，</w:t>
      </w:r>
      <w:r>
        <w:rPr>
          <w:rFonts w:hint="eastAsia" w:ascii="仿宋" w:hAnsi="仿宋" w:eastAsia="仿宋" w:cs="仿宋"/>
          <w:sz w:val="24"/>
          <w:szCs w:val="24"/>
          <w:highlight w:val="none"/>
        </w:rPr>
        <w:t xml:space="preserve">选取具有代表性的部门作为调研对象，按照成本绩效分析的思路和方法，全面分析太仓市信息化运维类项目成本的构成，确定成本边界，明确成本构成要素。对项目发生的成本进行分类归集和科学加工，摸清成本核算与分摊方法，分析影响成本的关键因素和成本变动趋势，以此来计算出与项目实施有关的成本。</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实施成本归制。科学核定成本规制结果，通过成本分析和趋势分析，剔除历史成本中不合理因素和与项目实施无关的支出，测定各项成本的取值方法以及标准值区间，并据此建立分级分档的信息化运维支出标准，建立政府购买服务价格动态调整体系。</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（3）结合项目管理现状提出资源优化配置建议。</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（4）协助财政构建项目绩效目标指标体系，形成绩效评价应用机制。</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出具支出标准分析报告。撰写支出标准分析报告，报告力求做到依据充分、分析透彻、逻辑清晰、客观公正。绩效分析报告由采购人组织专家进行评审并出具专家评审意见，成交单位根据专家评审意见进行修改完善，按规定出具正式报告。</w:t>
      </w:r>
      <w:r>
        <w:rPr>
          <w:rFonts w:hint="eastAsia" w:ascii="仿宋" w:hAnsi="仿宋" w:eastAsia="仿宋" w:cs="仿宋"/>
          <w:sz w:val="24"/>
          <w:szCs w:val="24"/>
          <w:highlight w:val="none"/>
        </w:rPr>
      </w:r>
      <w:r/>
    </w:p>
    <w:p>
      <w:pPr>
        <w:pStyle w:val="740"/>
        <w:ind w:firstLine="482"/>
        <w:keepLines w:val="0"/>
        <w:keepNext w:val="0"/>
        <w:pageBreakBefore w:val="0"/>
        <w:spacing w:before="181"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服务</w:t>
      </w:r>
      <w:r>
        <w:rPr>
          <w:rFonts w:hint="eastAsia" w:ascii="仿宋" w:hAnsi="仿宋" w:eastAsia="仿宋" w:cs="仿宋"/>
          <w:b/>
          <w:bCs/>
          <w:color w:val="000000"/>
          <w:sz w:val="24"/>
          <w:szCs w:val="24"/>
          <w:highlight w:val="none"/>
          <w:lang w:val="en-US" w:eastAsia="zh-CN"/>
        </w:rPr>
        <w:t xml:space="preserve">B</w:t>
      </w:r>
      <w:r>
        <w:rPr>
          <w:rFonts w:hint="eastAsia" w:ascii="仿宋" w:hAnsi="仿宋" w:eastAsia="仿宋" w:cs="仿宋"/>
          <w:b/>
          <w:bCs/>
          <w:color w:val="000000"/>
          <w:sz w:val="24"/>
          <w:szCs w:val="24"/>
          <w:highlight w:val="none"/>
        </w:rPr>
        <w:t xml:space="preserve">内容：重点绩效评价服务</w:t>
      </w:r>
      <w:r>
        <w:rPr>
          <w:rFonts w:hint="eastAsia" w:ascii="仿宋" w:hAnsi="仿宋" w:eastAsia="仿宋" w:cs="仿宋"/>
          <w:color w:val="000000"/>
          <w:sz w:val="24"/>
          <w:szCs w:val="24"/>
          <w:highlight w:val="none"/>
        </w:rPr>
      </w:r>
      <w:r/>
    </w:p>
    <w:p>
      <w:pPr>
        <w:pStyle w:val="740"/>
        <w:jc w:val="center"/>
        <w:keepLines w:val="0"/>
        <w:keepNext w:val="0"/>
        <w:pageBreakBefore w:val="0"/>
        <w:spacing w:line="360" w:lineRule="auto"/>
        <w:widowControl w:val="off"/>
        <w:rPr>
          <w:rFonts w:hint="eastAsia" w:ascii="仿宋" w:hAnsi="仿宋" w:eastAsia="仿宋" w:cs="仿宋"/>
          <w:b/>
          <w:bCs/>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bCs/>
          <w:color w:val="000000"/>
          <w:sz w:val="24"/>
          <w:szCs w:val="24"/>
          <w:highlight w:val="none"/>
        </w:rPr>
        <w:t xml:space="preserve">太仓市双创综合服务平台建设及运营重点绩效评价</w:t>
      </w:r>
      <w:r>
        <w:rPr>
          <w:rFonts w:hint="eastAsia" w:ascii="仿宋" w:hAnsi="仿宋" w:eastAsia="仿宋" w:cs="仿宋"/>
          <w:b/>
          <w:bCs/>
          <w:color w:val="000000"/>
          <w:sz w:val="24"/>
          <w:szCs w:val="24"/>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一、项目概况</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太仓市双创综合服务平台是2018年政府投资项目，项目总投资1350万元，包括科技创新展厅、综合服务窗口、梦工厂等装饰、设备安装、软硬件及相关配套工程。平台分为“线上项目”和“线下项目”两部分，含科创融合中心（展厅）、梦工厂（路演场地）、太仓市双创综合服务平台运维项目。由市科技局具体实施，主要是服务我市企业科技创新，举办各类科技创新活动，推动提升我市科技创新氛围。</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二、设立依据</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《市政府关于下达2018年度市级政府投资项目计划的通知》（太政发﹝2018﹞24号）、《关于同意实施双创综合服务平台（线下）项目建议书的批复》（太发改投﹝2018﹞150号）。</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三、总目标及年度目标</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（一）项目总目标</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双创综合服务平台建设紧扣“大众创业、万众创新”工作主线，以“平台+数据+应用+服务”为核心模式，依托线上线下联动服务，集聚整合各类创新创业资源，持续优化创新创业生态环境。</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（二）项目年度目标</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在往年平台建设及运营基础上，结合太仓市科技局工作规划，为双创主体提供政策、人才、金融等8大服务板块，实现一站式找产业、找载体、找资金等功能。</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四、预算安排情况</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2018年初未安排预算，调整预算数为288.43万元。</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2019年预算安排565万元（太仓市“双创”综合服务平台线下540万元、双创综合服务平台运维经费25万元）。</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2020年预算安排516万元（太仓市“双创”综合服务平台线下471万元、双创综合服务平台运维经费45万元）。</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2021年预算安排323万元（太仓市“双创”综合服务平台线下296万元、双创综合服务平台运维经费27万元）。</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2022年预算安排61万元（2022年度太仓市“双创综合服务平台建设与运营”25万元、太仓市“双创”综合服务平台线下36万元）。</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2023年预算安排52万元（双创融合中心更新维护费32万元、2023年太仓市双创综合服务平台运维20万元）。</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2024年预算安排22万元（双创融合中心更新维护费5万元、2024年太仓市双创综合服务平台运维12万元、2024年太仓市双创综合服务平台二级等级保护测评5万元）。</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2025年预算安排16.4万元（双创融合中心更新维护费5万元、2025年太仓市双创综合服务平台运维11.4万元）。</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2026年安排预算42万元（双创融合中心更新维护费3万元、2026年太仓市双创综合服务平台运维11万元、双创综合服务平台梦工厂运营管理经费28万元）。</w:t>
      </w:r>
      <w:r>
        <w:rPr>
          <w:rFonts w:hint="eastAsia" w:ascii="仿宋" w:hAnsi="仿宋" w:eastAsia="仿宋" w:cs="仿宋"/>
          <w:color w:val="000000"/>
          <w:szCs w:val="21"/>
          <w:highlight w:val="none"/>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服务</w:t>
      </w:r>
      <w:r>
        <w:rPr>
          <w:rFonts w:hint="eastAsia" w:ascii="仿宋" w:hAnsi="仿宋" w:eastAsia="仿宋" w:cs="仿宋"/>
          <w:b/>
          <w:bCs/>
          <w:color w:val="000000"/>
          <w:sz w:val="24"/>
          <w:szCs w:val="24"/>
          <w:highlight w:val="none"/>
          <w:lang w:val="en-US" w:eastAsia="zh-CN"/>
        </w:rPr>
        <w:t xml:space="preserve">B</w:t>
      </w:r>
      <w:r>
        <w:rPr>
          <w:rFonts w:hint="eastAsia" w:ascii="仿宋" w:hAnsi="仿宋" w:eastAsia="仿宋" w:cs="仿宋"/>
          <w:b/>
          <w:bCs/>
          <w:color w:val="000000"/>
          <w:sz w:val="24"/>
          <w:szCs w:val="24"/>
          <w:highlight w:val="none"/>
        </w:rPr>
        <w:t xml:space="preserve">要求：</w:t>
      </w:r>
      <w:r>
        <w:rPr>
          <w:rFonts w:hint="eastAsia" w:ascii="仿宋" w:hAnsi="仿宋" w:eastAsia="仿宋" w:cs="仿宋"/>
          <w:b/>
          <w:bCs/>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制定评价工作方案。由成交单位成立评价工作组，对评价项目资金进行调研，与预算部门（单位）沟通，收集相关政策文件及资料，了解项目资金的内容、操作流程、管理机制、资金使用、产出和效果等情况，根据项目资金实际情况和绩效管理要求制定绩效评价工作方案，并报送预算部门（单位）和采购人审核。采购人组织专家对工作方案进行评审，经评审通过的工作方案作为实施绩效评价的依据。</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实施绩效评价。根据绩效评价方案组织实施绩效评价工作。开展资料收集、数据复核、问卷调查和访谈等工作，对复核后的数据和资料进行汇总，依据评分标准对绩效指标进行评分，并通过绩效分析形成评价结论。</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出具绩效评价报告。按照采购人规定的文本格式要求撰写绩效评价报告，评价报告力求做到依据充分、分析透彻、逻辑清晰、客观公正。主要效果和存在问题分析应与评价结论逻辑一致，对策建议应具有针对性、可操作性和一定前瞻性。绩效评价报告征求预算部门（单位）意见后，由采购人组织专家进行评审并出具专家评审意见，成交单位根据专家评审意见进行修改完善，按规定出具正式报告。</w:t>
      </w:r>
      <w:r>
        <w:rPr>
          <w:rFonts w:hint="eastAsia" w:ascii="仿宋" w:hAnsi="仿宋" w:eastAsia="仿宋" w:cs="仿宋"/>
          <w:color w:val="000000"/>
          <w:sz w:val="24"/>
          <w:szCs w:val="24"/>
          <w:highlight w:val="none"/>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服务</w:t>
      </w:r>
      <w:r>
        <w:rPr>
          <w:rFonts w:hint="eastAsia" w:ascii="仿宋" w:hAnsi="仿宋" w:eastAsia="仿宋" w:cs="仿宋"/>
          <w:b/>
          <w:bCs/>
          <w:color w:val="000000"/>
          <w:sz w:val="24"/>
          <w:szCs w:val="24"/>
          <w:highlight w:val="none"/>
          <w:lang w:val="en-US" w:eastAsia="zh-CN"/>
        </w:rPr>
        <w:t xml:space="preserve">C</w:t>
      </w:r>
      <w:r>
        <w:rPr>
          <w:rFonts w:hint="eastAsia" w:ascii="仿宋" w:hAnsi="仿宋" w:eastAsia="仿宋" w:cs="仿宋"/>
          <w:b/>
          <w:bCs/>
          <w:color w:val="000000"/>
          <w:sz w:val="24"/>
          <w:szCs w:val="24"/>
          <w:highlight w:val="none"/>
        </w:rPr>
        <w:t xml:space="preserve">内容：辅导、培训、评审、咨询服务</w:t>
      </w:r>
      <w:r>
        <w:rPr>
          <w:rFonts w:hint="eastAsia" w:ascii="仿宋" w:hAnsi="仿宋" w:eastAsia="仿宋" w:cs="仿宋"/>
          <w:b/>
          <w:bCs/>
          <w:color w:val="000000"/>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辅导、培训、评审、咨询</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预算绩效各类相关培训、辅导；重点评价、绩效分析方案和报告的综合指导和质控；专家评审、再评价等。</w:t>
      </w:r>
      <w:r>
        <w:rPr>
          <w:rFonts w:hint="eastAsia" w:ascii="仿宋" w:hAnsi="仿宋" w:eastAsia="仿宋" w:cs="仿宋"/>
          <w:sz w:val="24"/>
          <w:szCs w:val="24"/>
          <w:highlight w:val="none"/>
        </w:rPr>
      </w:r>
      <w:r/>
    </w:p>
    <w:p>
      <w:pPr>
        <w:pStyle w:val="740"/>
        <w:ind w:firstLine="482"/>
        <w:keepLines w:val="0"/>
        <w:keepNext w:val="0"/>
        <w:pageBreakBefore w:val="0"/>
        <w:spacing w:before="181"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服务</w:t>
      </w:r>
      <w:r>
        <w:rPr>
          <w:rFonts w:hint="eastAsia" w:ascii="仿宋" w:hAnsi="仿宋" w:eastAsia="仿宋" w:cs="仿宋"/>
          <w:b/>
          <w:bCs/>
          <w:color w:val="000000"/>
          <w:sz w:val="24"/>
          <w:szCs w:val="24"/>
          <w:highlight w:val="none"/>
          <w:lang w:val="en-US" w:eastAsia="zh-CN"/>
        </w:rPr>
        <w:t xml:space="preserve">C</w:t>
      </w:r>
      <w:r>
        <w:rPr>
          <w:rFonts w:hint="eastAsia" w:ascii="仿宋" w:hAnsi="仿宋" w:eastAsia="仿宋" w:cs="仿宋"/>
          <w:b/>
          <w:bCs/>
          <w:color w:val="000000"/>
          <w:sz w:val="24"/>
          <w:szCs w:val="24"/>
          <w:highlight w:val="none"/>
        </w:rPr>
        <w:t xml:space="preserve">要求：</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（1）部门项目标准化分类和标签体系建设培训（财政、部门）。</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（2）十个部门整体绩效目标设置辅导。</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（3）预算部门、户管科室、区镇财政部门线上或线下绩效目标编制、审核等培训。</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（4）针对市财政局委托的第三方重点绩效评价及其他成本绩效管理试点项目，提供方案和报告的综合指导和质控；针对委托第三方服务项目组织开展专家评审工作；对重点项目自评价复核提供专家再评服务</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协助建立共性绩效指标框架体系</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（三）项目组配置要求</w:t>
      </w:r>
      <w:r>
        <w:rPr>
          <w:rFonts w:hint="eastAsia" w:ascii="仿宋" w:hAnsi="仿宋" w:eastAsia="仿宋" w:cs="仿宋"/>
          <w:b/>
          <w:bCs/>
          <w:color w:val="000000"/>
          <w:sz w:val="24"/>
          <w:szCs w:val="24"/>
          <w:highlight w:val="none"/>
        </w:rPr>
      </w:r>
      <w:r/>
    </w:p>
    <w:p>
      <w:pPr>
        <w:pStyle w:val="740"/>
        <w:ind w:left="0" w:firstLine="422"/>
        <w:spacing w:line="360" w:lineRule="auto"/>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响应单位的响应文件中，需提供拟派项目组人员，</w:t>
      </w:r>
      <w:r>
        <w:rPr>
          <w:rFonts w:hint="eastAsia" w:ascii="仿宋" w:hAnsi="仿宋" w:eastAsia="仿宋" w:cs="仿宋"/>
          <w:b/>
          <w:color w:val="000000"/>
          <w:sz w:val="24"/>
          <w:szCs w:val="24"/>
          <w:highlight w:val="none"/>
        </w:rPr>
        <w:t xml:space="preserve">服务项目团队不得低于</w:t>
      </w:r>
      <w:r>
        <w:rPr>
          <w:rFonts w:hint="eastAsia" w:ascii="仿宋" w:hAnsi="仿宋" w:eastAsia="仿宋" w:cs="仿宋"/>
          <w:b/>
          <w:color w:val="000000"/>
          <w:sz w:val="24"/>
          <w:szCs w:val="24"/>
          <w:highlight w:val="none"/>
          <w:lang w:val="en-US" w:eastAsia="zh-CN"/>
        </w:rPr>
        <w:t xml:space="preserve">6</w:t>
      </w:r>
      <w:r>
        <w:rPr>
          <w:rFonts w:hint="eastAsia" w:ascii="仿宋" w:hAnsi="仿宋" w:eastAsia="仿宋" w:cs="仿宋"/>
          <w:b/>
          <w:color w:val="000000"/>
          <w:sz w:val="24"/>
          <w:szCs w:val="24"/>
          <w:highlight w:val="none"/>
        </w:rPr>
        <w:t xml:space="preserve">人，固定服务成员不少于</w:t>
      </w:r>
      <w:r>
        <w:rPr>
          <w:rFonts w:hint="eastAsia" w:ascii="仿宋" w:hAnsi="仿宋" w:eastAsia="仿宋" w:cs="仿宋"/>
          <w:b/>
          <w:color w:val="000000"/>
          <w:sz w:val="24"/>
          <w:szCs w:val="24"/>
          <w:highlight w:val="none"/>
          <w:lang w:val="en-US" w:eastAsia="zh-CN"/>
        </w:rPr>
        <w:t xml:space="preserve">4</w:t>
      </w:r>
      <w:r>
        <w:rPr>
          <w:rFonts w:hint="eastAsia" w:ascii="仿宋" w:hAnsi="仿宋" w:eastAsia="仿宋" w:cs="仿宋"/>
          <w:b/>
          <w:color w:val="000000"/>
          <w:sz w:val="24"/>
          <w:szCs w:val="24"/>
          <w:highlight w:val="none"/>
        </w:rPr>
        <w:t xml:space="preserve">人（固定成员</w:t>
      </w:r>
      <w:r>
        <w:rPr>
          <w:rFonts w:hint="eastAsia" w:ascii="仿宋" w:hAnsi="仿宋" w:eastAsia="仿宋" w:cs="仿宋"/>
          <w:b/>
          <w:sz w:val="24"/>
          <w:szCs w:val="24"/>
          <w:highlight w:val="none"/>
        </w:rPr>
        <w:t xml:space="preserve">须在第三章《项目服务人员配置表》中</w:t>
      </w:r>
      <w:r>
        <w:rPr>
          <w:rFonts w:hint="eastAsia" w:ascii="仿宋" w:hAnsi="仿宋" w:eastAsia="仿宋" w:cs="仿宋"/>
          <w:b/>
          <w:color w:val="000000"/>
          <w:sz w:val="24"/>
          <w:szCs w:val="24"/>
          <w:highlight w:val="none"/>
        </w:rPr>
        <w:t xml:space="preserve">打★）</w:t>
      </w:r>
      <w:r>
        <w:rPr>
          <w:rFonts w:hint="eastAsia" w:ascii="仿宋" w:hAnsi="仿宋" w:eastAsia="仿宋" w:cs="仿宋"/>
          <w:b/>
          <w:color w:val="000000"/>
          <w:sz w:val="24"/>
          <w:szCs w:val="24"/>
          <w:highlight w:val="none"/>
          <w:lang w:val="zh-CN"/>
        </w:rPr>
        <w:t xml:space="preserve">。财务从业人员是指按照行业相关规定，具备会计专业服务能力，熟悉掌握《预算法》《会计法》《审计法》，具备一定会计从业经验的财务从业人员，</w:t>
      </w:r>
      <w:r>
        <w:rPr>
          <w:rFonts w:hint="eastAsia" w:ascii="仿宋" w:hAnsi="仿宋" w:eastAsia="仿宋" w:cs="仿宋"/>
          <w:b/>
          <w:color w:val="000000"/>
          <w:sz w:val="24"/>
          <w:szCs w:val="24"/>
          <w:highlight w:val="none"/>
          <w:lang w:val="en-US" w:eastAsia="zh-CN"/>
        </w:rPr>
        <w:t xml:space="preserve">服务项目团队</w:t>
      </w:r>
      <w:r>
        <w:rPr>
          <w:rFonts w:hint="eastAsia" w:ascii="仿宋" w:hAnsi="仿宋" w:eastAsia="仿宋" w:cs="仿宋"/>
          <w:b/>
          <w:color w:val="000000"/>
          <w:sz w:val="24"/>
          <w:szCs w:val="24"/>
          <w:highlight w:val="none"/>
          <w:lang w:val="zh-CN"/>
        </w:rPr>
        <w:t xml:space="preserve">中至少1人为注册会计师。</w:t>
      </w:r>
      <w:r>
        <w:rPr>
          <w:rFonts w:hint="eastAsia" w:ascii="仿宋" w:hAnsi="仿宋" w:eastAsia="仿宋" w:cs="仿宋"/>
          <w:b/>
          <w:color w:val="000000"/>
          <w:sz w:val="24"/>
          <w:szCs w:val="24"/>
          <w:highlight w:val="none"/>
          <w:lang w:val="zh-CN"/>
        </w:rPr>
      </w:r>
      <w:r/>
    </w:p>
    <w:p>
      <w:pPr>
        <w:pStyle w:val="740"/>
        <w:ind w:left="0"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上述固定成员在成交后不得变更；响应单位提供的项目组成员同时出现在两家及以上的，若涉及提供虚假材料将按照《中华人民共和国政府采购法》第七十七</w:t>
      </w:r>
      <w:r>
        <w:rPr>
          <w:rFonts w:hint="eastAsia" w:ascii="仿宋" w:hAnsi="仿宋" w:eastAsia="仿宋" w:cs="仿宋"/>
          <w:b/>
          <w:color w:val="000000"/>
          <w:sz w:val="24"/>
          <w:szCs w:val="24"/>
          <w:highlight w:val="none"/>
        </w:rPr>
        <w:t xml:space="preserve">条</w:t>
      </w:r>
      <w:r>
        <w:rPr>
          <w:rFonts w:hint="eastAsia" w:ascii="仿宋" w:hAnsi="仿宋" w:eastAsia="仿宋" w:cs="仿宋"/>
          <w:b/>
          <w:color w:val="000000"/>
          <w:sz w:val="24"/>
          <w:szCs w:val="24"/>
          <w:highlight w:val="none"/>
          <w:lang w:val="zh-CN"/>
        </w:rPr>
        <w:t xml:space="preserve">执行。</w:t>
      </w:r>
      <w:r>
        <w:rPr>
          <w:rFonts w:hint="eastAsia" w:ascii="仿宋" w:hAnsi="仿宋" w:eastAsia="仿宋" w:cs="仿宋"/>
          <w:b/>
          <w:sz w:val="24"/>
          <w:szCs w:val="24"/>
          <w:highlight w:val="none"/>
        </w:rPr>
        <w:t xml:space="preserve">响应单位不得提供退休人员，若提供退休人员视为未实质性响应采购需求。</w:t>
      </w:r>
      <w:r>
        <w:rPr>
          <w:rFonts w:hint="eastAsia" w:ascii="仿宋" w:hAnsi="仿宋" w:eastAsia="仿宋" w:cs="仿宋"/>
          <w:b/>
          <w:color w:val="000000"/>
          <w:sz w:val="24"/>
          <w:szCs w:val="24"/>
          <w:highlight w:val="none"/>
        </w:rPr>
      </w:r>
      <w:r/>
    </w:p>
    <w:p>
      <w:pPr>
        <w:pStyle w:val="740"/>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上述项目负责人、主评人和固定成员为实质性响应条款，不满足视为无效响应。</w:t>
      </w:r>
      <w:r>
        <w:rPr>
          <w:rFonts w:hint="eastAsia" w:ascii="仿宋" w:hAnsi="仿宋" w:eastAsia="仿宋" w:cs="仿宋"/>
          <w:b/>
          <w:bCs/>
          <w:color w:val="000000"/>
          <w:sz w:val="24"/>
          <w:szCs w:val="24"/>
          <w:highlight w:val="none"/>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（四）报价要求</w:t>
      </w:r>
      <w:r>
        <w:rPr>
          <w:rFonts w:hint="eastAsia" w:ascii="仿宋" w:hAnsi="仿宋" w:eastAsia="仿宋" w:cs="仿宋"/>
          <w:b/>
          <w:bCs/>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1、以人民币报价，报价按采购文件所要求的全部项目报价，含为完成本项目所需的全部费用。</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hint="eastAsia" w:ascii="仿宋" w:hAnsi="仿宋" w:eastAsia="仿宋" w:cs="仿宋"/>
          <w:color w:val="000000"/>
          <w:sz w:val="24"/>
          <w:szCs w:val="24"/>
          <w:highlight w:val="none"/>
          <w:lang w:val="zh-CN"/>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（五）项目支付</w:t>
      </w:r>
      <w:r>
        <w:rPr>
          <w:rFonts w:hint="eastAsia" w:ascii="仿宋" w:hAnsi="仿宋" w:eastAsia="仿宋" w:cs="仿宋"/>
          <w:b/>
          <w:bCs/>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签订后，乙方开具增值税发票，甲方在收到乙方的发票后60日内支付合同总价的10%作为预付款；全部工作内容完成验收通过后根据考核结果一次性付清余款，乙方根据考核结果开具增值税发票，甲方在收到乙方的发票后60日内支付余款。</w:t>
      </w:r>
      <w:r>
        <w:rPr>
          <w:rFonts w:hint="eastAsia" w:ascii="仿宋" w:hAnsi="仿宋" w:eastAsia="仿宋" w:cs="仿宋"/>
          <w:color w:val="000000"/>
          <w:sz w:val="24"/>
          <w:szCs w:val="24"/>
          <w:highlight w:val="none"/>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（六）考核标准</w:t>
      </w:r>
      <w:r>
        <w:rPr>
          <w:rFonts w:hint="eastAsia" w:ascii="仿宋" w:hAnsi="仿宋" w:eastAsia="仿宋" w:cs="仿宋"/>
          <w:b/>
          <w:bCs/>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考核按照《太仓市财政局委托第三方机构参与预算绩效管理业务质量考核办法》执行（详见合同附件）。</w:t>
      </w:r>
      <w:r>
        <w:rPr>
          <w:rFonts w:hint="eastAsia" w:ascii="仿宋" w:hAnsi="仿宋" w:eastAsia="仿宋" w:cs="仿宋"/>
          <w:color w:val="000000"/>
          <w:sz w:val="24"/>
          <w:szCs w:val="24"/>
          <w:highlight w:val="none"/>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（七）项目验收</w:t>
      </w:r>
      <w:r>
        <w:rPr>
          <w:rFonts w:hint="eastAsia" w:ascii="仿宋" w:hAnsi="仿宋" w:eastAsia="仿宋" w:cs="仿宋"/>
          <w:b/>
          <w:bCs/>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lang w:val="zh-TW"/>
        </w:rPr>
        <w:t xml:space="preserve">1、履约验收的实施主体：</w:t>
      </w:r>
      <w:r>
        <w:rPr>
          <w:rFonts w:hint="eastAsia" w:ascii="仿宋" w:hAnsi="仿宋" w:eastAsia="仿宋" w:cs="仿宋"/>
          <w:color w:val="000000"/>
          <w:sz w:val="24"/>
          <w:szCs w:val="24"/>
          <w:highlight w:val="none"/>
        </w:rPr>
        <w:t xml:space="preserve">太仓市财政局</w:t>
      </w:r>
      <w:r>
        <w:rPr>
          <w:rFonts w:hint="eastAsia" w:ascii="仿宋" w:hAnsi="仿宋" w:eastAsia="仿宋" w:cs="仿宋"/>
          <w:color w:val="000000"/>
          <w:sz w:val="24"/>
          <w:szCs w:val="24"/>
          <w:highlight w:val="none"/>
          <w:lang w:val="zh-TW"/>
        </w:rPr>
        <w:t xml:space="preserve">。</w:t>
      </w:r>
      <w:r>
        <w:rPr>
          <w:rFonts w:hint="eastAsia" w:ascii="仿宋" w:hAnsi="仿宋" w:eastAsia="仿宋" w:cs="仿宋"/>
          <w:color w:val="000000"/>
          <w:sz w:val="24"/>
          <w:szCs w:val="24"/>
          <w:highlight w:val="none"/>
          <w:lang w:val="zh-TW"/>
        </w:rPr>
      </w:r>
      <w:r/>
    </w:p>
    <w:p>
      <w:pPr>
        <w:pStyle w:val="740"/>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lang w:val="zh-TW"/>
        </w:rPr>
        <w:t xml:space="preserve">2、履约验收时间：</w:t>
      </w:r>
      <w:r>
        <w:rPr>
          <w:rFonts w:hint="eastAsia" w:ascii="仿宋" w:hAnsi="仿宋" w:eastAsia="仿宋" w:cs="仿宋"/>
          <w:color w:val="000000"/>
          <w:sz w:val="24"/>
          <w:szCs w:val="24"/>
          <w:highlight w:val="none"/>
        </w:rPr>
        <w:t xml:space="preserve">出具最终报告后</w:t>
      </w:r>
      <w:r>
        <w:rPr>
          <w:rFonts w:hint="eastAsia" w:ascii="仿宋" w:hAnsi="仿宋" w:eastAsia="仿宋" w:cs="仿宋"/>
          <w:color w:val="000000"/>
          <w:sz w:val="24"/>
          <w:szCs w:val="24"/>
          <w:highlight w:val="none"/>
          <w:lang w:val="zh-TW"/>
        </w:rPr>
        <w:t xml:space="preserve">。</w:t>
      </w:r>
      <w:r>
        <w:rPr>
          <w:rFonts w:hint="eastAsia" w:ascii="仿宋" w:hAnsi="仿宋" w:eastAsia="仿宋" w:cs="仿宋"/>
          <w:color w:val="000000"/>
          <w:sz w:val="24"/>
          <w:szCs w:val="24"/>
          <w:highlight w:val="none"/>
          <w:lang w:val="zh-TW"/>
        </w:rPr>
      </w:r>
      <w:r/>
    </w:p>
    <w:p>
      <w:pPr>
        <w:pStyle w:val="740"/>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lang w:val="zh-TW"/>
        </w:rPr>
        <w:t xml:space="preserve">3、履约验收方式：</w:t>
      </w:r>
      <w:r>
        <w:rPr>
          <w:rFonts w:hint="eastAsia" w:ascii="仿宋" w:hAnsi="仿宋" w:eastAsia="仿宋" w:cs="仿宋"/>
          <w:color w:val="000000"/>
          <w:sz w:val="24"/>
          <w:szCs w:val="24"/>
          <w:highlight w:val="none"/>
        </w:rPr>
        <w:t xml:space="preserve">整体成果验收</w:t>
      </w:r>
      <w:r>
        <w:rPr>
          <w:rFonts w:hint="eastAsia" w:ascii="仿宋" w:hAnsi="仿宋" w:eastAsia="仿宋" w:cs="仿宋"/>
          <w:color w:val="000000"/>
          <w:sz w:val="24"/>
          <w:szCs w:val="24"/>
          <w:highlight w:val="none"/>
          <w:lang w:val="zh-TW"/>
        </w:rPr>
        <w:t xml:space="preserve">。</w:t>
      </w:r>
      <w:r>
        <w:rPr>
          <w:rFonts w:hint="eastAsia" w:ascii="仿宋" w:hAnsi="仿宋" w:eastAsia="仿宋" w:cs="仿宋"/>
          <w:color w:val="000000"/>
          <w:sz w:val="24"/>
          <w:szCs w:val="24"/>
          <w:highlight w:val="none"/>
          <w:lang w:val="zh-TW"/>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4、验收</w:t>
      </w:r>
      <w:r>
        <w:rPr>
          <w:rFonts w:hint="eastAsia" w:ascii="仿宋" w:hAnsi="仿宋" w:eastAsia="仿宋" w:cs="仿宋"/>
          <w:color w:val="000000"/>
          <w:sz w:val="24"/>
          <w:szCs w:val="24"/>
          <w:highlight w:val="none"/>
          <w:lang w:val="zh-TW"/>
        </w:rPr>
        <w:t xml:space="preserve">内容</w:t>
      </w:r>
      <w:r>
        <w:rPr>
          <w:rFonts w:hint="eastAsia" w:ascii="仿宋" w:hAnsi="仿宋" w:eastAsia="仿宋" w:cs="仿宋"/>
          <w:color w:val="000000"/>
          <w:sz w:val="24"/>
          <w:szCs w:val="24"/>
          <w:highlight w:val="none"/>
        </w:rPr>
        <w:t xml:space="preserve">及标准</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lang w:val="zh-TW"/>
        </w:rPr>
        <w:t xml:space="preserve">（</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TW"/>
        </w:rPr>
        <w:t xml:space="preserve">）验收内容‌</w:t>
      </w:r>
      <w:r>
        <w:rPr>
          <w:rFonts w:hint="eastAsia" w:ascii="仿宋" w:hAnsi="仿宋" w:eastAsia="仿宋" w:cs="仿宋"/>
          <w:color w:val="000000"/>
          <w:sz w:val="24"/>
          <w:szCs w:val="24"/>
          <w:highlight w:val="none"/>
          <w:lang w:val="zh-TW"/>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1）对服务合同中约定的服务内容进行验收，确保各项服务均得到履行。</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2）对最终成果报告进行验收。</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lang w:val="zh-TW"/>
        </w:rPr>
        <w:t xml:space="preserve">（</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TW"/>
        </w:rPr>
        <w:t xml:space="preserve">）设定验收标准‌</w:t>
      </w:r>
      <w:r>
        <w:rPr>
          <w:rFonts w:hint="eastAsia" w:ascii="仿宋" w:hAnsi="仿宋" w:eastAsia="仿宋" w:cs="仿宋"/>
          <w:color w:val="000000"/>
          <w:sz w:val="24"/>
          <w:szCs w:val="24"/>
          <w:highlight w:val="none"/>
          <w:lang w:val="zh-TW"/>
        </w:rPr>
      </w:r>
      <w:r/>
    </w:p>
    <w:p>
      <w:pPr>
        <w:pStyle w:val="740"/>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TW"/>
        </w:rPr>
        <w:t xml:space="preserve">服务内容的完成情况必须符合合同约定，达到预期的服务效果。</w:t>
      </w:r>
      <w:r>
        <w:rPr>
          <w:rFonts w:hint="eastAsia" w:ascii="仿宋" w:hAnsi="仿宋" w:eastAsia="仿宋" w:cs="仿宋"/>
          <w:color w:val="000000"/>
          <w:sz w:val="24"/>
          <w:szCs w:val="24"/>
          <w:highlight w:val="none"/>
          <w:lang w:val="zh-TW"/>
        </w:rPr>
      </w:r>
      <w:r/>
    </w:p>
    <w:p>
      <w:pPr>
        <w:pStyle w:val="740"/>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rPr>
        <w:t xml:space="preserve">2）成果报告</w:t>
      </w:r>
      <w:r>
        <w:rPr>
          <w:rFonts w:hint="eastAsia" w:ascii="仿宋" w:hAnsi="仿宋" w:eastAsia="仿宋" w:cs="仿宋"/>
          <w:color w:val="000000"/>
          <w:sz w:val="24"/>
          <w:szCs w:val="24"/>
          <w:highlight w:val="none"/>
          <w:lang w:val="zh-TW"/>
        </w:rPr>
        <w:t xml:space="preserve">必须符合合同约定，达到</w:t>
      </w:r>
      <w:r>
        <w:rPr>
          <w:rFonts w:hint="eastAsia" w:ascii="仿宋" w:hAnsi="仿宋" w:eastAsia="仿宋" w:cs="仿宋"/>
          <w:color w:val="000000"/>
          <w:sz w:val="24"/>
          <w:szCs w:val="24"/>
          <w:highlight w:val="none"/>
        </w:rPr>
        <w:t xml:space="preserve">采购要求</w:t>
      </w:r>
      <w:r>
        <w:rPr>
          <w:rFonts w:hint="eastAsia" w:ascii="仿宋" w:hAnsi="仿宋" w:eastAsia="仿宋" w:cs="仿宋"/>
          <w:color w:val="000000"/>
          <w:sz w:val="24"/>
          <w:szCs w:val="24"/>
          <w:highlight w:val="none"/>
          <w:lang w:val="zh-TW"/>
        </w:rPr>
        <w:t xml:space="preserve">。</w:t>
      </w:r>
      <w:r>
        <w:rPr>
          <w:rFonts w:hint="eastAsia" w:ascii="仿宋" w:hAnsi="仿宋" w:eastAsia="仿宋" w:cs="仿宋"/>
          <w:color w:val="000000"/>
          <w:sz w:val="24"/>
          <w:szCs w:val="24"/>
          <w:highlight w:val="none"/>
          <w:lang w:val="zh-TW"/>
        </w:rPr>
      </w:r>
      <w:r/>
    </w:p>
    <w:p>
      <w:pPr>
        <w:pStyle w:val="740"/>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rPr>
        <w:t xml:space="preserve">3）最终报告需通过专家评审</w:t>
      </w:r>
      <w:r>
        <w:rPr>
          <w:rFonts w:hint="eastAsia" w:ascii="仿宋" w:hAnsi="仿宋" w:eastAsia="仿宋" w:cs="仿宋"/>
          <w:color w:val="000000"/>
          <w:sz w:val="24"/>
          <w:szCs w:val="24"/>
          <w:highlight w:val="none"/>
          <w:lang w:val="zh-TW"/>
        </w:rPr>
        <w:t xml:space="preserve">。</w:t>
      </w:r>
      <w:r>
        <w:rPr>
          <w:rFonts w:hint="eastAsia" w:ascii="仿宋" w:hAnsi="仿宋" w:eastAsia="仿宋" w:cs="仿宋"/>
          <w:color w:val="000000"/>
          <w:sz w:val="24"/>
          <w:szCs w:val="24"/>
          <w:highlight w:val="none"/>
          <w:lang w:val="zh-TW"/>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4）通过《太仓市财政局委托第三方机构参与预算绩效管理业务质量考核办法》《太仓市财政监督协审单位考核办法（修订稿）》考核</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rPr>
        <w:t xml:space="preserve">5、政府采购履约验收书格式见合同附件。</w:t>
      </w:r>
      <w:r>
        <w:rPr>
          <w:rFonts w:hint="eastAsia" w:ascii="仿宋" w:hAnsi="仿宋" w:eastAsia="仿宋" w:cs="仿宋"/>
          <w:color w:val="000000"/>
          <w:sz w:val="24"/>
          <w:szCs w:val="24"/>
          <w:highlight w:val="none"/>
          <w:lang w:val="zh-TW"/>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zh-TW"/>
        </w:rPr>
        <w:t xml:space="preserve">（</w:t>
      </w:r>
      <w:r>
        <w:rPr>
          <w:rFonts w:hint="eastAsia" w:ascii="仿宋" w:hAnsi="仿宋" w:eastAsia="仿宋" w:cs="仿宋"/>
          <w:b/>
          <w:bCs/>
          <w:color w:val="000000"/>
          <w:sz w:val="24"/>
          <w:szCs w:val="24"/>
          <w:highlight w:val="none"/>
        </w:rPr>
        <w:t xml:space="preserve">八</w:t>
      </w:r>
      <w:r>
        <w:rPr>
          <w:rFonts w:hint="eastAsia" w:ascii="仿宋" w:hAnsi="仿宋" w:eastAsia="仿宋" w:cs="仿宋"/>
          <w:b/>
          <w:bCs/>
          <w:color w:val="000000"/>
          <w:sz w:val="24"/>
          <w:szCs w:val="24"/>
          <w:highlight w:val="none"/>
          <w:lang w:val="zh-TW"/>
        </w:rPr>
        <w:t xml:space="preserve">）</w:t>
      </w:r>
      <w:r>
        <w:rPr>
          <w:rFonts w:hint="eastAsia" w:ascii="仿宋" w:hAnsi="仿宋" w:eastAsia="仿宋" w:cs="仿宋"/>
          <w:b/>
          <w:bCs/>
          <w:color w:val="000000"/>
          <w:sz w:val="24"/>
          <w:szCs w:val="24"/>
          <w:highlight w:val="none"/>
        </w:rPr>
        <w:t xml:space="preserve">服务方案要求</w:t>
      </w:r>
      <w:r>
        <w:rPr>
          <w:rFonts w:hint="eastAsia" w:ascii="仿宋" w:hAnsi="仿宋" w:eastAsia="仿宋" w:cs="仿宋"/>
          <w:b/>
          <w:bCs/>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zh-CN"/>
        </w:rPr>
        <w:t xml:space="preserve">需根据本项目工作内容，</w:t>
      </w:r>
      <w:r>
        <w:rPr>
          <w:rFonts w:hint="eastAsia" w:ascii="仿宋" w:hAnsi="仿宋" w:eastAsia="仿宋" w:cs="仿宋"/>
          <w:color w:val="000000"/>
          <w:sz w:val="24"/>
          <w:szCs w:val="24"/>
          <w:highlight w:val="none"/>
        </w:rPr>
        <w:t xml:space="preserve">针对相应</w:t>
      </w:r>
      <w:r>
        <w:rPr>
          <w:rFonts w:hint="eastAsia" w:ascii="仿宋" w:hAnsi="仿宋" w:eastAsia="仿宋" w:cs="仿宋"/>
          <w:color w:val="000000"/>
          <w:sz w:val="24"/>
          <w:szCs w:val="24"/>
          <w:highlight w:val="none"/>
          <w:lang w:val="en-US" w:eastAsia="zh-CN"/>
        </w:rPr>
        <w:t xml:space="preserve">采购包</w:t>
      </w:r>
      <w:r>
        <w:rPr>
          <w:rFonts w:hint="eastAsia" w:ascii="仿宋" w:hAnsi="仿宋" w:eastAsia="仿宋" w:cs="仿宋"/>
          <w:color w:val="000000"/>
          <w:sz w:val="24"/>
          <w:szCs w:val="24"/>
          <w:highlight w:val="none"/>
        </w:rPr>
        <w:t xml:space="preserve">制定针对性强、操作性高的各项服务方案。</w:t>
      </w:r>
      <w:r>
        <w:rPr>
          <w:rFonts w:hint="eastAsia" w:ascii="仿宋" w:hAnsi="仿宋" w:eastAsia="仿宋" w:cs="仿宋"/>
          <w:color w:val="000000"/>
          <w:sz w:val="24"/>
          <w:szCs w:val="24"/>
          <w:highlight w:val="none"/>
          <w:lang w:val="zh-CN"/>
        </w:rPr>
        <w:t xml:space="preserve">包括但不限于</w:t>
      </w:r>
      <w:r>
        <w:rPr>
          <w:rFonts w:hint="eastAsia" w:ascii="仿宋" w:hAnsi="仿宋" w:eastAsia="仿宋" w:cs="仿宋"/>
          <w:sz w:val="24"/>
          <w:szCs w:val="24"/>
          <w:highlight w:val="none"/>
        </w:rPr>
        <w:t xml:space="preserve">对项目的理解、组织实施保障体系、服务承诺及服务响应时间措施、承揽本项目的优势、服务的质量及保密、实施计划及进度安排、</w:t>
      </w:r>
      <w:r>
        <w:rPr>
          <w:rFonts w:hint="eastAsia" w:ascii="仿宋" w:hAnsi="仿宋" w:eastAsia="仿宋" w:cs="仿宋"/>
          <w:color w:val="000000"/>
          <w:sz w:val="24"/>
          <w:szCs w:val="24"/>
          <w:highlight w:val="none"/>
        </w:rPr>
        <w:t xml:space="preserve">项目重难点分析、核心绩效指标体系、社会调查方案</w:t>
      </w:r>
      <w:r>
        <w:rPr>
          <w:rFonts w:hint="eastAsia" w:ascii="仿宋" w:hAnsi="仿宋" w:eastAsia="仿宋" w:cs="仿宋"/>
          <w:sz w:val="24"/>
          <w:szCs w:val="24"/>
          <w:highlight w:val="none"/>
        </w:rPr>
        <w:t xml:space="preserve">等等各种表述</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TW"/>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六</w:t>
      </w:r>
      <w:r>
        <w:rPr>
          <w:rFonts w:hint="eastAsia" w:ascii="仿宋" w:hAnsi="仿宋" w:eastAsia="仿宋" w:cs="仿宋"/>
          <w:b/>
          <w:bCs/>
          <w:color w:val="000000"/>
          <w:sz w:val="24"/>
          <w:szCs w:val="24"/>
          <w:highlight w:val="none"/>
        </w:rPr>
        <w:t xml:space="preserve">、综合说明及其他：</w:t>
      </w:r>
      <w:r>
        <w:rPr>
          <w:rFonts w:hint="eastAsia" w:ascii="仿宋" w:hAnsi="仿宋" w:eastAsia="仿宋" w:cs="仿宋"/>
          <w:b/>
          <w:bCs/>
          <w:color w:val="000000"/>
          <w:sz w:val="24"/>
          <w:szCs w:val="24"/>
          <w:highlight w:val="none"/>
        </w:rPr>
      </w:r>
      <w:r/>
    </w:p>
    <w:p>
      <w:pPr>
        <w:pStyle w:val="740"/>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1、各供应商在响应时须认真阅读采购文件并自行了解项目情况，承担响应风险。任何因响应供应商理解错误、情况不明导致的响应失误，均由供应商承担，磋商采购单位不承担任何责任。</w:t>
      </w:r>
      <w:r>
        <w:rPr>
          <w:rFonts w:hint="eastAsia" w:ascii="仿宋" w:hAnsi="仿宋" w:eastAsia="仿宋" w:cs="仿宋"/>
          <w:sz w:val="24"/>
          <w:szCs w:val="24"/>
          <w:highlight w:val="none"/>
          <w:lang w:val="zh-CN"/>
        </w:rPr>
      </w:r>
      <w:r/>
    </w:p>
    <w:p>
      <w:pPr>
        <w:pStyle w:val="740"/>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2、成交人在合同履行期间应严格遵守国家相关法律和项目所在地的相关规定，所有产生的一切纠纷由成交人承担，采购人不承担任何责任。</w:t>
      </w:r>
      <w:r>
        <w:rPr>
          <w:rFonts w:hint="eastAsia" w:ascii="仿宋" w:hAnsi="仿宋" w:eastAsia="仿宋" w:cs="仿宋"/>
          <w:sz w:val="24"/>
          <w:szCs w:val="24"/>
          <w:highlight w:val="none"/>
          <w:lang w:val="zh-CN"/>
        </w:rPr>
      </w:r>
      <w:r/>
    </w:p>
    <w:p>
      <w:pPr>
        <w:pStyle w:val="740"/>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3、成交人在合同履行期间应严格遵守采购人的保密、廉政等各项规章制度，服从采购人的管理要求，如有严重违反采购人规章制度且拒绝改正的，则采购人有权无条件终止合同。</w:t>
      </w:r>
      <w:r>
        <w:rPr>
          <w:rFonts w:hint="eastAsia" w:ascii="仿宋" w:hAnsi="仿宋" w:eastAsia="仿宋" w:cs="仿宋"/>
          <w:sz w:val="24"/>
          <w:szCs w:val="24"/>
          <w:highlight w:val="none"/>
          <w:lang w:val="zh-CN"/>
        </w:rPr>
      </w:r>
      <w:r/>
    </w:p>
    <w:p>
      <w:pPr>
        <w:pStyle w:val="740"/>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4、成交人须保证对其提交成果的真实性负全责，并承担相应的法律责任。</w:t>
      </w:r>
      <w:r>
        <w:rPr>
          <w:rFonts w:hint="eastAsia" w:ascii="仿宋" w:hAnsi="仿宋" w:eastAsia="仿宋" w:cs="仿宋"/>
          <w:sz w:val="24"/>
          <w:szCs w:val="24"/>
          <w:highlight w:val="none"/>
          <w:lang w:val="zh-CN"/>
        </w:rPr>
      </w:r>
      <w:r/>
    </w:p>
    <w:p>
      <w:pPr>
        <w:pStyle w:val="740"/>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5、成交人在合同履行过程中对采购人提出的质量（服务）缺陷不予改正，采购人有权另请其他单位更正，所发生的费用按合同相关项目价格从其合同价款中扣除。</w:t>
      </w:r>
      <w:r>
        <w:rPr>
          <w:rFonts w:hint="eastAsia" w:ascii="仿宋" w:hAnsi="仿宋" w:eastAsia="仿宋" w:cs="仿宋"/>
          <w:sz w:val="24"/>
          <w:szCs w:val="24"/>
          <w:highlight w:val="none"/>
          <w:lang w:val="zh-CN"/>
        </w:rPr>
      </w:r>
      <w:r/>
    </w:p>
    <w:p>
      <w:pPr>
        <w:pStyle w:val="740"/>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6、成交人在合同期内如因未诚信履约或其他原因导致合同提前终止的，则须无条件配合采购单位做好交接工作，并承担采购人因此产生的一切损失。</w:t>
      </w:r>
      <w:r>
        <w:rPr>
          <w:rFonts w:hint="eastAsia" w:ascii="仿宋" w:hAnsi="仿宋" w:eastAsia="仿宋" w:cs="仿宋"/>
          <w:sz w:val="24"/>
          <w:szCs w:val="24"/>
          <w:highlight w:val="none"/>
          <w:lang w:val="zh-CN"/>
        </w:rPr>
      </w:r>
      <w:r/>
    </w:p>
    <w:p>
      <w:pPr>
        <w:pStyle w:val="740"/>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7、因成交人原因，给采购人及第三人造成的一切后果及损失，由成交人承担，后果严重的采购方有权解除合同。</w:t>
      </w:r>
      <w:r>
        <w:rPr>
          <w:rFonts w:hint="eastAsia" w:ascii="仿宋" w:hAnsi="仿宋" w:eastAsia="仿宋" w:cs="仿宋"/>
          <w:sz w:val="24"/>
          <w:szCs w:val="24"/>
          <w:highlight w:val="none"/>
          <w:lang w:val="zh-CN"/>
        </w:rPr>
      </w:r>
      <w:r/>
    </w:p>
    <w:p>
      <w:pPr>
        <w:pStyle w:val="740"/>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8、成交人为本项目所派出服务人员的廉洁、生病、意外等所有风险成交人承担。</w:t>
      </w:r>
      <w:r>
        <w:rPr>
          <w:rFonts w:hint="eastAsia" w:ascii="仿宋" w:hAnsi="仿宋" w:eastAsia="仿宋" w:cs="仿宋"/>
          <w:sz w:val="24"/>
          <w:szCs w:val="24"/>
          <w:highlight w:val="none"/>
          <w:lang w:val="zh-CN"/>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9、凡涉及本项目采购文件的补充、修改，均以苏州政府采购网发布的信息为准。同一条款有不同表达的，以最后时间发布的为准。</w:t>
      </w:r>
      <w:r>
        <w:rPr>
          <w:rFonts w:hint="eastAsia" w:ascii="仿宋" w:hAnsi="仿宋" w:eastAsia="仿宋" w:cs="仿宋"/>
          <w:sz w:val="24"/>
          <w:szCs w:val="24"/>
          <w:highlight w:val="none"/>
        </w:rPr>
        <w:t xml:space="preserve">请各供应商随时查看。</w:t>
      </w:r>
      <w:r>
        <w:rPr>
          <w:rFonts w:hint="eastAsia" w:ascii="仿宋" w:hAnsi="仿宋" w:eastAsia="仿宋" w:cs="仿宋"/>
          <w:sz w:val="24"/>
          <w:szCs w:val="24"/>
          <w:highlight w:val="none"/>
        </w:rPr>
      </w:r>
      <w:r/>
    </w:p>
    <w:p>
      <w:pPr>
        <w:pStyle w:val="7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五、政府采购政策</w:t>
      </w:r>
      <w:r>
        <w:rPr>
          <w:rFonts w:hint="eastAsia" w:ascii="仿宋" w:hAnsi="仿宋" w:eastAsia="仿宋" w:cs="仿宋"/>
          <w:sz w:val="24"/>
          <w:szCs w:val="24"/>
          <w:highlight w:val="none"/>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（一）节能产品和环境标志产品</w:t>
      </w:r>
      <w:r>
        <w:rPr>
          <w:rFonts w:hint="eastAsia" w:ascii="仿宋" w:hAnsi="仿宋" w:eastAsia="仿宋" w:cs="仿宋"/>
          <w:b/>
          <w:bCs/>
          <w:color w:val="000000"/>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供应商应当选择强制采购产品，</w:t>
      </w:r>
      <w:bookmarkStart w:id="45" w:name="_Hlk45012782"/>
      <w:r>
        <w:rPr>
          <w:rFonts w:hint="eastAsia" w:ascii="仿宋" w:hAnsi="仿宋" w:eastAsia="仿宋" w:cs="仿宋"/>
          <w:sz w:val="24"/>
          <w:szCs w:val="24"/>
          <w:highlight w:val="none"/>
        </w:rPr>
        <w:t xml:space="preserve">并提供由国家确定的认证机构出具的、处于有效期之内的节能产品或环境标志产品认证证书，否则视为未实质响应。</w:t>
      </w:r>
      <w:bookmarkEnd w:id="45"/>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节能产品：无</w:t>
      </w:r>
      <w:r>
        <w:rPr>
          <w:rFonts w:hint="eastAsia" w:ascii="仿宋" w:hAnsi="仿宋" w:eastAsia="仿宋" w:cs="仿宋"/>
          <w:sz w:val="24"/>
          <w:szCs w:val="24"/>
          <w:highlight w:val="none"/>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（二）中小企业相关政策：</w:t>
      </w:r>
      <w:r>
        <w:rPr>
          <w:rFonts w:hint="eastAsia" w:ascii="仿宋" w:hAnsi="仿宋" w:eastAsia="仿宋" w:cs="仿宋"/>
          <w:b/>
          <w:bCs/>
          <w:color w:val="000000"/>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1、本项目为专门面向中小企业采购的项目。供应商应提供中小企业声明函或残疾人福利性单位声明函或省级以上监狱管理局、戒毒管理局（含新疆生产建设兵团）出具的属于监狱企业的证明文件,否则视为</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无效。</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2、中小企业划分：</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（1）符合中小企业划分标准的个体工商户，在政府采购活动中视同中小企业。</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（2）中小企业划分标准详见“工信部联企业〔2011〕300号通知”</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3、残疾人福利性单位政策：</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（1）根据《关于促进残疾人就业政府采购政策的通知》（财库〔2017〕141号）规定，供应商若为残疾人福利性单位的，视同小型企业。残疾人福利性单位属于小型、微型企业的，不重复认定。</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本项目专门面向中小企业采购，供应商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（3）中标、成交供应商为残疾人福利性单位的，《残疾人福利性单位声明函》应当随中标、成交结果同时公告，接受社会监督。</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4、监狱企业发展政策：</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（1）根据《关于政府采购支持监狱企业发展有关问题的通知》（财库〔2014〕68号）规定，供应商若为监狱企业的，视同小型企业。</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本项目专门面向中小企业采购，供应商若为符合《关于政府采购支持监狱企业发展有关问题的通知》（财库〔2014〕68号）条件的监狱企业，在政府采购活动中，应当提供由省级以上监狱管理局、戒毒管理局（含新疆生产建设兵团）出具的属于监狱企业的证明文件，否则为非实质响应。并对声明的真实性负责，供应商提供声明函内容不实的，属于提供虚假材料谋取中标、成交，依照《中华人民共和国政府采购法》 等国家有关规定追究相应责任。</w:t>
      </w:r>
      <w:r>
        <w:rPr>
          <w:rFonts w:hint="eastAsia" w:ascii="仿宋" w:hAnsi="仿宋" w:eastAsia="仿宋" w:cs="仿宋"/>
          <w:sz w:val="24"/>
          <w:szCs w:val="24"/>
          <w:highlight w:val="none"/>
        </w:rPr>
      </w:r>
      <w:r/>
    </w:p>
    <w:p>
      <w:pPr>
        <w:pStyle w:val="752"/>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4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52"/>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4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52"/>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4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883"/>
        <w:jc w:val="center"/>
        <w:spacing w:line="360" w:lineRule="auto"/>
        <w:rPr>
          <w:rFonts w:ascii="宋体" w:hAnsi="宋体"/>
          <w:color w:val="000000"/>
          <w:highlight w:val="none"/>
        </w:rPr>
        <w:outlineLvl w:val="0"/>
      </w:pPr>
      <w:r>
        <w:rPr>
          <w:rFonts w:ascii="宋体" w:hAnsi="宋体"/>
          <w:color w:val="000000"/>
          <w:szCs w:val="21"/>
          <w:highlight w:val="none"/>
        </w:rPr>
      </w:r>
      <w:r>
        <w:rPr>
          <w:rFonts w:ascii="宋体" w:hAnsi="宋体"/>
          <w:color w:val="000000"/>
          <w:szCs w:val="21"/>
          <w:highlight w:val="none"/>
        </w:rPr>
      </w:r>
    </w:p>
    <w:p>
      <w:pPr>
        <w:pStyle w:val="740"/>
        <w:ind w:firstLine="883"/>
        <w:jc w:val="center"/>
        <w:spacing w:line="360" w:lineRule="auto"/>
        <w:rPr>
          <w:rFonts w:ascii="宋体" w:hAnsi="宋体"/>
          <w:color w:val="000000"/>
          <w:highlight w:val="none"/>
        </w:rPr>
        <w:outlineLvl w:val="0"/>
      </w:pPr>
      <w:r/>
      <w:bookmarkEnd w:id="7"/>
      <w:r/>
      <w:bookmarkStart w:id="46" w:name="_Toc32240"/>
      <w:r>
        <w:rPr>
          <w:rFonts w:hint="eastAsia"/>
          <w:b/>
          <w:color w:val="000000"/>
          <w:sz w:val="44"/>
          <w:szCs w:val="44"/>
          <w:highlight w:val="none"/>
        </w:rPr>
        <w:t xml:space="preserve">第五章 合同主要条款</w:t>
      </w:r>
      <w:bookmarkEnd w:id="46"/>
      <w:r>
        <w:rPr>
          <w:rFonts w:ascii="宋体" w:hAnsi="宋体"/>
          <w:color w:val="000000"/>
          <w:szCs w:val="21"/>
          <w:highlight w:val="none"/>
        </w:rPr>
      </w:r>
      <w:r/>
    </w:p>
    <w:p>
      <w:pPr>
        <w:pStyle w:val="740"/>
        <w:jc w:val="center"/>
        <w:spacing w:line="360" w:lineRule="auto"/>
        <w:rPr>
          <w:rFonts w:ascii="宋体" w:hAnsi="宋体" w:eastAsia="宋体" w:cs="Times New Roman"/>
          <w:b/>
          <w:sz w:val="28"/>
          <w:szCs w:val="28"/>
          <w:highlight w:val="none"/>
        </w:rPr>
      </w:pPr>
      <w:r>
        <w:rPr>
          <w:rFonts w:hint="eastAsia" w:ascii="宋体" w:hAnsi="宋体" w:eastAsia="宋体" w:cs="Times New Roman"/>
          <w:b/>
          <w:sz w:val="28"/>
          <w:szCs w:val="28"/>
          <w:highlight w:val="none"/>
        </w:rPr>
        <w:t xml:space="preserve">2025年太仓市市级财政支出项目等绩效评价、管理服务</w:t>
      </w:r>
      <w:r>
        <w:rPr>
          <w:rFonts w:ascii="宋体" w:hAnsi="宋体" w:eastAsia="宋体" w:cs="Times New Roman"/>
          <w:b/>
          <w:sz w:val="28"/>
          <w:szCs w:val="28"/>
          <w:highlight w:val="none"/>
        </w:rPr>
        <w:t xml:space="preserve">采购合同</w:t>
      </w:r>
      <w:r>
        <w:rPr>
          <w:rFonts w:ascii="宋体" w:hAnsi="宋体" w:eastAsia="宋体" w:cs="Times New Roman"/>
          <w:b/>
          <w:sz w:val="28"/>
          <w:szCs w:val="28"/>
          <w:highlight w:val="none"/>
        </w:rPr>
      </w:r>
      <w:r/>
    </w:p>
    <w:p>
      <w:pPr>
        <w:pStyle w:val="74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74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甲方：              （以下简称甲方）</w:t>
      </w:r>
      <w:r>
        <w:rPr>
          <w:rFonts w:hint="eastAsia" w:ascii="仿宋" w:hAnsi="仿宋" w:eastAsia="仿宋" w:cs="仿宋"/>
          <w:bCs/>
          <w:sz w:val="24"/>
          <w:szCs w:val="24"/>
          <w:highlight w:val="none"/>
        </w:rPr>
      </w:r>
      <w:r/>
    </w:p>
    <w:p>
      <w:pPr>
        <w:pStyle w:val="74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乙方：              （以下简称乙方）</w:t>
      </w:r>
      <w:r>
        <w:rPr>
          <w:rFonts w:hint="eastAsia" w:ascii="仿宋" w:hAnsi="仿宋" w:eastAsia="仿宋" w:cs="仿宋"/>
          <w:bCs/>
          <w:sz w:val="24"/>
          <w:szCs w:val="24"/>
          <w:highlight w:val="none"/>
        </w:rPr>
      </w:r>
      <w:r/>
    </w:p>
    <w:p>
      <w:pPr>
        <w:pStyle w:val="740"/>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仿宋" w:hAnsi="仿宋" w:eastAsia="仿宋" w:cs="仿宋"/>
          <w:bCs/>
          <w:sz w:val="24"/>
          <w:szCs w:val="24"/>
          <w:highlight w:val="none"/>
        </w:rPr>
      </w:r>
      <w:r/>
    </w:p>
    <w:p>
      <w:pPr>
        <w:pStyle w:val="740"/>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一、定义</w:t>
      </w:r>
      <w:r>
        <w:rPr>
          <w:rFonts w:hint="eastAsia" w:ascii="仿宋" w:hAnsi="仿宋" w:eastAsia="仿宋" w:cs="仿宋"/>
          <w:b/>
          <w:color w:val="000000"/>
          <w:sz w:val="24"/>
          <w:szCs w:val="24"/>
          <w:highlight w:val="none"/>
        </w:rPr>
      </w:r>
      <w:r/>
    </w:p>
    <w:p>
      <w:pPr>
        <w:pStyle w:val="740"/>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以下术语有特定的含义：</w:t>
      </w:r>
      <w:r>
        <w:rPr>
          <w:rFonts w:hint="eastAsia" w:ascii="仿宋" w:hAnsi="仿宋" w:eastAsia="仿宋" w:cs="仿宋"/>
          <w:b/>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服务是指根据合同规定乙方应承担</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等工作和合同中规定乙方应承担的其它义务。</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合同</w:t>
      </w:r>
      <w:r>
        <w:rPr>
          <w:rFonts w:hint="eastAsia" w:ascii="仿宋" w:hAnsi="仿宋" w:eastAsia="仿宋" w:cs="仿宋"/>
          <w:color w:val="000000"/>
          <w:sz w:val="24"/>
          <w:szCs w:val="24"/>
          <w:highlight w:val="none"/>
        </w:rPr>
        <w:t xml:space="preserve">价款是指根据成交单位的响应文件和合同规定，乙方在正确地履行合同义务后甲方</w:t>
      </w:r>
      <w:r>
        <w:rPr>
          <w:rFonts w:hint="eastAsia" w:ascii="仿宋" w:hAnsi="仿宋" w:eastAsia="仿宋" w:cs="仿宋"/>
          <w:bCs/>
          <w:sz w:val="24"/>
          <w:szCs w:val="24"/>
          <w:highlight w:val="none"/>
        </w:rPr>
        <w:t xml:space="preserve">应支付给乙方的价款。</w:t>
      </w:r>
      <w:r>
        <w:rPr>
          <w:rFonts w:hint="eastAsia" w:ascii="仿宋" w:hAnsi="仿宋" w:eastAsia="仿宋" w:cs="仿宋"/>
          <w:bCs/>
          <w:sz w:val="24"/>
          <w:szCs w:val="24"/>
          <w:highlight w:val="none"/>
        </w:rPr>
      </w:r>
      <w:r/>
    </w:p>
    <w:p>
      <w:pPr>
        <w:pStyle w:val="740"/>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甲方是指合同中明确规定的实际购买和接受服务的单位。</w:t>
      </w:r>
      <w:r>
        <w:rPr>
          <w:rFonts w:hint="eastAsia" w:ascii="仿宋" w:hAnsi="仿宋" w:eastAsia="仿宋" w:cs="仿宋"/>
          <w:bCs/>
          <w:sz w:val="24"/>
          <w:szCs w:val="24"/>
          <w:highlight w:val="none"/>
        </w:rPr>
      </w:r>
      <w:r/>
    </w:p>
    <w:p>
      <w:pPr>
        <w:pStyle w:val="740"/>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乙方是指合同中规定的提供服务的单位。</w:t>
      </w:r>
      <w:r>
        <w:rPr>
          <w:rFonts w:hint="eastAsia" w:ascii="仿宋" w:hAnsi="仿宋" w:eastAsia="仿宋" w:cs="仿宋"/>
          <w:bCs/>
          <w:sz w:val="24"/>
          <w:szCs w:val="24"/>
          <w:highlight w:val="none"/>
        </w:rPr>
      </w:r>
      <w:r/>
    </w:p>
    <w:p>
      <w:pPr>
        <w:pStyle w:val="740"/>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rPr>
          <w:rFonts w:hint="eastAsia" w:ascii="仿宋" w:hAnsi="仿宋" w:eastAsia="仿宋" w:cs="仿宋"/>
          <w:bCs/>
          <w:sz w:val="24"/>
          <w:szCs w:val="24"/>
          <w:highlight w:val="none"/>
        </w:rPr>
      </w:r>
      <w:r/>
    </w:p>
    <w:p>
      <w:pPr>
        <w:pStyle w:val="740"/>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二、合同项目及期限</w:t>
      </w:r>
      <w:r>
        <w:rPr>
          <w:rFonts w:hint="eastAsia" w:ascii="仿宋" w:hAnsi="仿宋" w:eastAsia="仿宋" w:cs="仿宋"/>
          <w:b/>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2.1乙方负责</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的服务工作。</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2.2服务期限：</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2.3服务地点：根据甲方指定地点。</w:t>
      </w:r>
      <w:r>
        <w:rPr>
          <w:rFonts w:hint="eastAsia" w:ascii="仿宋" w:hAnsi="仿宋" w:eastAsia="仿宋" w:cs="仿宋"/>
          <w:color w:val="000000"/>
          <w:sz w:val="24"/>
          <w:szCs w:val="24"/>
          <w:highlight w:val="none"/>
        </w:rPr>
      </w:r>
      <w:r/>
    </w:p>
    <w:p>
      <w:pPr>
        <w:pStyle w:val="740"/>
        <w:ind w:firstLine="42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三、合同总价款：</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元整，小写￥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仿宋" w:hAnsi="仿宋" w:eastAsia="仿宋" w:cs="仿宋"/>
          <w:color w:val="000000"/>
          <w:sz w:val="24"/>
          <w:szCs w:val="24"/>
          <w:highlight w:val="none"/>
        </w:rPr>
      </w:r>
      <w:r/>
    </w:p>
    <w:p>
      <w:pPr>
        <w:pStyle w:val="740"/>
        <w:ind w:firstLine="42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四、付款方式</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1.付款步骤：</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签订后，乙方开具增值税发票，甲方在收到乙方的发票后60日内支付合同总价的10%作为预付款；全部工作内容完成验收通过后根据考核结果一次性付清余款，乙方根据考核结果开具增值税发票，甲方在收到乙方的发票后60日内支付余款。</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3.账户信息</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乙方开户名称：</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银行账号：</w:t>
      </w:r>
      <w:r>
        <w:rPr>
          <w:rFonts w:hint="eastAsia" w:ascii="仿宋" w:hAnsi="仿宋" w:eastAsia="仿宋" w:cs="仿宋"/>
          <w:color w:val="000000"/>
          <w:sz w:val="24"/>
          <w:szCs w:val="24"/>
          <w:highlight w:val="none"/>
        </w:rPr>
      </w:r>
      <w:r/>
    </w:p>
    <w:p>
      <w:pPr>
        <w:pStyle w:val="740"/>
        <w:ind w:firstLine="40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数字人民币账户（数币钱包ID）：</w:t>
      </w:r>
      <w:r>
        <w:rPr>
          <w:rFonts w:hint="eastAsia" w:ascii="仿宋" w:hAnsi="仿宋" w:eastAsia="仿宋" w:cs="仿宋"/>
          <w:color w:val="000000"/>
          <w:sz w:val="24"/>
          <w:szCs w:val="24"/>
          <w:highlight w:val="none"/>
        </w:rPr>
      </w:r>
      <w:r/>
    </w:p>
    <w:p>
      <w:pPr>
        <w:pStyle w:val="740"/>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五、甲、乙双方的责任</w:t>
      </w:r>
      <w:r>
        <w:rPr>
          <w:rFonts w:hint="eastAsia" w:ascii="仿宋" w:hAnsi="仿宋" w:eastAsia="仿宋" w:cs="仿宋"/>
          <w:b/>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1.甲方责任：</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1.1依本合同约定按期支付合同款项；</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1.2依本合同约定及时组织验收；</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1.3协助乙方进行项目的相关协调工作及约定期限内提供相关资料以利于开展项目。</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2.乙方责任：</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乙方负责完成本次采购要求的全部服务工作，乙方应按采购文件以及合同约定的技术规范、标准进行实施，并保证按期、保质保量完成项目的实施工作，对提交的项目质量负责。</w:t>
      </w:r>
      <w:r>
        <w:rPr>
          <w:rFonts w:hint="eastAsia" w:ascii="仿宋" w:hAnsi="仿宋" w:eastAsia="仿宋" w:cs="仿宋"/>
          <w:color w:val="000000"/>
          <w:sz w:val="24"/>
          <w:szCs w:val="24"/>
          <w:highlight w:val="none"/>
        </w:rPr>
      </w:r>
      <w:r/>
    </w:p>
    <w:p>
      <w:pPr>
        <w:pStyle w:val="740"/>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六、违约责任</w:t>
      </w:r>
      <w:r>
        <w:rPr>
          <w:rFonts w:hint="eastAsia" w:ascii="仿宋" w:hAnsi="仿宋" w:eastAsia="仿宋" w:cs="仿宋"/>
          <w:b/>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1.甲方违约责任：</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甲方无故逾期付款的应按照逾期付款金额的每天万分之三支付逾期付款违约金，违约金总额不超逾期付款金额的5%。</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2.乙方的违约责任：</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在合同生效后，乙方无故要求解除合同的，应向甲方偿付合同总价款5%的违约金，违约金不足以补偿损失的，甲方有权要求乙方补足。</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2.2乙方未按合同规定的质量要求提供服务，存在以下情形之一的，每种情形扣除合同总价款的5%的款项：</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（1）未到相关单位现场复核；</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（2）仅依据相关单位提供的汇总数据复核，未对数据支撑材料进行核查；</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（3）填报的复核表内容前后矛盾、计算错误等形式错误；</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（4）其他未按合同规定的服务要求提供服务的情形。</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2.3乙方必须自己完成合同内容，不得自行分包，否则，甲方有权按乙方不能完成合同处理。</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2.4乙方应执行国家有关规定（如苏州最低工资标准和其他规定），负责乙方员工的生病、事故、伤残、死亡和劳务纠纷，甲方不承担任何相关责任。</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2.5乙方负有对自己员工的安全责任，甲方不承担任何相关责任。</w:t>
      </w:r>
      <w:r>
        <w:rPr>
          <w:rFonts w:hint="eastAsia" w:ascii="仿宋" w:hAnsi="仿宋" w:eastAsia="仿宋" w:cs="仿宋"/>
          <w:color w:val="000000"/>
          <w:sz w:val="24"/>
          <w:szCs w:val="24"/>
          <w:highlight w:val="none"/>
        </w:rPr>
      </w:r>
      <w:r/>
    </w:p>
    <w:p>
      <w:pPr>
        <w:pStyle w:val="740"/>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七、不可抗力</w:t>
      </w:r>
      <w:r>
        <w:rPr>
          <w:rFonts w:hint="eastAsia" w:ascii="仿宋" w:hAnsi="仿宋" w:eastAsia="仿宋" w:cs="仿宋"/>
          <w:b/>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仿宋" w:hAnsi="仿宋" w:eastAsia="仿宋" w:cs="仿宋"/>
          <w:color w:val="000000"/>
          <w:sz w:val="24"/>
          <w:szCs w:val="24"/>
          <w:highlight w:val="none"/>
        </w:rPr>
      </w:r>
      <w:r/>
    </w:p>
    <w:p>
      <w:pPr>
        <w:pStyle w:val="740"/>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八、争端的解决 </w:t>
      </w:r>
      <w:r>
        <w:rPr>
          <w:rFonts w:hint="eastAsia" w:ascii="仿宋" w:hAnsi="仿宋" w:eastAsia="仿宋" w:cs="仿宋"/>
          <w:b/>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1.甲方和乙方应通过友好协商，解决在执行本合同过程中所发生的或与本合同有关的一切争端。如从协商开始十天内仍不能解决，可向有关合同管理部门提请调解。 </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2.如果调解不成，双方中的任何一方可向甲方所在地有管辖权人民法院提起诉讼。 </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3.诉讼费由败诉方负担。</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4.因合同部分履行引发诉讼的，在诉讼期间，除正在进行诉讼的部分外，本合同的其它部分应继续执行。</w:t>
      </w:r>
      <w:r>
        <w:rPr>
          <w:rFonts w:hint="eastAsia" w:ascii="仿宋" w:hAnsi="仿宋" w:eastAsia="仿宋" w:cs="仿宋"/>
          <w:color w:val="000000"/>
          <w:sz w:val="24"/>
          <w:szCs w:val="24"/>
          <w:highlight w:val="none"/>
        </w:rPr>
      </w:r>
      <w:r/>
    </w:p>
    <w:p>
      <w:pPr>
        <w:pStyle w:val="740"/>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九、违约终止合同</w:t>
      </w:r>
      <w:r>
        <w:rPr>
          <w:rFonts w:hint="eastAsia" w:ascii="仿宋" w:hAnsi="仿宋" w:eastAsia="仿宋" w:cs="仿宋"/>
          <w:b/>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1.在甲方因乙方违约而按合同约定采取的任何补救措施不受影响的情况下，甲方可在下列情况下向乙方发出书面通知，提出终止部分或全部合同。</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 如果乙方未能在合同规定的限期或甲方同意延长的限期内提供部分或全部服务。</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 如果乙方未能履行合同规定的其它任何义务。</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3.如果甲方违约，应承担相应的违约责任。 </w:t>
      </w:r>
      <w:r>
        <w:rPr>
          <w:rFonts w:hint="eastAsia" w:ascii="仿宋" w:hAnsi="仿宋" w:eastAsia="仿宋" w:cs="仿宋"/>
          <w:color w:val="000000"/>
          <w:sz w:val="24"/>
          <w:szCs w:val="24"/>
          <w:highlight w:val="none"/>
        </w:rPr>
      </w:r>
      <w:r/>
    </w:p>
    <w:p>
      <w:pPr>
        <w:pStyle w:val="740"/>
        <w:ind w:firstLine="42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十、破产终止合同：</w:t>
      </w:r>
      <w:r>
        <w:rPr>
          <w:rFonts w:hint="eastAsia" w:ascii="仿宋" w:hAnsi="仿宋" w:eastAsia="仿宋" w:cs="仿宋"/>
          <w:color w:val="000000"/>
          <w:sz w:val="24"/>
          <w:szCs w:val="24"/>
          <w:highlight w:val="none"/>
        </w:rPr>
        <w:t xml:space="preserve">如果乙方破产或丧失清偿能力，甲方可在任何时候以书面形式通知乙方终止合同而不给乙方补偿。该终止合同将不损害或影响甲方已经采取或将要采取任何补救措施的权利。 </w:t>
      </w:r>
      <w:r>
        <w:rPr>
          <w:rFonts w:hint="eastAsia" w:ascii="仿宋" w:hAnsi="仿宋" w:eastAsia="仿宋" w:cs="仿宋"/>
          <w:color w:val="000000"/>
          <w:sz w:val="24"/>
          <w:szCs w:val="24"/>
          <w:highlight w:val="none"/>
        </w:rPr>
      </w:r>
      <w:r/>
    </w:p>
    <w:p>
      <w:pPr>
        <w:pStyle w:val="740"/>
        <w:ind w:firstLine="42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十一、政府采购法对政府采购合同变更终止的规定：</w:t>
      </w:r>
      <w:r>
        <w:rPr>
          <w:rFonts w:hint="eastAsia" w:ascii="仿宋" w:hAnsi="仿宋" w:eastAsia="仿宋" w:cs="仿宋"/>
          <w:color w:val="000000"/>
          <w:sz w:val="24"/>
          <w:szCs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hint="eastAsia" w:ascii="仿宋" w:hAnsi="仿宋" w:eastAsia="仿宋" w:cs="仿宋"/>
          <w:color w:val="000000"/>
          <w:sz w:val="24"/>
          <w:szCs w:val="24"/>
          <w:highlight w:val="none"/>
        </w:rPr>
      </w:r>
      <w:r/>
    </w:p>
    <w:p>
      <w:pPr>
        <w:pStyle w:val="740"/>
        <w:ind w:firstLine="42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十二、合同转让和分包：</w:t>
      </w:r>
      <w:r>
        <w:rPr>
          <w:rFonts w:hint="eastAsia" w:ascii="仿宋" w:hAnsi="仿宋" w:eastAsia="仿宋" w:cs="仿宋"/>
          <w:color w:val="000000"/>
          <w:sz w:val="24"/>
          <w:szCs w:val="24"/>
          <w:highlight w:val="none"/>
        </w:rPr>
        <w:t xml:space="preserve">本项目不得转让和分包。</w:t>
      </w:r>
      <w:r>
        <w:rPr>
          <w:rFonts w:hint="eastAsia" w:ascii="仿宋" w:hAnsi="仿宋" w:eastAsia="仿宋" w:cs="仿宋"/>
          <w:color w:val="000000"/>
          <w:sz w:val="24"/>
          <w:szCs w:val="24"/>
          <w:highlight w:val="none"/>
        </w:rPr>
      </w:r>
      <w:r/>
    </w:p>
    <w:p>
      <w:pPr>
        <w:pStyle w:val="740"/>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十三、需要补充的合同条款：</w:t>
      </w:r>
      <w:r>
        <w:rPr>
          <w:rFonts w:hint="eastAsia" w:ascii="仿宋" w:hAnsi="仿宋" w:eastAsia="仿宋" w:cs="仿宋"/>
          <w:color w:val="000000"/>
          <w:sz w:val="24"/>
          <w:szCs w:val="24"/>
          <w:highlight w:val="none"/>
        </w:rPr>
        <w:t xml:space="preserve">（根据评审过程中或者商务谈判时商定的条款和条件在订立合同时标明）。</w:t>
      </w:r>
      <w:r>
        <w:rPr>
          <w:rFonts w:hint="eastAsia" w:ascii="仿宋" w:hAnsi="仿宋" w:eastAsia="仿宋" w:cs="仿宋"/>
          <w:b/>
          <w:color w:val="000000"/>
          <w:sz w:val="24"/>
          <w:szCs w:val="24"/>
          <w:highlight w:val="none"/>
        </w:rPr>
      </w:r>
      <w:r/>
    </w:p>
    <w:p>
      <w:pPr>
        <w:pStyle w:val="740"/>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十四、合同生效</w:t>
      </w:r>
      <w:r>
        <w:rPr>
          <w:rFonts w:hint="eastAsia" w:ascii="仿宋" w:hAnsi="仿宋" w:eastAsia="仿宋" w:cs="仿宋"/>
          <w:b/>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1.双方签约人为各自法定代表人或被授权代表。</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2.本合同系指本文件及其附件中的所有部分，采购文件、成交单位的响应文件、成交通知书、成交单位在采购过程中的澄清和承诺等为本合同不可缺少的组成部分。</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3.本合同自甲乙双方签字盖章之日起生效。</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4.本合同壹式</w:t>
      </w:r>
      <w:r>
        <w:rPr>
          <w:rFonts w:hint="eastAsia" w:ascii="仿宋" w:hAnsi="仿宋" w:eastAsia="仿宋" w:cs="仿宋"/>
          <w:b/>
          <w:color w:val="000000"/>
          <w:sz w:val="24"/>
          <w:szCs w:val="24"/>
          <w:highlight w:val="none"/>
        </w:rPr>
        <w:t xml:space="preserve">肆</w:t>
      </w:r>
      <w:r>
        <w:rPr>
          <w:rFonts w:hint="eastAsia" w:ascii="仿宋" w:hAnsi="仿宋" w:eastAsia="仿宋" w:cs="仿宋"/>
          <w:color w:val="000000"/>
          <w:sz w:val="24"/>
          <w:szCs w:val="24"/>
          <w:highlight w:val="none"/>
        </w:rPr>
        <w:t xml:space="preserve">份，甲乙双方各执</w:t>
      </w:r>
      <w:r>
        <w:rPr>
          <w:rFonts w:hint="eastAsia" w:ascii="仿宋" w:hAnsi="仿宋" w:eastAsia="仿宋" w:cs="仿宋"/>
          <w:b/>
          <w:color w:val="000000"/>
          <w:sz w:val="24"/>
          <w:szCs w:val="24"/>
          <w:highlight w:val="none"/>
        </w:rPr>
        <w:t xml:space="preserve">贰</w:t>
      </w:r>
      <w:r>
        <w:rPr>
          <w:rFonts w:hint="eastAsia" w:ascii="仿宋" w:hAnsi="仿宋" w:eastAsia="仿宋" w:cs="仿宋"/>
          <w:color w:val="000000"/>
          <w:sz w:val="24"/>
          <w:szCs w:val="24"/>
          <w:highlight w:val="none"/>
        </w:rPr>
        <w:t xml:space="preserve">份，各份具有同等法律效力。</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5.本合同应按照中华人民共和国的现行法律进行解释。</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6.合同修改：除甲乙双方签署书面修改、补充协议，并成为本合同不可分割的一部分之外，本合同条件不得有任何变化或修改。</w:t>
      </w:r>
      <w:r>
        <w:rPr>
          <w:rFonts w:hint="eastAsia" w:ascii="仿宋" w:hAnsi="仿宋" w:eastAsia="仿宋" w:cs="仿宋"/>
          <w:color w:val="000000"/>
          <w:sz w:val="24"/>
          <w:szCs w:val="24"/>
          <w:highlight w:val="none"/>
        </w:rPr>
      </w:r>
      <w:r/>
    </w:p>
    <w:p>
      <w:pPr>
        <w:pStyle w:val="740"/>
        <w:jc w:val="center"/>
        <w:spacing w:line="5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合同附件：《太仓市财政局委托第三方机构参与预算绩效管理业务质量考核办法》</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sz w:val="24"/>
          <w:szCs w:val="24"/>
          <w:highlight w:val="none"/>
          <w:lang w:bidi="ar"/>
        </w:rPr>
        <w:t xml:space="preserve">政府采购履约验收书格式》</w:t>
      </w:r>
      <w:r>
        <w:rPr>
          <w:rFonts w:hint="eastAsia" w:ascii="仿宋" w:hAnsi="仿宋" w:eastAsia="仿宋" w:cs="仿宋"/>
          <w:color w:val="000000"/>
          <w:sz w:val="24"/>
          <w:szCs w:val="24"/>
          <w:highlight w:val="none"/>
        </w:rPr>
      </w:r>
      <w:r/>
    </w:p>
    <w:p>
      <w:pPr>
        <w:pStyle w:val="740"/>
        <w:ind w:left="420" w:firstLine="420"/>
        <w:jc w:val="both"/>
        <w:spacing w:after="120"/>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pStyle w:val="74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甲方（公章）：                             乙方（公章）：</w:t>
      </w:r>
      <w:r>
        <w:rPr>
          <w:rFonts w:hint="eastAsia" w:ascii="仿宋" w:hAnsi="仿宋" w:eastAsia="仿宋" w:cs="仿宋"/>
          <w:color w:val="000000"/>
          <w:sz w:val="24"/>
          <w:szCs w:val="24"/>
          <w:highlight w:val="none"/>
        </w:rPr>
      </w:r>
      <w:r/>
    </w:p>
    <w:p>
      <w:pPr>
        <w:pStyle w:val="74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法定代表人或授权代表（签字或盖章）：       法定代表人或授权代表（签字或盖章）： </w:t>
      </w:r>
      <w:r>
        <w:rPr>
          <w:rFonts w:hint="eastAsia" w:ascii="仿宋" w:hAnsi="仿宋" w:eastAsia="仿宋" w:cs="仿宋"/>
          <w:color w:val="000000"/>
          <w:sz w:val="24"/>
          <w:szCs w:val="24"/>
          <w:highlight w:val="none"/>
        </w:rPr>
      </w:r>
      <w:r/>
    </w:p>
    <w:p>
      <w:pPr>
        <w:pStyle w:val="74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签约日期：                                 签约日期： </w:t>
      </w:r>
      <w:r>
        <w:rPr>
          <w:rFonts w:hint="eastAsia" w:ascii="仿宋" w:hAnsi="仿宋" w:eastAsia="仿宋" w:cs="仿宋"/>
          <w:color w:val="000000"/>
          <w:sz w:val="24"/>
          <w:szCs w:val="24"/>
          <w:highlight w:val="none"/>
        </w:rPr>
      </w:r>
      <w:r/>
    </w:p>
    <w:p>
      <w:pPr>
        <w:jc w:val="left"/>
        <w:spacing w:line="580" w:lineRule="exact"/>
        <w:rPr>
          <w:rFonts w:hint="eastAsia" w:ascii="仿宋" w:hAnsi="仿宋" w:eastAsia="仿宋" w:cs="仿宋"/>
          <w:highlight w:val="none"/>
        </w:rPr>
      </w:pPr>
      <w:r>
        <w:rPr>
          <w:rFonts w:hint="eastAsia" w:ascii="仿宋" w:hAnsi="仿宋" w:eastAsia="仿宋" w:cs="仿宋"/>
          <w:sz w:val="24"/>
          <w:szCs w:val="24"/>
          <w:highlight w:val="none"/>
        </w:rPr>
      </w:r>
      <w:r>
        <w:rPr>
          <w:rFonts w:hint="eastAsia" w:ascii="仿宋" w:hAnsi="仿宋" w:eastAsia="仿宋" w:cs="仿宋"/>
          <w:sz w:val="24"/>
          <w:szCs w:val="24"/>
          <w:highlight w:val="none"/>
        </w:rPr>
      </w:r>
    </w:p>
    <w:p>
      <w:pPr>
        <w:jc w:val="left"/>
        <w:spacing w:line="5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rFonts w:hint="eastAsia" w:ascii="仿宋" w:hAnsi="仿宋" w:eastAsia="仿宋" w:cs="仿宋"/>
          <w:sz w:val="24"/>
          <w:szCs w:val="24"/>
          <w:highlight w:val="none"/>
        </w:rPr>
      </w:r>
    </w:p>
    <w:p>
      <w:pPr>
        <w:jc w:val="left"/>
        <w:spacing w:line="5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rFonts w:hint="eastAsia" w:ascii="仿宋" w:hAnsi="仿宋" w:eastAsia="仿宋" w:cs="仿宋"/>
          <w:sz w:val="24"/>
          <w:szCs w:val="24"/>
          <w:highlight w:val="none"/>
        </w:rPr>
      </w:r>
    </w:p>
    <w:p>
      <w:pPr>
        <w:jc w:val="left"/>
        <w:spacing w:line="5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rFonts w:hint="eastAsia" w:ascii="仿宋" w:hAnsi="仿宋" w:eastAsia="仿宋" w:cs="仿宋"/>
          <w:sz w:val="24"/>
          <w:szCs w:val="24"/>
          <w:highlight w:val="none"/>
        </w:rPr>
      </w:r>
    </w:p>
    <w:p>
      <w:pPr>
        <w:jc w:val="left"/>
        <w:spacing w:line="5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rFonts w:hint="eastAsia" w:ascii="仿宋" w:hAnsi="仿宋" w:eastAsia="仿宋" w:cs="仿宋"/>
          <w:sz w:val="24"/>
          <w:szCs w:val="24"/>
          <w:highlight w:val="none"/>
        </w:rPr>
      </w:r>
    </w:p>
    <w:p>
      <w:pPr>
        <w:jc w:val="left"/>
        <w:spacing w:line="5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rFonts w:hint="eastAsia" w:ascii="仿宋" w:hAnsi="仿宋" w:eastAsia="仿宋" w:cs="仿宋"/>
          <w:sz w:val="24"/>
          <w:szCs w:val="24"/>
          <w:highlight w:val="none"/>
        </w:rPr>
      </w:r>
    </w:p>
    <w:p>
      <w:pPr>
        <w:jc w:val="left"/>
        <w:spacing w:line="5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rFonts w:hint="eastAsia" w:ascii="仿宋" w:hAnsi="仿宋" w:eastAsia="仿宋" w:cs="仿宋"/>
          <w:sz w:val="24"/>
          <w:szCs w:val="24"/>
          <w:highlight w:val="none"/>
        </w:rPr>
      </w:r>
    </w:p>
    <w:p>
      <w:pPr>
        <w:jc w:val="left"/>
        <w:spacing w:line="5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rFonts w:hint="eastAsia" w:ascii="仿宋" w:hAnsi="仿宋" w:eastAsia="仿宋" w:cs="仿宋"/>
          <w:sz w:val="24"/>
          <w:szCs w:val="24"/>
          <w:highlight w:val="none"/>
        </w:rPr>
      </w:r>
    </w:p>
    <w:p>
      <w:pPr>
        <w:jc w:val="left"/>
        <w:spacing w:line="5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rFonts w:hint="eastAsia" w:ascii="仿宋" w:hAnsi="仿宋" w:eastAsia="仿宋" w:cs="仿宋"/>
          <w:sz w:val="24"/>
          <w:szCs w:val="24"/>
          <w:highlight w:val="none"/>
        </w:rPr>
      </w:r>
    </w:p>
    <w:p>
      <w:pPr>
        <w:jc w:val="left"/>
        <w:spacing w:line="5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rFonts w:hint="eastAsia" w:ascii="仿宋" w:hAnsi="仿宋" w:eastAsia="仿宋" w:cs="仿宋"/>
          <w:sz w:val="24"/>
          <w:szCs w:val="24"/>
          <w:highlight w:val="none"/>
        </w:rPr>
      </w:r>
    </w:p>
    <w:p>
      <w:pPr>
        <w:pStyle w:val="740"/>
        <w:jc w:val="left"/>
        <w:spacing w:line="5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附件：</w:t>
      </w:r>
      <w:r>
        <w:rPr>
          <w:rFonts w:hint="eastAsia" w:ascii="仿宋" w:hAnsi="仿宋" w:eastAsia="仿宋" w:cs="仿宋"/>
          <w:szCs w:val="22"/>
          <w:highlight w:val="none"/>
        </w:rPr>
      </w:r>
      <w:r/>
    </w:p>
    <w:p>
      <w:pPr>
        <w:pStyle w:val="740"/>
        <w:jc w:val="center"/>
        <w:spacing w:line="580" w:lineRule="exact"/>
        <w:rPr>
          <w:rFonts w:hint="eastAsia" w:ascii="仿宋" w:hAnsi="仿宋" w:eastAsia="仿宋" w:cs="仿宋"/>
          <w:b/>
          <w:bCs/>
          <w:sz w:val="28"/>
          <w:szCs w:val="28"/>
          <w:highlight w:val="none"/>
          <w:lang w:eastAsia="en-US"/>
        </w:rPr>
      </w:pPr>
      <w:r>
        <w:rPr>
          <w:rFonts w:hint="eastAsia" w:ascii="仿宋" w:hAnsi="仿宋" w:eastAsia="仿宋" w:cs="仿宋"/>
          <w:b/>
          <w:bCs/>
          <w:sz w:val="28"/>
          <w:szCs w:val="28"/>
          <w:highlight w:val="none"/>
          <w:lang w:eastAsia="en-US"/>
        </w:rPr>
        <w:t xml:space="preserve">太仓市财政局</w:t>
      </w:r>
      <w:r>
        <w:rPr>
          <w:rFonts w:hint="eastAsia" w:ascii="仿宋" w:hAnsi="仿宋" w:eastAsia="仿宋" w:cs="仿宋"/>
          <w:b/>
          <w:bCs/>
          <w:sz w:val="28"/>
          <w:szCs w:val="28"/>
          <w:highlight w:val="none"/>
        </w:rPr>
        <w:t xml:space="preserve">委托</w:t>
      </w:r>
      <w:r>
        <w:rPr>
          <w:rFonts w:hint="eastAsia" w:ascii="仿宋" w:hAnsi="仿宋" w:eastAsia="仿宋" w:cs="仿宋"/>
          <w:b/>
          <w:bCs/>
          <w:sz w:val="28"/>
          <w:szCs w:val="28"/>
          <w:highlight w:val="none"/>
          <w:lang w:eastAsia="en-US"/>
        </w:rPr>
        <w:t xml:space="preserve">第三方机构参与预算绩效管理业务质量考核办法</w:t>
      </w:r>
      <w:r>
        <w:rPr>
          <w:rFonts w:hint="eastAsia" w:ascii="仿宋" w:hAnsi="仿宋" w:eastAsia="仿宋" w:cs="仿宋"/>
          <w:b/>
          <w:bCs/>
          <w:sz w:val="28"/>
          <w:szCs w:val="28"/>
          <w:highlight w:val="none"/>
          <w:lang w:eastAsia="en-US"/>
        </w:rPr>
      </w:r>
      <w:r/>
    </w:p>
    <w:p>
      <w:pPr>
        <w:pStyle w:val="740"/>
        <w:jc w:val="center"/>
        <w:spacing w:line="580" w:lineRule="exact"/>
        <w:rPr>
          <w:rFonts w:ascii="宋体" w:hAnsi="宋体" w:eastAsia="宋体" w:cs="宋体"/>
          <w:szCs w:val="21"/>
          <w:highlight w:val="none"/>
          <w:lang w:eastAsia="en-US"/>
        </w:rPr>
      </w:pPr>
      <w:r>
        <w:rPr>
          <w:rFonts w:ascii="宋体" w:hAnsi="宋体" w:eastAsia="宋体" w:cs="宋体"/>
          <w:szCs w:val="21"/>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第一条</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为提高第三方机构参与预算绩效管理业务的工作效率和质量，根据省财政厅</w:t>
      </w:r>
      <w:r>
        <w:rPr>
          <w:rFonts w:hint="eastAsia" w:ascii="仿宋" w:hAnsi="仿宋" w:eastAsia="仿宋" w:cs="仿宋"/>
          <w:color w:val="000000"/>
          <w:sz w:val="24"/>
          <w:szCs w:val="24"/>
          <w:highlight w:val="none"/>
        </w:rPr>
        <w:t xml:space="preserve">印发的《江苏省委托第三方机构参与预算绩效管理业务办法》</w:t>
      </w:r>
      <w:r>
        <w:rPr>
          <w:rFonts w:hint="eastAsia" w:ascii="仿宋" w:hAnsi="仿宋" w:eastAsia="仿宋" w:cs="仿宋"/>
          <w:color w:val="000000"/>
          <w:sz w:val="24"/>
          <w:szCs w:val="24"/>
          <w:highlight w:val="none"/>
          <w:lang w:eastAsia="en-US"/>
        </w:rPr>
        <w:t xml:space="preserve">《第三方机构参与预算绩效管理业务质量考核办法》等相关规定，制定本办法。</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第二条</w:t>
      </w:r>
      <w:r>
        <w:rPr>
          <w:rFonts w:hint="eastAsia" w:ascii="仿宋" w:hAnsi="仿宋" w:eastAsia="仿宋" w:cs="仿宋"/>
          <w:color w:val="000000"/>
          <w:sz w:val="24"/>
          <w:szCs w:val="24"/>
          <w:highlight w:val="none"/>
        </w:rPr>
        <w:t xml:space="preserve">  太仓市财政局（</w:t>
      </w:r>
      <w:r>
        <w:rPr>
          <w:rFonts w:hint="eastAsia" w:ascii="仿宋" w:hAnsi="仿宋" w:eastAsia="仿宋" w:cs="仿宋"/>
          <w:color w:val="000000"/>
          <w:sz w:val="24"/>
          <w:szCs w:val="24"/>
          <w:highlight w:val="none"/>
          <w:lang w:eastAsia="en-US"/>
        </w:rPr>
        <w:t xml:space="preserve">以下</w:t>
      </w:r>
      <w:r>
        <w:rPr>
          <w:rFonts w:hint="eastAsia" w:ascii="仿宋" w:hAnsi="仿宋" w:eastAsia="仿宋" w:cs="仿宋"/>
          <w:color w:val="000000"/>
          <w:sz w:val="24"/>
          <w:szCs w:val="24"/>
          <w:highlight w:val="none"/>
        </w:rPr>
        <w:t xml:space="preserve">简称</w:t>
      </w:r>
      <w:r>
        <w:rPr>
          <w:rFonts w:hint="eastAsia" w:ascii="仿宋" w:hAnsi="仿宋" w:eastAsia="仿宋" w:cs="仿宋"/>
          <w:color w:val="000000"/>
          <w:sz w:val="24"/>
          <w:szCs w:val="24"/>
          <w:highlight w:val="none"/>
          <w:lang w:eastAsia="en-US"/>
        </w:rPr>
        <w:t xml:space="preserve">委托方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en-US"/>
        </w:rPr>
        <w:t xml:space="preserve">根据所委托业务的特点和要求，对第三方机构参与预算绩效管理业务质量开展考核。</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第三条</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委托方重点围绕委托协议明确的工作内容和要求，根据工作完成情况，采用分级分档方式，客观公正进行考核。</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委托方不得以考核名义影响第三方机构独立、公正开展工作。</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第四条</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考核内容包括第三方机构参与预算绩效管理业务的工作规范和工作质量。考核评分采用百分制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en-US"/>
        </w:rPr>
        <w:t xml:space="preserve">详见附表</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en-US"/>
        </w:rPr>
        <w:t xml:space="preserve">。</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w:t>
      </w:r>
      <w:r>
        <w:rPr>
          <w:rFonts w:hint="eastAsia" w:ascii="仿宋" w:hAnsi="仿宋" w:eastAsia="仿宋" w:cs="仿宋"/>
          <w:color w:val="000000"/>
          <w:sz w:val="24"/>
          <w:szCs w:val="24"/>
          <w:highlight w:val="none"/>
        </w:rPr>
        <w:t xml:space="preserve">一</w:t>
      </w:r>
      <w:r>
        <w:rPr>
          <w:rFonts w:hint="eastAsia" w:ascii="仿宋" w:hAnsi="仿宋" w:eastAsia="仿宋" w:cs="仿宋"/>
          <w:color w:val="000000"/>
          <w:sz w:val="24"/>
          <w:szCs w:val="24"/>
          <w:highlight w:val="none"/>
          <w:lang w:eastAsia="en-US"/>
        </w:rPr>
        <w:t xml:space="preserve">）</w:t>
      </w:r>
      <w:r>
        <w:rPr>
          <w:rFonts w:hint="eastAsia" w:ascii="仿宋" w:hAnsi="仿宋" w:eastAsia="仿宋" w:cs="仿宋"/>
          <w:color w:val="000000"/>
          <w:sz w:val="24"/>
          <w:szCs w:val="24"/>
          <w:highlight w:val="none"/>
        </w:rPr>
        <w:t xml:space="preserve">工作规范</w:t>
      </w:r>
      <w:r>
        <w:rPr>
          <w:rFonts w:hint="eastAsia" w:ascii="仿宋" w:hAnsi="仿宋" w:eastAsia="仿宋" w:cs="仿宋"/>
          <w:color w:val="000000"/>
          <w:sz w:val="24"/>
          <w:szCs w:val="24"/>
          <w:highlight w:val="none"/>
          <w:lang w:eastAsia="en-US"/>
        </w:rPr>
        <w:t xml:space="preserve">（</w:t>
      </w:r>
      <w:r>
        <w:rPr>
          <w:rFonts w:hint="eastAsia" w:ascii="仿宋" w:hAnsi="仿宋" w:eastAsia="仿宋" w:cs="仿宋"/>
          <w:color w:val="000000"/>
          <w:sz w:val="24"/>
          <w:szCs w:val="24"/>
          <w:highlight w:val="none"/>
        </w:rPr>
        <w:t xml:space="preserve">40分</w:t>
      </w:r>
      <w:r>
        <w:rPr>
          <w:rFonts w:hint="eastAsia" w:ascii="仿宋" w:hAnsi="仿宋" w:eastAsia="仿宋" w:cs="仿宋"/>
          <w:color w:val="000000"/>
          <w:sz w:val="24"/>
          <w:szCs w:val="24"/>
          <w:highlight w:val="none"/>
          <w:lang w:eastAsia="en-US"/>
        </w:rPr>
        <w:t xml:space="preserve">）</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工作保障（15 分）。考核人员安排、沟通协调等情况。</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工作流程（5 分）。考核是否符合委托业务的工作流程要求。</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3</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工作进度（10 分）。考核是否按照协议约定的时限完成各项工作。</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4</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工作纪律（10 分）。考核是否遵守廉洁、回避、保密等要求。</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（二）</w:t>
      </w:r>
      <w:r>
        <w:rPr>
          <w:rFonts w:hint="eastAsia" w:ascii="仿宋" w:hAnsi="仿宋" w:eastAsia="仿宋" w:cs="仿宋"/>
          <w:color w:val="000000"/>
          <w:sz w:val="24"/>
          <w:szCs w:val="24"/>
          <w:highlight w:val="none"/>
        </w:rPr>
        <w:t xml:space="preserve">工作质量</w:t>
      </w:r>
      <w:r>
        <w:rPr>
          <w:rFonts w:hint="eastAsia" w:ascii="仿宋" w:hAnsi="仿宋" w:eastAsia="仿宋" w:cs="仿宋"/>
          <w:color w:val="000000"/>
          <w:sz w:val="24"/>
          <w:szCs w:val="24"/>
          <w:highlight w:val="none"/>
          <w:lang w:eastAsia="en-US"/>
        </w:rPr>
        <w:t xml:space="preserve">（</w:t>
      </w:r>
      <w:r>
        <w:rPr>
          <w:rFonts w:hint="eastAsia" w:ascii="仿宋" w:hAnsi="仿宋" w:eastAsia="仿宋" w:cs="仿宋"/>
          <w:color w:val="000000"/>
          <w:sz w:val="24"/>
          <w:szCs w:val="24"/>
          <w:highlight w:val="none"/>
        </w:rPr>
        <w:t xml:space="preserve">60分</w:t>
      </w:r>
      <w:r>
        <w:rPr>
          <w:rFonts w:hint="eastAsia" w:ascii="仿宋" w:hAnsi="仿宋" w:eastAsia="仿宋" w:cs="仿宋"/>
          <w:color w:val="000000"/>
          <w:sz w:val="24"/>
          <w:szCs w:val="24"/>
          <w:highlight w:val="none"/>
          <w:lang w:eastAsia="en-US"/>
        </w:rPr>
        <w:t xml:space="preserve">）</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工作方案（20 分）。考核资料收集、政策研究等情况。</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工作成果（40 分）。考核工作结果是否具有针对性、合理性等。</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第</w:t>
      </w:r>
      <w:r>
        <w:rPr>
          <w:rFonts w:hint="eastAsia" w:ascii="仿宋" w:hAnsi="仿宋" w:eastAsia="仿宋" w:cs="仿宋"/>
          <w:color w:val="000000"/>
          <w:sz w:val="24"/>
          <w:szCs w:val="24"/>
          <w:highlight w:val="none"/>
        </w:rPr>
        <w:t xml:space="preserve">五</w:t>
      </w:r>
      <w:r>
        <w:rPr>
          <w:rFonts w:hint="eastAsia" w:ascii="仿宋" w:hAnsi="仿宋" w:eastAsia="仿宋" w:cs="仿宋"/>
          <w:color w:val="000000"/>
          <w:sz w:val="24"/>
          <w:szCs w:val="24"/>
          <w:highlight w:val="none"/>
          <w:lang w:eastAsia="en-US"/>
        </w:rPr>
        <w:t xml:space="preserve">条</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考核结果与支付委托费用挂钩，具体如下：考核得分≥90分的，按中标价的100%支付；80分≤考核得分＜90分的，按中标价的90%支付；60分≤考核得分＜80分的，按中标价的70%支付；考核得分＜60分的，不予支付。同时，考核结果作为以后年度选取第三方机构参与预算绩效管理业务的重要参考。</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en-US"/>
        </w:rPr>
        <w:t xml:space="preserve">第</w:t>
      </w:r>
      <w:r>
        <w:rPr>
          <w:rFonts w:hint="eastAsia" w:ascii="仿宋" w:hAnsi="仿宋" w:eastAsia="仿宋" w:cs="仿宋"/>
          <w:color w:val="000000"/>
          <w:sz w:val="24"/>
          <w:szCs w:val="24"/>
          <w:highlight w:val="none"/>
        </w:rPr>
        <w:t xml:space="preserve">六</w:t>
      </w:r>
      <w:r>
        <w:rPr>
          <w:rFonts w:hint="eastAsia" w:ascii="仿宋" w:hAnsi="仿宋" w:eastAsia="仿宋" w:cs="仿宋"/>
          <w:color w:val="000000"/>
          <w:sz w:val="24"/>
          <w:szCs w:val="24"/>
          <w:highlight w:val="none"/>
          <w:lang w:eastAsia="en-US"/>
        </w:rPr>
        <w:t xml:space="preserve">条</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本办法自</w:t>
      </w:r>
      <w:r>
        <w:rPr>
          <w:rFonts w:hint="eastAsia" w:ascii="仿宋" w:hAnsi="仿宋" w:eastAsia="仿宋" w:cs="仿宋"/>
          <w:color w:val="000000"/>
          <w:sz w:val="24"/>
          <w:szCs w:val="24"/>
          <w:highlight w:val="none"/>
        </w:rPr>
        <w:t xml:space="preserve">印发</w:t>
      </w:r>
      <w:r>
        <w:rPr>
          <w:rFonts w:hint="eastAsia" w:ascii="仿宋" w:hAnsi="仿宋" w:eastAsia="仿宋" w:cs="仿宋"/>
          <w:color w:val="000000"/>
          <w:sz w:val="24"/>
          <w:szCs w:val="24"/>
          <w:highlight w:val="none"/>
          <w:lang w:eastAsia="en-US"/>
        </w:rPr>
        <w:t xml:space="preserve">之日起施行。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en-US"/>
        </w:rPr>
        <w:t xml:space="preserve">太仓市财政局委托第三方机构参与预算绩效管理业务质量考核暂行办法</w:t>
      </w:r>
      <w:r>
        <w:rPr>
          <w:rFonts w:hint="eastAsia" w:ascii="仿宋" w:hAnsi="仿宋" w:eastAsia="仿宋" w:cs="仿宋"/>
          <w:color w:val="000000"/>
          <w:sz w:val="24"/>
          <w:szCs w:val="24"/>
          <w:highlight w:val="none"/>
        </w:rPr>
        <w:t xml:space="preserve">》同时废止。</w:t>
      </w:r>
      <w:r>
        <w:rPr>
          <w:rFonts w:hint="eastAsia" w:ascii="仿宋" w:hAnsi="仿宋" w:eastAsia="仿宋" w:cs="仿宋"/>
          <w:color w:val="000000"/>
          <w:sz w:val="24"/>
          <w:szCs w:val="24"/>
          <w:highlight w:val="none"/>
        </w:rPr>
      </w:r>
      <w:r/>
    </w:p>
    <w:p>
      <w:pPr>
        <w:pStyle w:val="740"/>
        <w:jc w:val="left"/>
        <w:spacing w:line="580" w:lineRule="exact"/>
        <w:rPr>
          <w:rFonts w:hint="eastAsia" w:ascii="仿宋" w:hAnsi="仿宋" w:eastAsia="仿宋" w:cs="仿宋"/>
          <w:sz w:val="24"/>
          <w:szCs w:val="24"/>
          <w:highlight w:val="none"/>
        </w:rPr>
      </w:pPr>
      <w:r>
        <w:rPr>
          <w:rFonts w:hint="eastAsia" w:ascii="仿宋" w:hAnsi="仿宋" w:eastAsia="仿宋" w:cs="仿宋"/>
          <w:szCs w:val="22"/>
          <w:highlight w:val="none"/>
        </w:rPr>
        <w:br w:type="page" w:clear="all"/>
      </w:r>
      <w:r>
        <w:rPr>
          <w:rFonts w:hint="eastAsia" w:ascii="仿宋" w:hAnsi="仿宋" w:eastAsia="仿宋" w:cs="仿宋"/>
          <w:sz w:val="24"/>
          <w:szCs w:val="24"/>
          <w:highlight w:val="none"/>
        </w:rPr>
        <w:t xml:space="preserve">附表：</w:t>
      </w:r>
      <w:r>
        <w:rPr>
          <w:rFonts w:hint="eastAsia" w:ascii="仿宋" w:hAnsi="仿宋" w:eastAsia="仿宋" w:cs="仿宋"/>
          <w:sz w:val="24"/>
          <w:szCs w:val="24"/>
          <w:highlight w:val="none"/>
        </w:rPr>
      </w:r>
      <w:r/>
    </w:p>
    <w:p>
      <w:pPr>
        <w:pStyle w:val="740"/>
        <w:jc w:val="center"/>
        <w:spacing w:line="580" w:lineRule="exact"/>
        <w:rPr>
          <w:rFonts w:hint="eastAsia" w:ascii="仿宋" w:hAnsi="仿宋" w:eastAsia="仿宋" w:cs="仿宋"/>
          <w:b/>
          <w:bCs/>
          <w:sz w:val="28"/>
          <w:szCs w:val="28"/>
          <w:highlight w:val="none"/>
          <w:lang w:eastAsia="en-US"/>
        </w:rPr>
      </w:pPr>
      <w:r>
        <w:rPr>
          <w:rFonts w:hint="eastAsia" w:ascii="仿宋" w:hAnsi="仿宋" w:eastAsia="仿宋" w:cs="仿宋"/>
          <w:b/>
          <w:bCs/>
          <w:sz w:val="28"/>
          <w:szCs w:val="28"/>
          <w:highlight w:val="none"/>
          <w:lang w:eastAsia="en-US"/>
        </w:rPr>
        <w:t xml:space="preserve">第三方机构参与预算绩效管理业务质量评分表（参考）</w:t>
      </w:r>
      <w:r>
        <w:rPr>
          <w:rFonts w:hint="eastAsia" w:ascii="仿宋" w:hAnsi="仿宋" w:eastAsia="仿宋" w:cs="仿宋"/>
          <w:b/>
          <w:bCs/>
          <w:sz w:val="28"/>
          <w:szCs w:val="28"/>
          <w:highlight w:val="none"/>
          <w:lang w:eastAsia="en-US"/>
        </w:rPr>
      </w:r>
      <w:r/>
    </w:p>
    <w:p>
      <w:pPr>
        <w:pStyle w:val="740"/>
        <w:jc w:val="left"/>
        <w:spacing w:line="5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第三方机构：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740"/>
        <w:jc w:val="left"/>
        <w:spacing w:after="240" w:line="5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委托业务：</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bl>
      <w:tblPr>
        <w:tblW w:w="5190" w:type="pct"/>
        <w:tblInd w:w="-2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196"/>
        <w:gridCol w:w="1523"/>
        <w:gridCol w:w="762"/>
        <w:gridCol w:w="4343"/>
        <w:gridCol w:w="814"/>
      </w:tblGrid>
      <w:tr>
        <w:trPr>
          <w:trHeight w:val="474"/>
        </w:trPr>
        <w:tc>
          <w:tcPr>
            <w:tcW w:w="692" w:type="dxa"/>
            <w:vAlign w:val="center"/>
            <w:textDirection w:val="lrTb"/>
            <w:noWrap w:val="false"/>
          </w:tcPr>
          <w:p>
            <w:pPr>
              <w:pStyle w:val="740"/>
              <w:jc w:val="center"/>
              <w:rPr>
                <w:rFonts w:hint="eastAsia" w:ascii="仿宋" w:hAnsi="仿宋" w:eastAsia="仿宋" w:cs="仿宋"/>
                <w:b/>
                <w:bCs/>
                <w:sz w:val="24"/>
                <w:szCs w:val="24"/>
                <w:highlight w:val="none"/>
                <w:lang w:eastAsia="en-US"/>
              </w:rPr>
            </w:pPr>
            <w:r>
              <w:rPr>
                <w:rFonts w:hint="eastAsia" w:ascii="仿宋" w:hAnsi="仿宋" w:eastAsia="仿宋" w:cs="仿宋"/>
                <w:b/>
                <w:bCs/>
                <w:sz w:val="24"/>
                <w:szCs w:val="24"/>
                <w:highlight w:val="none"/>
                <w:lang w:eastAsia="en-US"/>
              </w:rPr>
              <w:t xml:space="preserve">一级指标</w:t>
            </w:r>
            <w:r>
              <w:rPr>
                <w:rFonts w:hint="eastAsia" w:ascii="仿宋" w:hAnsi="仿宋" w:eastAsia="仿宋" w:cs="仿宋"/>
                <w:b/>
                <w:bCs/>
                <w:sz w:val="24"/>
                <w:szCs w:val="24"/>
                <w:highlight w:val="none"/>
                <w:lang w:eastAsia="en-US"/>
              </w:rPr>
            </w:r>
            <w:r/>
          </w:p>
        </w:tc>
        <w:tc>
          <w:tcPr>
            <w:tcW w:w="881" w:type="dxa"/>
            <w:vAlign w:val="center"/>
            <w:textDirection w:val="lrTb"/>
            <w:noWrap w:val="false"/>
          </w:tcPr>
          <w:p>
            <w:pPr>
              <w:pStyle w:val="740"/>
              <w:jc w:val="center"/>
              <w:rPr>
                <w:rFonts w:hint="eastAsia" w:ascii="仿宋" w:hAnsi="仿宋" w:eastAsia="仿宋" w:cs="仿宋"/>
                <w:b/>
                <w:bCs/>
                <w:sz w:val="24"/>
                <w:szCs w:val="24"/>
                <w:highlight w:val="none"/>
                <w:lang w:eastAsia="en-US"/>
              </w:rPr>
            </w:pPr>
            <w:r>
              <w:rPr>
                <w:rFonts w:hint="eastAsia" w:ascii="仿宋" w:hAnsi="仿宋" w:eastAsia="仿宋" w:cs="仿宋"/>
                <w:b/>
                <w:bCs/>
                <w:sz w:val="24"/>
                <w:szCs w:val="24"/>
                <w:highlight w:val="none"/>
                <w:lang w:eastAsia="en-US"/>
              </w:rPr>
              <w:t xml:space="preserve">二级指标</w:t>
            </w:r>
            <w:r>
              <w:rPr>
                <w:rFonts w:hint="eastAsia" w:ascii="仿宋" w:hAnsi="仿宋" w:eastAsia="仿宋" w:cs="仿宋"/>
                <w:b/>
                <w:bCs/>
                <w:sz w:val="24"/>
                <w:szCs w:val="24"/>
                <w:highlight w:val="none"/>
                <w:lang w:eastAsia="en-US"/>
              </w:rPr>
            </w:r>
            <w:r/>
          </w:p>
        </w:tc>
        <w:tc>
          <w:tcPr>
            <w:tcW w:w="441" w:type="dxa"/>
            <w:vAlign w:val="center"/>
            <w:textDirection w:val="lrTb"/>
            <w:noWrap w:val="false"/>
          </w:tcPr>
          <w:p>
            <w:pPr>
              <w:pStyle w:val="740"/>
              <w:jc w:val="center"/>
              <w:rPr>
                <w:rFonts w:hint="eastAsia" w:ascii="仿宋" w:hAnsi="仿宋" w:eastAsia="仿宋" w:cs="仿宋"/>
                <w:b/>
                <w:bCs/>
                <w:sz w:val="24"/>
                <w:szCs w:val="24"/>
                <w:highlight w:val="none"/>
                <w:lang w:eastAsia="en-US"/>
              </w:rPr>
            </w:pPr>
            <w:r>
              <w:rPr>
                <w:rFonts w:hint="eastAsia" w:ascii="仿宋" w:hAnsi="仿宋" w:eastAsia="仿宋" w:cs="仿宋"/>
                <w:b/>
                <w:bCs/>
                <w:sz w:val="24"/>
                <w:szCs w:val="24"/>
                <w:highlight w:val="none"/>
                <w:lang w:eastAsia="en-US"/>
              </w:rPr>
              <w:t xml:space="preserve">分值</w:t>
            </w:r>
            <w:r>
              <w:rPr>
                <w:rFonts w:hint="eastAsia" w:ascii="仿宋" w:hAnsi="仿宋" w:eastAsia="仿宋" w:cs="仿宋"/>
                <w:b/>
                <w:bCs/>
                <w:sz w:val="24"/>
                <w:szCs w:val="24"/>
                <w:highlight w:val="none"/>
                <w:lang w:eastAsia="en-US"/>
              </w:rPr>
            </w:r>
            <w:r/>
          </w:p>
        </w:tc>
        <w:tc>
          <w:tcPr>
            <w:tcW w:w="2513" w:type="dxa"/>
            <w:vAlign w:val="center"/>
            <w:textDirection w:val="lrTb"/>
            <w:noWrap w:val="false"/>
          </w:tcPr>
          <w:p>
            <w:pPr>
              <w:pStyle w:val="740"/>
              <w:jc w:val="center"/>
              <w:rPr>
                <w:rFonts w:hint="eastAsia" w:ascii="仿宋" w:hAnsi="仿宋" w:eastAsia="仿宋" w:cs="仿宋"/>
                <w:b/>
                <w:bCs/>
                <w:sz w:val="24"/>
                <w:szCs w:val="24"/>
                <w:highlight w:val="none"/>
                <w:lang w:eastAsia="en-US"/>
              </w:rPr>
            </w:pPr>
            <w:r>
              <w:rPr>
                <w:rFonts w:hint="eastAsia" w:ascii="仿宋" w:hAnsi="仿宋" w:eastAsia="仿宋" w:cs="仿宋"/>
                <w:b/>
                <w:bCs/>
                <w:sz w:val="24"/>
                <w:szCs w:val="24"/>
                <w:highlight w:val="none"/>
                <w:lang w:eastAsia="en-US"/>
              </w:rPr>
              <w:t xml:space="preserve">评分规则</w:t>
            </w:r>
            <w:r>
              <w:rPr>
                <w:rFonts w:hint="eastAsia" w:ascii="仿宋" w:hAnsi="仿宋" w:eastAsia="仿宋" w:cs="仿宋"/>
                <w:b/>
                <w:bCs/>
                <w:sz w:val="24"/>
                <w:szCs w:val="24"/>
                <w:highlight w:val="none"/>
                <w:lang w:eastAsia="en-US"/>
              </w:rPr>
            </w:r>
            <w:r/>
          </w:p>
        </w:tc>
        <w:tc>
          <w:tcPr>
            <w:tcW w:w="471" w:type="dxa"/>
            <w:vAlign w:val="center"/>
            <w:textDirection w:val="lrTb"/>
            <w:noWrap w:val="false"/>
          </w:tcPr>
          <w:p>
            <w:pPr>
              <w:pStyle w:val="740"/>
              <w:jc w:val="center"/>
              <w:rPr>
                <w:rFonts w:hint="eastAsia" w:ascii="仿宋" w:hAnsi="仿宋" w:eastAsia="仿宋" w:cs="仿宋"/>
                <w:b/>
                <w:bCs/>
                <w:sz w:val="24"/>
                <w:szCs w:val="24"/>
                <w:highlight w:val="none"/>
                <w:lang w:eastAsia="en-US"/>
              </w:rPr>
            </w:pPr>
            <w:r>
              <w:rPr>
                <w:rFonts w:hint="eastAsia" w:ascii="仿宋" w:hAnsi="仿宋" w:eastAsia="仿宋" w:cs="仿宋"/>
                <w:b/>
                <w:bCs/>
                <w:sz w:val="24"/>
                <w:szCs w:val="24"/>
                <w:highlight w:val="none"/>
                <w:lang w:eastAsia="en-US"/>
              </w:rPr>
              <w:t xml:space="preserve">得分</w:t>
            </w:r>
            <w:r>
              <w:rPr>
                <w:rFonts w:hint="eastAsia" w:ascii="仿宋" w:hAnsi="仿宋" w:eastAsia="仿宋" w:cs="仿宋"/>
                <w:b/>
                <w:bCs/>
                <w:sz w:val="24"/>
                <w:szCs w:val="24"/>
                <w:highlight w:val="none"/>
                <w:lang w:eastAsia="en-US"/>
              </w:rPr>
            </w:r>
            <w:r/>
          </w:p>
        </w:tc>
      </w:tr>
      <w:tr>
        <w:trPr>
          <w:trHeight w:val="2433" w:hRule="exact"/>
        </w:trPr>
        <w:tc>
          <w:tcPr>
            <w:tcW w:w="692" w:type="dxa"/>
            <w:vAlign w:val="center"/>
            <w:vMerge w:val="restart"/>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工作规范</w:t>
            </w:r>
            <w:r>
              <w:rPr>
                <w:rFonts w:hint="eastAsia" w:ascii="仿宋" w:hAnsi="仿宋" w:eastAsia="仿宋" w:cs="仿宋"/>
                <w:sz w:val="24"/>
                <w:szCs w:val="24"/>
                <w:highlight w:val="none"/>
                <w:lang w:eastAsia="en-US"/>
              </w:rPr>
            </w:r>
            <w:r/>
          </w:p>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（40分）</w:t>
            </w:r>
            <w:r>
              <w:rPr>
                <w:rFonts w:hint="eastAsia" w:ascii="仿宋" w:hAnsi="仿宋" w:eastAsia="仿宋" w:cs="仿宋"/>
                <w:sz w:val="24"/>
                <w:szCs w:val="24"/>
                <w:highlight w:val="none"/>
                <w:lang w:eastAsia="en-US"/>
              </w:rPr>
            </w:r>
            <w:r/>
          </w:p>
        </w:tc>
        <w:tc>
          <w:tcPr>
            <w:tcW w:w="88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工作保障</w:t>
            </w:r>
            <w:r>
              <w:rPr>
                <w:rFonts w:hint="eastAsia" w:ascii="仿宋" w:hAnsi="仿宋" w:eastAsia="仿宋" w:cs="仿宋"/>
                <w:sz w:val="24"/>
                <w:szCs w:val="24"/>
                <w:highlight w:val="none"/>
                <w:lang w:eastAsia="en-US"/>
              </w:rPr>
            </w:r>
            <w:r/>
          </w:p>
        </w:tc>
        <w:tc>
          <w:tcPr>
            <w:tcW w:w="441" w:type="dxa"/>
            <w:vAlign w:val="center"/>
            <w:textDirection w:val="lrTb"/>
            <w:noWrap w:val="false"/>
          </w:tcPr>
          <w:p>
            <w:pPr>
              <w:pStyle w:val="74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w:t>
            </w:r>
            <w:r>
              <w:rPr>
                <w:rFonts w:hint="eastAsia" w:ascii="仿宋" w:hAnsi="仿宋" w:eastAsia="仿宋" w:cs="仿宋"/>
                <w:sz w:val="24"/>
                <w:szCs w:val="24"/>
                <w:highlight w:val="none"/>
              </w:rPr>
            </w:r>
            <w:r/>
          </w:p>
        </w:tc>
        <w:tc>
          <w:tcPr>
            <w:tcW w:w="2513" w:type="dxa"/>
            <w:vAlign w:val="center"/>
            <w:textDirection w:val="lrTb"/>
            <w:noWrap w:val="false"/>
          </w:tcPr>
          <w:p>
            <w:pPr>
              <w:pStyle w:val="740"/>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①人员安排</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en-US"/>
              </w:rPr>
              <w:t xml:space="preserve">业务负责人专业水平与委托业务符合度</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en-US"/>
              </w:rPr>
              <w:t xml:space="preserve">高的得8分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en-US"/>
              </w:rPr>
              <w:t xml:space="preserve">较高的得6分；一般的得3分。工作组人员符合业务需要的</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en-US"/>
              </w:rPr>
              <w:t xml:space="preserve">得3分；一般的得1分</w:t>
            </w:r>
            <w:r>
              <w:rPr>
                <w:rFonts w:hint="eastAsia" w:ascii="仿宋" w:hAnsi="仿宋" w:eastAsia="仿宋" w:cs="仿宋"/>
                <w:sz w:val="24"/>
                <w:szCs w:val="24"/>
                <w:highlight w:val="none"/>
                <w:lang w:eastAsia="en-US"/>
              </w:rPr>
            </w:r>
            <w:r/>
          </w:p>
          <w:p>
            <w:pPr>
              <w:pStyle w:val="740"/>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②沟通协调</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en-US"/>
              </w:rPr>
              <w:t xml:space="preserve">与委托方、预算绩效管理对象沟通及时有效的得4分；一般的得2分</w:t>
            </w:r>
            <w:r>
              <w:rPr>
                <w:rFonts w:hint="eastAsia" w:ascii="仿宋" w:hAnsi="仿宋" w:eastAsia="仿宋" w:cs="仿宋"/>
                <w:sz w:val="24"/>
                <w:szCs w:val="24"/>
                <w:highlight w:val="none"/>
                <w:lang w:eastAsia="en-US"/>
              </w:rPr>
            </w:r>
            <w:r/>
          </w:p>
        </w:tc>
        <w:tc>
          <w:tcPr>
            <w:tcW w:w="47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r>
        <w:trPr>
          <w:trHeight w:val="1013"/>
        </w:trPr>
        <w:tc>
          <w:tcPr>
            <w:tcW w:w="692" w:type="dxa"/>
            <w:vAlign w:val="center"/>
            <w:vMerge w:val="continue"/>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c>
          <w:tcPr>
            <w:tcW w:w="88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工作流程</w:t>
            </w:r>
            <w:r>
              <w:rPr>
                <w:rFonts w:hint="eastAsia" w:ascii="仿宋" w:hAnsi="仿宋" w:eastAsia="仿宋" w:cs="仿宋"/>
                <w:sz w:val="24"/>
                <w:szCs w:val="24"/>
                <w:highlight w:val="none"/>
                <w:lang w:eastAsia="en-US"/>
              </w:rPr>
            </w:r>
            <w:r/>
          </w:p>
        </w:tc>
        <w:tc>
          <w:tcPr>
            <w:tcW w:w="441" w:type="dxa"/>
            <w:vAlign w:val="center"/>
            <w:textDirection w:val="lrTb"/>
            <w:noWrap w:val="false"/>
          </w:tcPr>
          <w:p>
            <w:pPr>
              <w:pStyle w:val="74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W w:w="2513" w:type="dxa"/>
            <w:vAlign w:val="center"/>
            <w:textDirection w:val="lrTb"/>
            <w:noWrap w:val="false"/>
          </w:tcPr>
          <w:p>
            <w:pPr>
              <w:pStyle w:val="740"/>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pacing w:val="-4"/>
                <w:sz w:val="24"/>
                <w:szCs w:val="24"/>
                <w:highlight w:val="none"/>
              </w:rPr>
              <w:t xml:space="preserve">开</w:t>
            </w:r>
            <w:r>
              <w:rPr>
                <w:rFonts w:hint="eastAsia" w:ascii="仿宋" w:hAnsi="仿宋" w:eastAsia="仿宋" w:cs="仿宋"/>
                <w:spacing w:val="-4"/>
                <w:sz w:val="24"/>
                <w:szCs w:val="24"/>
                <w:highlight w:val="none"/>
                <w:lang w:eastAsia="en-US"/>
              </w:rPr>
              <w:t xml:space="preserve">展工作符合相关制度规定和协议要求的得</w:t>
            </w:r>
            <w:r>
              <w:rPr>
                <w:rFonts w:hint="eastAsia" w:ascii="仿宋" w:hAnsi="仿宋" w:eastAsia="仿宋" w:cs="仿宋"/>
                <w:spacing w:val="6"/>
                <w:sz w:val="24"/>
                <w:szCs w:val="24"/>
                <w:highlight w:val="none"/>
                <w:lang w:eastAsia="en-US"/>
              </w:rPr>
              <w:t xml:space="preserve">5</w:t>
            </w:r>
            <w:r>
              <w:rPr>
                <w:rFonts w:hint="eastAsia" w:ascii="仿宋" w:hAnsi="仿宋" w:eastAsia="仿宋" w:cs="仿宋"/>
                <w:spacing w:val="-3"/>
                <w:sz w:val="24"/>
                <w:szCs w:val="24"/>
                <w:highlight w:val="none"/>
                <w:lang w:eastAsia="en-US"/>
              </w:rPr>
              <w:t xml:space="preserve">分；基本符合的得</w:t>
            </w:r>
            <w:r>
              <w:rPr>
                <w:rFonts w:hint="eastAsia" w:ascii="仿宋" w:hAnsi="仿宋" w:eastAsia="仿宋" w:cs="仿宋"/>
                <w:spacing w:val="-4"/>
                <w:sz w:val="24"/>
                <w:szCs w:val="24"/>
                <w:highlight w:val="none"/>
                <w:lang w:eastAsia="en-US"/>
              </w:rPr>
              <w:t xml:space="preserve">3分；不符合的得0分</w:t>
            </w:r>
            <w:r>
              <w:rPr>
                <w:rFonts w:hint="eastAsia" w:ascii="仿宋" w:hAnsi="仿宋" w:eastAsia="仿宋" w:cs="仿宋"/>
                <w:sz w:val="24"/>
                <w:szCs w:val="24"/>
                <w:highlight w:val="none"/>
                <w:lang w:eastAsia="en-US"/>
              </w:rPr>
            </w:r>
            <w:r/>
          </w:p>
        </w:tc>
        <w:tc>
          <w:tcPr>
            <w:tcW w:w="47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r>
        <w:trPr>
          <w:trHeight w:val="1013"/>
        </w:trPr>
        <w:tc>
          <w:tcPr>
            <w:tcW w:w="692" w:type="dxa"/>
            <w:vAlign w:val="center"/>
            <w:vMerge w:val="continue"/>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c>
          <w:tcPr>
            <w:tcW w:w="88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工作进度</w:t>
            </w:r>
            <w:r>
              <w:rPr>
                <w:rFonts w:hint="eastAsia" w:ascii="仿宋" w:hAnsi="仿宋" w:eastAsia="仿宋" w:cs="仿宋"/>
                <w:sz w:val="24"/>
                <w:szCs w:val="24"/>
                <w:highlight w:val="none"/>
                <w:lang w:eastAsia="en-US"/>
              </w:rPr>
            </w:r>
            <w:r/>
          </w:p>
        </w:tc>
        <w:tc>
          <w:tcPr>
            <w:tcW w:w="441" w:type="dxa"/>
            <w:vAlign w:val="center"/>
            <w:textDirection w:val="lrTb"/>
            <w:noWrap w:val="false"/>
          </w:tcPr>
          <w:p>
            <w:pPr>
              <w:pStyle w:val="74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rPr>
            </w:r>
            <w:r/>
          </w:p>
        </w:tc>
        <w:tc>
          <w:tcPr>
            <w:tcW w:w="2513" w:type="dxa"/>
            <w:vAlign w:val="center"/>
            <w:textDirection w:val="lrTb"/>
            <w:noWrap w:val="false"/>
          </w:tcPr>
          <w:p>
            <w:pPr>
              <w:pStyle w:val="740"/>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符合协议要求的得10分；延期的酌情扣分</w:t>
            </w:r>
            <w:r>
              <w:rPr>
                <w:rFonts w:hint="eastAsia" w:ascii="仿宋" w:hAnsi="仿宋" w:eastAsia="仿宋" w:cs="仿宋"/>
                <w:sz w:val="24"/>
                <w:szCs w:val="24"/>
                <w:highlight w:val="none"/>
                <w:lang w:eastAsia="en-US"/>
              </w:rPr>
            </w:r>
            <w:r/>
          </w:p>
        </w:tc>
        <w:tc>
          <w:tcPr>
            <w:tcW w:w="47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r>
        <w:trPr>
          <w:trHeight w:val="1013"/>
        </w:trPr>
        <w:tc>
          <w:tcPr>
            <w:tcW w:w="692" w:type="dxa"/>
            <w:vAlign w:val="center"/>
            <w:vMerge w:val="continue"/>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c>
          <w:tcPr>
            <w:tcW w:w="88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工作纪律</w:t>
            </w:r>
            <w:r>
              <w:rPr>
                <w:rFonts w:hint="eastAsia" w:ascii="仿宋" w:hAnsi="仿宋" w:eastAsia="仿宋" w:cs="仿宋"/>
                <w:sz w:val="24"/>
                <w:szCs w:val="24"/>
                <w:highlight w:val="none"/>
                <w:lang w:eastAsia="en-US"/>
              </w:rPr>
            </w:r>
            <w:r/>
          </w:p>
        </w:tc>
        <w:tc>
          <w:tcPr>
            <w:tcW w:w="441" w:type="dxa"/>
            <w:vAlign w:val="center"/>
            <w:textDirection w:val="lrTb"/>
            <w:noWrap w:val="false"/>
          </w:tcPr>
          <w:p>
            <w:pPr>
              <w:pStyle w:val="74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rPr>
            </w:r>
            <w:r/>
          </w:p>
        </w:tc>
        <w:tc>
          <w:tcPr>
            <w:tcW w:w="2513" w:type="dxa"/>
            <w:vAlign w:val="center"/>
            <w:textDirection w:val="lrTb"/>
            <w:noWrap w:val="false"/>
          </w:tcPr>
          <w:p>
            <w:pPr>
              <w:pStyle w:val="740"/>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严格执行协议明确的廉洁、回避、保密等要求的得10分；违反任何一条的得0分</w:t>
            </w:r>
            <w:r>
              <w:rPr>
                <w:rFonts w:hint="eastAsia" w:ascii="仿宋" w:hAnsi="仿宋" w:eastAsia="仿宋" w:cs="仿宋"/>
                <w:sz w:val="24"/>
                <w:szCs w:val="24"/>
                <w:highlight w:val="none"/>
                <w:lang w:eastAsia="en-US"/>
              </w:rPr>
            </w:r>
            <w:r/>
          </w:p>
        </w:tc>
        <w:tc>
          <w:tcPr>
            <w:tcW w:w="47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r>
        <w:trPr>
          <w:trHeight w:val="1013"/>
        </w:trPr>
        <w:tc>
          <w:tcPr>
            <w:tcW w:w="692" w:type="dxa"/>
            <w:vAlign w:val="center"/>
            <w:vMerge w:val="restart"/>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工作质量</w:t>
            </w:r>
            <w:r>
              <w:rPr>
                <w:rFonts w:hint="eastAsia" w:ascii="仿宋" w:hAnsi="仿宋" w:eastAsia="仿宋" w:cs="仿宋"/>
                <w:sz w:val="24"/>
                <w:szCs w:val="24"/>
                <w:highlight w:val="none"/>
                <w:lang w:eastAsia="en-US"/>
              </w:rPr>
            </w:r>
            <w:r/>
          </w:p>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（60分）</w:t>
            </w:r>
            <w:r>
              <w:rPr>
                <w:rFonts w:hint="eastAsia" w:ascii="仿宋" w:hAnsi="仿宋" w:eastAsia="仿宋" w:cs="仿宋"/>
                <w:sz w:val="24"/>
                <w:szCs w:val="24"/>
                <w:highlight w:val="none"/>
                <w:lang w:eastAsia="en-US"/>
              </w:rPr>
            </w:r>
            <w:r/>
          </w:p>
        </w:tc>
        <w:tc>
          <w:tcPr>
            <w:tcW w:w="88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工作方案</w:t>
            </w:r>
            <w:r>
              <w:rPr>
                <w:rFonts w:hint="eastAsia" w:ascii="仿宋" w:hAnsi="仿宋" w:eastAsia="仿宋" w:cs="仿宋"/>
                <w:sz w:val="24"/>
                <w:szCs w:val="24"/>
                <w:highlight w:val="none"/>
                <w:lang w:eastAsia="en-US"/>
              </w:rPr>
            </w:r>
            <w:r/>
          </w:p>
        </w:tc>
        <w:tc>
          <w:tcPr>
            <w:tcW w:w="441" w:type="dxa"/>
            <w:vAlign w:val="center"/>
            <w:textDirection w:val="lrTb"/>
            <w:noWrap w:val="false"/>
          </w:tcPr>
          <w:p>
            <w:pPr>
              <w:pStyle w:val="74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w:t>
            </w:r>
            <w:r>
              <w:rPr>
                <w:rFonts w:hint="eastAsia" w:ascii="仿宋" w:hAnsi="仿宋" w:eastAsia="仿宋" w:cs="仿宋"/>
                <w:sz w:val="24"/>
                <w:szCs w:val="24"/>
                <w:highlight w:val="none"/>
              </w:rPr>
            </w:r>
            <w:r/>
          </w:p>
        </w:tc>
        <w:tc>
          <w:tcPr>
            <w:tcW w:w="2513" w:type="dxa"/>
            <w:vAlign w:val="center"/>
            <w:textDirection w:val="lrTb"/>
            <w:noWrap w:val="false"/>
          </w:tcPr>
          <w:p>
            <w:pPr>
              <w:pStyle w:val="740"/>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工作方案符合业务要求、可行性高的得20分；较高的得15分；一般的得10分</w:t>
            </w:r>
            <w:r>
              <w:rPr>
                <w:rFonts w:hint="eastAsia" w:ascii="仿宋" w:hAnsi="仿宋" w:eastAsia="仿宋" w:cs="仿宋"/>
                <w:sz w:val="24"/>
                <w:szCs w:val="24"/>
                <w:highlight w:val="none"/>
                <w:lang w:eastAsia="en-US"/>
              </w:rPr>
            </w:r>
            <w:r/>
          </w:p>
        </w:tc>
        <w:tc>
          <w:tcPr>
            <w:tcW w:w="47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r>
        <w:trPr>
          <w:trHeight w:val="3070"/>
        </w:trPr>
        <w:tc>
          <w:tcPr>
            <w:tcW w:w="692" w:type="dxa"/>
            <w:vAlign w:val="center"/>
            <w:vMerge w:val="continue"/>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c>
          <w:tcPr>
            <w:tcW w:w="88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工作成果</w:t>
            </w:r>
            <w:r>
              <w:rPr>
                <w:rFonts w:hint="eastAsia" w:ascii="仿宋" w:hAnsi="仿宋" w:eastAsia="仿宋" w:cs="仿宋"/>
                <w:sz w:val="24"/>
                <w:szCs w:val="24"/>
                <w:highlight w:val="none"/>
                <w:lang w:eastAsia="en-US"/>
              </w:rPr>
            </w:r>
            <w:r/>
          </w:p>
        </w:tc>
        <w:tc>
          <w:tcPr>
            <w:tcW w:w="441" w:type="dxa"/>
            <w:vAlign w:val="center"/>
            <w:textDirection w:val="lrTb"/>
            <w:noWrap w:val="false"/>
          </w:tcPr>
          <w:p>
            <w:pPr>
              <w:pStyle w:val="74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40</w:t>
            </w:r>
            <w:r>
              <w:rPr>
                <w:rFonts w:hint="eastAsia" w:ascii="仿宋" w:hAnsi="仿宋" w:eastAsia="仿宋" w:cs="仿宋"/>
                <w:sz w:val="24"/>
                <w:szCs w:val="24"/>
                <w:highlight w:val="none"/>
              </w:rPr>
            </w:r>
            <w:r/>
          </w:p>
        </w:tc>
        <w:tc>
          <w:tcPr>
            <w:tcW w:w="2513" w:type="dxa"/>
            <w:vAlign w:val="center"/>
            <w:textDirection w:val="lrTb"/>
            <w:noWrap w:val="false"/>
          </w:tcPr>
          <w:p>
            <w:pPr>
              <w:pStyle w:val="740"/>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（1）工作结果以报告形式体现：①发现问题针对性强的得25分；较强的得20分；一般的得15分。②所提意见建议合理的得15分；比较合理的得12分；一般的得9分</w:t>
            </w:r>
            <w:r>
              <w:rPr>
                <w:rFonts w:hint="eastAsia" w:ascii="仿宋" w:hAnsi="仿宋" w:eastAsia="仿宋" w:cs="仿宋"/>
                <w:sz w:val="24"/>
                <w:szCs w:val="24"/>
                <w:highlight w:val="none"/>
                <w:lang w:eastAsia="en-US"/>
              </w:rPr>
            </w:r>
            <w:r/>
          </w:p>
          <w:p>
            <w:pPr>
              <w:pStyle w:val="740"/>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（2）工作结果以其他形式体现：符合委托方质量要求的得40分；较好的得32分；一般的得24分</w:t>
            </w:r>
            <w:r>
              <w:rPr>
                <w:rFonts w:hint="eastAsia" w:ascii="仿宋" w:hAnsi="仿宋" w:eastAsia="仿宋" w:cs="仿宋"/>
                <w:sz w:val="24"/>
                <w:szCs w:val="24"/>
                <w:highlight w:val="none"/>
                <w:lang w:eastAsia="en-US"/>
              </w:rPr>
            </w:r>
            <w:r/>
          </w:p>
        </w:tc>
        <w:tc>
          <w:tcPr>
            <w:tcW w:w="47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r>
        <w:trPr>
          <w:trHeight w:val="647"/>
        </w:trPr>
        <w:tc>
          <w:tcPr>
            <w:tcW w:w="692"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合计</w:t>
            </w:r>
            <w:r>
              <w:rPr>
                <w:rFonts w:hint="eastAsia" w:ascii="仿宋" w:hAnsi="仿宋" w:eastAsia="仿宋" w:cs="仿宋"/>
                <w:sz w:val="24"/>
                <w:szCs w:val="24"/>
                <w:highlight w:val="none"/>
                <w:lang w:eastAsia="en-US"/>
              </w:rPr>
            </w:r>
            <w:r/>
          </w:p>
        </w:tc>
        <w:tc>
          <w:tcPr>
            <w:tcW w:w="88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c>
          <w:tcPr>
            <w:tcW w:w="441" w:type="dxa"/>
            <w:vAlign w:val="center"/>
            <w:textDirection w:val="lrTb"/>
            <w:noWrap w:val="false"/>
          </w:tcPr>
          <w:p>
            <w:pPr>
              <w:pStyle w:val="74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100</w:t>
            </w:r>
            <w:r>
              <w:rPr>
                <w:rFonts w:hint="eastAsia" w:ascii="仿宋" w:hAnsi="仿宋" w:eastAsia="仿宋" w:cs="仿宋"/>
                <w:sz w:val="24"/>
                <w:szCs w:val="24"/>
                <w:highlight w:val="none"/>
              </w:rPr>
            </w:r>
            <w:r/>
          </w:p>
        </w:tc>
        <w:tc>
          <w:tcPr>
            <w:tcW w:w="2513"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c>
          <w:tcPr>
            <w:tcW w:w="47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bl>
    <w:p>
      <w:pPr>
        <w:pStyle w:val="740"/>
        <w:jc w:val="both"/>
        <w:spacing w:after="120"/>
        <w:widowControl w:val="off"/>
        <w:rPr>
          <w:rFonts w:hint="eastAsia" w:ascii="仿宋" w:hAnsi="仿宋" w:eastAsia="仿宋" w:cs="仿宋"/>
          <w:sz w:val="24"/>
          <w:szCs w:val="24"/>
          <w:highlight w:val="none"/>
        </w:rPr>
        <w:sectPr>
          <w:headerReference w:type="default" r:id="rId9"/>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sz w:val="24"/>
          <w:szCs w:val="24"/>
          <w:highlight w:val="none"/>
        </w:rPr>
      </w:r>
      <w:r/>
    </w:p>
    <w:p>
      <w:pPr>
        <w:pStyle w:val="740"/>
        <w:jc w:val="center"/>
        <w:spacing w:line="560" w:lineRule="exact"/>
        <w:rPr>
          <w:rFonts w:ascii="宋体" w:hAnsi="宋体" w:eastAsia="宋体" w:cs="Arial"/>
          <w:b/>
          <w:color w:val="000000"/>
          <w:spacing w:val="9"/>
          <w:sz w:val="28"/>
          <w:szCs w:val="28"/>
          <w:highlight w:val="none"/>
        </w:rPr>
      </w:pPr>
      <w:r>
        <w:rPr>
          <w:rFonts w:hint="eastAsia" w:ascii="宋体" w:hAnsi="宋体" w:eastAsia="宋体" w:cs="Arial"/>
          <w:b/>
          <w:color w:val="000000"/>
          <w:spacing w:val="9"/>
          <w:sz w:val="28"/>
          <w:szCs w:val="28"/>
          <w:highlight w:val="none"/>
        </w:rPr>
        <w:t xml:space="preserve">政府采购履约验收书格式</w:t>
      </w:r>
      <w:r>
        <w:rPr>
          <w:rFonts w:ascii="宋体" w:hAnsi="宋体" w:eastAsia="宋体" w:cs="Arial"/>
          <w:b/>
          <w:color w:val="000000"/>
          <w:spacing w:val="9"/>
          <w:sz w:val="28"/>
          <w:szCs w:val="28"/>
          <w:highlight w:val="none"/>
        </w:rPr>
      </w:r>
      <w:r/>
    </w:p>
    <w:tbl>
      <w:tblPr>
        <w:tblW w:w="15249"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940"/>
        <w:gridCol w:w="1920"/>
        <w:gridCol w:w="2140"/>
        <w:gridCol w:w="2169"/>
        <w:gridCol w:w="2030"/>
        <w:gridCol w:w="2270"/>
        <w:gridCol w:w="2780"/>
      </w:tblGrid>
      <w:tr>
        <w:trPr>
          <w:trHeight w:val="532"/>
        </w:trPr>
        <w:tc>
          <w:tcPr>
            <w:tcW w:w="194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采购人</w:t>
            </w:r>
            <w:r>
              <w:rPr>
                <w:rFonts w:ascii="宋体" w:hAnsi="宋体" w:eastAsia="宋体" w:cs="宋体"/>
                <w:szCs w:val="21"/>
                <w:highlight w:val="none"/>
                <w:lang w:bidi="ar"/>
              </w:rPr>
            </w:r>
            <w:r/>
          </w:p>
        </w:tc>
        <w:tc>
          <w:tcPr>
            <w:tcW w:w="192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W w:w="214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项目名称</w:t>
            </w:r>
            <w:r>
              <w:rPr>
                <w:rFonts w:ascii="宋体" w:hAnsi="宋体" w:eastAsia="宋体" w:cs="宋体"/>
                <w:szCs w:val="21"/>
                <w:highlight w:val="none"/>
                <w:lang w:bidi="ar"/>
              </w:rPr>
            </w:r>
            <w:r/>
          </w:p>
        </w:tc>
        <w:tc>
          <w:tcPr>
            <w:tcW w:w="2169"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gridSpan w:val="2"/>
            <w:tcW w:w="430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合同名称</w:t>
            </w:r>
            <w:r>
              <w:rPr>
                <w:rFonts w:ascii="宋体" w:hAnsi="宋体" w:eastAsia="宋体" w:cs="宋体"/>
                <w:szCs w:val="21"/>
                <w:highlight w:val="none"/>
                <w:lang w:bidi="ar"/>
              </w:rPr>
            </w:r>
            <w:r/>
          </w:p>
        </w:tc>
        <w:tc>
          <w:tcPr>
            <w:tcW w:w="2780" w:type="dxa"/>
            <w:vAlign w:val="center"/>
            <w:textDirection w:val="lrTb"/>
            <w:noWrap w:val="false"/>
          </w:tcPr>
          <w:p>
            <w:pPr>
              <w:pStyle w:val="740"/>
              <w:jc w:val="center"/>
              <w:spacing w:line="400" w:lineRule="exact"/>
              <w:rPr>
                <w:rFonts w:ascii="宋体" w:hAnsi="宋体" w:eastAsia="仿宋_GB2312" w:cs="宋体"/>
                <w:szCs w:val="21"/>
                <w:highlight w:val="none"/>
                <w:lang w:bidi="ar"/>
              </w:rPr>
            </w:pPr>
            <w:r>
              <w:rPr>
                <w:rFonts w:ascii="宋体" w:hAnsi="宋体" w:eastAsia="仿宋_GB2312" w:cs="宋体"/>
                <w:szCs w:val="21"/>
                <w:highlight w:val="none"/>
                <w:lang w:bidi="ar"/>
              </w:rPr>
            </w:r>
            <w:r/>
          </w:p>
        </w:tc>
      </w:tr>
      <w:tr>
        <w:trPr>
          <w:trHeight w:val="565"/>
        </w:trPr>
        <w:tc>
          <w:tcPr>
            <w:tcW w:w="194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供应商</w:t>
            </w:r>
            <w:r>
              <w:rPr>
                <w:rFonts w:ascii="宋体" w:hAnsi="宋体" w:eastAsia="宋体" w:cs="宋体"/>
                <w:szCs w:val="21"/>
                <w:highlight w:val="none"/>
                <w:lang w:bidi="ar"/>
              </w:rPr>
            </w:r>
            <w:r/>
          </w:p>
        </w:tc>
        <w:tc>
          <w:tcPr>
            <w:tcW w:w="192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W w:w="2140" w:type="dxa"/>
            <w:vAlign w:val="center"/>
            <w:textDirection w:val="lrTb"/>
            <w:noWrap w:val="false"/>
          </w:tcPr>
          <w:p>
            <w:pPr>
              <w:pStyle w:val="740"/>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项目及合</w:t>
            </w:r>
            <w:r>
              <w:rPr>
                <w:rFonts w:ascii="宋体" w:hAnsi="宋体" w:eastAsia="宋体" w:cs="宋体"/>
                <w:szCs w:val="21"/>
                <w:highlight w:val="none"/>
                <w:lang w:bidi="ar"/>
              </w:rPr>
            </w:r>
            <w:r/>
          </w:p>
          <w:p>
            <w:pPr>
              <w:pStyle w:val="740"/>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同编号</w:t>
            </w:r>
            <w:r>
              <w:rPr>
                <w:rFonts w:ascii="宋体" w:hAnsi="宋体" w:eastAsia="宋体" w:cs="宋体"/>
                <w:szCs w:val="21"/>
                <w:highlight w:val="none"/>
                <w:lang w:bidi="ar"/>
              </w:rPr>
            </w:r>
            <w:r/>
          </w:p>
        </w:tc>
        <w:tc>
          <w:tcPr>
            <w:tcW w:w="2169"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gridSpan w:val="2"/>
            <w:tcW w:w="430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合同金额</w:t>
            </w:r>
            <w:r>
              <w:rPr>
                <w:rFonts w:ascii="宋体" w:hAnsi="宋体" w:eastAsia="宋体" w:cs="宋体"/>
                <w:szCs w:val="21"/>
                <w:highlight w:val="none"/>
                <w:lang w:bidi="ar"/>
              </w:rPr>
            </w:r>
            <w:r/>
          </w:p>
        </w:tc>
        <w:tc>
          <w:tcPr>
            <w:tcW w:w="278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trHeight w:val="410"/>
        </w:trPr>
        <w:tc>
          <w:tcPr>
            <w:tcW w:w="1940" w:type="dxa"/>
            <w:vAlign w:val="center"/>
            <w:textDirection w:val="lrTb"/>
            <w:noWrap w:val="false"/>
          </w:tcPr>
          <w:p>
            <w:pPr>
              <w:pStyle w:val="740"/>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分期（段）验收</w:t>
            </w:r>
            <w:r>
              <w:rPr>
                <w:rFonts w:ascii="宋体" w:hAnsi="宋体" w:eastAsia="宋体" w:cs="宋体"/>
                <w:szCs w:val="21"/>
                <w:highlight w:val="none"/>
                <w:lang w:bidi="ar"/>
              </w:rPr>
            </w:r>
            <w:r/>
          </w:p>
        </w:tc>
        <w:tc>
          <w:tcPr>
            <w:tcW w:w="1920" w:type="dxa"/>
            <w:vAlign w:val="center"/>
            <w:textDirection w:val="lrTb"/>
            <w:noWrap w:val="false"/>
          </w:tcPr>
          <w:p>
            <w:pPr>
              <w:pStyle w:val="740"/>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是□  否</w:t>
            </w:r>
            <w:r>
              <w:rPr>
                <w:rFonts w:ascii="Wingdings 2" w:hAnsi="Wingdings 2" w:eastAsia="Wingdings 2" w:cs="Wingdings 2"/>
                <w:szCs w:val="21"/>
                <w:highlight w:val="none"/>
                <w:lang w:bidi="ar"/>
              </w:rPr>
              <w:t xml:space="preserve">£</w:t>
            </w:r>
            <w:r>
              <w:rPr>
                <w:rFonts w:ascii="宋体" w:hAnsi="宋体" w:eastAsia="宋体" w:cs="宋体"/>
                <w:szCs w:val="21"/>
                <w:highlight w:val="none"/>
                <w:lang w:bidi="ar"/>
              </w:rPr>
            </w:r>
            <w:r/>
          </w:p>
        </w:tc>
        <w:tc>
          <w:tcPr>
            <w:tcW w:w="2140" w:type="dxa"/>
            <w:vAlign w:val="center"/>
            <w:textDirection w:val="lrTb"/>
            <w:noWrap w:val="false"/>
          </w:tcPr>
          <w:p>
            <w:pPr>
              <w:pStyle w:val="740"/>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分期（段）情况</w:t>
            </w:r>
            <w:r>
              <w:rPr>
                <w:rFonts w:ascii="宋体" w:hAnsi="宋体" w:eastAsia="宋体" w:cs="宋体"/>
                <w:szCs w:val="21"/>
                <w:highlight w:val="none"/>
                <w:lang w:bidi="ar"/>
              </w:rPr>
            </w:r>
            <w:r/>
          </w:p>
        </w:tc>
        <w:tc>
          <w:tcPr>
            <w:gridSpan w:val="4"/>
            <w:tcW w:w="9249"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共分   期（段），此为第   期（段）验收</w:t>
            </w:r>
            <w:r>
              <w:rPr>
                <w:rFonts w:ascii="宋体" w:hAnsi="宋体" w:eastAsia="宋体" w:cs="宋体"/>
                <w:szCs w:val="21"/>
                <w:highlight w:val="none"/>
                <w:lang w:bidi="ar"/>
              </w:rPr>
            </w:r>
            <w:r/>
          </w:p>
        </w:tc>
      </w:tr>
      <w:tr>
        <w:trPr>
          <w:trHeight w:val="889"/>
        </w:trPr>
        <w:tc>
          <w:tcPr>
            <w:tcW w:w="194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验收时间</w:t>
            </w:r>
            <w:r>
              <w:rPr>
                <w:rFonts w:ascii="宋体" w:hAnsi="宋体" w:eastAsia="宋体" w:cs="宋体"/>
                <w:szCs w:val="21"/>
                <w:highlight w:val="none"/>
                <w:lang w:bidi="ar"/>
              </w:rPr>
            </w:r>
            <w:r/>
          </w:p>
        </w:tc>
        <w:tc>
          <w:tcPr>
            <w:tcW w:w="192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W w:w="214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验收地点</w:t>
            </w:r>
            <w:r>
              <w:rPr>
                <w:rFonts w:ascii="宋体" w:hAnsi="宋体" w:eastAsia="宋体" w:cs="宋体"/>
                <w:szCs w:val="21"/>
                <w:highlight w:val="none"/>
                <w:lang w:bidi="ar"/>
              </w:rPr>
            </w:r>
            <w:r/>
          </w:p>
        </w:tc>
        <w:tc>
          <w:tcPr>
            <w:tcW w:w="2169"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gridSpan w:val="2"/>
            <w:tcW w:w="430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验收组织形式</w:t>
            </w:r>
            <w:r>
              <w:rPr>
                <w:rFonts w:ascii="宋体" w:hAnsi="宋体" w:eastAsia="宋体" w:cs="宋体"/>
                <w:szCs w:val="21"/>
                <w:highlight w:val="none"/>
                <w:lang w:bidi="ar"/>
              </w:rPr>
            </w:r>
            <w:r/>
          </w:p>
        </w:tc>
        <w:tc>
          <w:tcPr>
            <w:tcW w:w="2780" w:type="dxa"/>
            <w:vAlign w:val="center"/>
            <w:textDirection w:val="lrTb"/>
            <w:noWrap w:val="false"/>
          </w:tcPr>
          <w:p>
            <w:pPr>
              <w:pStyle w:val="740"/>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□自行简易验收</w:t>
            </w:r>
            <w:r>
              <w:rPr>
                <w:rFonts w:ascii="宋体" w:hAnsi="宋体" w:eastAsia="宋体" w:cs="宋体"/>
                <w:szCs w:val="21"/>
                <w:highlight w:val="none"/>
                <w:lang w:bidi="ar"/>
              </w:rPr>
            </w:r>
            <w:r/>
          </w:p>
          <w:p>
            <w:pPr>
              <w:pStyle w:val="740"/>
              <w:spacing w:line="400" w:lineRule="exact"/>
              <w:rPr>
                <w:rFonts w:ascii="宋体" w:hAnsi="宋体" w:eastAsia="宋体" w:cs="宋体"/>
                <w:szCs w:val="21"/>
                <w:highlight w:val="none"/>
                <w:lang w:bidi="ar"/>
              </w:rPr>
            </w:pPr>
            <w:r>
              <w:rPr>
                <w:rFonts w:ascii="Wingdings 2" w:hAnsi="Wingdings 2" w:eastAsia="Wingdings 2" w:cs="Wingdings 2"/>
                <w:szCs w:val="21"/>
                <w:highlight w:val="none"/>
                <w:lang w:bidi="ar"/>
              </w:rPr>
              <w:t xml:space="preserve">£</w:t>
            </w:r>
            <w:r>
              <w:rPr>
                <w:rFonts w:hint="eastAsia" w:ascii="宋体" w:hAnsi="宋体" w:eastAsia="宋体" w:cs="宋体"/>
                <w:szCs w:val="21"/>
                <w:highlight w:val="none"/>
                <w:lang w:bidi="ar"/>
              </w:rPr>
              <w:t xml:space="preserve">验收小组验收</w:t>
            </w:r>
            <w:r>
              <w:rPr>
                <w:rFonts w:ascii="宋体" w:hAnsi="宋体" w:eastAsia="宋体" w:cs="宋体"/>
                <w:szCs w:val="21"/>
                <w:highlight w:val="none"/>
                <w:lang w:bidi="ar"/>
              </w:rPr>
            </w:r>
            <w:r/>
          </w:p>
          <w:p>
            <w:pPr>
              <w:pStyle w:val="740"/>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□采购代理机构验收</w:t>
            </w:r>
            <w:r>
              <w:rPr>
                <w:rFonts w:ascii="宋体" w:hAnsi="宋体" w:eastAsia="宋体" w:cs="宋体"/>
                <w:szCs w:val="21"/>
                <w:highlight w:val="none"/>
                <w:lang w:bidi="ar"/>
              </w:rPr>
            </w:r>
            <w:r/>
          </w:p>
        </w:tc>
      </w:tr>
      <w:tr>
        <w:trPr>
          <w:trHeight w:val="395"/>
        </w:trPr>
        <w:tc>
          <w:tcPr>
            <w:tcW w:w="1940" w:type="dxa"/>
            <w:vAlign w:val="center"/>
            <w:vMerge w:val="restart"/>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验收内容</w:t>
            </w:r>
            <w:r>
              <w:rPr>
                <w:rFonts w:ascii="宋体" w:hAnsi="宋体" w:eastAsia="宋体" w:cs="宋体"/>
                <w:szCs w:val="21"/>
                <w:highlight w:val="none"/>
                <w:lang w:bidi="ar"/>
              </w:rPr>
            </w:r>
            <w:r/>
          </w:p>
        </w:tc>
        <w:tc>
          <w:tcPr>
            <w:tcW w:w="1920" w:type="dxa"/>
            <w:vAlign w:val="center"/>
            <w:textDirection w:val="lrTb"/>
            <w:noWrap w:val="false"/>
          </w:tcPr>
          <w:p>
            <w:pPr>
              <w:pStyle w:val="740"/>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服务质量</w:t>
            </w:r>
            <w:r>
              <w:rPr>
                <w:rFonts w:ascii="宋体" w:hAnsi="宋体" w:eastAsia="宋体" w:cs="宋体"/>
                <w:szCs w:val="21"/>
                <w:highlight w:val="none"/>
                <w:lang w:bidi="ar"/>
              </w:rPr>
            </w:r>
            <w:r/>
          </w:p>
        </w:tc>
        <w:tc>
          <w:tcPr>
            <w:tcW w:w="2140" w:type="dxa"/>
            <w:vAlign w:val="center"/>
            <w:textDirection w:val="lrTb"/>
            <w:noWrap w:val="false"/>
          </w:tcPr>
          <w:p>
            <w:pPr>
              <w:pStyle w:val="740"/>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服务进度</w:t>
            </w:r>
            <w:r>
              <w:rPr>
                <w:rFonts w:ascii="宋体" w:hAnsi="宋体" w:eastAsia="宋体" w:cs="宋体"/>
                <w:szCs w:val="21"/>
                <w:highlight w:val="none"/>
                <w:lang w:bidi="ar"/>
              </w:rPr>
            </w:r>
            <w:r/>
          </w:p>
        </w:tc>
        <w:tc>
          <w:tcPr>
            <w:tcW w:w="2169" w:type="dxa"/>
            <w:vAlign w:val="center"/>
            <w:textDirection w:val="lrTb"/>
            <w:noWrap w:val="false"/>
          </w:tcPr>
          <w:p>
            <w:pPr>
              <w:pStyle w:val="740"/>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人员、设备配备情况</w:t>
            </w:r>
            <w:r>
              <w:rPr>
                <w:rFonts w:ascii="宋体" w:hAnsi="宋体" w:eastAsia="宋体" w:cs="宋体"/>
                <w:szCs w:val="21"/>
                <w:highlight w:val="none"/>
                <w:lang w:bidi="ar"/>
              </w:rPr>
            </w:r>
            <w:r/>
          </w:p>
        </w:tc>
        <w:tc>
          <w:tcPr>
            <w:tcW w:w="2030" w:type="dxa"/>
            <w:vAlign w:val="center"/>
            <w:textDirection w:val="lrTb"/>
            <w:noWrap w:val="false"/>
          </w:tcPr>
          <w:p>
            <w:pPr>
              <w:pStyle w:val="740"/>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行业、安全标准</w:t>
            </w:r>
            <w:r>
              <w:rPr>
                <w:rFonts w:ascii="宋体" w:hAnsi="宋体" w:eastAsia="宋体" w:cs="宋体"/>
                <w:szCs w:val="21"/>
                <w:highlight w:val="none"/>
                <w:lang w:bidi="ar"/>
              </w:rPr>
            </w:r>
            <w:r/>
          </w:p>
        </w:tc>
        <w:tc>
          <w:tcPr>
            <w:tcW w:w="2270" w:type="dxa"/>
            <w:vAlign w:val="center"/>
            <w:textDirection w:val="lrTb"/>
            <w:noWrap w:val="false"/>
          </w:tcPr>
          <w:p>
            <w:pPr>
              <w:pStyle w:val="740"/>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项目需求、服务承诺</w:t>
            </w:r>
            <w:r>
              <w:rPr>
                <w:rFonts w:ascii="宋体" w:hAnsi="宋体" w:eastAsia="宋体" w:cs="宋体"/>
                <w:szCs w:val="21"/>
                <w:highlight w:val="none"/>
                <w:lang w:bidi="ar"/>
              </w:rPr>
            </w:r>
            <w:r/>
          </w:p>
        </w:tc>
        <w:tc>
          <w:tcPr>
            <w:tcW w:w="2780" w:type="dxa"/>
            <w:vAlign w:val="center"/>
            <w:textDirection w:val="lrTb"/>
            <w:noWrap w:val="false"/>
          </w:tcPr>
          <w:p>
            <w:pPr>
              <w:pStyle w:val="740"/>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合同履约时间、地点、方式</w:t>
            </w:r>
            <w:r>
              <w:rPr>
                <w:rFonts w:ascii="宋体" w:hAnsi="宋体" w:eastAsia="宋体" w:cs="宋体"/>
                <w:szCs w:val="21"/>
                <w:highlight w:val="none"/>
                <w:lang w:bidi="ar"/>
              </w:rPr>
            </w:r>
            <w:r/>
          </w:p>
        </w:tc>
      </w:tr>
      <w:tr>
        <w:trPr>
          <w:trHeight w:val="1055"/>
        </w:trPr>
        <w:tc>
          <w:tcPr>
            <w:tcW w:w="1940" w:type="dxa"/>
            <w:vAlign w:val="center"/>
            <w:vMerge w:val="continue"/>
            <w:textDirection w:val="lrTb"/>
            <w:noWrap w:val="false"/>
          </w:tcPr>
          <w:p>
            <w:pPr>
              <w:pStyle w:val="740"/>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W w:w="192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w:t>
            </w:r>
            <w:r>
              <w:rPr>
                <w:rFonts w:ascii="Wingdings 2" w:hAnsi="Wingdings 2" w:eastAsia="Wingdings 2" w:cs="Wingdings 2"/>
                <w:szCs w:val="21"/>
                <w:highlight w:val="none"/>
                <w:lang w:bidi="ar"/>
              </w:rPr>
              <w:t xml:space="preserve">£</w:t>
            </w:r>
            <w:r>
              <w:rPr>
                <w:rFonts w:ascii="宋体" w:hAnsi="宋体" w:eastAsia="宋体" w:cs="宋体"/>
                <w:szCs w:val="21"/>
                <w:highlight w:val="none"/>
                <w:lang w:bidi="ar"/>
              </w:rPr>
            </w:r>
            <w:r/>
          </w:p>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rPr>
                <w:rFonts w:ascii="宋体" w:hAnsi="宋体" w:eastAsia="宋体" w:cs="宋体"/>
                <w:szCs w:val="21"/>
                <w:highlight w:val="none"/>
                <w:lang w:bidi="ar"/>
              </w:rPr>
            </w:r>
            <w:r/>
          </w:p>
        </w:tc>
        <w:tc>
          <w:tcPr>
            <w:tcW w:w="214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按  时</w:t>
            </w:r>
            <w:r>
              <w:rPr>
                <w:rFonts w:ascii="Wingdings 2" w:hAnsi="Wingdings 2" w:eastAsia="Wingdings 2" w:cs="Wingdings 2"/>
                <w:szCs w:val="21"/>
                <w:highlight w:val="none"/>
                <w:lang w:bidi="ar"/>
              </w:rPr>
              <w:t xml:space="preserve">£</w:t>
            </w:r>
            <w:r>
              <w:rPr>
                <w:rFonts w:ascii="宋体" w:hAnsi="宋体" w:eastAsia="宋体" w:cs="宋体"/>
                <w:szCs w:val="21"/>
                <w:highlight w:val="none"/>
                <w:lang w:bidi="ar"/>
              </w:rPr>
            </w:r>
            <w:r/>
          </w:p>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不按时□</w:t>
            </w:r>
            <w:r>
              <w:rPr>
                <w:rFonts w:ascii="宋体" w:hAnsi="宋体" w:eastAsia="宋体" w:cs="宋体"/>
                <w:szCs w:val="21"/>
                <w:highlight w:val="none"/>
                <w:lang w:bidi="ar"/>
              </w:rPr>
            </w:r>
            <w:r/>
          </w:p>
        </w:tc>
        <w:tc>
          <w:tcPr>
            <w:tcW w:w="2169"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w:t>
            </w:r>
            <w:r>
              <w:rPr>
                <w:rFonts w:ascii="Wingdings 2" w:hAnsi="Wingdings 2" w:eastAsia="Wingdings 2" w:cs="Wingdings 2"/>
                <w:szCs w:val="21"/>
                <w:highlight w:val="none"/>
                <w:lang w:bidi="ar"/>
              </w:rPr>
              <w:t xml:space="preserve">£</w:t>
            </w:r>
            <w:r>
              <w:rPr>
                <w:rFonts w:ascii="宋体" w:hAnsi="宋体" w:eastAsia="宋体" w:cs="宋体"/>
                <w:szCs w:val="21"/>
                <w:highlight w:val="none"/>
                <w:lang w:bidi="ar"/>
              </w:rPr>
            </w:r>
            <w:r/>
          </w:p>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rPr>
                <w:rFonts w:ascii="宋体" w:hAnsi="宋体" w:eastAsia="宋体" w:cs="宋体"/>
                <w:szCs w:val="21"/>
                <w:highlight w:val="none"/>
                <w:lang w:bidi="ar"/>
              </w:rPr>
            </w:r>
            <w:r/>
          </w:p>
        </w:tc>
        <w:tc>
          <w:tcPr>
            <w:tcW w:w="203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w:t>
            </w:r>
            <w:r>
              <w:rPr>
                <w:rFonts w:ascii="Wingdings 2" w:hAnsi="Wingdings 2" w:eastAsia="Wingdings 2" w:cs="Wingdings 2"/>
                <w:szCs w:val="21"/>
                <w:highlight w:val="none"/>
                <w:lang w:bidi="ar"/>
              </w:rPr>
              <w:t xml:space="preserve">£</w:t>
            </w:r>
            <w:r>
              <w:rPr>
                <w:rFonts w:ascii="宋体" w:hAnsi="宋体" w:eastAsia="宋体" w:cs="宋体"/>
                <w:szCs w:val="21"/>
                <w:highlight w:val="none"/>
                <w:lang w:bidi="ar"/>
              </w:rPr>
            </w:r>
            <w:r/>
          </w:p>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rPr>
                <w:rFonts w:ascii="宋体" w:hAnsi="宋体" w:eastAsia="宋体" w:cs="宋体"/>
                <w:szCs w:val="21"/>
                <w:highlight w:val="none"/>
                <w:lang w:bidi="ar"/>
              </w:rPr>
            </w:r>
            <w:r/>
          </w:p>
        </w:tc>
        <w:tc>
          <w:tcPr>
            <w:tcW w:w="227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w:t>
            </w:r>
            <w:r>
              <w:rPr>
                <w:rFonts w:ascii="Wingdings 2" w:hAnsi="Wingdings 2" w:eastAsia="Wingdings 2" w:cs="Wingdings 2"/>
                <w:szCs w:val="21"/>
                <w:highlight w:val="none"/>
                <w:lang w:bidi="ar"/>
              </w:rPr>
              <w:t xml:space="preserve">£</w:t>
            </w:r>
            <w:r>
              <w:rPr>
                <w:rFonts w:ascii="宋体" w:hAnsi="宋体" w:eastAsia="宋体" w:cs="宋体"/>
                <w:szCs w:val="21"/>
                <w:highlight w:val="none"/>
                <w:lang w:bidi="ar"/>
              </w:rPr>
            </w:r>
            <w:r/>
          </w:p>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rPr>
                <w:rFonts w:ascii="宋体" w:hAnsi="宋体" w:eastAsia="宋体" w:cs="宋体"/>
                <w:szCs w:val="21"/>
                <w:highlight w:val="none"/>
                <w:lang w:bidi="ar"/>
              </w:rPr>
            </w:r>
            <w:r/>
          </w:p>
        </w:tc>
        <w:tc>
          <w:tcPr>
            <w:tcW w:w="278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w:t>
            </w:r>
            <w:r>
              <w:rPr>
                <w:rFonts w:ascii="Wingdings 2" w:hAnsi="Wingdings 2" w:eastAsia="Wingdings 2" w:cs="Wingdings 2"/>
                <w:szCs w:val="21"/>
                <w:highlight w:val="none"/>
                <w:lang w:bidi="ar"/>
              </w:rPr>
              <w:t xml:space="preserve">£</w:t>
            </w:r>
            <w:r>
              <w:rPr>
                <w:rFonts w:ascii="宋体" w:hAnsi="宋体" w:eastAsia="宋体" w:cs="宋体"/>
                <w:szCs w:val="21"/>
                <w:highlight w:val="none"/>
                <w:lang w:bidi="ar"/>
              </w:rPr>
            </w:r>
            <w:r/>
          </w:p>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rPr>
                <w:rFonts w:ascii="宋体" w:hAnsi="宋体" w:eastAsia="宋体" w:cs="宋体"/>
                <w:szCs w:val="21"/>
                <w:highlight w:val="none"/>
                <w:lang w:bidi="ar"/>
              </w:rPr>
            </w:r>
            <w:r/>
          </w:p>
        </w:tc>
      </w:tr>
      <w:tr>
        <w:trPr>
          <w:trHeight w:val="1017"/>
        </w:trPr>
        <w:tc>
          <w:tcPr>
            <w:tcW w:w="194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专业检测机构情况说明</w:t>
            </w:r>
            <w:r>
              <w:rPr>
                <w:rFonts w:ascii="宋体" w:hAnsi="宋体" w:eastAsia="宋体" w:cs="宋体"/>
                <w:szCs w:val="21"/>
                <w:highlight w:val="none"/>
                <w:lang w:bidi="ar"/>
              </w:rPr>
            </w:r>
            <w:r/>
          </w:p>
        </w:tc>
        <w:tc>
          <w:tcPr>
            <w:gridSpan w:val="6"/>
            <w:tcW w:w="13309"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trHeight w:val="1017"/>
        </w:trPr>
        <w:tc>
          <w:tcPr>
            <w:tcW w:w="194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存在问题</w:t>
            </w:r>
            <w:r>
              <w:rPr>
                <w:rFonts w:ascii="宋体" w:hAnsi="宋体" w:eastAsia="宋体" w:cs="宋体"/>
                <w:szCs w:val="21"/>
                <w:highlight w:val="none"/>
                <w:lang w:bidi="ar"/>
              </w:rPr>
            </w:r>
            <w:r/>
          </w:p>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和改进意见</w:t>
            </w:r>
            <w:r>
              <w:rPr>
                <w:rFonts w:ascii="宋体" w:hAnsi="宋体" w:eastAsia="宋体" w:cs="宋体"/>
                <w:szCs w:val="21"/>
                <w:highlight w:val="none"/>
                <w:lang w:bidi="ar"/>
              </w:rPr>
            </w:r>
            <w:r/>
          </w:p>
        </w:tc>
        <w:tc>
          <w:tcPr>
            <w:gridSpan w:val="6"/>
            <w:tcW w:w="13309" w:type="dxa"/>
            <w:vAlign w:val="center"/>
            <w:textDirection w:val="lrTb"/>
            <w:noWrap w:val="false"/>
          </w:tcPr>
          <w:p>
            <w:pPr>
              <w:pStyle w:val="740"/>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trHeight w:val="686"/>
        </w:trPr>
        <w:tc>
          <w:tcPr>
            <w:tcW w:w="194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最终结论</w:t>
            </w:r>
            <w:r>
              <w:rPr>
                <w:rFonts w:ascii="宋体" w:hAnsi="宋体" w:eastAsia="宋体" w:cs="宋体"/>
                <w:szCs w:val="21"/>
                <w:highlight w:val="none"/>
                <w:lang w:bidi="ar"/>
              </w:rPr>
            </w:r>
            <w:r/>
          </w:p>
        </w:tc>
        <w:tc>
          <w:tcPr>
            <w:gridSpan w:val="6"/>
            <w:tcW w:w="13309"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w:t>
            </w:r>
            <w:r>
              <w:rPr>
                <w:rFonts w:ascii="Wingdings 2" w:hAnsi="Wingdings 2" w:eastAsia="Wingdings 2" w:cs="Wingdings 2"/>
                <w:szCs w:val="21"/>
                <w:highlight w:val="none"/>
                <w:lang w:bidi="ar"/>
              </w:rPr>
              <w:t xml:space="preserve">£</w:t>
            </w:r>
            <w:r>
              <w:rPr>
                <w:rFonts w:hint="eastAsia" w:ascii="宋体" w:hAnsi="宋体" w:eastAsia="宋体" w:cs="宋体"/>
                <w:szCs w:val="21"/>
                <w:highlight w:val="none"/>
                <w:lang w:bidi="ar"/>
              </w:rPr>
              <w:t xml:space="preserve">                              不合格□</w:t>
            </w:r>
            <w:r>
              <w:rPr>
                <w:rFonts w:ascii="宋体" w:hAnsi="宋体" w:eastAsia="宋体" w:cs="宋体"/>
                <w:szCs w:val="21"/>
                <w:highlight w:val="none"/>
                <w:lang w:bidi="ar"/>
              </w:rPr>
            </w:r>
            <w:r/>
          </w:p>
        </w:tc>
      </w:tr>
      <w:tr>
        <w:trPr>
          <w:trHeight w:val="565"/>
        </w:trPr>
        <w:tc>
          <w:tcPr>
            <w:tcW w:w="194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验收小组成员签字</w:t>
            </w:r>
            <w:r>
              <w:rPr>
                <w:rFonts w:ascii="宋体" w:hAnsi="宋体" w:eastAsia="宋体" w:cs="宋体"/>
                <w:szCs w:val="21"/>
                <w:highlight w:val="none"/>
                <w:lang w:bidi="ar"/>
              </w:rPr>
            </w:r>
            <w:r/>
          </w:p>
        </w:tc>
        <w:tc>
          <w:tcPr>
            <w:gridSpan w:val="6"/>
            <w:tcW w:w="13309"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trHeight w:val="519"/>
        </w:trPr>
        <w:tc>
          <w:tcPr>
            <w:gridSpan w:val="4"/>
            <w:tcW w:w="8169"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采购代理机构意见</w:t>
            </w:r>
            <w:r>
              <w:rPr>
                <w:rFonts w:ascii="宋体" w:hAnsi="宋体" w:eastAsia="宋体" w:cs="宋体"/>
                <w:szCs w:val="21"/>
                <w:highlight w:val="none"/>
                <w:lang w:bidi="ar"/>
              </w:rPr>
            </w:r>
            <w:r/>
          </w:p>
        </w:tc>
        <w:tc>
          <w:tcPr>
            <w:gridSpan w:val="3"/>
            <w:tcW w:w="708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采购人意见</w:t>
            </w:r>
            <w:r>
              <w:rPr>
                <w:rFonts w:ascii="宋体" w:hAnsi="宋体" w:eastAsia="宋体" w:cs="宋体"/>
                <w:szCs w:val="21"/>
                <w:highlight w:val="none"/>
                <w:lang w:bidi="ar"/>
              </w:rPr>
            </w:r>
            <w:r/>
          </w:p>
        </w:tc>
      </w:tr>
      <w:tr>
        <w:trPr>
          <w:trHeight w:val="886"/>
        </w:trPr>
        <w:tc>
          <w:tcPr>
            <w:gridSpan w:val="4"/>
            <w:tcW w:w="8169" w:type="dxa"/>
            <w:vAlign w:val="top"/>
            <w:textDirection w:val="lrTb"/>
            <w:noWrap w:val="false"/>
          </w:tcPr>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经办人：       负责人：    （采购代理机构公章）</w:t>
            </w:r>
            <w:r>
              <w:rPr>
                <w:rFonts w:ascii="宋体" w:hAnsi="宋体" w:eastAsia="宋体" w:cs="宋体"/>
                <w:szCs w:val="21"/>
                <w:highlight w:val="none"/>
                <w:lang w:bidi="ar"/>
              </w:rPr>
            </w:r>
            <w:r/>
          </w:p>
        </w:tc>
        <w:tc>
          <w:tcPr>
            <w:gridSpan w:val="3"/>
            <w:tcW w:w="7080" w:type="dxa"/>
            <w:vAlign w:val="top"/>
            <w:textDirection w:val="lrTb"/>
            <w:noWrap w:val="false"/>
          </w:tcPr>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经办人：        负责人：       （采购人公章）</w:t>
            </w:r>
            <w:r>
              <w:rPr>
                <w:rFonts w:ascii="宋体" w:hAnsi="宋体" w:eastAsia="宋体" w:cs="宋体"/>
                <w:szCs w:val="21"/>
                <w:highlight w:val="none"/>
                <w:lang w:bidi="ar"/>
              </w:rPr>
            </w:r>
            <w:r/>
          </w:p>
        </w:tc>
      </w:tr>
      <w:tr>
        <w:trPr/>
        <w:tc>
          <w:tcPr>
            <w:gridSpan w:val="7"/>
            <w:tcW w:w="15249" w:type="dxa"/>
            <w:vAlign w:val="top"/>
            <w:textDirection w:val="lrTb"/>
            <w:noWrap w:val="false"/>
          </w:tcPr>
          <w:p>
            <w:pPr>
              <w:pStyle w:val="740"/>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供应商确认：</w:t>
            </w: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（单位公章或授权代表签字）</w:t>
            </w:r>
            <w:r>
              <w:rPr>
                <w:rFonts w:ascii="宋体" w:hAnsi="宋体" w:eastAsia="宋体" w:cs="宋体"/>
                <w:szCs w:val="21"/>
                <w:highlight w:val="none"/>
                <w:lang w:bidi="ar"/>
              </w:rPr>
            </w:r>
            <w:r/>
          </w:p>
        </w:tc>
      </w:tr>
    </w:tbl>
    <w:p>
      <w:pPr>
        <w:pStyle w:val="740"/>
        <w:rPr>
          <w:rFonts w:ascii="Calibri" w:hAnsi="Calibri" w:eastAsia="宋体" w:cs="Times New Roman"/>
          <w:szCs w:val="24"/>
          <w:highlight w:val="none"/>
        </w:rPr>
      </w:pPr>
      <w:r>
        <w:rPr>
          <w:rFonts w:ascii="Calibri" w:hAnsi="Calibri" w:eastAsia="宋体" w:cs="Times New Roman"/>
          <w:szCs w:val="24"/>
          <w:highlight w:val="none"/>
        </w:rPr>
      </w:r>
      <w:r/>
    </w:p>
    <w:p>
      <w:pPr>
        <w:pStyle w:val="740"/>
        <w:ind w:firstLine="420"/>
        <w:spacing w:line="400" w:lineRule="atLeast"/>
        <w:rPr>
          <w:rFonts w:cs="宋体"/>
          <w:highlight w:val="none"/>
        </w:rPr>
        <w:sectPr>
          <w:footnotePr/>
          <w:endnotePr/>
          <w:type w:val="nextPage"/>
          <w:pgSz w:w="16838" w:h="11906" w:orient="landscape"/>
          <w:pgMar w:top="1800" w:right="1440" w:bottom="1800" w:left="1440" w:header="851" w:footer="992" w:gutter="0"/>
          <w:cols w:num="1" w:sep="0" w:space="1701" w:equalWidth="1"/>
          <w:docGrid w:linePitch="360"/>
        </w:sectPr>
      </w:pPr>
      <w:r>
        <w:rPr>
          <w:rFonts w:cs="宋体"/>
          <w:highlight w:val="none"/>
        </w:rPr>
      </w:r>
      <w:r/>
    </w:p>
    <w:p>
      <w:pPr>
        <w:pStyle w:val="740"/>
        <w:ind w:firstLine="883"/>
        <w:jc w:val="center"/>
        <w:spacing w:line="360" w:lineRule="auto"/>
        <w:rPr>
          <w:rFonts w:hint="eastAsia" w:ascii="Times New Roman" w:hAnsi="Times New Roman" w:eastAsia="宋体" w:cs="Times New Roman"/>
          <w:b/>
          <w:color w:val="000000"/>
          <w:sz w:val="44"/>
          <w:szCs w:val="44"/>
          <w:highlight w:val="none"/>
        </w:rPr>
        <w:outlineLvl w:val="0"/>
      </w:pPr>
      <w:r/>
      <w:bookmarkStart w:id="47" w:name="_Toc29577"/>
      <w:r>
        <w:rPr>
          <w:rFonts w:hint="eastAsia" w:ascii="Times New Roman" w:hAnsi="Times New Roman" w:eastAsia="宋体" w:cs="Times New Roman"/>
          <w:b/>
          <w:color w:val="000000"/>
          <w:sz w:val="44"/>
          <w:szCs w:val="44"/>
          <w:highlight w:val="none"/>
        </w:rPr>
        <w:t xml:space="preserve">第六章 评标办法与评分标准</w:t>
      </w:r>
      <w:bookmarkEnd w:id="47"/>
      <w:r/>
      <w:bookmarkStart w:id="48" w:name="_Toc142194274"/>
      <w:r>
        <w:rPr>
          <w:rFonts w:hint="eastAsia" w:ascii="Times New Roman" w:hAnsi="Times New Roman" w:eastAsia="宋体" w:cs="Times New Roman"/>
          <w:b/>
          <w:color w:val="000000"/>
          <w:sz w:val="44"/>
          <w:szCs w:val="44"/>
          <w:highlight w:val="none"/>
        </w:rPr>
      </w:r>
      <w:r/>
    </w:p>
    <w:p>
      <w:pPr>
        <w:pStyle w:val="740"/>
        <w:spacing w:line="360" w:lineRule="auto"/>
        <w:rPr>
          <w:rFonts w:hint="eastAsia" w:ascii="仿宋" w:hAnsi="仿宋" w:eastAsia="仿宋" w:cs="仿宋"/>
          <w:b/>
          <w:sz w:val="24"/>
          <w:szCs w:val="24"/>
          <w:highlight w:val="none"/>
        </w:rPr>
      </w:pPr>
      <w:r/>
      <w:bookmarkEnd w:id="48"/>
      <w:r>
        <w:rPr>
          <w:rFonts w:hint="eastAsia" w:ascii="仿宋" w:hAnsi="仿宋" w:eastAsia="仿宋" w:cs="仿宋"/>
          <w:b/>
          <w:sz w:val="24"/>
          <w:szCs w:val="24"/>
          <w:highlight w:val="none"/>
        </w:rPr>
      </w:r>
      <w:r/>
    </w:p>
    <w:p>
      <w:pPr>
        <w:pStyle w:val="74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一、成交原则</w:t>
      </w:r>
      <w:r>
        <w:rPr>
          <w:rFonts w:hint="eastAsia" w:ascii="仿宋" w:hAnsi="仿宋" w:eastAsia="仿宋" w:cs="仿宋"/>
          <w:b/>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2、评审时，磋商小组各成员应当按照采购文件规定的评分标准独立对每个供应商的响应文件进行评价，并汇总每个供应商的得分。对评委的评分(除价格分外)进行统计汇总，直接算术平均，计算出每个</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的得分，加上价格得分即为每个供应商的综合得分。</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3、如出现评审总得分最高的磋商供应商有两个或两个以上的，以磋商报价较低者优先作为成交供应商，如果磋商报价也相同的，则由磋商小组组织以抽签方式确定成交候选人。</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4、本项目专门面向中小企业采购，小微企业、残疾人福利企业、监狱企业不再享受价格评审优惠政策。</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5、响应单位已成交</w:t>
      </w:r>
      <w:r>
        <w:rPr>
          <w:rFonts w:hint="eastAsia" w:ascii="仿宋" w:hAnsi="仿宋" w:eastAsia="仿宋" w:cs="仿宋"/>
          <w:sz w:val="24"/>
          <w:szCs w:val="24"/>
          <w:highlight w:val="none"/>
          <w:lang w:val="en-US" w:eastAsia="zh-CN"/>
        </w:rPr>
        <w:t xml:space="preserve">原</w:t>
      </w:r>
      <w:r>
        <w:rPr>
          <w:rFonts w:hint="eastAsia" w:ascii="仿宋" w:hAnsi="仿宋" w:eastAsia="仿宋" w:cs="仿宋"/>
          <w:sz w:val="24"/>
          <w:szCs w:val="24"/>
          <w:highlight w:val="none"/>
          <w:lang w:eastAsia="zh-CN"/>
        </w:rPr>
        <w:t xml:space="preserve">2026年太仓市市级财政支出项目等绩效评价管理及监督协审服务</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项目编号：</w:t>
      </w:r>
      <w:r>
        <w:rPr>
          <w:rFonts w:hint="eastAsia" w:ascii="仿宋" w:hAnsi="仿宋" w:eastAsia="仿宋" w:cs="仿宋"/>
          <w:color w:val="000000"/>
          <w:sz w:val="24"/>
          <w:highlight w:val="none"/>
          <w:lang w:eastAsia="zh-CN"/>
        </w:rPr>
        <w:t xml:space="preserve">JSZC-320585-SZHZ-C2026-000</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lang w:eastAsia="zh-CN"/>
        </w:rPr>
        <w:t xml:space="preserve">）采购包</w:t>
      </w:r>
      <w:r>
        <w:rPr>
          <w:rFonts w:hint="eastAsia" w:ascii="仿宋" w:hAnsi="仿宋" w:eastAsia="仿宋" w:cs="仿宋"/>
          <w:color w:val="000000"/>
          <w:sz w:val="24"/>
          <w:highlight w:val="none"/>
          <w:lang w:val="en-US" w:eastAsia="zh-CN"/>
        </w:rPr>
        <w:t xml:space="preserve">2至采购包4的</w:t>
      </w:r>
      <w:r>
        <w:rPr>
          <w:rFonts w:hint="eastAsia" w:ascii="仿宋" w:hAnsi="仿宋" w:eastAsia="仿宋" w:cs="仿宋"/>
          <w:color w:val="000000"/>
          <w:sz w:val="24"/>
          <w:highlight w:val="none"/>
        </w:rPr>
        <w:t xml:space="preserve">，则不进入</w:t>
      </w:r>
      <w:r>
        <w:rPr>
          <w:rFonts w:hint="eastAsia" w:ascii="仿宋" w:hAnsi="仿宋" w:eastAsia="仿宋" w:cs="仿宋"/>
          <w:color w:val="000000"/>
          <w:sz w:val="24"/>
          <w:highlight w:val="none"/>
          <w:lang w:val="en-US" w:eastAsia="zh-CN"/>
        </w:rPr>
        <w:t xml:space="preserve">本项目</w:t>
      </w:r>
      <w:r>
        <w:rPr>
          <w:rFonts w:hint="eastAsia" w:ascii="仿宋" w:hAnsi="仿宋" w:eastAsia="仿宋" w:cs="仿宋"/>
          <w:color w:val="000000"/>
          <w:sz w:val="24"/>
          <w:highlight w:val="none"/>
        </w:rPr>
        <w:t xml:space="preserve">评审。</w:t>
      </w:r>
      <w:r>
        <w:rPr>
          <w:rFonts w:hint="eastAsia" w:ascii="仿宋" w:hAnsi="仿宋" w:eastAsia="仿宋" w:cs="仿宋"/>
          <w:sz w:val="24"/>
          <w:szCs w:val="24"/>
          <w:highlight w:val="none"/>
        </w:rPr>
      </w:r>
      <w:r/>
    </w:p>
    <w:p>
      <w:pPr>
        <w:pStyle w:val="74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二、评分标准 </w:t>
      </w:r>
      <w:r>
        <w:rPr>
          <w:rFonts w:hint="eastAsia" w:ascii="仿宋" w:hAnsi="仿宋" w:eastAsia="仿宋" w:cs="仿宋"/>
          <w:b/>
          <w:sz w:val="24"/>
          <w:szCs w:val="24"/>
          <w:highlight w:val="none"/>
        </w:rPr>
      </w:r>
      <w:r/>
    </w:p>
    <w:p>
      <w:pPr>
        <w:pStyle w:val="740"/>
        <w:ind w:firstLine="48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评分标准：</w:t>
      </w:r>
      <w:r>
        <w:rPr>
          <w:rFonts w:hint="eastAsia" w:ascii="仿宋" w:hAnsi="仿宋" w:eastAsia="仿宋" w:cs="仿宋"/>
          <w:b/>
          <w:sz w:val="24"/>
          <w:szCs w:val="24"/>
          <w:highlight w:val="none"/>
        </w:rPr>
      </w:r>
      <w:r/>
    </w:p>
    <w:tbl>
      <w:tblPr>
        <w:tblpPr w:horzAnchor="text" w:tblpXSpec="center" w:vertAnchor="text" w:tblpY="1" w:leftFromText="180" w:topFromText="0" w:rightFromText="180" w:bottomFromText="0"/>
        <w:tblW w:w="516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030"/>
        <w:gridCol w:w="6136"/>
        <w:gridCol w:w="823"/>
      </w:tblGrid>
      <w:tr>
        <w:trPr>
          <w:trHeight w:val="406"/>
        </w:trPr>
        <w:tc>
          <w:tcPr>
            <w:tcW w:w="460" w:type="dxa"/>
            <w:vAlign w:val="center"/>
            <w:textDirection w:val="lrTb"/>
            <w:noWrap w:val="false"/>
          </w:tcPr>
          <w:p>
            <w:pPr>
              <w:pStyle w:val="740"/>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评审类别</w:t>
            </w: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740"/>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评审项</w:t>
            </w:r>
            <w:r>
              <w:rPr>
                <w:rFonts w:hint="eastAsia" w:ascii="宋体" w:hAnsi="宋体" w:eastAsia="宋体" w:cs="宋体"/>
                <w:b/>
                <w:bCs/>
                <w:color w:val="000000"/>
                <w:sz w:val="21"/>
                <w:szCs w:val="21"/>
                <w:highlight w:val="none"/>
              </w:rPr>
            </w:r>
            <w:r/>
          </w:p>
        </w:tc>
        <w:tc>
          <w:tcPr>
            <w:tcW w:w="3486" w:type="dxa"/>
            <w:vAlign w:val="center"/>
            <w:textDirection w:val="lrTb"/>
            <w:noWrap w:val="false"/>
          </w:tcPr>
          <w:p>
            <w:pPr>
              <w:pStyle w:val="740"/>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评审规则</w:t>
            </w:r>
            <w:r>
              <w:rPr>
                <w:rFonts w:hint="eastAsia" w:ascii="宋体" w:hAnsi="宋体" w:eastAsia="宋体" w:cs="宋体"/>
                <w:b/>
                <w:bCs/>
                <w:color w:val="000000"/>
                <w:sz w:val="21"/>
                <w:szCs w:val="21"/>
                <w:highlight w:val="none"/>
              </w:rPr>
            </w:r>
            <w:r/>
          </w:p>
        </w:tc>
        <w:tc>
          <w:tcPr>
            <w:tcW w:w="467" w:type="dxa"/>
            <w:vAlign w:val="center"/>
            <w:textDirection w:val="lrTb"/>
            <w:noWrap w:val="false"/>
          </w:tcPr>
          <w:p>
            <w:pPr>
              <w:pStyle w:val="740"/>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分值（分）</w:t>
            </w:r>
            <w:r>
              <w:rPr>
                <w:rFonts w:hint="eastAsia" w:ascii="宋体" w:hAnsi="宋体" w:eastAsia="宋体" w:cs="宋体"/>
                <w:b/>
                <w:bCs/>
                <w:color w:val="000000"/>
                <w:sz w:val="21"/>
                <w:szCs w:val="21"/>
                <w:highlight w:val="none"/>
              </w:rPr>
            </w:r>
            <w:r/>
          </w:p>
        </w:tc>
      </w:tr>
      <w:tr>
        <w:trPr>
          <w:trHeight w:val="2468"/>
        </w:trPr>
        <w:tc>
          <w:tcPr>
            <w:tcW w:w="460" w:type="dxa"/>
            <w:vAlign w:val="center"/>
            <w:textDirection w:val="lrTb"/>
            <w:noWrap w:val="false"/>
          </w:tcPr>
          <w:p>
            <w:pPr>
              <w:pStyle w:val="740"/>
              <w:ind w:left="0"/>
              <w:jc w:val="center"/>
              <w:widowControl w:val="off"/>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价格部分</w:t>
            </w:r>
            <w:r>
              <w:rPr>
                <w:rFonts w:hint="eastAsia" w:ascii="宋体" w:hAnsi="宋体" w:eastAsia="宋体" w:cs="宋体"/>
                <w:b/>
                <w:color w:val="000000"/>
                <w:sz w:val="21"/>
                <w:szCs w:val="21"/>
                <w:highlight w:val="none"/>
              </w:rPr>
            </w:r>
            <w:r/>
          </w:p>
          <w:p>
            <w:pPr>
              <w:pStyle w:val="740"/>
              <w:ind w:left="0"/>
              <w:jc w:val="center"/>
              <w:widowControl w:val="off"/>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（10分）</w:t>
            </w:r>
            <w:r>
              <w:rPr>
                <w:rFonts w:hint="eastAsia" w:ascii="宋体" w:hAnsi="宋体" w:eastAsia="宋体" w:cs="宋体"/>
                <w:b/>
                <w:color w:val="000000"/>
                <w:sz w:val="21"/>
                <w:szCs w:val="21"/>
                <w:highlight w:val="none"/>
              </w:rPr>
            </w:r>
            <w:r/>
          </w:p>
        </w:tc>
        <w:tc>
          <w:tcPr>
            <w:tcW w:w="585" w:type="dxa"/>
            <w:vAlign w:val="center"/>
            <w:textDirection w:val="lrTb"/>
            <w:noWrap w:val="false"/>
          </w:tcPr>
          <w:p>
            <w:pPr>
              <w:pStyle w:val="740"/>
              <w:ind w:left="0"/>
              <w:jc w:val="center"/>
              <w:widowControl w:val="off"/>
              <w:rPr>
                <w:rFonts w:hint="eastAsia" w:ascii="宋体" w:hAnsi="宋体" w:eastAsia="宋体" w:cs="宋体"/>
                <w:bCs/>
                <w:color w:val="000000"/>
                <w:sz w:val="21"/>
                <w:szCs w:val="21"/>
                <w:highlight w:val="none"/>
              </w:rPr>
              <w:framePr w:vAnchor="margin" w:hAnchor="page" w:xAlign="center" w:y="1"/>
            </w:pPr>
            <w:r>
              <w:rPr>
                <w:rFonts w:hint="eastAsia" w:ascii="宋体" w:hAnsi="宋体" w:eastAsia="宋体" w:cs="宋体"/>
                <w:bCs/>
                <w:color w:val="000000"/>
                <w:sz w:val="21"/>
                <w:szCs w:val="21"/>
                <w:highlight w:val="none"/>
              </w:rPr>
              <w:t xml:space="preserve">响应报价</w:t>
            </w:r>
            <w:r>
              <w:rPr>
                <w:rFonts w:hint="eastAsia" w:ascii="宋体" w:hAnsi="宋体" w:eastAsia="宋体" w:cs="宋体"/>
                <w:bCs/>
                <w:color w:val="000000"/>
                <w:sz w:val="21"/>
                <w:szCs w:val="21"/>
                <w:highlight w:val="none"/>
              </w:rPr>
            </w:r>
            <w:r/>
          </w:p>
        </w:tc>
        <w:tc>
          <w:tcPr>
            <w:tcW w:w="3486" w:type="dxa"/>
            <w:vAlign w:val="center"/>
            <w:textDirection w:val="lrTb"/>
            <w:noWrap w:val="false"/>
          </w:tcPr>
          <w:p>
            <w:pPr>
              <w:pStyle w:val="740"/>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第一步：响应报价低于或等于财政预算价格（或最高限价）的，为有效响应报价。超财政预算（或最高限价）的响应报价为无效响应报价。</w:t>
            </w:r>
            <w:r>
              <w:rPr>
                <w:rFonts w:hint="eastAsia" w:ascii="宋体" w:hAnsi="宋体" w:eastAsia="宋体" w:cs="宋体"/>
                <w:color w:val="000000"/>
                <w:sz w:val="21"/>
                <w:szCs w:val="21"/>
                <w:highlight w:val="none"/>
                <w:lang w:bidi="ar"/>
              </w:rPr>
            </w:r>
            <w:r/>
          </w:p>
          <w:p>
            <w:pPr>
              <w:pStyle w:val="740"/>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第二步：在所有有效响应报价中满足</w:t>
            </w:r>
            <w:r>
              <w:rPr>
                <w:rFonts w:hint="eastAsia" w:ascii="宋体" w:hAnsi="宋体" w:eastAsia="宋体" w:cs="宋体"/>
                <w:sz w:val="21"/>
                <w:szCs w:val="21"/>
                <w:highlight w:val="none"/>
              </w:rPr>
              <w:t xml:space="preserve">采购</w:t>
            </w:r>
            <w:r>
              <w:rPr>
                <w:rFonts w:hint="eastAsia" w:ascii="宋体" w:hAnsi="宋体" w:eastAsia="宋体" w:cs="宋体"/>
                <w:color w:val="000000"/>
                <w:sz w:val="21"/>
                <w:szCs w:val="21"/>
                <w:highlight w:val="none"/>
                <w:lang w:bidi="ar"/>
              </w:rPr>
              <w:t xml:space="preserve">文件要求，且响应价格最低的响应报价为评标基准价，其他供应商的价格分按照下列公式计算（计算结果四舍五入保留两位小数）。</w:t>
            </w:r>
            <w:r>
              <w:rPr>
                <w:rFonts w:hint="eastAsia" w:ascii="宋体" w:hAnsi="宋体" w:eastAsia="宋体" w:cs="宋体"/>
                <w:color w:val="000000"/>
                <w:sz w:val="21"/>
                <w:szCs w:val="21"/>
                <w:highlight w:val="none"/>
                <w:lang w:bidi="ar"/>
              </w:rPr>
            </w:r>
            <w:r/>
          </w:p>
          <w:p>
            <w:pPr>
              <w:pStyle w:val="740"/>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响应报价得分＝（评标基准价/响应报价）×10％×100</w:t>
            </w:r>
            <w:r>
              <w:rPr>
                <w:rFonts w:hint="eastAsia" w:ascii="宋体" w:hAnsi="宋体" w:eastAsia="宋体" w:cs="宋体"/>
                <w:sz w:val="21"/>
                <w:szCs w:val="21"/>
                <w:highlight w:val="none"/>
              </w:rPr>
            </w:r>
            <w:r/>
          </w:p>
        </w:tc>
        <w:tc>
          <w:tcPr>
            <w:tcW w:w="467" w:type="dxa"/>
            <w:vAlign w:val="center"/>
            <w:textDirection w:val="lrTb"/>
            <w:noWrap w:val="false"/>
          </w:tcPr>
          <w:p>
            <w:pPr>
              <w:pStyle w:val="740"/>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r>
      <w:tr>
        <w:trPr>
          <w:trHeight w:val="5099"/>
        </w:trPr>
        <w:tc>
          <w:tcPr>
            <w:tcW w:w="460" w:type="dxa"/>
            <w:vAlign w:val="center"/>
            <w:vMerge w:val="restart"/>
            <w:textDirection w:val="lrTb"/>
            <w:noWrap w:val="false"/>
          </w:tcPr>
          <w:p>
            <w:pPr>
              <w:pStyle w:val="740"/>
              <w:ind w:left="0"/>
              <w:jc w:val="center"/>
              <w:widowControl w:val="off"/>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t xml:space="preserve">技术及商务部分（90分）</w:t>
            </w:r>
            <w:r>
              <w:rPr>
                <w:rFonts w:hint="eastAsia" w:ascii="宋体" w:hAnsi="宋体" w:eastAsia="宋体" w:cs="宋体"/>
                <w:b/>
                <w:color w:val="000000"/>
                <w:sz w:val="21"/>
                <w:szCs w:val="21"/>
                <w:highlight w:val="none"/>
              </w:rPr>
            </w:r>
            <w:r/>
          </w:p>
        </w:tc>
        <w:tc>
          <w:tcPr>
            <w:tcW w:w="585" w:type="dxa"/>
            <w:vAlign w:val="center"/>
            <w:textDirection w:val="lrTb"/>
            <w:noWrap w:val="false"/>
          </w:tcPr>
          <w:p>
            <w:pPr>
              <w:pStyle w:val="740"/>
              <w:ind w:left="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重难点分析、核心绩效指标体系</w:t>
            </w:r>
            <w:r>
              <w:rPr>
                <w:rFonts w:hint="eastAsia" w:ascii="宋体" w:hAnsi="宋体" w:eastAsia="宋体" w:cs="宋体"/>
                <w:color w:val="000000"/>
                <w:sz w:val="21"/>
                <w:szCs w:val="21"/>
                <w:highlight w:val="none"/>
              </w:rPr>
            </w:r>
            <w:r/>
          </w:p>
        </w:tc>
        <w:tc>
          <w:tcPr>
            <w:tcW w:w="3486" w:type="dxa"/>
            <w:vAlign w:val="center"/>
            <w:textDirection w:val="lrTb"/>
            <w:noWrap w:val="false"/>
          </w:tcPr>
          <w:p>
            <w:pPr>
              <w:pStyle w:val="740"/>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运用绩效分析手段对</w:t>
            </w:r>
            <w:r>
              <w:rPr>
                <w:rFonts w:hint="eastAsia" w:ascii="宋体" w:hAnsi="宋体" w:eastAsia="宋体" w:cs="宋体"/>
                <w:b/>
                <w:bCs/>
                <w:color w:val="000000"/>
                <w:sz w:val="21"/>
                <w:szCs w:val="21"/>
                <w:highlight w:val="none"/>
                <w:lang w:bidi="ar"/>
              </w:rPr>
              <w:t xml:space="preserve">信息化运维</w:t>
            </w:r>
            <w:r>
              <w:rPr>
                <w:rFonts w:hint="eastAsia" w:ascii="宋体" w:hAnsi="宋体" w:eastAsia="宋体" w:cs="宋体"/>
                <w:color w:val="000000"/>
                <w:sz w:val="21"/>
                <w:szCs w:val="21"/>
                <w:highlight w:val="none"/>
                <w:lang w:bidi="ar"/>
              </w:rPr>
              <w:t xml:space="preserve">支出结构的合理性进行分析，制定分析方案，方案内容包括：（1）项目重难点分析、分析思路、分析方法，（2）核心绩效指标体系等。（19分）</w:t>
            </w:r>
            <w:r>
              <w:rPr>
                <w:rFonts w:hint="eastAsia" w:ascii="宋体" w:hAnsi="宋体" w:eastAsia="宋体" w:cs="宋体"/>
                <w:color w:val="000000"/>
                <w:sz w:val="21"/>
                <w:szCs w:val="21"/>
                <w:highlight w:val="none"/>
                <w:lang w:bidi="ar"/>
              </w:rPr>
            </w:r>
            <w:r/>
          </w:p>
          <w:p>
            <w:pPr>
              <w:pStyle w:val="740"/>
              <w:ind w:left="0" w:firstLine="0"/>
              <w:jc w:val="both"/>
              <w:spacing w:after="120"/>
              <w:widowControl w:val="off"/>
              <w:rPr>
                <w:rFonts w:hint="eastAsia" w:ascii="宋体" w:hAnsi="宋体" w:eastAsia="宋体" w:cs="宋体"/>
                <w:color w:val="000000"/>
                <w:sz w:val="21"/>
                <w:szCs w:val="21"/>
                <w:highlight w:val="none"/>
                <w:lang w:val="en-US" w:eastAsia="zh-CN" w:bidi="ar"/>
              </w:rPr>
              <w:framePr w:vAnchor="margin" w:hAnchor="page" w:xAlign="center" w:y="1"/>
            </w:pPr>
            <w:r>
              <w:rPr>
                <w:rFonts w:hint="eastAsia" w:ascii="宋体" w:hAnsi="宋体" w:eastAsia="宋体" w:cs="宋体"/>
                <w:color w:val="000000"/>
                <w:sz w:val="21"/>
                <w:szCs w:val="21"/>
                <w:highlight w:val="none"/>
                <w:lang w:val="en-US" w:eastAsia="zh-CN" w:bidi="ar"/>
              </w:rPr>
              <w:t xml:space="preserve">（1）提供项目重难点分析，根据项目重难点提出分析思路，以及计划采取的分析方法。项目重难点分析精准到位、理解全面深刻、逻辑清晰、分析方法的选用贴合项目实际的，得9分；分析理解清晰全面但尚不够精准和到位、逻辑较清晰、分析方法的选用基本贴合项目实际的，得7分；分析理解泛化、不够准确、不够全面、逻辑性一般的，得4分；分析理解内容有缺失或有偏颇、有错位、与项目实际偏离较大的，得1分；分析完全脱离项目实际或未作项目重难点分析及分析方法陈述的，不得分。（9分）</w:t>
            </w:r>
            <w:r>
              <w:rPr>
                <w:rFonts w:hint="eastAsia" w:ascii="宋体" w:hAnsi="宋体" w:eastAsia="宋体" w:cs="宋体"/>
                <w:color w:val="000000"/>
                <w:sz w:val="21"/>
                <w:szCs w:val="21"/>
                <w:highlight w:val="none"/>
                <w:lang w:val="en-US" w:eastAsia="zh-CN" w:bidi="ar"/>
              </w:rPr>
            </w:r>
            <w:r/>
          </w:p>
          <w:p>
            <w:pPr>
              <w:pStyle w:val="740"/>
              <w:ind w:left="0" w:firstLine="0"/>
              <w:jc w:val="both"/>
              <w:spacing w:after="120"/>
              <w:widowControl w:val="off"/>
              <w:rPr>
                <w:rFonts w:hint="eastAsia" w:ascii="宋体" w:hAnsi="宋体" w:eastAsia="宋体" w:cs="宋体"/>
                <w:color w:val="000000"/>
                <w:sz w:val="21"/>
                <w:szCs w:val="21"/>
                <w:highlight w:val="none"/>
                <w:lang w:val="en-US" w:eastAsia="zh-CN" w:bidi="ar"/>
              </w:rPr>
              <w:framePr w:vAnchor="margin" w:hAnchor="page" w:xAlign="center" w:y="1"/>
            </w:pPr>
            <w:r>
              <w:rPr>
                <w:rFonts w:hint="eastAsia" w:ascii="宋体" w:hAnsi="宋体" w:eastAsia="宋体" w:cs="宋体"/>
                <w:color w:val="000000"/>
                <w:sz w:val="21"/>
                <w:szCs w:val="21"/>
                <w:highlight w:val="none"/>
                <w:lang w:val="en-US" w:eastAsia="zh-CN" w:bidi="ar"/>
              </w:rPr>
              <w:t xml:space="preserve">（2）提供信</w:t>
            </w:r>
            <w:r>
              <w:rPr>
                <w:rFonts w:hint="eastAsia" w:ascii="宋体" w:hAnsi="宋体" w:eastAsia="宋体" w:cs="宋体"/>
                <w:color w:val="000000"/>
                <w:sz w:val="21"/>
                <w:szCs w:val="21"/>
                <w:highlight w:val="none"/>
                <w:lang w:val="en-US" w:eastAsia="zh-CN" w:bidi="ar"/>
              </w:rPr>
              <w:t xml:space="preserve">息化运维支出项目的核心绩效指标体系，该体系应能够反映对信息化运维类项目（包括硬件运维项目和软件运维项目）的成本、运维质量、服务效率、可持续发展等方面的绩效分析，指标体系科学合理，且具备可操作性。指标设置贴合项目实际、条理清楚、清晰完整、精准到位的，得10分；指标设置基本契合项目实际、清晰完整但尚不够精准到位的，得7分；指标设置的理解泛化、不够完整准确到位的，得4分；指标设置的理解内容有缺失或有偏颇、有错位的、与项目实际偏离较大的，得1分；指标设置完全脱离项目实际或未制定核心绩效指标体系的，不得分。（10分）</w:t>
            </w:r>
            <w:r>
              <w:rPr>
                <w:rFonts w:hint="eastAsia" w:ascii="宋体" w:hAnsi="宋体" w:eastAsia="宋体" w:cs="宋体"/>
                <w:color w:val="000000"/>
                <w:sz w:val="21"/>
                <w:szCs w:val="21"/>
                <w:highlight w:val="none"/>
                <w:lang w:val="en-US" w:eastAsia="zh-CN" w:bidi="ar"/>
              </w:rPr>
            </w:r>
            <w:r/>
          </w:p>
        </w:tc>
        <w:tc>
          <w:tcPr>
            <w:tcW w:w="467" w:type="dxa"/>
            <w:vAlign w:val="center"/>
            <w:textDirection w:val="lrTb"/>
            <w:noWrap w:val="false"/>
          </w:tcPr>
          <w:p>
            <w:pPr>
              <w:pStyle w:val="740"/>
              <w:ind w:left="0"/>
              <w:jc w:val="center"/>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19</w:t>
            </w:r>
            <w:r>
              <w:rPr>
                <w:rFonts w:hint="eastAsia" w:ascii="宋体" w:hAnsi="宋体" w:eastAsia="宋体" w:cs="宋体"/>
                <w:sz w:val="21"/>
                <w:szCs w:val="21"/>
                <w:highlight w:val="none"/>
              </w:rPr>
            </w:r>
            <w:r/>
          </w:p>
        </w:tc>
      </w:tr>
      <w:tr>
        <w:trPr>
          <w:trHeight w:val="2609"/>
        </w:trPr>
        <w:tc>
          <w:tcPr>
            <w:tcW w:w="460" w:type="dxa"/>
            <w:vAlign w:val="center"/>
            <w:vMerge w:val="continue"/>
            <w:textDirection w:val="lrTb"/>
            <w:noWrap w:val="false"/>
          </w:tcPr>
          <w:p>
            <w:pPr>
              <w:pStyle w:val="740"/>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740"/>
              <w:ind w:left="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运营效能分析方案</w:t>
            </w:r>
            <w:r>
              <w:rPr>
                <w:rFonts w:hint="eastAsia" w:ascii="宋体" w:hAnsi="宋体" w:eastAsia="宋体" w:cs="宋体"/>
                <w:color w:val="000000"/>
                <w:sz w:val="21"/>
                <w:szCs w:val="21"/>
                <w:highlight w:val="none"/>
              </w:rPr>
            </w:r>
            <w:r/>
          </w:p>
        </w:tc>
        <w:tc>
          <w:tcPr>
            <w:tcW w:w="3486" w:type="dxa"/>
            <w:vAlign w:val="center"/>
            <w:textDirection w:val="lrTb"/>
            <w:noWrap w:val="false"/>
          </w:tcPr>
          <w:p>
            <w:pPr>
              <w:pStyle w:val="740"/>
              <w:ind w:left="0"/>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全面、深入分析市级</w:t>
            </w:r>
            <w:r>
              <w:rPr>
                <w:rFonts w:hint="eastAsia" w:ascii="宋体" w:hAnsi="宋体" w:eastAsia="宋体" w:cs="宋体"/>
                <w:color w:val="000000"/>
                <w:sz w:val="21"/>
                <w:szCs w:val="21"/>
                <w:highlight w:val="none"/>
                <w:lang w:val="en-US" w:eastAsia="zh-CN"/>
              </w:rPr>
              <w:t xml:space="preserve">信息化运维项目</w:t>
            </w:r>
            <w:r>
              <w:rPr>
                <w:rFonts w:hint="eastAsia" w:ascii="宋体" w:hAnsi="宋体" w:eastAsia="宋体" w:cs="宋体"/>
                <w:color w:val="000000"/>
                <w:sz w:val="21"/>
                <w:szCs w:val="21"/>
                <w:highlight w:val="none"/>
              </w:rPr>
              <w:t xml:space="preserve">状况，制定运营效能分析方案，方案内容包括但不限于：</w:t>
            </w:r>
            <w:r>
              <w:rPr>
                <w:rFonts w:hint="eastAsia" w:ascii="宋体" w:hAnsi="宋体" w:eastAsia="宋体" w:cs="宋体"/>
                <w:color w:val="000000"/>
                <w:sz w:val="21"/>
                <w:szCs w:val="21"/>
                <w:highlight w:val="none"/>
                <w:lang w:val="en-US" w:eastAsia="zh-CN"/>
              </w:rPr>
              <w:t xml:space="preserve">运维</w:t>
            </w:r>
            <w:r>
              <w:rPr>
                <w:rFonts w:hint="eastAsia" w:ascii="宋体" w:hAnsi="宋体" w:eastAsia="宋体" w:cs="宋体"/>
                <w:color w:val="000000"/>
                <w:sz w:val="21"/>
                <w:szCs w:val="21"/>
                <w:highlight w:val="none"/>
              </w:rPr>
              <w:t xml:space="preserve">成效分析、资产和人员配置分析、存在问题查找分析等。（10分）</w:t>
            </w:r>
            <w:r>
              <w:rPr>
                <w:rFonts w:hint="eastAsia" w:ascii="宋体" w:hAnsi="宋体" w:eastAsia="宋体" w:cs="宋体"/>
                <w:color w:val="000000"/>
                <w:sz w:val="21"/>
                <w:szCs w:val="21"/>
                <w:highlight w:val="none"/>
              </w:rPr>
            </w:r>
            <w:r/>
          </w:p>
          <w:p>
            <w:pPr>
              <w:pStyle w:val="740"/>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运营效能分析方案</w:t>
            </w:r>
            <w:r>
              <w:rPr>
                <w:rFonts w:hint="eastAsia" w:ascii="宋体" w:hAnsi="宋体" w:eastAsia="宋体" w:cs="宋体"/>
                <w:sz w:val="21"/>
                <w:szCs w:val="21"/>
                <w:highlight w:val="none"/>
              </w:rPr>
              <w:t xml:space="preserve">清晰、完整、可操作性强、贴合项目实际</w:t>
            </w:r>
            <w:r>
              <w:rPr>
                <w:rFonts w:hint="eastAsia" w:ascii="宋体" w:hAnsi="宋体" w:eastAsia="宋体" w:cs="宋体"/>
                <w:color w:val="000000"/>
                <w:sz w:val="21"/>
                <w:szCs w:val="21"/>
                <w:highlight w:val="none"/>
                <w:lang w:bidi="ar"/>
              </w:rPr>
              <w:t xml:space="preserve">的，得10分；分析方案</w:t>
            </w:r>
            <w:r>
              <w:rPr>
                <w:rFonts w:hint="eastAsia" w:ascii="宋体" w:hAnsi="宋体" w:eastAsia="宋体" w:cs="宋体"/>
                <w:sz w:val="21"/>
                <w:szCs w:val="21"/>
                <w:highlight w:val="none"/>
              </w:rPr>
              <w:t xml:space="preserve">清晰但尚不够完整和到位、基本贴合项目实际</w:t>
            </w:r>
            <w:r>
              <w:rPr>
                <w:rFonts w:hint="eastAsia" w:ascii="宋体" w:hAnsi="宋体" w:eastAsia="宋体" w:cs="宋体"/>
                <w:color w:val="000000"/>
                <w:sz w:val="21"/>
                <w:szCs w:val="21"/>
                <w:highlight w:val="none"/>
                <w:lang w:bidi="ar"/>
              </w:rPr>
              <w:t xml:space="preserve">的，得7分；分析方案</w:t>
            </w:r>
            <w:r>
              <w:rPr>
                <w:rFonts w:hint="eastAsia" w:ascii="宋体" w:hAnsi="宋体" w:eastAsia="宋体" w:cs="宋体"/>
                <w:sz w:val="21"/>
                <w:szCs w:val="21"/>
                <w:highlight w:val="none"/>
              </w:rPr>
              <w:t xml:space="preserve">理解泛化、不够清晰完整</w:t>
            </w:r>
            <w:r>
              <w:rPr>
                <w:rFonts w:hint="eastAsia" w:ascii="宋体" w:hAnsi="宋体" w:eastAsia="宋体" w:cs="宋体"/>
                <w:color w:val="000000"/>
                <w:sz w:val="21"/>
                <w:szCs w:val="21"/>
                <w:highlight w:val="none"/>
                <w:lang w:bidi="ar"/>
              </w:rPr>
              <w:t xml:space="preserve">的得4分；分析方案内容有缺失或有偏颇、有错位、与项目实际偏离较大，得1分；分析方案</w:t>
            </w:r>
            <w:r>
              <w:rPr>
                <w:rFonts w:hint="eastAsia" w:ascii="宋体" w:hAnsi="宋体" w:eastAsia="宋体" w:cs="宋体"/>
                <w:sz w:val="21"/>
                <w:szCs w:val="21"/>
                <w:highlight w:val="none"/>
              </w:rPr>
              <w:t xml:space="preserve">完全脱离项目实际或未提供分析方案</w:t>
            </w:r>
            <w:r>
              <w:rPr>
                <w:rFonts w:hint="eastAsia" w:ascii="宋体" w:hAnsi="宋体" w:eastAsia="宋体" w:cs="宋体"/>
                <w:color w:val="000000"/>
                <w:sz w:val="21"/>
                <w:szCs w:val="21"/>
                <w:highlight w:val="none"/>
                <w:lang w:bidi="ar"/>
              </w:rPr>
              <w:t xml:space="preserve">的不得分。</w:t>
            </w:r>
            <w:r>
              <w:rPr>
                <w:rFonts w:hint="eastAsia" w:ascii="宋体" w:hAnsi="宋体" w:eastAsia="宋体" w:cs="宋体"/>
                <w:sz w:val="21"/>
                <w:szCs w:val="21"/>
                <w:highlight w:val="none"/>
              </w:rPr>
            </w:r>
            <w:r/>
          </w:p>
        </w:tc>
        <w:tc>
          <w:tcPr>
            <w:tcW w:w="467" w:type="dxa"/>
            <w:vAlign w:val="center"/>
            <w:textDirection w:val="lrTb"/>
            <w:noWrap w:val="false"/>
          </w:tcPr>
          <w:p>
            <w:pPr>
              <w:pStyle w:val="740"/>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6439"/>
        </w:trPr>
        <w:tc>
          <w:tcPr>
            <w:tcW w:w="460" w:type="dxa"/>
            <w:vAlign w:val="center"/>
            <w:vMerge w:val="continue"/>
            <w:textDirection w:val="lrTb"/>
            <w:noWrap w:val="false"/>
          </w:tcPr>
          <w:p>
            <w:pPr>
              <w:pStyle w:val="740"/>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740"/>
              <w:ind w:left="0"/>
              <w:jc w:val="center"/>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val="en-US" w:eastAsia="zh-CN" w:bidi="ar"/>
              </w:rPr>
              <w:t xml:space="preserve">支出标准建设</w:t>
            </w:r>
            <w:r>
              <w:rPr>
                <w:rFonts w:hint="eastAsia" w:ascii="宋体" w:hAnsi="宋体" w:eastAsia="宋体" w:cs="宋体"/>
                <w:color w:val="000000"/>
                <w:sz w:val="21"/>
                <w:szCs w:val="21"/>
                <w:highlight w:val="none"/>
                <w:lang w:bidi="ar"/>
              </w:rPr>
              <w:t xml:space="preserve">方案、创新和监管方案</w:t>
            </w:r>
            <w:r>
              <w:rPr>
                <w:rFonts w:hint="eastAsia" w:ascii="宋体" w:hAnsi="宋体" w:eastAsia="宋体" w:cs="宋体"/>
                <w:color w:val="000000"/>
                <w:sz w:val="21"/>
                <w:szCs w:val="21"/>
                <w:highlight w:val="none"/>
                <w:lang w:bidi="ar"/>
              </w:rPr>
            </w:r>
            <w:r/>
          </w:p>
        </w:tc>
        <w:tc>
          <w:tcPr>
            <w:tcW w:w="3486" w:type="dxa"/>
            <w:vAlign w:val="center"/>
            <w:textDirection w:val="lrTb"/>
            <w:noWrap w:val="false"/>
          </w:tcPr>
          <w:p>
            <w:pPr>
              <w:pStyle w:val="740"/>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1.科学核定</w:t>
            </w:r>
            <w:r>
              <w:rPr>
                <w:rFonts w:hint="eastAsia" w:ascii="宋体" w:hAnsi="宋体" w:eastAsia="宋体" w:cs="宋体"/>
                <w:color w:val="000000"/>
                <w:sz w:val="21"/>
                <w:szCs w:val="21"/>
                <w:highlight w:val="none"/>
                <w:lang w:val="en-US" w:eastAsia="zh-CN" w:bidi="ar"/>
              </w:rPr>
              <w:t xml:space="preserve">信息化运维</w:t>
            </w:r>
            <w:r>
              <w:rPr>
                <w:rFonts w:hint="eastAsia" w:ascii="宋体" w:hAnsi="宋体" w:eastAsia="宋体" w:cs="宋体"/>
                <w:color w:val="000000"/>
                <w:sz w:val="21"/>
                <w:szCs w:val="21"/>
                <w:highlight w:val="none"/>
                <w:lang w:bidi="ar"/>
              </w:rPr>
              <w:t xml:space="preserve">成本，确定硬件设备维保支出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基础软件运维支出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业务系统运维支出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网络与安全运维支出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数据运维与备份支出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驻场技术服务支出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机房及环境配套运维支出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运维耗材备件等方面的成本定额标准，并据此优化</w:t>
            </w:r>
            <w:r>
              <w:rPr>
                <w:rFonts w:hint="eastAsia" w:ascii="宋体" w:hAnsi="宋体" w:eastAsia="宋体" w:cs="宋体"/>
                <w:color w:val="000000"/>
                <w:sz w:val="21"/>
                <w:szCs w:val="21"/>
                <w:highlight w:val="none"/>
                <w:lang w:val="en-US" w:eastAsia="zh-CN" w:bidi="ar"/>
              </w:rPr>
              <w:t xml:space="preserve">信息化</w:t>
            </w:r>
            <w:r>
              <w:rPr>
                <w:rFonts w:hint="eastAsia" w:ascii="宋体" w:hAnsi="宋体" w:eastAsia="宋体" w:cs="宋体"/>
                <w:color w:val="000000"/>
                <w:sz w:val="21"/>
                <w:szCs w:val="21"/>
                <w:highlight w:val="none"/>
                <w:lang w:bidi="ar"/>
              </w:rPr>
              <w:t xml:space="preserve">运维支出标准；根据上述要求制定</w:t>
            </w:r>
            <w:r>
              <w:rPr>
                <w:rFonts w:hint="eastAsia" w:ascii="宋体" w:hAnsi="宋体" w:eastAsia="宋体" w:cs="宋体"/>
                <w:color w:val="000000"/>
                <w:sz w:val="21"/>
                <w:szCs w:val="21"/>
                <w:highlight w:val="none"/>
                <w:lang w:val="en-US" w:eastAsia="zh-CN" w:bidi="ar"/>
              </w:rPr>
              <w:t xml:space="preserve">支出标准</w:t>
            </w:r>
            <w:r>
              <w:rPr>
                <w:rFonts w:hint="eastAsia" w:ascii="宋体" w:hAnsi="宋体" w:eastAsia="宋体" w:cs="宋体"/>
                <w:color w:val="000000"/>
                <w:sz w:val="21"/>
                <w:szCs w:val="21"/>
                <w:highlight w:val="none"/>
                <w:lang w:bidi="ar"/>
              </w:rPr>
              <w:t xml:space="preserve">实施方案。</w:t>
            </w:r>
            <w:r>
              <w:rPr>
                <w:rFonts w:hint="eastAsia" w:ascii="宋体" w:hAnsi="宋体" w:eastAsia="宋体" w:cs="宋体"/>
                <w:color w:val="000000"/>
                <w:sz w:val="21"/>
                <w:szCs w:val="21"/>
                <w:highlight w:val="none"/>
                <w:lang w:bidi="ar"/>
              </w:rPr>
            </w:r>
            <w:r/>
          </w:p>
          <w:p>
            <w:pPr>
              <w:pStyle w:val="740"/>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实施方案</w:t>
            </w:r>
            <w:r>
              <w:rPr>
                <w:rFonts w:hint="eastAsia" w:ascii="宋体" w:hAnsi="宋体" w:eastAsia="宋体" w:cs="宋体"/>
                <w:sz w:val="21"/>
                <w:szCs w:val="21"/>
                <w:highlight w:val="none"/>
              </w:rPr>
              <w:t xml:space="preserve">清晰、完整、可操作性强、贴合项目实际</w:t>
            </w:r>
            <w:r>
              <w:rPr>
                <w:rFonts w:hint="eastAsia" w:ascii="宋体" w:hAnsi="宋体" w:eastAsia="宋体" w:cs="宋体"/>
                <w:color w:val="000000"/>
                <w:sz w:val="21"/>
                <w:szCs w:val="21"/>
                <w:highlight w:val="none"/>
                <w:lang w:bidi="ar"/>
              </w:rPr>
              <w:t xml:space="preserve">的，得10分；分析方案</w:t>
            </w:r>
            <w:r>
              <w:rPr>
                <w:rFonts w:hint="eastAsia" w:ascii="宋体" w:hAnsi="宋体" w:eastAsia="宋体" w:cs="宋体"/>
                <w:sz w:val="21"/>
                <w:szCs w:val="21"/>
                <w:highlight w:val="none"/>
              </w:rPr>
              <w:t xml:space="preserve">清晰但尚不够完整和到位、基本贴合项目实际</w:t>
            </w:r>
            <w:r>
              <w:rPr>
                <w:rFonts w:hint="eastAsia" w:ascii="宋体" w:hAnsi="宋体" w:eastAsia="宋体" w:cs="宋体"/>
                <w:color w:val="000000"/>
                <w:sz w:val="21"/>
                <w:szCs w:val="21"/>
                <w:highlight w:val="none"/>
                <w:lang w:bidi="ar"/>
              </w:rPr>
              <w:t xml:space="preserve">的，得7分；分析方案</w:t>
            </w:r>
            <w:r>
              <w:rPr>
                <w:rFonts w:hint="eastAsia" w:ascii="宋体" w:hAnsi="宋体" w:eastAsia="宋体" w:cs="宋体"/>
                <w:sz w:val="21"/>
                <w:szCs w:val="21"/>
                <w:highlight w:val="none"/>
              </w:rPr>
              <w:t xml:space="preserve">理解泛化、不够清晰完整</w:t>
            </w:r>
            <w:r>
              <w:rPr>
                <w:rFonts w:hint="eastAsia" w:ascii="宋体" w:hAnsi="宋体" w:eastAsia="宋体" w:cs="宋体"/>
                <w:color w:val="000000"/>
                <w:sz w:val="21"/>
                <w:szCs w:val="21"/>
                <w:highlight w:val="none"/>
                <w:lang w:bidi="ar"/>
              </w:rPr>
              <w:t xml:space="preserve">的得4分；分析方案内容有缺失或有偏颇、有错位、与项目实际偏离较大，得1分；分析方案</w:t>
            </w:r>
            <w:r>
              <w:rPr>
                <w:rFonts w:hint="eastAsia" w:ascii="宋体" w:hAnsi="宋体" w:eastAsia="宋体" w:cs="宋体"/>
                <w:sz w:val="21"/>
                <w:szCs w:val="21"/>
                <w:highlight w:val="none"/>
              </w:rPr>
              <w:t xml:space="preserve">完全脱离项目实际或未提供分析方案</w:t>
            </w:r>
            <w:r>
              <w:rPr>
                <w:rFonts w:hint="eastAsia" w:ascii="宋体" w:hAnsi="宋体" w:eastAsia="宋体" w:cs="宋体"/>
                <w:color w:val="000000"/>
                <w:sz w:val="21"/>
                <w:szCs w:val="21"/>
                <w:highlight w:val="none"/>
                <w:lang w:bidi="ar"/>
              </w:rPr>
              <w:t xml:space="preserve">的不得分。（10分）</w:t>
            </w:r>
            <w:r>
              <w:rPr>
                <w:rFonts w:hint="eastAsia" w:ascii="宋体" w:hAnsi="宋体" w:eastAsia="宋体" w:cs="宋体"/>
                <w:color w:val="000000"/>
                <w:sz w:val="21"/>
                <w:szCs w:val="21"/>
                <w:highlight w:val="none"/>
                <w:lang w:bidi="ar"/>
              </w:rPr>
            </w:r>
            <w:r/>
          </w:p>
          <w:p>
            <w:pPr>
              <w:pStyle w:val="740"/>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2.探索</w:t>
            </w:r>
            <w:r>
              <w:rPr>
                <w:rFonts w:hint="eastAsia" w:ascii="宋体" w:hAnsi="宋体" w:eastAsia="宋体" w:cs="宋体"/>
                <w:sz w:val="21"/>
                <w:szCs w:val="21"/>
                <w:highlight w:val="none"/>
                <w:lang w:val="en-US" w:eastAsia="zh-CN"/>
              </w:rPr>
              <w:t xml:space="preserve">信息化运维</w:t>
            </w:r>
            <w:r>
              <w:rPr>
                <w:rFonts w:hint="eastAsia" w:ascii="宋体" w:hAnsi="宋体" w:eastAsia="宋体" w:cs="宋体"/>
                <w:sz w:val="21"/>
                <w:szCs w:val="21"/>
                <w:highlight w:val="none"/>
              </w:rPr>
              <w:t xml:space="preserve">新思路，提出可操作、合规范、可推广的创新方案，提升整体运营效率，为</w:t>
            </w:r>
            <w:r>
              <w:rPr>
                <w:rFonts w:hint="eastAsia" w:ascii="宋体" w:hAnsi="宋体" w:eastAsia="宋体" w:cs="宋体"/>
                <w:sz w:val="21"/>
                <w:szCs w:val="21"/>
                <w:highlight w:val="none"/>
                <w:lang w:val="en-US" w:eastAsia="zh-CN"/>
              </w:rPr>
              <w:t xml:space="preserve">信息化运维</w:t>
            </w:r>
            <w:r>
              <w:rPr>
                <w:rFonts w:hint="eastAsia" w:ascii="宋体" w:hAnsi="宋体" w:eastAsia="宋体" w:cs="宋体"/>
                <w:sz w:val="21"/>
                <w:szCs w:val="21"/>
                <w:highlight w:val="none"/>
              </w:rPr>
              <w:t xml:space="preserve">的可持续发展提供建议和路径；协助财政构建市级</w:t>
            </w:r>
            <w:r>
              <w:rPr>
                <w:rFonts w:hint="eastAsia" w:ascii="宋体" w:hAnsi="宋体" w:eastAsia="宋体" w:cs="宋体"/>
                <w:sz w:val="21"/>
                <w:szCs w:val="21"/>
                <w:highlight w:val="none"/>
                <w:lang w:val="en-US" w:eastAsia="zh-CN"/>
              </w:rPr>
              <w:t xml:space="preserve">信息化运维</w:t>
            </w:r>
            <w:r>
              <w:rPr>
                <w:rFonts w:hint="eastAsia" w:ascii="宋体" w:hAnsi="宋体" w:eastAsia="宋体" w:cs="宋体"/>
                <w:sz w:val="21"/>
                <w:szCs w:val="21"/>
                <w:highlight w:val="none"/>
              </w:rPr>
              <w:t xml:space="preserve">的绩效监管体制，形成行业绩效评价应用机制和政府监管模式。根据上述要求制定工作方案。</w:t>
            </w:r>
            <w:r>
              <w:rPr>
                <w:rFonts w:hint="eastAsia" w:ascii="宋体" w:hAnsi="宋体" w:eastAsia="宋体" w:cs="宋体"/>
                <w:sz w:val="21"/>
                <w:szCs w:val="21"/>
                <w:highlight w:val="none"/>
              </w:rPr>
            </w:r>
            <w:r/>
          </w:p>
          <w:p>
            <w:pPr>
              <w:pStyle w:val="740"/>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实施方案</w:t>
            </w:r>
            <w:r>
              <w:rPr>
                <w:rFonts w:hint="eastAsia" w:ascii="宋体" w:hAnsi="宋体" w:eastAsia="宋体" w:cs="宋体"/>
                <w:sz w:val="21"/>
                <w:szCs w:val="21"/>
                <w:highlight w:val="none"/>
              </w:rPr>
              <w:t xml:space="preserve">清晰、完整、可操作性强、贴合项目实际</w:t>
            </w:r>
            <w:r>
              <w:rPr>
                <w:rFonts w:hint="eastAsia" w:ascii="宋体" w:hAnsi="宋体" w:eastAsia="宋体" w:cs="宋体"/>
                <w:color w:val="000000"/>
                <w:sz w:val="21"/>
                <w:szCs w:val="21"/>
                <w:highlight w:val="none"/>
                <w:lang w:bidi="ar"/>
              </w:rPr>
              <w:t xml:space="preserve">的，得10分；分析方案</w:t>
            </w:r>
            <w:r>
              <w:rPr>
                <w:rFonts w:hint="eastAsia" w:ascii="宋体" w:hAnsi="宋体" w:eastAsia="宋体" w:cs="宋体"/>
                <w:sz w:val="21"/>
                <w:szCs w:val="21"/>
                <w:highlight w:val="none"/>
              </w:rPr>
              <w:t xml:space="preserve">清晰但尚不够完整和到位、基本贴合项目实际</w:t>
            </w:r>
            <w:r>
              <w:rPr>
                <w:rFonts w:hint="eastAsia" w:ascii="宋体" w:hAnsi="宋体" w:eastAsia="宋体" w:cs="宋体"/>
                <w:color w:val="000000"/>
                <w:sz w:val="21"/>
                <w:szCs w:val="21"/>
                <w:highlight w:val="none"/>
                <w:lang w:bidi="ar"/>
              </w:rPr>
              <w:t xml:space="preserve">的，得7分；分析方案</w:t>
            </w:r>
            <w:r>
              <w:rPr>
                <w:rFonts w:hint="eastAsia" w:ascii="宋体" w:hAnsi="宋体" w:eastAsia="宋体" w:cs="宋体"/>
                <w:sz w:val="21"/>
                <w:szCs w:val="21"/>
                <w:highlight w:val="none"/>
              </w:rPr>
              <w:t xml:space="preserve">理解泛化、不够清晰完整</w:t>
            </w:r>
            <w:r>
              <w:rPr>
                <w:rFonts w:hint="eastAsia" w:ascii="宋体" w:hAnsi="宋体" w:eastAsia="宋体" w:cs="宋体"/>
                <w:color w:val="000000"/>
                <w:sz w:val="21"/>
                <w:szCs w:val="21"/>
                <w:highlight w:val="none"/>
                <w:lang w:bidi="ar"/>
              </w:rPr>
              <w:t xml:space="preserve">的得4分；分析方案内容有缺失或有偏颇、有错位、与项目实际偏离较大，得1分；分析方案</w:t>
            </w:r>
            <w:r>
              <w:rPr>
                <w:rFonts w:hint="eastAsia" w:ascii="宋体" w:hAnsi="宋体" w:eastAsia="宋体" w:cs="宋体"/>
                <w:sz w:val="21"/>
                <w:szCs w:val="21"/>
                <w:highlight w:val="none"/>
              </w:rPr>
              <w:t xml:space="preserve">完全脱离项目实际或未提供分析方案</w:t>
            </w:r>
            <w:r>
              <w:rPr>
                <w:rFonts w:hint="eastAsia" w:ascii="宋体" w:hAnsi="宋体" w:eastAsia="宋体" w:cs="宋体"/>
                <w:color w:val="000000"/>
                <w:sz w:val="21"/>
                <w:szCs w:val="21"/>
                <w:highlight w:val="none"/>
                <w:lang w:bidi="ar"/>
              </w:rPr>
              <w:t xml:space="preserve">的不得分。（10分）</w:t>
            </w:r>
            <w:r>
              <w:rPr>
                <w:rFonts w:hint="eastAsia" w:ascii="宋体" w:hAnsi="宋体" w:eastAsia="宋体" w:cs="宋体"/>
                <w:color w:val="000000"/>
                <w:sz w:val="21"/>
                <w:szCs w:val="21"/>
                <w:highlight w:val="none"/>
                <w:lang w:bidi="ar"/>
              </w:rPr>
            </w:r>
            <w:r/>
          </w:p>
        </w:tc>
        <w:tc>
          <w:tcPr>
            <w:tcW w:w="467" w:type="dxa"/>
            <w:vAlign w:val="center"/>
            <w:textDirection w:val="lrTb"/>
            <w:noWrap w:val="false"/>
          </w:tcPr>
          <w:p>
            <w:pPr>
              <w:pStyle w:val="740"/>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3882"/>
        </w:trPr>
        <w:tc>
          <w:tcPr>
            <w:tcW w:w="460" w:type="dxa"/>
            <w:vAlign w:val="center"/>
            <w:vMerge w:val="continue"/>
            <w:textDirection w:val="lrTb"/>
            <w:noWrap w:val="false"/>
          </w:tcPr>
          <w:p>
            <w:pPr>
              <w:pStyle w:val="740"/>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740"/>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项目实施服务方案</w:t>
            </w:r>
            <w:r>
              <w:rPr>
                <w:rFonts w:hint="eastAsia" w:ascii="宋体" w:hAnsi="宋体" w:eastAsia="宋体" w:cs="宋体"/>
                <w:sz w:val="21"/>
                <w:szCs w:val="21"/>
                <w:highlight w:val="none"/>
              </w:rPr>
            </w:r>
            <w:r/>
          </w:p>
        </w:tc>
        <w:tc>
          <w:tcPr>
            <w:tcW w:w="3486" w:type="dxa"/>
            <w:vAlign w:val="center"/>
            <w:textDirection w:val="lrTb"/>
            <w:noWrap w:val="false"/>
          </w:tcPr>
          <w:p>
            <w:pPr>
              <w:pStyle w:val="740"/>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制定</w:t>
            </w:r>
            <w:r>
              <w:rPr>
                <w:rFonts w:hint="eastAsia" w:ascii="宋体" w:hAnsi="宋体" w:eastAsia="宋体" w:cs="宋体"/>
                <w:sz w:val="21"/>
                <w:szCs w:val="21"/>
                <w:highlight w:val="none"/>
                <w:lang w:val="en-US" w:eastAsia="zh-CN"/>
              </w:rPr>
              <w:t xml:space="preserve">支出标准建设</w:t>
            </w:r>
            <w:r>
              <w:rPr>
                <w:rFonts w:hint="eastAsia" w:ascii="宋体" w:hAnsi="宋体" w:eastAsia="宋体" w:cs="宋体"/>
                <w:sz w:val="21"/>
                <w:szCs w:val="21"/>
                <w:highlight w:val="none"/>
              </w:rPr>
              <w:t xml:space="preserve">项目实施的服务方案，方案内容包括但不限于：（1）数据采集、处理和分析工作方案，能有效支撑绩效分析、项目效能分析工作；（2）工作程序规范，能有效保障项目实施的各个环节的实施质量；（3）现场调研协调及管理方案，能有效保障项目按计划推进；（4）项目实施时间计划清晰合理、具备可操作性；（5）能够利用专业信息化应用开展相应的分析工作。</w:t>
            </w:r>
            <w:r>
              <w:rPr>
                <w:rFonts w:hint="eastAsia" w:ascii="宋体" w:hAnsi="宋体" w:eastAsia="宋体" w:cs="宋体"/>
                <w:color w:val="000000"/>
                <w:sz w:val="21"/>
                <w:szCs w:val="21"/>
                <w:highlight w:val="none"/>
                <w:lang w:bidi="ar"/>
              </w:rPr>
              <w:t xml:space="preserve">（10分）</w:t>
            </w:r>
            <w:r>
              <w:rPr>
                <w:rFonts w:hint="eastAsia" w:ascii="宋体" w:hAnsi="宋体" w:eastAsia="宋体" w:cs="宋体"/>
                <w:sz w:val="21"/>
                <w:szCs w:val="21"/>
                <w:highlight w:val="none"/>
              </w:rPr>
            </w:r>
            <w:r/>
          </w:p>
          <w:p>
            <w:pPr>
              <w:pStyle w:val="740"/>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方案</w:t>
            </w:r>
            <w:r>
              <w:rPr>
                <w:rFonts w:hint="eastAsia" w:ascii="宋体" w:hAnsi="宋体" w:eastAsia="宋体" w:cs="宋体"/>
                <w:sz w:val="21"/>
                <w:szCs w:val="21"/>
                <w:highlight w:val="none"/>
              </w:rPr>
              <w:t xml:space="preserve">清晰、完整、可操作性强、贴合项目实际</w:t>
            </w:r>
            <w:r>
              <w:rPr>
                <w:rFonts w:hint="eastAsia" w:ascii="宋体" w:hAnsi="宋体" w:eastAsia="宋体" w:cs="宋体"/>
                <w:color w:val="000000"/>
                <w:sz w:val="21"/>
                <w:szCs w:val="21"/>
                <w:highlight w:val="none"/>
                <w:lang w:bidi="ar"/>
              </w:rPr>
              <w:t xml:space="preserve">的，得10分；分析方案</w:t>
            </w:r>
            <w:r>
              <w:rPr>
                <w:rFonts w:hint="eastAsia" w:ascii="宋体" w:hAnsi="宋体" w:eastAsia="宋体" w:cs="宋体"/>
                <w:sz w:val="21"/>
                <w:szCs w:val="21"/>
                <w:highlight w:val="none"/>
              </w:rPr>
              <w:t xml:space="preserve">清晰但尚不够完整和到位、基本贴合项目实际</w:t>
            </w:r>
            <w:r>
              <w:rPr>
                <w:rFonts w:hint="eastAsia" w:ascii="宋体" w:hAnsi="宋体" w:eastAsia="宋体" w:cs="宋体"/>
                <w:color w:val="000000"/>
                <w:sz w:val="21"/>
                <w:szCs w:val="21"/>
                <w:highlight w:val="none"/>
                <w:lang w:bidi="ar"/>
              </w:rPr>
              <w:t xml:space="preserve">的，得7分；分析方案</w:t>
            </w:r>
            <w:r>
              <w:rPr>
                <w:rFonts w:hint="eastAsia" w:ascii="宋体" w:hAnsi="宋体" w:eastAsia="宋体" w:cs="宋体"/>
                <w:sz w:val="21"/>
                <w:szCs w:val="21"/>
                <w:highlight w:val="none"/>
              </w:rPr>
              <w:t xml:space="preserve">理解泛化、不够清晰完整</w:t>
            </w:r>
            <w:r>
              <w:rPr>
                <w:rFonts w:hint="eastAsia" w:ascii="宋体" w:hAnsi="宋体" w:eastAsia="宋体" w:cs="宋体"/>
                <w:color w:val="000000"/>
                <w:sz w:val="21"/>
                <w:szCs w:val="21"/>
                <w:highlight w:val="none"/>
                <w:lang w:bidi="ar"/>
              </w:rPr>
              <w:t xml:space="preserve">的得4分；分析方案内容有缺失或有偏颇、有错位、与项目实际偏离较大，得1分；分析方案</w:t>
            </w:r>
            <w:r>
              <w:rPr>
                <w:rFonts w:hint="eastAsia" w:ascii="宋体" w:hAnsi="宋体" w:eastAsia="宋体" w:cs="宋体"/>
                <w:sz w:val="21"/>
                <w:szCs w:val="21"/>
                <w:highlight w:val="none"/>
              </w:rPr>
              <w:t xml:space="preserve">完全脱离项目实际或未提供分析方案</w:t>
            </w:r>
            <w:r>
              <w:rPr>
                <w:rFonts w:hint="eastAsia" w:ascii="宋体" w:hAnsi="宋体" w:eastAsia="宋体" w:cs="宋体"/>
                <w:color w:val="000000"/>
                <w:sz w:val="21"/>
                <w:szCs w:val="21"/>
                <w:highlight w:val="none"/>
                <w:lang w:bidi="ar"/>
              </w:rPr>
              <w:t xml:space="preserve">的不得分。</w:t>
            </w:r>
            <w:r>
              <w:rPr>
                <w:rFonts w:hint="eastAsia" w:ascii="宋体" w:hAnsi="宋体" w:eastAsia="宋体" w:cs="宋体"/>
                <w:sz w:val="21"/>
                <w:szCs w:val="21"/>
                <w:highlight w:val="none"/>
              </w:rPr>
            </w:r>
            <w:r/>
          </w:p>
        </w:tc>
        <w:tc>
          <w:tcPr>
            <w:tcW w:w="467" w:type="dxa"/>
            <w:vAlign w:val="center"/>
            <w:textDirection w:val="lrTb"/>
            <w:noWrap w:val="false"/>
          </w:tcPr>
          <w:p>
            <w:pPr>
              <w:pStyle w:val="740"/>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1439"/>
        </w:trPr>
        <w:tc>
          <w:tcPr>
            <w:tcW w:w="460" w:type="dxa"/>
            <w:vAlign w:val="center"/>
            <w:vMerge w:val="continue"/>
            <w:textDirection w:val="lrTb"/>
            <w:noWrap w:val="false"/>
          </w:tcPr>
          <w:p>
            <w:pPr>
              <w:pStyle w:val="740"/>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740"/>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拟投入项目评价工作组人员</w:t>
            </w:r>
            <w:r>
              <w:rPr>
                <w:rFonts w:hint="eastAsia" w:ascii="宋体" w:hAnsi="宋体" w:eastAsia="宋体" w:cs="宋体"/>
                <w:color w:val="000000"/>
                <w:sz w:val="21"/>
                <w:szCs w:val="21"/>
                <w:highlight w:val="none"/>
              </w:rPr>
            </w:r>
            <w:r/>
          </w:p>
        </w:tc>
        <w:tc>
          <w:tcPr>
            <w:tcW w:w="3486" w:type="dxa"/>
            <w:vAlign w:val="center"/>
            <w:textDirection w:val="lrTb"/>
            <w:noWrap w:val="false"/>
          </w:tcPr>
          <w:p>
            <w:pPr>
              <w:pStyle w:val="740"/>
              <w:ind w:left="0"/>
              <w:widowControl w:val="off"/>
              <w:rPr>
                <w:rFonts w:hint="eastAsia" w:ascii="宋体" w:hAnsi="宋体" w:eastAsia="宋体" w:cs="宋体"/>
                <w:sz w:val="21"/>
                <w:szCs w:val="21"/>
                <w:highlight w:val="none"/>
                <w:lang w:val="en-US" w:eastAsia="zh-CN"/>
              </w:rPr>
              <w:framePr w:vAnchor="margin" w:hAnchor="page" w:xAlign="center" w:y="1"/>
            </w:pPr>
            <w:r>
              <w:rPr>
                <w:rFonts w:hint="eastAsia" w:ascii="宋体" w:hAnsi="宋体" w:eastAsia="宋体" w:cs="宋体"/>
                <w:sz w:val="21"/>
                <w:szCs w:val="21"/>
                <w:highlight w:val="none"/>
              </w:rPr>
              <w:t xml:space="preserve">2023年1月1日起至今参加财政部门（或注册会计师协会）组织的绩效评价业务培训的，有1人次得1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分，最高</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r>
            <w:r/>
          </w:p>
          <w:p>
            <w:pPr>
              <w:pStyle w:val="740"/>
              <w:ind w:left="0"/>
              <w:widowControl w:val="off"/>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注：响应文件中须提供以上相关人员身份证扫描件、培训证书复印件并加盖响应单位公章，未提供不得分。</w:t>
            </w:r>
            <w:r>
              <w:rPr>
                <w:rFonts w:hint="eastAsia" w:ascii="宋体" w:hAnsi="宋体" w:eastAsia="宋体" w:cs="宋体"/>
                <w:b/>
                <w:sz w:val="21"/>
                <w:szCs w:val="21"/>
                <w:highlight w:val="none"/>
              </w:rPr>
            </w:r>
            <w:r/>
          </w:p>
        </w:tc>
        <w:tc>
          <w:tcPr>
            <w:tcW w:w="467" w:type="dxa"/>
            <w:vAlign w:val="center"/>
            <w:textDirection w:val="lrTb"/>
            <w:noWrap w:val="false"/>
          </w:tcPr>
          <w:p>
            <w:pPr>
              <w:pStyle w:val="740"/>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r>
      <w:tr>
        <w:trPr>
          <w:trHeight w:val="1742"/>
        </w:trPr>
        <w:tc>
          <w:tcPr>
            <w:tcW w:w="460" w:type="dxa"/>
            <w:vAlign w:val="center"/>
            <w:vMerge w:val="continue"/>
            <w:textDirection w:val="lrTb"/>
            <w:noWrap w:val="false"/>
          </w:tcPr>
          <w:p>
            <w:pPr>
              <w:pStyle w:val="740"/>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740"/>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拟派的本项目服务人员</w:t>
            </w:r>
            <w:r>
              <w:rPr>
                <w:rFonts w:hint="eastAsia" w:ascii="宋体" w:hAnsi="宋体" w:eastAsia="宋体" w:cs="宋体"/>
                <w:sz w:val="21"/>
                <w:szCs w:val="21"/>
                <w:highlight w:val="none"/>
              </w:rPr>
            </w:r>
            <w:r/>
          </w:p>
        </w:tc>
        <w:tc>
          <w:tcPr>
            <w:tcW w:w="3486" w:type="dxa"/>
            <w:vAlign w:val="center"/>
            <w:textDirection w:val="lrTb"/>
            <w:noWrap w:val="false"/>
          </w:tcPr>
          <w:p>
            <w:pPr>
              <w:pStyle w:val="740"/>
              <w:ind w:left="0"/>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拟派的本项目服务人员中，每具备一名高级会计师或高级经济师得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分，每具备一名中级会计师或中级经济师得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分，本项最高得5分。</w:t>
            </w:r>
            <w:r>
              <w:rPr>
                <w:rFonts w:hint="eastAsia" w:ascii="宋体" w:hAnsi="宋体" w:eastAsia="宋体" w:cs="宋体"/>
                <w:color w:val="000000"/>
                <w:sz w:val="21"/>
                <w:szCs w:val="21"/>
                <w:highlight w:val="none"/>
              </w:rPr>
            </w:r>
            <w:r/>
          </w:p>
          <w:p>
            <w:pPr>
              <w:pStyle w:val="740"/>
              <w:ind w:left="0"/>
              <w:widowControl w:val="off"/>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注：响应文件中须提供相关人员身份证扫描件、证书复印件并加盖响应单位公章，未提供不得分。</w:t>
            </w:r>
            <w:r>
              <w:rPr>
                <w:rFonts w:hint="eastAsia" w:ascii="宋体" w:hAnsi="宋体" w:eastAsia="宋体" w:cs="宋体"/>
                <w:b/>
                <w:color w:val="000000"/>
                <w:sz w:val="21"/>
                <w:szCs w:val="21"/>
                <w:highlight w:val="none"/>
              </w:rPr>
            </w:r>
            <w:r/>
          </w:p>
        </w:tc>
        <w:tc>
          <w:tcPr>
            <w:tcW w:w="467" w:type="dxa"/>
            <w:vAlign w:val="center"/>
            <w:textDirection w:val="lrTb"/>
            <w:noWrap w:val="false"/>
          </w:tcPr>
          <w:p>
            <w:pPr>
              <w:pStyle w:val="740"/>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r>
      <w:tr>
        <w:trPr>
          <w:trHeight w:val="3631"/>
        </w:trPr>
        <w:tc>
          <w:tcPr>
            <w:tcW w:w="460" w:type="dxa"/>
            <w:vAlign w:val="center"/>
            <w:vMerge w:val="continue"/>
            <w:textDirection w:val="lrTb"/>
            <w:noWrap w:val="false"/>
          </w:tcPr>
          <w:p>
            <w:pPr>
              <w:pStyle w:val="740"/>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740"/>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▲拟派出项目组成员（固定1人打★之人员）评价</w:t>
            </w:r>
            <w:r>
              <w:rPr>
                <w:rFonts w:hint="eastAsia" w:ascii="宋体" w:hAnsi="宋体" w:eastAsia="宋体" w:cs="宋体"/>
                <w:sz w:val="21"/>
                <w:szCs w:val="21"/>
                <w:highlight w:val="none"/>
              </w:rPr>
            </w:r>
            <w:r/>
          </w:p>
        </w:tc>
        <w:tc>
          <w:tcPr>
            <w:tcW w:w="3486" w:type="dxa"/>
            <w:vAlign w:val="center"/>
            <w:textDirection w:val="lrTb"/>
            <w:noWrap w:val="false"/>
          </w:tcPr>
          <w:p>
            <w:pPr>
              <w:pStyle w:val="740"/>
              <w:ind w:left="0"/>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1.拟派的项目组固定成员中具备与本项目领域相关的项目经验，有一人有1个项目经验的得1分，有一人有2个项目经验的得2分，有一人有3个及以上项目经验的得3分（参与同一项目的人员不重复计分），本项最高6分。</w:t>
            </w:r>
            <w:r>
              <w:rPr>
                <w:rFonts w:hint="eastAsia" w:ascii="宋体" w:hAnsi="宋体" w:eastAsia="宋体" w:cs="宋体"/>
                <w:sz w:val="21"/>
                <w:szCs w:val="21"/>
                <w:highlight w:val="none"/>
              </w:rPr>
            </w:r>
            <w:r/>
          </w:p>
          <w:p>
            <w:pPr>
              <w:pStyle w:val="740"/>
              <w:ind w:left="0"/>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注：</w:t>
            </w:r>
            <w:r>
              <w:rPr>
                <w:rFonts w:hint="eastAsia" w:ascii="宋体" w:hAnsi="宋体" w:eastAsia="宋体" w:cs="宋体"/>
                <w:b/>
                <w:color w:val="000000"/>
                <w:sz w:val="21"/>
                <w:szCs w:val="21"/>
                <w:highlight w:val="none"/>
              </w:rPr>
              <w:t xml:space="preserve">响应文件中须</w:t>
            </w:r>
            <w:r>
              <w:rPr>
                <w:rFonts w:hint="eastAsia" w:ascii="宋体" w:hAnsi="宋体" w:eastAsia="宋体" w:cs="宋体"/>
                <w:b/>
                <w:sz w:val="21"/>
                <w:szCs w:val="21"/>
                <w:highlight w:val="none"/>
              </w:rPr>
              <w:t xml:space="preserve">提供上述人员身份证扫描件、参与相关项目履约验收资料复印件（证明材料中能体现拟派人员的名称）并加盖响应单位公章，不提供或不满足不得分。</w:t>
            </w:r>
            <w:r>
              <w:rPr>
                <w:rFonts w:hint="eastAsia" w:ascii="宋体" w:hAnsi="宋体" w:eastAsia="宋体" w:cs="宋体"/>
                <w:b/>
                <w:sz w:val="21"/>
                <w:szCs w:val="21"/>
                <w:highlight w:val="none"/>
              </w:rPr>
            </w:r>
            <w:r/>
          </w:p>
          <w:p>
            <w:pPr>
              <w:pStyle w:val="740"/>
              <w:ind w:left="0"/>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2.拟派的项目组固定成员中在专业期刊有发表与本项目领域相关论文或成果的，每有一项得1分，此项最高得3分。</w:t>
            </w:r>
            <w:r>
              <w:rPr>
                <w:rFonts w:hint="eastAsia" w:ascii="宋体" w:hAnsi="宋体" w:eastAsia="宋体" w:cs="宋体"/>
                <w:sz w:val="21"/>
                <w:szCs w:val="21"/>
                <w:highlight w:val="none"/>
              </w:rPr>
            </w:r>
            <w:r/>
          </w:p>
          <w:p>
            <w:pPr>
              <w:pStyle w:val="740"/>
              <w:ind w:left="0"/>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注：</w:t>
            </w:r>
            <w:r>
              <w:rPr>
                <w:rFonts w:hint="eastAsia" w:ascii="宋体" w:hAnsi="宋体" w:eastAsia="宋体" w:cs="宋体"/>
                <w:b/>
                <w:color w:val="000000"/>
                <w:sz w:val="21"/>
                <w:szCs w:val="21"/>
                <w:highlight w:val="none"/>
              </w:rPr>
              <w:t xml:space="preserve">响应文件中须</w:t>
            </w:r>
            <w:r>
              <w:rPr>
                <w:rFonts w:hint="eastAsia" w:ascii="宋体" w:hAnsi="宋体" w:eastAsia="宋体" w:cs="宋体"/>
                <w:b/>
                <w:sz w:val="21"/>
                <w:szCs w:val="21"/>
                <w:highlight w:val="none"/>
              </w:rPr>
              <w:t xml:space="preserve">提供上述人员身份证扫描件、相关证明复印件并加盖响应单位公章，不提供或不满足不得分。</w:t>
            </w:r>
            <w:r>
              <w:rPr>
                <w:rFonts w:hint="eastAsia" w:ascii="宋体" w:hAnsi="宋体" w:eastAsia="宋体" w:cs="宋体"/>
                <w:b/>
                <w:sz w:val="21"/>
                <w:szCs w:val="21"/>
                <w:highlight w:val="none"/>
              </w:rPr>
            </w:r>
            <w:r/>
          </w:p>
        </w:tc>
        <w:tc>
          <w:tcPr>
            <w:tcW w:w="467" w:type="dxa"/>
            <w:vAlign w:val="center"/>
            <w:textDirection w:val="lrTb"/>
            <w:noWrap w:val="false"/>
          </w:tcPr>
          <w:p>
            <w:pPr>
              <w:pStyle w:val="740"/>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r>
      <w:tr>
        <w:trPr>
          <w:trHeight w:val="983"/>
        </w:trPr>
        <w:tc>
          <w:tcPr>
            <w:tcW w:w="460" w:type="dxa"/>
            <w:vAlign w:val="center"/>
            <w:vMerge w:val="continue"/>
            <w:textDirection w:val="lrTb"/>
            <w:noWrap w:val="false"/>
          </w:tcPr>
          <w:p>
            <w:pPr>
              <w:pStyle w:val="740"/>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740"/>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▲类似业绩</w:t>
            </w:r>
            <w:r>
              <w:rPr>
                <w:rFonts w:hint="eastAsia" w:ascii="宋体" w:hAnsi="宋体" w:eastAsia="宋体" w:cs="宋体"/>
                <w:sz w:val="21"/>
                <w:szCs w:val="21"/>
                <w:highlight w:val="none"/>
              </w:rPr>
            </w:r>
            <w:r/>
          </w:p>
        </w:tc>
        <w:tc>
          <w:tcPr>
            <w:tcW w:w="3486" w:type="dxa"/>
            <w:vAlign w:val="center"/>
            <w:textDirection w:val="lrTb"/>
            <w:noWrap w:val="false"/>
          </w:tcPr>
          <w:p>
            <w:pPr>
              <w:pStyle w:val="740"/>
              <w:ind w:left="0"/>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供应商自2023年1月1日起至今签订的类似项目业绩，每提供一份得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分。此项累计加分最高8分。</w:t>
            </w:r>
            <w:r>
              <w:rPr>
                <w:rFonts w:hint="eastAsia" w:ascii="宋体" w:hAnsi="宋体" w:eastAsia="宋体" w:cs="宋体"/>
                <w:sz w:val="21"/>
                <w:szCs w:val="21"/>
                <w:highlight w:val="none"/>
              </w:rPr>
            </w:r>
            <w:r/>
          </w:p>
          <w:p>
            <w:pPr>
              <w:pStyle w:val="740"/>
              <w:ind w:left="0"/>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注：响应文件中须提供合同复印件并加盖响应单位公章，不提供不得分。类似业绩日期认定：以签订合同日期为准。</w:t>
            </w:r>
            <w:r>
              <w:rPr>
                <w:rFonts w:hint="eastAsia" w:ascii="宋体" w:hAnsi="宋体" w:eastAsia="宋体" w:cs="宋体"/>
                <w:b/>
                <w:sz w:val="21"/>
                <w:szCs w:val="21"/>
                <w:highlight w:val="none"/>
              </w:rPr>
            </w:r>
            <w:r/>
          </w:p>
        </w:tc>
        <w:tc>
          <w:tcPr>
            <w:tcW w:w="467" w:type="dxa"/>
            <w:vAlign w:val="center"/>
            <w:textDirection w:val="lrTb"/>
            <w:noWrap w:val="false"/>
          </w:tcPr>
          <w:p>
            <w:pPr>
              <w:pStyle w:val="740"/>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r>
    </w:tbl>
    <w:p>
      <w:pPr>
        <w:pStyle w:val="740"/>
        <w:ind w:left="0" w:firstLine="422"/>
        <w:spacing w:line="360" w:lineRule="auto"/>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备注：表格中▲为客观分。</w:t>
      </w:r>
      <w:r>
        <w:rPr>
          <w:rFonts w:hint="eastAsia" w:ascii="宋体" w:hAnsi="宋体" w:eastAsia="宋体" w:cs="宋体"/>
          <w:b/>
          <w:sz w:val="21"/>
          <w:szCs w:val="21"/>
          <w:highlight w:val="none"/>
          <w:lang w:bidi="ar"/>
        </w:rPr>
      </w:r>
      <w:r/>
    </w:p>
    <w:p>
      <w:pPr>
        <w:pStyle w:val="740"/>
        <w:ind w:firstLine="48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说明</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r>
      <w:r/>
    </w:p>
    <w:p>
      <w:pPr>
        <w:pStyle w:val="740"/>
        <w:ind w:firstLine="48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1.针对评分标准中评分的每一条，响应人均应提供相关资料并作出相应说明供评委评判，不提供相关资料的视为不具备该项得分的条件。</w:t>
      </w:r>
      <w:r>
        <w:rPr>
          <w:rFonts w:hint="eastAsia" w:ascii="宋体" w:hAnsi="宋体" w:eastAsia="宋体" w:cs="宋体"/>
          <w:bCs/>
          <w:sz w:val="21"/>
          <w:szCs w:val="21"/>
          <w:highlight w:val="none"/>
        </w:rPr>
      </w:r>
      <w:r/>
    </w:p>
    <w:p>
      <w:pPr>
        <w:pStyle w:val="740"/>
        <w:ind w:firstLine="48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2.响应文件中如出现前后不一致时，评委有权请响应人澄清说明，澄清说明事项涉及评分时，评委有权酌情扣分。</w:t>
      </w:r>
      <w:r>
        <w:rPr>
          <w:rFonts w:hint="eastAsia" w:ascii="宋体" w:hAnsi="宋体" w:eastAsia="宋体" w:cs="宋体"/>
          <w:bCs/>
          <w:sz w:val="21"/>
          <w:szCs w:val="21"/>
          <w:highlight w:val="none"/>
        </w:rPr>
      </w:r>
      <w:r/>
    </w:p>
    <w:p>
      <w:pPr>
        <w:pStyle w:val="740"/>
        <w:ind w:firstLine="48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响应人必须保证全部响应资料的真实性，如有虚假或对采购文件所要求说明的情况故意隐瞒或虚报，视为不实质性响应采购文件，为无效响应，已成交的将取消成交资格，按“提供虚假材料谋取成交”相关处理办。</w:t>
      </w:r>
      <w:r>
        <w:rPr>
          <w:rFonts w:hint="eastAsia" w:ascii="宋体" w:hAnsi="宋体" w:eastAsia="宋体" w:cs="宋体"/>
          <w:bCs/>
          <w:sz w:val="21"/>
          <w:szCs w:val="21"/>
          <w:highlight w:val="none"/>
        </w:rPr>
      </w:r>
      <w:r/>
    </w:p>
    <w:p>
      <w:pPr>
        <w:pStyle w:val="740"/>
        <w:jc w:val="center"/>
        <w:spacing w:line="360" w:lineRule="auto"/>
        <w:rPr>
          <w:rFonts w:ascii="宋体" w:hAnsi="宋体" w:eastAsia="宋体" w:cs="宋体"/>
          <w:sz w:val="24"/>
          <w:szCs w:val="22"/>
          <w:highlight w:val="none"/>
        </w:rPr>
      </w:pPr>
      <w:r>
        <w:rPr>
          <w:rFonts w:ascii="宋体" w:hAnsi="宋体" w:eastAsia="宋体" w:cs="宋体"/>
          <w:sz w:val="24"/>
          <w:szCs w:val="22"/>
          <w:highlight w:val="none"/>
        </w:rPr>
      </w:r>
      <w:r/>
    </w:p>
    <w:sectPr>
      <w:headerReference w:type="default" r:id="rId10"/>
      <w:headerReference w:type="even" r:id="rId11"/>
      <w:footerReference w:type="default" r:id="rId14"/>
      <w:footerReference w:type="even" r:id="rId1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仿宋">
    <w:panose1 w:val="02010609060101010101"/>
  </w:font>
  <w:font w:name="Calibri">
    <w:panose1 w:val="020F0502020204030204"/>
  </w:font>
  <w:font w:name="Courier New">
    <w:panose1 w:val="02070309020205020404"/>
  </w:font>
  <w:font w:name="楷体_GB2312">
    <w:panose1 w:val="02010609060101010101"/>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left"/>
      <w:widowControl w:val="off"/>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40"/>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18"/>
                              <w:szCs w:val="18"/>
                              <w:lang w:val="en-US" w:eastAsia="zh-CN" w:bidi="ar-SA"/>
                            </w:rPr>
                            <w:t xml:space="preserve">52</w:t>
                          </w:r>
                          <w:r>
                            <w:rPr>
                              <w:rFonts w:ascii="Calibri" w:hAnsi="Calibri" w:eastAsia="宋体" w:cs="Times New Roman"/>
                              <w:sz w:val="18"/>
                              <w:szCs w:val="18"/>
                              <w:lang w:val="en-US" w:eastAsia="zh-CN" w:bidi="ar-SA"/>
                            </w:rPr>
                            <w:fldChar w:fldCharType="end"/>
                          </w:r>
                          <w:r>
                            <w:rPr>
                              <w:rFonts w:ascii="Calibri" w:hAnsi="Calibri" w:eastAsia="宋体" w:cs="Times New Roman"/>
                              <w:sz w:val="18"/>
                              <w:szCs w:val="18"/>
                              <w:lang w:val="en-US" w:eastAsia="zh-CN" w:bidi="ar-SA"/>
                            </w:rPr>
                          </w:r>
                          <w:r/>
                        </w:p>
                        <w:p>
                          <w:pPr>
                            <w:pStyle w:val="74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40"/>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18"/>
                        <w:szCs w:val="18"/>
                        <w:lang w:val="en-US" w:eastAsia="zh-CN" w:bidi="ar-SA"/>
                      </w:rPr>
                      <w:t xml:space="preserve">52</w:t>
                    </w:r>
                    <w:r>
                      <w:rPr>
                        <w:rFonts w:ascii="Calibri" w:hAnsi="Calibri" w:eastAsia="宋体" w:cs="Times New Roman"/>
                        <w:sz w:val="18"/>
                        <w:szCs w:val="18"/>
                        <w:lang w:val="en-US" w:eastAsia="zh-CN" w:bidi="ar-SA"/>
                      </w:rPr>
                      <w:fldChar w:fldCharType="end"/>
                    </w:r>
                    <w:r>
                      <w:rPr>
                        <w:rFonts w:ascii="Calibri" w:hAnsi="Calibri" w:eastAsia="宋体" w:cs="Times New Roman"/>
                        <w:sz w:val="18"/>
                        <w:szCs w:val="18"/>
                        <w:lang w:val="en-US" w:eastAsia="zh-CN" w:bidi="ar-SA"/>
                      </w:rPr>
                    </w:r>
                    <w:r/>
                  </w:p>
                  <w:p>
                    <w:pPr>
                      <w:pStyle w:val="740"/>
                    </w:pPr>
                    <w:r/>
                    <w:r/>
                  </w:p>
                </w:txbxContent>
              </v:textbox>
            </v:shape>
          </w:pict>
        </mc:Fallback>
      </mc:AlternateContent>
    </w:r>
    <w:r>
      <w:rPr>
        <w:rFonts w:ascii="Calibri" w:hAnsi="Calibri"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p>
  <w:p>
    <w:pPr>
      <w:pStyle w:val="79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4153" w:leader="none"/>
        <w:tab w:val="right" w:pos="8306" w:leader="none"/>
      </w:tabs>
      <w:rPr>
        <w:rStyle w:val="830"/>
      </w:rPr>
      <w:framePr w:wrap="around" w:vAnchor="text" w:hAnchor="margin" w:xAlign="center" w:y="1"/>
    </w:pPr>
    <w:r>
      <w:fldChar w:fldCharType="begin"/>
    </w:r>
    <w:r>
      <w:rPr>
        <w:rStyle w:val="830"/>
      </w:rPr>
      <w:instrText xml:space="preserve">PAGE  </w:instrText>
    </w:r>
    <w:r>
      <w:fldChar w:fldCharType="end"/>
    </w:r>
    <w:r>
      <w:rPr>
        <w:rStyle w:val="830"/>
      </w:rPr>
    </w:r>
    <w:r/>
  </w:p>
  <w:p>
    <w:pPr>
      <w:pStyle w:val="7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805"/>
        <w:spacing w:before="156" w:after="156"/>
        <w:tabs>
          <w:tab w:val="left" w:pos="1134" w:leader="none"/>
        </w:tabs>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widowControl w:val="off"/>
      <w:tabs>
        <w:tab w:val="center" w:pos="4153" w:leader="none"/>
        <w:tab w:val="right" w:pos="8306" w:leader="none"/>
      </w:tabs>
      <w:rPr>
        <w:rFonts w:ascii="宋体" w:hAnsi="宋体" w:eastAsia="宋体" w:cs="Times New Roman"/>
        <w:color w:val="808080"/>
        <w:spacing w:val="6"/>
        <w:sz w:val="21"/>
        <w:szCs w:val="18"/>
        <w:lang w:val="en-US" w:eastAsia="zh-CN" w:bidi="ar-SA"/>
      </w:rPr>
      <w:pBdr>
        <w:bottom w:val="none" w:color="000000" w:sz="0" w:space="1"/>
      </w:pBdr>
    </w:pPr>
    <w:r>
      <w:rPr>
        <w:rFonts w:hint="eastAsia" w:ascii="宋体" w:hAnsi="宋体" w:eastAsia="宋体" w:cs="Times New Roman"/>
        <w:bCs/>
        <w:color w:val="808080"/>
        <w:spacing w:val="6"/>
        <w:sz w:val="18"/>
        <w:szCs w:val="18"/>
        <w:lang w:val="en-US" w:eastAsia="zh-CN" w:bidi="ar-SA"/>
      </w:rPr>
      <w:footnoteRef/>
      <w:t xml:space="preserve">                                     </w:t>
    </w:r>
    <w:r>
      <w:rPr>
        <w:rFonts w:ascii="宋体" w:hAnsi="宋体" w:eastAsia="宋体" w:cs="Times New Roman"/>
        <w:color w:val="808080"/>
        <w:spacing w:val="6"/>
        <w:sz w:val="21"/>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ind w:right="360"/>
      <w:jc w:val="both"/>
      <w:tabs>
        <w:tab w:val="center" w:pos="4153" w:leader="none"/>
        <w:tab w:val="right" w:pos="8306" w:leader="none"/>
      </w:tabs>
      <w:rPr>
        <w:rFonts w:hint="eastAsia"/>
      </w:rPr>
      <w:pBdr>
        <w:bottom w:val="none" w:color="000000" w:sz="0" w:space="0"/>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enter" w:pos="4153" w:leader="none"/>
        <w:tab w:val="right" w:pos="8306" w:leader="none"/>
      </w:tabs>
      <w:rPr>
        <w:rStyle w:val="830"/>
      </w:rPr>
      <w:framePr w:wrap="around" w:vAnchor="text" w:hAnchor="margin" w:xAlign="right" w:y="1"/>
    </w:pPr>
    <w:r>
      <w:fldChar w:fldCharType="begin"/>
    </w:r>
    <w:r>
      <w:rPr>
        <w:rStyle w:val="830"/>
      </w:rPr>
      <w:instrText xml:space="preserve">PAGE  </w:instrText>
    </w:r>
    <w:r>
      <w:fldChar w:fldCharType="end"/>
    </w:r>
    <w:r>
      <w:rPr>
        <w:rStyle w:val="830"/>
      </w:rPr>
    </w:r>
    <w:r/>
  </w:p>
  <w:p>
    <w:pPr>
      <w:pStyle w:val="799"/>
      <w:ind w:right="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69"/>
      <w:isLgl w:val="false"/>
      <w:suff w:val="tab"/>
      <w:lvlText w:val=""/>
      <w:lvlJc w:val="left"/>
      <w:pPr>
        <w:pStyle w:val="740"/>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40"/>
        <w:ind w:left="0" w:firstLine="0"/>
      </w:pPr>
      <w:rPr>
        <w:rFonts w:ascii="Times New Roman" w:hAnsi="Times New Roman"/>
        <w:b/>
        <w:i w:val="0"/>
        <w:sz w:val="21"/>
      </w:rPr>
    </w:lvl>
    <w:lvl w:ilvl="1">
      <w:start w:val="1"/>
      <w:numFmt w:val="decimal"/>
      <w:isLgl w:val="false"/>
      <w:suff w:val="nothing"/>
      <w:lvlText w:val="%1%2　"/>
      <w:lvlJc w:val="left"/>
      <w:pPr>
        <w:pStyle w:val="740"/>
        <w:ind w:left="360" w:firstLine="0"/>
      </w:pPr>
      <w:rPr>
        <w:rFonts w:hint="eastAsia" w:ascii="黑体" w:hAnsi="Times New Roman" w:eastAsia="黑体"/>
        <w:b w:val="0"/>
        <w:i w:val="0"/>
        <w:sz w:val="21"/>
      </w:rPr>
    </w:lvl>
    <w:lvl w:ilvl="2">
      <w:start w:val="1"/>
      <w:numFmt w:val="decimal"/>
      <w:isLgl w:val="false"/>
      <w:suff w:val="nothing"/>
      <w:lvlText w:val="%1%2.%3　"/>
      <w:lvlJc w:val="left"/>
      <w:pPr>
        <w:pStyle w:val="740"/>
        <w:ind w:left="0" w:firstLine="0"/>
      </w:pPr>
      <w:rPr>
        <w:rFonts w:hint="eastAsia" w:ascii="黑体" w:hAnsi="Times New Roman" w:eastAsia="黑体"/>
        <w:b w:val="0"/>
        <w:i w:val="0"/>
        <w:sz w:val="21"/>
      </w:rPr>
    </w:lvl>
    <w:lvl w:ilvl="3">
      <w:start w:val="1"/>
      <w:numFmt w:val="decimal"/>
      <w:pStyle w:val="780"/>
      <w:isLgl w:val="false"/>
      <w:suff w:val="nothing"/>
      <w:lvlText w:val="%1%2.%3.%4　"/>
      <w:lvlJc w:val="left"/>
      <w:pPr>
        <w:pStyle w:val="740"/>
        <w:ind w:left="540" w:firstLine="0"/>
      </w:pPr>
      <w:rPr>
        <w:rFonts w:hint="eastAsia" w:ascii="黑体" w:hAnsi="Times New Roman" w:eastAsia="黑体"/>
        <w:b w:val="0"/>
        <w:i w:val="0"/>
        <w:sz w:val="21"/>
      </w:rPr>
    </w:lvl>
    <w:lvl w:ilvl="4">
      <w:start w:val="1"/>
      <w:numFmt w:val="decimal"/>
      <w:pStyle w:val="779"/>
      <w:isLgl w:val="false"/>
      <w:suff w:val="nothing"/>
      <w:lvlText w:val="%1%2.%3.%4.%5　"/>
      <w:lvlJc w:val="left"/>
      <w:pPr>
        <w:pStyle w:val="740"/>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740"/>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40"/>
        <w:ind w:left="0" w:firstLine="0"/>
      </w:pPr>
      <w:rPr>
        <w:rFonts w:hint="eastAsia" w:ascii="黑体" w:hAnsi="Times New Roman" w:eastAsia="黑体"/>
        <w:b w:val="0"/>
        <w:i w:val="0"/>
        <w:sz w:val="21"/>
      </w:rPr>
    </w:lvl>
    <w:lvl w:ilvl="7">
      <w:start w:val="1"/>
      <w:numFmt w:val="decimal"/>
      <w:isLgl w:val="false"/>
      <w:suff w:val="tab"/>
      <w:lvlText w:val="%1.%2.%3.%4.%5.%6.%7.%8"/>
      <w:lvlJc w:val="left"/>
      <w:pPr>
        <w:pStyle w:val="740"/>
        <w:ind w:left="3969" w:hanging="1418"/>
        <w:tabs>
          <w:tab w:val="num" w:pos="4351" w:leader="none"/>
        </w:tabs>
      </w:pPr>
      <w:rPr>
        <w:rFonts w:hint="eastAsia"/>
      </w:rPr>
    </w:lvl>
    <w:lvl w:ilvl="8">
      <w:start w:val="1"/>
      <w:numFmt w:val="decimal"/>
      <w:isLgl w:val="false"/>
      <w:suff w:val="tab"/>
      <w:lvlText w:val="%1.%2.%3.%4.%5.%6.%7.%8.%9"/>
      <w:lvlJc w:val="left"/>
      <w:pPr>
        <w:pStyle w:val="740"/>
        <w:ind w:left="4677" w:hanging="1700"/>
        <w:tabs>
          <w:tab w:val="num" w:pos="4777" w:leader="none"/>
        </w:tabs>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0"/>
    <w:next w:val="74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0"/>
    <w:next w:val="74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0"/>
    <w:next w:val="74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0"/>
    <w:next w:val="74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0"/>
    <w:next w:val="7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0"/>
    <w:next w:val="7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0"/>
    <w:next w:val="7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0"/>
    <w:next w:val="7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0"/>
    <w:next w:val="7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40"/>
    <w:next w:val="74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0"/>
    <w:next w:val="74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0"/>
    <w:next w:val="740"/>
    <w:link w:val="38"/>
    <w:uiPriority w:val="29"/>
    <w:qFormat/>
    <w:pPr>
      <w:ind w:left="720" w:right="720"/>
    </w:pPr>
    <w:rPr>
      <w:i/>
    </w:rPr>
  </w:style>
  <w:style w:type="character" w:styleId="38">
    <w:name w:val="Quote Char"/>
    <w:link w:val="37"/>
    <w:uiPriority w:val="29"/>
    <w:rPr>
      <w:i/>
    </w:rPr>
  </w:style>
  <w:style w:type="paragraph" w:styleId="39">
    <w:name w:val="Intense Quote"/>
    <w:basedOn w:val="740"/>
    <w:next w:val="7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0"/>
    <w:next w:val="74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0"/>
    <w:next w:val="740"/>
    <w:uiPriority w:val="39"/>
    <w:unhideWhenUsed/>
    <w:pPr>
      <w:ind w:left="0" w:right="0" w:firstLine="0"/>
      <w:spacing w:after="57"/>
    </w:pPr>
  </w:style>
  <w:style w:type="paragraph" w:styleId="181">
    <w:name w:val="toc 2"/>
    <w:basedOn w:val="740"/>
    <w:next w:val="740"/>
    <w:uiPriority w:val="39"/>
    <w:unhideWhenUsed/>
    <w:pPr>
      <w:ind w:left="283" w:right="0" w:firstLine="0"/>
      <w:spacing w:after="57"/>
    </w:pPr>
  </w:style>
  <w:style w:type="paragraph" w:styleId="182">
    <w:name w:val="toc 3"/>
    <w:basedOn w:val="740"/>
    <w:next w:val="740"/>
    <w:uiPriority w:val="39"/>
    <w:unhideWhenUsed/>
    <w:pPr>
      <w:ind w:left="567" w:right="0" w:firstLine="0"/>
      <w:spacing w:after="57"/>
    </w:pPr>
  </w:style>
  <w:style w:type="paragraph" w:styleId="183">
    <w:name w:val="toc 4"/>
    <w:basedOn w:val="740"/>
    <w:next w:val="740"/>
    <w:uiPriority w:val="39"/>
    <w:unhideWhenUsed/>
    <w:pPr>
      <w:ind w:left="850" w:right="0" w:firstLine="0"/>
      <w:spacing w:after="57"/>
    </w:pPr>
  </w:style>
  <w:style w:type="paragraph" w:styleId="184">
    <w:name w:val="toc 5"/>
    <w:basedOn w:val="740"/>
    <w:next w:val="740"/>
    <w:uiPriority w:val="39"/>
    <w:unhideWhenUsed/>
    <w:pPr>
      <w:ind w:left="1134" w:right="0" w:firstLine="0"/>
      <w:spacing w:after="57"/>
    </w:pPr>
  </w:style>
  <w:style w:type="paragraph" w:styleId="185">
    <w:name w:val="toc 6"/>
    <w:basedOn w:val="740"/>
    <w:next w:val="740"/>
    <w:uiPriority w:val="39"/>
    <w:unhideWhenUsed/>
    <w:pPr>
      <w:ind w:left="1417" w:right="0" w:firstLine="0"/>
      <w:spacing w:after="57"/>
    </w:pPr>
  </w:style>
  <w:style w:type="paragraph" w:styleId="186">
    <w:name w:val="toc 7"/>
    <w:basedOn w:val="740"/>
    <w:next w:val="740"/>
    <w:uiPriority w:val="39"/>
    <w:unhideWhenUsed/>
    <w:pPr>
      <w:ind w:left="1701" w:right="0" w:firstLine="0"/>
      <w:spacing w:after="57"/>
    </w:pPr>
  </w:style>
  <w:style w:type="paragraph" w:styleId="187">
    <w:name w:val="toc 8"/>
    <w:basedOn w:val="740"/>
    <w:next w:val="740"/>
    <w:uiPriority w:val="39"/>
    <w:unhideWhenUsed/>
    <w:pPr>
      <w:ind w:left="1984" w:right="0" w:firstLine="0"/>
      <w:spacing w:after="57"/>
    </w:pPr>
  </w:style>
  <w:style w:type="paragraph" w:styleId="188">
    <w:name w:val="toc 9"/>
    <w:basedOn w:val="740"/>
    <w:next w:val="74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0"/>
    <w:next w:val="740"/>
    <w:uiPriority w:val="99"/>
    <w:unhideWhenUsed/>
    <w:pPr>
      <w:spacing w:after="0" w:afterAutospacing="0"/>
    </w:pPr>
  </w:style>
  <w:style w:type="paragraph" w:styleId="740" w:default="1">
    <w:name w:val="Normal"/>
    <w:next w:val="752"/>
    <w:link w:val="740"/>
    <w:qFormat/>
    <w:pPr>
      <w:jc w:val="both"/>
      <w:widowControl w:val="off"/>
    </w:pPr>
    <w:rPr>
      <w:sz w:val="21"/>
      <w:lang w:val="en-US" w:eastAsia="zh-CN" w:bidi="ar-SA"/>
    </w:rPr>
  </w:style>
  <w:style w:type="paragraph" w:styleId="741">
    <w:name w:val="标题 1"/>
    <w:basedOn w:val="740"/>
    <w:next w:val="740"/>
    <w:link w:val="740"/>
    <w:qFormat/>
    <w:pPr>
      <w:jc w:val="center"/>
      <w:keepLines/>
      <w:keepNext/>
      <w:tabs>
        <w:tab w:val="left" w:pos="1134" w:leader="none"/>
      </w:tabs>
      <w:outlineLvl w:val="0"/>
    </w:pPr>
    <w:rPr>
      <w:rFonts w:ascii="宋体" w:hAnsi="宋体"/>
      <w:b/>
    </w:rPr>
  </w:style>
  <w:style w:type="paragraph" w:styleId="742">
    <w:name w:val="标题 2"/>
    <w:basedOn w:val="740"/>
    <w:next w:val="740"/>
    <w:link w:val="754"/>
    <w:qFormat/>
    <w:pPr>
      <w:keepLines/>
      <w:keepNext/>
      <w:spacing w:before="260" w:after="260" w:line="413" w:lineRule="auto"/>
      <w:outlineLvl w:val="1"/>
    </w:pPr>
    <w:rPr>
      <w:rFonts w:ascii="Arial" w:hAnsi="Arial" w:eastAsia="黑体"/>
      <w:b/>
      <w:sz w:val="32"/>
    </w:rPr>
  </w:style>
  <w:style w:type="paragraph" w:styleId="743">
    <w:name w:val="标题 3"/>
    <w:basedOn w:val="740"/>
    <w:next w:val="756"/>
    <w:link w:val="755"/>
    <w:qFormat/>
    <w:pPr>
      <w:ind w:left="420" w:hanging="420"/>
      <w:keepLines/>
      <w:keepNext/>
      <w:spacing w:before="120" w:after="120" w:line="360" w:lineRule="auto"/>
      <w:tabs>
        <w:tab w:val="left" w:pos="567" w:leader="none"/>
        <w:tab w:val="left" w:pos="1080" w:leader="none"/>
      </w:tabs>
      <w:outlineLvl w:val="2"/>
    </w:pPr>
    <w:rPr>
      <w:rFonts w:ascii="宋体" w:hAnsi="宋体"/>
      <w:b/>
      <w:sz w:val="24"/>
    </w:rPr>
  </w:style>
  <w:style w:type="paragraph" w:styleId="744">
    <w:name w:val="标题 4"/>
    <w:basedOn w:val="740"/>
    <w:next w:val="756"/>
    <w:link w:val="757"/>
    <w:qFormat/>
    <w:pPr>
      <w:keepLines/>
      <w:keepNext/>
      <w:spacing w:before="120" w:after="120" w:line="360" w:lineRule="auto"/>
      <w:outlineLvl w:val="3"/>
    </w:pPr>
    <w:rPr>
      <w:rFonts w:ascii="宋体" w:hAnsi="宋体"/>
      <w:b/>
      <w:sz w:val="24"/>
    </w:rPr>
  </w:style>
  <w:style w:type="paragraph" w:styleId="745">
    <w:name w:val="标题 5"/>
    <w:basedOn w:val="740"/>
    <w:next w:val="740"/>
    <w:link w:val="758"/>
    <w:qFormat/>
    <w:pPr>
      <w:keepLines/>
      <w:keepNext/>
      <w:spacing w:before="280" w:after="290" w:line="376" w:lineRule="atLeast"/>
      <w:outlineLvl w:val="4"/>
    </w:pPr>
    <w:rPr>
      <w:b/>
      <w:sz w:val="28"/>
    </w:rPr>
  </w:style>
  <w:style w:type="paragraph" w:styleId="746">
    <w:name w:val="标题 6"/>
    <w:basedOn w:val="740"/>
    <w:next w:val="740"/>
    <w:link w:val="759"/>
    <w:qFormat/>
    <w:pPr>
      <w:keepLines/>
      <w:keepNext/>
      <w:spacing w:before="240" w:after="64" w:line="320" w:lineRule="atLeast"/>
      <w:outlineLvl w:val="5"/>
    </w:pPr>
    <w:rPr>
      <w:rFonts w:ascii="Arial" w:hAnsi="Arial" w:eastAsia="黑体"/>
      <w:b/>
      <w:sz w:val="24"/>
    </w:rPr>
  </w:style>
  <w:style w:type="paragraph" w:styleId="747">
    <w:name w:val="标题 7"/>
    <w:basedOn w:val="740"/>
    <w:next w:val="740"/>
    <w:link w:val="760"/>
    <w:qFormat/>
    <w:pPr>
      <w:keepLines/>
      <w:keepNext/>
      <w:spacing w:before="240" w:after="64" w:line="320" w:lineRule="atLeast"/>
      <w:outlineLvl w:val="6"/>
    </w:pPr>
    <w:rPr>
      <w:b/>
      <w:sz w:val="24"/>
    </w:rPr>
  </w:style>
  <w:style w:type="paragraph" w:styleId="748">
    <w:name w:val="标题 8"/>
    <w:basedOn w:val="740"/>
    <w:next w:val="740"/>
    <w:link w:val="761"/>
    <w:qFormat/>
    <w:pPr>
      <w:keepLines/>
      <w:keepNext/>
      <w:spacing w:before="240" w:after="64" w:line="320" w:lineRule="atLeast"/>
      <w:outlineLvl w:val="7"/>
    </w:pPr>
    <w:rPr>
      <w:rFonts w:ascii="Arial" w:hAnsi="Arial" w:eastAsia="黑体"/>
      <w:sz w:val="24"/>
    </w:rPr>
  </w:style>
  <w:style w:type="paragraph" w:styleId="749">
    <w:name w:val="标题 9"/>
    <w:basedOn w:val="740"/>
    <w:next w:val="740"/>
    <w:link w:val="762"/>
    <w:qFormat/>
    <w:pPr>
      <w:keepLines/>
      <w:keepNext/>
      <w:spacing w:before="240" w:after="64" w:line="320" w:lineRule="atLeast"/>
      <w:outlineLvl w:val="8"/>
    </w:pPr>
    <w:rPr>
      <w:rFonts w:ascii="Arial" w:hAnsi="Arial" w:eastAsia="黑体"/>
    </w:rPr>
  </w:style>
  <w:style w:type="character" w:styleId="750">
    <w:name w:val="默认段落字体"/>
    <w:next w:val="750"/>
    <w:link w:val="740"/>
    <w:semiHidden/>
  </w:style>
  <w:style w:type="table" w:styleId="751">
    <w:name w:val="普通表格"/>
    <w:next w:val="751"/>
    <w:link w:val="740"/>
    <w:semiHidden/>
    <w:tblPr/>
  </w:style>
  <w:style w:type="paragraph" w:styleId="752">
    <w:name w:val="正文文本缩进"/>
    <w:basedOn w:val="740"/>
    <w:next w:val="740"/>
    <w:link w:val="753"/>
    <w:pPr>
      <w:ind w:left="570"/>
      <w:spacing w:line="520" w:lineRule="atLeast"/>
    </w:pPr>
    <w:rPr>
      <w:rFonts w:ascii="方正仿宋简体" w:hAnsi="创艺简仿宋" w:eastAsia="方正仿宋简体"/>
      <w:sz w:val="24"/>
    </w:rPr>
  </w:style>
  <w:style w:type="character" w:styleId="753">
    <w:name w:val="正文文本缩进 Char"/>
    <w:next w:val="753"/>
    <w:link w:val="752"/>
    <w:rPr>
      <w:rFonts w:ascii="方正仿宋简体" w:hAnsi="创艺简仿宋" w:eastAsia="方正仿宋简体"/>
      <w:sz w:val="24"/>
      <w:lang w:val="en-US" w:eastAsia="zh-CN" w:bidi="ar-SA"/>
    </w:rPr>
  </w:style>
  <w:style w:type="character" w:styleId="754">
    <w:name w:val="标题 2 Char"/>
    <w:next w:val="754"/>
    <w:link w:val="742"/>
    <w:rPr>
      <w:rFonts w:ascii="Arial" w:hAnsi="Arial" w:eastAsia="黑体"/>
      <w:b/>
      <w:sz w:val="32"/>
      <w:lang w:val="en-US" w:eastAsia="zh-CN" w:bidi="ar-SA"/>
    </w:rPr>
  </w:style>
  <w:style w:type="character" w:styleId="755">
    <w:name w:val="标题 3 Char"/>
    <w:next w:val="755"/>
    <w:link w:val="743"/>
    <w:rPr>
      <w:rFonts w:ascii="宋体" w:hAnsi="宋体" w:eastAsia="宋体"/>
      <w:b/>
      <w:sz w:val="24"/>
      <w:lang w:val="en-US" w:eastAsia="zh-CN" w:bidi="ar-SA"/>
    </w:rPr>
  </w:style>
  <w:style w:type="paragraph" w:styleId="756">
    <w:name w:val="正文文本 Char Char"/>
    <w:basedOn w:val="740"/>
    <w:next w:val="756"/>
    <w:link w:val="740"/>
    <w:pPr>
      <w:jc w:val="center"/>
    </w:pPr>
  </w:style>
  <w:style w:type="character" w:styleId="757">
    <w:name w:val="标题 4 Char"/>
    <w:next w:val="757"/>
    <w:link w:val="744"/>
    <w:rPr>
      <w:rFonts w:ascii="宋体" w:hAnsi="宋体" w:eastAsia="宋体"/>
      <w:b/>
      <w:sz w:val="24"/>
      <w:lang w:val="en-US" w:eastAsia="zh-CN" w:bidi="ar-SA"/>
    </w:rPr>
  </w:style>
  <w:style w:type="character" w:styleId="758">
    <w:name w:val="标题 5 Char"/>
    <w:next w:val="758"/>
    <w:link w:val="745"/>
    <w:rPr>
      <w:rFonts w:eastAsia="宋体"/>
      <w:b/>
      <w:sz w:val="28"/>
      <w:lang w:val="en-US" w:eastAsia="zh-CN" w:bidi="ar-SA"/>
    </w:rPr>
  </w:style>
  <w:style w:type="character" w:styleId="759">
    <w:name w:val="标题 6 Char"/>
    <w:next w:val="759"/>
    <w:link w:val="746"/>
    <w:rPr>
      <w:rFonts w:ascii="Arial" w:hAnsi="Arial" w:eastAsia="黑体"/>
      <w:b/>
      <w:sz w:val="24"/>
      <w:lang w:val="en-US" w:eastAsia="zh-CN" w:bidi="ar-SA"/>
    </w:rPr>
  </w:style>
  <w:style w:type="character" w:styleId="760">
    <w:name w:val="标题 7 Char"/>
    <w:next w:val="760"/>
    <w:link w:val="747"/>
    <w:rPr>
      <w:rFonts w:eastAsia="宋体"/>
      <w:b/>
      <w:sz w:val="24"/>
      <w:lang w:val="en-US" w:eastAsia="zh-CN" w:bidi="ar-SA"/>
    </w:rPr>
  </w:style>
  <w:style w:type="character" w:styleId="761">
    <w:name w:val="标题 8 Char"/>
    <w:next w:val="761"/>
    <w:link w:val="748"/>
    <w:rPr>
      <w:rFonts w:ascii="Arial" w:hAnsi="Arial" w:eastAsia="黑体"/>
      <w:sz w:val="24"/>
      <w:lang w:val="en-US" w:eastAsia="zh-CN" w:bidi="ar-SA"/>
    </w:rPr>
  </w:style>
  <w:style w:type="character" w:styleId="762">
    <w:name w:val="标题 9 Char"/>
    <w:next w:val="762"/>
    <w:link w:val="749"/>
    <w:rPr>
      <w:rFonts w:ascii="Arial" w:hAnsi="Arial" w:eastAsia="黑体"/>
      <w:sz w:val="21"/>
      <w:lang w:val="en-US" w:eastAsia="zh-CN" w:bidi="ar-SA"/>
    </w:rPr>
  </w:style>
  <w:style w:type="paragraph" w:styleId="763">
    <w:name w:val="目录 7"/>
    <w:basedOn w:val="740"/>
    <w:next w:val="740"/>
    <w:link w:val="740"/>
    <w:pPr>
      <w:ind w:left="2520"/>
    </w:pPr>
    <w:rPr>
      <w:rFonts w:eastAsia="楷体_GB2312"/>
      <w:sz w:val="26"/>
    </w:rPr>
  </w:style>
  <w:style w:type="paragraph" w:styleId="764">
    <w:name w:val="索引 8"/>
    <w:basedOn w:val="740"/>
    <w:next w:val="740"/>
    <w:link w:val="740"/>
    <w:pPr>
      <w:ind w:left="2940"/>
    </w:pPr>
    <w:rPr>
      <w:rFonts w:eastAsia="楷体_GB2312"/>
      <w:sz w:val="26"/>
    </w:rPr>
  </w:style>
  <w:style w:type="paragraph" w:styleId="765">
    <w:name w:val="列表编号"/>
    <w:basedOn w:val="740"/>
    <w:next w:val="765"/>
    <w:link w:val="740"/>
    <w:pPr>
      <w:ind w:left="1125" w:hanging="555"/>
      <w:tabs>
        <w:tab w:val="left" w:pos="1125" w:leader="none"/>
      </w:tabs>
    </w:pPr>
    <w:rPr>
      <w:szCs w:val="24"/>
    </w:rPr>
  </w:style>
  <w:style w:type="paragraph" w:styleId="766">
    <w:name w:val="正文缩进"/>
    <w:basedOn w:val="740"/>
    <w:next w:val="740"/>
    <w:link w:val="767"/>
    <w:qFormat/>
    <w:pPr>
      <w:ind w:firstLine="420"/>
    </w:pPr>
  </w:style>
  <w:style w:type="character" w:styleId="767">
    <w:name w:val="正文缩进 Char"/>
    <w:next w:val="767"/>
    <w:link w:val="766"/>
    <w:qFormat/>
    <w:rPr>
      <w:rFonts w:eastAsia="宋体"/>
      <w:sz w:val="21"/>
      <w:lang w:val="en-US" w:eastAsia="zh-CN" w:bidi="ar-SA"/>
    </w:rPr>
  </w:style>
  <w:style w:type="paragraph" w:styleId="768">
    <w:name w:val="索引 5"/>
    <w:basedOn w:val="740"/>
    <w:next w:val="740"/>
    <w:link w:val="740"/>
    <w:pPr>
      <w:ind w:left="1680"/>
    </w:pPr>
    <w:rPr>
      <w:rFonts w:eastAsia="楷体_GB2312"/>
      <w:sz w:val="26"/>
    </w:rPr>
  </w:style>
  <w:style w:type="paragraph" w:styleId="769">
    <w:name w:val="列表项目符号"/>
    <w:basedOn w:val="741"/>
    <w:next w:val="740"/>
    <w:link w:val="740"/>
    <w:pPr>
      <w:numPr>
        <w:ilvl w:val="0"/>
        <w:numId w:val="1"/>
      </w:numPr>
      <w:tabs>
        <w:tab w:val="left" w:pos="360" w:leader="none"/>
      </w:tabs>
    </w:pPr>
  </w:style>
  <w:style w:type="paragraph" w:styleId="770">
    <w:name w:val="文档结构图"/>
    <w:basedOn w:val="740"/>
    <w:next w:val="770"/>
    <w:link w:val="771"/>
    <w:pPr>
      <w:shd w:val="clear" w:color="auto" w:fill="000080"/>
    </w:pPr>
  </w:style>
  <w:style w:type="character" w:styleId="771">
    <w:name w:val="文档结构图 Char"/>
    <w:next w:val="771"/>
    <w:link w:val="770"/>
    <w:rPr>
      <w:rFonts w:eastAsia="宋体"/>
      <w:sz w:val="21"/>
      <w:lang w:val="en-US" w:eastAsia="zh-CN" w:bidi="ar-SA"/>
    </w:rPr>
  </w:style>
  <w:style w:type="paragraph" w:styleId="772">
    <w:name w:val="批注文字"/>
    <w:basedOn w:val="740"/>
    <w:next w:val="772"/>
    <w:link w:val="773"/>
    <w:semiHidden/>
    <w:pPr>
      <w:jc w:val="left"/>
    </w:pPr>
  </w:style>
  <w:style w:type="character" w:styleId="773">
    <w:name w:val="批注文字 Char"/>
    <w:next w:val="773"/>
    <w:link w:val="772"/>
    <w:rPr>
      <w:rFonts w:eastAsia="宋体"/>
      <w:sz w:val="21"/>
      <w:lang w:val="en-US" w:eastAsia="zh-CN" w:bidi="ar-SA"/>
    </w:rPr>
  </w:style>
  <w:style w:type="paragraph" w:styleId="774">
    <w:name w:val="索引 6"/>
    <w:basedOn w:val="740"/>
    <w:next w:val="740"/>
    <w:link w:val="740"/>
    <w:pPr>
      <w:ind w:left="2100"/>
    </w:pPr>
    <w:rPr>
      <w:rFonts w:eastAsia="楷体_GB2312"/>
      <w:sz w:val="26"/>
    </w:rPr>
  </w:style>
  <w:style w:type="paragraph" w:styleId="775">
    <w:name w:val="正文文本 3"/>
    <w:basedOn w:val="740"/>
    <w:next w:val="775"/>
    <w:link w:val="776"/>
    <w:pPr>
      <w:spacing w:after="120"/>
    </w:pPr>
    <w:rPr>
      <w:sz w:val="16"/>
    </w:rPr>
  </w:style>
  <w:style w:type="character" w:styleId="776">
    <w:name w:val="正文文本 3 Char"/>
    <w:next w:val="776"/>
    <w:link w:val="775"/>
    <w:rPr>
      <w:rFonts w:eastAsia="宋体"/>
      <w:sz w:val="16"/>
      <w:lang w:val="en-US" w:eastAsia="zh-CN" w:bidi="ar-SA"/>
    </w:rPr>
  </w:style>
  <w:style w:type="paragraph" w:styleId="777">
    <w:name w:val="正文文本"/>
    <w:basedOn w:val="740"/>
    <w:next w:val="779"/>
    <w:link w:val="778"/>
    <w:pPr>
      <w:spacing w:after="120"/>
    </w:pPr>
  </w:style>
  <w:style w:type="character" w:styleId="778">
    <w:name w:val="正文文本 Char1"/>
    <w:next w:val="778"/>
    <w:link w:val="777"/>
    <w:rPr>
      <w:rFonts w:eastAsia="宋体"/>
      <w:sz w:val="21"/>
      <w:lang w:val="en-US" w:eastAsia="zh-CN" w:bidi="ar-SA"/>
    </w:rPr>
  </w:style>
  <w:style w:type="paragraph" w:styleId="779">
    <w:name w:val="一级条标题"/>
    <w:basedOn w:val="780"/>
    <w:next w:val="781"/>
    <w:link w:val="740"/>
    <w:qFormat/>
    <w:pPr>
      <w:numPr>
        <w:ilvl w:val="4"/>
        <w:numId w:val="2"/>
      </w:numPr>
      <w:spacing w:before="0" w:after="0"/>
      <w:outlineLvl w:val="2"/>
    </w:pPr>
  </w:style>
  <w:style w:type="paragraph" w:styleId="780">
    <w:name w:val="章标题"/>
    <w:next w:val="740"/>
    <w:link w:val="740"/>
    <w:qFormat/>
    <w:pPr>
      <w:numPr>
        <w:ilvl w:val="3"/>
        <w:numId w:val="2"/>
      </w:numPr>
      <w:ind w:left="360"/>
      <w:spacing w:before="50" w:after="50"/>
      <w:outlineLvl w:val="1"/>
    </w:pPr>
    <w:rPr>
      <w:rFonts w:ascii="黑体" w:eastAsia="黑体"/>
      <w:sz w:val="24"/>
      <w:lang w:val="en-US" w:eastAsia="zh-CN" w:bidi="ar-SA"/>
    </w:rPr>
  </w:style>
  <w:style w:type="paragraph" w:styleId="781">
    <w:name w:val="段"/>
    <w:next w:val="740"/>
    <w:link w:val="740"/>
    <w:qFormat/>
    <w:pPr>
      <w:ind w:firstLine="200"/>
      <w:jc w:val="both"/>
    </w:pPr>
    <w:rPr>
      <w:rFonts w:ascii="宋体"/>
      <w:lang w:val="en-US" w:eastAsia="zh-CN" w:bidi="ar-SA"/>
    </w:rPr>
  </w:style>
  <w:style w:type="paragraph" w:styleId="782">
    <w:name w:val="文本块"/>
    <w:basedOn w:val="741"/>
    <w:next w:val="740"/>
    <w:link w:val="740"/>
    <w:pPr>
      <w:ind w:left="630" w:right="-609" w:firstLine="420"/>
      <w:spacing w:line="360" w:lineRule="auto"/>
      <w:tabs>
        <w:tab w:val="left" w:pos="1134" w:leader="none"/>
      </w:tabs>
    </w:pPr>
    <w:rPr>
      <w:rFonts w:hint="eastAsia" w:ascii="仿宋_GB2312" w:eastAsia="仿宋_GB2312"/>
    </w:rPr>
  </w:style>
  <w:style w:type="paragraph" w:styleId="783">
    <w:name w:val="索引 4"/>
    <w:basedOn w:val="740"/>
    <w:next w:val="740"/>
    <w:link w:val="740"/>
    <w:pPr>
      <w:ind w:left="1260"/>
    </w:pPr>
    <w:rPr>
      <w:rFonts w:eastAsia="楷体_GB2312"/>
      <w:sz w:val="26"/>
    </w:rPr>
  </w:style>
  <w:style w:type="paragraph" w:styleId="784">
    <w:name w:val="目录 5"/>
    <w:basedOn w:val="740"/>
    <w:next w:val="740"/>
    <w:link w:val="740"/>
    <w:pPr>
      <w:ind w:left="1680"/>
    </w:pPr>
    <w:rPr>
      <w:rFonts w:eastAsia="楷体_GB2312"/>
      <w:sz w:val="26"/>
    </w:rPr>
  </w:style>
  <w:style w:type="paragraph" w:styleId="785">
    <w:name w:val="目录 3"/>
    <w:basedOn w:val="740"/>
    <w:next w:val="740"/>
    <w:link w:val="740"/>
    <w:pPr>
      <w:ind w:left="840"/>
    </w:pPr>
    <w:rPr>
      <w:rFonts w:eastAsia="楷体_GB2312"/>
      <w:sz w:val="26"/>
    </w:rPr>
  </w:style>
  <w:style w:type="paragraph" w:styleId="786">
    <w:name w:val="纯文本"/>
    <w:basedOn w:val="740"/>
    <w:next w:val="786"/>
    <w:link w:val="787"/>
    <w:rPr>
      <w:rFonts w:ascii="宋体" w:hAnsi="Courier New" w:eastAsia="楷体_GB2312"/>
      <w:sz w:val="28"/>
    </w:rPr>
  </w:style>
  <w:style w:type="character" w:styleId="787">
    <w:name w:val="纯文本 Char"/>
    <w:next w:val="787"/>
    <w:link w:val="786"/>
    <w:rPr>
      <w:rFonts w:ascii="宋体" w:hAnsi="Courier New" w:eastAsia="楷体_GB2312"/>
      <w:sz w:val="28"/>
      <w:lang w:val="en-US" w:eastAsia="zh-CN" w:bidi="ar-SA"/>
    </w:rPr>
  </w:style>
  <w:style w:type="paragraph" w:styleId="788">
    <w:name w:val="目录 8"/>
    <w:basedOn w:val="740"/>
    <w:next w:val="740"/>
    <w:link w:val="740"/>
    <w:pPr>
      <w:ind w:left="2940"/>
    </w:pPr>
    <w:rPr>
      <w:rFonts w:eastAsia="楷体_GB2312"/>
      <w:sz w:val="26"/>
    </w:rPr>
  </w:style>
  <w:style w:type="paragraph" w:styleId="789">
    <w:name w:val="索引 3"/>
    <w:basedOn w:val="740"/>
    <w:next w:val="740"/>
    <w:link w:val="740"/>
    <w:pPr>
      <w:ind w:left="840"/>
    </w:pPr>
    <w:rPr>
      <w:rFonts w:eastAsia="楷体_GB2312"/>
      <w:sz w:val="26"/>
    </w:rPr>
  </w:style>
  <w:style w:type="paragraph" w:styleId="790">
    <w:name w:val="日期"/>
    <w:basedOn w:val="740"/>
    <w:next w:val="740"/>
    <w:link w:val="791"/>
    <w:rPr>
      <w:rFonts w:ascii="黑体"/>
      <w:position w:val="6"/>
    </w:rPr>
  </w:style>
  <w:style w:type="character" w:styleId="791">
    <w:name w:val="日期 Char"/>
    <w:next w:val="791"/>
    <w:link w:val="790"/>
    <w:rPr>
      <w:rFonts w:ascii="黑体" w:eastAsia="宋体"/>
      <w:position w:val="6"/>
      <w:sz w:val="21"/>
      <w:lang w:val="en-US" w:eastAsia="zh-CN" w:bidi="ar-SA"/>
    </w:rPr>
  </w:style>
  <w:style w:type="paragraph" w:styleId="792">
    <w:name w:val="正文文本缩进 2"/>
    <w:basedOn w:val="740"/>
    <w:next w:val="792"/>
    <w:link w:val="793"/>
    <w:pPr>
      <w:ind w:firstLine="570"/>
      <w:spacing w:line="520" w:lineRule="atLeast"/>
    </w:pPr>
    <w:rPr>
      <w:rFonts w:ascii="方正仿宋简体" w:hAnsi="创艺简仿宋" w:eastAsia="方正仿宋简体"/>
      <w:sz w:val="24"/>
    </w:rPr>
  </w:style>
  <w:style w:type="character" w:styleId="793">
    <w:name w:val="正文文本缩进 2 Char"/>
    <w:next w:val="793"/>
    <w:link w:val="792"/>
    <w:rPr>
      <w:rFonts w:ascii="方正仿宋简体" w:hAnsi="创艺简仿宋" w:eastAsia="方正仿宋简体"/>
      <w:sz w:val="24"/>
      <w:lang w:val="en-US" w:eastAsia="zh-CN" w:bidi="ar-SA"/>
    </w:rPr>
  </w:style>
  <w:style w:type="paragraph" w:styleId="794">
    <w:name w:val="批注框文本"/>
    <w:basedOn w:val="740"/>
    <w:next w:val="794"/>
    <w:link w:val="795"/>
    <w:uiPriority w:val="99"/>
    <w:qFormat/>
    <w:rPr>
      <w:sz w:val="18"/>
    </w:rPr>
  </w:style>
  <w:style w:type="character" w:styleId="795">
    <w:name w:val="批注框文本 Char"/>
    <w:next w:val="795"/>
    <w:link w:val="794"/>
    <w:uiPriority w:val="99"/>
    <w:rPr>
      <w:sz w:val="18"/>
      <w:lang w:bidi="ar-SA"/>
    </w:rPr>
  </w:style>
  <w:style w:type="paragraph" w:styleId="796">
    <w:name w:val="页脚"/>
    <w:basedOn w:val="740"/>
    <w:next w:val="796"/>
    <w:link w:val="797"/>
    <w:uiPriority w:val="99"/>
    <w:pPr>
      <w:jc w:val="left"/>
      <w:tabs>
        <w:tab w:val="center" w:pos="4153" w:leader="none"/>
        <w:tab w:val="right" w:pos="8306" w:leader="none"/>
      </w:tabs>
    </w:pPr>
    <w:rPr>
      <w:sz w:val="18"/>
    </w:rPr>
  </w:style>
  <w:style w:type="character" w:styleId="797">
    <w:name w:val="页脚 Char"/>
    <w:next w:val="797"/>
    <w:link w:val="796"/>
    <w:uiPriority w:val="99"/>
    <w:rPr>
      <w:rFonts w:eastAsia="宋体"/>
      <w:sz w:val="18"/>
      <w:lang w:val="en-US" w:eastAsia="zh-CN" w:bidi="ar-SA"/>
    </w:rPr>
  </w:style>
  <w:style w:type="paragraph" w:styleId="798">
    <w:name w:val="寄信人地址"/>
    <w:basedOn w:val="740"/>
    <w:next w:val="798"/>
    <w:link w:val="740"/>
    <w:qFormat/>
    <w:rPr>
      <w:rFonts w:ascii="Arial" w:hAnsi="Arial"/>
    </w:rPr>
  </w:style>
  <w:style w:type="paragraph" w:styleId="799">
    <w:name w:val="页眉"/>
    <w:basedOn w:val="740"/>
    <w:next w:val="799"/>
    <w:link w:val="800"/>
    <w:pPr>
      <w:jc w:val="center"/>
      <w:tabs>
        <w:tab w:val="center" w:pos="4153" w:leader="none"/>
        <w:tab w:val="right" w:pos="8306" w:leader="none"/>
      </w:tabs>
      <w:pBdr>
        <w:bottom w:val="single" w:color="000000" w:sz="6" w:space="1"/>
      </w:pBdr>
    </w:pPr>
    <w:rPr>
      <w:sz w:val="18"/>
    </w:rPr>
  </w:style>
  <w:style w:type="character" w:styleId="800">
    <w:name w:val="页眉 Char"/>
    <w:next w:val="800"/>
    <w:link w:val="799"/>
    <w:rPr>
      <w:rFonts w:eastAsia="宋体"/>
      <w:sz w:val="18"/>
      <w:lang w:val="en-US" w:eastAsia="zh-CN" w:bidi="ar-SA"/>
    </w:rPr>
  </w:style>
  <w:style w:type="paragraph" w:styleId="801">
    <w:name w:val="目录 1"/>
    <w:basedOn w:val="741"/>
    <w:next w:val="740"/>
    <w:link w:val="740"/>
    <w:pPr>
      <w:ind w:left="480"/>
      <w:jc w:val="left"/>
      <w:spacing w:line="360" w:lineRule="auto"/>
      <w:tabs>
        <w:tab w:val="right" w:pos="9022" w:leader="dot"/>
      </w:tabs>
    </w:pPr>
    <w:rPr>
      <w:rFonts w:eastAsia="楷体_GB2312"/>
      <w:b w:val="0"/>
      <w:sz w:val="32"/>
      <w:szCs w:val="32"/>
    </w:rPr>
  </w:style>
  <w:style w:type="paragraph" w:styleId="802">
    <w:name w:val="目录 4"/>
    <w:basedOn w:val="740"/>
    <w:next w:val="740"/>
    <w:link w:val="740"/>
    <w:pPr>
      <w:ind w:left="1260"/>
    </w:pPr>
    <w:rPr>
      <w:rFonts w:eastAsia="楷体_GB2312"/>
      <w:sz w:val="26"/>
    </w:rPr>
  </w:style>
  <w:style w:type="paragraph" w:styleId="803">
    <w:name w:val="索引标题"/>
    <w:basedOn w:val="740"/>
    <w:next w:val="804"/>
    <w:link w:val="740"/>
    <w:rPr>
      <w:rFonts w:eastAsia="楷体_GB2312"/>
      <w:sz w:val="26"/>
    </w:rPr>
  </w:style>
  <w:style w:type="paragraph" w:styleId="804">
    <w:name w:val="索引 1"/>
    <w:basedOn w:val="740"/>
    <w:next w:val="740"/>
    <w:link w:val="740"/>
    <w:rPr>
      <w:rFonts w:eastAsia="楷体_GB2312"/>
      <w:sz w:val="26"/>
    </w:rPr>
  </w:style>
  <w:style w:type="paragraph" w:styleId="805">
    <w:name w:val="脚注文本"/>
    <w:basedOn w:val="741"/>
    <w:next w:val="782"/>
    <w:link w:val="806"/>
    <w:pPr>
      <w:jc w:val="left"/>
      <w:tabs>
        <w:tab w:val="left" w:pos="1134" w:leader="none"/>
      </w:tabs>
    </w:pPr>
    <w:rPr>
      <w:rFonts w:eastAsia="楷体_GB2312"/>
      <w:sz w:val="18"/>
    </w:rPr>
  </w:style>
  <w:style w:type="character" w:styleId="806">
    <w:name w:val="脚注文本 Char"/>
    <w:next w:val="806"/>
    <w:link w:val="805"/>
    <w:rPr>
      <w:rFonts w:eastAsia="楷体_GB2312"/>
      <w:sz w:val="18"/>
    </w:rPr>
  </w:style>
  <w:style w:type="paragraph" w:styleId="807">
    <w:name w:val="目录 6"/>
    <w:basedOn w:val="740"/>
    <w:next w:val="740"/>
    <w:link w:val="740"/>
    <w:pPr>
      <w:ind w:left="2100"/>
    </w:pPr>
    <w:rPr>
      <w:rFonts w:eastAsia="楷体_GB2312"/>
      <w:sz w:val="26"/>
    </w:rPr>
  </w:style>
  <w:style w:type="paragraph" w:styleId="808">
    <w:name w:val="正文文本缩进 3"/>
    <w:basedOn w:val="740"/>
    <w:next w:val="808"/>
    <w:link w:val="809"/>
    <w:pPr>
      <w:ind w:left="420"/>
      <w:spacing w:after="120"/>
    </w:pPr>
    <w:rPr>
      <w:sz w:val="16"/>
    </w:rPr>
  </w:style>
  <w:style w:type="character" w:styleId="809">
    <w:name w:val="正文文本缩进 3 Char"/>
    <w:next w:val="809"/>
    <w:link w:val="808"/>
    <w:rPr>
      <w:sz w:val="16"/>
      <w:lang w:bidi="ar-SA"/>
    </w:rPr>
  </w:style>
  <w:style w:type="paragraph" w:styleId="810">
    <w:name w:val="索引 7"/>
    <w:basedOn w:val="740"/>
    <w:next w:val="740"/>
    <w:link w:val="740"/>
    <w:pPr>
      <w:ind w:left="2520"/>
    </w:pPr>
    <w:rPr>
      <w:rFonts w:eastAsia="楷体_GB2312"/>
      <w:sz w:val="26"/>
    </w:rPr>
  </w:style>
  <w:style w:type="paragraph" w:styleId="811">
    <w:name w:val="索引 9"/>
    <w:basedOn w:val="740"/>
    <w:next w:val="740"/>
    <w:link w:val="740"/>
    <w:pPr>
      <w:ind w:left="3360"/>
    </w:pPr>
    <w:rPr>
      <w:rFonts w:eastAsia="楷体_GB2312"/>
      <w:sz w:val="26"/>
    </w:rPr>
  </w:style>
  <w:style w:type="paragraph" w:styleId="812">
    <w:name w:val="图表目录"/>
    <w:basedOn w:val="740"/>
    <w:next w:val="740"/>
    <w:link w:val="740"/>
    <w:pPr>
      <w:ind w:left="420" w:hanging="420"/>
      <w:jc w:val="left"/>
    </w:pPr>
    <w:rPr>
      <w:rFonts w:eastAsia="楷体_GB2312"/>
      <w:smallCaps/>
      <w:sz w:val="24"/>
    </w:rPr>
  </w:style>
  <w:style w:type="paragraph" w:styleId="813">
    <w:name w:val="目录 2"/>
    <w:basedOn w:val="741"/>
    <w:next w:val="740"/>
    <w:link w:val="740"/>
    <w:pPr>
      <w:ind w:left="420"/>
      <w:tabs>
        <w:tab w:val="left" w:pos="1134" w:leader="none"/>
      </w:tabs>
    </w:pPr>
    <w:rPr>
      <w:rFonts w:eastAsia="楷体_GB2312"/>
      <w:sz w:val="26"/>
    </w:rPr>
  </w:style>
  <w:style w:type="paragraph" w:styleId="814">
    <w:name w:val="目录 9"/>
    <w:basedOn w:val="740"/>
    <w:next w:val="740"/>
    <w:link w:val="740"/>
    <w:pPr>
      <w:ind w:left="3360"/>
    </w:pPr>
    <w:rPr>
      <w:rFonts w:eastAsia="楷体_GB2312"/>
      <w:sz w:val="26"/>
    </w:rPr>
  </w:style>
  <w:style w:type="paragraph" w:styleId="815">
    <w:name w:val="正文文本 2"/>
    <w:basedOn w:val="741"/>
    <w:next w:val="769"/>
    <w:link w:val="816"/>
    <w:pPr>
      <w:spacing w:after="120" w:line="480" w:lineRule="auto"/>
      <w:tabs>
        <w:tab w:val="left" w:pos="1134" w:leader="none"/>
      </w:tabs>
    </w:pPr>
    <w:rPr>
      <w:rFonts w:eastAsia="楷体_GB2312"/>
      <w:sz w:val="26"/>
    </w:rPr>
  </w:style>
  <w:style w:type="character" w:styleId="816">
    <w:name w:val="正文文本 2 Char"/>
    <w:next w:val="816"/>
    <w:link w:val="815"/>
    <w:rPr>
      <w:rFonts w:eastAsia="楷体_GB2312"/>
      <w:sz w:val="26"/>
    </w:rPr>
  </w:style>
  <w:style w:type="paragraph" w:styleId="817">
    <w:name w:val="HTML 预设格式"/>
    <w:basedOn w:val="740"/>
    <w:next w:val="817"/>
    <w:link w:val="81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818">
    <w:name w:val="HTML 预设格式 Char"/>
    <w:next w:val="818"/>
    <w:link w:val="817"/>
    <w:rPr>
      <w:rFonts w:ascii="黑体" w:hAnsi="Courier New" w:eastAsia="黑体"/>
      <w:lang w:val="en-US" w:eastAsia="zh-CN" w:bidi="ar-SA"/>
    </w:rPr>
  </w:style>
  <w:style w:type="paragraph" w:styleId="819">
    <w:name w:val="普通(网站)"/>
    <w:basedOn w:val="740"/>
    <w:next w:val="819"/>
    <w:link w:val="740"/>
    <w:pPr>
      <w:jc w:val="left"/>
      <w:spacing w:before="100" w:beforeAutospacing="1" w:after="100" w:afterAutospacing="1"/>
      <w:widowControl/>
    </w:pPr>
    <w:rPr>
      <w:rFonts w:ascii="宋体" w:hAnsi="宋体" w:cs="宋体"/>
      <w:sz w:val="24"/>
      <w:szCs w:val="24"/>
    </w:rPr>
  </w:style>
  <w:style w:type="paragraph" w:styleId="820">
    <w:name w:val="索引 2"/>
    <w:basedOn w:val="740"/>
    <w:next w:val="740"/>
    <w:link w:val="740"/>
    <w:pPr>
      <w:ind w:left="420"/>
    </w:pPr>
    <w:rPr>
      <w:rFonts w:eastAsia="楷体_GB2312"/>
      <w:sz w:val="26"/>
    </w:rPr>
  </w:style>
  <w:style w:type="paragraph" w:styleId="821">
    <w:name w:val="标题"/>
    <w:basedOn w:val="740"/>
    <w:next w:val="821"/>
    <w:link w:val="822"/>
    <w:qFormat/>
    <w:pPr>
      <w:jc w:val="center"/>
      <w:spacing w:before="240" w:after="60"/>
      <w:outlineLvl w:val="0"/>
    </w:pPr>
    <w:rPr>
      <w:rFonts w:ascii="Arial" w:hAnsi="Arial"/>
      <w:b/>
      <w:sz w:val="32"/>
    </w:rPr>
  </w:style>
  <w:style w:type="character" w:styleId="822">
    <w:name w:val="标题 Char"/>
    <w:next w:val="822"/>
    <w:link w:val="821"/>
    <w:rPr>
      <w:rFonts w:ascii="Arial" w:hAnsi="Arial" w:eastAsia="宋体"/>
      <w:b/>
      <w:sz w:val="32"/>
      <w:lang w:val="en-US" w:eastAsia="zh-CN" w:bidi="ar-SA"/>
    </w:rPr>
  </w:style>
  <w:style w:type="paragraph" w:styleId="823">
    <w:name w:val="批注主题"/>
    <w:basedOn w:val="772"/>
    <w:next w:val="772"/>
    <w:link w:val="824"/>
    <w:rPr>
      <w:b/>
      <w:lang w:eastAsia="en-US"/>
    </w:rPr>
  </w:style>
  <w:style w:type="character" w:styleId="824">
    <w:name w:val="批注主题 Char"/>
    <w:next w:val="824"/>
    <w:link w:val="823"/>
    <w:rPr>
      <w:b/>
      <w:sz w:val="21"/>
      <w:lang w:eastAsia="en-US" w:bidi="ar-SA"/>
    </w:rPr>
  </w:style>
  <w:style w:type="paragraph" w:styleId="825">
    <w:name w:val="正文首行缩进"/>
    <w:basedOn w:val="777"/>
    <w:next w:val="827"/>
    <w:link w:val="826"/>
    <w:pPr>
      <w:ind w:firstLine="420"/>
      <w:jc w:val="both"/>
      <w:spacing w:after="120"/>
    </w:pPr>
    <w:rPr>
      <w:rFonts w:hint="eastAsia" w:ascii="楷体_GB2312" w:eastAsia="楷体_GB2312"/>
      <w:sz w:val="28"/>
    </w:rPr>
  </w:style>
  <w:style w:type="character" w:styleId="826">
    <w:name w:val="正文首行缩进 Char"/>
    <w:next w:val="826"/>
    <w:link w:val="825"/>
    <w:rPr>
      <w:rFonts w:hint="eastAsia" w:ascii="楷体_GB2312" w:eastAsia="楷体_GB2312"/>
      <w:sz w:val="28"/>
      <w:lang w:val="en-US" w:eastAsia="zh-CN" w:bidi="ar-SA"/>
    </w:rPr>
  </w:style>
  <w:style w:type="paragraph" w:styleId="827">
    <w:name w:val="正文首行缩进 2"/>
    <w:basedOn w:val="752"/>
    <w:next w:val="827"/>
    <w:link w:val="740"/>
    <w:qFormat/>
    <w:pPr>
      <w:ind w:left="420" w:firstLine="420"/>
      <w:spacing w:after="120" w:line="240" w:lineRule="auto"/>
    </w:pPr>
    <w:rPr>
      <w:rFonts w:ascii="Times New Roman" w:hAnsi="Times New Roman" w:eastAsia="宋体"/>
      <w:sz w:val="21"/>
    </w:rPr>
  </w:style>
  <w:style w:type="table" w:styleId="828">
    <w:name w:val="网格型"/>
    <w:basedOn w:val="751"/>
    <w:next w:val="828"/>
    <w:link w:val="740"/>
    <w:uiPriority w:val="59"/>
    <w:rPr>
      <w:rFonts w:ascii="Calibri" w:hAnsi="Calibri" w:eastAsia="宋体" w:cs="Times New Roman"/>
      <w:sz w:val="21"/>
      <w:szCs w:val="22"/>
    </w:rPr>
    <w:tblPr/>
  </w:style>
  <w:style w:type="character" w:styleId="829">
    <w:name w:val="要点"/>
    <w:next w:val="829"/>
    <w:link w:val="740"/>
    <w:qFormat/>
    <w:rPr>
      <w:b/>
    </w:rPr>
  </w:style>
  <w:style w:type="character" w:styleId="830">
    <w:name w:val="页码"/>
    <w:next w:val="830"/>
    <w:link w:val="740"/>
  </w:style>
  <w:style w:type="character" w:styleId="831">
    <w:name w:val="已访问的超链接"/>
    <w:next w:val="831"/>
    <w:link w:val="740"/>
    <w:rPr>
      <w:color w:val="800080"/>
      <w:u w:val="single"/>
    </w:rPr>
  </w:style>
  <w:style w:type="character" w:styleId="832">
    <w:name w:val="超链接"/>
    <w:next w:val="832"/>
    <w:link w:val="740"/>
    <w:uiPriority w:val="99"/>
    <w:rPr>
      <w:color w:val="0000ff"/>
      <w:u w:val="single"/>
    </w:rPr>
  </w:style>
  <w:style w:type="character" w:styleId="833">
    <w:name w:val="批注引用"/>
    <w:next w:val="833"/>
    <w:link w:val="740"/>
    <w:rPr>
      <w:sz w:val="21"/>
      <w:szCs w:val="21"/>
    </w:rPr>
  </w:style>
  <w:style w:type="character" w:styleId="834">
    <w:name w:val="脚注引用"/>
    <w:next w:val="834"/>
    <w:link w:val="740"/>
    <w:rPr>
      <w:vertAlign w:val="superscript"/>
    </w:rPr>
  </w:style>
  <w:style w:type="character" w:styleId="835">
    <w:name w:val="ca-221"/>
    <w:next w:val="835"/>
    <w:link w:val="740"/>
    <w:rPr>
      <w:rFonts w:hint="eastAsia" w:ascii="宋体" w:hAnsi="宋体" w:eastAsia="宋体"/>
      <w:color w:val="ff0000"/>
      <w:sz w:val="24"/>
      <w:szCs w:val="24"/>
    </w:rPr>
  </w:style>
  <w:style w:type="character" w:styleId="836">
    <w:name w:val="Figure Description Char Char"/>
    <w:next w:val="836"/>
    <w:link w:val="837"/>
    <w:rPr>
      <w:rFonts w:ascii="Arial" w:hAnsi="Arial" w:eastAsia="黑体"/>
      <w:sz w:val="18"/>
      <w:lang w:val="en-US" w:eastAsia="zh-CN" w:bidi="ar-SA"/>
    </w:rPr>
  </w:style>
  <w:style w:type="paragraph" w:styleId="837">
    <w:name w:val="Figure Description"/>
    <w:next w:val="740"/>
    <w:link w:val="836"/>
    <w:pPr>
      <w:ind w:left="1701"/>
      <w:jc w:val="center"/>
      <w:spacing w:before="80" w:after="320"/>
    </w:pPr>
    <w:rPr>
      <w:rFonts w:ascii="Arial" w:hAnsi="Arial" w:eastAsia="黑体"/>
      <w:sz w:val="18"/>
      <w:lang w:val="en-US" w:eastAsia="zh-CN" w:bidi="ar-SA"/>
    </w:rPr>
  </w:style>
  <w:style w:type="character" w:styleId="838">
    <w:name w:val="正文格式 Char Char"/>
    <w:next w:val="838"/>
    <w:link w:val="839"/>
    <w:rPr>
      <w:sz w:val="24"/>
      <w:lang w:bidi="ar-SA"/>
    </w:rPr>
  </w:style>
  <w:style w:type="paragraph" w:styleId="839">
    <w:name w:val="正文格式"/>
    <w:basedOn w:val="740"/>
    <w:next w:val="839"/>
    <w:link w:val="838"/>
    <w:pPr>
      <w:ind w:firstLine="482"/>
      <w:spacing w:line="440" w:lineRule="exact"/>
      <w:widowControl/>
    </w:pPr>
    <w:rPr>
      <w:sz w:val="24"/>
    </w:rPr>
  </w:style>
  <w:style w:type="character" w:styleId="840">
    <w:name w:val="样式 标题 1tzy1h1Heading 0H1Heading 01H11(A-1)(Alt+1)(Alt+1... Char Char"/>
    <w:next w:val="840"/>
    <w:link w:val="841"/>
    <w:rPr>
      <w:rFonts w:ascii="宋体" w:hAnsi="宋体" w:eastAsia="宋体"/>
      <w:b/>
      <w:sz w:val="32"/>
      <w:lang w:val="en-US" w:eastAsia="zh-CN" w:bidi="ar-SA"/>
    </w:rPr>
  </w:style>
  <w:style w:type="paragraph" w:styleId="841">
    <w:name w:val="样式 标题 1tzy1h1Heading 0H1Heading 01H11(A-1)(Alt+1)(Alt+1..."/>
    <w:basedOn w:val="741"/>
    <w:next w:val="841"/>
    <w:link w:val="840"/>
    <w:pPr>
      <w:ind w:left="852" w:hanging="567"/>
      <w:spacing w:line="360" w:lineRule="auto"/>
      <w:tabs>
        <w:tab w:val="left" w:pos="512" w:leader="none"/>
      </w:tabs>
    </w:pPr>
    <w:rPr>
      <w:sz w:val="32"/>
    </w:rPr>
  </w:style>
  <w:style w:type="character" w:styleId="842">
    <w:name w:val="样式 正文缩进 + 首行缩进:  2 字符 Char Char"/>
    <w:next w:val="842"/>
    <w:link w:val="843"/>
    <w:rPr>
      <w:sz w:val="24"/>
      <w:lang w:bidi="ar-SA"/>
    </w:rPr>
  </w:style>
  <w:style w:type="paragraph" w:styleId="843">
    <w:name w:val="样式 正文缩进 + 首行缩进:  2 字符"/>
    <w:basedOn w:val="766"/>
    <w:next w:val="843"/>
    <w:link w:val="842"/>
    <w:pPr>
      <w:ind w:firstLine="200"/>
      <w:jc w:val="left"/>
      <w:spacing w:line="360" w:lineRule="auto"/>
    </w:pPr>
    <w:rPr>
      <w:sz w:val="24"/>
    </w:rPr>
  </w:style>
  <w:style w:type="character" w:styleId="844">
    <w:name w:val="Table Description Char Char Char"/>
    <w:next w:val="844"/>
    <w:link w:val="845"/>
    <w:rPr>
      <w:rFonts w:ascii="Arial" w:hAnsi="Arial" w:eastAsia="黑体"/>
      <w:sz w:val="18"/>
      <w:lang w:val="en-US" w:eastAsia="zh-CN" w:bidi="ar-SA"/>
    </w:rPr>
  </w:style>
  <w:style w:type="paragraph" w:styleId="845">
    <w:name w:val="Table Description Char"/>
    <w:next w:val="740"/>
    <w:link w:val="844"/>
    <w:pPr>
      <w:ind w:left="1701"/>
      <w:jc w:val="center"/>
      <w:keepNext/>
      <w:spacing w:before="160" w:after="80"/>
    </w:pPr>
    <w:rPr>
      <w:rFonts w:ascii="Arial" w:hAnsi="Arial" w:eastAsia="黑体"/>
      <w:sz w:val="18"/>
      <w:lang w:val="en-US" w:eastAsia="zh-CN" w:bidi="ar-SA"/>
    </w:rPr>
  </w:style>
  <w:style w:type="character" w:styleId="846">
    <w:name w:val="小表格内容 Char Char"/>
    <w:next w:val="846"/>
    <w:link w:val="847"/>
    <w:rPr>
      <w:rFonts w:ascii="Arial" w:hAnsi="Arial" w:eastAsia="仿宋_GB2312"/>
      <w:sz w:val="21"/>
      <w:lang w:val="en-US" w:eastAsia="zh-CN" w:bidi="ar-SA"/>
    </w:rPr>
  </w:style>
  <w:style w:type="paragraph" w:styleId="847">
    <w:name w:val="小表格内容"/>
    <w:next w:val="847"/>
    <w:link w:val="846"/>
    <w:pPr>
      <w:spacing w:line="0" w:lineRule="atLeast"/>
    </w:pPr>
    <w:rPr>
      <w:rFonts w:ascii="Arial" w:hAnsi="Arial" w:eastAsia="仿宋_GB2312"/>
      <w:sz w:val="21"/>
      <w:lang w:val="en-US" w:eastAsia="zh-CN" w:bidi="ar-SA"/>
    </w:rPr>
  </w:style>
  <w:style w:type="character" w:styleId="848">
    <w:name w:val=" Char Char"/>
    <w:next w:val="848"/>
    <w:link w:val="849"/>
    <w:rPr>
      <w:rFonts w:ascii="Verdana" w:hAnsi="Verdana" w:eastAsia="仿宋_GB2312"/>
      <w:sz w:val="24"/>
      <w:lang w:eastAsia="en-US"/>
    </w:rPr>
  </w:style>
  <w:style w:type="paragraph" w:styleId="849">
    <w:name w:val=" Char"/>
    <w:basedOn w:val="740"/>
    <w:next w:val="849"/>
    <w:link w:val="848"/>
    <w:pPr>
      <w:jc w:val="left"/>
      <w:spacing w:after="160" w:line="240" w:lineRule="exact"/>
      <w:widowControl/>
    </w:pPr>
    <w:rPr>
      <w:rFonts w:ascii="Verdana" w:hAnsi="Verdana" w:eastAsia="仿宋_GB2312"/>
      <w:sz w:val="24"/>
      <w:lang w:eastAsia="en-US"/>
    </w:rPr>
  </w:style>
  <w:style w:type="character" w:styleId="850">
    <w:name w:val="No Spacing Char Char"/>
    <w:next w:val="850"/>
    <w:link w:val="851"/>
    <w:rPr>
      <w:rFonts w:ascii="Calibri" w:hAnsi="Calibri" w:eastAsia="Times New Roman"/>
      <w:sz w:val="22"/>
      <w:lang w:val="en-US" w:eastAsia="en-US" w:bidi="ar-SA"/>
    </w:rPr>
  </w:style>
  <w:style w:type="paragraph" w:styleId="851">
    <w:name w:val="No Spacing"/>
    <w:next w:val="851"/>
    <w:link w:val="850"/>
    <w:rPr>
      <w:rFonts w:ascii="Calibri" w:hAnsi="Calibri" w:eastAsia="Times New Roman"/>
      <w:sz w:val="22"/>
      <w:lang w:val="en-US" w:eastAsia="en-US" w:bidi="ar-SA"/>
    </w:rPr>
  </w:style>
  <w:style w:type="character" w:styleId="852">
    <w:name w:val="正文文本 Char,NICMAN Body Text Char,Body Text(ch) Char"/>
    <w:next w:val="852"/>
    <w:link w:val="740"/>
    <w:rPr>
      <w:rFonts w:hint="eastAsia" w:ascii="楷体_GB2312" w:eastAsia="楷体_GB2312"/>
      <w:sz w:val="28"/>
      <w:lang w:val="en-US" w:eastAsia="zh-CN"/>
    </w:rPr>
  </w:style>
  <w:style w:type="paragraph" w:styleId="853">
    <w:name w:val="xl61"/>
    <w:basedOn w:val="740"/>
    <w:next w:val="853"/>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54">
    <w:name w:val="xl53"/>
    <w:basedOn w:val="740"/>
    <w:next w:val="854"/>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55">
    <w:name w:val="xl58"/>
    <w:basedOn w:val="740"/>
    <w:next w:val="855"/>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56">
    <w:name w:val="xl50"/>
    <w:basedOn w:val="740"/>
    <w:next w:val="856"/>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57">
    <w:name w:val="xl52"/>
    <w:basedOn w:val="740"/>
    <w:next w:val="857"/>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58">
    <w:name w:val="小四 段落 宋体 Char Char Char Char Char Char Char"/>
    <w:basedOn w:val="765"/>
    <w:next w:val="858"/>
    <w:link w:val="740"/>
    <w:semiHidden/>
    <w:pPr>
      <w:ind w:left="0" w:right="-33" w:firstLine="545"/>
      <w:jc w:val="left"/>
      <w:spacing w:line="360" w:lineRule="auto"/>
      <w:tabs>
        <w:tab w:val="clear" w:pos="1125" w:leader="none"/>
      </w:tabs>
    </w:pPr>
    <w:rPr>
      <w:sz w:val="24"/>
    </w:rPr>
  </w:style>
  <w:style w:type="paragraph" w:styleId="859">
    <w:name w:val=" Char Char Char"/>
    <w:basedOn w:val="740"/>
    <w:next w:val="859"/>
    <w:link w:val="740"/>
    <w:rPr>
      <w:rFonts w:ascii="Tahoma" w:hAnsi="Tahoma"/>
      <w:sz w:val="24"/>
    </w:rPr>
  </w:style>
  <w:style w:type="paragraph" w:styleId="860">
    <w:name w:val="xl47"/>
    <w:basedOn w:val="740"/>
    <w:next w:val="860"/>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61">
    <w:name w:val="小四 段落 宋体 Char Char Char Char Char Char"/>
    <w:basedOn w:val="858"/>
    <w:next w:val="861"/>
    <w:link w:val="740"/>
    <w:pPr>
      <w:ind w:firstLine="480"/>
    </w:pPr>
    <w:rPr>
      <w:rFonts w:ascii="宋体" w:hAnsi="宋体"/>
    </w:rPr>
  </w:style>
  <w:style w:type="paragraph" w:styleId="862">
    <w:name w:val="font6"/>
    <w:basedOn w:val="740"/>
    <w:next w:val="862"/>
    <w:link w:val="740"/>
    <w:pPr>
      <w:jc w:val="left"/>
      <w:spacing w:before="100" w:beforeAutospacing="1" w:after="100" w:afterAutospacing="1"/>
      <w:widowControl/>
    </w:pPr>
    <w:rPr>
      <w:rFonts w:hint="eastAsia" w:ascii="宋体" w:hAnsi="宋体" w:cs="Arial Unicode MS"/>
      <w:b/>
      <w:bCs/>
      <w:sz w:val="18"/>
      <w:szCs w:val="18"/>
    </w:rPr>
  </w:style>
  <w:style w:type="paragraph" w:styleId="863">
    <w:name w:val="xl57"/>
    <w:basedOn w:val="740"/>
    <w:next w:val="863"/>
    <w:link w:val="74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64">
    <w:name w:val="xl45"/>
    <w:basedOn w:val="740"/>
    <w:next w:val="864"/>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65">
    <w:name w:val="xl64"/>
    <w:basedOn w:val="740"/>
    <w:next w:val="865"/>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866">
    <w:name w:val="xl54"/>
    <w:basedOn w:val="740"/>
    <w:next w:val="866"/>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67">
    <w:name w:val="小四 段落 宋体 Char"/>
    <w:basedOn w:val="765"/>
    <w:next w:val="867"/>
    <w:link w:val="740"/>
    <w:pPr>
      <w:ind w:left="0" w:right="-33" w:firstLine="480"/>
      <w:jc w:val="left"/>
      <w:spacing w:line="360" w:lineRule="auto"/>
      <w:tabs>
        <w:tab w:val="clear" w:pos="1125" w:leader="none"/>
      </w:tabs>
    </w:pPr>
    <w:rPr>
      <w:sz w:val="24"/>
    </w:rPr>
  </w:style>
  <w:style w:type="paragraph" w:styleId="868">
    <w:name w:val="xl51"/>
    <w:basedOn w:val="740"/>
    <w:next w:val="868"/>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69">
    <w:name w:val="p0"/>
    <w:basedOn w:val="740"/>
    <w:next w:val="869"/>
    <w:link w:val="740"/>
    <w:pPr>
      <w:widowControl/>
    </w:pPr>
    <w:rPr>
      <w:rFonts w:ascii="Calibri" w:hAnsi="Calibri" w:cs="宋体"/>
      <w:szCs w:val="21"/>
    </w:rPr>
  </w:style>
  <w:style w:type="paragraph" w:styleId="870">
    <w:name w:val="xl24"/>
    <w:basedOn w:val="740"/>
    <w:next w:val="870"/>
    <w:link w:val="740"/>
    <w:pPr>
      <w:jc w:val="center"/>
      <w:spacing w:before="100" w:beforeAutospacing="1" w:after="100" w:afterAutospacing="1"/>
      <w:widowControl/>
    </w:pPr>
    <w:rPr>
      <w:rFonts w:hint="eastAsia" w:ascii="宋体" w:hAnsi="宋体"/>
      <w:sz w:val="24"/>
      <w:szCs w:val="24"/>
    </w:rPr>
  </w:style>
  <w:style w:type="paragraph" w:styleId="871">
    <w:name w:val="正文缩进 Char Char"/>
    <w:basedOn w:val="740"/>
    <w:next w:val="871"/>
    <w:link w:val="740"/>
    <w:pPr>
      <w:ind w:firstLine="420"/>
    </w:pPr>
  </w:style>
  <w:style w:type="paragraph" w:styleId="872">
    <w:name w:val="Plain Text"/>
    <w:basedOn w:val="740"/>
    <w:next w:val="872"/>
    <w:link w:val="873"/>
    <w:qFormat/>
    <w:rPr>
      <w:rFonts w:ascii="宋体" w:hAnsi="Courier New" w:eastAsia="楷体_GB2312"/>
      <w:sz w:val="26"/>
    </w:rPr>
  </w:style>
  <w:style w:type="character" w:styleId="873">
    <w:name w:val="Plain Text Char"/>
    <w:next w:val="873"/>
    <w:link w:val="872"/>
    <w:qFormat/>
    <w:rPr>
      <w:rFonts w:ascii="宋体" w:hAnsi="Courier New" w:eastAsia="楷体_GB2312"/>
      <w:sz w:val="26"/>
    </w:rPr>
  </w:style>
  <w:style w:type="paragraph" w:styleId="874">
    <w:name w:val="xl46"/>
    <w:basedOn w:val="740"/>
    <w:next w:val="874"/>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75">
    <w:name w:val="font5"/>
    <w:basedOn w:val="740"/>
    <w:next w:val="875"/>
    <w:link w:val="740"/>
    <w:pPr>
      <w:jc w:val="left"/>
      <w:spacing w:before="100" w:beforeAutospacing="1" w:after="100" w:afterAutospacing="1"/>
      <w:widowControl/>
    </w:pPr>
    <w:rPr>
      <w:rFonts w:hint="eastAsia" w:ascii="宋体" w:hAnsi="宋体"/>
      <w:sz w:val="18"/>
      <w:szCs w:val="18"/>
    </w:rPr>
  </w:style>
  <w:style w:type="paragraph" w:styleId="876">
    <w:name w:val="xl48"/>
    <w:basedOn w:val="740"/>
    <w:next w:val="876"/>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77">
    <w:name w:val="xl49"/>
    <w:basedOn w:val="740"/>
    <w:next w:val="877"/>
    <w:link w:val="740"/>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878">
    <w:name w:val="xl55"/>
    <w:basedOn w:val="740"/>
    <w:next w:val="878"/>
    <w:link w:val="74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79">
    <w:name w:val="xl56"/>
    <w:basedOn w:val="740"/>
    <w:next w:val="879"/>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80">
    <w:name w:val="xl59"/>
    <w:basedOn w:val="740"/>
    <w:next w:val="880"/>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81">
    <w:name w:val="font7"/>
    <w:basedOn w:val="740"/>
    <w:next w:val="881"/>
    <w:link w:val="740"/>
    <w:qFormat/>
    <w:pPr>
      <w:jc w:val="left"/>
      <w:spacing w:before="100" w:beforeAutospacing="1" w:after="100" w:afterAutospacing="1"/>
      <w:widowControl/>
    </w:pPr>
    <w:rPr>
      <w:sz w:val="20"/>
    </w:rPr>
  </w:style>
  <w:style w:type="paragraph" w:styleId="882">
    <w:name w:val="xl60"/>
    <w:basedOn w:val="740"/>
    <w:next w:val="882"/>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83">
    <w:name w:val="xl62"/>
    <w:basedOn w:val="740"/>
    <w:next w:val="883"/>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884">
    <w:name w:val="中等深浅网格 1 - 强调文字颜色 21"/>
    <w:basedOn w:val="740"/>
    <w:next w:val="884"/>
    <w:link w:val="740"/>
    <w:uiPriority w:val="34"/>
    <w:qFormat/>
    <w:pPr>
      <w:ind w:firstLine="420"/>
    </w:pPr>
    <w:rPr>
      <w:rFonts w:ascii="Calibri" w:hAnsi="Calibri"/>
      <w:szCs w:val="22"/>
    </w:rPr>
  </w:style>
  <w:style w:type="paragraph" w:styleId="885">
    <w:name w:val="xl63"/>
    <w:basedOn w:val="740"/>
    <w:next w:val="885"/>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886">
    <w:name w:val="xl65"/>
    <w:basedOn w:val="740"/>
    <w:next w:val="886"/>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87">
    <w:name w:val="xl66"/>
    <w:basedOn w:val="740"/>
    <w:next w:val="887"/>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88">
    <w:name w:val="Char"/>
    <w:basedOn w:val="740"/>
    <w:next w:val="888"/>
    <w:link w:val="740"/>
    <w:rPr>
      <w:rFonts w:ascii="Tahoma" w:hAnsi="Tahoma"/>
      <w:sz w:val="24"/>
    </w:rPr>
  </w:style>
  <w:style w:type="paragraph" w:styleId="889">
    <w:name w:val="List Paragraph"/>
    <w:basedOn w:val="740"/>
    <w:next w:val="890"/>
    <w:link w:val="740"/>
    <w:pPr>
      <w:ind w:firstLine="420"/>
    </w:pPr>
    <w:rPr>
      <w:rFonts w:ascii="Calibri" w:hAnsi="Calibri"/>
      <w:szCs w:val="22"/>
    </w:rPr>
  </w:style>
  <w:style w:type="paragraph" w:styleId="890">
    <w:name w:val="xl91"/>
    <w:basedOn w:val="741"/>
    <w:next w:val="891"/>
    <w:link w:val="740"/>
    <w:qFormat/>
    <w:pPr>
      <w:ind w:left="0" w:firstLine="3584"/>
      <w:spacing w:before="280" w:after="280" w:line="240" w:lineRule="auto"/>
      <w:tabs>
        <w:tab w:val="left" w:pos="1134" w:leader="none"/>
      </w:tabs>
    </w:pPr>
  </w:style>
  <w:style w:type="paragraph" w:styleId="891">
    <w:name w:val="xl76"/>
    <w:basedOn w:val="741"/>
    <w:next w:val="815"/>
    <w:link w:val="740"/>
    <w:qFormat/>
    <w:pPr>
      <w:ind w:left="0" w:firstLine="3584"/>
      <w:jc w:val="center"/>
      <w:spacing w:before="280" w:after="280" w:line="240" w:lineRule="auto"/>
      <w:tabs>
        <w:tab w:val="left" w:pos="1134" w:leader="none"/>
      </w:tabs>
    </w:pPr>
  </w:style>
  <w:style w:type="paragraph" w:styleId="892">
    <w:name w:val="纯文本1"/>
    <w:basedOn w:val="740"/>
    <w:next w:val="892"/>
    <w:link w:val="740"/>
    <w:qFormat/>
    <w:rPr>
      <w:rFonts w:ascii="宋体" w:hAnsi="Courier New" w:eastAsia="楷体_GB2312"/>
      <w:sz w:val="28"/>
    </w:rPr>
  </w:style>
  <w:style w:type="paragraph" w:styleId="893">
    <w:name w:val="Default"/>
    <w:next w:val="893"/>
    <w:link w:val="740"/>
    <w:pPr>
      <w:widowControl w:val="off"/>
    </w:pPr>
    <w:rPr>
      <w:rFonts w:ascii="仿宋" w:eastAsia="仿宋" w:cs="仿宋"/>
      <w:color w:val="000000"/>
      <w:sz w:val="24"/>
      <w:szCs w:val="24"/>
      <w:lang w:val="en-US" w:eastAsia="zh-CN" w:bidi="ar-SA"/>
    </w:rPr>
  </w:style>
  <w:style w:type="paragraph" w:styleId="894">
    <w:name w:val="一级目录"/>
    <w:next w:val="740"/>
    <w:link w:val="740"/>
    <w:pPr>
      <w:jc w:val="center"/>
      <w:outlineLvl w:val="0"/>
    </w:pPr>
    <w:rPr>
      <w:rFonts w:ascii="黑体" w:eastAsia="黑体"/>
      <w:b/>
      <w:sz w:val="44"/>
      <w:szCs w:val="44"/>
      <w:lang w:val="en-US" w:eastAsia="zh-CN" w:bidi="ar-SA"/>
    </w:rPr>
  </w:style>
  <w:style w:type="character" w:styleId="895">
    <w:name w:val="纯文本 Char1"/>
    <w:next w:val="895"/>
    <w:link w:val="740"/>
    <w:rPr>
      <w:rFonts w:ascii="宋体" w:hAnsi="Courier New" w:eastAsia="楷体_GB2312"/>
      <w:sz w:val="26"/>
      <w:lang w:val="en-US" w:eastAsia="zh-CN" w:bidi="ar-SA"/>
    </w:rPr>
  </w:style>
  <w:style w:type="character" w:styleId="896">
    <w:name w:val="正文缩进 Char1"/>
    <w:next w:val="896"/>
    <w:link w:val="740"/>
    <w:rPr>
      <w:rFonts w:eastAsia="楷体_GB2312"/>
      <w:sz w:val="24"/>
      <w:lang w:val="en-US" w:eastAsia="zh-CN" w:bidi="ar-SA"/>
    </w:rPr>
  </w:style>
  <w:style w:type="paragraph" w:styleId="897">
    <w:name w:val="首行缩进"/>
    <w:basedOn w:val="740"/>
    <w:next w:val="897"/>
    <w:link w:val="740"/>
    <w:qFormat/>
    <w:pPr>
      <w:ind w:firstLine="480"/>
    </w:pPr>
    <w:rPr>
      <w:szCs w:val="20"/>
      <w:lang w:val="zh-CN"/>
    </w:rPr>
  </w:style>
  <w:style w:type="paragraph" w:styleId="898">
    <w:name w:val="纯文本3"/>
    <w:basedOn w:val="740"/>
    <w:next w:val="898"/>
    <w:link w:val="740"/>
    <w:qFormat/>
    <w:rPr>
      <w:rFonts w:ascii="宋体" w:hAnsi="Courier New"/>
    </w:rPr>
  </w:style>
  <w:style w:type="paragraph" w:styleId="899">
    <w:name w:val="pf0"/>
    <w:basedOn w:val="740"/>
    <w:next w:val="899"/>
    <w:link w:val="740"/>
    <w:qFormat/>
    <w:pPr>
      <w:spacing w:before="100" w:beforeAutospacing="1" w:after="100" w:afterAutospacing="1"/>
    </w:pPr>
    <w:rPr>
      <w:rFonts w:ascii="宋体" w:hAnsi="宋体" w:cs="宋体"/>
      <w:sz w:val="24"/>
    </w:rPr>
  </w:style>
  <w:style w:type="paragraph" w:styleId="900">
    <w:name w:val="WPSOffice手动目录 1"/>
    <w:next w:val="900"/>
    <w:link w:val="740"/>
    <w:rPr>
      <w:sz w:val="20"/>
      <w:szCs w:val="20"/>
    </w:rPr>
  </w:style>
  <w:style w:type="character" w:styleId="11469" w:default="1">
    <w:name w:val="Default Paragraph Font"/>
    <w:uiPriority w:val="1"/>
    <w:semiHidden/>
    <w:unhideWhenUsed/>
  </w:style>
  <w:style w:type="numbering" w:styleId="11470" w:default="1">
    <w:name w:val="No List"/>
    <w:uiPriority w:val="99"/>
    <w:semiHidden/>
    <w:unhideWhenUsed/>
  </w:style>
  <w:style w:type="table" w:styleId="114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第四章 </dc:title>
  <dc:creator>us</dc:creator>
  <cp:lastModifiedBy>罗来山1</cp:lastModifiedBy>
  <cp:revision>17</cp:revision>
  <dcterms:created xsi:type="dcterms:W3CDTF">2022-04-01T05:21:00Z</dcterms:created>
  <dcterms:modified xsi:type="dcterms:W3CDTF">2026-05-06T02:56:55Z</dcterms:modified>
</cp:coreProperties>
</file>