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eastAsia="Times New Roman"/>
          <w:color w:val="000000" w:themeColor="text1"/>
          <w:sz w:val="20"/>
          <w:szCs w:val="20"/>
          <w:highlight w:val="none"/>
          <w14:textFill>
            <w14:solidFill>
              <w14:schemeClr w14:val="tx1"/>
            </w14:solidFill>
          </w14:textFill>
        </w:rPr>
      </w:pPr>
      <w:r>
        <w:rPr>
          <w:rFonts w:eastAsia="Times New Roman"/>
          <w:color w:val="000000" w:themeColor="text1"/>
          <w:sz w:val="20"/>
          <w:szCs w:val="20"/>
          <w:highlight w:val="none"/>
          <w14:textFill>
            <w14:solidFill>
              <w14:schemeClr w14:val="tx1"/>
            </w14:solidFill>
          </w14:textFill>
        </w:rPr>
      </w:r>
      <w:r/>
    </w:p>
    <w:p>
      <w:pPr>
        <w:rPr>
          <w:rFonts w:eastAsia="Times New Roman"/>
          <w:color w:val="000000" w:themeColor="text1"/>
          <w:sz w:val="20"/>
          <w:szCs w:val="20"/>
          <w:highlight w:val="none"/>
          <w14:textFill>
            <w14:solidFill>
              <w14:schemeClr w14:val="tx1"/>
            </w14:solidFill>
          </w14:textFill>
        </w:rPr>
      </w:pPr>
      <w:r>
        <w:rPr>
          <w:rFonts w:eastAsia="Times New Roman"/>
          <w:color w:val="000000" w:themeColor="text1"/>
          <w:sz w:val="20"/>
          <w:szCs w:val="20"/>
          <w:highlight w:val="none"/>
          <w14:textFill>
            <w14:solidFill>
              <w14:schemeClr w14:val="tx1"/>
            </w14:solidFill>
          </w14:textFill>
        </w:rPr>
      </w:r>
      <w:r/>
    </w:p>
    <w:p>
      <w:pPr>
        <w:spacing w:before="5"/>
        <w:rPr>
          <w:rFonts w:eastAsia="Times New Roman"/>
          <w:color w:val="000000" w:themeColor="text1"/>
          <w:sz w:val="29"/>
          <w:szCs w:val="29"/>
          <w:highlight w:val="none"/>
          <w14:textFill>
            <w14:solidFill>
              <w14:schemeClr w14:val="tx1"/>
            </w14:solidFill>
          </w14:textFill>
        </w:rPr>
      </w:pPr>
      <w:r>
        <w:rPr>
          <w:rFonts w:eastAsia="Times New Roman"/>
          <w:color w:val="000000" w:themeColor="text1"/>
          <w:sz w:val="29"/>
          <w:szCs w:val="29"/>
          <w:highlight w:val="none"/>
          <w14:textFill>
            <w14:solidFill>
              <w14:schemeClr w14:val="tx1"/>
            </w14:solidFill>
          </w14:textFill>
        </w:rPr>
      </w:r>
      <w:r/>
    </w:p>
    <w:p>
      <w:pPr>
        <w:jc w:val="center"/>
        <w:spacing w:line="820" w:lineRule="exact"/>
        <w:rPr>
          <w:rFonts w:cs="黑体"/>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spacing w:val="5"/>
          <w:sz w:val="72"/>
          <w:szCs w:val="72"/>
          <w:highlight w:val="none"/>
          <w:lang w:eastAsia="zh-CN"/>
          <w14:textFill>
            <w14:solidFill>
              <w14:schemeClr w14:val="tx1"/>
            </w14:solidFill>
          </w14:textFill>
        </w:rPr>
        <w:t xml:space="preserve">竞争性磋商文件</w:t>
      </w:r>
      <w:r/>
    </w:p>
    <w:p>
      <w:pPr>
        <w:jc w:val="center"/>
        <w:spacing w:before="9"/>
        <w:rPr>
          <w:rFonts w:ascii="黑体" w:hAnsi="黑体" w:eastAsia="黑体"/>
          <w:color w:val="000000" w:themeColor="text1"/>
          <w:sz w:val="52"/>
          <w:szCs w:val="52"/>
          <w:highlight w:val="none"/>
          <w:lang w:eastAsia="zh-CN"/>
          <w14:textFill>
            <w14:solidFill>
              <w14:schemeClr w14:val="tx1"/>
            </w14:solidFill>
          </w14:textFill>
        </w:rPr>
      </w:pPr>
      <w:r>
        <w:rPr>
          <w:rFonts w:ascii="黑体" w:hAnsi="黑体" w:eastAsia="黑体"/>
          <w:color w:val="000000" w:themeColor="text1"/>
          <w:sz w:val="52"/>
          <w:szCs w:val="52"/>
          <w:highlight w:val="none"/>
          <w:lang w:eastAsia="zh-CN"/>
          <w14:textFill>
            <w14:solidFill>
              <w14:schemeClr w14:val="tx1"/>
            </w14:solidFill>
          </w14:textFill>
        </w:rPr>
      </w:r>
      <w:r/>
    </w:p>
    <w:p>
      <w:pPr>
        <w:jc w:val="center"/>
        <w:spacing w:before="9"/>
        <w:rPr>
          <w:rFonts w:ascii="黑体" w:hAnsi="黑体" w:eastAsia="黑体"/>
          <w:color w:val="000000" w:themeColor="text1"/>
          <w:sz w:val="52"/>
          <w:szCs w:val="52"/>
          <w:highlight w:val="none"/>
          <w:lang w:eastAsia="zh-CN"/>
          <w14:textFill>
            <w14:solidFill>
              <w14:schemeClr w14:val="tx1"/>
            </w14:solidFill>
          </w14:textFill>
        </w:rPr>
      </w:pPr>
      <w:r>
        <w:rPr>
          <w:rFonts w:ascii="黑体" w:hAnsi="黑体" w:eastAsia="黑体"/>
          <w:color w:val="000000" w:themeColor="text1"/>
          <w:sz w:val="52"/>
          <w:szCs w:val="52"/>
          <w:highlight w:val="none"/>
          <w:lang w:eastAsia="zh-CN"/>
          <w14:textFill>
            <w14:solidFill>
              <w14:schemeClr w14:val="tx1"/>
            </w14:solidFill>
          </w14:textFill>
        </w:rPr>
      </w:r>
      <w:r/>
    </w:p>
    <w:p>
      <w:pPr>
        <w:jc w:val="center"/>
        <w:rPr>
          <w:rFonts w:ascii="黑体" w:hAnsi="黑体" w:eastAsia="黑体"/>
          <w:color w:val="000000" w:themeColor="text1"/>
          <w:sz w:val="52"/>
          <w:szCs w:val="52"/>
          <w:highlight w:val="none"/>
          <w:lang w:eastAsia="zh-CN"/>
          <w14:textFill>
            <w14:solidFill>
              <w14:schemeClr w14:val="tx1"/>
            </w14:solidFill>
          </w14:textFill>
        </w:rPr>
      </w:pPr>
      <w:r>
        <w:rPr>
          <w:rFonts w:hint="eastAsia" w:ascii="黑体" w:hAnsi="黑体" w:eastAsia="黑体"/>
          <w:color w:val="000000" w:themeColor="text1"/>
          <w:sz w:val="52"/>
          <w:szCs w:val="52"/>
          <w:highlight w:val="none"/>
          <w:lang w:eastAsia="zh-CN"/>
          <w14:textFill>
            <w14:solidFill>
              <w14:schemeClr w14:val="tx1"/>
            </w14:solidFill>
          </w14:textFill>
        </w:rPr>
        <w:t xml:space="preserve">（服务类）</w:t>
      </w:r>
      <w:r/>
    </w:p>
    <w:p>
      <w:pPr>
        <w:ind w:left="698"/>
        <w:rPr>
          <w:rFonts w:ascii="宋体" w:hAnsi="宋体" w:eastAsia="宋体" w:cs="宋体"/>
          <w:b/>
          <w:bCs/>
          <w:color w:val="000000" w:themeColor="text1"/>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r>
      <w:r/>
    </w:p>
    <w:p>
      <w:pPr>
        <w:ind w:left="698"/>
        <w:rPr>
          <w:rFonts w:ascii="宋体" w:hAnsi="宋体" w:eastAsia="宋体" w:cs="宋体"/>
          <w:b/>
          <w:bCs/>
          <w:color w:val="000000" w:themeColor="text1"/>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r>
      <w:r/>
    </w:p>
    <w:p>
      <w:pPr>
        <w:ind w:left="698"/>
        <w:rPr>
          <w:rFonts w:ascii="宋体" w:hAnsi="宋体" w:eastAsia="宋体" w:cs="宋体"/>
          <w:b/>
          <w:bCs/>
          <w:color w:val="000000" w:themeColor="text1"/>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r>
      <w:r/>
    </w:p>
    <w:p>
      <w:pPr>
        <w:ind w:left="698"/>
        <w:rPr>
          <w:rFonts w:ascii="宋体" w:hAnsi="宋体" w:eastAsia="宋体" w:cs="宋体"/>
          <w:b/>
          <w:bCs/>
          <w:color w:val="000000" w:themeColor="text1"/>
          <w:sz w:val="28"/>
          <w:szCs w:val="28"/>
          <w:highlight w:val="none"/>
          <w:lang w:eastAsia="zh-CN"/>
          <w14:textFill>
            <w14:solidFill>
              <w14:schemeClr w14:val="tx1"/>
            </w14:solidFill>
          </w14:textFill>
        </w:rPr>
      </w:pPr>
      <w:r>
        <w:rPr>
          <w:rFonts w:ascii="宋体" w:hAnsi="宋体" w:eastAsia="宋体" w:cs="宋体"/>
          <w:b/>
          <w:bCs/>
          <w:color w:val="000000" w:themeColor="text1"/>
          <w:sz w:val="28"/>
          <w:szCs w:val="28"/>
          <w:highlight w:val="none"/>
          <w:lang w:eastAsia="zh-CN"/>
          <w14:textFill>
            <w14:solidFill>
              <w14:schemeClr w14:val="tx1"/>
            </w14:solidFill>
          </w14:textFill>
        </w:rPr>
      </w:r>
      <w:r/>
    </w:p>
    <w:p>
      <w:pPr>
        <w:ind w:left="698"/>
        <w:rPr>
          <w:rFonts w:ascii="宋体" w:hAnsi="宋体" w:eastAsia="宋体" w:cs="宋体"/>
          <w:b/>
          <w:bCs/>
          <w:color w:val="000000" w:themeColor="text1"/>
          <w:sz w:val="28"/>
          <w:szCs w:val="28"/>
          <w:highlight w:val="none"/>
          <w:lang w:eastAsia="zh-CN"/>
          <w14:textFill>
            <w14:solidFill>
              <w14:schemeClr w14:val="tx1"/>
            </w14:solidFill>
          </w14:textFill>
        </w:rPr>
      </w:pPr>
      <w:r>
        <w:rPr>
          <w:rFonts w:ascii="宋体" w:hAnsi="宋体" w:eastAsia="宋体" w:cs="宋体"/>
          <w:b/>
          <w:bCs/>
          <w:color w:val="000000" w:themeColor="text1"/>
          <w:sz w:val="28"/>
          <w:szCs w:val="28"/>
          <w:highlight w:val="none"/>
          <w:lang w:eastAsia="zh-CN"/>
          <w14:textFill>
            <w14:solidFill>
              <w14:schemeClr w14:val="tx1"/>
            </w14:solidFill>
          </w14:textFill>
        </w:rPr>
      </w:r>
      <w:r/>
    </w:p>
    <w:p>
      <w:pPr>
        <w:ind w:left="698"/>
        <w:rPr>
          <w:rFonts w:ascii="宋体" w:hAnsi="宋体" w:eastAsia="宋体" w:cs="宋体"/>
          <w:b/>
          <w:bCs/>
          <w:color w:val="000000" w:themeColor="text1"/>
          <w:sz w:val="28"/>
          <w:szCs w:val="28"/>
          <w:highlight w:val="none"/>
          <w:lang w:eastAsia="zh-CN"/>
          <w14:textFill>
            <w14:solidFill>
              <w14:schemeClr w14:val="tx1"/>
            </w14:solidFill>
          </w14:textFill>
        </w:rPr>
      </w:pPr>
      <w:r>
        <w:rPr>
          <w:rFonts w:ascii="宋体" w:hAnsi="宋体" w:eastAsia="宋体" w:cs="宋体"/>
          <w:b/>
          <w:bCs/>
          <w:color w:val="000000" w:themeColor="text1"/>
          <w:sz w:val="28"/>
          <w:szCs w:val="28"/>
          <w:highlight w:val="none"/>
          <w:lang w:eastAsia="zh-CN"/>
          <w14:textFill>
            <w14:solidFill>
              <w14:schemeClr w14:val="tx1"/>
            </w14:solidFill>
          </w14:textFill>
        </w:rPr>
      </w:r>
      <w:r/>
    </w:p>
    <w:p>
      <w:pPr>
        <w:ind w:firstLine="1687"/>
        <w:keepLines w:val="0"/>
        <w:keepNext w:val="0"/>
        <w:pageBreakBefore w:val="0"/>
        <w:spacing w:line="480" w:lineRule="auto"/>
        <w:widowControl w:val="off"/>
        <w:rPr>
          <w:rFonts w:ascii="宋体" w:hAnsi="宋体" w:eastAsia="宋体" w:cs="宋体"/>
          <w:b/>
          <w:bCs/>
          <w:color w:val="000000" w:themeColor="text1"/>
          <w:sz w:val="28"/>
          <w:szCs w:val="28"/>
          <w:highlight w:val="none"/>
          <w:lang w:eastAsia="zh-CN"/>
          <w14:textFill>
            <w14:solidFill>
              <w14:schemeClr w14:val="tx1"/>
            </w14:solidFill>
          </w14:textFill>
        </w:rPr>
      </w:pPr>
      <w:r>
        <w:rPr>
          <w:rFonts w:ascii="宋体" w:hAnsi="宋体" w:eastAsia="宋体" w:cs="宋体"/>
          <w:b/>
          <w:bCs/>
          <w:color w:val="000000" w:themeColor="text1"/>
          <w:sz w:val="28"/>
          <w:szCs w:val="28"/>
          <w:highlight w:val="none"/>
          <w:lang w:eastAsia="zh-CN"/>
          <w14:textFill>
            <w14:solidFill>
              <w14:schemeClr w14:val="tx1"/>
            </w14:solidFill>
          </w14:textFill>
        </w:rPr>
        <w:t xml:space="preserve">项目编号：</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JSZC-320115-NJMT-C2026-0003</w:t>
      </w:r>
      <w:r/>
    </w:p>
    <w:p>
      <w:pPr>
        <w:ind w:firstLine="1687"/>
        <w:keepLines w:val="0"/>
        <w:keepNext w:val="0"/>
        <w:pageBreakBefore w:val="0"/>
        <w:spacing w:line="480" w:lineRule="auto"/>
        <w:widowControl w:val="off"/>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项目名称：原铜井化工园退役场地风险评估项目</w:t>
      </w:r>
      <w:r/>
    </w:p>
    <w:p>
      <w:pPr>
        <w:ind w:firstLine="1687"/>
        <w:keepLines w:val="0"/>
        <w:keepNext w:val="0"/>
        <w:pageBreakBefore w:val="0"/>
        <w:spacing w:line="480" w:lineRule="auto"/>
        <w:widowControl w:val="off"/>
        <w:rPr>
          <w:rFonts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采 购 人：南京江宁滨江经济开发区管理委员会</w:t>
      </w:r>
      <w:r/>
    </w:p>
    <w:p>
      <w:pPr>
        <w:ind w:firstLine="1687"/>
        <w:keepLines w:val="0"/>
        <w:keepNext w:val="0"/>
        <w:pageBreakBefore w:val="0"/>
        <w:spacing w:line="480" w:lineRule="auto"/>
        <w:widowControl w:val="off"/>
        <w:rPr>
          <w:rFonts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采购代理机构：南京麻田工程咨询有限公司</w:t>
      </w:r>
      <w:r/>
    </w:p>
    <w:p>
      <w:pPr>
        <w:spacing w:line="360" w:lineRule="auto"/>
        <w:rPr>
          <w:rFonts w:ascii="宋体" w:hAnsi="宋体" w:eastAsia="宋体" w:cs="宋体"/>
          <w:color w:val="000000" w:themeColor="text1"/>
          <w:sz w:val="32"/>
          <w:szCs w:val="32"/>
          <w:highlight w:val="none"/>
          <w:lang w:eastAsia="zh-CN"/>
          <w14:textFill>
            <w14:solidFill>
              <w14:schemeClr w14:val="tx1"/>
            </w14:solidFill>
          </w14:textFill>
        </w:rPr>
      </w:pPr>
      <w:r>
        <w:rPr>
          <w:rFonts w:ascii="宋体" w:hAnsi="宋体" w:eastAsia="宋体" w:cs="宋体"/>
          <w:color w:val="000000" w:themeColor="text1"/>
          <w:sz w:val="32"/>
          <w:szCs w:val="32"/>
          <w:highlight w:val="none"/>
          <w:lang w:eastAsia="zh-CN"/>
          <w14:textFill>
            <w14:solidFill>
              <w14:schemeClr w14:val="tx1"/>
            </w14:solidFill>
          </w14:textFill>
        </w:rPr>
      </w:r>
      <w:r/>
    </w:p>
    <w:p>
      <w:pPr>
        <w:pStyle w:val="78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78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78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78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78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78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78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78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78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78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78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jc w:val="center"/>
        <w:spacing w:line="360" w:lineRule="auto"/>
        <w:rPr>
          <w:rFonts w:ascii="黑体" w:hAnsi="黑体" w:eastAsia="黑体" w:cs="黑体"/>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二○二</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年</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月</w:t>
      </w:r>
      <w:r/>
    </w:p>
    <w:p>
      <w:pPr>
        <w:jc w:val="center"/>
        <w:spacing w:line="357" w:lineRule="auto"/>
        <w:rPr>
          <w:rFonts w:ascii="黑体" w:hAnsi="黑体" w:eastAsia="黑体" w:cs="黑体"/>
          <w:color w:val="000000" w:themeColor="text1"/>
          <w:sz w:val="36"/>
          <w:szCs w:val="36"/>
          <w:highlight w:val="none"/>
          <w:lang w:eastAsia="zh-CN"/>
          <w14:textFill>
            <w14:solidFill>
              <w14:schemeClr w14:val="tx1"/>
            </w14:solidFill>
          </w14:textFill>
        </w:rPr>
      </w:pPr>
      <w:r>
        <w:rPr>
          <w:rFonts w:ascii="黑体" w:hAnsi="黑体" w:eastAsia="黑体" w:cs="黑体"/>
          <w:color w:val="000000" w:themeColor="text1"/>
          <w:sz w:val="36"/>
          <w:szCs w:val="36"/>
          <w:highlight w:val="none"/>
          <w:lang w:eastAsia="zh-CN"/>
          <w14:textFill>
            <w14:solidFill>
              <w14:schemeClr w14:val="tx1"/>
            </w14:solidFill>
          </w14:textFill>
        </w:rPr>
        <w:br w:type="page" w:clear="all"/>
      </w:r>
      <w:bookmarkStart w:id="0" w:name="第一章__竞争性磋商邀请"/>
      <w:r/>
      <w:bookmarkEnd w:id="0"/>
      <w:r/>
      <w:bookmarkStart w:id="1" w:name="_bookmark0"/>
      <w:r/>
      <w:bookmarkEnd w:id="1"/>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目  录</w:t>
      </w:r>
      <w:r/>
    </w:p>
    <w:p>
      <w:pPr>
        <w:pStyle w:val="749"/>
        <w:tabs>
          <w:tab w:val="right" w:pos="9479" w:leader="dot"/>
        </w:tabs>
        <w:rPr>
          <w:rFonts w:asciiTheme="minorHAnsi" w:hAnsiTheme="minorHAnsi" w:eastAsiaTheme="minorEastAsia" w:cstheme="minorBidi"/>
          <w:b w:val="0"/>
          <w:bCs w:val="0"/>
          <w:color w:val="000000" w:themeColor="text1"/>
          <w:sz w:val="21"/>
          <w:szCs w:val="22"/>
          <w:highlight w:val="none"/>
          <w:lang w:eastAsia="zh-CN"/>
          <w14:textFill>
            <w14:solidFill>
              <w14:schemeClr w14:val="tx1"/>
            </w14:solidFill>
          </w14:textFill>
        </w:rPr>
      </w:pPr>
      <w:r>
        <w:rPr>
          <w:rFonts w:hint="eastAsia" w:cs="宋体"/>
          <w:b w:val="0"/>
          <w:bCs w:val="0"/>
          <w:color w:val="000000" w:themeColor="text1"/>
          <w:highlight w:val="none"/>
          <w14:textFill>
            <w14:solidFill>
              <w14:schemeClr w14:val="tx1"/>
            </w14:solidFill>
          </w14:textFill>
        </w:rPr>
        <w:fldChar w:fldCharType="begin"/>
      </w:r>
      <w:r>
        <w:rPr>
          <w:rFonts w:hint="eastAsia" w:cs="宋体"/>
          <w:b w:val="0"/>
          <w:bCs w:val="0"/>
          <w:color w:val="000000" w:themeColor="text1"/>
          <w:highlight w:val="none"/>
          <w14:textFill>
            <w14:solidFill>
              <w14:schemeClr w14:val="tx1"/>
            </w14:solidFill>
          </w14:textFill>
        </w:rPr>
        <w:instrText xml:space="preserve">TOC \o "1-1" \h \u </w:instrText>
      </w:r>
      <w:r>
        <w:rPr>
          <w:rFonts w:hint="eastAsia" w:cs="宋体"/>
          <w:b w:val="0"/>
          <w:bCs w:val="0"/>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"_Toc183610245" </w:instrText>
      </w:r>
      <w:r>
        <w:rPr>
          <w:color w:val="000000" w:themeColor="text1"/>
          <w:highlight w:val="none"/>
          <w14:textFill>
            <w14:solidFill>
              <w14:schemeClr w14:val="tx1"/>
            </w14:solidFill>
          </w14:textFill>
        </w:rPr>
        <w:fldChar w:fldCharType="separate"/>
      </w:r>
      <w:r>
        <w:rPr>
          <w:rStyle w:val="775"/>
          <w:rFonts w:hint="eastAsia" w:cs="宋体"/>
          <w:color w:val="000000" w:themeColor="text1"/>
          <w:highlight w:val="none"/>
          <w:lang w:eastAsia="zh-CN"/>
          <w14:textFill>
            <w14:solidFill>
              <w14:schemeClr w14:val="tx1"/>
            </w14:solidFill>
          </w14:textFill>
        </w:rPr>
        <w:t xml:space="preserve">第一章</w:t>
      </w:r>
      <w:r>
        <w:rPr>
          <w:rStyle w:val="775"/>
          <w:rFonts w:cs="宋体"/>
          <w:color w:val="000000" w:themeColor="text1"/>
          <w:highlight w:val="none"/>
          <w:lang w:eastAsia="zh-CN"/>
          <w14:textFill>
            <w14:solidFill>
              <w14:schemeClr w14:val="tx1"/>
            </w14:solidFill>
          </w14:textFill>
        </w:rPr>
        <w:t xml:space="preserve"> </w:t>
      </w:r>
      <w:r>
        <w:rPr>
          <w:rStyle w:val="775"/>
          <w:rFonts w:hint="eastAsia" w:cs="宋体"/>
          <w:color w:val="000000" w:themeColor="text1"/>
          <w:highlight w:val="none"/>
          <w:lang w:eastAsia="zh-CN"/>
          <w14:textFill>
            <w14:solidFill>
              <w14:schemeClr w14:val="tx1"/>
            </w14:solidFill>
          </w14:textFill>
        </w:rPr>
        <w:t xml:space="preserve">竞争性磋商公告</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_Toc183610245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749"/>
        <w:tabs>
          <w:tab w:val="right" w:pos="9479" w:leader="dot"/>
        </w:tabs>
        <w:rPr>
          <w:rFonts w:asciiTheme="minorHAnsi" w:hAnsiTheme="minorHAnsi" w:eastAsiaTheme="minorEastAsia" w:cstheme="minorBidi"/>
          <w:b w:val="0"/>
          <w:bCs w:val="0"/>
          <w:color w:val="000000" w:themeColor="text1"/>
          <w:sz w:val="21"/>
          <w:szCs w:val="2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"_Toc183610246" </w:instrText>
      </w:r>
      <w:r>
        <w:rPr>
          <w:color w:val="000000" w:themeColor="text1"/>
          <w:highlight w:val="none"/>
          <w14:textFill>
            <w14:solidFill>
              <w14:schemeClr w14:val="tx1"/>
            </w14:solidFill>
          </w14:textFill>
        </w:rPr>
        <w:fldChar w:fldCharType="separate"/>
      </w:r>
      <w:r>
        <w:rPr>
          <w:rStyle w:val="775"/>
          <w:rFonts w:hint="eastAsia" w:cs="宋体"/>
          <w:color w:val="000000" w:themeColor="text1"/>
          <w:highlight w:val="none"/>
          <w:lang w:eastAsia="zh-CN"/>
          <w14:textFill>
            <w14:solidFill>
              <w14:schemeClr w14:val="tx1"/>
            </w14:solidFill>
          </w14:textFill>
        </w:rPr>
        <w:t xml:space="preserve">第二章</w:t>
      </w:r>
      <w:r>
        <w:rPr>
          <w:rStyle w:val="775"/>
          <w:rFonts w:cs="宋体"/>
          <w:color w:val="000000" w:themeColor="text1"/>
          <w:highlight w:val="none"/>
          <w:lang w:eastAsia="zh-CN"/>
          <w14:textFill>
            <w14:solidFill>
              <w14:schemeClr w14:val="tx1"/>
            </w14:solidFill>
          </w14:textFill>
        </w:rPr>
        <w:t xml:space="preserve"> </w:t>
      </w:r>
      <w:r>
        <w:rPr>
          <w:rStyle w:val="775"/>
          <w:rFonts w:hint="eastAsia" w:cs="宋体"/>
          <w:color w:val="000000" w:themeColor="text1"/>
          <w:highlight w:val="none"/>
          <w:lang w:eastAsia="zh-CN"/>
          <w14:textFill>
            <w14:solidFill>
              <w14:schemeClr w14:val="tx1"/>
            </w14:solidFill>
          </w14:textFill>
        </w:rPr>
        <w:t xml:space="preserve">供应商须知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_Toc183610246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749"/>
        <w:tabs>
          <w:tab w:val="right" w:pos="9479" w:leader="dot"/>
        </w:tabs>
        <w:rPr>
          <w:rFonts w:asciiTheme="minorHAnsi" w:hAnsiTheme="minorHAnsi" w:eastAsiaTheme="minorEastAsia" w:cstheme="minorBidi"/>
          <w:b w:val="0"/>
          <w:bCs w:val="0"/>
          <w:color w:val="000000" w:themeColor="text1"/>
          <w:sz w:val="21"/>
          <w:szCs w:val="2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"_Toc183610247" </w:instrText>
      </w:r>
      <w:r>
        <w:rPr>
          <w:color w:val="000000" w:themeColor="text1"/>
          <w:highlight w:val="none"/>
          <w14:textFill>
            <w14:solidFill>
              <w14:schemeClr w14:val="tx1"/>
            </w14:solidFill>
          </w14:textFill>
        </w:rPr>
        <w:fldChar w:fldCharType="separate"/>
      </w:r>
      <w:r>
        <w:rPr>
          <w:rStyle w:val="775"/>
          <w:rFonts w:hint="eastAsia" w:cs="宋体"/>
          <w:color w:val="000000" w:themeColor="text1"/>
          <w:highlight w:val="none"/>
          <w:lang w:eastAsia="zh-CN"/>
          <w14:textFill>
            <w14:solidFill>
              <w14:schemeClr w14:val="tx1"/>
            </w14:solidFill>
          </w14:textFill>
        </w:rPr>
        <w:t xml:space="preserve">第三章</w:t>
      </w:r>
      <w:r>
        <w:rPr>
          <w:rStyle w:val="775"/>
          <w:rFonts w:cs="宋体"/>
          <w:color w:val="000000" w:themeColor="text1"/>
          <w:highlight w:val="none"/>
          <w:lang w:eastAsia="zh-CN"/>
          <w14:textFill>
            <w14:solidFill>
              <w14:schemeClr w14:val="tx1"/>
            </w14:solidFill>
          </w14:textFill>
        </w:rPr>
        <w:t xml:space="preserve"> </w:t>
      </w:r>
      <w:r>
        <w:rPr>
          <w:rStyle w:val="775"/>
          <w:rFonts w:hint="eastAsia" w:cs="宋体"/>
          <w:color w:val="000000" w:themeColor="text1"/>
          <w:highlight w:val="none"/>
          <w:lang w:eastAsia="zh-CN"/>
          <w14:textFill>
            <w14:solidFill>
              <w14:schemeClr w14:val="tx1"/>
            </w14:solidFill>
          </w14:textFill>
        </w:rPr>
        <w:t xml:space="preserve">成交标准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_Toc183610247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21</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749"/>
        <w:tabs>
          <w:tab w:val="right" w:pos="9479" w:leader="dot"/>
        </w:tabs>
        <w:rPr>
          <w:rFonts w:asciiTheme="minorHAnsi" w:hAnsiTheme="minorHAnsi" w:eastAsiaTheme="minorEastAsia" w:cstheme="minorBidi"/>
          <w:b w:val="0"/>
          <w:bCs w:val="0"/>
          <w:color w:val="000000" w:themeColor="text1"/>
          <w:sz w:val="21"/>
          <w:szCs w:val="2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"_Toc183610248" </w:instrText>
      </w:r>
      <w:r>
        <w:rPr>
          <w:color w:val="000000" w:themeColor="text1"/>
          <w:highlight w:val="none"/>
          <w14:textFill>
            <w14:solidFill>
              <w14:schemeClr w14:val="tx1"/>
            </w14:solidFill>
          </w14:textFill>
        </w:rPr>
        <w:fldChar w:fldCharType="separate"/>
      </w:r>
      <w:r>
        <w:rPr>
          <w:rStyle w:val="775"/>
          <w:rFonts w:hint="eastAsia" w:cs="宋体"/>
          <w:color w:val="000000" w:themeColor="text1"/>
          <w:highlight w:val="none"/>
          <w:lang w:val="zh-CN" w:eastAsia="zh-CN"/>
          <w14:textFill>
            <w14:solidFill>
              <w14:schemeClr w14:val="tx1"/>
            </w14:solidFill>
          </w14:textFill>
        </w:rPr>
        <w:t xml:space="preserve">第四章</w:t>
      </w:r>
      <w:r>
        <w:rPr>
          <w:rStyle w:val="775"/>
          <w:rFonts w:cs="宋体"/>
          <w:color w:val="000000" w:themeColor="text1"/>
          <w:highlight w:val="none"/>
          <w:lang w:val="zh-CN" w:eastAsia="zh-CN"/>
          <w14:textFill>
            <w14:solidFill>
              <w14:schemeClr w14:val="tx1"/>
            </w14:solidFill>
          </w14:textFill>
        </w:rPr>
        <w:t xml:space="preserve"> </w:t>
      </w:r>
      <w:r>
        <w:rPr>
          <w:rStyle w:val="775"/>
          <w:rFonts w:hint="eastAsia" w:cs="宋体"/>
          <w:color w:val="000000" w:themeColor="text1"/>
          <w:highlight w:val="none"/>
          <w:lang w:val="zh-CN" w:eastAsia="zh-CN"/>
          <w14:textFill>
            <w14:solidFill>
              <w14:schemeClr w14:val="tx1"/>
            </w14:solidFill>
          </w14:textFill>
        </w:rPr>
        <w:t xml:space="preserve">采购需求</w:t>
      </w:r>
      <w:bookmarkStart w:id="208" w:name="_GoBack"/>
      <w:r/>
      <w:bookmarkEnd w:id="208"/>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_Toc183610248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21</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749"/>
        <w:tabs>
          <w:tab w:val="right" w:pos="9479" w:leader="dot"/>
        </w:tabs>
        <w:rPr>
          <w:rFonts w:asciiTheme="minorHAnsi" w:hAnsiTheme="minorHAnsi" w:eastAsiaTheme="minorEastAsia" w:cstheme="minorBidi"/>
          <w:b w:val="0"/>
          <w:bCs w:val="0"/>
          <w:color w:val="000000" w:themeColor="text1"/>
          <w:sz w:val="21"/>
          <w:szCs w:val="2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"_Toc183610249" </w:instrText>
      </w:r>
      <w:r>
        <w:rPr>
          <w:color w:val="000000" w:themeColor="text1"/>
          <w:highlight w:val="none"/>
          <w14:textFill>
            <w14:solidFill>
              <w14:schemeClr w14:val="tx1"/>
            </w14:solidFill>
          </w14:textFill>
        </w:rPr>
        <w:fldChar w:fldCharType="separate"/>
      </w:r>
      <w:r>
        <w:rPr>
          <w:rStyle w:val="775"/>
          <w:rFonts w:hint="eastAsia" w:cs="宋体"/>
          <w:color w:val="000000" w:themeColor="text1"/>
          <w:highlight w:val="none"/>
          <w:lang w:val="zh-CN" w:eastAsia="zh-CN"/>
          <w14:textFill>
            <w14:solidFill>
              <w14:schemeClr w14:val="tx1"/>
            </w14:solidFill>
          </w14:textFill>
        </w:rPr>
        <w:t xml:space="preserve">第五章</w:t>
      </w:r>
      <w:r>
        <w:rPr>
          <w:rStyle w:val="775"/>
          <w:rFonts w:cs="宋体"/>
          <w:color w:val="000000" w:themeColor="text1"/>
          <w:highlight w:val="none"/>
          <w:lang w:eastAsia="zh-CN"/>
          <w14:textFill>
            <w14:solidFill>
              <w14:schemeClr w14:val="tx1"/>
            </w14:solidFill>
          </w14:textFill>
        </w:rPr>
        <w:t xml:space="preserve"> </w:t>
      </w:r>
      <w:r>
        <w:rPr>
          <w:rStyle w:val="775"/>
          <w:rFonts w:hint="eastAsia" w:cs="宋体"/>
          <w:color w:val="000000" w:themeColor="text1"/>
          <w:highlight w:val="none"/>
          <w:lang w:val="zh-CN" w:eastAsia="zh-CN"/>
          <w14:textFill>
            <w14:solidFill>
              <w14:schemeClr w14:val="tx1"/>
            </w14:solidFill>
          </w14:textFill>
        </w:rPr>
        <w:t xml:space="preserve">合同草案条款及格式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_Toc183610249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24</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749"/>
        <w:tabs>
          <w:tab w:val="right" w:pos="9479" w:leader="dot"/>
        </w:tabs>
        <w:rPr>
          <w:rFonts w:asciiTheme="minorHAnsi" w:hAnsiTheme="minorHAnsi" w:eastAsiaTheme="minorEastAsia" w:cstheme="minorBidi"/>
          <w:b w:val="0"/>
          <w:bCs w:val="0"/>
          <w:color w:val="000000" w:themeColor="text1"/>
          <w:sz w:val="21"/>
          <w:szCs w:val="2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"_Toc183610250" </w:instrText>
      </w:r>
      <w:r>
        <w:rPr>
          <w:color w:val="000000" w:themeColor="text1"/>
          <w:highlight w:val="none"/>
          <w14:textFill>
            <w14:solidFill>
              <w14:schemeClr w14:val="tx1"/>
            </w14:solidFill>
          </w14:textFill>
        </w:rPr>
        <w:fldChar w:fldCharType="separate"/>
      </w:r>
      <w:r>
        <w:rPr>
          <w:rStyle w:val="775"/>
          <w:rFonts w:hint="eastAsia" w:cs="宋体"/>
          <w:color w:val="000000" w:themeColor="text1"/>
          <w:highlight w:val="none"/>
          <w:lang w:eastAsia="zh-CN"/>
          <w14:textFill>
            <w14:solidFill>
              <w14:schemeClr w14:val="tx1"/>
            </w14:solidFill>
          </w14:textFill>
        </w:rPr>
        <w:t xml:space="preserve">第六章</w:t>
      </w:r>
      <w:r>
        <w:rPr>
          <w:rStyle w:val="775"/>
          <w:rFonts w:cs="宋体"/>
          <w:color w:val="000000" w:themeColor="text1"/>
          <w:highlight w:val="none"/>
          <w:lang w:eastAsia="zh-CN"/>
          <w14:textFill>
            <w14:solidFill>
              <w14:schemeClr w14:val="tx1"/>
            </w14:solidFill>
          </w14:textFill>
        </w:rPr>
        <w:t xml:space="preserve"> </w:t>
      </w:r>
      <w:r>
        <w:rPr>
          <w:rStyle w:val="775"/>
          <w:rFonts w:hint="eastAsia" w:cs="宋体"/>
          <w:color w:val="000000" w:themeColor="text1"/>
          <w:highlight w:val="none"/>
          <w:lang w:eastAsia="zh-CN"/>
          <w14:textFill>
            <w14:solidFill>
              <w14:schemeClr w14:val="tx1"/>
            </w14:solidFill>
          </w14:textFill>
        </w:rPr>
        <w:t xml:space="preserve">响应文件格式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_Toc183610250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48</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rPr>
          <w:color w:val="000000" w:themeColor="text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fldChar w:fldCharType="end"/>
      </w:r>
      <w:r/>
    </w:p>
    <w:p>
      <w:pPr>
        <w:rPr>
          <w:rFonts w:hint="eastAsia" w:ascii="宋体" w:hAnsi="宋体" w:eastAsia="宋体" w:cs="宋体"/>
          <w:b/>
          <w:bCs/>
          <w:color w:val="000000" w:themeColor="text1"/>
          <w:sz w:val="28"/>
          <w:szCs w:val="28"/>
          <w:highlight w:val="none"/>
          <w:lang w:eastAsia="zh-CN"/>
          <w14:textFill>
            <w14:solidFill>
              <w14:schemeClr w14:val="tx1"/>
            </w14:solidFill>
          </w14:textFill>
        </w:rPr>
      </w:pPr>
      <w:r/>
      <w:bookmarkStart w:id="2" w:name="_Toc183610245"/>
      <w:r>
        <w:rPr>
          <w:rFonts w:hint="eastAsia" w:ascii="宋体" w:hAnsi="宋体" w:eastAsia="宋体" w:cs="宋体"/>
          <w:b/>
          <w:bCs/>
          <w:color w:val="000000" w:themeColor="text1"/>
          <w:sz w:val="28"/>
          <w:szCs w:val="28"/>
          <w:highlight w:val="none"/>
          <w:lang w:eastAsia="zh-CN"/>
          <w14:textFill>
            <w14:solidFill>
              <w14:schemeClr w14:val="tx1"/>
            </w14:solidFill>
          </w14:textFill>
        </w:rPr>
        <w:br w:type="page" w:clear="all"/>
      </w:r>
      <w:r/>
    </w:p>
    <w:p>
      <w:pPr>
        <w:jc w:val="center"/>
        <w:spacing w:line="360" w:lineRule="auto"/>
        <w:tabs>
          <w:tab w:val="left" w:pos="4171" w:leader="none"/>
        </w:tabs>
        <w:rPr>
          <w:rFonts w:ascii="宋体" w:hAnsi="宋体" w:eastAsia="宋体" w:cs="宋体"/>
          <w:b/>
          <w:bCs/>
          <w:color w:val="000000" w:themeColor="text1"/>
          <w:sz w:val="28"/>
          <w:szCs w:val="28"/>
          <w:highlight w:val="none"/>
          <w:lang w:eastAsia="zh-CN"/>
          <w14:textFill>
            <w14:solidFill>
              <w14:schemeClr w14:val="tx1"/>
            </w14:solidFill>
          </w14:textFill>
        </w:rPr>
        <w:outlineLvl w:val="0"/>
      </w:pP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第一章 竞争性磋商公告</w:t>
      </w:r>
      <w:bookmarkEnd w:id="2"/>
      <w:r/>
      <w:r/>
    </w:p>
    <w:p>
      <w:pPr>
        <w:spacing w:line="360" w:lineRule="auto"/>
        <w:rPr>
          <w:rFonts w:ascii="宋体" w:hAnsi="宋体" w:eastAsia="宋体" w:cs="宋体"/>
          <w:b/>
          <w:color w:val="000000" w:themeColor="text1"/>
          <w:sz w:val="21"/>
          <w:szCs w:val="21"/>
          <w:highlight w:val="none"/>
          <w:lang w:eastAsia="zh-CN"/>
          <w14:textFill>
            <w14:solidFill>
              <w14:schemeClr w14:val="tx1"/>
            </w14:solidFill>
          </w14:textFill>
        </w:rPr>
      </w:pPr>
      <w:r/>
      <w:bookmarkStart w:id="3" w:name="_Toc28359089"/>
      <w:r/>
      <w:bookmarkStart w:id="4" w:name="_Toc28359012"/>
      <w:r/>
      <w:bookmarkStart w:id="5" w:name="_Toc35393629"/>
      <w:r/>
      <w:bookmarkStart w:id="6" w:name="_Toc35393798"/>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项目概况</w:t>
      </w:r>
      <w:r/>
    </w:p>
    <w:p>
      <w:pPr>
        <w:ind w:firstLine="422"/>
        <w:spacing w:line="360" w:lineRule="auto"/>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eastAsia="宋体" w:cs="宋体"/>
          <w:color w:val="000000" w:themeColor="text1"/>
          <w:sz w:val="21"/>
          <w:szCs w:val="21"/>
          <w:highlight w:val="none"/>
          <w:u w:val="single"/>
          <w:lang w:eastAsia="zh-CN"/>
          <w14:textFill>
            <w14:solidFill>
              <w14:schemeClr w14:val="tx1"/>
            </w14:solidFill>
          </w14:textFill>
        </w:rPr>
        <w:t xml:space="preserve">原铜井化工园退役场地风险评估项目  JSZC-320115-NJMT-C2026-0003</w:t>
      </w:r>
      <w:r>
        <w:rPr>
          <w:rFonts w:hint="eastAsia" w:eastAsia="宋体" w:cs="宋体"/>
          <w:color w:val="000000" w:themeColor="text1"/>
          <w:sz w:val="21"/>
          <w:szCs w:val="21"/>
          <w:highlight w:val="none"/>
          <w:lang w:eastAsia="zh-CN"/>
          <w14:textFill>
            <w14:solidFill>
              <w14:schemeClr w14:val="tx1"/>
            </w14:solidFill>
          </w14:textFill>
        </w:rPr>
        <w:t xml:space="preserve">采购项目的潜在供应商应在</w:t>
      </w:r>
      <w:r>
        <w:rPr>
          <w:rFonts w:hint="eastAsia" w:eastAsia="宋体" w:cs="宋体"/>
          <w:color w:val="000000" w:themeColor="text1"/>
          <w:sz w:val="21"/>
          <w:szCs w:val="21"/>
          <w:highlight w:val="none"/>
          <w:u w:val="single"/>
          <w:lang w:val="en-US" w:eastAsia="zh-CN"/>
          <w14:textFill>
            <w14:solidFill>
              <w14:schemeClr w14:val="tx1"/>
            </w14:solidFill>
          </w14:textFill>
        </w:rPr>
        <w:t xml:space="preserve">“苏采云”政府采购交易系统</w:t>
      </w:r>
      <w:r>
        <w:rPr>
          <w:rFonts w:hint="eastAsia" w:eastAsia="宋体" w:cs="宋体"/>
          <w:color w:val="000000" w:themeColor="text1"/>
          <w:sz w:val="21"/>
          <w:szCs w:val="21"/>
          <w:highlight w:val="none"/>
          <w:lang w:eastAsia="zh-CN"/>
          <w14:textFill>
            <w14:solidFill>
              <w14:schemeClr w14:val="tx1"/>
            </w14:solidFill>
          </w14:textFill>
        </w:rPr>
        <w:t xml:space="preserve">获取采购文件，并于</w:t>
      </w:r>
      <w:r>
        <w:rPr>
          <w:rFonts w:hint="eastAsia" w:eastAsia="宋体" w:cs="宋体"/>
          <w:color w:val="ff0000"/>
          <w:sz w:val="21"/>
          <w:szCs w:val="21"/>
          <w:highlight w:val="none"/>
          <w:u w:val="single"/>
          <w:lang w:eastAsia="zh-CN"/>
        </w:rPr>
        <w:t xml:space="preserve">202</w:t>
      </w:r>
      <w:r>
        <w:rPr>
          <w:rFonts w:hint="eastAsia" w:eastAsia="宋体" w:cs="宋体"/>
          <w:color w:val="ff0000"/>
          <w:sz w:val="21"/>
          <w:szCs w:val="21"/>
          <w:highlight w:val="none"/>
          <w:u w:val="single"/>
          <w:lang w:val="en-US" w:eastAsia="zh-CN"/>
        </w:rPr>
        <w:t xml:space="preserve">6</w:t>
      </w:r>
      <w:r>
        <w:rPr>
          <w:rFonts w:hint="eastAsia" w:eastAsia="宋体" w:cs="宋体"/>
          <w:color w:val="ff0000"/>
          <w:sz w:val="21"/>
          <w:szCs w:val="21"/>
          <w:highlight w:val="none"/>
          <w:u w:val="single"/>
          <w:lang w:eastAsia="zh-CN"/>
        </w:rPr>
        <w:t xml:space="preserve">-</w:t>
      </w:r>
      <w:r>
        <w:rPr>
          <w:rFonts w:hint="eastAsia" w:eastAsia="宋体" w:cs="宋体"/>
          <w:color w:val="ff0000"/>
          <w:sz w:val="21"/>
          <w:szCs w:val="21"/>
          <w:highlight w:val="none"/>
          <w:u w:val="single"/>
          <w:lang w:val="en-US" w:eastAsia="zh-CN"/>
        </w:rPr>
        <w:t xml:space="preserve">6</w:t>
      </w:r>
      <w:r>
        <w:rPr>
          <w:rFonts w:hint="eastAsia" w:eastAsia="宋体" w:cs="宋体"/>
          <w:color w:val="ff0000"/>
          <w:sz w:val="21"/>
          <w:szCs w:val="21"/>
          <w:highlight w:val="none"/>
          <w:u w:val="single"/>
          <w:lang w:eastAsia="zh-CN"/>
        </w:rPr>
        <w:t xml:space="preserve">-</w:t>
      </w:r>
      <w:r>
        <w:rPr>
          <w:rFonts w:hint="eastAsia" w:eastAsia="宋体" w:cs="宋体"/>
          <w:color w:val="ff0000"/>
          <w:sz w:val="21"/>
          <w:szCs w:val="21"/>
          <w:highlight w:val="none"/>
          <w:u w:val="single"/>
          <w:lang w:val="en-US" w:eastAsia="zh-CN"/>
        </w:rPr>
        <w:t xml:space="preserve">4 </w:t>
      </w:r>
      <w:r>
        <w:rPr>
          <w:rFonts w:hint="eastAsia" w:eastAsia="宋体" w:cs="宋体"/>
          <w:color w:val="ff0000"/>
          <w:sz w:val="21"/>
          <w:szCs w:val="21"/>
          <w:highlight w:val="none"/>
          <w:u w:val="single"/>
          <w:lang w:eastAsia="zh-CN"/>
        </w:rPr>
        <w:t xml:space="preserve"> </w:t>
      </w:r>
      <w:r>
        <w:rPr>
          <w:rFonts w:hint="eastAsia" w:eastAsia="宋体" w:cs="宋体"/>
          <w:color w:val="ff0000"/>
          <w:sz w:val="21"/>
          <w:szCs w:val="21"/>
          <w:highlight w:val="none"/>
          <w:u w:val="single"/>
          <w:lang w:val="en-US" w:eastAsia="zh-CN"/>
        </w:rPr>
        <w:t xml:space="preserve">9</w:t>
      </w:r>
      <w:r>
        <w:rPr>
          <w:rFonts w:hint="eastAsia" w:eastAsia="宋体" w:cs="宋体"/>
          <w:color w:val="ff0000"/>
          <w:sz w:val="21"/>
          <w:szCs w:val="21"/>
          <w:highlight w:val="none"/>
          <w:u w:val="single"/>
          <w:lang w:eastAsia="zh-CN"/>
        </w:rPr>
        <w:t xml:space="preserve">：30</w:t>
      </w:r>
      <w:r>
        <w:rPr>
          <w:rFonts w:hint="eastAsia" w:eastAsia="宋体" w:cs="宋体"/>
          <w:color w:val="000000" w:themeColor="text1"/>
          <w:sz w:val="21"/>
          <w:szCs w:val="21"/>
          <w:highlight w:val="none"/>
          <w:lang w:eastAsia="zh-CN"/>
          <w14:textFill>
            <w14:solidFill>
              <w14:schemeClr w14:val="tx1"/>
            </w14:solidFill>
          </w14:textFill>
        </w:rPr>
        <w:t xml:space="preserve">（北京时间）前提交响应文件。</w:t>
      </w:r>
      <w:r/>
    </w:p>
    <w:p>
      <w:pPr>
        <w:spacing w:line="360" w:lineRule="auto"/>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一、项目基本情况</w:t>
      </w:r>
      <w:bookmarkEnd w:id="3"/>
      <w:r/>
      <w:bookmarkEnd w:id="4"/>
      <w:r/>
      <w:bookmarkEnd w:id="5"/>
      <w:r/>
      <w:bookmarkEnd w:id="6"/>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项目编号：JSZC-320115-NJMT-C2026-0003</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项目名称：原铜井化工园退役场地风险评估项目</w:t>
      </w:r>
      <w:r/>
    </w:p>
    <w:p>
      <w:pPr>
        <w:ind w:firstLine="420"/>
        <w:spacing w:line="360" w:lineRule="auto"/>
        <w:tabs>
          <w:tab w:val="center" w:pos="4865" w:leader="none"/>
        </w:tabs>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采购方式：竞争性磋商</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预算金额：</w:t>
      </w:r>
      <w:r>
        <w:rPr>
          <w:rFonts w:hint="eastAsia" w:ascii="宋体" w:hAnsi="宋体" w:eastAsia="宋体" w:cs="宋体"/>
          <w:szCs w:val="21"/>
          <w:highlight w:val="none"/>
          <w:lang w:val="en-US" w:eastAsia="zh-CN"/>
        </w:rPr>
        <w:t xml:space="preserve">300</w:t>
      </w:r>
      <w:r>
        <w:rPr>
          <w:rFonts w:hint="eastAsia" w:ascii="宋体" w:hAnsi="宋体" w:eastAsia="宋体" w:cs="宋体"/>
          <w:szCs w:val="21"/>
          <w:highlight w:val="none"/>
          <w:lang w:val="zh-CN"/>
        </w:rPr>
        <w:t xml:space="preserve">万元</w:t>
      </w:r>
      <w:r/>
    </w:p>
    <w:p>
      <w:pPr>
        <w:ind w:firstLine="42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最高限价（如有）：275.6886万元，报价高于最高限价的响应文件为无效投标文件。</w:t>
      </w:r>
      <w:r/>
    </w:p>
    <w:p>
      <w:pPr>
        <w:ind w:firstLine="42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采购需求</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原铜井四家化工厂退役场地被纳入长江1公里化工腾退地块土壤污染防治专项治理项目。现需委托第三方详细评估四家化工厂人体健康风险和污染物迁移扩散入江风险等相关工作。（</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详见项目需求</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合同履行期限：</w:t>
      </w:r>
      <w:r>
        <w:rPr>
          <w:rFonts w:hint="eastAsia" w:ascii="宋体" w:hAnsi="宋体" w:eastAsia="宋体" w:cs="宋体"/>
          <w:szCs w:val="21"/>
          <w:highlight w:val="none"/>
          <w:lang w:val="en-US" w:eastAsia="zh-CN"/>
        </w:rPr>
        <w:t xml:space="preserve">90天</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本项目（是/否）接受联合体：否。</w:t>
      </w:r>
      <w:r/>
    </w:p>
    <w:p>
      <w:pPr>
        <w:spacing w:line="360" w:lineRule="auto"/>
        <w:rPr>
          <w:rFonts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二、申请人的资格要求：</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（一）满足《中华人民共和国政府采购法》第二十二条规定：</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1.具有独立承担民事责任的能力（请提供法人或者其他组织的营业执照等证明文件，自然人的身份证明）。</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符合《中华人民共和国政府采购法》第二十二条的相关规定，提供《南京市政府采购供应商信用记录表暨信用承诺书》，其中不适用信用承诺的情形：①供应商被列入严重失信主体名单；②被相关监管部门作出行政处罚且尚在处罚有效期内；③其他法律、行政法规规定的不适用信用承诺的情形。</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（二）落实政府采购政策需满足的资格条件：</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b/>
          <w:bCs/>
          <w:color w:val="000000"/>
          <w:sz w:val="24"/>
          <w:szCs w:val="24"/>
          <w:highlight w:val="none"/>
          <w:lang w:val="zh-CN"/>
        </w:rPr>
        <w:t xml:space="preserve">本项目专门面向中小微企业采购，供应商应为中小微企业或监狱企业或残疾人福利性单位</w:t>
      </w:r>
      <w:r>
        <w:rPr>
          <w:rFonts w:hint="eastAsia" w:ascii="宋体" w:hAnsi="宋体" w:eastAsia="宋体" w:cs="宋体"/>
          <w:b/>
          <w:bCs/>
          <w:szCs w:val="21"/>
          <w:highlight w:val="none"/>
          <w:lang w:eastAsia="zh-CN"/>
        </w:rPr>
        <w:t xml:space="preserve">。</w:t>
      </w:r>
      <w:r/>
    </w:p>
    <w:p>
      <w:pPr>
        <w:ind w:firstLine="420"/>
        <w:spacing w:line="360" w:lineRule="auto"/>
        <w:rPr>
          <w:rFonts w:hint="eastAsia" w:ascii="宋体" w:hAnsi="宋体"/>
          <w:color w:val="auto"/>
          <w:szCs w:val="21"/>
          <w:highlight w:val="none"/>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本项目的特定资格要求：供应商在全国土壤环境信息平台建设用地土壤污染风险管控和修复从业单位和个人执业情况信用记录系统注册登记，系统登记信息状态正常、有效，无行政处罚（提供网站查询截图加盖公章）。</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三、获取采购文件</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时间：自磋商文件公告发布之日起5个工作日；</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地点：“苏采云”政府采购交易系统</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方式：在苏采云电子交易平台首页点击供应商→使用CA锁登录系统(新用户需进行“平台用户注册”)→“项目参与”进行登记，在“可参与项目”中选择“我要参与”，参与成功后到“已参与项目”界面中找到该项目下载电子标书并进行操作。</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售价：0.00元。</w:t>
      </w:r>
      <w:r/>
    </w:p>
    <w:p>
      <w:pPr>
        <w:spacing w:line="440" w:lineRule="exact"/>
        <w:widowControl/>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四、响应文件提交</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截止时间：</w:t>
      </w:r>
      <w:r>
        <w:rPr>
          <w:rFonts w:hint="eastAsia" w:ascii="宋体" w:hAnsi="宋体" w:eastAsia="宋体" w:cs="宋体"/>
          <w:color w:val="ff0000"/>
          <w:sz w:val="21"/>
          <w:szCs w:val="21"/>
          <w:highlight w:val="none"/>
          <w:lang w:eastAsia="zh-CN"/>
        </w:rPr>
        <w:t xml:space="preserve">202</w:t>
      </w:r>
      <w:r>
        <w:rPr>
          <w:rFonts w:hint="eastAsia" w:ascii="宋体" w:hAnsi="宋体" w:eastAsia="宋体" w:cs="宋体"/>
          <w:color w:val="ff0000"/>
          <w:sz w:val="21"/>
          <w:szCs w:val="21"/>
          <w:highlight w:val="none"/>
          <w:lang w:val="en-US" w:eastAsia="zh-CN"/>
        </w:rPr>
        <w:t xml:space="preserve">6</w:t>
      </w:r>
      <w:r>
        <w:rPr>
          <w:rFonts w:hint="eastAsia" w:ascii="宋体" w:hAnsi="宋体" w:eastAsia="宋体" w:cs="宋体"/>
          <w:color w:val="ff0000"/>
          <w:sz w:val="21"/>
          <w:szCs w:val="21"/>
          <w:highlight w:val="none"/>
          <w:lang w:eastAsia="zh-CN"/>
        </w:rPr>
        <w:t xml:space="preserve">-</w:t>
      </w:r>
      <w:r>
        <w:rPr>
          <w:rFonts w:hint="eastAsia" w:ascii="宋体" w:hAnsi="宋体" w:eastAsia="宋体" w:cs="宋体"/>
          <w:color w:val="ff0000"/>
          <w:sz w:val="21"/>
          <w:szCs w:val="21"/>
          <w:highlight w:val="none"/>
          <w:lang w:val="en-US" w:eastAsia="zh-CN"/>
        </w:rPr>
        <w:t xml:space="preserve">6</w:t>
      </w:r>
      <w:r>
        <w:rPr>
          <w:rFonts w:hint="eastAsia" w:ascii="宋体" w:hAnsi="宋体" w:eastAsia="宋体" w:cs="宋体"/>
          <w:color w:val="ff0000"/>
          <w:sz w:val="21"/>
          <w:szCs w:val="21"/>
          <w:highlight w:val="none"/>
          <w:lang w:eastAsia="zh-CN"/>
        </w:rPr>
        <w:t xml:space="preserve">-</w:t>
      </w:r>
      <w:r>
        <w:rPr>
          <w:rFonts w:hint="eastAsia" w:ascii="宋体" w:hAnsi="宋体" w:eastAsia="宋体" w:cs="宋体"/>
          <w:color w:val="ff0000"/>
          <w:sz w:val="21"/>
          <w:szCs w:val="21"/>
          <w:highlight w:val="none"/>
          <w:lang w:val="en-US" w:eastAsia="zh-CN"/>
        </w:rPr>
        <w:t xml:space="preserve">4  9</w:t>
      </w:r>
      <w:r>
        <w:rPr>
          <w:rFonts w:hint="eastAsia" w:ascii="宋体" w:hAnsi="宋体" w:eastAsia="宋体" w:cs="宋体"/>
          <w:color w:val="ff0000"/>
          <w:sz w:val="21"/>
          <w:szCs w:val="21"/>
          <w:highlight w:val="none"/>
          <w:lang w:eastAsia="zh-CN"/>
        </w:rPr>
        <w:t xml:space="preserve">:30（北京时间）</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地点：“苏采云</w:t>
      </w:r>
      <w:r>
        <w:rPr>
          <w:rFonts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政府采购交易系统</w:t>
      </w:r>
      <w:r/>
    </w:p>
    <w:p>
      <w:pPr>
        <w:spacing w:line="440" w:lineRule="exact"/>
        <w:widowControl/>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五、开启</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时间：</w:t>
      </w:r>
      <w:r>
        <w:rPr>
          <w:rFonts w:hint="eastAsia" w:ascii="宋体" w:hAnsi="宋体" w:eastAsia="宋体" w:cs="宋体"/>
          <w:color w:val="ff0000"/>
          <w:sz w:val="21"/>
          <w:szCs w:val="21"/>
          <w:highlight w:val="none"/>
          <w:lang w:eastAsia="zh-CN"/>
        </w:rPr>
        <w:t xml:space="preserve">202</w:t>
      </w:r>
      <w:r>
        <w:rPr>
          <w:rFonts w:hint="eastAsia" w:ascii="宋体" w:hAnsi="宋体" w:eastAsia="宋体" w:cs="宋体"/>
          <w:color w:val="ff0000"/>
          <w:sz w:val="21"/>
          <w:szCs w:val="21"/>
          <w:highlight w:val="none"/>
          <w:lang w:val="en-US" w:eastAsia="zh-CN"/>
        </w:rPr>
        <w:t xml:space="preserve">6</w:t>
      </w:r>
      <w:r>
        <w:rPr>
          <w:rFonts w:hint="eastAsia" w:ascii="宋体" w:hAnsi="宋体" w:eastAsia="宋体" w:cs="宋体"/>
          <w:color w:val="ff0000"/>
          <w:sz w:val="21"/>
          <w:szCs w:val="21"/>
          <w:highlight w:val="none"/>
          <w:lang w:eastAsia="zh-CN"/>
        </w:rPr>
        <w:t xml:space="preserve">-</w:t>
      </w:r>
      <w:r>
        <w:rPr>
          <w:rFonts w:hint="eastAsia" w:ascii="宋体" w:hAnsi="宋体" w:eastAsia="宋体" w:cs="宋体"/>
          <w:color w:val="ff0000"/>
          <w:sz w:val="21"/>
          <w:szCs w:val="21"/>
          <w:highlight w:val="none"/>
          <w:lang w:val="en-US" w:eastAsia="zh-CN"/>
        </w:rPr>
        <w:t xml:space="preserve">6</w:t>
      </w:r>
      <w:r>
        <w:rPr>
          <w:rFonts w:hint="eastAsia" w:ascii="宋体" w:hAnsi="宋体" w:eastAsia="宋体" w:cs="宋体"/>
          <w:color w:val="ff0000"/>
          <w:sz w:val="21"/>
          <w:szCs w:val="21"/>
          <w:highlight w:val="none"/>
          <w:lang w:eastAsia="zh-CN"/>
        </w:rPr>
        <w:t xml:space="preserve">-</w:t>
      </w:r>
      <w:r>
        <w:rPr>
          <w:rFonts w:hint="eastAsia" w:ascii="宋体" w:hAnsi="宋体" w:eastAsia="宋体" w:cs="宋体"/>
          <w:color w:val="ff0000"/>
          <w:sz w:val="21"/>
          <w:szCs w:val="21"/>
          <w:highlight w:val="none"/>
          <w:lang w:val="en-US" w:eastAsia="zh-CN"/>
        </w:rPr>
        <w:t xml:space="preserve">4  9</w:t>
      </w:r>
      <w:r>
        <w:rPr>
          <w:rFonts w:hint="eastAsia" w:ascii="宋体" w:hAnsi="宋体" w:eastAsia="宋体" w:cs="宋体"/>
          <w:color w:val="ff0000"/>
          <w:sz w:val="21"/>
          <w:szCs w:val="21"/>
          <w:highlight w:val="none"/>
          <w:lang w:eastAsia="zh-CN"/>
        </w:rPr>
        <w:t xml:space="preserve">:30（北京时间）</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地点：“苏采云</w:t>
      </w:r>
      <w:r>
        <w:rPr>
          <w:rFonts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政府采购交易系统</w:t>
      </w:r>
      <w:r/>
    </w:p>
    <w:p>
      <w:pPr>
        <w:spacing w:line="440" w:lineRule="exact"/>
        <w:widowControl/>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六、公告期限</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自本公告发布之日起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个工作日。</w:t>
      </w:r>
      <w:r/>
    </w:p>
    <w:p>
      <w:pPr>
        <w:spacing w:line="440" w:lineRule="exact"/>
        <w:widowControl/>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七、其他补充事宜</w:t>
      </w:r>
      <w:r/>
    </w:p>
    <w:p>
      <w:pPr>
        <w:ind w:firstLine="440"/>
        <w:jc w:val="left"/>
        <w:spacing w:line="360" w:lineRule="auto"/>
        <w:widowControl/>
        <w:rPr>
          <w:rFonts w:hint="eastAsia" w:ascii="宋体" w:hAnsi="Times New Roman" w:eastAsia="宋体" w:cs="宋体"/>
          <w:bCs/>
          <w:color w:val="auto"/>
          <w:sz w:val="22"/>
          <w:highlight w:val="none"/>
          <w:lang w:eastAsia="zh-CN"/>
        </w:rPr>
      </w:pPr>
      <w:r/>
      <w:bookmarkStart w:id="7" w:name="OLE_LINK102"/>
      <w:r/>
      <w:bookmarkStart w:id="8" w:name="OLE_LINK106"/>
      <w:r>
        <w:rPr>
          <w:rFonts w:hint="eastAsia" w:ascii="宋体" w:hAnsi="Times New Roman" w:eastAsia="宋体" w:cs="宋体"/>
          <w:bCs/>
          <w:color w:val="auto"/>
          <w:sz w:val="22"/>
          <w:highlight w:val="none"/>
          <w:lang w:eastAsia="zh-CN"/>
        </w:rPr>
        <w:t xml:space="preserve">1</w:t>
      </w:r>
      <w:r>
        <w:rPr>
          <w:rFonts w:hint="eastAsia" w:ascii="宋体" w:hAnsi="Times New Roman" w:eastAsia="宋体" w:cs="宋体"/>
          <w:bCs/>
          <w:color w:val="auto"/>
          <w:sz w:val="22"/>
          <w:highlight w:val="none"/>
          <w:lang w:val="en-US" w:eastAsia="zh-CN"/>
        </w:rPr>
        <w:t xml:space="preserve">.</w:t>
      </w:r>
      <w:r>
        <w:rPr>
          <w:rFonts w:hint="eastAsia" w:ascii="宋体" w:hAnsi="Times New Roman" w:eastAsia="宋体" w:cs="宋体"/>
          <w:bCs/>
          <w:color w:val="auto"/>
          <w:sz w:val="22"/>
          <w:highlight w:val="none"/>
          <w:lang w:eastAsia="zh-CN"/>
        </w:rPr>
        <w:t xml:space="preserve">拒绝下述供应商参加本次采购活动：</w:t>
      </w:r>
      <w:r/>
    </w:p>
    <w:p>
      <w:pPr>
        <w:ind w:firstLine="440"/>
        <w:jc w:val="left"/>
        <w:spacing w:line="360" w:lineRule="auto"/>
        <w:widowControl/>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 xml:space="preserve">（1）供应商单位负责人为同一人或者存在直接控股、管理关系的不同供应商，不得参加同一合同项下的采购活动。</w:t>
      </w:r>
      <w:r/>
    </w:p>
    <w:p>
      <w:pPr>
        <w:ind w:firstLine="440"/>
        <w:jc w:val="left"/>
        <w:spacing w:line="360" w:lineRule="auto"/>
        <w:widowControl/>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 xml:space="preserve">（2）凡为采购项目提供整体设计、规范编制或者项目管理、监理、检测等服务的供应商，不得再参加本项目的采购活动。</w:t>
      </w:r>
      <w:r/>
    </w:p>
    <w:p>
      <w:pPr>
        <w:ind w:firstLine="440"/>
        <w:jc w:val="left"/>
        <w:spacing w:line="360" w:lineRule="auto"/>
        <w:widowControl/>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 xml:space="preserve">（3）供应商被“信用中国”网站、“中国政府采购网"列入失信被执行人、重大税收违法案件当事人名单、政府采购严重违法失信行为记录名单。</w:t>
      </w:r>
      <w:r/>
    </w:p>
    <w:p>
      <w:pPr>
        <w:ind w:firstLine="440"/>
        <w:jc w:val="left"/>
        <w:spacing w:line="360" w:lineRule="auto"/>
        <w:widowControl/>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 xml:space="preserve">2</w:t>
      </w:r>
      <w:r>
        <w:rPr>
          <w:rFonts w:hint="eastAsia" w:ascii="宋体" w:hAnsi="Times New Roman" w:eastAsia="宋体" w:cs="宋体"/>
          <w:bCs/>
          <w:color w:val="auto"/>
          <w:sz w:val="22"/>
          <w:highlight w:val="none"/>
          <w:lang w:val="en-US" w:eastAsia="zh-CN"/>
        </w:rPr>
        <w:t xml:space="preserve">.</w:t>
      </w:r>
      <w:r>
        <w:rPr>
          <w:rFonts w:hint="eastAsia" w:ascii="宋体" w:hAnsi="Times New Roman" w:eastAsia="宋体" w:cs="宋体"/>
          <w:bCs/>
          <w:color w:val="auto"/>
          <w:sz w:val="22"/>
          <w:highlight w:val="none"/>
          <w:lang w:eastAsia="zh-CN"/>
        </w:rPr>
        <w:t xml:space="preserve">本项目在“江苏政府采购网</w:t>
      </w:r>
      <w:bookmarkStart w:id="9" w:name="OLE_LINK11"/>
      <w:r>
        <w:rPr>
          <w:rFonts w:hint="eastAsia" w:ascii="宋体" w:hAnsi="Times New Roman" w:eastAsia="宋体" w:cs="宋体"/>
          <w:bCs/>
          <w:color w:val="auto"/>
          <w:sz w:val="22"/>
          <w:highlight w:val="none"/>
          <w:lang w:eastAsia="zh-CN"/>
        </w:rPr>
        <w:t xml:space="preserve">、南京公共采购信息网</w:t>
      </w:r>
      <w:bookmarkEnd w:id="9"/>
      <w:r>
        <w:rPr>
          <w:rFonts w:hint="eastAsia" w:ascii="宋体" w:hAnsi="Times New Roman" w:eastAsia="宋体" w:cs="宋体"/>
          <w:bCs/>
          <w:color w:val="auto"/>
          <w:sz w:val="22"/>
          <w:highlight w:val="none"/>
          <w:lang w:eastAsia="zh-CN"/>
        </w:rPr>
        <w:t xml:space="preserve">”网站发布公告。有关本次采购的事项若存在变动或修改，请及时关注“江苏政府采购网、南京公共采购信息网”更正公告。</w:t>
      </w:r>
      <w:r/>
    </w:p>
    <w:p>
      <w:pPr>
        <w:ind w:firstLine="440"/>
        <w:jc w:val="left"/>
        <w:spacing w:line="360" w:lineRule="auto"/>
        <w:widowControl/>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 xml:space="preserve">3</w:t>
      </w:r>
      <w:r>
        <w:rPr>
          <w:rFonts w:hint="eastAsia" w:ascii="宋体" w:hAnsi="Times New Roman" w:eastAsia="宋体" w:cs="宋体"/>
          <w:bCs/>
          <w:color w:val="auto"/>
          <w:sz w:val="22"/>
          <w:highlight w:val="none"/>
          <w:lang w:val="en-US" w:eastAsia="zh-CN"/>
        </w:rPr>
        <w:t xml:space="preserve">.</w:t>
      </w:r>
      <w:r>
        <w:rPr>
          <w:rFonts w:hint="eastAsia" w:ascii="宋体" w:hAnsi="Times New Roman" w:eastAsia="宋体" w:cs="宋体"/>
          <w:bCs/>
          <w:color w:val="auto"/>
          <w:sz w:val="22"/>
          <w:highlight w:val="none"/>
          <w:lang w:eastAsia="zh-CN"/>
        </w:rPr>
        <w:t xml:space="preserve">勘察现场：</w:t>
      </w:r>
      <w:bookmarkStart w:id="10" w:name="OLE_LINK128"/>
      <w:r/>
      <w:bookmarkStart w:id="11" w:name="OLE_LINK127"/>
      <w:r>
        <w:rPr>
          <w:rFonts w:hint="eastAsia" w:ascii="宋体" w:hAnsi="Times New Roman" w:eastAsia="宋体" w:cs="宋体"/>
          <w:bCs/>
          <w:color w:val="auto"/>
          <w:sz w:val="22"/>
          <w:highlight w:val="none"/>
          <w:lang w:eastAsia="zh-CN"/>
        </w:rPr>
        <w:t xml:space="preserve">采购人不组织，供应商自行踏勘。</w:t>
      </w:r>
      <w:bookmarkEnd w:id="10"/>
      <w:r/>
      <w:bookmarkEnd w:id="11"/>
      <w:r/>
      <w:r/>
    </w:p>
    <w:p>
      <w:pPr>
        <w:ind w:firstLine="440"/>
        <w:jc w:val="left"/>
        <w:spacing w:line="360" w:lineRule="auto"/>
        <w:widowControl/>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 xml:space="preserve">4</w:t>
      </w:r>
      <w:bookmarkStart w:id="12" w:name="OLE_LINK36"/>
      <w:r/>
      <w:bookmarkStart w:id="13" w:name="OLE_LINK35"/>
      <w:r>
        <w:rPr>
          <w:rFonts w:hint="eastAsia" w:ascii="宋体" w:hAnsi="Times New Roman" w:eastAsia="宋体" w:cs="宋体"/>
          <w:bCs/>
          <w:color w:val="auto"/>
          <w:sz w:val="22"/>
          <w:highlight w:val="none"/>
          <w:lang w:val="en-US" w:eastAsia="zh-CN"/>
        </w:rPr>
        <w:t xml:space="preserve">.</w:t>
      </w:r>
      <w:r>
        <w:rPr>
          <w:rFonts w:hint="eastAsia" w:ascii="宋体" w:hAnsi="Times New Roman" w:eastAsia="宋体" w:cs="宋体"/>
          <w:bCs/>
          <w:color w:val="auto"/>
          <w:sz w:val="22"/>
          <w:highlight w:val="none"/>
          <w:lang w:eastAsia="zh-CN"/>
        </w:rPr>
        <w:t xml:space="preserve">本次采购采用“政府采购管理交易系统（苏采云）”，招标、投标、评标和</w:t>
      </w:r>
      <w:r>
        <w:rPr>
          <w:rFonts w:hint="eastAsia" w:ascii="宋体" w:cs="宋体"/>
          <w:bCs/>
          <w:color w:val="auto"/>
          <w:sz w:val="22"/>
          <w:highlight w:val="none"/>
          <w:lang w:val="en-US" w:eastAsia="zh-CN"/>
        </w:rPr>
        <w:t xml:space="preserve">成交</w:t>
      </w:r>
      <w:r>
        <w:rPr>
          <w:rFonts w:hint="eastAsia" w:ascii="宋体" w:hAnsi="Times New Roman" w:eastAsia="宋体" w:cs="宋体"/>
          <w:bCs/>
          <w:color w:val="auto"/>
          <w:sz w:val="22"/>
          <w:highlight w:val="none"/>
          <w:lang w:eastAsia="zh-CN"/>
        </w:rPr>
        <w:t xml:space="preserve">结果发布全程电子化，开标方式为不见面开标。供应商应当按照《政府采购管理交易系统（苏采云）供应商操作手册》进行注册，领取CA和办理电子签章，并按《操作手册》要求制作、上传电子响应文件。如供应商未按要求操作，由此所产生的风险由供应商自行承担。（“苏采云”南京地区客服热线025-83633744、025-83633743）</w:t>
      </w:r>
      <w:bookmarkEnd w:id="12"/>
      <w:r/>
      <w:bookmarkEnd w:id="13"/>
      <w:r/>
      <w:r/>
    </w:p>
    <w:p>
      <w:pPr>
        <w:ind w:firstLine="440"/>
        <w:jc w:val="left"/>
        <w:spacing w:line="360" w:lineRule="auto"/>
        <w:widowControl/>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 xml:space="preserve">5</w:t>
      </w:r>
      <w:r>
        <w:rPr>
          <w:rFonts w:hint="eastAsia" w:ascii="宋体" w:hAnsi="Times New Roman" w:eastAsia="宋体" w:cs="宋体"/>
          <w:bCs/>
          <w:color w:val="auto"/>
          <w:sz w:val="22"/>
          <w:highlight w:val="none"/>
          <w:lang w:val="en-US" w:eastAsia="zh-CN"/>
        </w:rPr>
        <w:t xml:space="preserve">.</w:t>
      </w:r>
      <w:r>
        <w:rPr>
          <w:rFonts w:hint="eastAsia" w:ascii="宋体" w:hAnsi="Times New Roman" w:eastAsia="宋体" w:cs="宋体"/>
          <w:bCs/>
          <w:color w:val="auto"/>
          <w:sz w:val="22"/>
          <w:highlight w:val="none"/>
          <w:lang w:eastAsia="zh-CN"/>
        </w:rPr>
        <w:t xml:space="preserve">政府采购信用承诺</w:t>
      </w:r>
      <w:r/>
    </w:p>
    <w:p>
      <w:pPr>
        <w:ind w:firstLine="440"/>
        <w:jc w:val="left"/>
        <w:spacing w:line="360" w:lineRule="auto"/>
        <w:widowControl/>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 xml:space="preserve">根据《关于在政府采购活动中推行信用承诺制的通知》宁财购通〔2021〕5号规定，参加南京地区采购活动的供应商，应以原件扫描盖章件向采购人或政府采购代理机构作出信用承诺。供应商应尽早做好承诺工作，点击“南京公共采购信息网”首</w:t>
      </w:r>
      <w:r>
        <w:rPr>
          <w:rFonts w:hint="eastAsia" w:ascii="宋体" w:hAnsi="Times New Roman" w:eastAsia="宋体" w:cs="宋体"/>
          <w:bCs/>
          <w:color w:val="auto"/>
          <w:sz w:val="22"/>
          <w:highlight w:val="none"/>
          <w:lang w:eastAsia="zh-CN"/>
        </w:rPr>
        <w:t xml:space="preserve">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w:t>
      </w:r>
      <w:r/>
    </w:p>
    <w:p>
      <w:pPr>
        <w:ind w:firstLine="440"/>
        <w:jc w:val="left"/>
        <w:spacing w:line="360" w:lineRule="auto"/>
        <w:widowControl/>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 xml:space="preserve">在政府采购资格审查环节，供应商只需提供书面《南京市政府采购供应商信用记录表暨信用承诺书》，即可替代以下证明材料：</w:t>
      </w:r>
      <w:r/>
    </w:p>
    <w:p>
      <w:pPr>
        <w:ind w:firstLine="440"/>
        <w:jc w:val="left"/>
        <w:spacing w:line="360" w:lineRule="auto"/>
        <w:widowControl/>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 xml:space="preserve">（1）符合国家相关规定的财务状况报告；</w:t>
      </w:r>
      <w:r/>
    </w:p>
    <w:p>
      <w:pPr>
        <w:ind w:firstLine="440"/>
        <w:jc w:val="left"/>
        <w:spacing w:line="360" w:lineRule="auto"/>
        <w:widowControl/>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 xml:space="preserve">（2）依法缴纳税收的证明材料；</w:t>
      </w:r>
      <w:r/>
    </w:p>
    <w:p>
      <w:pPr>
        <w:ind w:firstLine="440"/>
        <w:jc w:val="left"/>
        <w:spacing w:line="360" w:lineRule="auto"/>
        <w:widowControl/>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 xml:space="preserve">（3）依法缴纳社会保障资金的证明材料；</w:t>
      </w:r>
      <w:r/>
    </w:p>
    <w:p>
      <w:pPr>
        <w:ind w:firstLine="440"/>
        <w:jc w:val="left"/>
        <w:spacing w:line="360" w:lineRule="auto"/>
        <w:widowControl/>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 xml:space="preserve">（4）具备履行政府采购合同所必需的设备和专业技术能力的证明材料；</w:t>
      </w:r>
      <w:r/>
    </w:p>
    <w:p>
      <w:pPr>
        <w:ind w:firstLine="440"/>
        <w:jc w:val="left"/>
        <w:spacing w:line="360" w:lineRule="auto"/>
        <w:widowControl/>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 xml:space="preserve">（5）参加政府采购活动前三年内在经营活动中没有重大违法记录的证明材料；</w:t>
      </w:r>
      <w:r/>
    </w:p>
    <w:p>
      <w:pPr>
        <w:ind w:firstLine="440"/>
        <w:jc w:val="left"/>
        <w:spacing w:line="360" w:lineRule="auto"/>
        <w:widowControl/>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 xml:space="preserve">（6）未被列入失信被执行人、重大税收违法失信主体、政府采购严重违法失信行为记录名单的证明材料。</w:t>
      </w:r>
      <w:r/>
    </w:p>
    <w:p>
      <w:pPr>
        <w:ind w:firstLine="440"/>
        <w:jc w:val="left"/>
        <w:spacing w:line="360" w:lineRule="auto"/>
        <w:widowControl/>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 xml:space="preserve">供应商成交后，应按采购文件要求，将上述由信用承诺书替代的证明材料提交采购人或采购代理机构核验。经核验无误后，由采购人或采购代理机构发出成交通知书。</w:t>
      </w:r>
      <w:r/>
    </w:p>
    <w:p>
      <w:pPr>
        <w:ind w:firstLine="440"/>
        <w:jc w:val="left"/>
        <w:spacing w:line="360" w:lineRule="auto"/>
        <w:widowControl/>
        <w:rPr>
          <w:rFonts w:hint="eastAsia" w:ascii="宋体" w:hAnsi="Times New Roman" w:eastAsia="宋体" w:cs="宋体"/>
          <w:bCs/>
          <w:color w:val="auto"/>
          <w:sz w:val="22"/>
          <w:highlight w:val="none"/>
          <w:lang w:eastAsia="zh-CN"/>
        </w:rPr>
      </w:pPr>
      <w:r/>
      <w:bookmarkStart w:id="14" w:name="OLE_LINK15"/>
      <w:r/>
      <w:bookmarkStart w:id="15" w:name="OLE_LINK12"/>
      <w:r>
        <w:rPr>
          <w:rFonts w:hint="eastAsia" w:ascii="宋体" w:hAnsi="Times New Roman" w:eastAsia="宋体" w:cs="宋体"/>
          <w:bCs/>
          <w:color w:val="auto"/>
          <w:sz w:val="22"/>
          <w:highlight w:val="none"/>
          <w:lang w:eastAsia="zh-CN"/>
        </w:rPr>
        <w:t xml:space="preserve">供应商涉及以下情形的，不适用信用承诺</w:t>
      </w:r>
      <w:bookmarkEnd w:id="14"/>
      <w:r/>
      <w:bookmarkEnd w:id="15"/>
      <w:r>
        <w:rPr>
          <w:rFonts w:hint="eastAsia" w:ascii="宋体" w:hAnsi="Times New Roman" w:eastAsia="宋体" w:cs="宋体"/>
          <w:bCs/>
          <w:color w:val="auto"/>
          <w:sz w:val="22"/>
          <w:highlight w:val="none"/>
          <w:lang w:eastAsia="zh-CN"/>
        </w:rPr>
        <w:t xml:space="preserve">：</w:t>
      </w:r>
      <w:r/>
    </w:p>
    <w:p>
      <w:pPr>
        <w:ind w:firstLine="440"/>
        <w:jc w:val="left"/>
        <w:spacing w:line="360" w:lineRule="auto"/>
        <w:widowControl/>
        <w:rPr>
          <w:rFonts w:hint="eastAsia" w:ascii="宋体" w:hAnsi="Times New Roman" w:eastAsia="宋体" w:cs="宋体"/>
          <w:bCs/>
          <w:color w:val="auto"/>
          <w:sz w:val="22"/>
          <w:highlight w:val="none"/>
          <w:lang w:eastAsia="zh-CN"/>
        </w:rPr>
      </w:pPr>
      <w:r/>
      <w:bookmarkStart w:id="16" w:name="OLE_LINK16"/>
      <w:r>
        <w:rPr>
          <w:rFonts w:hint="eastAsia" w:ascii="宋体" w:hAnsi="Times New Roman" w:eastAsia="宋体" w:cs="宋体"/>
          <w:bCs/>
          <w:color w:val="auto"/>
          <w:sz w:val="22"/>
          <w:highlight w:val="none"/>
          <w:lang w:eastAsia="zh-CN"/>
        </w:rPr>
        <w:t xml:space="preserve">（1）供应商被列入严重失信主体名单；</w:t>
      </w:r>
      <w:r/>
    </w:p>
    <w:p>
      <w:pPr>
        <w:ind w:firstLine="440"/>
        <w:jc w:val="left"/>
        <w:spacing w:line="360" w:lineRule="auto"/>
        <w:widowControl/>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 xml:space="preserve">（2）被相关监管部门作出行政处罚且尚在处罚有效期内；</w:t>
      </w:r>
      <w:r/>
    </w:p>
    <w:p>
      <w:pPr>
        <w:ind w:firstLine="440"/>
        <w:jc w:val="left"/>
        <w:spacing w:line="360" w:lineRule="auto"/>
        <w:widowControl/>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 xml:space="preserve">（3）其他法律、行政法规规定的不适用信用承诺的情形。</w:t>
      </w:r>
      <w:bookmarkEnd w:id="16"/>
      <w:r/>
      <w:r/>
    </w:p>
    <w:p>
      <w:pPr>
        <w:spacing w:line="360" w:lineRule="auto"/>
        <w:shd w:val="clear" w:color="auto" w:fill="ffffff"/>
        <w:widowControl/>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 xml:space="preserve">供应商对信用承诺内容的真实性、合法性、有效性负责。如作出虚假信用承诺，视同为“提供虚假材料谋取中标、成交”的违法行为。</w:t>
      </w:r>
      <w:bookmarkEnd w:id="7"/>
      <w:r/>
      <w:bookmarkEnd w:id="8"/>
      <w:r/>
      <w:r/>
    </w:p>
    <w:p>
      <w:pPr>
        <w:spacing w:line="440" w:lineRule="exact"/>
        <w:widowControl/>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八、凡对本次采购提出询问，请按以下方式联系</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1.采购人信息</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名    称：南京江宁滨江经济开发区管理委员会</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地    址：南京市江宁区滨江开发区天成路18号</w:t>
      </w:r>
      <w:r/>
    </w:p>
    <w:p>
      <w:pPr>
        <w:ind w:firstLine="42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联 系 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崔工</w:t>
      </w:r>
      <w:r/>
    </w:p>
    <w:p>
      <w:pPr>
        <w:ind w:firstLine="420"/>
        <w:spacing w:line="44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联系电话：/</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2.采购代理机构信息</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名    称：南京麻田工程咨询有限公司</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地　　址：南京市江宁区淳化街道雁冲路68号院内9号楼1楼</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联 系 人：张工</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联系电话：025-52730710</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3.项目联系方式</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项目联系人：张工 </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电      话：025-52730710</w:t>
      </w:r>
      <w:r/>
    </w:p>
    <w:p>
      <w:pPr>
        <w:numPr>
          <w:ilvl w:val="0"/>
          <w:numId w:val="1"/>
        </w:numPr>
        <w:jc w:val="center"/>
        <w:spacing w:line="360" w:lineRule="auto"/>
        <w:shd w:val="clear" w:color="auto" w:fill="ffffff"/>
        <w:widowControl/>
        <w:rPr>
          <w:rFonts w:hint="eastAsia" w:ascii="宋体" w:hAnsi="宋体" w:eastAsia="宋体" w:cs="宋体"/>
          <w:b/>
          <w:bCs/>
          <w:color w:val="000000" w:themeColor="text1"/>
          <w:sz w:val="28"/>
          <w:szCs w:val="28"/>
          <w:highlight w:val="none"/>
          <w:lang w:eastAsia="zh-CN"/>
          <w14:textFill>
            <w14:solidFill>
              <w14:schemeClr w14:val="tx1"/>
            </w14:solidFill>
          </w14:textFill>
        </w:rPr>
        <w:outlineLvl w:val="0"/>
      </w:pPr>
      <w:r>
        <w:rPr>
          <w:rFonts w:hint="eastAsia" w:ascii="宋体" w:hAnsi="宋体" w:eastAsia="宋体" w:cs="宋体"/>
          <w:b/>
          <w:bCs/>
          <w:color w:val="000000" w:themeColor="text1"/>
          <w:sz w:val="28"/>
          <w:szCs w:val="28"/>
          <w:highlight w:val="none"/>
          <w:lang w:eastAsia="zh-CN"/>
          <w14:textFill>
            <w14:solidFill>
              <w14:schemeClr w14:val="tx1"/>
            </w14:solidFill>
          </w14:textFill>
        </w:rPr>
        <w:br w:type="page" w:clear="all"/>
      </w:r>
      <w:bookmarkStart w:id="17" w:name="一、总____则"/>
      <w:r/>
      <w:bookmarkEnd w:id="17"/>
      <w:r/>
      <w:bookmarkStart w:id="18" w:name="_bookmark2"/>
      <w:r/>
      <w:bookmarkEnd w:id="18"/>
      <w:r/>
      <w:bookmarkStart w:id="19" w:name="_Toc183610246"/>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供应商须知</w:t>
      </w:r>
      <w:bookmarkEnd w:id="19"/>
      <w:r/>
      <w:r/>
    </w:p>
    <w:p>
      <w:pPr>
        <w:ind w:firstLine="422"/>
        <w:jc w:val="left"/>
        <w:keepLines w:val="0"/>
        <w:keepNext w:val="0"/>
        <w:pageBreakBefore w:val="0"/>
        <w:spacing w:before="156" w:after="156" w:line="360" w:lineRule="auto"/>
        <w:widowControl w:val="off"/>
        <w:rPr>
          <w:rFonts w:hint="eastAsia" w:ascii="宋体" w:hAnsi="宋体" w:eastAsia="宋体" w:cs="宋体"/>
          <w:sz w:val="21"/>
          <w:szCs w:val="21"/>
          <w:highlight w:val="none"/>
        </w:rPr>
      </w:pPr>
      <w:r>
        <w:rPr>
          <w:rFonts w:hint="eastAsia" w:ascii="宋体" w:hAnsi="宋体" w:eastAsia="宋体" w:cs="宋体"/>
          <w:b/>
          <w:bCs/>
          <w:sz w:val="21"/>
          <w:szCs w:val="21"/>
          <w:highlight w:val="none"/>
          <w:lang w:eastAsia="zh-CN"/>
        </w:rPr>
        <w:t xml:space="preserve">南京麻田工程咨询有限公司</w:t>
      </w:r>
      <w:r>
        <w:rPr>
          <w:rFonts w:hint="eastAsia" w:ascii="宋体" w:hAnsi="宋体" w:eastAsia="宋体" w:cs="宋体"/>
          <w:sz w:val="21"/>
          <w:szCs w:val="21"/>
          <w:highlight w:val="none"/>
        </w:rPr>
        <w:t xml:space="preserve">受</w:t>
      </w:r>
      <w:r>
        <w:rPr>
          <w:rFonts w:hint="eastAsia" w:ascii="宋体" w:hAnsi="宋体" w:eastAsia="宋体" w:cs="宋体"/>
          <w:b/>
          <w:bCs/>
          <w:sz w:val="21"/>
          <w:szCs w:val="21"/>
          <w:highlight w:val="none"/>
          <w:lang w:eastAsia="zh-CN"/>
        </w:rPr>
        <w:t xml:space="preserve">南京江宁滨江经济开发区管理委员会</w:t>
      </w:r>
      <w:r>
        <w:rPr>
          <w:rFonts w:hint="eastAsia" w:ascii="宋体" w:hAnsi="宋体" w:eastAsia="宋体" w:cs="宋体"/>
          <w:bCs/>
          <w:sz w:val="21"/>
          <w:szCs w:val="21"/>
          <w:highlight w:val="none"/>
        </w:rPr>
        <w:t xml:space="preserve">（</w:t>
      </w:r>
      <w:r>
        <w:rPr>
          <w:rFonts w:hint="eastAsia" w:ascii="宋体" w:hAnsi="宋体" w:eastAsia="宋体" w:cs="宋体"/>
          <w:sz w:val="21"/>
          <w:szCs w:val="21"/>
          <w:highlight w:val="none"/>
        </w:rPr>
        <w:t xml:space="preserve">采购人）委托，对其</w:t>
      </w:r>
      <w:r>
        <w:rPr>
          <w:rFonts w:hint="eastAsia" w:ascii="宋体" w:hAnsi="宋体" w:eastAsia="宋体" w:cs="宋体"/>
          <w:b/>
          <w:bCs/>
          <w:sz w:val="21"/>
          <w:szCs w:val="21"/>
          <w:highlight w:val="none"/>
          <w:lang w:eastAsia="zh-CN"/>
        </w:rPr>
        <w:t xml:space="preserve">原铜井化工园退役场地风险评估项目</w:t>
      </w:r>
      <w:r>
        <w:rPr>
          <w:rFonts w:hint="eastAsia" w:ascii="宋体" w:hAnsi="宋体" w:eastAsia="宋体" w:cs="宋体"/>
          <w:sz w:val="21"/>
          <w:szCs w:val="21"/>
          <w:highlight w:val="none"/>
        </w:rPr>
        <w:t xml:space="preserve">（项目名称）进行竞争性磋商采购，兹邀请符合条件的供应商参与投标，相关信息如下：</w:t>
      </w:r>
      <w:r/>
    </w:p>
    <w:tbl>
      <w:tblPr>
        <w:tblStyle w:val="727"/>
        <w:tblW w:w="94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973"/>
        <w:gridCol w:w="850"/>
        <w:gridCol w:w="1323"/>
        <w:gridCol w:w="5537"/>
      </w:tblGrid>
      <w:tr>
        <w:trPr>
          <w:jc w:val="center"/>
          <w:trHeight w:val="619"/>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项  目</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center"/>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内         容</w:t>
            </w:r>
            <w:r/>
          </w:p>
        </w:tc>
      </w:tr>
      <w:tr>
        <w:trPr>
          <w:jc w:val="center"/>
          <w:trHeight w:val="55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项目编号</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JSZC-320115-NJMT-C2026-0003</w:t>
            </w:r>
            <w:r/>
          </w:p>
        </w:tc>
      </w:tr>
      <w:tr>
        <w:trPr>
          <w:jc w:val="center"/>
          <w:trHeight w:val="539"/>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原铜井化工园退役场地风险评估项目</w:t>
            </w:r>
            <w:r/>
          </w:p>
        </w:tc>
      </w:tr>
      <w:tr>
        <w:trPr>
          <w:jc w:val="center"/>
          <w:trHeight w:val="538"/>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代理机构</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南京麻田工程咨询有限公司</w:t>
            </w:r>
            <w:r/>
          </w:p>
        </w:tc>
      </w:tr>
      <w:tr>
        <w:trPr>
          <w:jc w:val="center"/>
          <w:trHeight w:val="527"/>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代理机构地址</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南京市江宁区淳化街道雁冲路68号院内9号楼1楼</w:t>
            </w:r>
            <w:r/>
          </w:p>
        </w:tc>
      </w:tr>
      <w:tr>
        <w:trPr>
          <w:jc w:val="center"/>
          <w:trHeight w:val="528"/>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最高限价</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人民币：￥</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275.6886</w:t>
            </w:r>
            <w:r>
              <w:rPr>
                <w:rFonts w:hint="eastAsia" w:ascii="宋体" w:hAnsi="宋体" w:eastAsia="宋体" w:cs="宋体"/>
                <w:i w:val="0"/>
                <w:iCs w:val="0"/>
                <w:color w:val="000000"/>
                <w:sz w:val="20"/>
                <w:szCs w:val="20"/>
                <w:highlight w:val="none"/>
                <w:u w:val="none"/>
                <w:lang w:val="en-US" w:eastAsia="zh-CN" w:bidi="ar"/>
              </w:rPr>
              <w:t xml:space="preserve">万</w:t>
            </w:r>
            <w:r>
              <w:rPr>
                <w:rFonts w:hint="eastAsia" w:ascii="宋体" w:hAnsi="宋体" w:eastAsia="宋体" w:cs="宋体"/>
                <w:sz w:val="21"/>
                <w:szCs w:val="21"/>
                <w:highlight w:val="none"/>
                <w:lang w:eastAsia="zh-CN"/>
              </w:rPr>
              <w:t xml:space="preserve">元，超过最高限价作废标处理。</w:t>
            </w:r>
            <w:r/>
          </w:p>
        </w:tc>
      </w:tr>
      <w:tr>
        <w:trPr>
          <w:jc w:val="center"/>
          <w:trHeight w:val="539"/>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合同履行期限</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90天</w:t>
            </w:r>
            <w:r/>
          </w:p>
        </w:tc>
      </w:tr>
      <w:tr>
        <w:trPr>
          <w:jc w:val="center"/>
          <w:trHeight w:val="541"/>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7</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磋商有效期</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磋商之日起90天</w:t>
            </w:r>
            <w:r/>
          </w:p>
        </w:tc>
      </w:tr>
      <w:tr>
        <w:trPr>
          <w:jc w:val="center"/>
          <w:trHeight w:val="576"/>
        </w:trPr>
        <w:tc>
          <w:tcPr>
            <w:tcBorders>
              <w:top w:val="single" w:color="auto" w:sz="4" w:space="0"/>
              <w:left w:val="single" w:color="auto" w:sz="4" w:space="0"/>
              <w:right w:val="single" w:color="auto" w:sz="4" w:space="0"/>
            </w:tcBorders>
            <w:tcW w:w="747" w:type="dxa"/>
            <w:vAlign w:val="center"/>
            <w:vMerge w:val="restart"/>
            <w:textDirection w:val="lrTb"/>
            <w:noWrap w:val="false"/>
          </w:tcPr>
          <w:p>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8</w:t>
            </w:r>
            <w:r/>
          </w:p>
        </w:tc>
        <w:tc>
          <w:tcPr>
            <w:tcBorders>
              <w:top w:val="single" w:color="auto" w:sz="4" w:space="0"/>
              <w:left w:val="single" w:color="auto" w:sz="4" w:space="0"/>
              <w:right w:val="single" w:color="auto" w:sz="4" w:space="0"/>
            </w:tcBorders>
            <w:tcW w:w="973" w:type="dxa"/>
            <w:vAlign w:val="center"/>
            <w:vMerge w:val="restart"/>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响应性文件提交信息</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color w:val="ff0000"/>
                <w:sz w:val="21"/>
                <w:szCs w:val="21"/>
                <w:highlight w:val="none"/>
                <w:lang w:eastAsia="zh-CN"/>
              </w:rPr>
              <w:t xml:space="preserve">202</w:t>
            </w:r>
            <w:r>
              <w:rPr>
                <w:rFonts w:hint="eastAsia" w:ascii="宋体" w:hAnsi="宋体" w:eastAsia="宋体" w:cs="宋体"/>
                <w:color w:val="ff0000"/>
                <w:sz w:val="21"/>
                <w:szCs w:val="21"/>
                <w:highlight w:val="none"/>
                <w:lang w:val="en-US" w:eastAsia="zh-CN"/>
              </w:rPr>
              <w:t xml:space="preserve">6年6月4日</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 xml:space="preserve"> </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0</w:t>
            </w:r>
            <w:r>
              <w:rPr>
                <w:rFonts w:hint="eastAsia" w:ascii="宋体" w:hAnsi="宋体" w:eastAsia="宋体" w:cs="宋体"/>
                <w:sz w:val="21"/>
                <w:szCs w:val="21"/>
                <w:highlight w:val="none"/>
                <w:lang w:eastAsia="zh-CN"/>
              </w:rPr>
              <w:t xml:space="preserve">0--</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0</w:t>
            </w:r>
            <w:r/>
          </w:p>
        </w:tc>
      </w:tr>
      <w:tr>
        <w:trPr>
          <w:jc w:val="center"/>
          <w:trHeight w:val="532"/>
        </w:trPr>
        <w:tc>
          <w:tcPr>
            <w:tcBorders>
              <w:left w:val="single" w:color="auto" w:sz="4" w:space="0"/>
              <w:right w:val="single" w:color="auto" w:sz="4" w:space="0"/>
            </w:tcBorders>
            <w:tcW w:w="747" w:type="dxa"/>
            <w:vAlign w:val="center"/>
            <w:vMerge w:val="continue"/>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973" w:type="dxa"/>
            <w:vAlign w:val="center"/>
            <w:vMerge w:val="continue"/>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eastAsia="宋体" w:cs="宋体"/>
                <w:sz w:val="21"/>
                <w:szCs w:val="21"/>
                <w:highlight w:val="none"/>
                <w:lang w:eastAsia="zh-CN"/>
              </w:rPr>
            </w:pPr>
            <w:r>
              <w:rPr>
                <w:rFonts w:hint="eastAsia" w:ascii="宋体" w:hAnsi="宋体" w:eastAsia="宋体" w:cs="宋体"/>
                <w:color w:val="auto"/>
                <w:spacing w:val="8"/>
                <w:sz w:val="21"/>
                <w:szCs w:val="21"/>
                <w:highlight w:val="none"/>
              </w:rPr>
              <w:t xml:space="preserve">“</w:t>
            </w:r>
            <w:r>
              <w:rPr>
                <w:rFonts w:hint="eastAsia" w:ascii="宋体" w:hAnsi="宋体" w:eastAsia="宋体" w:cs="宋体"/>
                <w:color w:val="auto"/>
                <w:spacing w:val="8"/>
                <w:sz w:val="21"/>
                <w:szCs w:val="21"/>
                <w:highlight w:val="none"/>
                <w:lang w:val="en-US" w:eastAsia="zh-CN"/>
              </w:rPr>
              <w:t xml:space="preserve">苏采云</w:t>
            </w:r>
            <w:r>
              <w:rPr>
                <w:rFonts w:hint="eastAsia" w:ascii="宋体" w:hAnsi="宋体" w:eastAsia="宋体" w:cs="宋体"/>
                <w:color w:val="auto"/>
                <w:spacing w:val="8"/>
                <w:sz w:val="21"/>
                <w:szCs w:val="21"/>
                <w:highlight w:val="none"/>
              </w:rPr>
              <w:t xml:space="preserve">”</w:t>
            </w:r>
            <w:r>
              <w:rPr>
                <w:rFonts w:hint="eastAsia" w:ascii="宋体" w:hAnsi="宋体" w:eastAsia="宋体" w:cs="宋体"/>
                <w:color w:val="auto"/>
                <w:spacing w:val="8"/>
                <w:sz w:val="21"/>
                <w:szCs w:val="21"/>
                <w:highlight w:val="none"/>
                <w:lang w:val="en-US" w:eastAsia="zh-CN"/>
              </w:rPr>
              <w:t xml:space="preserve">政府采购交易系统</w:t>
            </w:r>
            <w:r/>
          </w:p>
        </w:tc>
      </w:tr>
      <w:tr>
        <w:trPr>
          <w:jc w:val="center"/>
          <w:trHeight w:val="486"/>
        </w:trPr>
        <w:tc>
          <w:tcPr>
            <w:tcBorders>
              <w:left w:val="single" w:color="auto" w:sz="4" w:space="0"/>
              <w:bottom w:val="single" w:color="auto" w:sz="4" w:space="0"/>
              <w:right w:val="single" w:color="auto" w:sz="4" w:space="0"/>
            </w:tcBorders>
            <w:tcW w:w="747" w:type="dxa"/>
            <w:vAlign w:val="center"/>
            <w:vMerge w:val="continue"/>
            <w:textDirection w:val="lrTb"/>
            <w:noWrap w:val="false"/>
          </w:tcPr>
          <w:p>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Borders>
              <w:left w:val="single" w:color="auto" w:sz="4" w:space="0"/>
              <w:bottom w:val="single" w:color="auto" w:sz="4" w:space="0"/>
              <w:right w:val="single" w:color="auto" w:sz="4" w:space="0"/>
            </w:tcBorders>
            <w:tcW w:w="973" w:type="dxa"/>
            <w:vAlign w:val="center"/>
            <w:vMerge w:val="continue"/>
            <w:textDirection w:val="lrTb"/>
            <w:noWrap w:val="false"/>
          </w:tcPr>
          <w:p>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要求</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无</w:t>
            </w:r>
            <w:r/>
          </w:p>
        </w:tc>
      </w:tr>
      <w:tr>
        <w:trPr>
          <w:jc w:val="center"/>
          <w:trHeight w:val="1466"/>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9</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响应性文件份数</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spacing w:line="360" w:lineRule="auto"/>
              <w:rPr>
                <w:rFonts w:hint="eastAsia" w:ascii="宋体" w:hAnsi="宋体" w:eastAsia="宋体" w:cs="宋体"/>
                <w:sz w:val="21"/>
                <w:szCs w:val="21"/>
                <w:highlight w:val="none"/>
                <w:lang w:eastAsia="zh-CN"/>
              </w:rPr>
            </w:pPr>
            <w:r>
              <w:rPr>
                <w:rFonts w:hint="eastAsia" w:ascii="宋体" w:hAnsi="宋体" w:eastAsia="宋体" w:cs="宋体"/>
                <w:color w:val="000000"/>
                <w:position w:val="0"/>
                <w:sz w:val="21"/>
                <w:szCs w:val="21"/>
                <w:highlight w:val="none"/>
                <w:shd w:val="clear" w:color="auto" w:fill="ffffff"/>
                <w:lang w:val="en-US" w:eastAsia="zh-CN" w:bidi="ar"/>
              </w:rPr>
              <w:t xml:space="preserve">成交供应商在领取成交通知书时，无偿递交纸质盖章版响应文件一式叁份（壹份正本、贰份副本）用于归档。提供的响应文件须与苏采云提交的电子响应文件保持一致。</w:t>
            </w:r>
            <w:r/>
          </w:p>
        </w:tc>
      </w:tr>
      <w:tr>
        <w:trPr>
          <w:jc w:val="center"/>
          <w:trHeight w:val="588"/>
        </w:trPr>
        <w:tc>
          <w:tcPr>
            <w:tcBorders>
              <w:top w:val="single" w:color="auto" w:sz="4" w:space="0"/>
              <w:left w:val="single" w:color="auto" w:sz="4" w:space="0"/>
              <w:bottom w:val="single" w:color="auto" w:sz="4" w:space="0"/>
              <w:right w:val="single" w:color="auto" w:sz="4" w:space="0"/>
            </w:tcBorders>
            <w:tcW w:w="747" w:type="dxa"/>
            <w:vAlign w:val="center"/>
            <w:vMerge w:val="restart"/>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973" w:type="dxa"/>
            <w:vAlign w:val="center"/>
            <w:vMerge w:val="restart"/>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磋商信息</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color w:val="ff0000"/>
                <w:sz w:val="21"/>
                <w:szCs w:val="21"/>
                <w:highlight w:val="none"/>
                <w:lang w:eastAsia="zh-CN"/>
              </w:rPr>
              <w:t xml:space="preserve">202</w:t>
            </w:r>
            <w:r>
              <w:rPr>
                <w:rFonts w:hint="eastAsia" w:ascii="宋体" w:hAnsi="宋体" w:eastAsia="宋体" w:cs="宋体"/>
                <w:color w:val="ff0000"/>
                <w:sz w:val="21"/>
                <w:szCs w:val="21"/>
                <w:highlight w:val="none"/>
                <w:lang w:val="en-US" w:eastAsia="zh-CN"/>
              </w:rPr>
              <w:t xml:space="preserve">6年6月4日</w:t>
            </w:r>
            <w:r>
              <w:rPr>
                <w:rFonts w:hint="eastAsia" w:ascii="宋体" w:hAnsi="宋体" w:eastAsia="宋体" w:cs="宋体"/>
                <w:sz w:val="21"/>
                <w:szCs w:val="21"/>
                <w:highlight w:val="none"/>
                <w:lang w:eastAsia="zh-CN"/>
              </w:rPr>
              <w:t xml:space="preserve">  </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0</w:t>
            </w:r>
            <w:r/>
          </w:p>
        </w:tc>
      </w:tr>
      <w:tr>
        <w:trPr>
          <w:jc w:val="center"/>
          <w:trHeight w:val="594"/>
        </w:trPr>
        <w:tc>
          <w:tcPr>
            <w:tcBorders>
              <w:top w:val="single" w:color="auto" w:sz="4" w:space="0"/>
              <w:left w:val="single" w:color="auto" w:sz="4" w:space="0"/>
              <w:bottom w:val="single" w:color="auto" w:sz="4" w:space="0"/>
              <w:right w:val="single" w:color="auto" w:sz="4" w:space="0"/>
            </w:tcBorders>
            <w:tcW w:w="747"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973"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eastAsia="宋体" w:cs="宋体"/>
                <w:sz w:val="21"/>
                <w:szCs w:val="21"/>
                <w:highlight w:val="none"/>
                <w:lang w:eastAsia="zh-CN"/>
              </w:rPr>
            </w:pPr>
            <w:r>
              <w:rPr>
                <w:rFonts w:hint="eastAsia" w:ascii="宋体" w:hAnsi="宋体" w:eastAsia="宋体" w:cs="宋体"/>
                <w:color w:val="auto"/>
                <w:spacing w:val="8"/>
                <w:sz w:val="21"/>
                <w:szCs w:val="21"/>
                <w:highlight w:val="none"/>
              </w:rPr>
              <w:t xml:space="preserve">“</w:t>
            </w:r>
            <w:r>
              <w:rPr>
                <w:rFonts w:hint="eastAsia" w:ascii="宋体" w:hAnsi="宋体" w:eastAsia="宋体" w:cs="宋体"/>
                <w:color w:val="auto"/>
                <w:spacing w:val="8"/>
                <w:sz w:val="21"/>
                <w:szCs w:val="21"/>
                <w:highlight w:val="none"/>
                <w:lang w:val="en-US" w:eastAsia="zh-CN"/>
              </w:rPr>
              <w:t xml:space="preserve">苏采云</w:t>
            </w:r>
            <w:r>
              <w:rPr>
                <w:rFonts w:hint="eastAsia" w:ascii="宋体" w:hAnsi="宋体" w:eastAsia="宋体" w:cs="宋体"/>
                <w:color w:val="auto"/>
                <w:spacing w:val="8"/>
                <w:sz w:val="21"/>
                <w:szCs w:val="21"/>
                <w:highlight w:val="none"/>
              </w:rPr>
              <w:t xml:space="preserve">”</w:t>
            </w:r>
            <w:r>
              <w:rPr>
                <w:rFonts w:hint="eastAsia" w:ascii="宋体" w:hAnsi="宋体" w:eastAsia="宋体" w:cs="宋体"/>
                <w:color w:val="auto"/>
                <w:spacing w:val="8"/>
                <w:sz w:val="21"/>
                <w:szCs w:val="21"/>
                <w:highlight w:val="none"/>
                <w:lang w:val="en-US" w:eastAsia="zh-CN"/>
              </w:rPr>
              <w:t xml:space="preserve">政府采购交易系统</w:t>
            </w:r>
            <w:r/>
          </w:p>
        </w:tc>
      </w:tr>
      <w:tr>
        <w:trPr>
          <w:jc w:val="center"/>
          <w:trHeight w:val="650"/>
        </w:trPr>
        <w:tc>
          <w:tcPr>
            <w:tcBorders>
              <w:top w:val="single" w:color="auto" w:sz="4" w:space="0"/>
              <w:left w:val="single" w:color="auto" w:sz="4" w:space="0"/>
              <w:right w:val="single" w:color="auto" w:sz="4" w:space="0"/>
            </w:tcBorders>
            <w:tcW w:w="747" w:type="dxa"/>
            <w:vAlign w:val="center"/>
            <w:vMerge w:val="restart"/>
            <w:textDirection w:val="lrTb"/>
            <w:noWrap w:val="false"/>
          </w:tcPr>
          <w:p>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1</w:t>
            </w:r>
            <w:r/>
          </w:p>
        </w:tc>
        <w:tc>
          <w:tcPr>
            <w:tcBorders>
              <w:top w:val="single" w:color="auto" w:sz="4" w:space="0"/>
              <w:left w:val="single" w:color="auto" w:sz="4" w:space="0"/>
              <w:right w:val="single" w:color="auto" w:sz="4" w:space="0"/>
            </w:tcBorders>
            <w:tcW w:w="973" w:type="dxa"/>
            <w:vAlign w:val="center"/>
            <w:vMerge w:val="restart"/>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联系事项</w:t>
            </w:r>
            <w:r/>
          </w:p>
        </w:tc>
        <w:tc>
          <w:tcPr>
            <w:tcBorders>
              <w:top w:val="single" w:color="auto" w:sz="4" w:space="0"/>
              <w:left w:val="single" w:color="auto" w:sz="4" w:space="0"/>
              <w:right w:val="single" w:color="auto" w:sz="4" w:space="0"/>
            </w:tcBorders>
            <w:tcW w:w="850" w:type="dxa"/>
            <w:vAlign w:val="center"/>
            <w:vMerge w:val="restart"/>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采购单位</w:t>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联系人</w:t>
            </w:r>
            <w:r/>
          </w:p>
        </w:tc>
        <w:tc>
          <w:tcPr>
            <w:tcBorders>
              <w:top w:val="single" w:color="auto" w:sz="4" w:space="0"/>
              <w:left w:val="single" w:color="auto" w:sz="4" w:space="0"/>
              <w:bottom w:val="single" w:color="auto" w:sz="4" w:space="0"/>
              <w:right w:val="single" w:color="auto" w:sz="4" w:space="0"/>
            </w:tcBorders>
            <w:tcW w:w="5537" w:type="dxa"/>
            <w:vAlign w:val="center"/>
            <w:textDirection w:val="lrTb"/>
            <w:noWrap w:val="false"/>
          </w:tcPr>
          <w:p>
            <w:pP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崔工</w:t>
            </w:r>
            <w:r/>
          </w:p>
        </w:tc>
      </w:tr>
      <w:tr>
        <w:trPr>
          <w:jc w:val="center"/>
          <w:trHeight w:val="510"/>
        </w:trPr>
        <w:tc>
          <w:tcPr>
            <w:tcBorders>
              <w:left w:val="single" w:color="auto" w:sz="4" w:space="0"/>
              <w:right w:val="single" w:color="auto" w:sz="4" w:space="0"/>
            </w:tcBorders>
            <w:tcW w:w="747"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973" w:type="dxa"/>
            <w:vAlign w:val="center"/>
            <w:vMerge w:val="continue"/>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850" w:type="dxa"/>
            <w:vAlign w:val="center"/>
            <w:vMerge w:val="continue"/>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p>
        </w:tc>
        <w:tc>
          <w:tcPr>
            <w:tcBorders>
              <w:top w:val="single" w:color="auto" w:sz="4" w:space="0"/>
              <w:left w:val="single" w:color="auto" w:sz="4" w:space="0"/>
              <w:bottom w:val="single" w:color="auto" w:sz="4" w:space="0"/>
              <w:right w:val="single" w:color="auto" w:sz="4" w:space="0"/>
            </w:tcBorders>
            <w:tcW w:w="5537" w:type="dxa"/>
            <w:vAlign w:val="center"/>
            <w:textDirection w:val="lrTb"/>
            <w:noWrap w:val="false"/>
          </w:tcPr>
          <w:p>
            <w:pP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w:t>
            </w:r>
            <w:r/>
          </w:p>
        </w:tc>
      </w:tr>
      <w:tr>
        <w:trPr>
          <w:jc w:val="center"/>
          <w:trHeight w:val="493"/>
        </w:trPr>
        <w:tc>
          <w:tcPr>
            <w:tcBorders>
              <w:left w:val="single" w:color="auto" w:sz="4" w:space="0"/>
              <w:right w:val="single" w:color="auto" w:sz="4" w:space="0"/>
            </w:tcBorders>
            <w:tcW w:w="747"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973" w:type="dxa"/>
            <w:vAlign w:val="center"/>
            <w:vMerge w:val="continue"/>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right w:val="single" w:color="auto" w:sz="4" w:space="0"/>
            </w:tcBorders>
            <w:tcW w:w="850" w:type="dxa"/>
            <w:vAlign w:val="center"/>
            <w:vMerge w:val="restart"/>
            <w:textDirection w:val="lrTb"/>
            <w:noWrap w:val="false"/>
          </w:tcPr>
          <w:p>
            <w:pPr>
              <w:pStyle w:val="75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采购代理机构</w:t>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联系人</w:t>
            </w:r>
            <w:r/>
          </w:p>
        </w:tc>
        <w:tc>
          <w:tcPr>
            <w:tcBorders>
              <w:top w:val="single" w:color="auto" w:sz="4" w:space="0"/>
              <w:left w:val="single" w:color="auto" w:sz="4" w:space="0"/>
              <w:bottom w:val="single" w:color="auto" w:sz="4" w:space="0"/>
              <w:right w:val="single" w:color="auto" w:sz="4" w:space="0"/>
            </w:tcBorders>
            <w:tcW w:w="5537" w:type="dxa"/>
            <w:vAlign w:val="center"/>
            <w:textDirection w:val="lrTb"/>
            <w:noWrap w:val="false"/>
          </w:tcPr>
          <w:p>
            <w:pP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张工</w:t>
            </w:r>
            <w:r/>
          </w:p>
        </w:tc>
      </w:tr>
      <w:tr>
        <w:trPr>
          <w:jc w:val="center"/>
          <w:trHeight w:val="587"/>
        </w:trPr>
        <w:tc>
          <w:tcPr>
            <w:tcBorders>
              <w:left w:val="single" w:color="auto" w:sz="4" w:space="0"/>
              <w:right w:val="single" w:color="auto" w:sz="4" w:space="0"/>
            </w:tcBorders>
            <w:tcW w:w="747"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973" w:type="dxa"/>
            <w:vAlign w:val="center"/>
            <w:vMerge w:val="continue"/>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850" w:type="dxa"/>
            <w:vAlign w:val="center"/>
            <w:vMerge w:val="continue"/>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p>
        </w:tc>
        <w:tc>
          <w:tcPr>
            <w:tcBorders>
              <w:top w:val="single" w:color="auto" w:sz="4" w:space="0"/>
              <w:left w:val="single" w:color="auto" w:sz="4" w:space="0"/>
              <w:bottom w:val="single" w:color="auto" w:sz="4" w:space="0"/>
              <w:right w:val="single" w:color="auto" w:sz="4" w:space="0"/>
            </w:tcBorders>
            <w:tcW w:w="5537" w:type="dxa"/>
            <w:vAlign w:val="center"/>
            <w:textDirection w:val="lrTb"/>
            <w:noWrap w:val="false"/>
          </w:tcPr>
          <w:p>
            <w:pP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025-52730710</w:t>
            </w:r>
            <w:r/>
          </w:p>
        </w:tc>
      </w:tr>
      <w:tr>
        <w:trPr>
          <w:jc w:val="center"/>
          <w:trHeight w:val="567"/>
        </w:trPr>
        <w:tc>
          <w:tcPr>
            <w:tcBorders>
              <w:left w:val="single" w:color="auto" w:sz="4" w:space="0"/>
              <w:right w:val="single" w:color="auto" w:sz="4" w:space="0"/>
            </w:tcBorders>
            <w:tcW w:w="747"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13</w:t>
            </w:r>
            <w:r/>
          </w:p>
        </w:tc>
        <w:tc>
          <w:tcPr>
            <w:gridSpan w:val="2"/>
            <w:tcBorders>
              <w:left w:val="single" w:color="auto" w:sz="4" w:space="0"/>
              <w:right w:val="single" w:color="auto" w:sz="4" w:space="0"/>
            </w:tcBorders>
            <w:tcW w:w="1823"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磋商保证金</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left"/>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zh-CN" w:eastAsia="zh-CN"/>
              </w:rPr>
              <w:t xml:space="preserve">本项目不收取</w:t>
            </w:r>
            <w:r>
              <w:rPr>
                <w:rFonts w:hint="eastAsia" w:ascii="宋体" w:hAnsi="宋体" w:eastAsia="宋体" w:cs="宋体"/>
                <w:sz w:val="21"/>
                <w:szCs w:val="21"/>
                <w:highlight w:val="none"/>
                <w:lang w:val="en-US" w:eastAsia="zh-CN"/>
              </w:rPr>
              <w:t xml:space="preserve">磋商</w:t>
            </w:r>
            <w:r>
              <w:rPr>
                <w:rFonts w:hint="eastAsia" w:ascii="宋体" w:hAnsi="宋体" w:eastAsia="宋体" w:cs="宋体"/>
                <w:sz w:val="21"/>
                <w:szCs w:val="21"/>
                <w:highlight w:val="none"/>
                <w:lang w:val="zh-CN" w:eastAsia="zh-CN"/>
              </w:rPr>
              <w:t xml:space="preserve">保证金。</w:t>
            </w:r>
            <w:r/>
          </w:p>
        </w:tc>
      </w:tr>
    </w:tbl>
    <w:p>
      <w:pPr>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br w:type="page" w:clear="all"/>
      </w:r>
      <w:r/>
    </w:p>
    <w:p>
      <w:pPr>
        <w:pStyle w:val="76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20" w:name="_Toc16938519"/>
      <w:r/>
      <w:bookmarkStart w:id="21" w:name="_Toc513029203"/>
      <w:r/>
      <w:bookmarkStart w:id="22" w:name="_Toc120614214"/>
      <w:r/>
      <w:bookmarkStart w:id="23" w:name="_Toc20823275"/>
      <w:r>
        <w:rPr>
          <w:rFonts w:hint="eastAsia"/>
          <w:b/>
          <w:bCs/>
          <w:color w:val="000000" w:themeColor="text1"/>
          <w:sz w:val="21"/>
          <w:szCs w:val="21"/>
          <w:highlight w:val="none"/>
          <w14:textFill>
            <w14:solidFill>
              <w14:schemeClr w14:val="tx1"/>
            </w14:solidFill>
          </w14:textFill>
        </w:rPr>
        <w:t xml:space="preserve">一、总则</w:t>
      </w:r>
      <w:bookmarkEnd w:id="20"/>
      <w:r/>
      <w:bookmarkEnd w:id="21"/>
      <w:r/>
      <w:bookmarkEnd w:id="22"/>
      <w:r/>
      <w:bookmarkEnd w:id="23"/>
      <w:r/>
      <w:r/>
    </w:p>
    <w:p>
      <w:pPr>
        <w:ind w:firstLine="422"/>
        <w:spacing w:line="360" w:lineRule="auto"/>
        <w:rPr>
          <w:rFonts w:ascii="宋体" w:hAnsi="宋体" w:eastAsia="宋体" w:cs="宋体"/>
          <w:b/>
          <w:color w:val="000000" w:themeColor="text1"/>
          <w:sz w:val="21"/>
          <w:szCs w:val="21"/>
          <w:highlight w:val="none"/>
          <w:lang w:val="zh-CN" w:eastAsia="zh-CN"/>
          <w14:textFill>
            <w14:solidFill>
              <w14:schemeClr w14:val="tx1"/>
            </w14:solidFill>
          </w14:textFill>
        </w:rPr>
      </w:pPr>
      <w:r/>
      <w:bookmarkStart w:id="24" w:name="_Toc462564067"/>
      <w:r/>
      <w:bookmarkStart w:id="25" w:name="_Toc513029207"/>
      <w:r/>
      <w:bookmarkStart w:id="26" w:name="_Toc20823279"/>
      <w:r/>
      <w:bookmarkStart w:id="27" w:name="_Toc16938523"/>
      <w:r/>
      <w:bookmarkStart w:id="28" w:name="_Hlt16619475"/>
      <w:r>
        <w:rPr>
          <w:rFonts w:hint="eastAsia" w:ascii="宋体" w:hAnsi="宋体" w:eastAsia="宋体" w:cs="宋体"/>
          <w:b/>
          <w:color w:val="000000" w:themeColor="text1"/>
          <w:sz w:val="21"/>
          <w:szCs w:val="21"/>
          <w:highlight w:val="none"/>
          <w:lang w:val="zh-CN" w:eastAsia="zh-CN"/>
          <w14:textFill>
            <w14:solidFill>
              <w14:schemeClr w14:val="tx1"/>
            </w14:solidFill>
          </w14:textFill>
        </w:rPr>
        <w:t xml:space="preserve">1、适用法律</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《中华人民共和国政府采购法》、《中华人民共和国政府采购法实施条例》、《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政府采购竞争性磋商采购方式管理暂行办法</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等</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有关法律、规章和规定等。</w:t>
      </w:r>
      <w:r/>
    </w:p>
    <w:p>
      <w:pPr>
        <w:ind w:firstLine="422"/>
        <w:spacing w:line="360" w:lineRule="auto"/>
        <w:rPr>
          <w:rFonts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eastAsia="宋体" w:cs="宋体"/>
          <w:b/>
          <w:color w:val="000000" w:themeColor="text1"/>
          <w:sz w:val="21"/>
          <w:szCs w:val="21"/>
          <w:highlight w:val="none"/>
          <w:lang w:val="zh-CN" w:eastAsia="zh-CN"/>
          <w14:textFill>
            <w14:solidFill>
              <w14:schemeClr w14:val="tx1"/>
            </w14:solidFill>
          </w14:textFill>
        </w:rPr>
        <w:t xml:space="preserve">2、定义</w:t>
      </w:r>
      <w:r/>
    </w:p>
    <w:p>
      <w:pPr>
        <w:ind w:firstLine="420"/>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2.1 “采购人”是指依法进行政府采购的国家机关、事业单位、团体组织。</w:t>
      </w:r>
      <w:r/>
    </w:p>
    <w:p>
      <w:pPr>
        <w:ind w:firstLine="420"/>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2.2 “供应商”是指参加竞争性磋商，并符合采购文件规定资格条件的法人、其他组织或者自然人。</w:t>
      </w:r>
      <w:r/>
    </w:p>
    <w:p>
      <w:pPr>
        <w:ind w:firstLine="420"/>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2.3 “货物、服务和工程”指本采购文件中所述产品、相关服务以及工程。</w:t>
      </w:r>
      <w:r/>
    </w:p>
    <w:p>
      <w:pPr>
        <w:ind w:firstLine="420"/>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2.4 “用户或使用单位”是指使用服务的单位。</w:t>
      </w:r>
      <w:r/>
    </w:p>
    <w:p>
      <w:pPr>
        <w:ind w:firstLine="422"/>
        <w:spacing w:line="360" w:lineRule="auto"/>
        <w:rPr>
          <w:rFonts w:hint="eastAsia"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eastAsia="宋体" w:cs="宋体"/>
          <w:b/>
          <w:color w:val="000000" w:themeColor="text1"/>
          <w:sz w:val="21"/>
          <w:szCs w:val="21"/>
          <w:highlight w:val="none"/>
          <w:lang w:val="zh-CN" w:eastAsia="zh-CN"/>
          <w14:textFill>
            <w14:solidFill>
              <w14:schemeClr w14:val="tx1"/>
            </w14:solidFill>
          </w14:textFill>
        </w:rPr>
        <w:t xml:space="preserve">3、政策功能</w:t>
      </w:r>
      <w:r/>
    </w:p>
    <w:p>
      <w:pPr>
        <w:ind w:firstLine="422"/>
        <w:spacing w:line="360" w:lineRule="auto"/>
        <w:rPr>
          <w:rFonts w:hint="eastAsia"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b/>
          <w:bCs/>
          <w:color w:val="000000"/>
          <w:sz w:val="24"/>
          <w:szCs w:val="24"/>
          <w:highlight w:val="none"/>
          <w:lang w:val="zh-CN"/>
        </w:rPr>
        <w:t xml:space="preserve">本项目专门面向中小微企业采购，供应商应为中小微企业或监狱企业或残疾人福利性单位。</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3.1中小企业政策</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对于专门面向中小企业或小型、微型企业的项目，只面向中小企业或小型、微型企业采购。对于非专门面向中小企业的项目，对符合规定的小微企业报价给予10%（工程为5%）的扣除，用扣除后的价格参加评审。</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（3）对于接受供应商以联合体形式参加采购活动的项目，小型、微型企业联合体应当符合《政</w:t>
      </w:r>
      <w:r>
        <w:rPr>
          <w:rFonts w:hint="eastAsia"/>
          <w:color w:val="000000" w:themeColor="text1"/>
          <w:sz w:val="21"/>
          <w:szCs w:val="21"/>
          <w:highlight w:val="none"/>
          <w14:textFill>
            <w14:solidFill>
              <w14:schemeClr w14:val="tx1"/>
            </w14:solidFill>
          </w14:textFill>
        </w:rPr>
        <w:t xml:space="preserve">府采购促进中小企业发展管理办法》的通知[财库〔2020〕46号]及《关于进一步加大政府采购支持中小企业力度的通知》（财库〔2022〕19号）规定。联合协议中约定，小型、微型企业的协议合同金额占到联合体协议合同总金额30%以上的，给予联合体2%的价格扣除。联合体各方均为小型、微型企业的，联合体视同为小型、微型企业给予10%价格（工程为5%）扣除。组成联合体的大中型企业和其他自然人、法人或者其他组织，与小型、微型企业之间不得存在投资关系。本项目专门面向中小企业采购，评审时，采购人对小微企业的报价不给予价格扣除；</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5）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未提供上述资料的报价，其价格不予扣除。</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（6）参加政府采购活动的中小企业应当按“关于印发《关于进一步加大政府采购支持中小企业力度的通知》（财库〔2022〕19号）” 规定提供《中小企业声明函》，未提供上述资料的报价，其价格不予扣除。</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（7）中小企业依据《政府采购促进中小企业发展管理办法》的通知[财库〔2020〕46号]规定的政策获取政府采购合同后，小微企业不得将合同分包给大中型企业，中型企业不得将合同分包给大型企业。</w:t>
      </w:r>
      <w:r/>
    </w:p>
    <w:p>
      <w:pPr>
        <w:pStyle w:val="763"/>
        <w:ind w:firstLine="420"/>
        <w:jc w:val="both"/>
        <w:spacing w:before="0" w:beforeAutospacing="0" w:after="0" w:afterAutospacing="0" w:line="360" w:lineRule="auto"/>
        <w:widowControl w:val="off"/>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3.2节能产品、环境标志产品政策</w:t>
      </w:r>
      <w:r/>
    </w:p>
    <w:p>
      <w:pPr>
        <w:pStyle w:val="763"/>
        <w:ind w:firstLine="420"/>
        <w:jc w:val="both"/>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（1）政府采购节能产品、环境标志产品实施品目清单管理。</w:t>
      </w:r>
      <w:r/>
    </w:p>
    <w:p>
      <w:pPr>
        <w:pStyle w:val="763"/>
        <w:ind w:firstLine="420"/>
        <w:jc w:val="both"/>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（2）拟采购产品属于节能产品、环境标志产品品目清单规定必须强制采购的，实行强制采购。</w:t>
      </w:r>
      <w:r/>
    </w:p>
    <w:p>
      <w:pPr>
        <w:pStyle w:val="763"/>
        <w:ind w:firstLine="420"/>
        <w:jc w:val="both"/>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（3）拟采购产品属于节能产品、环境标志产品品目清单规定优先采购的，在性能、技术、服务等指标同等条件下，实行优先采购，优先采购的评审标准详见本招标文件第三章。</w:t>
      </w:r>
      <w:r/>
    </w:p>
    <w:p>
      <w:pPr>
        <w:pStyle w:val="763"/>
        <w:ind w:firstLine="420"/>
        <w:jc w:val="both"/>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（4）参加政府采购活动的节能产品、环境标志产品供应商应当提供国家确定的认证机构出具的、处于有效期之内的节能产品、环境标志产品认证证书。</w:t>
      </w:r>
      <w:r/>
    </w:p>
    <w:p>
      <w:pPr>
        <w:pStyle w:val="763"/>
        <w:ind w:firstLine="420"/>
        <w:jc w:val="both"/>
        <w:spacing w:before="0" w:beforeAutospacing="0" w:after="0" w:afterAutospacing="0" w:line="360" w:lineRule="auto"/>
        <w:widowControl w:val="off"/>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3.3进口产品政策</w:t>
      </w:r>
      <w:r/>
    </w:p>
    <w:p>
      <w:pPr>
        <w:pStyle w:val="763"/>
        <w:ind w:firstLine="420"/>
        <w:jc w:val="both"/>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（1）除在磋商文件另有规定外，不允许进口产品参加。进口产品认定依照《财政部关于政府采购进口产品管理有关问题的通知》（财办库〔2008〕248号）的规定。</w:t>
      </w:r>
      <w:r/>
    </w:p>
    <w:p>
      <w:pPr>
        <w:pStyle w:val="763"/>
        <w:ind w:firstLine="420"/>
        <w:jc w:val="both"/>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（2）允许进口产品参加的，满足需求的国内产品可以参加。</w:t>
      </w:r>
      <w:r/>
    </w:p>
    <w:p>
      <w:pPr>
        <w:pStyle w:val="763"/>
        <w:ind w:firstLine="420"/>
        <w:jc w:val="both"/>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（3）允许进口产品参加的，优先采购向我国企业转让技术、与我国企业签订消化吸收再创新方案的供应商的进口产品。</w:t>
      </w:r>
      <w:r/>
    </w:p>
    <w:p>
      <w:pPr>
        <w:pStyle w:val="76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4、磋商费用</w:t>
      </w:r>
      <w:bookmarkEnd w:id="24"/>
      <w:r/>
      <w:bookmarkEnd w:id="25"/>
      <w:r/>
      <w:bookmarkEnd w:id="26"/>
      <w:r/>
      <w:bookmarkEnd w:id="27"/>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4.1 供应商应自行承担所有与参加本次磋商有关的费用，无论磋商过程中的做法和结果如何，采购人和采购代理机构在任何情况下均无义务和责任承担这些费用。</w:t>
      </w:r>
      <w:r/>
    </w:p>
    <w:p>
      <w:pPr>
        <w:ind w:firstLine="420"/>
        <w:spacing w:line="360" w:lineRule="auto"/>
        <w:shd w:val="clear" w:color="auto" w:fill="ffffff"/>
        <w:widowControl/>
        <w:rPr>
          <w:rFonts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4.2</w:t>
      </w:r>
      <w:r>
        <w:rPr>
          <w:rFonts w:hint="eastAsia" w:ascii="宋体" w:hAnsi="宋体" w:eastAsia="宋体" w:cs="宋体"/>
          <w:b/>
          <w:bCs/>
          <w:sz w:val="21"/>
          <w:szCs w:val="21"/>
          <w:highlight w:val="none"/>
          <w:lang w:val="zh-CN" w:eastAsia="zh-CN"/>
        </w:rPr>
        <w:t xml:space="preserve">本项目招标代理费招标代理费以中标金额为基数服务费用按招标代理服务收费管理办法计价格[2002]1980号收费标准的80%</w:t>
      </w:r>
      <w:r>
        <w:rPr>
          <w:rFonts w:hint="eastAsia" w:ascii="宋体" w:hAnsi="宋体" w:eastAsia="宋体" w:cs="宋体"/>
          <w:b/>
          <w:bCs/>
          <w:sz w:val="21"/>
          <w:szCs w:val="21"/>
          <w:highlight w:val="none"/>
          <w:lang w:val="en-US" w:eastAsia="zh-CN"/>
        </w:rPr>
        <w:t xml:space="preserve">计取，代理服务费不足3000元的以3000元计</w:t>
      </w:r>
      <w:r>
        <w:rPr>
          <w:rFonts w:hint="eastAsia" w:ascii="宋体" w:hAnsi="宋体" w:eastAsia="宋体" w:cs="宋体"/>
          <w:b/>
          <w:bCs/>
          <w:sz w:val="21"/>
          <w:szCs w:val="21"/>
          <w:highlight w:val="none"/>
          <w:lang w:val="zh-CN" w:eastAsia="zh-CN"/>
        </w:rPr>
        <w:t xml:space="preserve">，由</w:t>
      </w:r>
      <w:r>
        <w:rPr>
          <w:rFonts w:hint="eastAsia" w:ascii="宋体" w:hAnsi="宋体" w:eastAsia="宋体" w:cs="宋体"/>
          <w:b/>
          <w:bCs/>
          <w:sz w:val="21"/>
          <w:szCs w:val="21"/>
          <w:highlight w:val="none"/>
          <w:lang w:val="en-US" w:eastAsia="zh-CN"/>
        </w:rPr>
        <w:t xml:space="preserve">招</w:t>
      </w:r>
      <w:r>
        <w:rPr>
          <w:rFonts w:hint="eastAsia" w:ascii="宋体" w:hAnsi="宋体" w:eastAsia="宋体" w:cs="宋体"/>
          <w:b/>
          <w:bCs/>
          <w:sz w:val="21"/>
          <w:szCs w:val="21"/>
          <w:highlight w:val="none"/>
          <w:lang w:val="zh-CN" w:eastAsia="zh-CN"/>
        </w:rPr>
        <w:t xml:space="preserve">标人承担。</w:t>
      </w:r>
      <w:r/>
    </w:p>
    <w:p>
      <w:pPr>
        <w:pStyle w:val="763"/>
        <w:ind w:firstLine="420"/>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4.3 相关费用</w:t>
      </w:r>
      <w:r>
        <w:rPr>
          <w:rFonts w:hint="eastAsia"/>
          <w:bCs/>
          <w:color w:val="000000" w:themeColor="text1"/>
          <w:sz w:val="21"/>
          <w:szCs w:val="21"/>
          <w:highlight w:val="none"/>
          <w14:textFill>
            <w14:solidFill>
              <w14:schemeClr w14:val="tx1"/>
            </w14:solidFill>
          </w14:textFill>
        </w:rPr>
        <w:t xml:space="preserve">由投标单位自行考虑，后期不纳入与采购人结算中。</w:t>
      </w:r>
      <w:r/>
    </w:p>
    <w:p>
      <w:pPr>
        <w:pStyle w:val="76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5、磋商文件的约束力</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5.1 供应商一旦参加本项目采购活动，即被认为接受了本磋商文件的规定和约束。</w:t>
      </w:r>
      <w:r/>
    </w:p>
    <w:p>
      <w:pPr>
        <w:pStyle w:val="76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29" w:name="_Toc513029209"/>
      <w:r/>
      <w:bookmarkStart w:id="30" w:name="_Toc16938525"/>
      <w:r/>
      <w:bookmarkStart w:id="31" w:name="_Toc20823281"/>
      <w:r/>
      <w:bookmarkStart w:id="32" w:name="_Toc120614215"/>
      <w:r>
        <w:rPr>
          <w:rFonts w:hint="eastAsia"/>
          <w:b/>
          <w:bCs/>
          <w:color w:val="000000" w:themeColor="text1"/>
          <w:sz w:val="21"/>
          <w:szCs w:val="21"/>
          <w:highlight w:val="none"/>
          <w14:textFill>
            <w14:solidFill>
              <w14:schemeClr w14:val="tx1"/>
            </w14:solidFill>
          </w14:textFill>
        </w:rPr>
        <w:t xml:space="preserve">二、</w:t>
      </w:r>
      <w:bookmarkEnd w:id="29"/>
      <w:r/>
      <w:bookmarkEnd w:id="30"/>
      <w:r/>
      <w:bookmarkEnd w:id="31"/>
      <w:r/>
      <w:bookmarkEnd w:id="32"/>
      <w:r>
        <w:rPr>
          <w:rFonts w:hint="eastAsia"/>
          <w:b/>
          <w:bCs/>
          <w:color w:val="000000" w:themeColor="text1"/>
          <w:sz w:val="21"/>
          <w:szCs w:val="21"/>
          <w:highlight w:val="none"/>
          <w14:textFill>
            <w14:solidFill>
              <w14:schemeClr w14:val="tx1"/>
            </w14:solidFill>
          </w14:textFill>
        </w:rPr>
        <w:t xml:space="preserve">磋商文件</w:t>
      </w:r>
      <w:r/>
    </w:p>
    <w:p>
      <w:pPr>
        <w:pStyle w:val="76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33" w:name="_Toc513029210"/>
      <w:r/>
      <w:bookmarkStart w:id="34" w:name="_Toc16938526"/>
      <w:r/>
      <w:bookmarkStart w:id="35" w:name="_Toc20823282"/>
      <w:r>
        <w:rPr>
          <w:rFonts w:hint="eastAsia"/>
          <w:b/>
          <w:bCs/>
          <w:color w:val="000000" w:themeColor="text1"/>
          <w:sz w:val="21"/>
          <w:szCs w:val="21"/>
          <w:highlight w:val="none"/>
          <w14:textFill>
            <w14:solidFill>
              <w14:schemeClr w14:val="tx1"/>
            </w14:solidFill>
          </w14:textFill>
        </w:rPr>
        <w:t xml:space="preserve">6、磋商文件构成</w:t>
      </w:r>
      <w:bookmarkEnd w:id="33"/>
      <w:r/>
      <w:bookmarkEnd w:id="34"/>
      <w:r/>
      <w:bookmarkEnd w:id="35"/>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6.1 磋商文件由以下部分组成：</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（1）竞争性磋商公告</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（2）供应商须知</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（3）成交标准</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（4）采购需求</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（5）合同草案条款及格式</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（6）响应文件格式</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（7）附件</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请仔细检查磋商文件是否齐全，如有缺漏请立即与采购代理机构联系解决。</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76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36" w:name="_Toc513029211"/>
      <w:r/>
      <w:bookmarkStart w:id="37" w:name="_Toc20823283"/>
      <w:r/>
      <w:bookmarkStart w:id="38" w:name="_Toc16938527"/>
      <w:r/>
      <w:bookmarkStart w:id="39" w:name="_Toc462564070"/>
      <w:r>
        <w:rPr>
          <w:rFonts w:hint="eastAsia"/>
          <w:b/>
          <w:bCs/>
          <w:color w:val="000000" w:themeColor="text1"/>
          <w:sz w:val="21"/>
          <w:szCs w:val="21"/>
          <w:highlight w:val="none"/>
          <w14:textFill>
            <w14:solidFill>
              <w14:schemeClr w14:val="tx1"/>
            </w14:solidFill>
          </w14:textFill>
        </w:rPr>
        <w:t xml:space="preserve">7、磋商文件的澄清</w:t>
      </w:r>
      <w:bookmarkEnd w:id="36"/>
      <w:r/>
      <w:bookmarkEnd w:id="37"/>
      <w:r/>
      <w:bookmarkEnd w:id="38"/>
      <w:r/>
      <w:bookmarkEnd w:id="39"/>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7.1 任何要求对磋商文件进行澄清的供应商，应在磋商截止期5日前按磋商公告中的通讯地址，以书面形式通知采购代理机构。</w:t>
      </w:r>
      <w:r/>
    </w:p>
    <w:p>
      <w:pPr>
        <w:pStyle w:val="76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40" w:name="_Toc462564071"/>
      <w:r/>
      <w:bookmarkStart w:id="41" w:name="_Toc513029212"/>
      <w:r/>
      <w:bookmarkStart w:id="42" w:name="_Toc20823284"/>
      <w:r/>
      <w:bookmarkStart w:id="43" w:name="_Toc16938528"/>
      <w:r>
        <w:rPr>
          <w:rFonts w:hint="eastAsia"/>
          <w:b/>
          <w:bCs/>
          <w:color w:val="000000" w:themeColor="text1"/>
          <w:sz w:val="21"/>
          <w:szCs w:val="21"/>
          <w:highlight w:val="none"/>
          <w14:textFill>
            <w14:solidFill>
              <w14:schemeClr w14:val="tx1"/>
            </w14:solidFill>
          </w14:textFill>
        </w:rPr>
        <w:t xml:space="preserve">8、磋商文件的澄清和修改</w:t>
      </w:r>
      <w:bookmarkEnd w:id="40"/>
      <w:r/>
      <w:bookmarkEnd w:id="41"/>
      <w:r/>
      <w:bookmarkEnd w:id="42"/>
      <w:r/>
      <w:bookmarkEnd w:id="43"/>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w:t>
      </w:r>
      <w:r>
        <w:rPr>
          <w:rFonts w:hint="eastAsia"/>
          <w:color w:val="000000" w:themeColor="text1"/>
          <w:sz w:val="21"/>
          <w:szCs w:val="21"/>
          <w:highlight w:val="none"/>
          <w:lang w:val="en-US" w:eastAsia="zh-CN"/>
          <w14:textFill>
            <w14:solidFill>
              <w14:schemeClr w14:val="tx1"/>
            </w14:solidFill>
          </w14:textFill>
        </w:rPr>
        <w:t xml:space="preserve">满足相关文件规定</w:t>
      </w:r>
      <w:r>
        <w:rPr>
          <w:rFonts w:hint="eastAsia"/>
          <w:color w:val="000000" w:themeColor="text1"/>
          <w:sz w:val="21"/>
          <w:szCs w:val="21"/>
          <w:highlight w:val="none"/>
          <w14:textFill>
            <w14:solidFill>
              <w14:schemeClr w14:val="tx1"/>
            </w14:solidFill>
          </w14:textFill>
        </w:rPr>
        <w:t xml:space="preserve">，在“江苏政府采购网、南京公共采购信息网”上发布书面更正公告形式通知所有获取磋商文件的供应商，更正公告内容将作为磋商文件的组成部分，并对供应商具有约束力。</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8.2 采购代理机构可以视采购项目的具体情况，组织供应商进行现场考察或召开磋商前答疑会，但不单独或分别组织只有一个供应商参加的现场考察和答疑会。</w:t>
      </w:r>
      <w:r/>
    </w:p>
    <w:p>
      <w:pPr>
        <w:pStyle w:val="76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44" w:name="_Toc462564072"/>
      <w:r/>
      <w:bookmarkStart w:id="45" w:name="_Toc16938529"/>
      <w:r/>
      <w:bookmarkStart w:id="46" w:name="_Toc120614216"/>
      <w:r/>
      <w:bookmarkStart w:id="47" w:name="_Toc20823285"/>
      <w:r/>
      <w:bookmarkStart w:id="48" w:name="_Toc513029213"/>
      <w:r>
        <w:rPr>
          <w:rFonts w:hint="eastAsia"/>
          <w:b/>
          <w:bCs/>
          <w:color w:val="000000" w:themeColor="text1"/>
          <w:sz w:val="21"/>
          <w:szCs w:val="21"/>
          <w:highlight w:val="none"/>
          <w14:textFill>
            <w14:solidFill>
              <w14:schemeClr w14:val="tx1"/>
            </w14:solidFill>
          </w14:textFill>
        </w:rPr>
        <w:t xml:space="preserve">三、响应文件的编制</w:t>
      </w:r>
      <w:bookmarkEnd w:id="44"/>
      <w:r/>
      <w:bookmarkEnd w:id="45"/>
      <w:r/>
      <w:bookmarkEnd w:id="46"/>
      <w:r/>
      <w:bookmarkEnd w:id="47"/>
      <w:r/>
      <w:bookmarkEnd w:id="48"/>
      <w:r/>
      <w:r/>
    </w:p>
    <w:p>
      <w:pPr>
        <w:pStyle w:val="76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49" w:name="_Toc16938530"/>
      <w:r/>
      <w:bookmarkStart w:id="50" w:name="_Toc462564073"/>
      <w:r/>
      <w:bookmarkStart w:id="51" w:name="_Toc20823286"/>
      <w:r/>
      <w:bookmarkStart w:id="52" w:name="_Toc513029214"/>
      <w:r>
        <w:rPr>
          <w:rFonts w:hint="eastAsia"/>
          <w:b/>
          <w:bCs/>
          <w:color w:val="000000" w:themeColor="text1"/>
          <w:sz w:val="21"/>
          <w:szCs w:val="21"/>
          <w:highlight w:val="none"/>
          <w14:textFill>
            <w14:solidFill>
              <w14:schemeClr w14:val="tx1"/>
            </w14:solidFill>
          </w14:textFill>
        </w:rPr>
        <w:t xml:space="preserve">9、</w:t>
      </w:r>
      <w:bookmarkEnd w:id="49"/>
      <w:r/>
      <w:bookmarkEnd w:id="50"/>
      <w:r/>
      <w:bookmarkEnd w:id="51"/>
      <w:r/>
      <w:bookmarkEnd w:id="52"/>
      <w:r>
        <w:rPr>
          <w:rFonts w:hint="eastAsia"/>
          <w:b/>
          <w:bCs/>
          <w:color w:val="000000" w:themeColor="text1"/>
          <w:sz w:val="21"/>
          <w:szCs w:val="21"/>
          <w:highlight w:val="none"/>
          <w14:textFill>
            <w14:solidFill>
              <w14:schemeClr w14:val="tx1"/>
            </w14:solidFill>
          </w14:textFill>
        </w:rPr>
        <w:t xml:space="preserve">响应文件的语言、计量单位、货币和编制</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9.2 供应商所使用的计量单位应为国家法定计量单位。</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9.3 供应商应用人民币报价。报价产品如果是进口产品的，应提供人民币与外币之间的汇率；报价单位为“元”。</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9.4 磋商响应文件应字迹清楚、内容齐全、不得涂改。如有修改，修改处须有供应商公章或投标专用章和法定代表人或其授权磋商代表签字。</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9.5 供应商应在磋商响应文件中写清相应的项目编号、项目名称、供应商全称、地址、电话、传真等。</w:t>
      </w:r>
      <w:r/>
    </w:p>
    <w:p>
      <w:pPr>
        <w:pStyle w:val="76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53" w:name="_Toc462564074"/>
      <w:r/>
      <w:bookmarkStart w:id="54" w:name="_Toc16938531"/>
      <w:r/>
      <w:bookmarkStart w:id="55" w:name="_Toc513029215"/>
      <w:r/>
      <w:bookmarkStart w:id="56" w:name="_Toc20823287"/>
      <w:r>
        <w:rPr>
          <w:rFonts w:hint="eastAsia"/>
          <w:b/>
          <w:bCs/>
          <w:color w:val="000000" w:themeColor="text1"/>
          <w:sz w:val="21"/>
          <w:szCs w:val="21"/>
          <w:highlight w:val="none"/>
          <w14:textFill>
            <w14:solidFill>
              <w14:schemeClr w14:val="tx1"/>
            </w14:solidFill>
          </w14:textFill>
        </w:rPr>
        <w:t xml:space="preserve">10、响应文件构成</w:t>
      </w:r>
      <w:bookmarkEnd w:id="53"/>
      <w:r/>
      <w:bookmarkEnd w:id="54"/>
      <w:r/>
      <w:bookmarkEnd w:id="55"/>
      <w:r/>
      <w:bookmarkEnd w:id="56"/>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供应商应当根据竞争性磋商文件要求编制磋商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电子</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响应文件，并根据自己的商务能力、技术水平对竞争性磋商文件提出的要求和条件逐条标明是否响应。</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.2 磋商响应文件由商务部分、技术部分、价格部分，以及其他部分组成。</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10.3 本次采购的最小单位是包。采购项目的技术要求中未分包的，供应商对要求提供的服务不得部分投标；采购项目的技术要求中已经分包的，可以以包为单位投标。</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10.4 如标书制作工具中格式和内容与“江苏政府采购网、南京公共采购信息网”发布的磋商文件不一致，请以“江苏政府采购网、南京公共采购信息网”发布的磋商文件为准。</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10</w:t>
      </w:r>
      <w:r>
        <w:rPr>
          <w:rFonts w:hint="eastAsia" w:ascii="宋体" w:hAnsi="宋体" w:eastAsia="宋体" w:cs="宋体"/>
          <w:bCs/>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5</w:t>
      </w:r>
      <w:r>
        <w:rPr>
          <w:rFonts w:hint="eastAsia" w:ascii="宋体" w:hAnsi="宋体" w:eastAsia="宋体" w:cs="宋体"/>
          <w:bCs/>
          <w:color w:val="000000" w:themeColor="text1"/>
          <w:sz w:val="21"/>
          <w:szCs w:val="21"/>
          <w:highlight w:val="none"/>
          <w:lang w:val="zh-CN"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磋商响应文件的商务部分。</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商务部分是证明供应商有资格参加磋商和成交后有能力履行合同的文件，</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这些文件应能满足竞争性磋商采购的要求</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，包括但不限于下列文件，</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其中加★项目不得有缺失或无效</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，否则竞争性磋商小组有权否决供应商的投标</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（1）★磋商申请及声明；</w:t>
      </w:r>
      <w:r/>
    </w:p>
    <w:p>
      <w:pPr>
        <w:ind w:firstLine="42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（2）★法定代表人授权委托书；</w:t>
      </w:r>
      <w:r/>
    </w:p>
    <w:p>
      <w:pPr>
        <w:ind w:firstLine="42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（3）★磋商报价表；</w:t>
      </w:r>
      <w:r/>
    </w:p>
    <w:p>
      <w:pPr>
        <w:ind w:firstLine="42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）★《南京市政府采购供应商信用记录表暨信用承诺书》注：本表打印时间必须在采购文件发布之日起至提交响应文件截止日前。</w:t>
      </w:r>
      <w:r/>
    </w:p>
    <w:p>
      <w:pPr>
        <w:ind w:firstLine="42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）第一章磋商邀请中采购人根据采购项目的特殊要求规定的特定条件证明文件</w:t>
      </w:r>
      <w:r/>
    </w:p>
    <w:p>
      <w:pPr>
        <w:ind w:firstLine="42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（6）★《商务条款偏离表》；</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★《技术条款偏离表》；</w:t>
      </w:r>
      <w:r/>
    </w:p>
    <w:p>
      <w:pPr>
        <w:ind w:firstLine="42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（8）★中小企业声明函；</w:t>
      </w:r>
      <w:r/>
    </w:p>
    <w:p>
      <w:pPr>
        <w:ind w:firstLine="42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（9）★无重大违法记录声明；</w:t>
      </w:r>
      <w:r/>
    </w:p>
    <w:p>
      <w:pPr>
        <w:ind w:firstLine="42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（10）★残疾人福利性单位声明函</w:t>
      </w:r>
      <w:r/>
    </w:p>
    <w:p>
      <w:pPr>
        <w:ind w:firstLine="42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）属于监狱企业的证明文件（如有）</w:t>
      </w:r>
      <w:r/>
    </w:p>
    <w:p>
      <w:pPr>
        <w:ind w:firstLine="42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）节能产品认证文件（如有）</w:t>
      </w:r>
      <w:r/>
    </w:p>
    <w:p>
      <w:pPr>
        <w:ind w:firstLine="42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（13）环境标志产品认证文件（如有）</w:t>
      </w:r>
      <w:r/>
    </w:p>
    <w:p>
      <w:pPr>
        <w:ind w:firstLine="42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（14）进口产品转让技术、消化吸收再创新方案（如有）</w:t>
      </w:r>
      <w:r/>
    </w:p>
    <w:p>
      <w:pPr>
        <w:ind w:firstLine="42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（15）磋商供应商认为需提供的其他资料。</w:t>
      </w:r>
      <w:r/>
    </w:p>
    <w:p>
      <w:pPr>
        <w:ind w:firstLine="420"/>
        <w:spacing w:line="360" w:lineRule="auto"/>
        <w:rPr>
          <w:rFonts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10.7</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 </w:t>
      </w:r>
      <w:r>
        <w:rPr>
          <w:rFonts w:hint="eastAsia" w:ascii="宋体" w:hAnsi="宋体" w:eastAsia="宋体" w:cs="宋体"/>
          <w:b/>
          <w:color w:val="000000" w:themeColor="text1"/>
          <w:sz w:val="21"/>
          <w:szCs w:val="21"/>
          <w:highlight w:val="none"/>
          <w:lang w:val="zh-CN" w:eastAsia="zh-CN"/>
          <w14:textFill>
            <w14:solidFill>
              <w14:schemeClr w14:val="tx1"/>
            </w14:solidFill>
          </w14:textFill>
        </w:rPr>
        <w:t xml:space="preserve">磋商响应文件的价格部分</w:t>
      </w:r>
      <w:r/>
    </w:p>
    <w:p>
      <w:pPr>
        <w:numPr>
          <w:ilvl w:val="0"/>
          <w:numId w:val="2"/>
        </w:num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价格部分是对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工程</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价格构成的说明，竞争性磋商文件如没有特别说明的话，对每一项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工程</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仅接受一个价格。</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（2）报价应包含与磋商项目有关的所</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有</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费用，以及技术资料、支付给员工的工资和国家强制缴纳的各种社会保障资金，以及供应商认为需要的其他费用等。</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（3）供应商应以表格形式详细说明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工程</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的价格构成，以及价格构成各项因素的单价和总价。</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（4）供应商应充分考虑到市场价格变动，以及项目实施过程中的不可预见因素，一旦成交，总价格不变。如果有漏项，视同让利。</w:t>
      </w:r>
      <w:r/>
    </w:p>
    <w:p>
      <w:pPr>
        <w:ind w:firstLine="422"/>
        <w:spacing w:line="360" w:lineRule="auto"/>
        <w:shd w:val="clear" w:color="auto" w:fill="ffffff"/>
        <w:widowControl/>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（5）响应文件所报的投标价格不得超过磋商文件规定的最高限价，超过磋商文件规定的最高限价的响应文件，按无效投标处理。</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）经磋商后，如果成交价</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高于或</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低于供应商在磋商响应文件报价的话，除特别注明外，分项报价同比例调整。</w:t>
      </w:r>
      <w:r/>
    </w:p>
    <w:p>
      <w:pPr>
        <w:ind w:firstLine="420"/>
        <w:spacing w:line="360" w:lineRule="auto"/>
        <w:shd w:val="clear" w:color="auto" w:fill="ffffff"/>
        <w:rPr>
          <w:rFonts w:hint="eastAsia" w:ascii="宋体" w:hAnsi="宋体" w:eastAsia="宋体" w:cs="宋体"/>
          <w:b/>
          <w:bCs/>
          <w:szCs w:val="21"/>
          <w:highlight w:val="none"/>
          <w:lang w:val="zh-CN" w:eastAsia="zh-CN"/>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（7）</w:t>
      </w:r>
      <w:r>
        <w:rPr>
          <w:rFonts w:hint="eastAsia" w:ascii="宋体" w:hAnsi="宋体" w:eastAsia="宋体" w:cs="宋体"/>
          <w:b/>
          <w:bCs/>
          <w:szCs w:val="21"/>
          <w:highlight w:val="none"/>
          <w:lang w:val="zh-CN" w:eastAsia="zh-CN"/>
        </w:rPr>
        <w:t xml:space="preserve">根据</w:t>
      </w:r>
      <w:r>
        <w:rPr>
          <w:rFonts w:hint="default" w:ascii="宋体" w:hAnsi="宋体" w:eastAsia="宋体" w:cs="宋体"/>
          <w:b/>
          <w:bCs/>
          <w:szCs w:val="21"/>
          <w:highlight w:val="none"/>
          <w:lang w:val="en-US" w:eastAsia="zh-CN"/>
        </w:rPr>
        <w:t xml:space="preserve">关于推动解决政府采购异常低价问题的通知财库〔2026〕2号</w:t>
      </w:r>
      <w:r>
        <w:rPr>
          <w:rFonts w:hint="eastAsia" w:ascii="宋体" w:hAnsi="宋体" w:eastAsia="宋体" w:cs="宋体"/>
          <w:b/>
          <w:bCs/>
          <w:szCs w:val="21"/>
          <w:highlight w:val="none"/>
          <w:lang w:val="zh-CN" w:eastAsia="zh-CN"/>
        </w:rPr>
        <w:t xml:space="preserve">文件的要求，采购人应在采购文件中明确评审委员会启动异常低价投标（响应）审查的情形和具体要求，包括：</w:t>
      </w:r>
      <w:r/>
    </w:p>
    <w:p>
      <w:pPr>
        <w:ind w:firstLine="420"/>
        <w:spacing w:line="360" w:lineRule="auto"/>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zh-CN" w:eastAsia="zh-CN"/>
        </w:rPr>
        <w:t xml:space="preserve">（一）评标过程中出现下列情形之一的，评委会应当启动异常低价投标审查程序：</w:t>
      </w:r>
      <w:r/>
    </w:p>
    <w:p>
      <w:pPr>
        <w:ind w:firstLine="420"/>
        <w:spacing w:line="360" w:lineRule="auto"/>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zh-CN" w:eastAsia="zh-CN"/>
        </w:rPr>
        <w:t xml:space="preserve">（1）投标报价低于全部通过符合性审查供应商投标报价平均值65%的，即投标报价&lt;全部通过符合性审查供应商投标报价平均值×65%；</w:t>
      </w:r>
      <w:r/>
    </w:p>
    <w:p>
      <w:pPr>
        <w:ind w:firstLine="420"/>
        <w:spacing w:line="360" w:lineRule="auto"/>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zh-CN" w:eastAsia="zh-CN"/>
        </w:rPr>
        <w:t xml:space="preserve">（2）投标报价低于通过符合性审查的次低报价供应商投标报价65%的，即投标报价&lt;通过符合性审查的次低报价供应商投标报价×65%；</w:t>
      </w:r>
      <w:r/>
    </w:p>
    <w:p>
      <w:pPr>
        <w:ind w:firstLine="420"/>
        <w:spacing w:line="360" w:lineRule="auto"/>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zh-CN" w:eastAsia="zh-CN"/>
        </w:rPr>
        <w:t xml:space="preserve">（3）投标报价低于采购项目最高限价65%的，即投标报价&lt;采购项目最高限价×65%；</w:t>
      </w:r>
      <w:r/>
    </w:p>
    <w:p>
      <w:pPr>
        <w:ind w:firstLine="420"/>
        <w:spacing w:line="360" w:lineRule="auto"/>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zh-CN" w:eastAsia="zh-CN"/>
        </w:rPr>
        <w:t xml:space="preserve">（4）评委会基于专业判断，认为供应商报价过低，有可能影响产品质量或者不能诚信履约的其他情形。</w:t>
      </w:r>
      <w:r/>
    </w:p>
    <w:p>
      <w:pPr>
        <w:ind w:firstLine="420"/>
        <w:spacing w:line="360" w:lineRule="auto"/>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zh-CN" w:eastAsia="zh-CN"/>
        </w:rPr>
        <w:t xml:space="preserve">25.6.2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bCs/>
          <w:szCs w:val="21"/>
          <w:highlight w:val="none"/>
          <w:lang w:val="zh-CN" w:eastAsia="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ind w:firstLine="420"/>
        <w:spacing w:line="360" w:lineRule="auto"/>
        <w:rPr>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10.8 磋商响应文件的其他部分。其他部分由供应</w:t>
      </w:r>
      <w:r>
        <w:rPr>
          <w:rFonts w:hint="eastAsia"/>
          <w:color w:val="000000" w:themeColor="text1"/>
          <w:sz w:val="21"/>
          <w:szCs w:val="21"/>
          <w:highlight w:val="none"/>
          <w:lang w:val="zh-CN" w:eastAsia="zh-CN"/>
          <w14:textFill>
            <w14:solidFill>
              <w14:schemeClr w14:val="tx1"/>
            </w14:solidFill>
          </w14:textFill>
        </w:rPr>
        <w:t xml:space="preserve">商根据编制磋商响应文件需要提供的其他相关文件组成。</w:t>
      </w:r>
      <w:r/>
    </w:p>
    <w:p>
      <w:pPr>
        <w:pStyle w:val="76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57" w:name="_Toc513029219"/>
      <w:r/>
      <w:bookmarkStart w:id="58" w:name="_Toc49090508"/>
      <w:r/>
      <w:bookmarkStart w:id="59" w:name="_Toc513029216"/>
      <w:r/>
      <w:bookmarkStart w:id="60" w:name="_Toc14577357"/>
      <w:r/>
      <w:bookmarkStart w:id="61" w:name="_Toc49090507"/>
      <w:r/>
      <w:bookmarkStart w:id="62" w:name="_Toc14577354"/>
      <w:r/>
      <w:bookmarkStart w:id="63" w:name="_Toc49090509"/>
      <w:r/>
      <w:bookmarkStart w:id="64" w:name="_Toc14577355"/>
      <w:r/>
      <w:bookmarkStart w:id="65" w:name="_Hlt26954838"/>
      <w:r/>
      <w:bookmarkStart w:id="66" w:name="_Hlt26668975"/>
      <w:r/>
      <w:bookmarkStart w:id="67" w:name="_Hlt26670360"/>
      <w:r>
        <w:rPr>
          <w:rFonts w:hint="eastAsia"/>
          <w:b/>
          <w:bCs/>
          <w:color w:val="000000" w:themeColor="text1"/>
          <w:sz w:val="21"/>
          <w:szCs w:val="21"/>
          <w:highlight w:val="none"/>
          <w14:textFill>
            <w14:solidFill>
              <w14:schemeClr w14:val="tx1"/>
            </w14:solidFill>
          </w14:textFill>
        </w:rPr>
        <w:t xml:space="preserve">11、证明磋商响应标的符合磋商文件规定的文件</w:t>
      </w:r>
      <w:bookmarkEnd w:id="57"/>
      <w:r/>
      <w:bookmarkEnd w:id="58"/>
      <w:r/>
      <w:bookmarkEnd w:id="59"/>
      <w:r/>
      <w:bookmarkEnd w:id="60"/>
      <w:r/>
      <w:bookmarkEnd w:id="61"/>
      <w:r/>
      <w:bookmarkEnd w:id="62"/>
      <w:r/>
      <w:bookmarkEnd w:id="63"/>
      <w:r/>
      <w:bookmarkEnd w:id="64"/>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11.1 供应商应按照磋商文件要求提交证明文件，证明其及磋商响应标的符合磋商文件规定。</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11.2 磋商文件对证明文件无明确形式要求的，证明文件可以以文字资料、图纸和数据等形式提交。</w:t>
      </w:r>
      <w:r/>
    </w:p>
    <w:p>
      <w:pPr>
        <w:pStyle w:val="76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12、分项报价表</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12.1 供应商应填报分项报价表。</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12.2 磋商货币。响应文件中的单价和总价无特殊规定的采用人民币报价，以元为单位标注。磋商文件中另有规定的按规定执行。</w:t>
      </w:r>
      <w:r/>
    </w:p>
    <w:p>
      <w:pPr>
        <w:pStyle w:val="76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68" w:name="_Hlt26954731"/>
      <w:r/>
      <w:bookmarkStart w:id="69" w:name="_Hlt26670486"/>
      <w:r/>
      <w:bookmarkStart w:id="70" w:name="_Hlt26954848"/>
      <w:r/>
      <w:bookmarkStart w:id="71" w:name="_Hlt26954846"/>
      <w:r/>
      <w:bookmarkStart w:id="72" w:name="_Hlt26670482"/>
      <w:r>
        <w:rPr>
          <w:rFonts w:hint="eastAsia"/>
          <w:b/>
          <w:bCs/>
          <w:color w:val="000000" w:themeColor="text1"/>
          <w:sz w:val="21"/>
          <w:szCs w:val="21"/>
          <w:highlight w:val="none"/>
          <w14:textFill>
            <w14:solidFill>
              <w14:schemeClr w14:val="tx1"/>
            </w14:solidFill>
          </w14:textFill>
        </w:rPr>
        <w:t xml:space="preserve">13、技术要求响应及偏离表、商务要求响应及偏离表</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13.1 供应商需对磋商文件中的技术要求与商务要求逐项作出响应或偏离。</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13.2 供应商可在响应文件中提供认为需要的其他技术文件或说明。</w:t>
      </w:r>
      <w:r/>
    </w:p>
    <w:p>
      <w:pPr>
        <w:pStyle w:val="76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73" w:name="_Toc49090510"/>
      <w:r/>
      <w:bookmarkStart w:id="74" w:name="_Toc14577359"/>
      <w:r>
        <w:rPr>
          <w:rFonts w:hint="eastAsia"/>
          <w:b/>
          <w:bCs/>
          <w:color w:val="000000" w:themeColor="text1"/>
          <w:sz w:val="21"/>
          <w:szCs w:val="21"/>
          <w:highlight w:val="none"/>
          <w14:textFill>
            <w14:solidFill>
              <w14:schemeClr w14:val="tx1"/>
            </w14:solidFill>
          </w14:textFill>
        </w:rPr>
        <w:t xml:space="preserve">14、</w:t>
      </w:r>
      <w:bookmarkEnd w:id="73"/>
      <w:r/>
      <w:bookmarkEnd w:id="74"/>
      <w:r>
        <w:rPr>
          <w:rFonts w:hint="eastAsia"/>
          <w:b/>
          <w:bCs/>
          <w:color w:val="000000" w:themeColor="text1"/>
          <w:sz w:val="21"/>
          <w:szCs w:val="21"/>
          <w:highlight w:val="none"/>
          <w14:textFill>
            <w14:solidFill>
              <w14:schemeClr w14:val="tx1"/>
            </w14:solidFill>
          </w14:textFill>
        </w:rPr>
        <w:t xml:space="preserve">竞争性磋商申请及声明</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14.1 供应商应按照磋商文件中提供的格式完整、正确填写竞争性磋商申请及声明。</w:t>
      </w:r>
      <w:r/>
    </w:p>
    <w:p>
      <w:pPr>
        <w:pStyle w:val="76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75" w:name="_Toc14577360"/>
      <w:r/>
      <w:bookmarkStart w:id="76" w:name="_Toc49090511"/>
      <w:r>
        <w:rPr>
          <w:rFonts w:hint="eastAsia"/>
          <w:b/>
          <w:bCs/>
          <w:color w:val="000000" w:themeColor="text1"/>
          <w:sz w:val="21"/>
          <w:szCs w:val="21"/>
          <w:highlight w:val="none"/>
          <w14:textFill>
            <w14:solidFill>
              <w14:schemeClr w14:val="tx1"/>
            </w14:solidFill>
          </w14:textFill>
        </w:rPr>
        <w:t xml:space="preserve">15、磋商有效期</w:t>
      </w:r>
      <w:bookmarkEnd w:id="75"/>
      <w:r/>
      <w:bookmarkEnd w:id="76"/>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15.1 磋商有效期为采购代理机构规定的提交响应文件截止之日后</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九</w:t>
      </w:r>
      <w:r>
        <w:rPr>
          <w:rFonts w:hint="eastAsia"/>
          <w:b/>
          <w:bCs/>
          <w:color w:val="000000" w:themeColor="text1"/>
          <w:sz w:val="21"/>
          <w:szCs w:val="21"/>
          <w:highlight w:val="none"/>
          <w:u w:val="single"/>
          <w14:textFill>
            <w14:solidFill>
              <w14:schemeClr w14:val="tx1"/>
            </w14:solidFill>
          </w14:textFill>
        </w:rPr>
        <w:t xml:space="preserve">十（</w:t>
      </w:r>
      <w:r>
        <w:rPr>
          <w:rFonts w:hint="eastAsia"/>
          <w:b/>
          <w:bCs/>
          <w:color w:val="000000" w:themeColor="text1"/>
          <w:sz w:val="21"/>
          <w:szCs w:val="21"/>
          <w:highlight w:val="none"/>
          <w:u w:val="single"/>
          <w:lang w:val="en-US" w:eastAsia="zh-CN"/>
          <w14:textFill>
            <w14:solidFill>
              <w14:schemeClr w14:val="tx1"/>
            </w14:solidFill>
          </w14:textFill>
        </w:rPr>
        <w:t xml:space="preserve">9</w:t>
      </w:r>
      <w:r>
        <w:rPr>
          <w:rFonts w:hint="eastAsia"/>
          <w:b/>
          <w:bCs/>
          <w:color w:val="000000" w:themeColor="text1"/>
          <w:sz w:val="21"/>
          <w:szCs w:val="21"/>
          <w:highlight w:val="none"/>
          <w:u w:val="single"/>
          <w14:textFill>
            <w14:solidFill>
              <w14:schemeClr w14:val="tx1"/>
            </w14:solidFill>
          </w14:textFill>
        </w:rPr>
        <w:t xml:space="preserve">0）天</w:t>
      </w:r>
      <w:r>
        <w:rPr>
          <w:rFonts w:hint="eastAsia"/>
          <w:color w:val="000000" w:themeColor="text1"/>
          <w:sz w:val="21"/>
          <w:szCs w:val="21"/>
          <w:highlight w:val="none"/>
          <w14:textFill>
            <w14:solidFill>
              <w14:schemeClr w14:val="tx1"/>
            </w14:solidFill>
          </w14:textFill>
        </w:rPr>
        <w:t xml:space="preserve">。磋商有效期比规定短的将被视为非实质性响应磋商文件而予以拒绝。</w:t>
      </w:r>
      <w:r/>
    </w:p>
    <w:p>
      <w:pPr>
        <w:pStyle w:val="76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16、磋商有效期的延长</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pStyle w:val="76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77" w:name="_Toc120614217"/>
      <w:r/>
      <w:bookmarkStart w:id="78" w:name="_Toc513029224"/>
      <w:r/>
      <w:bookmarkStart w:id="79" w:name="_Toc16938540"/>
      <w:r/>
      <w:bookmarkStart w:id="80" w:name="_Toc20823296"/>
      <w:r/>
      <w:bookmarkStart w:id="81" w:name="_Hlt26954852"/>
      <w:r/>
      <w:bookmarkStart w:id="82" w:name="_Hlt26954739"/>
      <w:r>
        <w:rPr>
          <w:rFonts w:hint="eastAsia"/>
          <w:b/>
          <w:bCs/>
          <w:color w:val="000000" w:themeColor="text1"/>
          <w:sz w:val="21"/>
          <w:szCs w:val="21"/>
          <w:highlight w:val="none"/>
          <w14:textFill>
            <w14:solidFill>
              <w14:schemeClr w14:val="tx1"/>
            </w14:solidFill>
          </w14:textFill>
        </w:rPr>
        <w:t xml:space="preserve">四、响应文件的递交</w:t>
      </w:r>
      <w:bookmarkEnd w:id="77"/>
      <w:r/>
      <w:bookmarkEnd w:id="78"/>
      <w:r/>
      <w:bookmarkEnd w:id="79"/>
      <w:r/>
      <w:bookmarkEnd w:id="80"/>
      <w:r/>
      <w:r/>
    </w:p>
    <w:p>
      <w:pPr>
        <w:pStyle w:val="76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83" w:name="_Toc513029225"/>
      <w:r/>
      <w:bookmarkStart w:id="84" w:name="_Toc20823297"/>
      <w:r/>
      <w:bookmarkStart w:id="85" w:name="_Toc16938541"/>
      <w:r/>
      <w:bookmarkStart w:id="86" w:name="_Toc462564084"/>
      <w:r>
        <w:rPr>
          <w:rFonts w:hint="eastAsia"/>
          <w:b/>
          <w:bCs/>
          <w:color w:val="000000" w:themeColor="text1"/>
          <w:sz w:val="21"/>
          <w:szCs w:val="21"/>
          <w:highlight w:val="none"/>
          <w14:textFill>
            <w14:solidFill>
              <w14:schemeClr w14:val="tx1"/>
            </w14:solidFill>
          </w14:textFill>
        </w:rPr>
        <w:t xml:space="preserve">17、电子磋商</w:t>
      </w:r>
      <w:bookmarkEnd w:id="83"/>
      <w:r/>
      <w:bookmarkEnd w:id="84"/>
      <w:r/>
      <w:bookmarkEnd w:id="85"/>
      <w:r/>
      <w:bookmarkEnd w:id="86"/>
      <w:r>
        <w:rPr>
          <w:rFonts w:hint="eastAsia"/>
          <w:b/>
          <w:bCs/>
          <w:color w:val="000000" w:themeColor="text1"/>
          <w:sz w:val="21"/>
          <w:szCs w:val="21"/>
          <w:highlight w:val="none"/>
          <w14:textFill>
            <w14:solidFill>
              <w14:schemeClr w14:val="tx1"/>
            </w14:solidFill>
          </w14:textFill>
        </w:rPr>
        <w:t xml:space="preserve">响应文件的递交</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17.1 </w:t>
      </w:r>
      <w:r>
        <w:rPr>
          <w:rFonts w:hint="eastAsia"/>
          <w:color w:val="000000" w:themeColor="text1"/>
          <w:sz w:val="21"/>
          <w:szCs w:val="21"/>
          <w:highlight w:val="none"/>
          <w:lang w:val="zh-CN"/>
          <w14:textFill>
            <w14:solidFill>
              <w14:schemeClr w14:val="tx1"/>
            </w14:solidFill>
          </w14:textFill>
        </w:rPr>
        <w:t xml:space="preserve">响应文件应加盖</w:t>
      </w:r>
      <w:r>
        <w:rPr>
          <w:rFonts w:hint="eastAsia"/>
          <w:color w:val="000000" w:themeColor="text1"/>
          <w:sz w:val="21"/>
          <w:szCs w:val="21"/>
          <w:highlight w:val="none"/>
          <w14:textFill>
            <w14:solidFill>
              <w14:schemeClr w14:val="tx1"/>
            </w14:solidFill>
          </w14:textFill>
        </w:rPr>
        <w:t xml:space="preserve">投标供应商</w:t>
      </w:r>
      <w:r>
        <w:rPr>
          <w:rFonts w:hint="eastAsia"/>
          <w:color w:val="000000" w:themeColor="text1"/>
          <w:sz w:val="21"/>
          <w:szCs w:val="21"/>
          <w:highlight w:val="none"/>
          <w:lang w:val="zh-CN"/>
          <w14:textFill>
            <w14:solidFill>
              <w14:schemeClr w14:val="tx1"/>
            </w14:solidFill>
          </w14:textFill>
        </w:rPr>
        <w:t xml:space="preserve">公章。</w:t>
      </w:r>
      <w:r>
        <w:rPr>
          <w:rFonts w:hint="eastAsia"/>
          <w:color w:val="000000" w:themeColor="text1"/>
          <w:sz w:val="21"/>
          <w:szCs w:val="21"/>
          <w:highlight w:val="none"/>
          <w14:textFill>
            <w14:solidFill>
              <w14:schemeClr w14:val="tx1"/>
            </w14:solidFill>
          </w14:textFill>
        </w:rPr>
        <w:t xml:space="preserve">磋商文件中注明须签字的地方应由供应商的法定代表人或委托代理人签字，如为委托代理人签字的应附“法定代表人授权委托书”。</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17.2 供应商应当按照《操作手册》规定，在提交响应文件截止时间前制作并上传电子响应文件。</w:t>
      </w:r>
      <w:bookmarkStart w:id="87" w:name="_Toc20823298"/>
      <w:r/>
      <w:bookmarkEnd w:id="87"/>
      <w:r/>
      <w:bookmarkStart w:id="88" w:name="_Toc16938542"/>
      <w:r/>
      <w:bookmarkEnd w:id="88"/>
      <w:r/>
      <w:bookmarkStart w:id="89" w:name="_Toc513029226"/>
      <w:r/>
      <w:r/>
    </w:p>
    <w:p>
      <w:pPr>
        <w:pStyle w:val="76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18、提交响应文件截止时间</w:t>
      </w:r>
      <w:r/>
    </w:p>
    <w:p>
      <w:pPr>
        <w:pStyle w:val="763"/>
        <w:ind w:firstLine="420"/>
        <w:jc w:val="both"/>
        <w:spacing w:before="0" w:beforeAutospacing="0" w:after="0" w:afterAutospacing="0" w:line="360" w:lineRule="auto"/>
        <w:widowControl w:val="off"/>
        <w:rPr>
          <w:i/>
          <w:iCs/>
          <w:color w:val="000000" w:themeColor="text1"/>
          <w:sz w:val="21"/>
          <w:szCs w:val="21"/>
          <w:highlight w:val="none"/>
          <w14:textFill>
            <w14:solidFill>
              <w14:schemeClr w14:val="tx1"/>
            </w14:solidFill>
          </w14:textFill>
        </w:rPr>
      </w:pPr>
      <w:r>
        <w:rPr>
          <w:rFonts w:hint="eastAsia"/>
          <w:i/>
          <w:iCs/>
          <w:color w:val="000000" w:themeColor="text1"/>
          <w:sz w:val="21"/>
          <w:szCs w:val="21"/>
          <w:highlight w:val="none"/>
          <w:u w:val="single"/>
          <w14:textFill>
            <w14:solidFill>
              <w14:schemeClr w14:val="tx1"/>
            </w14:solidFill>
          </w14:textFill>
        </w:rPr>
        <w:t xml:space="preserve">18.1 供应商上传电子响应文件的时间不得迟于磋商公告中规定的提交响应文件截止时间。</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18.2 供应商应充分考虑到网络环境、网络带宽等风险因素，如因供应商自身原因造成的电子响应文件上传不成功的按照本磋商文件第二章第</w:t>
      </w:r>
      <w:r>
        <w:rPr>
          <w:rFonts w:hint="eastAsia"/>
          <w:b/>
          <w:bCs/>
          <w:color w:val="000000" w:themeColor="text1"/>
          <w:sz w:val="21"/>
          <w:szCs w:val="21"/>
          <w:highlight w:val="none"/>
          <w14:textFill>
            <w14:solidFill>
              <w14:schemeClr w14:val="tx1"/>
            </w14:solidFill>
          </w14:textFill>
        </w:rPr>
        <w:t xml:space="preserve">25.3.2</w:t>
      </w:r>
      <w:r>
        <w:rPr>
          <w:rFonts w:hint="eastAsia"/>
          <w:color w:val="000000" w:themeColor="text1"/>
          <w:sz w:val="21"/>
          <w:szCs w:val="21"/>
          <w:highlight w:val="none"/>
          <w14:textFill>
            <w14:solidFill>
              <w14:schemeClr w14:val="tx1"/>
            </w14:solidFill>
          </w14:textFill>
        </w:rPr>
        <w:t xml:space="preserve">条规定做无效响应处理。</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18.3 采购代理机构可以按照规定，通过修改磋商文件酌情延长提交响应文件截止日期，在此情况下，供应商的所有权利和义务以及供应商受制的截止日期均应以延长后新的截止日期为准。</w:t>
      </w:r>
      <w:r/>
    </w:p>
    <w:p>
      <w:pPr>
        <w:pStyle w:val="76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90" w:name="_Toc20823299"/>
      <w:r/>
      <w:bookmarkStart w:id="91" w:name="_Toc16938543"/>
      <w:r/>
      <w:bookmarkStart w:id="92" w:name="_Toc513029227"/>
      <w:r>
        <w:rPr>
          <w:rFonts w:hint="eastAsia"/>
          <w:b/>
          <w:bCs/>
          <w:color w:val="000000" w:themeColor="text1"/>
          <w:sz w:val="21"/>
          <w:szCs w:val="21"/>
          <w:highlight w:val="none"/>
          <w14:textFill>
            <w14:solidFill>
              <w14:schemeClr w14:val="tx1"/>
            </w14:solidFill>
          </w14:textFill>
        </w:rPr>
        <w:t xml:space="preserve">19、响应文件</w:t>
      </w:r>
      <w:bookmarkEnd w:id="90"/>
      <w:r/>
      <w:bookmarkEnd w:id="91"/>
      <w:r/>
      <w:bookmarkEnd w:id="92"/>
      <w:r>
        <w:rPr>
          <w:rFonts w:hint="eastAsia"/>
          <w:b/>
          <w:bCs/>
          <w:color w:val="000000" w:themeColor="text1"/>
          <w:sz w:val="21"/>
          <w:szCs w:val="21"/>
          <w:highlight w:val="none"/>
          <w14:textFill>
            <w14:solidFill>
              <w14:schemeClr w14:val="tx1"/>
            </w14:solidFill>
          </w14:textFill>
        </w:rPr>
        <w:t xml:space="preserve">的拒收</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19.1 采购代理机构拒绝接收在其规定的提交响应文件截止时间后上传的任何电子响应文件。</w:t>
      </w:r>
      <w:r/>
    </w:p>
    <w:p>
      <w:pPr>
        <w:pStyle w:val="76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93" w:name="_Toc16938544"/>
      <w:r/>
      <w:bookmarkStart w:id="94" w:name="_Toc20823300"/>
      <w:r/>
      <w:bookmarkStart w:id="95" w:name="_Toc513029228"/>
      <w:r>
        <w:rPr>
          <w:rFonts w:hint="eastAsia"/>
          <w:b/>
          <w:bCs/>
          <w:color w:val="000000" w:themeColor="text1"/>
          <w:sz w:val="21"/>
          <w:szCs w:val="21"/>
          <w:highlight w:val="none"/>
          <w14:textFill>
            <w14:solidFill>
              <w14:schemeClr w14:val="tx1"/>
            </w14:solidFill>
          </w14:textFill>
        </w:rPr>
        <w:t xml:space="preserve">20、响应文件的撤回和修改</w:t>
      </w:r>
      <w:bookmarkEnd w:id="93"/>
      <w:r/>
      <w:bookmarkEnd w:id="94"/>
      <w:r/>
      <w:bookmarkEnd w:id="95"/>
      <w:r/>
      <w:r/>
    </w:p>
    <w:p>
      <w:pPr>
        <w:pStyle w:val="763"/>
        <w:ind w:firstLine="422"/>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20.1响应文件的撤回</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20.1.1 电子响应文件的撤回</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供应商可在提交响应文件截止时间前，撤回其电子响应文件，具体操作方法见《操作手册》。</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20.1.2 供应商撤回电子响应文件，则认为其不再参与本项目磋商活动。</w:t>
      </w:r>
      <w:r/>
    </w:p>
    <w:p>
      <w:pPr>
        <w:pStyle w:val="763"/>
        <w:ind w:firstLine="422"/>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20.2响应文件的修改</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20.2.1 供应商可在提交响应文件截止时间前，对其电子响应文件进行修改，具体操作方法见《操作手册》。</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20.2.2 在提交响应文件截止时间之后，供应商不得对其电子响应文件作任何修改。</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20.2.3 在提交响应文件截止时间至磋商文件中规定的磋商有效期满之间的这段时间内，供应商不得撤回其响应文件。</w:t>
      </w:r>
      <w:r/>
    </w:p>
    <w:p>
      <w:pPr>
        <w:pStyle w:val="76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96" w:name="_Toc16938545"/>
      <w:r/>
      <w:bookmarkStart w:id="97" w:name="_Toc120614218"/>
      <w:r/>
      <w:bookmarkStart w:id="98" w:name="_Toc20823301"/>
      <w:r/>
      <w:bookmarkStart w:id="99" w:name="_Toc513029229"/>
      <w:r>
        <w:rPr>
          <w:rFonts w:hint="eastAsia"/>
          <w:b/>
          <w:bCs/>
          <w:color w:val="000000" w:themeColor="text1"/>
          <w:sz w:val="21"/>
          <w:szCs w:val="21"/>
          <w:highlight w:val="none"/>
          <w14:textFill>
            <w14:solidFill>
              <w14:schemeClr w14:val="tx1"/>
            </w14:solidFill>
          </w14:textFill>
        </w:rPr>
        <w:t xml:space="preserve">五、响应文件的解密与评审</w:t>
      </w:r>
      <w:bookmarkEnd w:id="96"/>
      <w:r/>
      <w:bookmarkEnd w:id="97"/>
      <w:r/>
      <w:bookmarkEnd w:id="98"/>
      <w:r/>
      <w:bookmarkEnd w:id="99"/>
      <w:r/>
      <w:r/>
    </w:p>
    <w:p>
      <w:pPr>
        <w:pStyle w:val="76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100" w:name="_Toc16938546"/>
      <w:r/>
      <w:bookmarkStart w:id="101" w:name="_Toc20823302"/>
      <w:r/>
      <w:bookmarkStart w:id="102" w:name="_Toc513029230"/>
      <w:r>
        <w:rPr>
          <w:rFonts w:hint="eastAsia"/>
          <w:b/>
          <w:bCs/>
          <w:color w:val="000000" w:themeColor="text1"/>
          <w:sz w:val="21"/>
          <w:szCs w:val="21"/>
          <w:highlight w:val="none"/>
          <w14:textFill>
            <w14:solidFill>
              <w14:schemeClr w14:val="tx1"/>
            </w14:solidFill>
          </w14:textFill>
        </w:rPr>
        <w:t xml:space="preserve">21、</w:t>
      </w:r>
      <w:bookmarkEnd w:id="100"/>
      <w:r/>
      <w:bookmarkEnd w:id="101"/>
      <w:r/>
      <w:bookmarkEnd w:id="102"/>
      <w:r>
        <w:rPr>
          <w:rFonts w:hint="eastAsia"/>
          <w:b/>
          <w:bCs/>
          <w:color w:val="000000" w:themeColor="text1"/>
          <w:sz w:val="21"/>
          <w:szCs w:val="21"/>
          <w:highlight w:val="none"/>
          <w14:textFill>
            <w14:solidFill>
              <w14:schemeClr w14:val="tx1"/>
            </w14:solidFill>
          </w14:textFill>
        </w:rPr>
        <w:t xml:space="preserve">响应文件解密</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21.1 供应商应当按照《操作手册》规定，在苏采云系统规定的时间内对磋商响应文件进行解密。</w:t>
      </w:r>
      <w:r/>
    </w:p>
    <w:p>
      <w:pPr>
        <w:pStyle w:val="76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103" w:name="_Toc513029231"/>
      <w:r/>
      <w:bookmarkStart w:id="104" w:name="_Toc20823303"/>
      <w:r/>
      <w:bookmarkStart w:id="105" w:name="_Toc16938547"/>
      <w:r>
        <w:rPr>
          <w:rFonts w:hint="eastAsia"/>
          <w:b/>
          <w:bCs/>
          <w:color w:val="000000" w:themeColor="text1"/>
          <w:sz w:val="21"/>
          <w:szCs w:val="21"/>
          <w:highlight w:val="none"/>
          <w14:textFill>
            <w14:solidFill>
              <w14:schemeClr w14:val="tx1"/>
            </w14:solidFill>
          </w14:textFill>
        </w:rPr>
        <w:t xml:space="preserve">22、磋商小组</w:t>
      </w:r>
      <w:bookmarkEnd w:id="103"/>
      <w:r/>
      <w:bookmarkEnd w:id="104"/>
      <w:r/>
      <w:bookmarkEnd w:id="105"/>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22.1 采购代理机构将组织磋商小组对响应文件进行评审。磋商小组由采购人代表和有关技术、经济等方面的专家组成，且人员构成符合政府采购有关规定。</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22.2 磋商小组独立工作，负责评审所有响应文件并确定成交侯选人。</w:t>
      </w:r>
      <w:r/>
    </w:p>
    <w:p>
      <w:pPr>
        <w:pStyle w:val="76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23、评审过程的保密与公正</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23.1 磋商小组、采购人和采购代理机构工作人员、相关监督人员等与评审工作有关的人员，对评审情况以及在评审过程中获悉的国家秘密、商业秘密负有保密责任。</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23.2 在评审过程中，供应商不得以任何行为影响磋商评审过程，否则其响应文件将被作为无效响应文件。</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23.3 在项目评审期间，采购代理机构将设专门人员与供应商联系。</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23.4 采购代理机构和磋商小组不向未成交的供应商解释未成交原因，也不公布评审过程中的相关细节。</w:t>
      </w:r>
      <w:r/>
    </w:p>
    <w:p>
      <w:pPr>
        <w:pStyle w:val="76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106" w:name="_Toc20823304"/>
      <w:r/>
      <w:bookmarkStart w:id="107" w:name="_Toc513029232"/>
      <w:r/>
      <w:bookmarkStart w:id="108" w:name="_Toc16938548"/>
      <w:r>
        <w:rPr>
          <w:rFonts w:hint="eastAsia"/>
          <w:b/>
          <w:bCs/>
          <w:color w:val="000000" w:themeColor="text1"/>
          <w:sz w:val="21"/>
          <w:szCs w:val="21"/>
          <w:highlight w:val="none"/>
          <w14:textFill>
            <w14:solidFill>
              <w14:schemeClr w14:val="tx1"/>
            </w14:solidFill>
          </w14:textFill>
        </w:rPr>
        <w:t xml:space="preserve">24、评审过程中的的澄清</w:t>
      </w:r>
      <w:bookmarkEnd w:id="106"/>
      <w:r/>
      <w:bookmarkEnd w:id="107"/>
      <w:r/>
      <w:bookmarkEnd w:id="108"/>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磋商小组并非对每个供应商都作澄清要求。</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24.3 接到磋商小组澄清、说明和更正要求的供应商如未按规定做出澄清、说明和更正，其风险由供应商自行承担。</w:t>
      </w:r>
      <w:r/>
    </w:p>
    <w:p>
      <w:pPr>
        <w:pStyle w:val="76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109" w:name="_Toc20823305"/>
      <w:r/>
      <w:bookmarkStart w:id="110" w:name="_Toc16938549"/>
      <w:r/>
      <w:bookmarkStart w:id="111" w:name="_Toc513029233"/>
      <w:r>
        <w:rPr>
          <w:rFonts w:hint="eastAsia"/>
          <w:b/>
          <w:bCs/>
          <w:color w:val="000000" w:themeColor="text1"/>
          <w:sz w:val="21"/>
          <w:szCs w:val="21"/>
          <w:highlight w:val="none"/>
          <w14:textFill>
            <w14:solidFill>
              <w14:schemeClr w14:val="tx1"/>
            </w14:solidFill>
          </w14:textFill>
        </w:rPr>
        <w:t xml:space="preserve">25、对响应文件的审</w:t>
      </w:r>
      <w:bookmarkEnd w:id="109"/>
      <w:r/>
      <w:bookmarkEnd w:id="110"/>
      <w:r/>
      <w:bookmarkEnd w:id="111"/>
      <w:r>
        <w:rPr>
          <w:rFonts w:hint="eastAsia"/>
          <w:b/>
          <w:bCs/>
          <w:color w:val="000000" w:themeColor="text1"/>
          <w:sz w:val="21"/>
          <w:szCs w:val="21"/>
          <w:highlight w:val="none"/>
          <w14:textFill>
            <w14:solidFill>
              <w14:schemeClr w14:val="tx1"/>
            </w14:solidFill>
          </w14:textFill>
        </w:rPr>
        <w:t xml:space="preserve">查</w:t>
      </w:r>
      <w:r/>
    </w:p>
    <w:p>
      <w:pPr>
        <w:pStyle w:val="763"/>
        <w:ind w:firstLine="422"/>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25.1 响应文件审查分为资格审查和符合性审查。</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25.1.1 资格审查：由磋商小组依据法律法规和磋商文件的规定，对响应文件中的资格证明文件进行审查，以确定供应商是否具备参加磋商的资格。</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磋商小组在进行资格审查的同时，将在“信用中国”网站（www.creditchina.gov.cn）、“中国政府采购网"(www.ccgp.gov.cn)查询供应商的信用记录，以确定供应商是否具备磋商资格，查询结果留存并归档。</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25.1.2 符合性审查：依据磋商文件的规定，由磋商小组从响应文件的有效性、完整性和对磋商文件的响应程度进行审查，以确定是否对磋商文件的实质性要求作出响应。</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25.2 在详细评审之前，磋商小组将首先审查每份响应文件是否实质性响应了磋商文件的要求。实质性响应的响应文件应该是与磋商文件要求的条款、条件和规格相符，没有重大偏离或保留。</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763"/>
        <w:ind w:firstLine="422"/>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25.3 未实质性响应磋商文件的情形</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25.3.1 供应商在苏采云系统规定的时间内未成功解密电子响应文件的。</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25.3.2 供应商未按照磋商文件要求上传电子响应文件的。</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25.3.3 同一供应商提交两个（含两个）以上不同的响应文件或者最后报价的。</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25.3.4 供应商不具备磋商文件中规定资格要求的。</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25.3.5 供应商的投标报价超过了最高投标限价。</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25.3.6 不符合磋商文件中规定的实质性要求和条件的</w:t>
      </w:r>
      <w:r>
        <w:rPr>
          <w:rFonts w:hint="eastAsia"/>
          <w:b/>
          <w:bCs/>
          <w:color w:val="000000" w:themeColor="text1"/>
          <w:sz w:val="21"/>
          <w:szCs w:val="21"/>
          <w:highlight w:val="none"/>
          <w:u w:val="single"/>
          <w14:textFill>
            <w14:solidFill>
              <w14:schemeClr w14:val="tx1"/>
            </w14:solidFill>
          </w14:textFill>
        </w:rPr>
        <w:t xml:space="preserve">（本竞争性磋商文件中带星号“★”等内容为实质性要求和条件）。</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25.3.7 供应商被 “信用中国”网站（www.creditchina.gov.cn）、“中国政府采购网"(www.ccgp.gov.cn)列入失信被执行人或重大税收违法案件当事人名单或政府采购严重失信行为记录名单。或查询“信用中国、中国政府采购网”网站后发现供应商存在其他不符合《中华人民共和国政府采购法》第二十二条规定条件的信用记录。</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25.3.8 响应文件含有采购人不能接受的附加条件的。</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25.3.9 响应文件未按照磋商文件要求加盖CA电子公章或签字的。</w:t>
      </w:r>
      <w:r/>
    </w:p>
    <w:p>
      <w:pPr>
        <w:pStyle w:val="763"/>
        <w:ind w:firstLine="422"/>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25.4  无效响应的情形</w:t>
      </w:r>
      <w:r/>
    </w:p>
    <w:p>
      <w:pPr>
        <w:pStyle w:val="763"/>
        <w:ind w:firstLine="422"/>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25.4.1 磋商小组认为供应商最后报价明显低于其他实质响应供应商报价、有可能影响服务质量、难以诚信履约时，要求供应商在合理的时间内提供书面说明，内容包括但不限于其最后报价与首次报价差额的原因、具体可落实环节和理由等。供应商不能按磋商小组要求说明报价合理性的，磋商小组将其按无效响应处理。</w:t>
      </w:r>
      <w:r/>
    </w:p>
    <w:p>
      <w:pPr>
        <w:pStyle w:val="763"/>
        <w:ind w:firstLine="422"/>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25.4.2 未实质性响应磋商文件的响应文件按无效响应处理。</w:t>
      </w:r>
      <w:r/>
    </w:p>
    <w:p>
      <w:pPr>
        <w:ind w:firstLine="422"/>
        <w:spacing w:line="360" w:lineRule="auto"/>
        <w:rPr>
          <w:rFonts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25.4.3 </w:t>
      </w:r>
      <w:r>
        <w:rPr>
          <w:rFonts w:hint="eastAsia" w:ascii="宋体" w:hAnsi="宋体" w:eastAsia="宋体" w:cs="宋体"/>
          <w:b/>
          <w:color w:val="000000" w:themeColor="text1"/>
          <w:sz w:val="21"/>
          <w:szCs w:val="21"/>
          <w:highlight w:val="none"/>
          <w:lang w:val="zh-CN" w:eastAsia="zh-CN"/>
          <w14:textFill>
            <w14:solidFill>
              <w14:schemeClr w14:val="tx1"/>
            </w14:solidFill>
          </w14:textFill>
        </w:rPr>
        <w:t xml:space="preserve">有下列情形之一的，视为供应商串通投标，其投标</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按无效响应处理</w:t>
      </w:r>
      <w:r>
        <w:rPr>
          <w:rFonts w:hint="eastAsia" w:ascii="宋体" w:hAnsi="宋体" w:eastAsia="宋体" w:cs="宋体"/>
          <w:b/>
          <w:color w:val="000000" w:themeColor="text1"/>
          <w:sz w:val="21"/>
          <w:szCs w:val="21"/>
          <w:highlight w:val="none"/>
          <w:lang w:val="zh-CN" w:eastAsia="zh-CN"/>
          <w14:textFill>
            <w14:solidFill>
              <w14:schemeClr w14:val="tx1"/>
            </w14:solidFill>
          </w14:textFill>
        </w:rPr>
        <w:t xml:space="preserve">：</w:t>
      </w:r>
      <w:r/>
    </w:p>
    <w:p>
      <w:pPr>
        <w:ind w:firstLine="420"/>
        <w:spacing w:line="360" w:lineRule="auto"/>
        <w:widowControl/>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（1）不同供应商的响应文件由同一单位或者个人编制；</w:t>
      </w:r>
      <w:r/>
    </w:p>
    <w:p>
      <w:pPr>
        <w:ind w:firstLine="420"/>
        <w:spacing w:line="360" w:lineRule="auto"/>
        <w:widowControl/>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（2）不同供应商委托同一单位或者个人办理投标事宜；</w:t>
      </w:r>
      <w:r/>
    </w:p>
    <w:p>
      <w:pPr>
        <w:ind w:firstLine="420"/>
        <w:spacing w:line="360" w:lineRule="auto"/>
        <w:widowControl/>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（3）不同供应商的响应文件载明的项目管理成员或者联系人员为同一人；</w:t>
      </w:r>
      <w:r/>
    </w:p>
    <w:p>
      <w:pPr>
        <w:ind w:firstLine="420"/>
        <w:spacing w:line="360" w:lineRule="auto"/>
        <w:widowControl/>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（4）不同供应商的响应文件异常一致或者投标报价呈规律性差异；</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（5）不同供应商的MAC地址一致的。</w:t>
      </w:r>
      <w:r/>
    </w:p>
    <w:p>
      <w:pPr>
        <w:pStyle w:val="763"/>
        <w:ind w:firstLine="422"/>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25.5 如果响应文件实质上没有响应磋商文件的要求，磋商小组将予以拒绝，供应商不得通过修改或撤销不合要求的偏离或保留而使其成为实质性响应的文件。</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112" w:name="_Toc16938550"/>
      <w:r/>
      <w:bookmarkStart w:id="113" w:name="_Toc20823306"/>
      <w:r/>
      <w:bookmarkStart w:id="114" w:name="_Toc513029234"/>
      <w:r>
        <w:rPr>
          <w:rFonts w:hint="eastAsia"/>
          <w:color w:val="000000" w:themeColor="text1"/>
          <w:sz w:val="21"/>
          <w:szCs w:val="21"/>
          <w:highlight w:val="none"/>
          <w14:textFill>
            <w14:solidFill>
              <w14:schemeClr w14:val="tx1"/>
            </w14:solidFill>
          </w14:textFill>
        </w:rPr>
        <w:t xml:space="preserve">25.6 供应商在项目评审全过程中应保持通讯畅通，并安排专人与采购代理机构及磋商小组联系。</w:t>
      </w:r>
      <w:bookmarkEnd w:id="112"/>
      <w:r/>
      <w:bookmarkEnd w:id="113"/>
      <w:r/>
      <w:bookmarkEnd w:id="114"/>
      <w:r/>
      <w:r/>
    </w:p>
    <w:p>
      <w:pPr>
        <w:pStyle w:val="76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26、磋商程序及评审方法和评审标准</w:t>
      </w:r>
      <w:r/>
    </w:p>
    <w:p>
      <w:pPr>
        <w:pStyle w:val="763"/>
        <w:ind w:firstLine="422"/>
        <w:jc w:val="both"/>
        <w:spacing w:before="0" w:beforeAutospacing="0" w:after="0" w:afterAutospacing="0" w:line="360" w:lineRule="auto"/>
        <w:widowControl w:val="off"/>
        <w:tabs>
          <w:tab w:val="left" w:pos="901" w:leader="none"/>
        </w:tabs>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26.1 磋商程序</w:t>
      </w:r>
      <w:r/>
    </w:p>
    <w:p>
      <w:pPr>
        <w:pStyle w:val="76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76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76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76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76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最后报价</w:t>
      </w:r>
      <w:r>
        <w:rPr>
          <w:rFonts w:hint="eastAsia"/>
          <w:color w:val="000000" w:themeColor="text1"/>
          <w:sz w:val="21"/>
          <w:szCs w:val="21"/>
          <w:highlight w:val="none"/>
          <w14:textFill>
            <w14:solidFill>
              <w14:schemeClr w14:val="tx1"/>
            </w14:solidFill>
          </w14:textFill>
        </w:rPr>
        <w:t xml:space="preserve">是供应商响应文件的有效组成部分。符合《政府采购竞争性磋商采购方式理暂行办法》第三条第一款第四项：市场竞争不充分的科研项目，以及需要扶持的科技成果转化项目，提交最后报价的供应商可以为2家，磋商小组将根据供应商最后得分由高到低的顺序推荐成交候选供应商。以及《财政部关于竞争性磋商采购方式管理暂行办法有关问题的补充通知》（财库[2015]124号）规定情形的：采用竞争性磋商采购方式采购的政府购买服务项目（含政府和社会资本合作项目），在采购过程中符合要求的供应商（社会资本）只有2家的，竞争性磋商采购活动可以继续进行。</w:t>
      </w:r>
      <w:r/>
    </w:p>
    <w:p>
      <w:pPr>
        <w:pStyle w:val="76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763"/>
        <w:ind w:firstLine="422"/>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26.2  评审方法和评审标准</w:t>
      </w:r>
      <w:r/>
    </w:p>
    <w:p>
      <w:pPr>
        <w:pStyle w:val="76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26.2.1评审方法。经磋商确定最终采购需求和提交最后报价的供应商后，由磋商小组采用综合评分法对提交最后报价的供应商的响应文件和最后报价进行综合评分。</w:t>
      </w:r>
      <w:r/>
    </w:p>
    <w:p>
      <w:pPr>
        <w:pStyle w:val="76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76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26.2.2 评审标准</w:t>
      </w:r>
      <w:r/>
    </w:p>
    <w:p>
      <w:pPr>
        <w:pStyle w:val="76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见本磋商文件第三章规定。</w:t>
      </w:r>
      <w:r/>
    </w:p>
    <w:p>
      <w:pPr>
        <w:pStyle w:val="763"/>
        <w:ind w:firstLine="422"/>
        <w:jc w:val="both"/>
        <w:spacing w:before="0" w:beforeAutospacing="0" w:after="0" w:afterAutospacing="0" w:line="360" w:lineRule="auto"/>
        <w:widowControl w:val="off"/>
        <w:tabs>
          <w:tab w:val="left" w:pos="901" w:leader="none"/>
        </w:tabs>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26.3 采购活动终止的情况</w:t>
      </w:r>
      <w:r/>
    </w:p>
    <w:p>
      <w:pPr>
        <w:pStyle w:val="76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出现下列情形之一的，本次竞争性磋商采购活动将被终止：</w:t>
      </w:r>
      <w:r/>
    </w:p>
    <w:p>
      <w:pPr>
        <w:pStyle w:val="76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26.3.1 因情况变化，不再符合规定的竞争性磋商采购方式适用情形的。</w:t>
      </w:r>
      <w:r/>
    </w:p>
    <w:p>
      <w:pPr>
        <w:pStyle w:val="76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26.3.2 出现影响采购公正的违法、违规行为的。</w:t>
      </w:r>
      <w:r/>
    </w:p>
    <w:p>
      <w:pPr>
        <w:pStyle w:val="76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26.3.3 除本磋商文件第二章第26.1.2条第三款规定的情形外，在采购过程中符合要求的供应商或者最后报价未超过采购预算的供应商不足3家的。</w:t>
      </w:r>
      <w:r/>
    </w:p>
    <w:p>
      <w:pPr>
        <w:pStyle w:val="76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26.3.4 在苏采云系统规定时间内成功解密电子响应文件的供应商不足3家的。</w:t>
      </w:r>
      <w:r/>
    </w:p>
    <w:p>
      <w:pPr>
        <w:pStyle w:val="76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115" w:name="_Toc20823307"/>
      <w:r/>
      <w:bookmarkStart w:id="116" w:name="_Toc513029235"/>
      <w:r/>
      <w:bookmarkStart w:id="117" w:name="_Toc16938551"/>
      <w:r/>
      <w:bookmarkStart w:id="118" w:name="_Toc120614219"/>
      <w:r>
        <w:rPr>
          <w:rFonts w:hint="eastAsia"/>
          <w:b/>
          <w:bCs/>
          <w:color w:val="000000" w:themeColor="text1"/>
          <w:sz w:val="21"/>
          <w:szCs w:val="21"/>
          <w:highlight w:val="none"/>
          <w14:textFill>
            <w14:solidFill>
              <w14:schemeClr w14:val="tx1"/>
            </w14:solidFill>
          </w14:textFill>
        </w:rPr>
        <w:t xml:space="preserve">六、</w:t>
      </w:r>
      <w:bookmarkEnd w:id="115"/>
      <w:r/>
      <w:bookmarkEnd w:id="116"/>
      <w:r/>
      <w:bookmarkEnd w:id="117"/>
      <w:r/>
      <w:bookmarkEnd w:id="118"/>
      <w:r>
        <w:rPr>
          <w:rFonts w:hint="eastAsia"/>
          <w:b/>
          <w:bCs/>
          <w:color w:val="000000" w:themeColor="text1"/>
          <w:sz w:val="21"/>
          <w:szCs w:val="21"/>
          <w:highlight w:val="none"/>
          <w14:textFill>
            <w14:solidFill>
              <w14:schemeClr w14:val="tx1"/>
            </w14:solidFill>
          </w14:textFill>
        </w:rPr>
        <w:t xml:space="preserve">成交</w:t>
      </w:r>
      <w:r/>
    </w:p>
    <w:p>
      <w:pPr>
        <w:pStyle w:val="76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119" w:name="_Toc20823310"/>
      <w:r/>
      <w:bookmarkStart w:id="120" w:name="_Toc16938554"/>
      <w:r/>
      <w:bookmarkStart w:id="121" w:name="_Toc513029238"/>
      <w:r>
        <w:rPr>
          <w:rFonts w:hint="eastAsia"/>
          <w:b/>
          <w:bCs/>
          <w:color w:val="000000" w:themeColor="text1"/>
          <w:sz w:val="21"/>
          <w:szCs w:val="21"/>
          <w:highlight w:val="none"/>
          <w14:textFill>
            <w14:solidFill>
              <w14:schemeClr w14:val="tx1"/>
            </w14:solidFill>
          </w14:textFill>
        </w:rPr>
        <w:t xml:space="preserve">27、</w:t>
      </w:r>
      <w:bookmarkEnd w:id="119"/>
      <w:r>
        <w:rPr>
          <w:rFonts w:hint="eastAsia"/>
          <w:b/>
          <w:bCs/>
          <w:color w:val="000000" w:themeColor="text1"/>
          <w:sz w:val="21"/>
          <w:szCs w:val="21"/>
          <w:highlight w:val="none"/>
          <w14:textFill>
            <w14:solidFill>
              <w14:schemeClr w14:val="tx1"/>
            </w14:solidFill>
          </w14:textFill>
        </w:rPr>
        <w:t xml:space="preserve">确定</w:t>
      </w:r>
      <w:bookmarkEnd w:id="120"/>
      <w:r/>
      <w:bookmarkEnd w:id="121"/>
      <w:r>
        <w:rPr>
          <w:rFonts w:hint="eastAsia"/>
          <w:b/>
          <w:bCs/>
          <w:color w:val="000000" w:themeColor="text1"/>
          <w:sz w:val="21"/>
          <w:szCs w:val="21"/>
          <w:highlight w:val="none"/>
          <w14:textFill>
            <w14:solidFill>
              <w14:schemeClr w14:val="tx1"/>
            </w14:solidFill>
          </w14:textFill>
        </w:rPr>
        <w:t xml:space="preserve">成交单位</w:t>
      </w:r>
      <w:r/>
    </w:p>
    <w:p>
      <w:pPr>
        <w:pStyle w:val="76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27.1 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由竞争性磋商小组抽签决定。</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jc w:val="both"/>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27.2 按以下第（2）种方式确定成交供应商；</w:t>
      </w:r>
      <w:r/>
    </w:p>
    <w:p>
      <w:pPr>
        <w:ind w:firstLine="420"/>
        <w:jc w:val="both"/>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（1）磋商小组直接确定排名第一的成交候选人为成交供应商；</w:t>
      </w:r>
      <w:r/>
    </w:p>
    <w:p>
      <w:pPr>
        <w:ind w:firstLine="420"/>
        <w:jc w:val="both"/>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（2）采购人在磋商小组推荐的3名成交候选人中按顺序确定成交供应商。</w:t>
      </w:r>
      <w:r/>
    </w:p>
    <w:p>
      <w:pPr>
        <w:ind w:firstLine="420"/>
        <w:jc w:val="both"/>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27.3 确定成交供应商后，采购代理机构将在“江苏政府采购网、南京公共采购信息网”发布成交结果公告，公告期限为1个工作日。</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 若有充分证据证明，成交供应商出现下列情况之一的，一经查实，将被取消成交资格：</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27.4.1 提供虚假材料谋取成交的。</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27.4.2 与评审专家、采购人、其他供应商或者采购代理机构工作人员恶意串通的。</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27.4.3 向评审专家、采购人或采购代理机构工作人员行贿或者提供其他不正当利益的。</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27.4.4 恶意竞争，最后报价明显低于其自身合理成本且又无法提供证明的。</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27.4.5 不满足本磋商文件规定的实质性要求，但在评审过程中又未被磋商小组发现的。</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27.4.6 成交后无正当理由拒不与采购人签订政府采购合同或者未按照磋商文件确定的事项签订政府采购合同的。</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27.4.7 将政府采购合同转包的。</w:t>
      </w:r>
      <w:bookmarkStart w:id="122" w:name="_Toc200451960"/>
      <w:r/>
      <w:r/>
    </w:p>
    <w:p>
      <w:pPr>
        <w:pStyle w:val="763"/>
        <w:ind w:firstLine="420"/>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28、</w:t>
      </w:r>
      <w:bookmarkEnd w:id="122"/>
      <w:r>
        <w:rPr>
          <w:b/>
          <w:bCs/>
          <w:color w:val="000000" w:themeColor="text1"/>
          <w:sz w:val="21"/>
          <w:szCs w:val="21"/>
          <w:highlight w:val="none"/>
          <w14:textFill>
            <w14:solidFill>
              <w14:schemeClr w14:val="tx1"/>
            </w14:solidFill>
          </w14:textFill>
        </w:rPr>
        <w:t xml:space="preserve">询问、质疑、投诉和诚实信用</w:t>
      </w:r>
      <w:r/>
    </w:p>
    <w:p>
      <w:pPr>
        <w:pStyle w:val="763"/>
        <w:ind w:firstLine="420"/>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28.1 询问</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pStyle w:val="763"/>
        <w:ind w:firstLine="420"/>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28.2 质疑</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28.2.1 提出质疑的供应商应当是参与所质疑项目采购活动的供应商。潜在供应商依法获取其可质疑的采购文件的，可以对采购文件提出质疑。</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28.2.2 供应商认为采购文件、采购过程和采购结果使自己的权益受到损害的，可以在知道或应知其权益受到损害之日起七个工作日内，以书面形式根据下述条款的规定向采购代理机构或采购人提出质疑。上述应知其权益受到损害之日，是指：</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（1）对可以质疑的采购文件提出质疑的，为收到采购文件之日或者采购文件公告期限届满之日。</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（2）对采购过程提出质疑的，为各采购程序环节结束之日。</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（3）对成交结果提出质疑的，为成交结果公告期限届满之日。</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jc w:val="both"/>
        <w:spacing w:line="360" w:lineRule="auto"/>
        <w:rPr>
          <w:rFonts w:ascii="宋体" w:hAnsi="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28.2.4 </w:t>
      </w:r>
      <w:r>
        <w:rPr>
          <w:rFonts w:hint="eastAsia" w:ascii="宋体" w:hAnsi="宋体"/>
          <w:color w:val="000000" w:themeColor="text1"/>
          <w:sz w:val="21"/>
          <w:szCs w:val="21"/>
          <w:highlight w:val="none"/>
          <w:lang w:eastAsia="zh-CN"/>
          <w14:textFill>
            <w14:solidFill>
              <w14:schemeClr w14:val="tx1"/>
            </w14:solidFill>
          </w14:textFill>
        </w:rPr>
        <w:t xml:space="preserve">供应商应按照“谁主张、谁举证”的原则对质疑内容提供相关证明材料，并对质疑内容的真实性承担责任。</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jc w:val="both"/>
        <w:spacing w:line="360" w:lineRule="auto"/>
        <w:rPr>
          <w:rFonts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质疑文件应包括以下主要内容：</w:t>
      </w:r>
      <w:r/>
    </w:p>
    <w:p>
      <w:pPr>
        <w:ind w:firstLine="480"/>
        <w:jc w:val="both"/>
        <w:spacing w:line="360" w:lineRule="auto"/>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（1）质疑供应商的姓名或者名称、地址、邮编、联系人及联系电话；</w:t>
      </w:r>
      <w:r/>
    </w:p>
    <w:p>
      <w:pPr>
        <w:ind w:firstLine="480"/>
        <w:jc w:val="both"/>
        <w:spacing w:line="360" w:lineRule="auto"/>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（2）质疑项目的名称、编号、公告发布时间、磋商时间；</w:t>
      </w:r>
      <w:r/>
    </w:p>
    <w:p>
      <w:pPr>
        <w:ind w:firstLine="480"/>
        <w:jc w:val="both"/>
        <w:spacing w:line="360" w:lineRule="auto"/>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（3）具体、明确的质疑事项和与质疑事项相关的请求；</w:t>
      </w:r>
      <w:r/>
    </w:p>
    <w:p>
      <w:pPr>
        <w:ind w:firstLine="480"/>
        <w:jc w:val="both"/>
        <w:spacing w:line="360" w:lineRule="auto"/>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（4）事实依据；</w:t>
      </w:r>
      <w:r/>
    </w:p>
    <w:p>
      <w:pPr>
        <w:ind w:firstLine="480"/>
        <w:jc w:val="both"/>
        <w:spacing w:line="360" w:lineRule="auto"/>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（5）必要的法律依据；</w:t>
      </w:r>
      <w:r/>
    </w:p>
    <w:p>
      <w:pPr>
        <w:ind w:firstLine="480"/>
        <w:jc w:val="both"/>
        <w:spacing w:line="360" w:lineRule="auto"/>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（6）提出质疑的日期；</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28.2.5 供应商（含潜在供应商）对与本项目有关的所有询问、质疑均请向采购代理机构提出，由采购代理机构负责答复。</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28.2.6 采购代理机构只接收以纸质原件形式送达的质疑。</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采购代理机构质疑接收部门为</w:t>
      </w:r>
      <w:r>
        <w:rPr>
          <w:rFonts w:hint="eastAsia"/>
          <w:color w:val="000000" w:themeColor="text1"/>
          <w:sz w:val="21"/>
          <w:szCs w:val="21"/>
          <w:highlight w:val="none"/>
          <w:lang w:eastAsia="zh-CN"/>
          <w14:textFill>
            <w14:solidFill>
              <w14:schemeClr w14:val="tx1"/>
            </w14:solidFill>
          </w14:textFill>
        </w:rPr>
        <w:t xml:space="preserve">南京麻田工程咨询有限公司</w:t>
      </w:r>
      <w:r>
        <w:rPr>
          <w:rFonts w:hint="eastAsia"/>
          <w:color w:val="000000" w:themeColor="text1"/>
          <w:sz w:val="21"/>
          <w:szCs w:val="21"/>
          <w:highlight w:val="none"/>
          <w14:textFill>
            <w14:solidFill>
              <w14:schemeClr w14:val="tx1"/>
            </w14:solidFill>
          </w14:textFill>
        </w:rPr>
        <w:t xml:space="preserve">，联系地址：</w:t>
      </w:r>
      <w:r>
        <w:rPr>
          <w:rFonts w:hint="eastAsia"/>
          <w:color w:val="000000" w:themeColor="text1"/>
          <w:sz w:val="21"/>
          <w:szCs w:val="21"/>
          <w:highlight w:val="none"/>
          <w:lang w:eastAsia="zh-CN"/>
          <w14:textFill>
            <w14:solidFill>
              <w14:schemeClr w14:val="tx1"/>
            </w14:solidFill>
          </w14:textFill>
        </w:rPr>
        <w:t xml:space="preserve">南京市江宁区淳化街道雁冲路68号院内9号楼1楼</w:t>
      </w:r>
      <w:r>
        <w:rPr>
          <w:rFonts w:hint="eastAsia"/>
          <w:color w:val="000000" w:themeColor="text1"/>
          <w:sz w:val="21"/>
          <w:szCs w:val="21"/>
          <w:highlight w:val="none"/>
          <w14:textFill>
            <w14:solidFill>
              <w14:schemeClr w14:val="tx1"/>
            </w14:solidFill>
          </w14:textFill>
        </w:rPr>
        <w:t xml:space="preserve">，联系电话：</w:t>
      </w:r>
      <w:r>
        <w:rPr>
          <w:rFonts w:hint="eastAsia"/>
          <w:color w:val="000000" w:themeColor="text1"/>
          <w:sz w:val="21"/>
          <w:szCs w:val="21"/>
          <w:highlight w:val="none"/>
          <w:lang w:eastAsia="zh-CN"/>
          <w14:textFill>
            <w14:solidFill>
              <w14:schemeClr w14:val="tx1"/>
            </w14:solidFill>
          </w14:textFill>
        </w:rPr>
        <w:t xml:space="preserve">025-52730710</w:t>
      </w:r>
      <w:r>
        <w:rPr>
          <w:rFonts w:hint="eastAsia"/>
          <w:color w:val="000000" w:themeColor="text1"/>
          <w:sz w:val="21"/>
          <w:szCs w:val="21"/>
          <w:highlight w:val="none"/>
          <w14:textFill>
            <w14:solidFill>
              <w14:schemeClr w14:val="tx1"/>
            </w14:solidFill>
          </w14:textFill>
        </w:rPr>
        <w:t xml:space="preserve">。</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28.2.7 以下情形的质疑不予受理：</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（1）内容不符合《政府采购质疑和投诉办法》第十二条规定的质疑。</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（2）超出政府采购法定期限的质疑。</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（3）以传真、电子邮件等方式递交的非原件形式的质疑。</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（4）未参加磋商活动的供应商或在磋商活动中自身权益未受到损害的供应商所提出的质疑。</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（5）供应商组成联合体参加磋商，联合体中任何一方或多方未按要求签字、盖章、加盖公章的质疑。</w:t>
      </w:r>
      <w:r/>
    </w:p>
    <w:p>
      <w:pPr>
        <w:ind w:firstLine="422"/>
        <w:spacing w:line="360" w:lineRule="auto"/>
        <w:rPr>
          <w:rFonts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28.3、投诉</w:t>
      </w:r>
      <w:r/>
    </w:p>
    <w:p>
      <w:pPr>
        <w:pStyle w:val="735"/>
        <w:ind w:left="0" w:firstLine="412"/>
        <w:spacing w:before="0" w:line="360" w:lineRule="auto"/>
        <w:rPr>
          <w:rFonts w:cs="宋体"/>
          <w:color w:val="000000" w:themeColor="text1"/>
          <w:spacing w:val="-2"/>
          <w:sz w:val="21"/>
          <w:szCs w:val="21"/>
          <w:highlight w:val="none"/>
          <w:lang w:eastAsia="zh-CN"/>
          <w14:textFill>
            <w14:solidFill>
              <w14:schemeClr w14:val="tx1"/>
            </w14:solidFill>
          </w14:textFill>
        </w:rPr>
      </w:pPr>
      <w:r>
        <w:rPr>
          <w:rFonts w:hint="eastAsia" w:cs="宋体"/>
          <w:color w:val="000000" w:themeColor="text1"/>
          <w:spacing w:val="-2"/>
          <w:sz w:val="21"/>
          <w:szCs w:val="21"/>
          <w:highlight w:val="none"/>
          <w:lang w:eastAsia="zh-CN"/>
          <w14:textFill>
            <w14:solidFill>
              <w14:schemeClr w14:val="tx1"/>
            </w14:solidFill>
          </w14:textFill>
        </w:rPr>
        <w:t xml:space="preserve">28.3.1 质疑供应商对采购人采购代理机构的答复不满意或者采购人、采购代理机构未在规定的时间内作出答复的，可以在答复期满后十五个工作日内向同级政府采购监督管理部门投诉。</w:t>
      </w:r>
      <w:r/>
    </w:p>
    <w:p>
      <w:pPr>
        <w:ind w:firstLine="422"/>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28.4、诚实信用</w:t>
      </w:r>
      <w:r/>
    </w:p>
    <w:p>
      <w:pPr>
        <w:pStyle w:val="735"/>
        <w:ind w:left="0" w:firstLine="412"/>
        <w:spacing w:before="0" w:line="360" w:lineRule="auto"/>
        <w:rPr>
          <w:rFonts w:cs="宋体"/>
          <w:color w:val="000000" w:themeColor="text1"/>
          <w:sz w:val="21"/>
          <w:szCs w:val="21"/>
          <w:highlight w:val="none"/>
          <w:lang w:eastAsia="zh-CN"/>
          <w14:textFill>
            <w14:solidFill>
              <w14:schemeClr w14:val="tx1"/>
            </w14:solidFill>
          </w14:textFill>
        </w:rPr>
      </w:pPr>
      <w:r>
        <w:rPr>
          <w:rFonts w:hint="eastAsia" w:cs="宋体"/>
          <w:color w:val="000000" w:themeColor="text1"/>
          <w:spacing w:val="-2"/>
          <w:sz w:val="21"/>
          <w:szCs w:val="21"/>
          <w:highlight w:val="none"/>
          <w:lang w:eastAsia="zh-CN"/>
          <w14:textFill>
            <w14:solidFill>
              <w14:schemeClr w14:val="tx1"/>
            </w14:solidFill>
          </w14:textFill>
        </w:rPr>
        <w:t xml:space="preserve">28.4.1 供应商之间不得相互串通报价，不得妨碍其他供应商的公平竞争，不得损害采购</w:t>
      </w:r>
      <w:r>
        <w:rPr>
          <w:rFonts w:hint="eastAsia" w:cs="宋体"/>
          <w:color w:val="000000" w:themeColor="text1"/>
          <w:sz w:val="21"/>
          <w:szCs w:val="21"/>
          <w:highlight w:val="none"/>
          <w:lang w:eastAsia="zh-CN"/>
          <w14:textFill>
            <w14:solidFill>
              <w14:schemeClr w14:val="tx1"/>
            </w14:solidFill>
          </w14:textFill>
        </w:rPr>
        <w:t xml:space="preserve">人和其他供应商的合法权益。</w:t>
      </w:r>
      <w:r/>
    </w:p>
    <w:p>
      <w:pPr>
        <w:pStyle w:val="735"/>
        <w:ind w:left="0" w:firstLine="412"/>
        <w:jc w:val="both"/>
        <w:spacing w:before="0" w:line="360" w:lineRule="auto"/>
        <w:rPr>
          <w:rFonts w:cs="宋体"/>
          <w:color w:val="000000" w:themeColor="text1"/>
          <w:sz w:val="21"/>
          <w:szCs w:val="21"/>
          <w:highlight w:val="none"/>
          <w:lang w:eastAsia="zh-CN"/>
          <w14:textFill>
            <w14:solidFill>
              <w14:schemeClr w14:val="tx1"/>
            </w14:solidFill>
          </w14:textFill>
        </w:rPr>
      </w:pPr>
      <w:r>
        <w:rPr>
          <w:rFonts w:hint="eastAsia" w:cs="宋体"/>
          <w:color w:val="000000" w:themeColor="text1"/>
          <w:spacing w:val="-2"/>
          <w:sz w:val="21"/>
          <w:szCs w:val="21"/>
          <w:highlight w:val="none"/>
          <w:lang w:eastAsia="zh-CN"/>
          <w14:textFill>
            <w14:solidFill>
              <w14:schemeClr w14:val="tx1"/>
            </w14:solidFill>
          </w14:textFill>
        </w:rPr>
        <w:t xml:space="preserve">28.4.2 供应商不得以向采购代理机构工作人员、磋商小组行贿或者采取其他不正当手段谋取成交。经查实供应商有此行为的，政府采购监督管理部门将供应商列入不良行为记</w:t>
      </w:r>
      <w:r>
        <w:rPr>
          <w:rFonts w:hint="eastAsia" w:cs="宋体"/>
          <w:color w:val="000000" w:themeColor="text1"/>
          <w:spacing w:val="-95"/>
          <w:sz w:val="21"/>
          <w:szCs w:val="21"/>
          <w:highlight w:val="none"/>
          <w:lang w:eastAsia="zh-CN"/>
          <w14:textFill>
            <w14:solidFill>
              <w14:schemeClr w14:val="tx1"/>
            </w14:solidFill>
          </w14:textFill>
        </w:rPr>
        <w:t xml:space="preserve"> </w:t>
      </w:r>
      <w:r>
        <w:rPr>
          <w:rFonts w:hint="eastAsia" w:cs="宋体"/>
          <w:color w:val="000000" w:themeColor="text1"/>
          <w:sz w:val="21"/>
          <w:szCs w:val="21"/>
          <w:highlight w:val="none"/>
          <w:lang w:eastAsia="zh-CN"/>
          <w14:textFill>
            <w14:solidFill>
              <w14:schemeClr w14:val="tx1"/>
            </w14:solidFill>
          </w14:textFill>
        </w:rPr>
        <w:t xml:space="preserve">录名单，按照政府采购法有关规定处理。</w:t>
      </w:r>
      <w:r/>
    </w:p>
    <w:p>
      <w:pPr>
        <w:pStyle w:val="735"/>
        <w:ind w:left="0" w:firstLine="420"/>
        <w:spacing w:before="0" w:line="360" w:lineRule="auto"/>
        <w:rPr>
          <w:rFonts w:cs="宋体"/>
          <w:color w:val="000000" w:themeColor="text1"/>
          <w:sz w:val="21"/>
          <w:szCs w:val="21"/>
          <w:highlight w:val="none"/>
          <w:lang w:eastAsia="zh-CN"/>
          <w14:textFill>
            <w14:solidFill>
              <w14:schemeClr w14:val="tx1"/>
            </w14:solidFill>
          </w14:textFill>
        </w:rPr>
      </w:pPr>
      <w:r>
        <w:rPr>
          <w:rFonts w:hint="eastAsia" w:cs="宋体"/>
          <w:color w:val="000000" w:themeColor="text1"/>
          <w:sz w:val="21"/>
          <w:szCs w:val="21"/>
          <w:highlight w:val="none"/>
          <w:lang w:eastAsia="zh-CN"/>
          <w14:textFill>
            <w14:solidFill>
              <w14:schemeClr w14:val="tx1"/>
            </w14:solidFill>
          </w14:textFill>
        </w:rPr>
        <w:t xml:space="preserve">28.4.3</w:t>
      </w:r>
      <w:r>
        <w:rPr>
          <w:rFonts w:hint="eastAsia" w:cs="宋体"/>
          <w:color w:val="000000" w:themeColor="text1"/>
          <w:spacing w:val="-60"/>
          <w:sz w:val="21"/>
          <w:szCs w:val="21"/>
          <w:highlight w:val="none"/>
          <w:lang w:eastAsia="zh-CN"/>
          <w14:textFill>
            <w14:solidFill>
              <w14:schemeClr w14:val="tx1"/>
            </w14:solidFill>
          </w14:textFill>
        </w:rPr>
        <w:t xml:space="preserve">   </w:t>
      </w:r>
      <w:r>
        <w:rPr>
          <w:rFonts w:hint="eastAsia" w:cs="宋体"/>
          <w:color w:val="000000" w:themeColor="text1"/>
          <w:sz w:val="21"/>
          <w:szCs w:val="21"/>
          <w:highlight w:val="none"/>
          <w:lang w:eastAsia="zh-CN"/>
          <w14:textFill>
            <w14:solidFill>
              <w14:schemeClr w14:val="tx1"/>
            </w14:solidFill>
          </w14:textFill>
        </w:rPr>
        <w:t xml:space="preserve">供应商不得虚假承诺，否则，按照提供虚假材料谋取成交处理。</w:t>
      </w:r>
      <w:r/>
    </w:p>
    <w:p>
      <w:pPr>
        <w:pStyle w:val="735"/>
        <w:ind w:left="0" w:firstLine="420"/>
        <w:spacing w:before="0" w:line="360" w:lineRule="auto"/>
        <w:rPr>
          <w:rFonts w:cs="宋体"/>
          <w:color w:val="000000" w:themeColor="text1"/>
          <w:sz w:val="21"/>
          <w:szCs w:val="21"/>
          <w:highlight w:val="none"/>
          <w:lang w:eastAsia="zh-CN"/>
          <w14:textFill>
            <w14:solidFill>
              <w14:schemeClr w14:val="tx1"/>
            </w14:solidFill>
          </w14:textFill>
        </w:rPr>
      </w:pPr>
      <w:r>
        <w:rPr>
          <w:rFonts w:hint="eastAsia" w:cs="宋体"/>
          <w:color w:val="000000" w:themeColor="text1"/>
          <w:sz w:val="21"/>
          <w:szCs w:val="21"/>
          <w:highlight w:val="none"/>
          <w:lang w:eastAsia="zh-CN"/>
          <w14:textFill>
            <w14:solidFill>
              <w14:schemeClr w14:val="tx1"/>
            </w14:solidFill>
          </w14:textFill>
        </w:rPr>
        <w:t xml:space="preserve">28.4.4</w:t>
      </w:r>
      <w:r>
        <w:rPr>
          <w:rFonts w:hint="eastAsia" w:cs="宋体"/>
          <w:color w:val="000000" w:themeColor="text1"/>
          <w:spacing w:val="-41"/>
          <w:sz w:val="21"/>
          <w:szCs w:val="21"/>
          <w:highlight w:val="none"/>
          <w:lang w:eastAsia="zh-CN"/>
          <w14:textFill>
            <w14:solidFill>
              <w14:schemeClr w14:val="tx1"/>
            </w14:solidFill>
          </w14:textFill>
        </w:rPr>
        <w:t xml:space="preserve">   </w:t>
      </w:r>
      <w:r>
        <w:rPr>
          <w:rFonts w:hint="eastAsia" w:cs="宋体"/>
          <w:color w:val="000000" w:themeColor="text1"/>
          <w:spacing w:val="-7"/>
          <w:sz w:val="21"/>
          <w:szCs w:val="21"/>
          <w:highlight w:val="none"/>
          <w:lang w:eastAsia="zh-CN"/>
          <w14:textFill>
            <w14:solidFill>
              <w14:schemeClr w14:val="tx1"/>
            </w14:solidFill>
          </w14:textFill>
        </w:rPr>
        <w:t xml:space="preserve">供应商应自觉遵守磋商、评审纪律，扰乱磋商、评审现场秩序的，属于失信行为</w:t>
      </w:r>
      <w:r>
        <w:rPr>
          <w:rFonts w:hint="eastAsia" w:cs="宋体"/>
          <w:color w:val="000000" w:themeColor="text1"/>
          <w:sz w:val="21"/>
          <w:szCs w:val="21"/>
          <w:highlight w:val="none"/>
          <w:lang w:eastAsia="zh-CN"/>
          <w14:textFill>
            <w14:solidFill>
              <w14:schemeClr w14:val="tx1"/>
            </w14:solidFill>
          </w14:textFill>
        </w:rPr>
        <w:t xml:space="preserve">。</w:t>
      </w:r>
      <w:r/>
    </w:p>
    <w:p>
      <w:pPr>
        <w:pStyle w:val="76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29、成交通知书</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29</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成交通知书发出后，采购人或成交供应商拒绝签订合同的，拒绝签订合同的一方应至少向另一方支付与磋商保证金相等的补偿金，以及为磋商所发生的有关费用和双方商定的其他补偿，并承担相应的法律责任。</w:t>
      </w:r>
      <w:r/>
    </w:p>
    <w:p>
      <w:pPr>
        <w:ind w:firstLine="420"/>
        <w:spacing w:line="360" w:lineRule="auto"/>
        <w:rPr>
          <w:rFonts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pStyle w:val="76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123" w:name="_Toc513029236"/>
      <w:r/>
      <w:bookmarkStart w:id="124" w:name="_Toc120614220"/>
      <w:r/>
      <w:bookmarkStart w:id="125" w:name="_Toc20823308"/>
      <w:r/>
      <w:bookmarkStart w:id="126" w:name="_Toc16938552"/>
      <w:r>
        <w:rPr>
          <w:rFonts w:hint="eastAsia"/>
          <w:b/>
          <w:bCs/>
          <w:color w:val="000000" w:themeColor="text1"/>
          <w:sz w:val="21"/>
          <w:szCs w:val="21"/>
          <w:highlight w:val="none"/>
          <w14:textFill>
            <w14:solidFill>
              <w14:schemeClr w14:val="tx1"/>
            </w14:solidFill>
          </w14:textFill>
        </w:rPr>
        <w:t xml:space="preserve">七、授予合同</w:t>
      </w:r>
      <w:bookmarkEnd w:id="123"/>
      <w:r/>
      <w:bookmarkEnd w:id="124"/>
      <w:r/>
      <w:bookmarkEnd w:id="125"/>
      <w:r/>
      <w:bookmarkEnd w:id="126"/>
      <w:r/>
      <w:r/>
    </w:p>
    <w:p>
      <w:pPr>
        <w:pStyle w:val="76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127" w:name="_Toc16938553"/>
      <w:r/>
      <w:bookmarkStart w:id="128" w:name="_Toc20823309"/>
      <w:r/>
      <w:bookmarkStart w:id="129" w:name="_Toc513029237"/>
      <w:r>
        <w:rPr>
          <w:rFonts w:hint="eastAsia"/>
          <w:b/>
          <w:bCs/>
          <w:color w:val="000000" w:themeColor="text1"/>
          <w:sz w:val="21"/>
          <w:szCs w:val="21"/>
          <w:highlight w:val="none"/>
          <w14:textFill>
            <w14:solidFill>
              <w14:schemeClr w14:val="tx1"/>
            </w14:solidFill>
          </w14:textFill>
        </w:rPr>
        <w:t xml:space="preserve">30. 签订合同</w:t>
      </w:r>
      <w:bookmarkEnd w:id="127"/>
      <w:r/>
      <w:bookmarkEnd w:id="128"/>
      <w:r/>
      <w:bookmarkEnd w:id="129"/>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30.l成交供应商应当在成交通知书发出之日起三十日内，按照磋商文件确定的事项与采购人签订政府采购合同。</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30.2 磋商文件、成交供应商的响应文件及磋商过程中有关澄清、承诺文件均应作为合同附件。</w:t>
      </w:r>
      <w:r/>
    </w:p>
    <w:p>
      <w:pPr>
        <w:pStyle w:val="76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30.3 签订合同后，</w:t>
      </w:r>
      <w:r>
        <w:rPr>
          <w:rFonts w:hint="eastAsia"/>
          <w:i/>
          <w:iCs/>
          <w:color w:val="000000" w:themeColor="text1"/>
          <w:sz w:val="21"/>
          <w:szCs w:val="21"/>
          <w:highlight w:val="none"/>
          <w:u w:val="single"/>
          <w14:textFill>
            <w14:solidFill>
              <w14:schemeClr w14:val="tx1"/>
            </w14:solidFill>
          </w14:textFill>
        </w:rPr>
        <w:t xml:space="preserve">成交供应商不得将合同标的进行转包</w:t>
      </w:r>
      <w:r>
        <w:rPr>
          <w:rFonts w:hint="eastAsia"/>
          <w:color w:val="000000" w:themeColor="text1"/>
          <w:sz w:val="21"/>
          <w:szCs w:val="21"/>
          <w:highlight w:val="none"/>
          <w14:textFill>
            <w14:solidFill>
              <w14:schemeClr w14:val="tx1"/>
            </w14:solidFill>
          </w14:textFill>
        </w:rPr>
        <w:t xml:space="preserve">。未经采购人同意，成交供应商也不得采用分包形式履行合同,否则采购人有权终止合同。转包或分包造成采购人损失的，成交供应商应承担相应赔偿责任。</w:t>
      </w:r>
      <w:r/>
    </w:p>
    <w:p>
      <w:pPr>
        <w:pStyle w:val="76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31、标的物的追加</w:t>
      </w:r>
      <w:r/>
    </w:p>
    <w:p>
      <w:pPr>
        <w:pStyle w:val="763"/>
        <w:ind w:firstLine="420"/>
        <w:jc w:val="both"/>
        <w:spacing w:before="0" w:beforeAutospacing="0" w:after="0" w:afterAutospacing="0" w:line="360" w:lineRule="auto"/>
        <w:widowControl w:val="off"/>
        <w:rPr>
          <w:rFonts w:cs="宋体"/>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31.1 政府采购合同履行中，采购人需追加与合同标的相同的货物、服务、工程的，在不改变合同其他条款的前提下，可以与成交供应商协商签订补充合同，但所有补充合同的采购金额不超过原合同金额10%。</w:t>
      </w:r>
      <w:bookmarkEnd w:id="28"/>
      <w:r/>
      <w:bookmarkEnd w:id="65"/>
      <w:r/>
      <w:bookmarkEnd w:id="66"/>
      <w:r/>
      <w:bookmarkEnd w:id="67"/>
      <w:r/>
      <w:bookmarkEnd w:id="68"/>
      <w:r/>
      <w:bookmarkEnd w:id="69"/>
      <w:r/>
      <w:bookmarkEnd w:id="70"/>
      <w:r/>
      <w:bookmarkEnd w:id="71"/>
      <w:r/>
      <w:bookmarkEnd w:id="72"/>
      <w:r/>
      <w:bookmarkEnd w:id="81"/>
      <w:r/>
      <w:bookmarkEnd w:id="82"/>
      <w:r/>
      <w:bookmarkEnd w:id="89"/>
      <w:r/>
      <w:r/>
    </w:p>
    <w:p>
      <w:pPr>
        <w:pStyle w:val="735"/>
        <w:ind w:left="0" w:right="117"/>
        <w:jc w:val="center"/>
        <w:spacing w:before="154" w:line="355" w:lineRule="auto"/>
        <w:rPr>
          <w:color w:val="000000" w:themeColor="text1"/>
          <w:highlight w:val="none"/>
          <w:lang w:eastAsia="zh-CN"/>
          <w14:textFill>
            <w14:solidFill>
              <w14:schemeClr w14:val="tx1"/>
            </w14:solidFill>
          </w14:textFill>
        </w:rPr>
        <w:outlineLvl w:val="0"/>
      </w:pPr>
      <w:r>
        <w:rPr>
          <w:color w:val="000000" w:themeColor="text1"/>
          <w:sz w:val="21"/>
          <w:szCs w:val="21"/>
          <w:highlight w:val="none"/>
          <w:lang w:eastAsia="zh-CN"/>
          <w14:textFill>
            <w14:solidFill>
              <w14:schemeClr w14:val="tx1"/>
            </w14:solidFill>
          </w14:textFill>
        </w:rPr>
        <w:br w:type="page" w:clear="all"/>
      </w:r>
      <w:bookmarkStart w:id="130" w:name="_bookmark7"/>
      <w:r/>
      <w:bookmarkEnd w:id="130"/>
      <w:r/>
      <w:bookmarkStart w:id="131" w:name="_Toc183610247"/>
      <w:r>
        <w:rPr>
          <w:rFonts w:hint="eastAsia" w:cs="宋体"/>
          <w:b/>
          <w:bCs/>
          <w:color w:val="000000" w:themeColor="text1"/>
          <w:sz w:val="28"/>
          <w:szCs w:val="28"/>
          <w:highlight w:val="none"/>
          <w:lang w:eastAsia="zh-CN"/>
          <w14:textFill>
            <w14:solidFill>
              <w14:schemeClr w14:val="tx1"/>
            </w14:solidFill>
          </w14:textFill>
        </w:rPr>
        <w:t xml:space="preserve">第三章 成交标准</w:t>
      </w:r>
      <w:bookmarkEnd w:id="131"/>
      <w:r/>
      <w:r/>
    </w:p>
    <w:p>
      <w:pPr>
        <w:ind w:firstLine="422"/>
        <w:spacing w:line="360" w:lineRule="auto"/>
        <w:tabs>
          <w:tab w:val="left" w:pos="2160" w:leader="none"/>
        </w:tabs>
        <w:rPr>
          <w:rFonts w:hint="eastAsia" w:ascii="宋体" w:hAnsi="宋体" w:eastAsia="宋体" w:cs="宋体"/>
          <w:sz w:val="21"/>
          <w:szCs w:val="21"/>
          <w:highlight w:val="none"/>
        </w:rPr>
      </w:pPr>
      <w:r/>
      <w:bookmarkStart w:id="132" w:name="_bookmark8"/>
      <w:r/>
      <w:bookmarkEnd w:id="132"/>
      <w:r/>
      <w:bookmarkStart w:id="133" w:name="第四章__采购项目需求"/>
      <w:r/>
      <w:bookmarkEnd w:id="133"/>
      <w:r/>
      <w:bookmarkStart w:id="134" w:name="_Toc183610248"/>
      <w:r>
        <w:rPr>
          <w:rFonts w:hint="eastAsia" w:ascii="宋体" w:hAnsi="宋体" w:eastAsia="宋体" w:cs="宋体"/>
          <w:b/>
          <w:bCs/>
          <w:sz w:val="21"/>
          <w:szCs w:val="21"/>
          <w:highlight w:val="none"/>
        </w:rPr>
        <w:t xml:space="preserve">本标段采用综合评分法。综合评分法是指在满足磋商文件实质性要求前提下，按照磋商文件中规定的各项因素进行综合评审后，以评标总得分最高的投标人作为中标供应商的评标方法。本次采购得分最高者为中标供应商，第二名为备选供应商，当中标供应商不能履行其义务时，由备选供应商顶替，成为新的中标供应商，也可重新组织采购。具体的评分细则见下表</w:t>
      </w:r>
      <w:r>
        <w:rPr>
          <w:rFonts w:hint="eastAsia" w:ascii="宋体" w:hAnsi="宋体" w:eastAsia="宋体" w:cs="宋体"/>
          <w:sz w:val="21"/>
          <w:szCs w:val="21"/>
          <w:highlight w:val="none"/>
        </w:rPr>
        <w:t xml:space="preserve">。</w:t>
      </w:r>
      <w:r/>
    </w:p>
    <w:tbl>
      <w:tblPr>
        <w:tblStyle w:val="727"/>
        <w:tblW w:w="95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7"/>
        <w:gridCol w:w="1701"/>
        <w:gridCol w:w="6659"/>
      </w:tblGrid>
      <w:tr>
        <w:trPr>
          <w:jc w:val="center"/>
          <w:trHeight w:val="607"/>
          <w:tblHeader/>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spacing w:line="276" w:lineRule="auto"/>
              <w:rPr>
                <w:rFonts w:ascii="宋体" w:hAnsi="宋体" w:cs="宋体"/>
                <w:b/>
                <w:color w:val="000000"/>
                <w:highlight w:val="none"/>
              </w:rPr>
            </w:pPr>
            <w:r>
              <w:rPr>
                <w:rFonts w:hint="eastAsia" w:ascii="宋体" w:hAnsi="宋体" w:cs="宋体"/>
                <w:b/>
                <w:color w:val="000000"/>
                <w:highlight w:val="none"/>
              </w:rPr>
              <w:t xml:space="preserve">评分项目</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40"/>
              <w:jc w:val="left"/>
              <w:spacing w:line="276" w:lineRule="auto"/>
              <w:rPr>
                <w:rFonts w:ascii="宋体" w:hAnsi="宋体" w:cs="宋体"/>
                <w:b/>
                <w:color w:val="000000"/>
                <w:highlight w:val="none"/>
              </w:rPr>
            </w:pPr>
            <w:r>
              <w:rPr>
                <w:rFonts w:hint="eastAsia" w:ascii="宋体" w:hAnsi="宋体" w:cs="宋体"/>
                <w:b/>
                <w:color w:val="000000"/>
                <w:highlight w:val="none"/>
              </w:rPr>
              <w:t xml:space="preserve">分项</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ind w:firstLine="440"/>
              <w:jc w:val="center"/>
              <w:spacing w:line="276" w:lineRule="auto"/>
              <w:rPr>
                <w:rFonts w:ascii="宋体" w:hAnsi="宋体" w:cs="宋体"/>
                <w:b/>
                <w:color w:val="000000"/>
                <w:highlight w:val="none"/>
              </w:rPr>
            </w:pPr>
            <w:r>
              <w:rPr>
                <w:rFonts w:hint="eastAsia" w:ascii="宋体" w:hAnsi="宋体" w:cs="宋体"/>
                <w:b/>
                <w:color w:val="000000"/>
                <w:highlight w:val="none"/>
              </w:rPr>
              <w:t xml:space="preserve">评标要点及说明</w:t>
            </w:r>
            <w:r/>
          </w:p>
        </w:tc>
      </w:tr>
      <w:tr>
        <w:trPr>
          <w:jc w:val="center"/>
          <w:trHeight w:val="90"/>
          <w:tblHeader/>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spacing w:line="276" w:lineRule="auto"/>
              <w:rPr>
                <w:rFonts w:ascii="宋体" w:hAnsi="宋体" w:cs="宋体"/>
                <w:color w:val="000000"/>
                <w:highlight w:val="none"/>
              </w:rPr>
            </w:pPr>
            <w:r>
              <w:rPr>
                <w:rFonts w:hint="eastAsia" w:ascii="宋体" w:hAnsi="宋体" w:cs="宋体"/>
                <w:color w:val="000000"/>
                <w:highlight w:val="none"/>
              </w:rPr>
              <w:t xml:space="preserve">响应报价</w:t>
            </w:r>
            <w:r/>
          </w:p>
          <w:p>
            <w:pPr>
              <w:jc w:val="center"/>
              <w:spacing w:line="276" w:lineRule="auto"/>
              <w:rPr>
                <w:rFonts w:ascii="宋体" w:hAnsi="宋体" w:cs="宋体"/>
                <w:color w:val="000000"/>
                <w:highlight w:val="none"/>
              </w:rPr>
            </w:pPr>
            <w:r>
              <w:rPr>
                <w:rFonts w:hint="eastAsia" w:ascii="宋体" w:hAnsi="宋体" w:cs="宋体"/>
                <w:color w:val="000000"/>
                <w:highlight w:val="none"/>
              </w:rPr>
              <w:t xml:space="preserve">（10分）</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40"/>
              <w:jc w:val="left"/>
              <w:spacing w:line="276" w:lineRule="auto"/>
              <w:rPr>
                <w:rFonts w:ascii="宋体" w:hAnsi="宋体" w:cs="宋体"/>
                <w:color w:val="000000"/>
                <w:highlight w:val="none"/>
              </w:rPr>
            </w:pPr>
            <w:r>
              <w:rPr>
                <w:rFonts w:hint="eastAsia" w:ascii="宋体" w:hAnsi="宋体" w:cs="宋体"/>
                <w:color w:val="000000"/>
                <w:highlight w:val="none"/>
              </w:rPr>
              <w:t xml:space="preserve">报价</w:t>
            </w:r>
            <w:r/>
          </w:p>
          <w:p>
            <w:pPr>
              <w:jc w:val="center"/>
              <w:spacing w:line="276" w:lineRule="auto"/>
              <w:rPr>
                <w:rFonts w:ascii="宋体" w:hAnsi="宋体" w:cs="宋体"/>
                <w:color w:val="000000"/>
                <w:highlight w:val="none"/>
              </w:rPr>
            </w:pPr>
            <w:r>
              <w:rPr>
                <w:rFonts w:hint="eastAsia" w:ascii="宋体" w:hAnsi="宋体" w:cs="宋体"/>
                <w:color w:val="000000"/>
                <w:highlight w:val="none"/>
              </w:rPr>
              <w:t xml:space="preserve">（10分）</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spacing w:line="276" w:lineRule="auto"/>
              <w:rPr>
                <w:rFonts w:ascii="宋体" w:hAnsi="宋体" w:cs="宋体"/>
                <w:color w:val="000000"/>
                <w:highlight w:val="none"/>
              </w:rPr>
            </w:pPr>
            <w:r>
              <w:rPr>
                <w:rFonts w:hint="eastAsia" w:ascii="宋体" w:hAnsi="宋体" w:cs="宋体"/>
                <w:color w:val="000000"/>
                <w:highlight w:val="none"/>
              </w:rPr>
              <w:t xml:space="preserve">采用低价优先法计算，即满足磋商文件要求且最后响应价格最低的磋商报价为评标基准价，其价格分为满分。其他供应商的价格分统一按照下列公式计算：</w:t>
            </w:r>
            <w:r/>
          </w:p>
          <w:p>
            <w:pPr>
              <w:spacing w:line="276" w:lineRule="auto"/>
              <w:rPr>
                <w:rFonts w:ascii="宋体" w:hAnsi="宋体" w:cs="宋体"/>
                <w:color w:val="000000"/>
                <w:highlight w:val="none"/>
              </w:rPr>
            </w:pPr>
            <w:r>
              <w:rPr>
                <w:rFonts w:hint="eastAsia" w:ascii="宋体" w:hAnsi="宋体" w:cs="宋体"/>
                <w:color w:val="000000"/>
                <w:highlight w:val="none"/>
              </w:rPr>
              <w:t xml:space="preserve">响应报价得分= (评标基准价/最终磋商报价)×10。</w:t>
            </w:r>
            <w:r/>
          </w:p>
        </w:tc>
      </w:tr>
      <w:tr>
        <w:trPr>
          <w:jc w:val="center"/>
          <w:trHeight w:val="1775"/>
          <w:tblHeader/>
        </w:trPr>
        <w:tc>
          <w:tcPr>
            <w:tcBorders>
              <w:top w:val="single" w:color="000000" w:sz="4" w:space="0"/>
              <w:left w:val="single" w:color="000000" w:sz="4" w:space="0"/>
              <w:right w:val="single" w:color="000000" w:sz="4" w:space="0"/>
            </w:tcBorders>
            <w:tcW w:w="1217" w:type="dxa"/>
            <w:vAlign w:val="center"/>
            <w:vMerge w:val="restart"/>
            <w:textDirection w:val="lrTb"/>
            <w:noWrap w:val="false"/>
          </w:tcPr>
          <w:p>
            <w:pPr>
              <w:jc w:val="center"/>
              <w:spacing w:line="276" w:lineRule="auto"/>
              <w:rPr>
                <w:rFonts w:ascii="宋体" w:hAnsi="宋体" w:cs="宋体"/>
                <w:color w:val="000000"/>
                <w:highlight w:val="none"/>
              </w:rPr>
            </w:pPr>
            <w:r>
              <w:rPr>
                <w:rFonts w:hint="eastAsia" w:ascii="宋体" w:hAnsi="宋体" w:cs="宋体"/>
                <w:color w:val="000000"/>
                <w:highlight w:val="none"/>
              </w:rPr>
              <w:t xml:space="preserve">技术部分</w:t>
            </w:r>
            <w:r/>
          </w:p>
          <w:p>
            <w:pPr>
              <w:spacing w:line="276" w:lineRule="auto"/>
              <w:rPr>
                <w:rFonts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55</w:t>
            </w:r>
            <w:r>
              <w:rPr>
                <w:rFonts w:hint="eastAsia" w:ascii="宋体" w:hAnsi="宋体" w:cs="宋体"/>
                <w:color w:val="000000"/>
                <w:highlight w:val="none"/>
              </w:rPr>
              <w:t xml:space="preserve">分）</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76" w:lineRule="auto"/>
              <w:rPr>
                <w:rFonts w:hint="eastAsia" w:ascii="宋体" w:hAnsi="宋体"/>
                <w:highlight w:val="none"/>
              </w:rPr>
            </w:pPr>
            <w:r>
              <w:rPr>
                <w:rFonts w:hint="eastAsia" w:ascii="宋体" w:hAnsi="宋体"/>
                <w:highlight w:val="none"/>
              </w:rPr>
              <w:t xml:space="preserve">项目实施方案合理性及规范性</w:t>
            </w:r>
            <w:r/>
          </w:p>
          <w:p>
            <w:pPr>
              <w:jc w:val="center"/>
              <w:spacing w:line="276" w:lineRule="auto"/>
              <w:rPr>
                <w:rFonts w:ascii="宋体" w:hAnsi="宋体"/>
                <w:highlight w:val="none"/>
              </w:rPr>
            </w:pPr>
            <w:r>
              <w:rPr>
                <w:rFonts w:hint="eastAsia" w:ascii="宋体" w:hAnsi="宋体"/>
                <w:highlight w:val="none"/>
              </w:rPr>
              <w:t xml:space="preserve">（1</w:t>
            </w:r>
            <w:r>
              <w:rPr>
                <w:rFonts w:hint="eastAsia" w:ascii="宋体" w:hAnsi="宋体"/>
                <w:highlight w:val="none"/>
                <w:lang w:val="en-US" w:eastAsia="zh-CN"/>
              </w:rPr>
              <w:t xml:space="preserve">0</w:t>
            </w:r>
            <w:r>
              <w:rPr>
                <w:rFonts w:hint="eastAsia" w:ascii="宋体" w:hAnsi="宋体"/>
                <w:highlight w:val="none"/>
              </w:rPr>
              <w:t xml:space="preserve">分）</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spacing w:line="276" w:lineRule="auto"/>
              <w:rPr>
                <w:highlight w:val="none"/>
              </w:rPr>
            </w:pPr>
            <w:r>
              <w:rPr>
                <w:rFonts w:hint="eastAsia" w:ascii="宋体" w:hAnsi="宋体" w:eastAsia="宋体" w:cs="宋体"/>
                <w:highlight w:val="none"/>
              </w:rPr>
              <w:t xml:space="preserve">①</w:t>
            </w:r>
            <w:r>
              <w:rPr>
                <w:rFonts w:hint="eastAsia" w:ascii="宋体" w:hAnsi="宋体"/>
                <w:highlight w:val="none"/>
              </w:rPr>
              <w:t xml:space="preserve">对项目的背景、地块情况、水文地质情况、污染情况等了解掌握并分析；</w:t>
            </w:r>
            <w:r>
              <w:rPr>
                <w:rFonts w:hint="eastAsia" w:ascii="宋体" w:hAnsi="宋体" w:eastAsia="宋体" w:cs="宋体"/>
                <w:highlight w:val="none"/>
              </w:rPr>
              <w:t xml:space="preserve">②</w:t>
            </w:r>
            <w:r>
              <w:rPr>
                <w:rFonts w:hint="eastAsia" w:ascii="宋体" w:hAnsi="宋体"/>
                <w:highlight w:val="none"/>
              </w:rPr>
              <w:t xml:space="preserve">对地块污染物分布进行刻画，针对超标点位制定健康风险评估方案，明确环境风险，明确污染来源；</w:t>
            </w:r>
            <w:r>
              <w:rPr>
                <w:rFonts w:hint="eastAsia" w:ascii="宋体" w:hAnsi="宋体" w:eastAsia="宋体" w:cs="宋体"/>
                <w:highlight w:val="none"/>
              </w:rPr>
              <w:t xml:space="preserve">③</w:t>
            </w:r>
            <w:r>
              <w:rPr>
                <w:rFonts w:hint="eastAsia" w:ascii="宋体" w:hAnsi="宋体"/>
                <w:highlight w:val="none"/>
              </w:rPr>
              <w:t xml:space="preserve">构建三维水文地质与地下水模型，预测地下水污染物运移趋势，制定污染物入江风险评估方案；</w:t>
            </w:r>
            <w:r>
              <w:rPr>
                <w:rFonts w:hint="eastAsia" w:ascii="宋体" w:hAnsi="宋体" w:eastAsia="宋体" w:cs="宋体"/>
                <w:highlight w:val="none"/>
              </w:rPr>
              <w:t xml:space="preserve">④</w:t>
            </w:r>
            <w:r>
              <w:rPr>
                <w:rFonts w:hint="eastAsia" w:ascii="宋体" w:hAnsi="宋体"/>
                <w:highlight w:val="none"/>
              </w:rPr>
              <w:t xml:space="preserve">科学合理制定修复目标值，给出科学合理制定修复或管控建议；</w:t>
            </w:r>
            <w:r/>
          </w:p>
          <w:p>
            <w:pPr>
              <w:ind w:firstLine="440"/>
              <w:spacing w:line="276" w:lineRule="auto"/>
              <w:rPr>
                <w:rFonts w:hint="eastAsia" w:ascii="宋体" w:hAnsi="宋体"/>
                <w:highlight w:val="none"/>
              </w:rPr>
            </w:pPr>
            <w:r>
              <w:rPr>
                <w:rFonts w:hint="eastAsia" w:ascii="宋体" w:hAnsi="宋体"/>
                <w:highlight w:val="none"/>
              </w:rPr>
              <w:t xml:space="preserve">针对以上每点，内容包含的要点齐全无缺漏项、内容与要点相符、内容完善且能够适用于本项目得1</w:t>
            </w:r>
            <w:r>
              <w:rPr>
                <w:rFonts w:hint="eastAsia" w:ascii="宋体" w:hAnsi="宋体"/>
                <w:highlight w:val="none"/>
                <w:lang w:val="en-US" w:eastAsia="zh-CN"/>
              </w:rPr>
              <w:t xml:space="preserve">0</w:t>
            </w:r>
            <w:r>
              <w:rPr>
                <w:rFonts w:hint="eastAsia" w:ascii="宋体" w:hAnsi="宋体"/>
                <w:highlight w:val="none"/>
              </w:rPr>
              <w:t xml:space="preserve">分；</w:t>
            </w:r>
            <w:r/>
          </w:p>
          <w:p>
            <w:pPr>
              <w:ind w:firstLine="440"/>
              <w:spacing w:line="276" w:lineRule="auto"/>
              <w:rPr>
                <w:rFonts w:hint="eastAsia" w:ascii="宋体" w:hAnsi="宋体"/>
                <w:highlight w:val="none"/>
              </w:rPr>
            </w:pPr>
            <w:r>
              <w:rPr>
                <w:rFonts w:hint="eastAsia" w:ascii="宋体" w:hAnsi="宋体"/>
                <w:highlight w:val="none"/>
              </w:rPr>
              <w:t xml:space="preserve">内容包含的要点齐全、内容与要点相符，但仅有纲要内容简略，未展开阐述得</w:t>
            </w:r>
            <w:r>
              <w:rPr>
                <w:rFonts w:hint="eastAsia" w:ascii="宋体" w:hAnsi="宋体"/>
                <w:highlight w:val="none"/>
                <w:lang w:val="en-US" w:eastAsia="zh-CN"/>
              </w:rPr>
              <w:t xml:space="preserve">7</w:t>
            </w:r>
            <w:r>
              <w:rPr>
                <w:rFonts w:hint="eastAsia" w:ascii="宋体" w:hAnsi="宋体"/>
                <w:highlight w:val="none"/>
              </w:rPr>
              <w:t xml:space="preserve">分；</w:t>
            </w:r>
            <w:r/>
          </w:p>
          <w:p>
            <w:pPr>
              <w:ind w:firstLine="440"/>
              <w:spacing w:line="276" w:lineRule="auto"/>
              <w:rPr>
                <w:rFonts w:hint="eastAsia" w:ascii="宋体" w:hAnsi="宋体"/>
                <w:highlight w:val="none"/>
              </w:rPr>
            </w:pPr>
            <w:r>
              <w:rPr>
                <w:rFonts w:hint="eastAsia" w:ascii="宋体" w:hAnsi="宋体"/>
                <w:highlight w:val="none"/>
              </w:rPr>
              <w:t xml:space="preserve">内容包含的要点有缺漏或内容存在错误的得4分；</w:t>
            </w:r>
            <w:r/>
          </w:p>
          <w:p>
            <w:pPr>
              <w:ind w:firstLine="440"/>
              <w:spacing w:line="276" w:lineRule="auto"/>
              <w:rPr>
                <w:rFonts w:ascii="宋体" w:hAnsi="宋体"/>
                <w:highlight w:val="none"/>
              </w:rPr>
            </w:pPr>
            <w:r>
              <w:rPr>
                <w:rFonts w:hint="eastAsia" w:ascii="宋体" w:hAnsi="宋体"/>
                <w:highlight w:val="none"/>
              </w:rPr>
              <w:t xml:space="preserve">不提供不得分。</w:t>
            </w:r>
            <w:r/>
          </w:p>
        </w:tc>
      </w:tr>
      <w:tr>
        <w:trPr>
          <w:jc w:val="center"/>
          <w:trHeight w:val="1775"/>
          <w:tblHeader/>
        </w:trPr>
        <w:tc>
          <w:tcPr>
            <w:tcBorders>
              <w:left w:val="single" w:color="000000" w:sz="4" w:space="0"/>
              <w:right w:val="single" w:color="000000" w:sz="4" w:space="0"/>
            </w:tcBorders>
            <w:tcW w:w="1217" w:type="dxa"/>
            <w:vAlign w:val="center"/>
            <w:vMerge w:val="continue"/>
            <w:textDirection w:val="lrTb"/>
            <w:noWrap w:val="false"/>
          </w:tcPr>
          <w:p>
            <w:pPr>
              <w:spacing w:line="276" w:lineRule="auto"/>
              <w:rPr>
                <w:rFonts w:hint="eastAsia" w:ascii="宋体" w:hAnsi="宋体" w:cs="宋体"/>
                <w:color w:val="000000"/>
                <w:highlight w:val="none"/>
              </w:rPr>
            </w:pP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76" w:lineRule="auto"/>
              <w:rPr>
                <w:rFonts w:hint="eastAsia" w:ascii="宋体" w:hAnsi="宋体"/>
                <w:highlight w:val="none"/>
              </w:rPr>
            </w:pPr>
            <w:r>
              <w:rPr>
                <w:rFonts w:hint="eastAsia" w:ascii="宋体" w:hAnsi="宋体"/>
                <w:highlight w:val="none"/>
              </w:rPr>
              <w:t xml:space="preserve">污染识别方案</w:t>
            </w:r>
            <w:r/>
          </w:p>
          <w:p>
            <w:pPr>
              <w:jc w:val="center"/>
              <w:spacing w:line="276" w:lineRule="auto"/>
              <w:rPr>
                <w:rFonts w:ascii="宋体" w:hAnsi="宋体"/>
                <w:highlight w:val="none"/>
              </w:rPr>
            </w:pPr>
            <w:r>
              <w:rPr>
                <w:rFonts w:hint="eastAsia" w:ascii="宋体" w:hAnsi="宋体"/>
                <w:highlight w:val="none"/>
              </w:rPr>
              <w:t xml:space="preserve">（</w:t>
            </w:r>
            <w:r>
              <w:rPr>
                <w:rFonts w:hint="eastAsia" w:ascii="宋体" w:hAnsi="宋体"/>
                <w:highlight w:val="none"/>
                <w:lang w:val="en-US" w:eastAsia="zh-CN"/>
              </w:rPr>
              <w:t xml:space="preserve">10</w:t>
            </w:r>
            <w:r>
              <w:rPr>
                <w:rFonts w:hint="eastAsia" w:ascii="宋体" w:hAnsi="宋体"/>
                <w:highlight w:val="none"/>
              </w:rPr>
              <w:t xml:space="preserve">分）</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spacing w:line="276" w:lineRule="auto"/>
              <w:rPr>
                <w:highlight w:val="none"/>
              </w:rPr>
            </w:pPr>
            <w:r>
              <w:rPr>
                <w:rFonts w:hint="eastAsia" w:ascii="宋体" w:hAnsi="宋体" w:eastAsia="宋体" w:cs="宋体"/>
                <w:highlight w:val="none"/>
              </w:rPr>
              <w:t xml:space="preserve">①</w:t>
            </w:r>
            <w:r>
              <w:rPr>
                <w:rFonts w:hint="eastAsia" w:ascii="宋体" w:hAnsi="宋体"/>
                <w:highlight w:val="none"/>
              </w:rPr>
              <w:t xml:space="preserve">现场踏勘方案；</w:t>
            </w:r>
            <w:r>
              <w:rPr>
                <w:rFonts w:hint="eastAsia" w:ascii="宋体" w:hAnsi="宋体" w:eastAsia="宋体" w:cs="宋体"/>
                <w:highlight w:val="none"/>
              </w:rPr>
              <w:t xml:space="preserve">②</w:t>
            </w:r>
            <w:r>
              <w:rPr>
                <w:rFonts w:hint="eastAsia" w:ascii="宋体" w:hAnsi="宋体"/>
                <w:highlight w:val="none"/>
              </w:rPr>
              <w:t xml:space="preserve">资料收集与分析方案。</w:t>
            </w:r>
            <w:r/>
          </w:p>
          <w:p>
            <w:pPr>
              <w:ind w:firstLine="440"/>
              <w:spacing w:line="276" w:lineRule="auto"/>
              <w:rPr>
                <w:rFonts w:hint="eastAsia" w:ascii="宋体" w:hAnsi="宋体"/>
                <w:highlight w:val="none"/>
              </w:rPr>
            </w:pPr>
            <w:r>
              <w:rPr>
                <w:rFonts w:hint="eastAsia" w:ascii="宋体" w:hAnsi="宋体"/>
                <w:highlight w:val="none"/>
              </w:rPr>
              <w:t xml:space="preserve">针对以上每点，内容包含的要点齐全无缺漏项、内容与要点相符、内容完善且能够适用于本项目得</w:t>
            </w:r>
            <w:r>
              <w:rPr>
                <w:rFonts w:hint="eastAsia" w:ascii="宋体" w:hAnsi="宋体"/>
                <w:highlight w:val="none"/>
                <w:lang w:val="en-US" w:eastAsia="zh-CN"/>
              </w:rPr>
              <w:t xml:space="preserve">10</w:t>
            </w:r>
            <w:r>
              <w:rPr>
                <w:rFonts w:hint="eastAsia" w:ascii="宋体" w:hAnsi="宋体"/>
                <w:highlight w:val="none"/>
              </w:rPr>
              <w:t xml:space="preserve">分；</w:t>
            </w:r>
            <w:r/>
          </w:p>
          <w:p>
            <w:pPr>
              <w:ind w:firstLine="440"/>
              <w:spacing w:line="276" w:lineRule="auto"/>
              <w:rPr>
                <w:rFonts w:hint="eastAsia" w:ascii="宋体" w:hAnsi="宋体"/>
                <w:highlight w:val="none"/>
              </w:rPr>
            </w:pPr>
            <w:r>
              <w:rPr>
                <w:rFonts w:hint="eastAsia" w:ascii="宋体" w:hAnsi="宋体"/>
                <w:highlight w:val="none"/>
              </w:rPr>
              <w:t xml:space="preserve">内容包含的要点齐全、内容与要点相符，但仅有纲要内容简略，未展开阐述得</w:t>
            </w:r>
            <w:r>
              <w:rPr>
                <w:rFonts w:hint="eastAsia" w:ascii="宋体" w:hAnsi="宋体"/>
                <w:highlight w:val="none"/>
                <w:lang w:val="en-US" w:eastAsia="zh-CN"/>
              </w:rPr>
              <w:t xml:space="preserve">7</w:t>
            </w:r>
            <w:r>
              <w:rPr>
                <w:rFonts w:hint="eastAsia" w:ascii="宋体" w:hAnsi="宋体"/>
                <w:highlight w:val="none"/>
              </w:rPr>
              <w:t xml:space="preserve">分；</w:t>
            </w:r>
            <w:r/>
          </w:p>
          <w:p>
            <w:pPr>
              <w:ind w:firstLine="440"/>
              <w:spacing w:line="276" w:lineRule="auto"/>
              <w:rPr>
                <w:rFonts w:hint="eastAsia" w:ascii="宋体" w:hAnsi="宋体"/>
                <w:highlight w:val="none"/>
              </w:rPr>
            </w:pPr>
            <w:r>
              <w:rPr>
                <w:rFonts w:hint="eastAsia" w:ascii="宋体" w:hAnsi="宋体"/>
                <w:highlight w:val="none"/>
              </w:rPr>
              <w:t xml:space="preserve">内容包含的要点有缺漏或内容存在错误得</w:t>
            </w:r>
            <w:r>
              <w:rPr>
                <w:rFonts w:hint="eastAsia" w:ascii="宋体" w:hAnsi="宋体"/>
                <w:highlight w:val="none"/>
                <w:lang w:val="en-US" w:eastAsia="zh-CN"/>
              </w:rPr>
              <w:t xml:space="preserve">4</w:t>
            </w:r>
            <w:r>
              <w:rPr>
                <w:rFonts w:hint="eastAsia" w:ascii="宋体" w:hAnsi="宋体"/>
                <w:highlight w:val="none"/>
              </w:rPr>
              <w:t xml:space="preserve">分；</w:t>
            </w:r>
            <w:r/>
          </w:p>
          <w:p>
            <w:pPr>
              <w:ind w:firstLine="440"/>
              <w:spacing w:line="276" w:lineRule="auto"/>
              <w:rPr>
                <w:rFonts w:ascii="宋体" w:hAnsi="宋体"/>
                <w:highlight w:val="none"/>
              </w:rPr>
            </w:pPr>
            <w:r>
              <w:rPr>
                <w:rFonts w:hint="eastAsia" w:ascii="宋体" w:hAnsi="宋体"/>
                <w:highlight w:val="none"/>
              </w:rPr>
              <w:t xml:space="preserve">不提供不得分。</w:t>
            </w:r>
            <w:r/>
          </w:p>
        </w:tc>
      </w:tr>
      <w:tr>
        <w:trPr>
          <w:jc w:val="center"/>
          <w:trHeight w:val="1375"/>
          <w:tblHeader/>
        </w:trPr>
        <w:tc>
          <w:tcPr>
            <w:tcBorders>
              <w:left w:val="single" w:color="000000" w:sz="4" w:space="0"/>
              <w:right w:val="single" w:color="000000" w:sz="4" w:space="0"/>
            </w:tcBorders>
            <w:tcW w:w="1217" w:type="dxa"/>
            <w:vAlign w:val="center"/>
            <w:vMerge w:val="continue"/>
            <w:textDirection w:val="lrTb"/>
            <w:noWrap w:val="false"/>
          </w:tcPr>
          <w:p>
            <w:pPr>
              <w:jc w:val="center"/>
              <w:spacing w:line="276" w:lineRule="auto"/>
              <w:rPr>
                <w:rFonts w:ascii="宋体" w:hAnsi="宋体" w:cs="宋体"/>
                <w:color w:val="000000"/>
                <w:highlight w:val="none"/>
              </w:rPr>
            </w:pP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76" w:lineRule="auto"/>
              <w:rPr>
                <w:rFonts w:hint="eastAsia" w:ascii="宋体" w:hAnsi="宋体"/>
                <w:highlight w:val="none"/>
              </w:rPr>
            </w:pPr>
            <w:r>
              <w:rPr>
                <w:rFonts w:hint="eastAsia" w:ascii="宋体" w:hAnsi="宋体"/>
                <w:highlight w:val="none"/>
              </w:rPr>
              <w:t xml:space="preserve">补充调查采样和监测方案</w:t>
            </w:r>
            <w:r/>
          </w:p>
          <w:p>
            <w:pPr>
              <w:jc w:val="center"/>
              <w:spacing w:line="276" w:lineRule="auto"/>
              <w:rPr>
                <w:rFonts w:ascii="宋体" w:hAnsi="宋体"/>
                <w:highlight w:val="none"/>
              </w:rPr>
            </w:pPr>
            <w:r>
              <w:rPr>
                <w:rFonts w:hint="eastAsia" w:ascii="宋体" w:hAnsi="宋体"/>
                <w:highlight w:val="none"/>
              </w:rPr>
              <w:t xml:space="preserve">（</w:t>
            </w:r>
            <w:r>
              <w:rPr>
                <w:rFonts w:hint="eastAsia" w:ascii="宋体" w:hAnsi="宋体"/>
                <w:highlight w:val="none"/>
                <w:lang w:val="en-US" w:eastAsia="zh-CN"/>
              </w:rPr>
              <w:t xml:space="preserve">10</w:t>
            </w:r>
            <w:r>
              <w:rPr>
                <w:rFonts w:hint="eastAsia" w:ascii="宋体" w:hAnsi="宋体"/>
                <w:highlight w:val="none"/>
              </w:rPr>
              <w:t xml:space="preserve">分）</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spacing w:line="276" w:lineRule="auto"/>
              <w:rPr>
                <w:highlight w:val="none"/>
              </w:rPr>
            </w:pPr>
            <w:r>
              <w:rPr>
                <w:rFonts w:hint="eastAsia" w:ascii="宋体" w:hAnsi="宋体" w:eastAsia="宋体" w:cs="宋体"/>
                <w:highlight w:val="none"/>
              </w:rPr>
              <w:t xml:space="preserve">①</w:t>
            </w:r>
            <w:r>
              <w:rPr>
                <w:rFonts w:hint="eastAsia" w:ascii="宋体" w:hAnsi="宋体"/>
                <w:highlight w:val="none"/>
              </w:rPr>
              <w:t xml:space="preserve">调查范围、布点数量与位置；</w:t>
            </w:r>
            <w:r>
              <w:rPr>
                <w:rFonts w:hint="eastAsia" w:ascii="宋体" w:hAnsi="宋体" w:eastAsia="宋体" w:cs="宋体"/>
                <w:highlight w:val="none"/>
              </w:rPr>
              <w:t xml:space="preserve">②</w:t>
            </w:r>
            <w:r>
              <w:rPr>
                <w:rFonts w:hint="eastAsia" w:ascii="宋体" w:hAnsi="宋体"/>
                <w:highlight w:val="none"/>
              </w:rPr>
              <w:t xml:space="preserve">检测指标、评价标准与评价方法。</w:t>
            </w:r>
            <w:r/>
          </w:p>
          <w:p>
            <w:pPr>
              <w:ind w:firstLine="440"/>
              <w:spacing w:line="276" w:lineRule="auto"/>
              <w:rPr>
                <w:rFonts w:hint="eastAsia" w:ascii="宋体" w:hAnsi="宋体"/>
                <w:highlight w:val="none"/>
              </w:rPr>
            </w:pPr>
            <w:r>
              <w:rPr>
                <w:rFonts w:hint="eastAsia" w:ascii="宋体" w:hAnsi="宋体"/>
                <w:highlight w:val="none"/>
              </w:rPr>
              <w:t xml:space="preserve">针对以上每点，内容包含的要点齐全无缺漏项、内容与要点相符、内容完善且能够适用于本项目得</w:t>
            </w:r>
            <w:r>
              <w:rPr>
                <w:rFonts w:hint="eastAsia" w:ascii="宋体" w:hAnsi="宋体"/>
                <w:highlight w:val="none"/>
                <w:lang w:val="en-US" w:eastAsia="zh-CN"/>
              </w:rPr>
              <w:t xml:space="preserve">10</w:t>
            </w:r>
            <w:r>
              <w:rPr>
                <w:rFonts w:hint="eastAsia" w:ascii="宋体" w:hAnsi="宋体"/>
                <w:highlight w:val="none"/>
              </w:rPr>
              <w:t xml:space="preserve">分；</w:t>
            </w:r>
            <w:r/>
          </w:p>
          <w:p>
            <w:pPr>
              <w:ind w:firstLine="440"/>
              <w:spacing w:line="276" w:lineRule="auto"/>
              <w:rPr>
                <w:rFonts w:hint="eastAsia" w:ascii="宋体" w:hAnsi="宋体"/>
                <w:highlight w:val="none"/>
              </w:rPr>
            </w:pPr>
            <w:r>
              <w:rPr>
                <w:rFonts w:hint="eastAsia" w:ascii="宋体" w:hAnsi="宋体"/>
                <w:highlight w:val="none"/>
              </w:rPr>
              <w:t xml:space="preserve">内容包含的要点齐全、内容与要点相符，但仅有纲要内容简略，未展开阐述得</w:t>
            </w:r>
            <w:r>
              <w:rPr>
                <w:rFonts w:hint="eastAsia" w:ascii="宋体" w:hAnsi="宋体"/>
                <w:highlight w:val="none"/>
                <w:lang w:val="en-US" w:eastAsia="zh-CN"/>
              </w:rPr>
              <w:t xml:space="preserve">7</w:t>
            </w:r>
            <w:r>
              <w:rPr>
                <w:rFonts w:hint="eastAsia" w:ascii="宋体" w:hAnsi="宋体"/>
                <w:highlight w:val="none"/>
              </w:rPr>
              <w:t xml:space="preserve">分；</w:t>
            </w:r>
            <w:r/>
          </w:p>
          <w:p>
            <w:pPr>
              <w:ind w:firstLine="440"/>
              <w:spacing w:line="276" w:lineRule="auto"/>
              <w:rPr>
                <w:rFonts w:hint="eastAsia" w:ascii="宋体" w:hAnsi="宋体"/>
                <w:highlight w:val="none"/>
              </w:rPr>
            </w:pPr>
            <w:r>
              <w:rPr>
                <w:rFonts w:hint="eastAsia" w:ascii="宋体" w:hAnsi="宋体"/>
                <w:highlight w:val="none"/>
              </w:rPr>
              <w:t xml:space="preserve">内容包含的要点有缺漏或内容存在错误得</w:t>
            </w:r>
            <w:r>
              <w:rPr>
                <w:rFonts w:hint="eastAsia" w:ascii="宋体" w:hAnsi="宋体"/>
                <w:highlight w:val="none"/>
                <w:lang w:val="en-US" w:eastAsia="zh-CN"/>
              </w:rPr>
              <w:t xml:space="preserve">4</w:t>
            </w:r>
            <w:r>
              <w:rPr>
                <w:rFonts w:hint="eastAsia" w:ascii="宋体" w:hAnsi="宋体"/>
                <w:highlight w:val="none"/>
              </w:rPr>
              <w:t xml:space="preserve">分；</w:t>
            </w:r>
            <w:r/>
          </w:p>
          <w:p>
            <w:pPr>
              <w:ind w:firstLine="440"/>
              <w:spacing w:line="276" w:lineRule="auto"/>
              <w:rPr>
                <w:rFonts w:ascii="宋体" w:hAnsi="宋体"/>
                <w:highlight w:val="none"/>
              </w:rPr>
            </w:pPr>
            <w:r>
              <w:rPr>
                <w:rFonts w:hint="eastAsia" w:ascii="宋体" w:hAnsi="宋体"/>
                <w:highlight w:val="none"/>
              </w:rPr>
              <w:t xml:space="preserve">不提供不得分。</w:t>
            </w:r>
            <w:r/>
          </w:p>
        </w:tc>
      </w:tr>
      <w:tr>
        <w:trPr>
          <w:jc w:val="center"/>
          <w:trHeight w:val="1375"/>
          <w:tblHeader/>
        </w:trPr>
        <w:tc>
          <w:tcPr>
            <w:tcBorders>
              <w:left w:val="single" w:color="000000" w:sz="4" w:space="0"/>
              <w:right w:val="single" w:color="000000" w:sz="4" w:space="0"/>
            </w:tcBorders>
            <w:tcW w:w="1217" w:type="dxa"/>
            <w:vAlign w:val="center"/>
            <w:vMerge w:val="continue"/>
            <w:textDirection w:val="lrTb"/>
            <w:noWrap w:val="false"/>
          </w:tcPr>
          <w:p>
            <w:pPr>
              <w:jc w:val="center"/>
              <w:spacing w:line="276" w:lineRule="auto"/>
              <w:rPr>
                <w:rFonts w:ascii="宋体" w:hAnsi="宋体" w:cs="宋体"/>
                <w:color w:val="000000"/>
                <w:highlight w:val="none"/>
              </w:rPr>
            </w:pP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76" w:lineRule="auto"/>
              <w:rPr>
                <w:rFonts w:hint="eastAsia" w:ascii="宋体" w:hAnsi="宋体"/>
                <w:highlight w:val="none"/>
              </w:rPr>
            </w:pPr>
            <w:r>
              <w:rPr>
                <w:rFonts w:hint="eastAsia" w:ascii="宋体" w:hAnsi="宋体"/>
                <w:highlight w:val="none"/>
              </w:rPr>
              <w:t xml:space="preserve">项目实施方案进度安排及质量控制</w:t>
            </w:r>
            <w:r/>
          </w:p>
          <w:p>
            <w:pPr>
              <w:jc w:val="center"/>
              <w:spacing w:line="276" w:lineRule="auto"/>
              <w:rPr>
                <w:rFonts w:ascii="宋体" w:hAnsi="宋体"/>
                <w:highlight w:val="none"/>
              </w:rPr>
            </w:pPr>
            <w:r>
              <w:rPr>
                <w:rFonts w:hint="eastAsia" w:ascii="宋体" w:hAnsi="宋体"/>
                <w:highlight w:val="none"/>
              </w:rPr>
              <w:t xml:space="preserve">（</w:t>
            </w:r>
            <w:r>
              <w:rPr>
                <w:rFonts w:hint="eastAsia" w:ascii="宋体" w:hAnsi="宋体"/>
                <w:highlight w:val="none"/>
                <w:lang w:val="en-US" w:eastAsia="zh-CN"/>
              </w:rPr>
              <w:t xml:space="preserve">8</w:t>
            </w:r>
            <w:r>
              <w:rPr>
                <w:rFonts w:hint="eastAsia" w:ascii="宋体" w:hAnsi="宋体"/>
                <w:highlight w:val="none"/>
              </w:rPr>
              <w:t xml:space="preserve">分）</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spacing w:line="276" w:lineRule="auto"/>
              <w:rPr>
                <w:rFonts w:hint="eastAsia" w:ascii="宋体" w:hAnsi="宋体" w:eastAsia="宋体" w:cs="Times New Roman"/>
                <w:highlight w:val="none"/>
              </w:rPr>
            </w:pPr>
            <w:r>
              <w:rPr>
                <w:rFonts w:hint="eastAsia" w:ascii="宋体" w:hAnsi="宋体" w:eastAsia="宋体" w:cs="Times New Roman"/>
                <w:highlight w:val="none"/>
              </w:rPr>
              <w:t xml:space="preserve">①进度保证措施；②质量保证措施与二次污染与突发应急措施处理预案。</w:t>
            </w:r>
            <w:r/>
          </w:p>
          <w:p>
            <w:pPr>
              <w:ind w:firstLine="440"/>
              <w:spacing w:line="276" w:lineRule="auto"/>
              <w:rPr>
                <w:rFonts w:hint="eastAsia" w:ascii="宋体" w:hAnsi="宋体" w:eastAsia="宋体" w:cs="Times New Roman"/>
                <w:highlight w:val="none"/>
              </w:rPr>
            </w:pPr>
            <w:r>
              <w:rPr>
                <w:rFonts w:hint="eastAsia" w:ascii="宋体" w:hAnsi="宋体" w:eastAsia="宋体" w:cs="Times New Roman"/>
                <w:highlight w:val="none"/>
              </w:rPr>
              <w:t xml:space="preserve">针对以上每点，内容包含的要点齐全无缺漏项、内容与要点相符、内容完善且能够适用于本项目得</w:t>
            </w:r>
            <w:r>
              <w:rPr>
                <w:rFonts w:hint="eastAsia" w:ascii="宋体" w:hAnsi="宋体" w:eastAsia="宋体" w:cs="Times New Roman"/>
                <w:highlight w:val="none"/>
                <w:lang w:val="en-US" w:eastAsia="zh-CN"/>
              </w:rPr>
              <w:t xml:space="preserve">8</w:t>
            </w:r>
            <w:r>
              <w:rPr>
                <w:rFonts w:hint="eastAsia" w:ascii="宋体" w:hAnsi="宋体" w:eastAsia="宋体" w:cs="Times New Roman"/>
                <w:highlight w:val="none"/>
              </w:rPr>
              <w:t xml:space="preserve">分；</w:t>
            </w:r>
            <w:r/>
          </w:p>
          <w:p>
            <w:pPr>
              <w:ind w:firstLine="440"/>
              <w:spacing w:line="276" w:lineRule="auto"/>
              <w:rPr>
                <w:rFonts w:hint="eastAsia" w:ascii="宋体" w:hAnsi="宋体" w:eastAsia="宋体" w:cs="Times New Roman"/>
                <w:highlight w:val="none"/>
              </w:rPr>
            </w:pPr>
            <w:r>
              <w:rPr>
                <w:rFonts w:hint="eastAsia" w:ascii="宋体" w:hAnsi="宋体" w:eastAsia="宋体" w:cs="Times New Roman"/>
                <w:highlight w:val="none"/>
              </w:rPr>
              <w:t xml:space="preserve">内容包含的要点齐全、内容与要点相符，但仅有纲要内容简略，未展开阐述得</w:t>
            </w:r>
            <w:r>
              <w:rPr>
                <w:rFonts w:hint="eastAsia" w:ascii="宋体" w:hAnsi="宋体" w:eastAsia="宋体" w:cs="Times New Roman"/>
                <w:highlight w:val="none"/>
                <w:lang w:val="en-US" w:eastAsia="zh-CN"/>
              </w:rPr>
              <w:t xml:space="preserve">5</w:t>
            </w:r>
            <w:r>
              <w:rPr>
                <w:rFonts w:hint="eastAsia" w:ascii="宋体" w:hAnsi="宋体" w:eastAsia="宋体" w:cs="Times New Roman"/>
                <w:highlight w:val="none"/>
              </w:rPr>
              <w:t xml:space="preserve">分；</w:t>
            </w:r>
            <w:r/>
          </w:p>
          <w:p>
            <w:pPr>
              <w:ind w:firstLine="440"/>
              <w:spacing w:line="276" w:lineRule="auto"/>
              <w:rPr>
                <w:rFonts w:hint="eastAsia" w:ascii="宋体" w:hAnsi="宋体" w:eastAsia="宋体" w:cs="Times New Roman"/>
                <w:highlight w:val="none"/>
              </w:rPr>
            </w:pPr>
            <w:r>
              <w:rPr>
                <w:rFonts w:hint="eastAsia" w:ascii="宋体" w:hAnsi="宋体" w:eastAsia="宋体" w:cs="Times New Roman"/>
                <w:highlight w:val="none"/>
              </w:rPr>
              <w:t xml:space="preserve">内容包含的要点有缺漏或内容存在错误得2分；</w:t>
            </w:r>
            <w:r/>
          </w:p>
          <w:p>
            <w:pPr>
              <w:ind w:firstLine="440"/>
              <w:spacing w:line="276" w:lineRule="auto"/>
              <w:rPr>
                <w:rFonts w:hint="eastAsia" w:ascii="宋体" w:hAnsi="宋体" w:eastAsia="宋体" w:cs="Times New Roman"/>
                <w:highlight w:val="none"/>
              </w:rPr>
            </w:pPr>
            <w:r>
              <w:rPr>
                <w:rFonts w:hint="eastAsia" w:ascii="宋体" w:hAnsi="宋体" w:eastAsia="宋体" w:cs="Times New Roman"/>
                <w:highlight w:val="none"/>
              </w:rPr>
              <w:t xml:space="preserve">不提供不得分。</w:t>
            </w:r>
            <w:r/>
          </w:p>
        </w:tc>
      </w:tr>
      <w:tr>
        <w:trPr>
          <w:jc w:val="center"/>
          <w:trHeight w:val="1375"/>
          <w:tblHeader/>
        </w:trPr>
        <w:tc>
          <w:tcPr>
            <w:tcBorders>
              <w:left w:val="single" w:color="000000" w:sz="4" w:space="0"/>
              <w:right w:val="single" w:color="000000" w:sz="4" w:space="0"/>
            </w:tcBorders>
            <w:tcW w:w="1217" w:type="dxa"/>
            <w:vAlign w:val="center"/>
            <w:vMerge w:val="continue"/>
            <w:textDirection w:val="lrTb"/>
            <w:noWrap w:val="false"/>
          </w:tcPr>
          <w:p>
            <w:pPr>
              <w:jc w:val="center"/>
              <w:spacing w:line="276" w:lineRule="auto"/>
              <w:rPr>
                <w:rFonts w:ascii="宋体" w:hAnsi="宋体" w:cs="宋体"/>
                <w:color w:val="000000"/>
                <w:highlight w:val="none"/>
              </w:rPr>
            </w:pP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76" w:lineRule="auto"/>
              <w:rPr>
                <w:rFonts w:hint="eastAsia" w:ascii="宋体" w:hAnsi="宋体"/>
                <w:highlight w:val="none"/>
              </w:rPr>
            </w:pPr>
            <w:r>
              <w:rPr>
                <w:rFonts w:hint="eastAsia" w:ascii="宋体" w:hAnsi="宋体"/>
                <w:highlight w:val="none"/>
              </w:rPr>
              <w:t xml:space="preserve">项目重点难点分析</w:t>
            </w:r>
            <w:r/>
          </w:p>
          <w:p>
            <w:pPr>
              <w:jc w:val="center"/>
              <w:spacing w:line="276" w:lineRule="auto"/>
              <w:rPr>
                <w:rFonts w:hint="eastAsia" w:ascii="宋体" w:hAnsi="宋体" w:eastAsia="宋体" w:cs="Times New Roman"/>
                <w:sz w:val="24"/>
                <w:szCs w:val="24"/>
                <w:highlight w:val="none"/>
                <w:lang w:val="zh-CN" w:eastAsia="zh-CN" w:bidi="ar-SA"/>
              </w:rPr>
            </w:pPr>
            <w:r>
              <w:rPr>
                <w:rFonts w:hint="eastAsia" w:ascii="宋体" w:hAnsi="宋体"/>
                <w:highlight w:val="none"/>
              </w:rPr>
              <w:t xml:space="preserve">（</w:t>
            </w:r>
            <w:r>
              <w:rPr>
                <w:rFonts w:hint="eastAsia" w:ascii="宋体" w:hAnsi="宋体"/>
                <w:highlight w:val="none"/>
                <w:lang w:val="en-US" w:eastAsia="zh-CN"/>
              </w:rPr>
              <w:t xml:space="preserve">9</w:t>
            </w:r>
            <w:r>
              <w:rPr>
                <w:rFonts w:hint="eastAsia" w:ascii="宋体" w:hAnsi="宋体"/>
                <w:highlight w:val="none"/>
              </w:rPr>
              <w:t xml:space="preserve">分）</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spacing w:line="276" w:lineRule="auto"/>
              <w:rPr>
                <w:highlight w:val="none"/>
              </w:rPr>
            </w:pPr>
            <w:r>
              <w:rPr>
                <w:rFonts w:hint="eastAsia" w:ascii="宋体" w:hAnsi="宋体" w:eastAsia="宋体" w:cs="宋体"/>
                <w:highlight w:val="none"/>
              </w:rPr>
              <w:t xml:space="preserve">①</w:t>
            </w:r>
            <w:r>
              <w:rPr>
                <w:rFonts w:hint="eastAsia" w:ascii="宋体" w:hAnsi="宋体"/>
                <w:highlight w:val="none"/>
              </w:rPr>
              <w:t xml:space="preserve">项目重点、难点分析；</w:t>
            </w:r>
            <w:r>
              <w:rPr>
                <w:rFonts w:hint="eastAsia" w:ascii="宋体" w:hAnsi="宋体" w:eastAsia="宋体" w:cs="宋体"/>
                <w:highlight w:val="none"/>
              </w:rPr>
              <w:t xml:space="preserve">②</w:t>
            </w:r>
            <w:r>
              <w:rPr>
                <w:rFonts w:hint="eastAsia" w:ascii="宋体" w:hAnsi="宋体"/>
                <w:highlight w:val="none"/>
              </w:rPr>
              <w:t xml:space="preserve">重点、难点问题专门解决方案。</w:t>
            </w:r>
            <w:r/>
          </w:p>
          <w:p>
            <w:pPr>
              <w:ind w:firstLine="440"/>
              <w:spacing w:line="276" w:lineRule="auto"/>
              <w:rPr>
                <w:rFonts w:hint="eastAsia" w:ascii="宋体" w:hAnsi="宋体"/>
                <w:highlight w:val="none"/>
              </w:rPr>
            </w:pPr>
            <w:r>
              <w:rPr>
                <w:rFonts w:hint="eastAsia" w:ascii="宋体" w:hAnsi="宋体"/>
                <w:highlight w:val="none"/>
              </w:rPr>
              <w:t xml:space="preserve">针对以上每点，内容包含的要点齐全无缺漏项、内容与要点相符、内容完善且能够适用于本项目得</w:t>
            </w:r>
            <w:r>
              <w:rPr>
                <w:rFonts w:hint="eastAsia" w:ascii="宋体" w:hAnsi="宋体"/>
                <w:highlight w:val="none"/>
                <w:lang w:val="en-US" w:eastAsia="zh-CN"/>
              </w:rPr>
              <w:t xml:space="preserve">9</w:t>
            </w:r>
            <w:r>
              <w:rPr>
                <w:rFonts w:hint="eastAsia" w:ascii="宋体" w:hAnsi="宋体"/>
                <w:highlight w:val="none"/>
              </w:rPr>
              <w:t xml:space="preserve">分；</w:t>
            </w:r>
            <w:r/>
          </w:p>
          <w:p>
            <w:pPr>
              <w:ind w:firstLine="440"/>
              <w:spacing w:line="276" w:lineRule="auto"/>
              <w:rPr>
                <w:rFonts w:hint="eastAsia" w:ascii="宋体" w:hAnsi="宋体"/>
                <w:highlight w:val="none"/>
              </w:rPr>
            </w:pPr>
            <w:r>
              <w:rPr>
                <w:rFonts w:hint="eastAsia" w:ascii="宋体" w:hAnsi="宋体"/>
                <w:highlight w:val="none"/>
              </w:rPr>
              <w:t xml:space="preserve">内容包含的要点齐全、内容与要点相符，但仅有纲要内容简略，未展开阐述得</w:t>
            </w:r>
            <w:r>
              <w:rPr>
                <w:rFonts w:hint="eastAsia" w:ascii="宋体" w:hAnsi="宋体"/>
                <w:highlight w:val="none"/>
                <w:lang w:val="en-US" w:eastAsia="zh-CN"/>
              </w:rPr>
              <w:t xml:space="preserve">6</w:t>
            </w:r>
            <w:r>
              <w:rPr>
                <w:rFonts w:hint="eastAsia" w:ascii="宋体" w:hAnsi="宋体"/>
                <w:highlight w:val="none"/>
              </w:rPr>
              <w:t xml:space="preserve">分；</w:t>
            </w:r>
            <w:r/>
          </w:p>
          <w:p>
            <w:pPr>
              <w:ind w:firstLine="440"/>
              <w:spacing w:line="276" w:lineRule="auto"/>
              <w:rPr>
                <w:rFonts w:hint="eastAsia" w:ascii="宋体" w:hAnsi="宋体"/>
                <w:highlight w:val="none"/>
              </w:rPr>
            </w:pPr>
            <w:r>
              <w:rPr>
                <w:rFonts w:hint="eastAsia" w:ascii="宋体" w:hAnsi="宋体"/>
                <w:highlight w:val="none"/>
              </w:rPr>
              <w:t xml:space="preserve">内容包含的要点有缺漏或内容存在错误得</w:t>
            </w:r>
            <w:r>
              <w:rPr>
                <w:rFonts w:hint="eastAsia" w:ascii="宋体" w:hAnsi="宋体"/>
                <w:highlight w:val="none"/>
                <w:lang w:val="en-US" w:eastAsia="zh-CN"/>
              </w:rPr>
              <w:t xml:space="preserve">3</w:t>
            </w:r>
            <w:r>
              <w:rPr>
                <w:rFonts w:hint="eastAsia" w:ascii="宋体" w:hAnsi="宋体"/>
                <w:highlight w:val="none"/>
              </w:rPr>
              <w:t xml:space="preserve">分；</w:t>
            </w:r>
            <w:r/>
          </w:p>
          <w:p>
            <w:pPr>
              <w:ind w:firstLine="440"/>
              <w:spacing w:line="276" w:lineRule="auto"/>
              <w:rPr>
                <w:rFonts w:hint="eastAsia" w:ascii="宋体" w:hAnsi="宋体" w:eastAsia="宋体" w:cs="Times New Roman"/>
                <w:sz w:val="24"/>
                <w:szCs w:val="24"/>
                <w:highlight w:val="none"/>
                <w:lang w:val="en-US" w:eastAsia="zh-CN" w:bidi="ar-SA"/>
              </w:rPr>
            </w:pPr>
            <w:r>
              <w:rPr>
                <w:rFonts w:hint="eastAsia" w:ascii="宋体" w:hAnsi="宋体"/>
                <w:highlight w:val="none"/>
              </w:rPr>
              <w:t xml:space="preserve">不提供不得分。</w:t>
            </w:r>
            <w:r/>
          </w:p>
        </w:tc>
      </w:tr>
      <w:tr>
        <w:trPr>
          <w:jc w:val="center"/>
          <w:trHeight w:val="1829"/>
          <w:tblHeader/>
        </w:trPr>
        <w:tc>
          <w:tcPr>
            <w:tcBorders>
              <w:left w:val="single" w:color="000000" w:sz="4" w:space="0"/>
              <w:right w:val="single" w:color="000000" w:sz="4" w:space="0"/>
            </w:tcBorders>
            <w:tcW w:w="1217" w:type="dxa"/>
            <w:vAlign w:val="center"/>
            <w:vMerge w:val="continue"/>
            <w:textDirection w:val="lrTb"/>
            <w:noWrap w:val="false"/>
          </w:tcPr>
          <w:p>
            <w:pPr>
              <w:jc w:val="center"/>
              <w:spacing w:line="276" w:lineRule="auto"/>
              <w:rPr>
                <w:rFonts w:ascii="宋体" w:hAnsi="宋体" w:cs="宋体"/>
                <w:color w:val="000000"/>
                <w:highlight w:val="none"/>
              </w:rPr>
            </w:pP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76"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项目档案资料管理</w:t>
            </w:r>
            <w:r/>
          </w:p>
          <w:p>
            <w:pPr>
              <w:jc w:val="center"/>
              <w:spacing w:line="276" w:lineRule="auto"/>
              <w:rPr>
                <w:rFonts w:hint="eastAsia" w:ascii="宋体" w:hAnsi="宋体" w:eastAsia="宋体" w:cs="Times New Roman"/>
                <w:sz w:val="24"/>
                <w:szCs w:val="24"/>
                <w:highlight w:val="none"/>
                <w:lang w:val="en-US" w:eastAsia="zh-CN" w:bidi="ar-SA"/>
              </w:rPr>
            </w:pPr>
            <w:r>
              <w:rPr>
                <w:rFonts w:hint="eastAsia" w:ascii="宋体" w:hAnsi="宋体" w:eastAsia="宋体" w:cs="宋体"/>
                <w:highlight w:val="none"/>
                <w:lang w:val="zh-CN"/>
              </w:rPr>
              <w:t xml:space="preserve">（</w:t>
            </w:r>
            <w:r>
              <w:rPr>
                <w:rFonts w:hint="eastAsia" w:ascii="宋体" w:hAnsi="宋体" w:eastAsia="宋体" w:cs="宋体"/>
                <w:highlight w:val="none"/>
                <w:lang w:val="en-US" w:eastAsia="zh-CN"/>
              </w:rPr>
              <w:t xml:space="preserve">8</w:t>
            </w:r>
            <w:r>
              <w:rPr>
                <w:rFonts w:hint="eastAsia" w:ascii="宋体" w:hAnsi="宋体" w:eastAsia="宋体" w:cs="宋体"/>
                <w:highlight w:val="none"/>
                <w:lang w:val="zh-CN"/>
              </w:rPr>
              <w:t xml:space="preserve">）</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ind w:firstLine="440"/>
              <w:spacing w:line="276" w:lineRule="auto"/>
              <w:rPr>
                <w:rFonts w:hint="eastAsia" w:ascii="宋体" w:hAnsi="宋体" w:eastAsia="宋体" w:cs="Times New Roman"/>
                <w:highlight w:val="none"/>
              </w:rPr>
            </w:pPr>
            <w:r>
              <w:rPr>
                <w:rFonts w:hint="eastAsia" w:ascii="宋体" w:hAnsi="宋体" w:cs="Times New Roman"/>
                <w:highlight w:val="none"/>
                <w:lang w:val="en-US" w:eastAsia="zh-CN"/>
              </w:rPr>
              <w:t xml:space="preserve">评估</w:t>
            </w:r>
            <w:r>
              <w:rPr>
                <w:rFonts w:hint="eastAsia" w:ascii="宋体" w:hAnsi="宋体" w:eastAsia="宋体" w:cs="Times New Roman"/>
                <w:highlight w:val="none"/>
              </w:rPr>
              <w:t xml:space="preserve">工作成果文件的建立、收集、保存等。</w:t>
            </w:r>
            <w:r/>
          </w:p>
          <w:p>
            <w:pPr>
              <w:ind w:firstLine="440"/>
              <w:spacing w:line="276" w:lineRule="auto"/>
              <w:rPr>
                <w:rFonts w:hint="eastAsia" w:ascii="宋体" w:hAnsi="宋体" w:eastAsia="宋体" w:cs="Times New Roman"/>
                <w:highlight w:val="none"/>
              </w:rPr>
            </w:pPr>
            <w:r>
              <w:rPr>
                <w:rFonts w:hint="eastAsia" w:ascii="宋体" w:hAnsi="宋体" w:eastAsia="宋体" w:cs="Times New Roman"/>
                <w:highlight w:val="none"/>
              </w:rPr>
              <w:t xml:space="preserve">内容包含的要点齐全无缺漏项、内容与要点相符、内容完善且能够适用于本项目得</w:t>
            </w:r>
            <w:r>
              <w:rPr>
                <w:rFonts w:hint="eastAsia" w:ascii="宋体" w:hAnsi="宋体" w:eastAsia="宋体" w:cs="Times New Roman"/>
                <w:highlight w:val="none"/>
                <w:lang w:val="en-US" w:eastAsia="zh-CN"/>
              </w:rPr>
              <w:t xml:space="preserve">8</w:t>
            </w:r>
            <w:r>
              <w:rPr>
                <w:rFonts w:hint="eastAsia" w:ascii="宋体" w:hAnsi="宋体" w:eastAsia="宋体" w:cs="Times New Roman"/>
                <w:highlight w:val="none"/>
              </w:rPr>
              <w:t xml:space="preserve">分；</w:t>
            </w:r>
            <w:r/>
          </w:p>
          <w:p>
            <w:pPr>
              <w:ind w:firstLine="440"/>
              <w:spacing w:line="276" w:lineRule="auto"/>
              <w:rPr>
                <w:rFonts w:hint="eastAsia" w:ascii="宋体" w:hAnsi="宋体" w:eastAsia="宋体" w:cs="Times New Roman"/>
                <w:highlight w:val="none"/>
              </w:rPr>
            </w:pPr>
            <w:r>
              <w:rPr>
                <w:rFonts w:hint="eastAsia" w:ascii="宋体" w:hAnsi="宋体" w:eastAsia="宋体" w:cs="Times New Roman"/>
                <w:highlight w:val="none"/>
              </w:rPr>
              <w:t xml:space="preserve">内容包含的要点齐全、内容与要点相符，但仅有纲要内容简略，未展开阐述得</w:t>
            </w:r>
            <w:r>
              <w:rPr>
                <w:rFonts w:hint="eastAsia" w:ascii="宋体" w:hAnsi="宋体" w:eastAsia="宋体" w:cs="Times New Roman"/>
                <w:highlight w:val="none"/>
                <w:lang w:val="en-US" w:eastAsia="zh-CN"/>
              </w:rPr>
              <w:t xml:space="preserve">5</w:t>
            </w:r>
            <w:r>
              <w:rPr>
                <w:rFonts w:hint="eastAsia" w:ascii="宋体" w:hAnsi="宋体" w:eastAsia="宋体" w:cs="Times New Roman"/>
                <w:highlight w:val="none"/>
              </w:rPr>
              <w:t xml:space="preserve">分；</w:t>
            </w:r>
            <w:r/>
          </w:p>
          <w:p>
            <w:pPr>
              <w:ind w:firstLine="440"/>
              <w:spacing w:line="276" w:lineRule="auto"/>
              <w:rPr>
                <w:rFonts w:hint="eastAsia" w:ascii="宋体" w:hAnsi="宋体" w:eastAsia="宋体" w:cs="Times New Roman"/>
                <w:highlight w:val="none"/>
              </w:rPr>
            </w:pPr>
            <w:r>
              <w:rPr>
                <w:rFonts w:hint="eastAsia" w:ascii="宋体" w:hAnsi="宋体" w:eastAsia="宋体" w:cs="Times New Roman"/>
                <w:highlight w:val="none"/>
              </w:rPr>
              <w:t xml:space="preserve">内容包含的要点有缺漏或内容存在错误得2分；</w:t>
            </w:r>
            <w:r/>
          </w:p>
          <w:p>
            <w:pPr>
              <w:ind w:firstLine="440"/>
              <w:spacing w:line="276" w:lineRule="auto"/>
              <w:rPr>
                <w:rFonts w:hint="eastAsia" w:ascii="宋体" w:hAnsi="宋体" w:eastAsia="宋体" w:cs="Times New Roman"/>
                <w:sz w:val="24"/>
                <w:szCs w:val="24"/>
                <w:highlight w:val="none"/>
                <w:lang w:val="en-US" w:eastAsia="zh-CN" w:bidi="ar-SA"/>
              </w:rPr>
            </w:pPr>
            <w:r>
              <w:rPr>
                <w:rFonts w:hint="eastAsia" w:ascii="宋体" w:hAnsi="宋体" w:eastAsia="宋体" w:cs="Times New Roman"/>
                <w:highlight w:val="none"/>
              </w:rPr>
              <w:t xml:space="preserve">不提供不得分。</w:t>
            </w:r>
            <w:r/>
          </w:p>
        </w:tc>
      </w:tr>
      <w:tr>
        <w:trPr>
          <w:jc w:val="center"/>
          <w:trHeight w:val="90"/>
          <w:tblHeader/>
        </w:trPr>
        <w:tc>
          <w:tcPr>
            <w:tcBorders>
              <w:top w:val="single" w:color="000000" w:sz="4" w:space="0"/>
              <w:left w:val="single" w:color="000000" w:sz="4" w:space="0"/>
              <w:right w:val="single" w:color="000000" w:sz="4" w:space="0"/>
            </w:tcBorders>
            <w:tcW w:w="1217" w:type="dxa"/>
            <w:vAlign w:val="center"/>
            <w:vMerge w:val="restart"/>
            <w:textDirection w:val="lrTb"/>
            <w:noWrap w:val="false"/>
          </w:tcPr>
          <w:p>
            <w:pPr>
              <w:jc w:val="center"/>
              <w:spacing w:line="276" w:lineRule="auto"/>
              <w:rPr>
                <w:rFonts w:ascii="宋体" w:hAnsi="宋体" w:cs="宋体"/>
                <w:highlight w:val="none"/>
              </w:rPr>
            </w:pPr>
            <w:r>
              <w:rPr>
                <w:rFonts w:hint="eastAsia" w:ascii="宋体" w:hAnsi="宋体" w:cs="宋体"/>
                <w:highlight w:val="none"/>
              </w:rPr>
              <w:t xml:space="preserve">商务部分</w:t>
            </w:r>
            <w:r/>
          </w:p>
          <w:p>
            <w:pPr>
              <w:jc w:val="center"/>
              <w:spacing w:line="276" w:lineRule="auto"/>
              <w:rPr>
                <w:rFonts w:ascii="宋体" w:hAnsi="宋体" w:cs="宋体"/>
                <w:highlight w:val="none"/>
              </w:rPr>
            </w:pPr>
            <w:r>
              <w:rPr>
                <w:rFonts w:hint="eastAsia" w:ascii="宋体" w:hAnsi="宋体" w:cs="宋体"/>
                <w:highlight w:val="none"/>
              </w:rPr>
              <w:t xml:space="preserve">（</w:t>
            </w:r>
            <w:r>
              <w:rPr>
                <w:rFonts w:hint="eastAsia" w:ascii="宋体" w:hAnsi="宋体" w:cs="宋体"/>
                <w:highlight w:val="none"/>
                <w:lang w:val="en-US" w:eastAsia="zh-CN"/>
              </w:rPr>
              <w:t xml:space="preserve">35</w:t>
            </w:r>
            <w:r>
              <w:rPr>
                <w:rFonts w:hint="eastAsia" w:ascii="宋体" w:hAnsi="宋体" w:cs="宋体"/>
                <w:highlight w:val="none"/>
              </w:rPr>
              <w:t xml:space="preserve">分）</w:t>
            </w:r>
            <w:r/>
          </w:p>
        </w:tc>
        <w:tc>
          <w:tcPr>
            <w:tcBorders>
              <w:top w:val="single" w:color="000000" w:sz="4" w:space="0"/>
              <w:left w:val="single" w:color="000000" w:sz="4" w:space="0"/>
              <w:right w:val="single" w:color="000000" w:sz="4" w:space="0"/>
            </w:tcBorders>
            <w:tcW w:w="1701" w:type="dxa"/>
            <w:vAlign w:val="center"/>
            <w:textDirection w:val="lrTb"/>
            <w:noWrap w:val="false"/>
          </w:tcPr>
          <w:p>
            <w:pPr>
              <w:jc w:val="center"/>
              <w:spacing w:line="276" w:lineRule="auto"/>
              <w:rPr>
                <w:rFonts w:hint="eastAsia" w:ascii="宋体" w:hAnsi="宋体" w:cs="宋体"/>
                <w:highlight w:val="none"/>
                <w:lang w:bidi="ar"/>
              </w:rPr>
            </w:pPr>
            <w:r>
              <w:rPr>
                <w:rFonts w:hint="eastAsia" w:ascii="宋体" w:hAnsi="宋体" w:cs="宋体"/>
                <w:highlight w:val="none"/>
                <w:lang w:bidi="ar"/>
              </w:rPr>
              <w:t xml:space="preserve">业绩</w:t>
            </w:r>
            <w:r/>
          </w:p>
          <w:p>
            <w:pPr>
              <w:jc w:val="center"/>
              <w:spacing w:line="276" w:lineRule="auto"/>
              <w:rPr>
                <w:rFonts w:hint="eastAsia" w:ascii="宋体" w:hAnsi="宋体" w:cs="仿宋"/>
                <w:highlight w:val="none"/>
              </w:rPr>
            </w:pPr>
            <w:r>
              <w:rPr>
                <w:rFonts w:hint="eastAsia" w:ascii="宋体" w:hAnsi="宋体" w:cs="宋体"/>
                <w:highlight w:val="none"/>
                <w:lang w:bidi="ar"/>
              </w:rPr>
              <w:t xml:space="preserve">（1</w:t>
            </w:r>
            <w:r>
              <w:rPr>
                <w:rFonts w:hint="eastAsia" w:ascii="宋体" w:hAnsi="宋体" w:cs="宋体"/>
                <w:highlight w:val="none"/>
                <w:lang w:val="en-US" w:eastAsia="zh-CN" w:bidi="ar"/>
              </w:rPr>
              <w:t xml:space="preserve">2</w:t>
            </w:r>
            <w:r>
              <w:rPr>
                <w:rFonts w:hint="eastAsia" w:ascii="宋体" w:hAnsi="宋体" w:cs="宋体"/>
                <w:highlight w:val="none"/>
                <w:lang w:bidi="ar"/>
              </w:rPr>
              <w:t xml:space="preserve">分）</w:t>
            </w:r>
            <w:r/>
          </w:p>
        </w:tc>
        <w:tc>
          <w:tcPr>
            <w:tcBorders>
              <w:top w:val="single" w:color="000000" w:sz="4" w:space="0"/>
              <w:left w:val="single" w:color="000000" w:sz="4" w:space="0"/>
              <w:right w:val="single" w:color="000000" w:sz="4" w:space="0"/>
            </w:tcBorders>
            <w:tcW w:w="6659" w:type="dxa"/>
            <w:vAlign w:val="center"/>
            <w:textDirection w:val="lrTb"/>
            <w:noWrap w:val="false"/>
          </w:tcPr>
          <w:p>
            <w:pPr>
              <w:ind w:right="-4" w:firstLine="440"/>
              <w:jc w:val="left"/>
              <w:spacing w:line="276"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cs="仿宋"/>
                <w:highlight w:val="none"/>
              </w:rPr>
            </w:pPr>
            <w:r>
              <w:rPr>
                <w:rFonts w:hint="eastAsia"/>
                <w:highlight w:val="none"/>
                <w:lang w:val="en-US" w:eastAsia="zh-CN"/>
              </w:rPr>
              <w:t xml:space="preserve">自2021年5月1日以来</w:t>
            </w:r>
            <w:r>
              <w:rPr>
                <w:rFonts w:hint="eastAsia"/>
                <w:highlight w:val="none"/>
              </w:rPr>
              <w:t xml:space="preserve">承担过类似</w:t>
            </w:r>
            <w:r>
              <w:rPr>
                <w:rFonts w:hint="eastAsia" w:ascii="宋体" w:hAnsi="宋体"/>
                <w:highlight w:val="none"/>
              </w:rPr>
              <w:t xml:space="preserve">土壤污染风险评估</w:t>
            </w:r>
            <w:r>
              <w:rPr>
                <w:rFonts w:hint="eastAsia"/>
                <w:highlight w:val="none"/>
              </w:rPr>
              <w:t xml:space="preserve">项目</w:t>
            </w:r>
            <w:r>
              <w:rPr>
                <w:rFonts w:hint="eastAsia"/>
                <w:highlight w:val="none"/>
                <w:lang w:val="en-US" w:eastAsia="zh-CN"/>
              </w:rPr>
              <w:t xml:space="preserve">或者土壤污染状况调查项目</w:t>
            </w:r>
            <w:r>
              <w:rPr>
                <w:rFonts w:hint="eastAsia"/>
                <w:highlight w:val="none"/>
              </w:rPr>
              <w:t xml:space="preserve">的，每提供一份合同得</w:t>
            </w:r>
            <w:r>
              <w:rPr>
                <w:rFonts w:hint="eastAsia"/>
                <w:highlight w:val="none"/>
                <w:lang w:val="en-US" w:eastAsia="zh-CN"/>
              </w:rPr>
              <w:t xml:space="preserve">3</w:t>
            </w:r>
            <w:r>
              <w:rPr>
                <w:rFonts w:hint="eastAsia"/>
                <w:highlight w:val="none"/>
              </w:rPr>
              <w:t xml:space="preserve">分，本项最</w:t>
            </w:r>
            <w:r>
              <w:rPr>
                <w:rFonts w:hint="eastAsia" w:ascii="宋体" w:hAnsi="宋体" w:cs="仿宋"/>
                <w:highlight w:val="none"/>
              </w:rPr>
              <w:t xml:space="preserve">高得1</w:t>
            </w:r>
            <w:r>
              <w:rPr>
                <w:rFonts w:hint="eastAsia" w:ascii="宋体" w:hAnsi="宋体" w:cs="仿宋"/>
                <w:highlight w:val="none"/>
                <w:lang w:val="en-US" w:eastAsia="zh-CN"/>
              </w:rPr>
              <w:t xml:space="preserve">2</w:t>
            </w:r>
            <w:r>
              <w:rPr>
                <w:rFonts w:hint="eastAsia" w:ascii="宋体" w:hAnsi="宋体" w:cs="仿宋"/>
                <w:highlight w:val="none"/>
              </w:rPr>
              <w:t xml:space="preserve">分</w:t>
            </w:r>
            <w:r>
              <w:rPr>
                <w:rFonts w:hint="eastAsia" w:ascii="宋体" w:hAnsi="宋体" w:cs="仿宋"/>
                <w:highlight w:val="none"/>
                <w:lang w:eastAsia="zh-CN"/>
              </w:rPr>
              <w:t xml:space="preserve">，</w:t>
            </w:r>
            <w:r>
              <w:rPr>
                <w:rFonts w:hint="eastAsia" w:ascii="宋体" w:hAnsi="宋体" w:cs="仿宋"/>
                <w:highlight w:val="none"/>
                <w:lang w:val="en-US" w:eastAsia="zh-CN"/>
              </w:rPr>
              <w:t xml:space="preserve">时间以合同签订时间为准</w:t>
            </w:r>
            <w:r>
              <w:rPr>
                <w:rFonts w:hint="eastAsia" w:ascii="宋体" w:hAnsi="宋体" w:cs="仿宋"/>
                <w:highlight w:val="none"/>
              </w:rPr>
              <w:t xml:space="preserve">。</w:t>
            </w:r>
            <w:r/>
          </w:p>
        </w:tc>
      </w:tr>
      <w:tr>
        <w:trPr>
          <w:jc w:val="center"/>
          <w:trHeight w:val="927"/>
          <w:tblHeader/>
        </w:trPr>
        <w:tc>
          <w:tcPr>
            <w:tcBorders>
              <w:top w:val="single" w:color="000000" w:sz="4" w:space="0"/>
              <w:left w:val="single" w:color="000000" w:sz="4" w:space="0"/>
              <w:right w:val="single" w:color="000000" w:sz="4" w:space="0"/>
            </w:tcBorders>
            <w:tcW w:w="1217" w:type="dxa"/>
            <w:vAlign w:val="center"/>
            <w:vMerge w:val="continue"/>
            <w:textDirection w:val="lrTb"/>
            <w:noWrap w:val="false"/>
          </w:tcPr>
          <w:p>
            <w:pPr>
              <w:jc w:val="center"/>
              <w:spacing w:line="276" w:lineRule="auto"/>
              <w:rPr>
                <w:rFonts w:hint="eastAsia" w:ascii="宋体" w:hAnsi="宋体" w:cs="宋体"/>
                <w:highlight w:val="none"/>
              </w:rPr>
            </w:pPr>
            <w:r>
              <w:rPr>
                <w:rFonts w:hint="eastAsia" w:ascii="宋体" w:hAnsi="宋体" w:cs="宋体"/>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right="-4" w:firstLine="330"/>
              <w:jc w:val="left"/>
              <w:spacing w:line="276"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cs="仿宋"/>
                <w:highlight w:val="none"/>
              </w:rPr>
            </w:pPr>
            <w:r>
              <w:rPr>
                <w:rFonts w:hint="eastAsia" w:ascii="宋体" w:hAnsi="宋体" w:cs="仿宋"/>
                <w:highlight w:val="none"/>
              </w:rPr>
              <w:t xml:space="preserve">企业资信</w:t>
            </w:r>
            <w:r/>
          </w:p>
          <w:p>
            <w:pPr>
              <w:ind w:right="-4" w:firstLine="330"/>
              <w:jc w:val="left"/>
              <w:spacing w:line="276"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cs="仿宋"/>
                <w:highlight w:val="none"/>
              </w:rPr>
            </w:pPr>
            <w:r>
              <w:rPr>
                <w:rFonts w:hint="eastAsia" w:ascii="宋体" w:hAnsi="宋体" w:cs="仿宋"/>
                <w:highlight w:val="none"/>
              </w:rPr>
              <w:t xml:space="preserve">（</w:t>
            </w:r>
            <w:r>
              <w:rPr>
                <w:rFonts w:hint="eastAsia" w:ascii="宋体" w:hAnsi="宋体" w:cs="仿宋"/>
                <w:highlight w:val="none"/>
                <w:lang w:val="en-US" w:eastAsia="zh-CN"/>
              </w:rPr>
              <w:t xml:space="preserve">3</w:t>
            </w:r>
            <w:r>
              <w:rPr>
                <w:rFonts w:hint="eastAsia" w:ascii="宋体" w:hAnsi="宋体" w:cs="仿宋"/>
                <w:highlight w:val="none"/>
              </w:rPr>
              <w:t xml:space="preserve">分）</w:t>
            </w:r>
            <w:r/>
          </w:p>
        </w:tc>
        <w:tc>
          <w:tcPr>
            <w:tcBorders>
              <w:top w:val="single" w:color="000000" w:sz="4" w:space="0"/>
              <w:left w:val="single" w:color="000000" w:sz="4" w:space="0"/>
              <w:right w:val="single" w:color="000000" w:sz="4" w:space="0"/>
            </w:tcBorders>
            <w:tcW w:w="6659" w:type="dxa"/>
            <w:vAlign w:val="center"/>
            <w:textDirection w:val="lrTb"/>
            <w:noWrap w:val="false"/>
          </w:tcPr>
          <w:p>
            <w:pPr>
              <w:ind w:firstLine="440"/>
              <w:spacing w:line="276" w:lineRule="auto"/>
              <w:rPr>
                <w:rFonts w:hint="eastAsia" w:ascii="宋体" w:hAnsi="宋体"/>
                <w:highlight w:val="none"/>
              </w:rPr>
            </w:pPr>
            <w:r>
              <w:rPr>
                <w:rFonts w:hint="eastAsia" w:ascii="宋体" w:hAnsi="宋体"/>
                <w:highlight w:val="none"/>
              </w:rPr>
              <w:t xml:space="preserve">供应商具有中国环境服务认证证书（服务项目包括环境咨询）的得</w:t>
            </w:r>
            <w:r>
              <w:rPr>
                <w:rFonts w:hint="eastAsia" w:ascii="宋体" w:hAnsi="宋体"/>
                <w:highlight w:val="none"/>
                <w:lang w:val="en-US" w:eastAsia="zh-CN"/>
              </w:rPr>
              <w:t xml:space="preserve">3</w:t>
            </w:r>
            <w:r>
              <w:rPr>
                <w:rFonts w:hint="eastAsia" w:ascii="宋体" w:hAnsi="宋体"/>
                <w:highlight w:val="none"/>
              </w:rPr>
              <w:t xml:space="preserve">分；</w:t>
            </w:r>
            <w:r/>
          </w:p>
          <w:p>
            <w:pPr>
              <w:ind w:firstLine="440"/>
              <w:spacing w:line="276" w:lineRule="auto"/>
              <w:rPr>
                <w:rFonts w:ascii="宋体" w:hAnsi="宋体"/>
                <w:highlight w:val="none"/>
              </w:rPr>
            </w:pPr>
            <w:r>
              <w:rPr>
                <w:rFonts w:hint="eastAsia" w:ascii="宋体" w:hAnsi="宋体"/>
                <w:highlight w:val="none"/>
              </w:rPr>
              <w:t xml:space="preserve">注：提供相关证书或证明等复印件并加盖公章，否则不得分。</w:t>
            </w:r>
            <w:r/>
          </w:p>
        </w:tc>
      </w:tr>
      <w:tr>
        <w:trPr>
          <w:jc w:val="center"/>
          <w:trHeight w:val="927"/>
          <w:tblHeader/>
        </w:trPr>
        <w:tc>
          <w:tcPr>
            <w:tcBorders>
              <w:top w:val="single" w:color="000000" w:sz="4" w:space="0"/>
              <w:left w:val="single" w:color="000000" w:sz="4" w:space="0"/>
              <w:right w:val="single" w:color="000000" w:sz="4" w:space="0"/>
            </w:tcBorders>
            <w:tcW w:w="1217" w:type="dxa"/>
            <w:vAlign w:val="center"/>
            <w:vMerge w:val="continue"/>
            <w:textDirection w:val="lrTb"/>
            <w:noWrap w:val="false"/>
          </w:tcPr>
          <w:p>
            <w:pPr>
              <w:jc w:val="center"/>
              <w:spacing w:line="276" w:lineRule="auto"/>
              <w:rPr>
                <w:rFonts w:hint="eastAsia" w:ascii="宋体" w:hAnsi="宋体" w:cs="宋体"/>
                <w:highlight w:val="none"/>
              </w:rPr>
            </w:pPr>
            <w:r>
              <w:rPr>
                <w:rFonts w:hint="eastAsia" w:ascii="宋体" w:hAnsi="宋体" w:cs="宋体"/>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76" w:lineRule="auto"/>
              <w:rPr>
                <w:rFonts w:hint="eastAsia" w:ascii="宋体" w:hAnsi="宋体" w:cs="宋体"/>
                <w:highlight w:val="none"/>
                <w:lang w:bidi="ar"/>
              </w:rPr>
            </w:pPr>
            <w:r>
              <w:rPr>
                <w:rFonts w:hint="eastAsia" w:ascii="宋体" w:hAnsi="宋体" w:cs="宋体"/>
                <w:highlight w:val="none"/>
                <w:lang w:bidi="ar"/>
              </w:rPr>
              <w:t xml:space="preserve">仪器设备</w:t>
            </w:r>
            <w:r/>
          </w:p>
          <w:p>
            <w:pPr>
              <w:jc w:val="center"/>
              <w:spacing w:line="276" w:lineRule="auto"/>
              <w:rPr>
                <w:rFonts w:hint="eastAsia" w:ascii="宋体" w:hAnsi="宋体" w:cs="宋体"/>
                <w:highlight w:val="none"/>
                <w:lang w:bidi="ar"/>
              </w:rPr>
            </w:pPr>
            <w:r>
              <w:rPr>
                <w:rFonts w:hint="eastAsia" w:ascii="宋体" w:hAnsi="宋体" w:cs="宋体"/>
                <w:highlight w:val="none"/>
                <w:lang w:bidi="ar"/>
              </w:rPr>
              <w:t xml:space="preserve">（</w:t>
            </w:r>
            <w:r>
              <w:rPr>
                <w:rFonts w:hint="eastAsia" w:ascii="宋体" w:hAnsi="宋体" w:cs="宋体"/>
                <w:highlight w:val="none"/>
                <w:lang w:val="en-US" w:eastAsia="zh-CN" w:bidi="ar"/>
              </w:rPr>
              <w:t xml:space="preserve">9</w:t>
            </w:r>
            <w:r>
              <w:rPr>
                <w:rFonts w:hint="eastAsia" w:ascii="宋体" w:hAnsi="宋体" w:cs="宋体"/>
                <w:highlight w:val="none"/>
                <w:lang w:bidi="ar"/>
              </w:rPr>
              <w:t xml:space="preserve">分）</w:t>
            </w:r>
            <w:r/>
          </w:p>
        </w:tc>
        <w:tc>
          <w:tcPr>
            <w:tcBorders>
              <w:top w:val="single" w:color="000000" w:sz="4" w:space="0"/>
              <w:left w:val="single" w:color="000000" w:sz="4" w:space="0"/>
              <w:right w:val="single" w:color="000000" w:sz="4" w:space="0"/>
            </w:tcBorders>
            <w:tcW w:w="6659" w:type="dxa"/>
            <w:vAlign w:val="center"/>
            <w:textDirection w:val="lrTb"/>
            <w:noWrap w:val="false"/>
          </w:tcPr>
          <w:p>
            <w:pPr>
              <w:ind w:right="-4" w:firstLine="440"/>
              <w:jc w:val="left"/>
              <w:spacing w:line="276"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highlight w:val="none"/>
              </w:rPr>
            </w:pPr>
            <w:r>
              <w:rPr>
                <w:rFonts w:hint="eastAsia" w:ascii="宋体" w:hAnsi="宋体"/>
                <w:highlight w:val="none"/>
              </w:rPr>
              <w:t xml:space="preserve">供应商</w:t>
            </w:r>
            <w:r>
              <w:rPr>
                <w:rFonts w:hint="eastAsia"/>
                <w:highlight w:val="none"/>
                <w:lang w:val="en-US" w:eastAsia="zh-CN"/>
              </w:rPr>
              <w:t xml:space="preserve">具有</w:t>
            </w:r>
            <w:r>
              <w:rPr>
                <w:rFonts w:hint="eastAsia"/>
                <w:highlight w:val="none"/>
              </w:rPr>
              <w:t xml:space="preserve">手持式X荧光光谱仪(XRF)的得</w:t>
            </w:r>
            <w:r>
              <w:rPr>
                <w:rFonts w:hint="eastAsia"/>
                <w:highlight w:val="none"/>
                <w:lang w:val="en-US" w:eastAsia="zh-CN"/>
              </w:rPr>
              <w:t xml:space="preserve">3</w:t>
            </w:r>
            <w:r>
              <w:rPr>
                <w:rFonts w:hint="eastAsia"/>
                <w:highlight w:val="none"/>
              </w:rPr>
              <w:t xml:space="preserve">分；</w:t>
            </w:r>
            <w:r/>
          </w:p>
          <w:p>
            <w:pPr>
              <w:ind w:right="-4" w:firstLine="440"/>
              <w:jc w:val="left"/>
              <w:spacing w:line="276"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highlight w:val="none"/>
              </w:rPr>
            </w:pPr>
            <w:r>
              <w:rPr>
                <w:rFonts w:hint="eastAsia"/>
                <w:highlight w:val="none"/>
                <w:lang w:val="en-US" w:eastAsia="zh-CN"/>
              </w:rPr>
              <w:t xml:space="preserve">具有</w:t>
            </w:r>
            <w:r>
              <w:rPr>
                <w:rFonts w:hint="eastAsia"/>
                <w:highlight w:val="none"/>
              </w:rPr>
              <w:t xml:space="preserve">VOC检测仪（PID）的得</w:t>
            </w:r>
            <w:r>
              <w:rPr>
                <w:rFonts w:hint="eastAsia"/>
                <w:highlight w:val="none"/>
                <w:lang w:val="en-US" w:eastAsia="zh-CN"/>
              </w:rPr>
              <w:t xml:space="preserve">3</w:t>
            </w:r>
            <w:r>
              <w:rPr>
                <w:rFonts w:hint="eastAsia"/>
                <w:highlight w:val="none"/>
              </w:rPr>
              <w:t xml:space="preserve">分；</w:t>
            </w:r>
            <w:r/>
          </w:p>
          <w:p>
            <w:pPr>
              <w:ind w:right="-4" w:firstLine="440"/>
              <w:jc w:val="left"/>
              <w:spacing w:line="276"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highlight w:val="none"/>
              </w:rPr>
            </w:pPr>
            <w:r>
              <w:rPr>
                <w:rFonts w:hint="eastAsia"/>
                <w:highlight w:val="none"/>
                <w:lang w:val="en-US" w:eastAsia="zh-CN"/>
              </w:rPr>
              <w:t xml:space="preserve">具有</w:t>
            </w:r>
            <w:r>
              <w:rPr>
                <w:rFonts w:hint="eastAsia"/>
                <w:highlight w:val="none"/>
              </w:rPr>
              <w:t xml:space="preserve">无人机设备的得</w:t>
            </w:r>
            <w:r>
              <w:rPr>
                <w:rFonts w:hint="eastAsia"/>
                <w:highlight w:val="none"/>
                <w:lang w:val="en-US" w:eastAsia="zh-CN"/>
              </w:rPr>
              <w:t xml:space="preserve">3</w:t>
            </w:r>
            <w:r>
              <w:rPr>
                <w:rFonts w:hint="eastAsia"/>
                <w:highlight w:val="none"/>
              </w:rPr>
              <w:t xml:space="preserve">分；</w:t>
            </w:r>
            <w:r/>
          </w:p>
          <w:p>
            <w:pPr>
              <w:ind w:right="-4" w:firstLine="440"/>
              <w:jc w:val="left"/>
              <w:spacing w:line="276"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highlight w:val="none"/>
              </w:rPr>
            </w:pPr>
            <w:r>
              <w:rPr>
                <w:rFonts w:hint="eastAsia"/>
                <w:highlight w:val="none"/>
              </w:rPr>
              <w:t xml:space="preserve">本项最高得</w:t>
            </w:r>
            <w:r>
              <w:rPr>
                <w:rFonts w:hint="eastAsia"/>
                <w:highlight w:val="none"/>
                <w:lang w:val="en-US" w:eastAsia="zh-CN"/>
              </w:rPr>
              <w:t xml:space="preserve">9</w:t>
            </w:r>
            <w:r>
              <w:rPr>
                <w:rFonts w:hint="eastAsia"/>
                <w:highlight w:val="none"/>
              </w:rPr>
              <w:t xml:space="preserve">分。</w:t>
            </w:r>
            <w:r/>
          </w:p>
          <w:p>
            <w:pPr>
              <w:ind w:right="-4" w:firstLine="440"/>
              <w:jc w:val="left"/>
              <w:spacing w:line="276"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highlight w:val="none"/>
              </w:rPr>
            </w:pPr>
            <w:r>
              <w:rPr>
                <w:rFonts w:hint="eastAsia"/>
                <w:highlight w:val="none"/>
              </w:rPr>
              <w:t xml:space="preserve">注：设备为</w:t>
            </w:r>
            <w:r>
              <w:rPr>
                <w:rFonts w:hint="eastAsia" w:ascii="宋体" w:hAnsi="宋体"/>
                <w:highlight w:val="none"/>
              </w:rPr>
              <w:t xml:space="preserve">供应商</w:t>
            </w:r>
            <w:r>
              <w:rPr>
                <w:rFonts w:hint="eastAsia"/>
                <w:highlight w:val="none"/>
              </w:rPr>
              <w:t xml:space="preserve">自有</w:t>
            </w:r>
            <w:r>
              <w:rPr>
                <w:rFonts w:hint="eastAsia"/>
                <w:highlight w:val="none"/>
                <w:lang w:val="en-US" w:eastAsia="zh-CN"/>
              </w:rPr>
              <w:t xml:space="preserve">或者租赁</w:t>
            </w:r>
            <w:r>
              <w:rPr>
                <w:rFonts w:hint="eastAsia"/>
                <w:highlight w:val="none"/>
              </w:rPr>
              <w:t xml:space="preserve">，</w:t>
            </w:r>
            <w:r>
              <w:rPr>
                <w:rFonts w:hint="eastAsia"/>
                <w:highlight w:val="none"/>
                <w:lang w:val="en-US" w:eastAsia="zh-CN"/>
              </w:rPr>
              <w:t xml:space="preserve">自有</w:t>
            </w:r>
            <w:r>
              <w:rPr>
                <w:rFonts w:hint="eastAsia"/>
                <w:highlight w:val="none"/>
              </w:rPr>
              <w:t xml:space="preserve">需提供设备购买发票扫描件加盖公章，</w:t>
            </w:r>
            <w:r>
              <w:rPr>
                <w:rFonts w:hint="eastAsia"/>
                <w:highlight w:val="none"/>
                <w:lang w:val="en-US" w:eastAsia="zh-CN"/>
              </w:rPr>
              <w:t xml:space="preserve">租赁需要提供租赁合同</w:t>
            </w:r>
            <w:r>
              <w:rPr>
                <w:rFonts w:hint="eastAsia"/>
                <w:highlight w:val="none"/>
                <w:lang w:eastAsia="zh-CN"/>
              </w:rPr>
              <w:t xml:space="preserve">，</w:t>
            </w:r>
            <w:r>
              <w:rPr>
                <w:rFonts w:hint="eastAsia"/>
                <w:highlight w:val="none"/>
              </w:rPr>
              <w:t xml:space="preserve">否则不得分。</w:t>
            </w:r>
            <w:r/>
          </w:p>
        </w:tc>
      </w:tr>
      <w:tr>
        <w:trPr>
          <w:jc w:val="center"/>
          <w:trHeight w:val="1479"/>
          <w:tblHeader/>
        </w:trPr>
        <w:tc>
          <w:tcPr>
            <w:tcBorders>
              <w:left w:val="single" w:color="000000" w:sz="4" w:space="0"/>
              <w:right w:val="single" w:color="000000" w:sz="4" w:space="0"/>
            </w:tcBorders>
            <w:tcW w:w="1217" w:type="dxa"/>
            <w:vAlign w:val="center"/>
            <w:vMerge w:val="continue"/>
            <w:textDirection w:val="lrTb"/>
            <w:noWrap w:val="false"/>
          </w:tcPr>
          <w:p>
            <w:pPr>
              <w:jc w:val="center"/>
              <w:spacing w:line="276" w:lineRule="auto"/>
              <w:rPr>
                <w:rFonts w:hint="eastAsia" w:ascii="宋体" w:hAnsi="宋体" w:cs="宋体"/>
                <w:highlight w:val="none"/>
              </w:rPr>
            </w:pPr>
            <w:r>
              <w:rPr>
                <w:rFonts w:hint="eastAsia" w:ascii="宋体" w:hAnsi="宋体" w:cs="宋体"/>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highlight w:val="none"/>
              </w:rPr>
            </w:pPr>
            <w:r>
              <w:rPr>
                <w:rFonts w:hint="eastAsia" w:ascii="宋体" w:hAnsi="宋体"/>
                <w:highlight w:val="none"/>
              </w:rPr>
              <w:t xml:space="preserve">项目负责人</w:t>
            </w:r>
            <w:r/>
          </w:p>
          <w:p>
            <w:pPr>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highlight w:val="none"/>
              </w:rPr>
            </w:pPr>
            <w:r>
              <w:rPr>
                <w:rFonts w:hint="eastAsia" w:ascii="宋体" w:hAnsi="宋体"/>
                <w:highlight w:val="none"/>
              </w:rPr>
              <w:t xml:space="preserve">（</w:t>
            </w:r>
            <w:r>
              <w:rPr>
                <w:rFonts w:hint="eastAsia" w:ascii="宋体" w:hAnsi="宋体" w:eastAsia="宋体"/>
                <w:highlight w:val="none"/>
                <w:lang w:val="en-US" w:eastAsia="zh-CN"/>
              </w:rPr>
              <w:t xml:space="preserve">3</w:t>
            </w:r>
            <w:r>
              <w:rPr>
                <w:rFonts w:hint="eastAsia" w:ascii="宋体" w:hAnsi="宋体"/>
                <w:highlight w:val="none"/>
              </w:rPr>
              <w:t xml:space="preserve">分）</w:t>
            </w:r>
            <w:r/>
          </w:p>
        </w:tc>
        <w:tc>
          <w:tcPr>
            <w:tcBorders>
              <w:top w:val="single" w:color="000000" w:sz="4" w:space="0"/>
              <w:left w:val="single" w:color="000000" w:sz="4" w:space="0"/>
              <w:right w:val="single" w:color="000000" w:sz="4" w:space="0"/>
            </w:tcBorders>
            <w:tcW w:w="6659" w:type="dxa"/>
            <w:vAlign w:val="center"/>
            <w:textDirection w:val="lrTb"/>
            <w:noWrap w:val="false"/>
          </w:tcPr>
          <w:p>
            <w:pPr>
              <w:jc w:val="left"/>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highlight w:val="none"/>
                <w:lang w:val="zh-CN"/>
              </w:rPr>
            </w:pPr>
            <w:r>
              <w:rPr>
                <w:rFonts w:hint="eastAsia" w:ascii="宋体" w:hAnsi="宋体"/>
                <w:highlight w:val="none"/>
                <w:lang w:val="zh-CN"/>
              </w:rPr>
              <w:t xml:space="preserve">项目负责人具有</w:t>
            </w:r>
            <w:r>
              <w:rPr>
                <w:rFonts w:hint="eastAsia" w:ascii="宋体" w:hAnsi="宋体" w:eastAsia="宋体"/>
                <w:highlight w:val="none"/>
                <w:lang w:val="en-US" w:eastAsia="zh-CN"/>
              </w:rPr>
              <w:t xml:space="preserve">注册</w:t>
            </w:r>
            <w:r>
              <w:rPr>
                <w:rFonts w:hint="eastAsia" w:ascii="宋体" w:hAnsi="宋体"/>
                <w:highlight w:val="none"/>
                <w:lang w:val="zh-CN"/>
              </w:rPr>
              <w:t xml:space="preserve">环</w:t>
            </w:r>
            <w:r>
              <w:rPr>
                <w:rFonts w:hint="eastAsia" w:ascii="宋体" w:hAnsi="宋体"/>
                <w:highlight w:val="none"/>
                <w:lang w:val="en-US" w:eastAsia="zh-CN"/>
              </w:rPr>
              <w:t xml:space="preserve">评</w:t>
            </w:r>
            <w:r>
              <w:rPr>
                <w:rFonts w:hint="eastAsia" w:ascii="宋体" w:hAnsi="宋体"/>
                <w:highlight w:val="none"/>
                <w:lang w:val="zh-CN"/>
              </w:rPr>
              <w:t xml:space="preserve">工程师证书的得</w:t>
            </w:r>
            <w:r>
              <w:rPr>
                <w:rFonts w:hint="eastAsia" w:ascii="宋体" w:hAnsi="宋体"/>
                <w:highlight w:val="none"/>
                <w:lang w:val="en-US" w:eastAsia="zh-CN"/>
              </w:rPr>
              <w:t xml:space="preserve">3</w:t>
            </w:r>
            <w:r>
              <w:rPr>
                <w:rFonts w:hint="eastAsia" w:ascii="宋体" w:hAnsi="宋体"/>
                <w:highlight w:val="none"/>
                <w:lang w:val="zh-CN"/>
              </w:rPr>
              <w:t xml:space="preserve">分。</w:t>
            </w:r>
            <w:r/>
          </w:p>
          <w:p>
            <w:pPr>
              <w:jc w:val="left"/>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highlight w:val="none"/>
                <w:lang w:val="en-US" w:eastAsia="zh-CN"/>
              </w:rPr>
            </w:pPr>
            <w:r>
              <w:rPr>
                <w:rFonts w:hint="eastAsia" w:ascii="宋体" w:hAnsi="宋体"/>
                <w:highlight w:val="none"/>
              </w:rPr>
              <w:t xml:space="preserve">注：</w:t>
            </w:r>
            <w:r>
              <w:rPr>
                <w:rFonts w:hint="eastAsia" w:ascii="宋体" w:hAnsi="宋体"/>
                <w:highlight w:val="none"/>
                <w:lang w:val="en-US" w:eastAsia="zh-CN"/>
              </w:rPr>
              <w:t xml:space="preserve">须提供人员有效身份证正反面加盖公章，本单位注册证书加盖公章，</w:t>
            </w:r>
            <w:r>
              <w:rPr>
                <w:rFonts w:hint="eastAsia" w:ascii="宋体" w:hAnsi="宋体"/>
                <w:highlight w:val="none"/>
              </w:rPr>
              <w:t xml:space="preserve">由法定的社保收缴部门出具的近三个月（2026年</w:t>
            </w:r>
            <w:r>
              <w:rPr>
                <w:rFonts w:hint="eastAsia" w:ascii="宋体" w:hAnsi="宋体"/>
                <w:highlight w:val="none"/>
                <w:lang w:val="en-US" w:eastAsia="zh-CN"/>
              </w:rPr>
              <w:t xml:space="preserve">2</w:t>
            </w:r>
            <w:r>
              <w:rPr>
                <w:rFonts w:hint="eastAsia" w:ascii="宋体" w:hAnsi="宋体"/>
                <w:highlight w:val="none"/>
              </w:rPr>
              <w:t xml:space="preserve">月-2026年4月）的投标人为其依法缴纳社保证明</w:t>
            </w:r>
            <w:r>
              <w:rPr>
                <w:rFonts w:hint="eastAsia" w:ascii="宋体" w:hAnsi="宋体"/>
                <w:highlight w:val="none"/>
                <w:lang w:val="en-US" w:eastAsia="zh-CN"/>
              </w:rPr>
              <w:t xml:space="preserve">加盖公章</w:t>
            </w:r>
            <w:r>
              <w:rPr>
                <w:rFonts w:hint="eastAsia" w:ascii="宋体" w:hAnsi="宋体"/>
                <w:highlight w:val="none"/>
                <w:lang w:eastAsia="zh-CN"/>
              </w:rPr>
              <w:t xml:space="preserve">。</w:t>
            </w:r>
            <w:r/>
          </w:p>
        </w:tc>
      </w:tr>
      <w:tr>
        <w:trPr>
          <w:jc w:val="center"/>
          <w:trHeight w:val="1246"/>
          <w:tblHeader/>
        </w:trPr>
        <w:tc>
          <w:tcPr>
            <w:tcBorders>
              <w:left w:val="single" w:color="000000" w:sz="4" w:space="0"/>
              <w:right w:val="single" w:color="000000" w:sz="4" w:space="0"/>
            </w:tcBorders>
            <w:tcW w:w="1217" w:type="dxa"/>
            <w:vAlign w:val="center"/>
            <w:vMerge w:val="continue"/>
            <w:textDirection w:val="lrTb"/>
            <w:noWrap w:val="false"/>
          </w:tcPr>
          <w:p>
            <w:pPr>
              <w:jc w:val="center"/>
              <w:spacing w:line="276" w:lineRule="auto"/>
              <w:rPr>
                <w:rFonts w:hint="eastAsia" w:ascii="宋体" w:hAnsi="宋体" w:cs="宋体"/>
                <w:color w:val="000000"/>
                <w:highlight w:val="none"/>
              </w:rPr>
            </w:pP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highlight w:val="none"/>
              </w:rPr>
            </w:pPr>
            <w:r/>
            <w:bookmarkStart w:id="135" w:name="OLE_LINK1"/>
            <w:r>
              <w:rPr>
                <w:rFonts w:hint="eastAsia" w:ascii="宋体" w:hAnsi="宋体"/>
                <w:highlight w:val="none"/>
              </w:rPr>
              <w:t xml:space="preserve">项目组成员</w:t>
            </w:r>
            <w:r/>
          </w:p>
          <w:p>
            <w:pPr>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highlight w:val="none"/>
              </w:rPr>
            </w:pPr>
            <w:r>
              <w:rPr>
                <w:rFonts w:hint="eastAsia" w:ascii="宋体" w:hAnsi="宋体"/>
                <w:highlight w:val="none"/>
              </w:rPr>
              <w:t xml:space="preserve">（</w:t>
            </w:r>
            <w:r>
              <w:rPr>
                <w:rFonts w:hint="eastAsia" w:ascii="宋体" w:hAnsi="宋体"/>
                <w:highlight w:val="none"/>
                <w:lang w:val="en-US" w:eastAsia="zh-CN"/>
              </w:rPr>
              <w:t xml:space="preserve">8</w:t>
            </w:r>
            <w:r>
              <w:rPr>
                <w:rFonts w:hint="eastAsia" w:ascii="宋体" w:hAnsi="宋体"/>
                <w:highlight w:val="none"/>
              </w:rPr>
              <w:t xml:space="preserve">分）</w:t>
            </w:r>
            <w:bookmarkEnd w:id="135"/>
            <w:r/>
            <w:r/>
          </w:p>
        </w:tc>
        <w:tc>
          <w:tcPr>
            <w:tcBorders>
              <w:top w:val="single" w:color="000000" w:sz="4" w:space="0"/>
              <w:left w:val="single" w:color="000000" w:sz="4" w:space="0"/>
              <w:right w:val="single" w:color="000000" w:sz="4" w:space="0"/>
            </w:tcBorders>
            <w:tcW w:w="6659" w:type="dxa"/>
            <w:vAlign w:val="center"/>
            <w:textDirection w:val="lrTb"/>
            <w:noWrap w:val="false"/>
          </w:tcPr>
          <w:p>
            <w:pPr>
              <w:jc w:val="left"/>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highlight w:val="none"/>
                <w:lang w:val="en-US" w:eastAsia="zh-CN"/>
              </w:rPr>
            </w:pPr>
            <w:r/>
            <w:bookmarkStart w:id="136" w:name="OLE_LINK2"/>
            <w:r>
              <w:rPr>
                <w:rFonts w:hint="eastAsia" w:ascii="宋体" w:hAnsi="宋体"/>
                <w:highlight w:val="none"/>
              </w:rPr>
              <w:t xml:space="preserve">1</w:t>
            </w:r>
            <w:r>
              <w:rPr>
                <w:rFonts w:hint="eastAsia" w:ascii="宋体" w:hAnsi="宋体"/>
                <w:highlight w:val="none"/>
                <w:lang w:val="en-US" w:eastAsia="zh-CN"/>
              </w:rPr>
              <w:t xml:space="preserve">、在满足</w:t>
            </w:r>
            <w:r>
              <w:rPr>
                <w:rFonts w:hint="eastAsia" w:ascii="宋体" w:hAnsi="宋体"/>
                <w:highlight w:val="none"/>
                <w:lang w:val="zh-CN" w:eastAsia="zh-CN"/>
              </w:rPr>
              <w:t xml:space="preserve">第四章 采购</w:t>
            </w:r>
            <w:r>
              <w:rPr>
                <w:rFonts w:hint="eastAsia" w:ascii="宋体" w:hAnsi="宋体"/>
                <w:highlight w:val="none"/>
                <w:lang w:val="en-US" w:eastAsia="zh-CN"/>
              </w:rPr>
              <w:t xml:space="preserve">项目</w:t>
            </w:r>
            <w:r>
              <w:rPr>
                <w:rFonts w:hint="eastAsia" w:ascii="宋体" w:hAnsi="宋体"/>
                <w:highlight w:val="none"/>
                <w:lang w:val="zh-CN" w:eastAsia="zh-CN"/>
              </w:rPr>
              <w:t xml:space="preserve">需求</w:t>
            </w:r>
            <w:r>
              <w:rPr>
                <w:rFonts w:hint="eastAsia" w:ascii="宋体" w:hAnsi="宋体"/>
                <w:highlight w:val="none"/>
                <w:lang w:val="en-US" w:eastAsia="zh-CN"/>
              </w:rPr>
              <w:t xml:space="preserve">5、项目组人员要求的基础上，每增加一名</w:t>
            </w:r>
            <w:r>
              <w:rPr>
                <w:rFonts w:hint="eastAsia" w:ascii="宋体" w:hAnsi="宋体"/>
                <w:highlight w:val="none"/>
                <w:lang w:val="zh-CN" w:eastAsia="zh-CN"/>
              </w:rPr>
              <w:t xml:space="preserve">环境保护类</w:t>
            </w:r>
            <w:r>
              <w:rPr>
                <w:rFonts w:hint="eastAsia" w:ascii="宋体" w:hAnsi="宋体"/>
                <w:highlight w:val="none"/>
                <w:lang w:val="en-US" w:eastAsia="zh-CN"/>
              </w:rPr>
              <w:t xml:space="preserve">工程师及以上人员得2分/人，满分8分。</w:t>
            </w:r>
            <w:r/>
          </w:p>
          <w:p>
            <w:pPr>
              <w:jc w:val="left"/>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highlight w:val="none"/>
                <w:lang w:eastAsia="zh-CN"/>
              </w:rPr>
            </w:pPr>
            <w:r>
              <w:rPr>
                <w:rFonts w:hint="eastAsia" w:ascii="宋体" w:hAnsi="宋体"/>
                <w:highlight w:val="none"/>
              </w:rPr>
              <w:t xml:space="preserve">注：</w:t>
            </w:r>
            <w:bookmarkEnd w:id="136"/>
            <w:r>
              <w:rPr>
                <w:rFonts w:hint="eastAsia" w:ascii="宋体" w:hAnsi="宋体"/>
                <w:highlight w:val="none"/>
                <w:lang w:val="en-US" w:eastAsia="zh-CN"/>
              </w:rPr>
              <w:t xml:space="preserve">须提供人员有效身份证正反面加盖公章，职称证书加盖公章，由法定的社保收缴部门出具的近三个月（2026年2月-2026年4月）的投标人为其依法缴纳社保证明加盖公章。</w:t>
            </w:r>
            <w:r/>
          </w:p>
        </w:tc>
      </w:tr>
      <w:tr>
        <w:trPr>
          <w:jc w:val="center"/>
          <w:trHeight w:val="562"/>
          <w:tblHeader/>
        </w:trPr>
        <w:tc>
          <w:tcPr>
            <w:gridSpan w:val="2"/>
            <w:tcW w:w="2918" w:type="dxa"/>
            <w:vAlign w:val="center"/>
            <w:textDirection w:val="lrTb"/>
            <w:noWrap w:val="false"/>
          </w:tcPr>
          <w:p>
            <w:pPr>
              <w:ind w:firstLine="440"/>
              <w:jc w:val="center"/>
              <w:spacing w:line="276" w:lineRule="auto"/>
              <w:rPr>
                <w:rFonts w:ascii="宋体" w:hAnsi="宋体" w:cs="宋体"/>
                <w:color w:val="000000"/>
                <w:highlight w:val="none"/>
              </w:rPr>
            </w:pPr>
            <w:r>
              <w:rPr>
                <w:rFonts w:hint="eastAsia" w:ascii="宋体" w:hAnsi="宋体" w:cs="宋体"/>
                <w:color w:val="000000"/>
                <w:highlight w:val="none"/>
              </w:rPr>
              <w:t xml:space="preserve">总分</w:t>
            </w:r>
            <w:r/>
          </w:p>
        </w:tc>
        <w:tc>
          <w:tcPr>
            <w:tcW w:w="6659" w:type="dxa"/>
            <w:vAlign w:val="center"/>
            <w:textDirection w:val="lrTb"/>
            <w:noWrap w:val="false"/>
          </w:tcPr>
          <w:p>
            <w:pPr>
              <w:ind w:firstLine="440"/>
              <w:jc w:val="center"/>
              <w:spacing w:line="276" w:lineRule="auto"/>
              <w:rPr>
                <w:rFonts w:ascii="宋体" w:hAnsi="宋体" w:cs="宋体"/>
                <w:color w:val="000000"/>
                <w:highlight w:val="none"/>
              </w:rPr>
            </w:pPr>
            <w:r>
              <w:rPr>
                <w:rFonts w:hint="eastAsia" w:ascii="宋体" w:hAnsi="宋体" w:cs="宋体"/>
                <w:color w:val="000000"/>
                <w:highlight w:val="none"/>
              </w:rPr>
              <w:t xml:space="preserve">100</w:t>
            </w:r>
            <w:r/>
          </w:p>
        </w:tc>
      </w:tr>
    </w:tbl>
    <w:p>
      <w:pPr>
        <w:rPr>
          <w:rFonts w:hint="eastAsia" w:ascii="宋体" w:hAnsi="宋体" w:eastAsia="宋体" w:cs="宋体"/>
          <w:b/>
          <w:color w:val="000000" w:themeColor="text1"/>
          <w:sz w:val="28"/>
          <w:szCs w:val="28"/>
          <w:highlight w:val="none"/>
          <w:lang w:val="zh-CN" w:eastAsia="zh-CN"/>
          <w14:textFill>
            <w14:solidFill>
              <w14:schemeClr w14:val="tx1"/>
            </w14:solidFill>
          </w14:textFill>
        </w:rPr>
      </w:pPr>
      <w:r>
        <w:rPr>
          <w:rFonts w:hint="eastAsia" w:ascii="宋体" w:hAnsi="宋体" w:eastAsia="宋体" w:cs="宋体"/>
          <w:b/>
          <w:color w:val="000000" w:themeColor="text1"/>
          <w:sz w:val="28"/>
          <w:szCs w:val="28"/>
          <w:highlight w:val="none"/>
          <w:lang w:val="zh-CN" w:eastAsia="zh-CN"/>
          <w14:textFill>
            <w14:solidFill>
              <w14:schemeClr w14:val="tx1"/>
            </w14:solidFill>
          </w14:textFill>
        </w:rPr>
        <w:br w:type="page" w:clear="all"/>
      </w:r>
      <w:r/>
    </w:p>
    <w:p>
      <w:pPr>
        <w:jc w:val="center"/>
        <w:spacing w:line="360" w:lineRule="auto"/>
        <w:rPr>
          <w:rFonts w:ascii="黑体" w:hAnsi="黑体" w:eastAsia="黑体" w:cs="黑体"/>
          <w:b/>
          <w:color w:val="000000" w:themeColor="text1"/>
          <w:sz w:val="32"/>
          <w:szCs w:val="32"/>
          <w:highlight w:val="none"/>
          <w:lang w:val="zh-CN" w:eastAsia="zh-CN"/>
          <w14:textFill>
            <w14:solidFill>
              <w14:schemeClr w14:val="tx1"/>
            </w14:solidFill>
          </w14:textFill>
        </w:rPr>
        <w:outlineLvl w:val="0"/>
      </w:pPr>
      <w:r>
        <w:rPr>
          <w:rFonts w:hint="eastAsia" w:ascii="宋体" w:hAnsi="宋体" w:eastAsia="宋体" w:cs="宋体"/>
          <w:b/>
          <w:color w:val="000000" w:themeColor="text1"/>
          <w:sz w:val="28"/>
          <w:szCs w:val="28"/>
          <w:highlight w:val="none"/>
          <w:lang w:val="zh-CN" w:eastAsia="zh-CN"/>
          <w14:textFill>
            <w14:solidFill>
              <w14:schemeClr w14:val="tx1"/>
            </w14:solidFill>
          </w14:textFill>
        </w:rPr>
        <w:t xml:space="preserve">第四章 采购</w:t>
      </w:r>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项目</w:t>
      </w:r>
      <w:r>
        <w:rPr>
          <w:rFonts w:hint="eastAsia" w:ascii="宋体" w:hAnsi="宋体" w:eastAsia="宋体" w:cs="宋体"/>
          <w:b/>
          <w:color w:val="000000" w:themeColor="text1"/>
          <w:sz w:val="28"/>
          <w:szCs w:val="28"/>
          <w:highlight w:val="none"/>
          <w:lang w:val="zh-CN" w:eastAsia="zh-CN"/>
          <w14:textFill>
            <w14:solidFill>
              <w14:schemeClr w14:val="tx1"/>
            </w14:solidFill>
          </w14:textFill>
        </w:rPr>
        <w:t xml:space="preserve">需求</w:t>
      </w:r>
      <w:bookmarkEnd w:id="134"/>
      <w:r/>
      <w:r/>
    </w:p>
    <w:p>
      <w:pPr>
        <w:ind w:firstLine="480"/>
        <w:spacing w:line="360" w:lineRule="auto"/>
        <w:rPr>
          <w:rFonts w:hint="eastAsia" w:ascii="宋体" w:hAnsi="宋体" w:eastAsia="宋体" w:cs="宋体"/>
          <w:sz w:val="24"/>
          <w:szCs w:val="24"/>
          <w:highlight w:val="none"/>
          <w:lang w:eastAsia="zh-CN"/>
        </w:rPr>
        <w:outlineLvl w:val="0"/>
      </w:pPr>
      <w:r/>
      <w:bookmarkStart w:id="137" w:name="第五章__合同草案条款及格式"/>
      <w:r/>
      <w:bookmarkEnd w:id="137"/>
      <w:r/>
      <w:bookmarkStart w:id="138" w:name="_Toc183610249"/>
      <w:r>
        <w:rPr>
          <w:rFonts w:hint="eastAsia" w:ascii="宋体" w:hAnsi="宋体" w:eastAsia="宋体" w:cs="宋体"/>
          <w:sz w:val="24"/>
          <w:szCs w:val="24"/>
          <w:highlight w:val="none"/>
        </w:rPr>
        <w:t xml:space="preserve">1、项目名称：</w:t>
      </w:r>
      <w:r>
        <w:rPr>
          <w:rFonts w:hint="eastAsia" w:ascii="宋体" w:hAnsi="宋体" w:eastAsia="宋体" w:cs="宋体"/>
          <w:sz w:val="24"/>
          <w:szCs w:val="24"/>
          <w:highlight w:val="none"/>
          <w:lang w:eastAsia="zh-CN"/>
        </w:rPr>
        <w:t xml:space="preserve">原铜井化工园退役场地风险评估项目</w:t>
      </w:r>
      <w:r/>
    </w:p>
    <w:p>
      <w:pPr>
        <w:ind w:firstLine="480"/>
        <w:spacing w:line="360" w:lineRule="auto"/>
        <w:rPr>
          <w:rFonts w:hint="eastAsia" w:ascii="宋体" w:hAnsi="宋体" w:eastAsia="宋体" w:cs="宋体"/>
          <w:sz w:val="24"/>
          <w:szCs w:val="24"/>
          <w:highlight w:val="none"/>
          <w:lang w:eastAsia="zh-CN"/>
        </w:rPr>
        <w:outlineLvl w:val="0"/>
      </w:pPr>
      <w:r>
        <w:rPr>
          <w:rFonts w:hint="eastAsia" w:ascii="宋体" w:hAnsi="宋体" w:eastAsia="宋体" w:cs="宋体"/>
          <w:sz w:val="24"/>
          <w:szCs w:val="24"/>
          <w:highlight w:val="none"/>
        </w:rPr>
        <w:t xml:space="preserve">2、项目地点：</w:t>
      </w:r>
      <w:r>
        <w:rPr>
          <w:rFonts w:hint="eastAsia" w:ascii="宋体" w:hAnsi="宋体" w:eastAsia="宋体" w:cs="宋体"/>
          <w:sz w:val="24"/>
          <w:szCs w:val="24"/>
          <w:highlight w:val="none"/>
          <w:lang w:eastAsia="zh-CN"/>
        </w:rPr>
        <w:t xml:space="preserve">南京市江宁区滨江开发区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工作背景</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根据关于印发《长江沿线1公里化工腾退地块土壤污染防治专项治理行动方案》（环办土壤函〔2025〕96号）的通知，2027年底前，完成长江沿线1公里化工腾退地块土壤污染状况调查，分类实施风险管控或修复，分批推进化工腾退地块污染防治相关工作，基本管控地块土壤污染和污染物迁移入江风险。</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原南京申宁化工有限责任公司地块、原南京祥宇农药有限公司地块、原南京科思化学有限公司地块、原南京宝恒化工有限公司地块等4个地块，属于沿江1公里化工腾退地块，相关土壤污染状况调查报告、风险评估报告已在2024年4月通过南京市生态环境局组织的专家评审。</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由于沿江1公里化工腾退地块土壤污染防治工作已纳入省厅的考核要求，这4个污染地块的风险评估报告需通过省厅组织的专家评审。近年来，省厅对土壤污染风险评估的技术要求、管理规范和评审标准不断提高，原有的风险评估报告无法满足当前最新管理规定与技术审查要求，因此需要开展相应的补充调查工作，完善风险评估报告工作内容，确保顺利通过省厅组织的专家评审。</w:t>
      </w:r>
      <w:r/>
    </w:p>
    <w:p>
      <w:pPr>
        <w:numPr>
          <w:ilvl w:val="0"/>
          <w:numId w:val="3"/>
        </w:num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工作方案</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重新开展水文地质勘察，明确地层结构、地下水特征、地下水与长江水力联系、区域地下水补给、径流、排泄规律，以及对应长江河段的水质现状，水文特征等，为污染物入江风险评估提供水文地质参数依据。</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针对前期调查地下水超标区域，在周边补充土壤和地下水监测点位，明确近2年污染是否存在扩散至长江区域的情况，为污染物的入江风险评估提供数据支撑。根据省生态环境厅要求，增加污染物入江风险的专章。</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结合前期调查数据和水文地质调查结果，补充建设地下水监测井（建设不同深度的组合监测井，分层采集地下水样品），摸清近2年污染下渗与扩散情况，确定土壤和地下水的污染范围、污染深度、污染兜底情况。</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原南京宝恒化工有限公司地块调查范围与现在省厅最新要求有出入，且原调查红线靠江一侧存在超标情况，通过咨询省厅土壤处，需对宝恒化工地块未开展调查区域需补充调查，完善调查和风险评估报告。</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根据省厅最新要求</w:t>
      </w:r>
      <w:r>
        <w:rPr>
          <w:rFonts w:hint="eastAsia" w:ascii="宋体" w:hAnsi="宋体" w:eastAsia="宋体" w:cs="宋体"/>
          <w:color w:val="000000" w:themeColor="text1"/>
          <w:sz w:val="24"/>
          <w:szCs w:val="24"/>
          <w:highlight w:val="none"/>
          <w14:textFill>
            <w14:solidFill>
              <w14:schemeClr w14:val="tx1"/>
            </w14:solidFill>
          </w14:textFill>
        </w:rPr>
        <w:t xml:space="preserve">重新梳理调查工作内容，结合补充调查的成果，完善风险评估报告，并报送市生态环境局初审后，报省厅评审。</w:t>
      </w:r>
      <w:r/>
    </w:p>
    <w:p>
      <w:pPr>
        <w:numPr>
          <w:ilvl w:val="0"/>
          <w:numId w:val="0"/>
        </w:numPr>
        <w:ind w:firstLine="480"/>
        <w:keepLines w:val="0"/>
        <w:keepNext w:val="0"/>
        <w:pageBreakBefore w:val="0"/>
        <w:spacing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5、项目组（含项目负责人，项目负责人必须由具有</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环境保护类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高级及以上工程师人员承担且具备3年及以上从业经验）至少具有2名</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环境保护类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高级及以上工程师和3名</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环境保护类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工程师人员，须提供人员有效身份证正反面加盖公章，职称证书加盖公章，</w:t>
      </w:r>
      <w:r>
        <w:rPr>
          <w:rFonts w:hint="eastAsia" w:ascii="宋体" w:hAnsi="宋体" w:eastAsia="宋体" w:cs="宋体"/>
          <w:color w:val="000000" w:themeColor="text1"/>
          <w:sz w:val="24"/>
          <w:szCs w:val="24"/>
          <w:highlight w:val="none"/>
          <w14:textFill>
            <w14:solidFill>
              <w14:schemeClr w14:val="tx1"/>
            </w14:solidFill>
          </w14:textFill>
        </w:rPr>
        <w:t xml:space="preserve">由法定的社保收缴部门出具的近三个月（2026年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月-2026年4月）的投标人为其依法缴纳社保证明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加盖公章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本条为实质性条款，供应商必须完全响应不得负偏离，否则做无效投标处理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6、时间安排</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预计江宁区4个污染地块土壤污染风险评估项目需要90天完成，时间安排计划如下表所示。</w:t>
      </w:r>
      <w:r/>
    </w:p>
    <w:p>
      <w:pPr>
        <w:jc w:val="center"/>
        <w:rPr>
          <w:rFonts w:cs="Times New Roman"/>
          <w:b/>
          <w:bCs/>
          <w:color w:val="000000" w:themeColor="text1"/>
          <w:highlight w:val="none"/>
          <w14:textFill>
            <w14:solidFill>
              <w14:schemeClr w14:val="tx1"/>
            </w14:solidFill>
          </w14:textFill>
        </w:rPr>
      </w:pPr>
      <w:r>
        <w:rPr>
          <w:rFonts w:cs="Times New Roman"/>
          <w:b/>
          <w:bCs/>
          <w:color w:val="000000" w:themeColor="text1"/>
          <w:highlight w:val="none"/>
          <w14:textFill>
            <w14:solidFill>
              <w14:schemeClr w14:val="tx1"/>
            </w14:solidFill>
          </w14:textFill>
        </w:rPr>
        <w:t xml:space="preserve">表1  </w:t>
      </w:r>
      <w:r>
        <w:rPr>
          <w:rFonts w:hint="eastAsia" w:cs="Times New Roman"/>
          <w:b/>
          <w:bCs/>
          <w:color w:val="000000" w:themeColor="text1"/>
          <w:highlight w:val="none"/>
          <w14:textFill>
            <w14:solidFill>
              <w14:schemeClr w14:val="tx1"/>
            </w14:solidFill>
          </w14:textFill>
        </w:rPr>
        <w:t xml:space="preserve">江宁区4个污染地块土壤污染风险评估时间安排计划</w:t>
      </w:r>
      <w:r>
        <w:rPr>
          <w:rFonts w:cs="Times New Roman"/>
          <w:b/>
          <w:bCs/>
          <w:color w:val="000000" w:themeColor="text1"/>
          <w:highlight w:val="none"/>
          <w14:textFill>
            <w14:solidFill>
              <w14:schemeClr w14:val="tx1"/>
            </w14:solidFill>
          </w14:textFill>
        </w:rPr>
        <w:t xml:space="preserve">表</w:t>
      </w:r>
      <w:r/>
    </w:p>
    <w:tbl>
      <w:tblPr>
        <w:tblStyle w:val="727"/>
        <w:tblW w:w="54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7"/>
        <w:gridCol w:w="467"/>
        <w:gridCol w:w="469"/>
        <w:gridCol w:w="469"/>
        <w:gridCol w:w="469"/>
        <w:gridCol w:w="468"/>
        <w:gridCol w:w="470"/>
        <w:gridCol w:w="470"/>
        <w:gridCol w:w="470"/>
        <w:gridCol w:w="470"/>
        <w:gridCol w:w="468"/>
        <w:gridCol w:w="470"/>
        <w:gridCol w:w="470"/>
        <w:gridCol w:w="470"/>
        <w:gridCol w:w="468"/>
        <w:gridCol w:w="470"/>
        <w:gridCol w:w="470"/>
        <w:gridCol w:w="470"/>
        <w:gridCol w:w="464"/>
      </w:tblGrid>
      <w:tr>
        <w:trPr>
          <w:jc w:val="center"/>
          <w:trHeight w:val="20"/>
        </w:trPr>
        <w:tc>
          <w:tcPr>
            <w:shd w:val="clear" w:color="000000" w:fill="ffffff"/>
            <w:tcW w:w="758" w:type="pct"/>
            <w:vAlign w:val="center"/>
            <w:textDirection w:val="lrTb"/>
            <w:noWrap w:val="false"/>
          </w:tcPr>
          <w:p>
            <w:pPr>
              <w:jc w:val="center"/>
              <w:spacing w:line="240" w:lineRule="auto"/>
              <w:widowControl/>
              <w:rPr>
                <w:rFonts w:cs="Times New Roman"/>
                <w:b/>
                <w:bCs/>
                <w:color w:val="000000"/>
                <w:sz w:val="21"/>
                <w:szCs w:val="21"/>
                <w:highlight w:val="none"/>
              </w:rPr>
            </w:pPr>
            <w:r>
              <w:rPr>
                <w:rFonts w:cs="Times New Roman"/>
                <w:b/>
                <w:bCs/>
                <w:color w:val="000000"/>
                <w:sz w:val="21"/>
                <w:szCs w:val="21"/>
                <w:highlight w:val="none"/>
              </w:rPr>
              <w:t xml:space="preserve">工期（天）</w:t>
            </w:r>
            <w:r/>
          </w:p>
        </w:tc>
        <w:tc>
          <w:tcPr>
            <w:shd w:val="clear" w:color="auto" w:fill="auto"/>
            <w:tcW w:w="235" w:type="pct"/>
            <w:vAlign w:val="center"/>
            <w:textDirection w:val="lrTb"/>
            <w:noWrap/>
          </w:tcPr>
          <w:p>
            <w:pPr>
              <w:jc w:val="center"/>
              <w:spacing w:line="240" w:lineRule="auto"/>
              <w:widowControl/>
              <w:rPr>
                <w:rFonts w:cs="Times New Roman"/>
                <w:b/>
                <w:bCs/>
                <w:color w:val="000000"/>
                <w:sz w:val="22"/>
                <w:highlight w:val="none"/>
              </w:rPr>
            </w:pPr>
            <w:r>
              <w:rPr>
                <w:rFonts w:cs="Times New Roman"/>
                <w:b/>
                <w:bCs/>
                <w:color w:val="000000"/>
                <w:sz w:val="22"/>
                <w:highlight w:val="none"/>
              </w:rPr>
              <w:t xml:space="preserve">5</w:t>
            </w:r>
            <w:r/>
          </w:p>
        </w:tc>
        <w:tc>
          <w:tcPr>
            <w:shd w:val="clear" w:color="000000" w:fill="ffffff"/>
            <w:tcW w:w="236" w:type="pct"/>
            <w:vAlign w:val="center"/>
            <w:textDirection w:val="lrTb"/>
            <w:noWrap w:val="false"/>
          </w:tcPr>
          <w:p>
            <w:pPr>
              <w:jc w:val="center"/>
              <w:spacing w:line="240" w:lineRule="auto"/>
              <w:widowControl/>
              <w:rPr>
                <w:rFonts w:cs="Times New Roman"/>
                <w:b/>
                <w:bCs/>
                <w:color w:val="000000"/>
                <w:sz w:val="21"/>
                <w:szCs w:val="21"/>
                <w:highlight w:val="none"/>
              </w:rPr>
            </w:pPr>
            <w:r>
              <w:rPr>
                <w:rFonts w:cs="Times New Roman"/>
                <w:b/>
                <w:bCs/>
                <w:color w:val="000000"/>
                <w:sz w:val="21"/>
                <w:szCs w:val="21"/>
                <w:highlight w:val="none"/>
              </w:rPr>
              <w:t xml:space="preserve">10</w:t>
            </w:r>
            <w:r/>
          </w:p>
        </w:tc>
        <w:tc>
          <w:tcPr>
            <w:shd w:val="clear" w:color="auto" w:fill="auto"/>
            <w:tcW w:w="236" w:type="pct"/>
            <w:vAlign w:val="center"/>
            <w:textDirection w:val="lrTb"/>
            <w:noWrap/>
          </w:tcPr>
          <w:p>
            <w:pPr>
              <w:jc w:val="center"/>
              <w:spacing w:line="240" w:lineRule="auto"/>
              <w:widowControl/>
              <w:rPr>
                <w:rFonts w:cs="Times New Roman"/>
                <w:b/>
                <w:bCs/>
                <w:color w:val="000000"/>
                <w:sz w:val="22"/>
                <w:highlight w:val="none"/>
              </w:rPr>
            </w:pPr>
            <w:r>
              <w:rPr>
                <w:rFonts w:cs="Times New Roman"/>
                <w:b/>
                <w:bCs/>
                <w:color w:val="000000"/>
                <w:sz w:val="22"/>
                <w:highlight w:val="none"/>
              </w:rPr>
              <w:t xml:space="preserve">15</w:t>
            </w:r>
            <w:r/>
          </w:p>
        </w:tc>
        <w:tc>
          <w:tcPr>
            <w:shd w:val="clear" w:color="000000" w:fill="ffffff"/>
            <w:tcW w:w="236" w:type="pct"/>
            <w:vAlign w:val="center"/>
            <w:textDirection w:val="lrTb"/>
            <w:noWrap w:val="false"/>
          </w:tcPr>
          <w:p>
            <w:pPr>
              <w:jc w:val="center"/>
              <w:spacing w:line="240" w:lineRule="auto"/>
              <w:widowControl/>
              <w:rPr>
                <w:rFonts w:cs="Times New Roman"/>
                <w:b/>
                <w:bCs/>
                <w:color w:val="000000"/>
                <w:sz w:val="21"/>
                <w:szCs w:val="21"/>
                <w:highlight w:val="none"/>
              </w:rPr>
            </w:pPr>
            <w:r>
              <w:rPr>
                <w:rFonts w:cs="Times New Roman"/>
                <w:b/>
                <w:bCs/>
                <w:color w:val="000000"/>
                <w:sz w:val="21"/>
                <w:szCs w:val="21"/>
                <w:highlight w:val="none"/>
              </w:rPr>
              <w:t xml:space="preserve">20</w:t>
            </w:r>
            <w:r/>
          </w:p>
        </w:tc>
        <w:tc>
          <w:tcPr>
            <w:shd w:val="clear" w:color="auto" w:fill="auto"/>
            <w:tcW w:w="235" w:type="pct"/>
            <w:vAlign w:val="center"/>
            <w:textDirection w:val="lrTb"/>
            <w:noWrap/>
          </w:tcPr>
          <w:p>
            <w:pPr>
              <w:jc w:val="center"/>
              <w:spacing w:line="240" w:lineRule="auto"/>
              <w:widowControl/>
              <w:rPr>
                <w:rFonts w:cs="Times New Roman"/>
                <w:b/>
                <w:bCs/>
                <w:color w:val="000000"/>
                <w:sz w:val="22"/>
                <w:highlight w:val="none"/>
              </w:rPr>
            </w:pPr>
            <w:r>
              <w:rPr>
                <w:rFonts w:cs="Times New Roman"/>
                <w:b/>
                <w:bCs/>
                <w:color w:val="000000"/>
                <w:sz w:val="22"/>
                <w:highlight w:val="none"/>
              </w:rPr>
              <w:t xml:space="preserve">25</w:t>
            </w:r>
            <w:r/>
          </w:p>
        </w:tc>
        <w:tc>
          <w:tcPr>
            <w:shd w:val="clear" w:color="000000" w:fill="ffffff"/>
            <w:tcW w:w="236" w:type="pct"/>
            <w:vAlign w:val="center"/>
            <w:textDirection w:val="lrTb"/>
            <w:noWrap w:val="false"/>
          </w:tcPr>
          <w:p>
            <w:pPr>
              <w:jc w:val="center"/>
              <w:spacing w:line="240" w:lineRule="auto"/>
              <w:widowControl/>
              <w:rPr>
                <w:rFonts w:cs="Times New Roman"/>
                <w:b/>
                <w:bCs/>
                <w:color w:val="000000"/>
                <w:sz w:val="21"/>
                <w:szCs w:val="21"/>
                <w:highlight w:val="none"/>
              </w:rPr>
            </w:pPr>
            <w:r>
              <w:rPr>
                <w:rFonts w:cs="Times New Roman"/>
                <w:b/>
                <w:bCs/>
                <w:color w:val="000000"/>
                <w:sz w:val="21"/>
                <w:szCs w:val="21"/>
                <w:highlight w:val="none"/>
              </w:rPr>
              <w:t xml:space="preserve">30</w:t>
            </w:r>
            <w:r/>
          </w:p>
        </w:tc>
        <w:tc>
          <w:tcPr>
            <w:shd w:val="clear" w:color="auto" w:fill="auto"/>
            <w:tcW w:w="236" w:type="pct"/>
            <w:vAlign w:val="center"/>
            <w:textDirection w:val="lrTb"/>
            <w:noWrap/>
          </w:tcPr>
          <w:p>
            <w:pPr>
              <w:jc w:val="center"/>
              <w:spacing w:line="240" w:lineRule="auto"/>
              <w:widowControl/>
              <w:rPr>
                <w:rFonts w:cs="Times New Roman"/>
                <w:b/>
                <w:bCs/>
                <w:color w:val="000000"/>
                <w:sz w:val="22"/>
                <w:highlight w:val="none"/>
              </w:rPr>
            </w:pPr>
            <w:r>
              <w:rPr>
                <w:rFonts w:cs="Times New Roman"/>
                <w:b/>
                <w:bCs/>
                <w:color w:val="000000"/>
                <w:sz w:val="22"/>
                <w:highlight w:val="none"/>
              </w:rPr>
              <w:t xml:space="preserve">35</w:t>
            </w:r>
            <w:r/>
          </w:p>
        </w:tc>
        <w:tc>
          <w:tcPr>
            <w:shd w:val="clear" w:color="000000" w:fill="ffffff"/>
            <w:tcW w:w="236" w:type="pct"/>
            <w:vAlign w:val="center"/>
            <w:textDirection w:val="lrTb"/>
            <w:noWrap w:val="false"/>
          </w:tcPr>
          <w:p>
            <w:pPr>
              <w:jc w:val="center"/>
              <w:spacing w:line="240" w:lineRule="auto"/>
              <w:widowControl/>
              <w:rPr>
                <w:rFonts w:cs="Times New Roman"/>
                <w:b/>
                <w:bCs/>
                <w:color w:val="000000"/>
                <w:sz w:val="21"/>
                <w:szCs w:val="21"/>
                <w:highlight w:val="none"/>
              </w:rPr>
            </w:pPr>
            <w:r>
              <w:rPr>
                <w:rFonts w:cs="Times New Roman"/>
                <w:b/>
                <w:bCs/>
                <w:color w:val="000000"/>
                <w:sz w:val="21"/>
                <w:szCs w:val="21"/>
                <w:highlight w:val="none"/>
              </w:rPr>
              <w:t xml:space="preserve">40</w:t>
            </w:r>
            <w:r/>
          </w:p>
        </w:tc>
        <w:tc>
          <w:tcPr>
            <w:shd w:val="clear" w:color="auto" w:fill="auto"/>
            <w:tcW w:w="236" w:type="pct"/>
            <w:vAlign w:val="center"/>
            <w:textDirection w:val="lrTb"/>
            <w:noWrap/>
          </w:tcPr>
          <w:p>
            <w:pPr>
              <w:jc w:val="center"/>
              <w:spacing w:line="240" w:lineRule="auto"/>
              <w:widowControl/>
              <w:rPr>
                <w:rFonts w:cs="Times New Roman"/>
                <w:b/>
                <w:bCs/>
                <w:color w:val="000000"/>
                <w:sz w:val="22"/>
                <w:highlight w:val="none"/>
              </w:rPr>
            </w:pPr>
            <w:r>
              <w:rPr>
                <w:rFonts w:cs="Times New Roman"/>
                <w:b/>
                <w:bCs/>
                <w:color w:val="000000"/>
                <w:sz w:val="22"/>
                <w:highlight w:val="none"/>
              </w:rPr>
              <w:t xml:space="preserve">45</w:t>
            </w:r>
            <w:r/>
          </w:p>
        </w:tc>
        <w:tc>
          <w:tcPr>
            <w:shd w:val="clear" w:color="000000" w:fill="ffffff"/>
            <w:tcW w:w="235" w:type="pct"/>
            <w:vAlign w:val="center"/>
            <w:textDirection w:val="lrTb"/>
            <w:noWrap w:val="false"/>
          </w:tcPr>
          <w:p>
            <w:pPr>
              <w:jc w:val="center"/>
              <w:spacing w:line="240" w:lineRule="auto"/>
              <w:widowControl/>
              <w:rPr>
                <w:rFonts w:cs="Times New Roman"/>
                <w:b/>
                <w:bCs/>
                <w:color w:val="000000"/>
                <w:sz w:val="21"/>
                <w:szCs w:val="21"/>
                <w:highlight w:val="none"/>
              </w:rPr>
            </w:pPr>
            <w:r>
              <w:rPr>
                <w:rFonts w:cs="Times New Roman"/>
                <w:b/>
                <w:bCs/>
                <w:color w:val="000000"/>
                <w:sz w:val="21"/>
                <w:szCs w:val="21"/>
                <w:highlight w:val="none"/>
              </w:rPr>
              <w:t xml:space="preserve">50</w:t>
            </w:r>
            <w:r/>
          </w:p>
        </w:tc>
        <w:tc>
          <w:tcPr>
            <w:shd w:val="clear" w:color="auto" w:fill="auto"/>
            <w:tcW w:w="236" w:type="pct"/>
            <w:vAlign w:val="center"/>
            <w:textDirection w:val="lrTb"/>
            <w:noWrap/>
          </w:tcPr>
          <w:p>
            <w:pPr>
              <w:jc w:val="center"/>
              <w:spacing w:line="240" w:lineRule="auto"/>
              <w:widowControl/>
              <w:rPr>
                <w:rFonts w:cs="Times New Roman"/>
                <w:b/>
                <w:bCs/>
                <w:color w:val="000000"/>
                <w:sz w:val="22"/>
                <w:highlight w:val="none"/>
              </w:rPr>
            </w:pPr>
            <w:r>
              <w:rPr>
                <w:rFonts w:cs="Times New Roman"/>
                <w:b/>
                <w:bCs/>
                <w:color w:val="000000"/>
                <w:sz w:val="22"/>
                <w:highlight w:val="none"/>
              </w:rPr>
              <w:t xml:space="preserve">55</w:t>
            </w:r>
            <w:r/>
          </w:p>
        </w:tc>
        <w:tc>
          <w:tcPr>
            <w:shd w:val="clear" w:color="000000" w:fill="ffffff"/>
            <w:tcW w:w="236" w:type="pct"/>
            <w:vAlign w:val="center"/>
            <w:textDirection w:val="lrTb"/>
            <w:noWrap w:val="false"/>
          </w:tcPr>
          <w:p>
            <w:pPr>
              <w:jc w:val="center"/>
              <w:spacing w:line="240" w:lineRule="auto"/>
              <w:widowControl/>
              <w:rPr>
                <w:rFonts w:cs="Times New Roman"/>
                <w:b/>
                <w:bCs/>
                <w:color w:val="000000"/>
                <w:sz w:val="21"/>
                <w:szCs w:val="21"/>
                <w:highlight w:val="none"/>
              </w:rPr>
            </w:pPr>
            <w:r>
              <w:rPr>
                <w:rFonts w:cs="Times New Roman"/>
                <w:b/>
                <w:bCs/>
                <w:color w:val="000000"/>
                <w:sz w:val="21"/>
                <w:szCs w:val="21"/>
                <w:highlight w:val="none"/>
              </w:rPr>
              <w:t xml:space="preserve">60</w:t>
            </w:r>
            <w:r/>
          </w:p>
        </w:tc>
        <w:tc>
          <w:tcPr>
            <w:shd w:val="clear" w:color="auto" w:fill="auto"/>
            <w:tcW w:w="236" w:type="pct"/>
            <w:vAlign w:val="center"/>
            <w:textDirection w:val="lrTb"/>
            <w:noWrap/>
          </w:tcPr>
          <w:p>
            <w:pPr>
              <w:jc w:val="center"/>
              <w:spacing w:line="240" w:lineRule="auto"/>
              <w:widowControl/>
              <w:rPr>
                <w:rFonts w:cs="Times New Roman"/>
                <w:b/>
                <w:bCs/>
                <w:color w:val="000000"/>
                <w:sz w:val="22"/>
                <w:highlight w:val="none"/>
              </w:rPr>
            </w:pPr>
            <w:r>
              <w:rPr>
                <w:rFonts w:cs="Times New Roman"/>
                <w:b/>
                <w:bCs/>
                <w:color w:val="000000"/>
                <w:sz w:val="22"/>
                <w:highlight w:val="none"/>
              </w:rPr>
              <w:t xml:space="preserve">65</w:t>
            </w:r>
            <w:r/>
          </w:p>
        </w:tc>
        <w:tc>
          <w:tcPr>
            <w:shd w:val="clear" w:color="000000" w:fill="ffffff"/>
            <w:tcW w:w="235" w:type="pct"/>
            <w:vAlign w:val="center"/>
            <w:textDirection w:val="lrTb"/>
            <w:noWrap w:val="false"/>
          </w:tcPr>
          <w:p>
            <w:pPr>
              <w:jc w:val="center"/>
              <w:spacing w:line="240" w:lineRule="auto"/>
              <w:widowControl/>
              <w:rPr>
                <w:rFonts w:cs="Times New Roman"/>
                <w:b/>
                <w:bCs/>
                <w:color w:val="000000"/>
                <w:sz w:val="21"/>
                <w:szCs w:val="21"/>
                <w:highlight w:val="none"/>
              </w:rPr>
            </w:pPr>
            <w:r>
              <w:rPr>
                <w:rFonts w:cs="Times New Roman"/>
                <w:b/>
                <w:bCs/>
                <w:color w:val="000000"/>
                <w:sz w:val="21"/>
                <w:szCs w:val="21"/>
                <w:highlight w:val="none"/>
              </w:rPr>
              <w:t xml:space="preserve">70</w:t>
            </w:r>
            <w:r/>
          </w:p>
        </w:tc>
        <w:tc>
          <w:tcPr>
            <w:shd w:val="clear" w:color="auto" w:fill="auto"/>
            <w:tcW w:w="236" w:type="pct"/>
            <w:vAlign w:val="center"/>
            <w:textDirection w:val="lrTb"/>
            <w:noWrap/>
          </w:tcPr>
          <w:p>
            <w:pPr>
              <w:jc w:val="center"/>
              <w:spacing w:line="240" w:lineRule="auto"/>
              <w:widowControl/>
              <w:rPr>
                <w:rFonts w:cs="Times New Roman"/>
                <w:b/>
                <w:bCs/>
                <w:color w:val="000000"/>
                <w:sz w:val="22"/>
                <w:highlight w:val="none"/>
              </w:rPr>
            </w:pPr>
            <w:r>
              <w:rPr>
                <w:rFonts w:cs="Times New Roman"/>
                <w:b/>
                <w:bCs/>
                <w:color w:val="000000"/>
                <w:sz w:val="22"/>
                <w:highlight w:val="none"/>
              </w:rPr>
              <w:t xml:space="preserve">75</w:t>
            </w:r>
            <w:r/>
          </w:p>
        </w:tc>
        <w:tc>
          <w:tcPr>
            <w:shd w:val="clear" w:color="000000" w:fill="ffffff"/>
            <w:tcW w:w="236" w:type="pct"/>
            <w:vAlign w:val="center"/>
            <w:textDirection w:val="lrTb"/>
            <w:noWrap w:val="false"/>
          </w:tcPr>
          <w:p>
            <w:pPr>
              <w:jc w:val="center"/>
              <w:spacing w:line="240" w:lineRule="auto"/>
              <w:widowControl/>
              <w:rPr>
                <w:rFonts w:cs="Times New Roman"/>
                <w:b/>
                <w:bCs/>
                <w:color w:val="000000"/>
                <w:sz w:val="21"/>
                <w:szCs w:val="21"/>
                <w:highlight w:val="none"/>
              </w:rPr>
            </w:pPr>
            <w:r>
              <w:rPr>
                <w:rFonts w:cs="Times New Roman"/>
                <w:b/>
                <w:bCs/>
                <w:color w:val="000000"/>
                <w:sz w:val="21"/>
                <w:szCs w:val="21"/>
                <w:highlight w:val="none"/>
              </w:rPr>
              <w:t xml:space="preserve">80</w:t>
            </w:r>
            <w:r/>
          </w:p>
        </w:tc>
        <w:tc>
          <w:tcPr>
            <w:shd w:val="clear" w:color="auto" w:fill="auto"/>
            <w:tcW w:w="236" w:type="pct"/>
            <w:vAlign w:val="center"/>
            <w:textDirection w:val="lrTb"/>
            <w:noWrap/>
          </w:tcPr>
          <w:p>
            <w:pPr>
              <w:jc w:val="center"/>
              <w:spacing w:line="240" w:lineRule="auto"/>
              <w:widowControl/>
              <w:rPr>
                <w:rFonts w:cs="Times New Roman"/>
                <w:b/>
                <w:bCs/>
                <w:color w:val="000000"/>
                <w:sz w:val="22"/>
                <w:highlight w:val="none"/>
              </w:rPr>
            </w:pPr>
            <w:r>
              <w:rPr>
                <w:rFonts w:cs="Times New Roman"/>
                <w:b/>
                <w:bCs/>
                <w:color w:val="000000"/>
                <w:sz w:val="22"/>
                <w:highlight w:val="none"/>
              </w:rPr>
              <w:t xml:space="preserve">85</w:t>
            </w:r>
            <w:r/>
          </w:p>
        </w:tc>
        <w:tc>
          <w:tcPr>
            <w:shd w:val="clear" w:color="000000" w:fill="ffffff"/>
            <w:tcW w:w="233" w:type="pct"/>
            <w:vAlign w:val="center"/>
            <w:textDirection w:val="lrTb"/>
            <w:noWrap w:val="false"/>
          </w:tcPr>
          <w:p>
            <w:pPr>
              <w:jc w:val="center"/>
              <w:spacing w:line="240" w:lineRule="auto"/>
              <w:widowControl/>
              <w:rPr>
                <w:rFonts w:cs="Times New Roman"/>
                <w:b/>
                <w:bCs/>
                <w:color w:val="000000"/>
                <w:sz w:val="21"/>
                <w:szCs w:val="21"/>
                <w:highlight w:val="none"/>
              </w:rPr>
            </w:pPr>
            <w:r>
              <w:rPr>
                <w:rFonts w:cs="Times New Roman"/>
                <w:b/>
                <w:bCs/>
                <w:color w:val="000000"/>
                <w:sz w:val="21"/>
                <w:szCs w:val="21"/>
                <w:highlight w:val="none"/>
              </w:rPr>
              <w:t xml:space="preserve">90</w:t>
            </w:r>
            <w:r/>
          </w:p>
        </w:tc>
      </w:tr>
      <w:tr>
        <w:trPr>
          <w:jc w:val="center"/>
          <w:trHeight w:val="20"/>
        </w:trPr>
        <w:tc>
          <w:tcPr>
            <w:shd w:val="clear" w:color="000000" w:fill="ffffff"/>
            <w:tcW w:w="758" w:type="pct"/>
            <w:vAlign w:val="center"/>
            <w:textDirection w:val="lrTb"/>
            <w:noWrap w:val="false"/>
          </w:tcPr>
          <w:p>
            <w:pPr>
              <w:jc w:val="center"/>
              <w:spacing w:line="240" w:lineRule="auto"/>
              <w:widowControl/>
              <w:rPr>
                <w:rFonts w:cs="Times New Roman"/>
                <w:bCs/>
                <w:color w:val="000000"/>
                <w:sz w:val="21"/>
                <w:szCs w:val="21"/>
                <w:highlight w:val="none"/>
              </w:rPr>
            </w:pPr>
            <w:r>
              <w:rPr>
                <w:rFonts w:cs="Times New Roman"/>
                <w:bCs/>
                <w:color w:val="000000"/>
                <w:sz w:val="21"/>
                <w:szCs w:val="21"/>
                <w:highlight w:val="none"/>
              </w:rPr>
              <w:t xml:space="preserve">水文地质勘察</w:t>
            </w:r>
            <w:r/>
          </w:p>
        </w:tc>
        <w:tc>
          <w:tcPr>
            <w:shd w:val="clear" w:color="auto" w:fill="00b050"/>
            <w:tcW w:w="23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auto" w:fill="00b050"/>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ffffff"/>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ffffff"/>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ffffff"/>
            <w:tcW w:w="23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ffffff"/>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ffffff"/>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ffffff"/>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ffffff"/>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ffffff"/>
            <w:tcW w:w="23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ffffff"/>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ffffff"/>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ffffff"/>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ffffff"/>
            <w:tcW w:w="23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ffffff"/>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ffffff"/>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ffffff"/>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ffffff"/>
            <w:tcW w:w="233"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shd w:val="clear" w:color="000000" w:fill="ffffff"/>
            <w:tcW w:w="758" w:type="pct"/>
            <w:vAlign w:val="center"/>
            <w:textDirection w:val="lrTb"/>
            <w:noWrap w:val="false"/>
          </w:tcPr>
          <w:p>
            <w:pPr>
              <w:jc w:val="center"/>
              <w:spacing w:line="240" w:lineRule="auto"/>
              <w:widowControl/>
              <w:rPr>
                <w:rFonts w:cs="Times New Roman"/>
                <w:bCs/>
                <w:color w:val="000000"/>
                <w:sz w:val="21"/>
                <w:szCs w:val="21"/>
                <w:highlight w:val="none"/>
              </w:rPr>
            </w:pPr>
            <w:r>
              <w:rPr>
                <w:rFonts w:cs="Times New Roman"/>
                <w:bCs/>
                <w:color w:val="000000"/>
                <w:sz w:val="21"/>
                <w:szCs w:val="21"/>
                <w:highlight w:val="none"/>
              </w:rPr>
              <w:t xml:space="preserve">补充调查方案制定</w:t>
            </w:r>
            <w:r/>
          </w:p>
        </w:tc>
        <w:tc>
          <w:tcPr>
            <w:shd w:val="clear" w:color="000000" w:fill="ffffff"/>
            <w:tcW w:w="23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00b050"/>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auto" w:fill="00b050"/>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auto" w:fill="auto"/>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auto" w:fill="auto"/>
            <w:tcW w:w="23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auto" w:fill="auto"/>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auto" w:fill="auto"/>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auto" w:fill="auto"/>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auto" w:fill="auto"/>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auto" w:fill="auto"/>
            <w:tcW w:w="23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auto" w:fill="auto"/>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auto" w:fill="auto"/>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auto" w:fill="auto"/>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auto" w:fill="auto"/>
            <w:tcW w:w="23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auto" w:fill="auto"/>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auto" w:fill="auto"/>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auto" w:fill="auto"/>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auto" w:fill="auto"/>
            <w:tcW w:w="233"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shd w:val="clear" w:color="000000" w:fill="ffffff"/>
            <w:tcW w:w="758" w:type="pct"/>
            <w:vAlign w:val="center"/>
            <w:textDirection w:val="lrTb"/>
            <w:noWrap w:val="false"/>
          </w:tcPr>
          <w:p>
            <w:pPr>
              <w:jc w:val="center"/>
              <w:spacing w:line="240" w:lineRule="auto"/>
              <w:widowControl/>
              <w:rPr>
                <w:rFonts w:cs="Times New Roman"/>
                <w:bCs/>
                <w:color w:val="000000"/>
                <w:sz w:val="21"/>
                <w:szCs w:val="21"/>
                <w:highlight w:val="none"/>
              </w:rPr>
            </w:pPr>
            <w:r>
              <w:rPr>
                <w:rFonts w:cs="Times New Roman"/>
                <w:bCs/>
                <w:color w:val="000000"/>
                <w:sz w:val="21"/>
                <w:szCs w:val="21"/>
                <w:highlight w:val="none"/>
              </w:rPr>
              <w:t xml:space="preserve">现场钻探及采样</w:t>
            </w:r>
            <w:r/>
          </w:p>
        </w:tc>
        <w:tc>
          <w:tcPr>
            <w:shd w:val="clear" w:color="000000" w:fill="ffffff"/>
            <w:tcW w:w="23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auto" w:fill="auto"/>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000000" w:fill="00b050"/>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00b050"/>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auto" w:fill="auto"/>
            <w:tcW w:w="235"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000000" w:fill="ffffff"/>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ffffff"/>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ffffff"/>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ffffff"/>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ffffff"/>
            <w:tcW w:w="23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ffffff"/>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ffffff"/>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ffffff"/>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ffffff"/>
            <w:tcW w:w="23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ffffff"/>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ffffff"/>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ffffff"/>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ffffff"/>
            <w:tcW w:w="233"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shd w:val="clear" w:color="000000" w:fill="ffffff"/>
            <w:tcW w:w="758" w:type="pct"/>
            <w:vAlign w:val="center"/>
            <w:textDirection w:val="lrTb"/>
            <w:noWrap w:val="false"/>
          </w:tcPr>
          <w:p>
            <w:pPr>
              <w:jc w:val="center"/>
              <w:spacing w:line="240" w:lineRule="auto"/>
              <w:widowControl/>
              <w:rPr>
                <w:rFonts w:cs="Times New Roman"/>
                <w:bCs/>
                <w:color w:val="000000"/>
                <w:sz w:val="21"/>
                <w:szCs w:val="21"/>
                <w:highlight w:val="none"/>
              </w:rPr>
            </w:pPr>
            <w:r>
              <w:rPr>
                <w:rFonts w:cs="Times New Roman"/>
                <w:bCs/>
                <w:color w:val="000000"/>
                <w:sz w:val="21"/>
                <w:szCs w:val="21"/>
                <w:highlight w:val="none"/>
              </w:rPr>
              <w:t xml:space="preserve">实验室检测及分析</w:t>
            </w:r>
            <w:r/>
          </w:p>
        </w:tc>
        <w:tc>
          <w:tcPr>
            <w:shd w:val="clear" w:color="000000" w:fill="ffffff"/>
            <w:tcW w:w="23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ffffff"/>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ffffff"/>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00b050"/>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00b050"/>
            <w:tcW w:w="23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00b050"/>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auto" w:fill="auto"/>
            <w:tcBorders>
              <w:bottom w:val="single" w:color="auto" w:sz="4" w:space="0"/>
            </w:tcBorders>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ffffff"/>
            <w:tcBorders>
              <w:bottom w:val="single" w:color="auto" w:sz="4" w:space="0"/>
            </w:tcBorders>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ffffff"/>
            <w:tcBorders>
              <w:bottom w:val="single" w:color="auto" w:sz="4" w:space="0"/>
            </w:tcBorders>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ffffff"/>
            <w:tcBorders>
              <w:bottom w:val="single" w:color="auto" w:sz="4" w:space="0"/>
            </w:tcBorders>
            <w:tcW w:w="23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ffffff"/>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ffffff"/>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ffffff"/>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ffffff"/>
            <w:tcW w:w="23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ffffff"/>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ffffff"/>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ffffff"/>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ffffff"/>
            <w:tcW w:w="233"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shd w:val="clear" w:color="000000" w:fill="ffffff"/>
            <w:tcW w:w="758" w:type="pct"/>
            <w:vAlign w:val="center"/>
            <w:textDirection w:val="lrTb"/>
            <w:noWrap w:val="false"/>
          </w:tcPr>
          <w:p>
            <w:pPr>
              <w:jc w:val="center"/>
              <w:spacing w:line="240" w:lineRule="auto"/>
              <w:widowControl/>
              <w:rPr>
                <w:rFonts w:cs="Times New Roman"/>
                <w:bCs/>
                <w:color w:val="000000"/>
                <w:sz w:val="21"/>
                <w:szCs w:val="21"/>
                <w:highlight w:val="none"/>
              </w:rPr>
            </w:pPr>
            <w:r>
              <w:rPr>
                <w:rFonts w:cs="Times New Roman"/>
                <w:bCs/>
                <w:color w:val="000000"/>
                <w:sz w:val="21"/>
                <w:szCs w:val="21"/>
                <w:highlight w:val="none"/>
              </w:rPr>
              <w:t xml:space="preserve">污染物入江风险评估</w:t>
            </w:r>
            <w:r/>
          </w:p>
        </w:tc>
        <w:tc>
          <w:tcPr>
            <w:shd w:val="clear" w:color="auto" w:fill="auto"/>
            <w:tcW w:w="235"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5"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000000" w:fill="00b050"/>
            <w:tcBorders>
              <w:bottom w:val="single" w:color="auto" w:sz="4" w:space="0"/>
            </w:tcBorders>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000000" w:fill="00b050"/>
            <w:tcBorders>
              <w:bottom w:val="single" w:color="auto" w:sz="4" w:space="0"/>
            </w:tcBorders>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00b050"/>
            <w:tcBorders>
              <w:bottom w:val="single" w:color="auto" w:sz="4" w:space="0"/>
            </w:tcBorders>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00b050"/>
            <w:tcW w:w="235"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5"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3"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r>
      <w:tr>
        <w:trPr>
          <w:jc w:val="center"/>
          <w:trHeight w:val="20"/>
        </w:trPr>
        <w:tc>
          <w:tcPr>
            <w:shd w:val="clear" w:color="000000" w:fill="ffffff"/>
            <w:tcW w:w="758" w:type="pct"/>
            <w:vAlign w:val="center"/>
            <w:textDirection w:val="lrTb"/>
            <w:noWrap w:val="false"/>
          </w:tcPr>
          <w:p>
            <w:pPr>
              <w:jc w:val="center"/>
              <w:spacing w:line="240" w:lineRule="auto"/>
              <w:widowControl/>
              <w:rPr>
                <w:rFonts w:cs="Times New Roman"/>
                <w:bCs/>
                <w:color w:val="000000"/>
                <w:sz w:val="21"/>
                <w:szCs w:val="21"/>
                <w:highlight w:val="none"/>
              </w:rPr>
            </w:pPr>
            <w:r>
              <w:rPr>
                <w:rFonts w:cs="Times New Roman"/>
                <w:bCs/>
                <w:color w:val="000000"/>
                <w:sz w:val="21"/>
                <w:szCs w:val="21"/>
                <w:highlight w:val="none"/>
              </w:rPr>
              <w:t xml:space="preserve">风险评估报告编制</w:t>
            </w:r>
            <w:r/>
          </w:p>
        </w:tc>
        <w:tc>
          <w:tcPr>
            <w:shd w:val="clear" w:color="auto" w:fill="auto"/>
            <w:tcW w:w="235"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5"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000000" w:fill="00b050"/>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00b050"/>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00b050"/>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000000" w:fill="00b050"/>
            <w:tcW w:w="23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00b050"/>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00b050"/>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auto" w:fill="auto"/>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5"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3"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r>
      <w:tr>
        <w:trPr>
          <w:jc w:val="center"/>
          <w:trHeight w:val="20"/>
        </w:trPr>
        <w:tc>
          <w:tcPr>
            <w:shd w:val="clear" w:color="000000" w:fill="ffffff"/>
            <w:tcW w:w="758" w:type="pct"/>
            <w:vAlign w:val="center"/>
            <w:textDirection w:val="lrTb"/>
            <w:noWrap w:val="false"/>
          </w:tcPr>
          <w:p>
            <w:pPr>
              <w:jc w:val="center"/>
              <w:spacing w:line="240" w:lineRule="auto"/>
              <w:widowControl/>
              <w:rPr>
                <w:rFonts w:cs="Times New Roman"/>
                <w:bCs/>
                <w:color w:val="000000"/>
                <w:sz w:val="21"/>
                <w:szCs w:val="21"/>
                <w:highlight w:val="none"/>
              </w:rPr>
            </w:pPr>
            <w:r>
              <w:rPr>
                <w:rFonts w:cs="Times New Roman"/>
                <w:bCs/>
                <w:color w:val="000000"/>
                <w:sz w:val="21"/>
                <w:szCs w:val="21"/>
                <w:highlight w:val="none"/>
              </w:rPr>
              <w:t xml:space="preserve">风险评估报告市级评审、修改、复核</w:t>
            </w:r>
            <w:r/>
          </w:p>
        </w:tc>
        <w:tc>
          <w:tcPr>
            <w:shd w:val="clear" w:color="auto" w:fill="auto"/>
            <w:tcW w:w="235"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5"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5"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000000" w:fill="00b050"/>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00b050"/>
            <w:tcW w:w="23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00b050"/>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auto" w:fill="auto"/>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3"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r>
      <w:tr>
        <w:trPr>
          <w:jc w:val="center"/>
          <w:trHeight w:val="20"/>
        </w:trPr>
        <w:tc>
          <w:tcPr>
            <w:shd w:val="clear" w:color="000000" w:fill="ffffff"/>
            <w:tcW w:w="758" w:type="pct"/>
            <w:vAlign w:val="center"/>
            <w:textDirection w:val="lrTb"/>
            <w:noWrap w:val="false"/>
          </w:tcPr>
          <w:p>
            <w:pPr>
              <w:jc w:val="center"/>
              <w:spacing w:line="240" w:lineRule="auto"/>
              <w:widowControl/>
              <w:rPr>
                <w:rFonts w:cs="Times New Roman"/>
                <w:bCs/>
                <w:color w:val="000000"/>
                <w:sz w:val="21"/>
                <w:szCs w:val="21"/>
                <w:highlight w:val="none"/>
              </w:rPr>
            </w:pPr>
            <w:r>
              <w:rPr>
                <w:rFonts w:cs="Times New Roman"/>
                <w:bCs/>
                <w:color w:val="000000"/>
                <w:sz w:val="21"/>
                <w:szCs w:val="21"/>
                <w:highlight w:val="none"/>
              </w:rPr>
              <w:t xml:space="preserve">风险评估报告省级评审、修改、复核</w:t>
            </w:r>
            <w:r/>
          </w:p>
        </w:tc>
        <w:tc>
          <w:tcPr>
            <w:shd w:val="clear" w:color="auto" w:fill="auto"/>
            <w:tcW w:w="235"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5"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5"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6"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auto"/>
            <w:tcW w:w="235" w:type="pct"/>
            <w:vAlign w:val="center"/>
            <w:textDirection w:val="lrTb"/>
            <w:noWrap/>
          </w:tcPr>
          <w:p>
            <w:pPr>
              <w:jc w:val="center"/>
              <w:spacing w:line="240" w:lineRule="auto"/>
              <w:widowControl/>
              <w:rPr>
                <w:rFonts w:cs="Times New Roman"/>
                <w:color w:val="000000"/>
                <w:sz w:val="22"/>
                <w:highlight w:val="none"/>
              </w:rPr>
            </w:pPr>
            <w:r>
              <w:rPr>
                <w:rFonts w:cs="Times New Roman"/>
                <w:color w:val="000000"/>
                <w:sz w:val="22"/>
                <w:highlight w:val="none"/>
              </w:rPr>
            </w:r>
            <w:r/>
          </w:p>
        </w:tc>
        <w:tc>
          <w:tcPr>
            <w:shd w:val="clear" w:color="auto" w:fill="00b050"/>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00b050"/>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00b050"/>
            <w:tcW w:w="236"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shd w:val="clear" w:color="000000" w:fill="00b050"/>
            <w:tcW w:w="233"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r>
    </w:tbl>
    <w:p>
      <w:pPr>
        <w:numPr>
          <w:ilvl w:val="0"/>
          <w:numId w:val="0"/>
        </w:numPr>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注：省级风险评估召开时间存在不确定性，需要与管理部门沟通协调。</w:t>
      </w:r>
      <w:r/>
    </w:p>
    <w:p>
      <w:pPr>
        <w:ind w:firstLine="480"/>
        <w:spacing w:line="360" w:lineRule="auto"/>
        <w:rPr>
          <w:rFonts w:hint="eastAsia" w:ascii="宋体" w:hAnsi="宋体" w:eastAsia="宋体" w:cs="宋体"/>
          <w:sz w:val="24"/>
          <w:szCs w:val="24"/>
          <w:highlight w:val="none"/>
          <w:lang w:val="en-US" w:eastAsia="zh-CN"/>
        </w:rPr>
        <w:outlineLvl w:val="0"/>
      </w:pPr>
      <w:r>
        <w:rPr>
          <w:rFonts w:hint="eastAsia" w:ascii="宋体" w:hAnsi="宋体" w:eastAsia="宋体" w:cs="宋体"/>
          <w:sz w:val="24"/>
          <w:szCs w:val="24"/>
          <w:highlight w:val="none"/>
          <w:lang w:val="en-US" w:eastAsia="zh-CN"/>
        </w:rPr>
        <w:t xml:space="preserve">7、项目清单</w:t>
      </w:r>
      <w:r/>
    </w:p>
    <w:tbl>
      <w:tblPr>
        <w:tblStyle w:val="768"/>
        <w:tblW w:w="93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6077"/>
        <w:gridCol w:w="1574"/>
        <w:gridCol w:w="906"/>
      </w:tblGrid>
      <w:tr>
        <w:trPr>
          <w:trHeight w:val="862"/>
        </w:trPr>
        <w:tc>
          <w:tcPr>
            <w:tcW w:w="842" w:type="dxa"/>
            <w:vAlign w:val="center"/>
            <w:textDirection w:val="lrTb"/>
            <w:noWrap w:val="false"/>
          </w:tcPr>
          <w:p>
            <w:pPr>
              <w:jc w:val="center"/>
              <w:rPr>
                <w:rFonts w:hint="default"/>
                <w:b/>
                <w:bCs/>
                <w:sz w:val="24"/>
                <w:szCs w:val="24"/>
                <w:highlight w:val="none"/>
                <w:lang w:val="en-US" w:eastAsia="zh-CN"/>
              </w:rPr>
            </w:pPr>
            <w:r>
              <w:rPr>
                <w:rFonts w:hint="eastAsia"/>
                <w:b/>
                <w:bCs/>
                <w:sz w:val="24"/>
                <w:szCs w:val="24"/>
                <w:highlight w:val="none"/>
                <w:lang w:val="en-US" w:eastAsia="zh-CN"/>
              </w:rPr>
              <w:t xml:space="preserve">序号</w:t>
            </w:r>
            <w:r/>
          </w:p>
        </w:tc>
        <w:tc>
          <w:tcPr>
            <w:tcW w:w="6077" w:type="dxa"/>
            <w:vAlign w:val="center"/>
            <w:textDirection w:val="lrTb"/>
            <w:noWrap w:val="false"/>
          </w:tcPr>
          <w:p>
            <w:pPr>
              <w:jc w:val="center"/>
              <w:rPr>
                <w:rFonts w:hint="default"/>
                <w:b/>
                <w:bCs/>
                <w:sz w:val="24"/>
                <w:szCs w:val="24"/>
                <w:highlight w:val="none"/>
                <w:lang w:val="en-US" w:eastAsia="zh-CN"/>
              </w:rPr>
            </w:pPr>
            <w:r>
              <w:rPr>
                <w:rFonts w:hint="eastAsia"/>
                <w:b/>
                <w:bCs/>
                <w:sz w:val="24"/>
                <w:szCs w:val="24"/>
                <w:highlight w:val="none"/>
                <w:lang w:val="en-US" w:eastAsia="zh-CN"/>
              </w:rPr>
              <w:t xml:space="preserve">地块名称</w:t>
            </w:r>
            <w:r/>
          </w:p>
        </w:tc>
        <w:tc>
          <w:tcPr>
            <w:tcW w:w="1574" w:type="dxa"/>
            <w:vAlign w:val="center"/>
            <w:textDirection w:val="lrTb"/>
            <w:noWrap w:val="false"/>
          </w:tcPr>
          <w:p>
            <w:pPr>
              <w:jc w:val="center"/>
              <w:rPr>
                <w:rFonts w:hint="default"/>
                <w:b/>
                <w:bCs/>
                <w:sz w:val="24"/>
                <w:szCs w:val="24"/>
                <w:highlight w:val="none"/>
                <w:lang w:val="en-US" w:eastAsia="zh-CN"/>
              </w:rPr>
            </w:pPr>
            <w:r>
              <w:rPr>
                <w:rFonts w:hint="eastAsia"/>
                <w:b/>
                <w:bCs/>
                <w:sz w:val="24"/>
                <w:szCs w:val="24"/>
                <w:highlight w:val="none"/>
                <w:lang w:val="en-US" w:eastAsia="zh-CN"/>
              </w:rPr>
              <w:t xml:space="preserve">费用</w:t>
            </w:r>
            <w:r/>
          </w:p>
        </w:tc>
        <w:tc>
          <w:tcPr>
            <w:tcW w:w="906" w:type="dxa"/>
            <w:vAlign w:val="center"/>
            <w:textDirection w:val="lrTb"/>
            <w:noWrap w:val="false"/>
          </w:tcPr>
          <w:p>
            <w:pPr>
              <w:jc w:val="center"/>
              <w:rPr>
                <w:rFonts w:hint="default"/>
                <w:b/>
                <w:bCs/>
                <w:sz w:val="24"/>
                <w:szCs w:val="24"/>
                <w:highlight w:val="none"/>
                <w:lang w:val="en-US" w:eastAsia="zh-CN"/>
              </w:rPr>
            </w:pPr>
            <w:r>
              <w:rPr>
                <w:rFonts w:hint="eastAsia"/>
                <w:b/>
                <w:bCs/>
                <w:sz w:val="24"/>
                <w:szCs w:val="24"/>
                <w:highlight w:val="none"/>
                <w:lang w:val="en-US" w:eastAsia="zh-CN"/>
              </w:rPr>
              <w:t xml:space="preserve">备注</w:t>
            </w:r>
            <w:r/>
          </w:p>
        </w:tc>
      </w:tr>
      <w:tr>
        <w:trPr>
          <w:trHeight w:val="634"/>
        </w:trPr>
        <w:tc>
          <w:tcPr>
            <w:tcW w:w="842"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1</w:t>
            </w:r>
            <w:r/>
          </w:p>
        </w:tc>
        <w:tc>
          <w:tcPr>
            <w:tcW w:w="6077" w:type="dxa"/>
            <w:vAlign w:val="center"/>
            <w:textDirection w:val="lrTb"/>
            <w:noWrap w:val="false"/>
          </w:tcPr>
          <w:p>
            <w:pPr>
              <w:jc w:val="center"/>
              <w:rPr>
                <w:rFonts w:hint="eastAsia"/>
                <w:sz w:val="24"/>
                <w:szCs w:val="24"/>
                <w:highlight w:val="none"/>
                <w:lang w:val="en-US" w:eastAsia="zh-CN"/>
              </w:rPr>
            </w:pPr>
            <w:r>
              <w:rPr>
                <w:sz w:val="24"/>
                <w:szCs w:val="24"/>
                <w:highlight w:val="none"/>
              </w:rPr>
              <w:t xml:space="preserve">原南京申宁化工有限责任公司地块风险评估项目费用</w:t>
            </w:r>
            <w:r/>
          </w:p>
        </w:tc>
        <w:tc>
          <w:tcPr>
            <w:tcW w:w="1574" w:type="dxa"/>
            <w:vAlign w:val="center"/>
            <w:textDirection w:val="lrTb"/>
            <w:noWrap w:val="false"/>
          </w:tcPr>
          <w:p>
            <w:pPr>
              <w:jc w:val="center"/>
              <w:rPr>
                <w:rFonts w:hint="eastAsia"/>
                <w:sz w:val="24"/>
                <w:szCs w:val="24"/>
                <w:highlight w:val="none"/>
                <w:lang w:val="en-US" w:eastAsia="zh-CN"/>
              </w:rPr>
            </w:pPr>
            <w:r>
              <w:rPr>
                <w:rFonts w:hint="eastAsia"/>
                <w:sz w:val="24"/>
                <w:szCs w:val="24"/>
                <w:highlight w:val="none"/>
                <w:lang w:val="en-US" w:eastAsia="zh-CN"/>
              </w:rPr>
            </w:r>
            <w:r/>
          </w:p>
        </w:tc>
        <w:tc>
          <w:tcPr>
            <w:tcW w:w="906" w:type="dxa"/>
            <w:vAlign w:val="center"/>
            <w:textDirection w:val="lrTb"/>
            <w:noWrap w:val="false"/>
          </w:tcPr>
          <w:p>
            <w:pPr>
              <w:jc w:val="center"/>
              <w:rPr>
                <w:rFonts w:hint="eastAsia"/>
                <w:sz w:val="24"/>
                <w:szCs w:val="24"/>
                <w:highlight w:val="none"/>
                <w:lang w:val="en-US" w:eastAsia="zh-CN"/>
              </w:rPr>
            </w:pPr>
            <w:r>
              <w:rPr>
                <w:rFonts w:hint="eastAsia"/>
                <w:sz w:val="24"/>
                <w:szCs w:val="24"/>
                <w:highlight w:val="none"/>
                <w:lang w:val="en-US" w:eastAsia="zh-CN"/>
              </w:rPr>
            </w:r>
            <w:r/>
          </w:p>
        </w:tc>
      </w:tr>
      <w:tr>
        <w:trPr>
          <w:trHeight w:val="646"/>
        </w:trPr>
        <w:tc>
          <w:tcPr>
            <w:tcW w:w="842"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2</w:t>
            </w:r>
            <w:r/>
          </w:p>
        </w:tc>
        <w:tc>
          <w:tcPr>
            <w:tcW w:w="6077" w:type="dxa"/>
            <w:vAlign w:val="center"/>
            <w:textDirection w:val="lrTb"/>
            <w:noWrap w:val="false"/>
          </w:tcPr>
          <w:p>
            <w:pPr>
              <w:jc w:val="center"/>
              <w:rPr>
                <w:rFonts w:hint="eastAsia"/>
                <w:sz w:val="24"/>
                <w:szCs w:val="24"/>
                <w:highlight w:val="none"/>
                <w:lang w:val="en-US" w:eastAsia="zh-CN"/>
              </w:rPr>
            </w:pPr>
            <w:r>
              <w:rPr>
                <w:sz w:val="24"/>
                <w:szCs w:val="24"/>
                <w:highlight w:val="none"/>
              </w:rPr>
              <w:t xml:space="preserve">原南京祥宇农药有限公司地块风险评估项目费用</w:t>
            </w:r>
            <w:r/>
          </w:p>
        </w:tc>
        <w:tc>
          <w:tcPr>
            <w:tcW w:w="1574" w:type="dxa"/>
            <w:vAlign w:val="center"/>
            <w:textDirection w:val="lrTb"/>
            <w:noWrap w:val="false"/>
          </w:tcPr>
          <w:p>
            <w:pPr>
              <w:jc w:val="center"/>
              <w:rPr>
                <w:rFonts w:hint="eastAsia"/>
                <w:sz w:val="24"/>
                <w:szCs w:val="24"/>
                <w:highlight w:val="none"/>
                <w:lang w:val="en-US" w:eastAsia="zh-CN"/>
              </w:rPr>
            </w:pPr>
            <w:r>
              <w:rPr>
                <w:rFonts w:hint="eastAsia"/>
                <w:sz w:val="24"/>
                <w:szCs w:val="24"/>
                <w:highlight w:val="none"/>
                <w:lang w:val="en-US" w:eastAsia="zh-CN"/>
              </w:rPr>
            </w:r>
            <w:r/>
          </w:p>
        </w:tc>
        <w:tc>
          <w:tcPr>
            <w:tcW w:w="906" w:type="dxa"/>
            <w:vAlign w:val="center"/>
            <w:textDirection w:val="lrTb"/>
            <w:noWrap w:val="false"/>
          </w:tcPr>
          <w:p>
            <w:pPr>
              <w:jc w:val="center"/>
              <w:rPr>
                <w:rFonts w:hint="eastAsia"/>
                <w:sz w:val="24"/>
                <w:szCs w:val="24"/>
                <w:highlight w:val="none"/>
                <w:lang w:val="en-US" w:eastAsia="zh-CN"/>
              </w:rPr>
            </w:pPr>
            <w:r>
              <w:rPr>
                <w:rFonts w:hint="eastAsia"/>
                <w:sz w:val="24"/>
                <w:szCs w:val="24"/>
                <w:highlight w:val="none"/>
                <w:lang w:val="en-US" w:eastAsia="zh-CN"/>
              </w:rPr>
            </w:r>
            <w:r/>
          </w:p>
        </w:tc>
      </w:tr>
      <w:tr>
        <w:trPr>
          <w:trHeight w:val="704"/>
        </w:trPr>
        <w:tc>
          <w:tcPr>
            <w:tcW w:w="842"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3</w:t>
            </w:r>
            <w:r/>
          </w:p>
        </w:tc>
        <w:tc>
          <w:tcPr>
            <w:tcW w:w="6077" w:type="dxa"/>
            <w:vAlign w:val="center"/>
            <w:textDirection w:val="lrTb"/>
            <w:noWrap w:val="false"/>
          </w:tcPr>
          <w:p>
            <w:pPr>
              <w:jc w:val="center"/>
              <w:rPr>
                <w:rFonts w:hint="eastAsia"/>
                <w:sz w:val="24"/>
                <w:szCs w:val="24"/>
                <w:highlight w:val="none"/>
                <w:lang w:val="en-US" w:eastAsia="zh-CN"/>
              </w:rPr>
            </w:pPr>
            <w:r>
              <w:rPr>
                <w:sz w:val="24"/>
                <w:szCs w:val="24"/>
                <w:highlight w:val="none"/>
              </w:rPr>
              <w:t xml:space="preserve">原南京科思化学有限公司地块风险评估项目费用</w:t>
            </w:r>
            <w:r/>
          </w:p>
        </w:tc>
        <w:tc>
          <w:tcPr>
            <w:tcW w:w="1574" w:type="dxa"/>
            <w:vAlign w:val="center"/>
            <w:textDirection w:val="lrTb"/>
            <w:noWrap w:val="false"/>
          </w:tcPr>
          <w:p>
            <w:pPr>
              <w:jc w:val="center"/>
              <w:rPr>
                <w:rFonts w:hint="eastAsia"/>
                <w:sz w:val="24"/>
                <w:szCs w:val="24"/>
                <w:highlight w:val="none"/>
                <w:lang w:val="en-US" w:eastAsia="zh-CN"/>
              </w:rPr>
            </w:pPr>
            <w:r>
              <w:rPr>
                <w:rFonts w:hint="eastAsia"/>
                <w:sz w:val="24"/>
                <w:szCs w:val="24"/>
                <w:highlight w:val="none"/>
                <w:lang w:val="en-US" w:eastAsia="zh-CN"/>
              </w:rPr>
            </w:r>
            <w:r/>
          </w:p>
        </w:tc>
        <w:tc>
          <w:tcPr>
            <w:tcW w:w="906" w:type="dxa"/>
            <w:vAlign w:val="center"/>
            <w:textDirection w:val="lrTb"/>
            <w:noWrap w:val="false"/>
          </w:tcPr>
          <w:p>
            <w:pPr>
              <w:jc w:val="center"/>
              <w:rPr>
                <w:rFonts w:hint="eastAsia"/>
                <w:sz w:val="24"/>
                <w:szCs w:val="24"/>
                <w:highlight w:val="none"/>
                <w:lang w:val="en-US" w:eastAsia="zh-CN"/>
              </w:rPr>
            </w:pPr>
            <w:r>
              <w:rPr>
                <w:rFonts w:hint="eastAsia"/>
                <w:sz w:val="24"/>
                <w:szCs w:val="24"/>
                <w:highlight w:val="none"/>
                <w:lang w:val="en-US" w:eastAsia="zh-CN"/>
              </w:rPr>
            </w:r>
            <w:r/>
          </w:p>
        </w:tc>
      </w:tr>
      <w:tr>
        <w:trPr>
          <w:trHeight w:val="633"/>
        </w:trPr>
        <w:tc>
          <w:tcPr>
            <w:tcW w:w="842"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4</w:t>
            </w:r>
            <w:r/>
          </w:p>
        </w:tc>
        <w:tc>
          <w:tcPr>
            <w:tcW w:w="6077" w:type="dxa"/>
            <w:vAlign w:val="center"/>
            <w:textDirection w:val="lrTb"/>
            <w:noWrap w:val="false"/>
          </w:tcPr>
          <w:p>
            <w:pPr>
              <w:jc w:val="center"/>
              <w:rPr>
                <w:rFonts w:hint="eastAsia"/>
                <w:sz w:val="24"/>
                <w:szCs w:val="24"/>
                <w:highlight w:val="none"/>
                <w:lang w:val="en-US" w:eastAsia="zh-CN"/>
              </w:rPr>
            </w:pPr>
            <w:r>
              <w:rPr>
                <w:sz w:val="24"/>
                <w:szCs w:val="24"/>
                <w:highlight w:val="none"/>
              </w:rPr>
              <w:t xml:space="preserve">原南京宝恒化工有限公司地块风险评估项目费用</w:t>
            </w:r>
            <w:r/>
          </w:p>
        </w:tc>
        <w:tc>
          <w:tcPr>
            <w:tcW w:w="1574" w:type="dxa"/>
            <w:vAlign w:val="center"/>
            <w:textDirection w:val="lrTb"/>
            <w:noWrap w:val="false"/>
          </w:tcPr>
          <w:p>
            <w:pPr>
              <w:jc w:val="center"/>
              <w:rPr>
                <w:rFonts w:hint="eastAsia"/>
                <w:sz w:val="24"/>
                <w:szCs w:val="24"/>
                <w:highlight w:val="none"/>
                <w:lang w:val="en-US" w:eastAsia="zh-CN"/>
              </w:rPr>
            </w:pPr>
            <w:r>
              <w:rPr>
                <w:rFonts w:hint="eastAsia"/>
                <w:sz w:val="24"/>
                <w:szCs w:val="24"/>
                <w:highlight w:val="none"/>
                <w:lang w:val="en-US" w:eastAsia="zh-CN"/>
              </w:rPr>
            </w:r>
            <w:r/>
          </w:p>
        </w:tc>
        <w:tc>
          <w:tcPr>
            <w:tcW w:w="906" w:type="dxa"/>
            <w:vAlign w:val="center"/>
            <w:textDirection w:val="lrTb"/>
            <w:noWrap w:val="false"/>
          </w:tcPr>
          <w:p>
            <w:pPr>
              <w:jc w:val="center"/>
              <w:rPr>
                <w:rFonts w:hint="eastAsia"/>
                <w:sz w:val="24"/>
                <w:szCs w:val="24"/>
                <w:highlight w:val="none"/>
                <w:lang w:val="en-US" w:eastAsia="zh-CN"/>
              </w:rPr>
            </w:pPr>
            <w:r>
              <w:rPr>
                <w:rFonts w:hint="eastAsia"/>
                <w:sz w:val="24"/>
                <w:szCs w:val="24"/>
                <w:highlight w:val="none"/>
                <w:lang w:val="en-US" w:eastAsia="zh-CN"/>
              </w:rPr>
            </w:r>
            <w:r/>
          </w:p>
        </w:tc>
      </w:tr>
      <w:tr>
        <w:trPr>
          <w:trHeight w:val="969"/>
        </w:trPr>
        <w:tc>
          <w:tcPr>
            <w:gridSpan w:val="2"/>
            <w:tcW w:w="6919"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总计（万元）</w:t>
            </w:r>
            <w:r/>
          </w:p>
        </w:tc>
        <w:tc>
          <w:tcPr>
            <w:tcW w:w="1574" w:type="dxa"/>
            <w:vAlign w:val="center"/>
            <w:textDirection w:val="lrTb"/>
            <w:noWrap w:val="false"/>
          </w:tcPr>
          <w:p>
            <w:pPr>
              <w:jc w:val="center"/>
              <w:rPr>
                <w:rFonts w:hint="eastAsia"/>
                <w:sz w:val="24"/>
                <w:szCs w:val="24"/>
                <w:highlight w:val="none"/>
                <w:lang w:val="en-US" w:eastAsia="zh-CN"/>
              </w:rPr>
            </w:pPr>
            <w:r>
              <w:rPr>
                <w:rFonts w:hint="eastAsia"/>
                <w:sz w:val="24"/>
                <w:szCs w:val="24"/>
                <w:highlight w:val="none"/>
                <w:lang w:val="en-US" w:eastAsia="zh-CN"/>
              </w:rPr>
            </w:r>
            <w:r/>
          </w:p>
        </w:tc>
        <w:tc>
          <w:tcPr>
            <w:tcW w:w="906" w:type="dxa"/>
            <w:vAlign w:val="center"/>
            <w:textDirection w:val="lrTb"/>
            <w:noWrap w:val="false"/>
          </w:tcPr>
          <w:p>
            <w:pPr>
              <w:jc w:val="center"/>
              <w:rPr>
                <w:rFonts w:hint="eastAsia"/>
                <w:sz w:val="24"/>
                <w:szCs w:val="24"/>
                <w:highlight w:val="none"/>
                <w:lang w:val="en-US" w:eastAsia="zh-CN"/>
              </w:rPr>
            </w:pPr>
            <w:r>
              <w:rPr>
                <w:rFonts w:hint="eastAsia"/>
                <w:sz w:val="24"/>
                <w:szCs w:val="24"/>
                <w:highlight w:val="none"/>
                <w:lang w:val="en-US" w:eastAsia="zh-CN"/>
              </w:rPr>
            </w:r>
            <w:r/>
          </w:p>
        </w:tc>
      </w:tr>
    </w:tbl>
    <w:p>
      <w:pPr>
        <w:ind w:firstLine="420"/>
        <w:spacing w:line="360" w:lineRule="auto"/>
        <w:rPr>
          <w:rFonts w:hint="eastAsia" w:ascii="宋体" w:hAnsi="宋体" w:eastAsia="宋体" w:cs="宋体"/>
          <w:sz w:val="21"/>
          <w:szCs w:val="21"/>
          <w:highlight w:val="none"/>
          <w:lang w:val="en-US" w:eastAsia="zh-CN"/>
        </w:rPr>
        <w:outlineLvl w:val="0"/>
      </w:pPr>
      <w:r>
        <w:rPr>
          <w:rFonts w:hint="eastAsia" w:ascii="宋体" w:hAnsi="宋体" w:eastAsia="宋体" w:cs="宋体"/>
          <w:sz w:val="21"/>
          <w:szCs w:val="21"/>
          <w:highlight w:val="none"/>
          <w:lang w:val="en-US" w:eastAsia="zh-CN"/>
        </w:rPr>
      </w:r>
      <w:r/>
    </w:p>
    <w:p>
      <w:pPr>
        <w:jc w:val="center"/>
        <w:spacing w:line="360" w:lineRule="auto"/>
        <w:rPr>
          <w:rFonts w:hint="eastAsia" w:ascii="宋体" w:hAnsi="宋体" w:eastAsia="宋体" w:cs="宋体"/>
          <w:sz w:val="36"/>
          <w:szCs w:val="36"/>
          <w:highlight w:val="none"/>
          <w:lang w:val="zh-CN"/>
        </w:rPr>
        <w:outlineLvl w:val="0"/>
      </w:pPr>
      <w:r>
        <w:rPr>
          <w:rFonts w:hint="eastAsia" w:ascii="宋体" w:hAnsi="宋体" w:eastAsia="宋体" w:cs="宋体"/>
          <w:sz w:val="36"/>
          <w:szCs w:val="36"/>
          <w:highlight w:val="none"/>
          <w:lang w:val="zh-CN"/>
        </w:rPr>
      </w:r>
      <w:r/>
    </w:p>
    <w:p>
      <w:pPr>
        <w:jc w:val="center"/>
        <w:spacing w:line="360" w:lineRule="auto"/>
        <w:rPr>
          <w:rFonts w:hint="eastAsia" w:ascii="宋体" w:hAnsi="宋体" w:eastAsia="宋体" w:cs="宋体"/>
          <w:sz w:val="36"/>
          <w:szCs w:val="36"/>
          <w:highlight w:val="none"/>
          <w:lang w:val="zh-CN"/>
        </w:rPr>
        <w:sectPr>
          <w:headerReference w:type="default" r:id="rId9"/>
          <w:footerReference w:type="default" r:id="rId12"/>
          <w:footnotePr/>
          <w:endnotePr/>
          <w:type w:val="nextPage"/>
          <w:pgSz w:w="11911" w:h="16838" w:orient="portrait"/>
          <w:pgMar w:top="1417" w:right="1531" w:bottom="1417" w:left="1531" w:header="879" w:footer="1196" w:gutter="0"/>
          <w:cols w:num="1" w:sep="0" w:space="720" w:equalWidth="1"/>
          <w:docGrid w:linePitch="360"/>
        </w:sectPr>
        <w:outlineLvl w:val="0"/>
      </w:pPr>
      <w:r>
        <w:rPr>
          <w:rFonts w:hint="eastAsia" w:ascii="宋体" w:hAnsi="宋体" w:eastAsia="宋体" w:cs="宋体"/>
          <w:sz w:val="36"/>
          <w:szCs w:val="36"/>
          <w:highlight w:val="none"/>
          <w:lang w:val="zh-CN"/>
        </w:rPr>
      </w:r>
      <w:r/>
    </w:p>
    <w:p>
      <w:pPr>
        <w:jc w:val="center"/>
        <w:rPr>
          <w:rFonts w:cs="Times New Roman"/>
          <w:b/>
          <w:bCs/>
          <w:color w:val="000000"/>
          <w:highlight w:val="none"/>
        </w:rPr>
      </w:pPr>
      <w:r>
        <w:rPr>
          <w:rFonts w:cs="Times New Roman"/>
          <w:b/>
          <w:bCs/>
          <w:color w:val="000000"/>
          <w:highlight w:val="none"/>
        </w:rPr>
        <w:t xml:space="preserve">表1  原南京申宁化工有限责任公司地块风险评估项目费用报价明细表</w:t>
      </w:r>
      <w:r/>
    </w:p>
    <w:tbl>
      <w:tblPr>
        <w:tblStyle w:val="727"/>
        <w:tblW w:w="5035" w:type="pct"/>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autofit"/>
        <w:tblCellMar>
          <w:left w:w="0" w:type="dxa"/>
          <w:top w:w="0" w:type="dxa"/>
          <w:right w:w="0" w:type="dxa"/>
          <w:bottom w:w="0" w:type="dxa"/>
        </w:tblCellMar>
        <w:tblLook w:val="04A0" w:firstRow="1" w:lastRow="0" w:firstColumn="1" w:lastColumn="0" w:noHBand="0" w:noVBand="1"/>
      </w:tblPr>
      <w:tblGrid>
        <w:gridCol w:w="573"/>
        <w:gridCol w:w="1003"/>
        <w:gridCol w:w="6054"/>
        <w:gridCol w:w="910"/>
        <w:gridCol w:w="949"/>
        <w:gridCol w:w="1480"/>
        <w:gridCol w:w="1593"/>
        <w:gridCol w:w="1560"/>
      </w:tblGrid>
      <w:tr>
        <w:trPr>
          <w:jc w:val="center"/>
          <w:trHeight w:val="20"/>
        </w:trPr>
        <w:tc>
          <w:tcPr>
            <w:tcBorders>
              <w:top w:val="single" w:color="auto" w:sz="8" w:space="0"/>
              <w:left w:val="single" w:color="auto" w:sz="8" w:space="0"/>
              <w:bottom w:val="single" w:color="auto" w:sz="2" w:space="0"/>
              <w:right w:val="single" w:color="auto" w:sz="2" w:space="0"/>
            </w:tcBorders>
            <w:tcW w:w="203"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序号</w:t>
            </w:r>
            <w:r/>
          </w:p>
        </w:tc>
        <w:tc>
          <w:tcPr>
            <w:tcBorders>
              <w:top w:val="single" w:color="auto" w:sz="8" w:space="0"/>
              <w:left w:val="single" w:color="auto" w:sz="2" w:space="0"/>
              <w:bottom w:val="single" w:color="auto" w:sz="2" w:space="0"/>
              <w:right w:val="single" w:color="auto" w:sz="2" w:space="0"/>
            </w:tcBorders>
            <w:tcW w:w="355"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工作</w:t>
            </w:r>
            <w:r>
              <w:rPr>
                <w:rFonts w:hint="eastAsia" w:cs="Times New Roman"/>
                <w:b/>
                <w:color w:val="000000"/>
                <w:sz w:val="21"/>
                <w:szCs w:val="21"/>
                <w:highlight w:val="none"/>
              </w:rPr>
              <w:t xml:space="preserve">分类</w:t>
            </w:r>
            <w:r/>
          </w:p>
        </w:tc>
        <w:tc>
          <w:tcPr>
            <w:tcBorders>
              <w:top w:val="single" w:color="auto" w:sz="8" w:space="0"/>
              <w:left w:val="single" w:color="auto" w:sz="2" w:space="0"/>
              <w:bottom w:val="single" w:color="auto" w:sz="2" w:space="0"/>
              <w:right w:val="single" w:color="auto" w:sz="2" w:space="0"/>
            </w:tcBorders>
            <w:tcW w:w="2143"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工作内容</w:t>
            </w:r>
            <w:r/>
          </w:p>
        </w:tc>
        <w:tc>
          <w:tcPr>
            <w:tcBorders>
              <w:top w:val="single" w:color="auto" w:sz="8" w:space="0"/>
              <w:left w:val="single" w:color="auto" w:sz="2" w:space="0"/>
              <w:bottom w:val="single" w:color="auto" w:sz="4" w:space="0"/>
              <w:right w:val="single" w:color="auto" w:sz="2" w:space="0"/>
            </w:tcBorders>
            <w:tcW w:w="322"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计量</w:t>
            </w:r>
            <w:r/>
          </w:p>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单位</w:t>
            </w:r>
            <w:r/>
          </w:p>
        </w:tc>
        <w:tc>
          <w:tcPr>
            <w:tcBorders>
              <w:top w:val="single" w:color="auto" w:sz="8" w:space="0"/>
              <w:left w:val="single" w:color="auto" w:sz="2" w:space="0"/>
              <w:bottom w:val="single" w:color="auto" w:sz="4" w:space="0"/>
              <w:right w:val="single" w:color="auto" w:sz="2" w:space="0"/>
            </w:tcBorders>
            <w:tcW w:w="336"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数量</w:t>
            </w:r>
            <w:r/>
          </w:p>
        </w:tc>
        <w:tc>
          <w:tcPr>
            <w:tcBorders>
              <w:top w:val="single" w:color="auto" w:sz="8" w:space="0"/>
              <w:left w:val="single" w:color="auto" w:sz="2" w:space="0"/>
              <w:bottom w:val="single" w:color="auto" w:sz="4" w:space="0"/>
              <w:right w:val="single" w:color="auto" w:sz="2" w:space="0"/>
            </w:tcBorders>
            <w:tcW w:w="522"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单价</w:t>
            </w:r>
            <w:r/>
          </w:p>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（万元）</w:t>
            </w:r>
            <w:r/>
          </w:p>
        </w:tc>
        <w:tc>
          <w:tcPr>
            <w:tcBorders>
              <w:top w:val="single" w:color="auto" w:sz="8" w:space="0"/>
              <w:left w:val="single" w:color="auto" w:sz="2" w:space="0"/>
              <w:bottom w:val="single" w:color="auto" w:sz="4" w:space="0"/>
              <w:right w:val="single" w:color="auto" w:sz="8" w:space="0"/>
            </w:tcBorders>
            <w:tcW w:w="564" w:type="pct"/>
            <w:vAlign w:val="center"/>
            <w:textDirection w:val="lrTb"/>
            <w:noWrap w:val="false"/>
          </w:tcPr>
          <w:p>
            <w:pPr>
              <w:jc w:val="center"/>
              <w:spacing w:line="240" w:lineRule="auto"/>
              <w:rPr>
                <w:rFonts w:cs="Times New Roman"/>
                <w:b/>
                <w:color w:val="000000"/>
                <w:sz w:val="21"/>
                <w:szCs w:val="21"/>
                <w:highlight w:val="none"/>
              </w:rPr>
            </w:pPr>
            <w:r>
              <w:rPr>
                <w:rFonts w:hint="eastAsia" w:cs="Times New Roman"/>
                <w:b/>
                <w:color w:val="000000"/>
                <w:sz w:val="21"/>
                <w:szCs w:val="21"/>
                <w:highlight w:val="none"/>
              </w:rPr>
              <w:t xml:space="preserve">小计</w:t>
            </w:r>
            <w:r/>
          </w:p>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（万元）</w:t>
            </w:r>
            <w:r/>
          </w:p>
        </w:tc>
        <w:tc>
          <w:tcPr>
            <w:tcBorders>
              <w:top w:val="single" w:color="auto" w:sz="8" w:space="0"/>
              <w:left w:val="single" w:color="auto" w:sz="2" w:space="0"/>
              <w:bottom w:val="single" w:color="auto" w:sz="4" w:space="0"/>
              <w:right w:val="single" w:color="auto" w:sz="8" w:space="0"/>
            </w:tcBorders>
            <w:tcW w:w="552" w:type="pct"/>
            <w:vAlign w:val="center"/>
            <w:textDirection w:val="lrTb"/>
            <w:noWrap w:val="false"/>
          </w:tcPr>
          <w:p>
            <w:pPr>
              <w:jc w:val="center"/>
              <w:spacing w:line="240" w:lineRule="auto"/>
              <w:rPr>
                <w:rFonts w:cs="Times New Roman"/>
                <w:b/>
                <w:color w:val="000000"/>
                <w:sz w:val="21"/>
                <w:szCs w:val="21"/>
                <w:highlight w:val="none"/>
              </w:rPr>
            </w:pPr>
            <w:r>
              <w:rPr>
                <w:rFonts w:hint="eastAsia" w:cs="Times New Roman"/>
                <w:b/>
                <w:color w:val="000000"/>
                <w:sz w:val="21"/>
                <w:szCs w:val="21"/>
                <w:highlight w:val="none"/>
              </w:rPr>
              <w:t xml:space="preserve">备注</w:t>
            </w:r>
            <w:r/>
          </w:p>
        </w:tc>
      </w:tr>
      <w:tr>
        <w:trPr>
          <w:jc w:val="center"/>
          <w:trHeight w:val="20"/>
        </w:trPr>
        <w:tc>
          <w:tcPr>
            <w:tcBorders>
              <w:top w:val="single" w:color="auto" w:sz="4" w:space="0"/>
              <w:left w:val="single" w:color="auto" w:sz="8" w:space="0"/>
              <w:right w:val="single" w:color="auto" w:sz="2" w:space="0"/>
            </w:tcBorders>
            <w:tcW w:w="203"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bCs/>
                <w:color w:val="000000"/>
                <w:sz w:val="21"/>
                <w:szCs w:val="21"/>
                <w:highlight w:val="none"/>
              </w:rPr>
              <w:t xml:space="preserve">1</w:t>
            </w:r>
            <w:r/>
          </w:p>
        </w:tc>
        <w:tc>
          <w:tcPr>
            <w:tcBorders>
              <w:top w:val="single" w:color="auto" w:sz="4" w:space="0"/>
              <w:left w:val="single" w:color="auto" w:sz="2" w:space="0"/>
              <w:right w:val="single" w:color="auto" w:sz="2" w:space="0"/>
            </w:tcBorders>
            <w:tcW w:w="355"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水文地质勘察</w:t>
            </w:r>
            <w:r/>
          </w:p>
        </w:tc>
        <w:tc>
          <w:tcPr>
            <w:tcBorders>
              <w:top w:val="single" w:color="auto" w:sz="4" w:space="0"/>
              <w:left w:val="single" w:color="auto" w:sz="2" w:space="0"/>
              <w:bottom w:val="single" w:color="auto" w:sz="4" w:space="0"/>
              <w:right w:val="single" w:color="auto" w:sz="4" w:space="0"/>
            </w:tcBorders>
            <w:tcW w:w="2143"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含水文地质勘察钻孔</w:t>
            </w:r>
            <w:r>
              <w:rPr>
                <w:rFonts w:hint="eastAsia" w:cs="Times New Roman"/>
                <w:color w:val="000000"/>
                <w:sz w:val="21"/>
                <w:szCs w:val="21"/>
                <w:highlight w:val="none"/>
              </w:rPr>
              <w:t xml:space="preserve">钻探，布设4个钻孔点位，单个点位钻孔深度达到40m，需钻探至中风化层</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160</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right w:val="single" w:color="auto" w:sz="4" w:space="0"/>
            </w:tcBorders>
            <w:tcW w:w="552"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2" w:space="0"/>
            </w:tcBorders>
            <w:tcW w:w="203"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4" w:space="0"/>
              <w:left w:val="single" w:color="auto" w:sz="2" w:space="0"/>
              <w:right w:val="single" w:color="auto" w:sz="2" w:space="0"/>
            </w:tcBorders>
            <w:tcW w:w="355"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43"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含水文地质勘察钻孔</w:t>
            </w:r>
            <w:r>
              <w:rPr>
                <w:rFonts w:hint="eastAsia" w:cs="Times New Roman"/>
                <w:color w:val="000000"/>
                <w:sz w:val="21"/>
                <w:szCs w:val="21"/>
                <w:highlight w:val="none"/>
              </w:rPr>
              <w:t xml:space="preserve">建设地下水井，用于抽水试验及流场确定等，布设4个钻孔点位，单个点位建井深度达到40m，需钻探至中风化层</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160</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right w:val="single" w:color="auto" w:sz="4" w:space="0"/>
            </w:tcBorders>
            <w:tcW w:w="552"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2" w:space="0"/>
            </w:tcBorders>
            <w:tcW w:w="203"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4" w:space="0"/>
              <w:left w:val="single" w:color="auto" w:sz="2" w:space="0"/>
              <w:right w:val="single" w:color="auto" w:sz="2" w:space="0"/>
            </w:tcBorders>
            <w:tcW w:w="355"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43"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土工试验，包括土壤有机质含量、含水率、孔隙度、渗透系数、土壤颗粒密度、土壤容重等参数的测定，每个点位采集</w:t>
            </w:r>
            <w:r>
              <w:rPr>
                <w:rFonts w:hint="eastAsia" w:cs="Times New Roman"/>
                <w:color w:val="000000"/>
                <w:sz w:val="21"/>
                <w:szCs w:val="21"/>
                <w:highlight w:val="none"/>
              </w:rPr>
              <w:t xml:space="preserve">4个土工试验样品，共需送检16个土工试验样品</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52"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203"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left w:val="single" w:color="auto" w:sz="2" w:space="0"/>
              <w:right w:val="single" w:color="auto" w:sz="2" w:space="0"/>
            </w:tcBorders>
            <w:tcW w:w="355"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43"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抽水试验，需要</w:t>
            </w:r>
            <w:r>
              <w:rPr>
                <w:rFonts w:hint="eastAsia" w:cs="Times New Roman"/>
                <w:color w:val="000000"/>
                <w:sz w:val="21"/>
                <w:szCs w:val="21"/>
                <w:highlight w:val="none"/>
              </w:rPr>
              <w:t xml:space="preserve">2个台班</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台班</w:t>
            </w:r>
            <w:r/>
          </w:p>
        </w:tc>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52"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2" w:space="0"/>
            </w:tcBorders>
            <w:tcW w:w="203"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left w:val="single" w:color="auto" w:sz="2" w:space="0"/>
              <w:bottom w:val="single" w:color="auto" w:sz="4" w:space="0"/>
              <w:right w:val="single" w:color="auto" w:sz="2" w:space="0"/>
            </w:tcBorders>
            <w:tcW w:w="355"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43"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完成水文地质勘察报告（明确地层结构、地下水特征、地下水与长江水力联系、区域地下水补给、径流、排泄规律，以及对应长江河段的水质现状，水文特征等）</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项</w:t>
            </w:r>
            <w:r/>
          </w:p>
        </w:tc>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52"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bottom w:val="single" w:color="auto" w:sz="4" w:space="0"/>
              <w:right w:val="single" w:color="auto" w:sz="2" w:space="0"/>
            </w:tcBorders>
            <w:tcW w:w="203" w:type="pct"/>
            <w:vAlign w:val="center"/>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t xml:space="preserve">2</w:t>
            </w:r>
            <w:r/>
          </w:p>
        </w:tc>
        <w:tc>
          <w:tcPr>
            <w:tcBorders>
              <w:top w:val="single" w:color="auto" w:sz="4" w:space="0"/>
              <w:left w:val="single" w:color="auto" w:sz="2" w:space="0"/>
              <w:bottom w:val="single" w:color="auto" w:sz="4" w:space="0"/>
              <w:right w:val="single" w:color="auto" w:sz="2" w:space="0"/>
            </w:tcBorders>
            <w:tcW w:w="355"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补充调查方案制定</w:t>
            </w:r>
            <w:r/>
          </w:p>
        </w:tc>
        <w:tc>
          <w:tcPr>
            <w:tcBorders>
              <w:top w:val="single" w:color="auto" w:sz="4" w:space="0"/>
              <w:left w:val="single" w:color="auto" w:sz="2" w:space="0"/>
              <w:bottom w:val="single" w:color="auto" w:sz="4" w:space="0"/>
              <w:right w:val="single" w:color="auto" w:sz="4" w:space="0"/>
            </w:tcBorders>
            <w:tcW w:w="2143"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根据申宁化工地块的资料分析结果，制定申宁化工地块的补充调查方案</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项</w:t>
            </w:r>
            <w:r/>
          </w:p>
        </w:tc>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2" w:space="0"/>
            </w:tcBorders>
            <w:tcW w:w="203" w:type="pct"/>
            <w:vAlign w:val="center"/>
            <w:vMerge w:val="restart"/>
            <w:textDirection w:val="lrTb"/>
            <w:noWrap w:val="false"/>
          </w:tcPr>
          <w:p>
            <w:pPr>
              <w:jc w:val="center"/>
              <w:spacing w:line="240" w:lineRule="auto"/>
              <w:rPr>
                <w:rFonts w:cs="Times New Roman"/>
                <w:bCs/>
                <w:color w:val="000000"/>
                <w:sz w:val="21"/>
                <w:szCs w:val="21"/>
                <w:highlight w:val="none"/>
              </w:rPr>
            </w:pPr>
            <w:r>
              <w:rPr>
                <w:rFonts w:cs="Times New Roman"/>
                <w:color w:val="000000"/>
                <w:sz w:val="21"/>
                <w:szCs w:val="21"/>
                <w:highlight w:val="none"/>
              </w:rPr>
              <w:t xml:space="preserve">3</w:t>
            </w:r>
            <w:r/>
          </w:p>
        </w:tc>
        <w:tc>
          <w:tcPr>
            <w:tcBorders>
              <w:top w:val="single" w:color="auto" w:sz="4" w:space="0"/>
              <w:left w:val="single" w:color="auto" w:sz="2" w:space="0"/>
              <w:right w:val="single" w:color="auto" w:sz="2" w:space="0"/>
            </w:tcBorders>
            <w:tcW w:w="355"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现场钻探及采样费用</w:t>
            </w:r>
            <w:r/>
          </w:p>
        </w:tc>
        <w:tc>
          <w:tcPr>
            <w:tcBorders>
              <w:top w:val="single" w:color="auto" w:sz="4" w:space="0"/>
              <w:left w:val="single" w:color="auto" w:sz="2" w:space="0"/>
              <w:bottom w:val="single" w:color="auto" w:sz="4" w:space="0"/>
              <w:right w:val="single" w:color="auto" w:sz="4" w:space="0"/>
            </w:tcBorders>
            <w:tcW w:w="2143"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申宁化工地块补充调查的钻探及采样工作，包括土壤钻探以及土壤样品采集（钻探深度至少为</w:t>
            </w:r>
            <w:r>
              <w:rPr>
                <w:rFonts w:hint="eastAsia" w:cs="Times New Roman"/>
                <w:color w:val="000000"/>
                <w:sz w:val="21"/>
                <w:szCs w:val="21"/>
                <w:highlight w:val="none"/>
              </w:rPr>
              <w:t xml:space="preserve">6m，部分点位需要钻探15m、30m</w:t>
            </w:r>
            <w:r>
              <w:rPr>
                <w:rFonts w:cs="Times New Roman"/>
                <w:color w:val="000000"/>
                <w:sz w:val="21"/>
                <w:szCs w:val="21"/>
                <w:highlight w:val="none"/>
              </w:rPr>
              <w:t xml:space="preserve">），土壤总钻探深度约</w:t>
            </w:r>
            <w:r>
              <w:rPr>
                <w:rFonts w:hint="eastAsia" w:cs="Times New Roman"/>
                <w:color w:val="000000"/>
                <w:sz w:val="21"/>
                <w:szCs w:val="21"/>
                <w:highlight w:val="none"/>
              </w:rPr>
              <w:t xml:space="preserve">150m</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150</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spacing w:line="240" w:lineRule="auto"/>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2" w:space="0"/>
            </w:tcBorders>
            <w:tcW w:w="20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bottom w:val="single" w:color="auto" w:sz="4" w:space="0"/>
              <w:right w:val="single" w:color="auto" w:sz="2" w:space="0"/>
            </w:tcBorders>
            <w:tcW w:w="355"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43"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申宁化工地块补充调查的钻探及采样工作，包括地下水建井以及地下水样品采集（建井深度至少为</w:t>
            </w:r>
            <w:r>
              <w:rPr>
                <w:rFonts w:hint="eastAsia" w:cs="Times New Roman"/>
                <w:color w:val="000000"/>
                <w:sz w:val="21"/>
                <w:szCs w:val="21"/>
                <w:highlight w:val="none"/>
              </w:rPr>
              <w:t xml:space="preserve">6m，部分点位建井深度需要达到15m、30m</w:t>
            </w:r>
            <w:r>
              <w:rPr>
                <w:rFonts w:cs="Times New Roman"/>
                <w:color w:val="000000"/>
                <w:sz w:val="21"/>
                <w:szCs w:val="21"/>
                <w:highlight w:val="none"/>
              </w:rPr>
              <w:t xml:space="preserve">），地下水总建井深度约</w:t>
            </w:r>
            <w:r>
              <w:rPr>
                <w:rFonts w:hint="eastAsia" w:cs="Times New Roman"/>
                <w:color w:val="000000"/>
                <w:sz w:val="21"/>
                <w:szCs w:val="21"/>
                <w:highlight w:val="none"/>
              </w:rPr>
              <w:t xml:space="preserve">200m</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200</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spacing w:line="240" w:lineRule="auto"/>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2" w:space="0"/>
            </w:tcBorders>
            <w:tcW w:w="203" w:type="pct"/>
            <w:vAlign w:val="center"/>
            <w:vMerge w:val="restart"/>
            <w:textDirection w:val="lrTb"/>
            <w:noWrap w:val="false"/>
          </w:tcPr>
          <w:p>
            <w:pPr>
              <w:jc w:val="center"/>
              <w:spacing w:line="240" w:lineRule="auto"/>
              <w:rPr>
                <w:rFonts w:cs="Times New Roman"/>
                <w:bCs/>
                <w:color w:val="000000"/>
                <w:sz w:val="21"/>
                <w:szCs w:val="21"/>
                <w:highlight w:val="none"/>
              </w:rPr>
            </w:pPr>
            <w:r>
              <w:rPr>
                <w:rFonts w:cs="Times New Roman"/>
                <w:color w:val="000000"/>
                <w:sz w:val="21"/>
                <w:szCs w:val="21"/>
                <w:highlight w:val="none"/>
              </w:rPr>
              <w:t xml:space="preserve">4</w:t>
            </w:r>
            <w:r/>
          </w:p>
        </w:tc>
        <w:tc>
          <w:tcPr>
            <w:tcBorders>
              <w:top w:val="single" w:color="auto" w:sz="4" w:space="0"/>
              <w:left w:val="single" w:color="auto" w:sz="2" w:space="0"/>
              <w:right w:val="single" w:color="auto" w:sz="2" w:space="0"/>
            </w:tcBorders>
            <w:tcW w:w="355"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bCs/>
                <w:color w:val="000000"/>
                <w:sz w:val="21"/>
                <w:szCs w:val="21"/>
                <w:highlight w:val="none"/>
              </w:rPr>
              <w:t xml:space="preserve">样品处理与检测费</w:t>
            </w:r>
            <w:r/>
          </w:p>
        </w:tc>
        <w:tc>
          <w:tcPr>
            <w:tcBorders>
              <w:top w:val="single" w:color="auto" w:sz="4" w:space="0"/>
              <w:left w:val="single" w:color="auto" w:sz="2" w:space="0"/>
              <w:bottom w:val="single" w:color="auto" w:sz="4" w:space="0"/>
              <w:right w:val="single" w:color="auto" w:sz="4" w:space="0"/>
            </w:tcBorders>
            <w:tcW w:w="2143"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土壤的检测因子需包括pH、重金属</w:t>
            </w:r>
            <w:r>
              <w:rPr>
                <w:rFonts w:hint="eastAsia" w:cs="Times New Roman"/>
                <w:color w:val="000000"/>
                <w:sz w:val="21"/>
                <w:szCs w:val="21"/>
                <w:highlight w:val="none"/>
              </w:rPr>
              <w:t xml:space="preserve">7项、挥发性有机污染物65项、半挥发性有机污染物64项、特征污染物17项（需要包括：</w:t>
            </w:r>
            <w:r>
              <w:rPr>
                <w:rFonts w:cs="Times New Roman"/>
                <w:color w:val="000000"/>
                <w:sz w:val="21"/>
                <w:szCs w:val="21"/>
                <w:highlight w:val="none"/>
              </w:rPr>
              <w:t xml:space="preserve">石油烃（C</w:t>
            </w:r>
            <w:r>
              <w:rPr>
                <w:rFonts w:cs="Times New Roman"/>
                <w:color w:val="000000"/>
                <w:sz w:val="21"/>
                <w:szCs w:val="21"/>
                <w:highlight w:val="none"/>
                <w:vertAlign w:val="subscript"/>
              </w:rPr>
              <w:t xml:space="preserve">10</w:t>
            </w:r>
            <w:r>
              <w:rPr>
                <w:rFonts w:cs="Times New Roman"/>
                <w:color w:val="000000"/>
                <w:sz w:val="21"/>
                <w:szCs w:val="21"/>
                <w:highlight w:val="none"/>
              </w:rPr>
              <w:t xml:space="preserve">-C</w:t>
            </w:r>
            <w:r>
              <w:rPr>
                <w:rFonts w:cs="Times New Roman"/>
                <w:color w:val="000000"/>
                <w:sz w:val="21"/>
                <w:szCs w:val="21"/>
                <w:highlight w:val="none"/>
                <w:vertAlign w:val="subscript"/>
              </w:rPr>
              <w:t xml:space="preserve">40</w:t>
            </w:r>
            <w:r>
              <w:rPr>
                <w:rFonts w:cs="Times New Roman"/>
                <w:color w:val="000000"/>
                <w:sz w:val="21"/>
                <w:szCs w:val="21"/>
                <w:highlight w:val="none"/>
              </w:rPr>
              <w:t xml:space="preserve">）、丙酮、四氢呋喃、乙酸乙酯、对苯二酚、乙醚、正丁醇、苯乙酮、均三甲苯、甲氰菊酯、氯氰菊酯、锌、硒、钒、氟化物、苯甲醚和2-萘乙酮</w:t>
            </w:r>
            <w:r>
              <w:rPr>
                <w:rFonts w:hint="eastAsia" w:cs="Times New Roman"/>
                <w:color w:val="000000"/>
                <w:sz w:val="21"/>
                <w:szCs w:val="21"/>
                <w:highlight w:val="none"/>
              </w:rPr>
              <w:t xml:space="preserve">等）</w:t>
            </w:r>
            <w:r>
              <w:rPr>
                <w:rFonts w:cs="Times New Roman"/>
                <w:color w:val="000000"/>
                <w:sz w:val="21"/>
                <w:szCs w:val="21"/>
                <w:highlight w:val="none"/>
              </w:rPr>
              <w:t xml:space="preserve">，土壤样品约</w:t>
            </w:r>
            <w:r>
              <w:rPr>
                <w:rFonts w:hint="eastAsia" w:cs="Times New Roman"/>
                <w:color w:val="000000"/>
                <w:sz w:val="21"/>
                <w:szCs w:val="21"/>
                <w:highlight w:val="none"/>
              </w:rPr>
              <w:t xml:space="preserve">100个</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100</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spacing w:line="240" w:lineRule="auto"/>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2" w:space="0"/>
            </w:tcBorders>
            <w:tcW w:w="20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right w:val="single" w:color="auto" w:sz="2" w:space="0"/>
            </w:tcBorders>
            <w:tcW w:w="355"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43"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周边地表水体的底泥，样品处理与检测费，</w:t>
            </w:r>
            <w:r>
              <w:rPr>
                <w:rFonts w:hint="eastAsia" w:cs="Times New Roman"/>
                <w:color w:val="000000"/>
                <w:sz w:val="21"/>
                <w:szCs w:val="21"/>
                <w:highlight w:val="none"/>
              </w:rPr>
              <w:t xml:space="preserve">底泥</w:t>
            </w:r>
            <w:r>
              <w:rPr>
                <w:rFonts w:cs="Times New Roman"/>
                <w:color w:val="000000"/>
                <w:sz w:val="21"/>
                <w:szCs w:val="21"/>
                <w:highlight w:val="none"/>
              </w:rPr>
              <w:t xml:space="preserve">的检测因子</w:t>
            </w:r>
            <w:r>
              <w:rPr>
                <w:rFonts w:hint="eastAsia" w:cs="Times New Roman"/>
                <w:color w:val="000000"/>
                <w:sz w:val="21"/>
                <w:szCs w:val="21"/>
                <w:highlight w:val="none"/>
              </w:rPr>
              <w:t xml:space="preserve">与</w:t>
            </w:r>
            <w:r>
              <w:rPr>
                <w:rFonts w:cs="Times New Roman"/>
                <w:color w:val="000000"/>
                <w:sz w:val="21"/>
                <w:szCs w:val="21"/>
                <w:highlight w:val="none"/>
              </w:rPr>
              <w:t xml:space="preserve">土壤的检测因子一致，</w:t>
            </w:r>
            <w:r>
              <w:rPr>
                <w:rFonts w:hint="eastAsia" w:cs="Times New Roman"/>
                <w:color w:val="000000"/>
                <w:sz w:val="21"/>
                <w:szCs w:val="21"/>
                <w:highlight w:val="none"/>
              </w:rPr>
              <w:t xml:space="preserve">底泥</w:t>
            </w:r>
            <w:r>
              <w:rPr>
                <w:rFonts w:cs="Times New Roman"/>
                <w:color w:val="000000"/>
                <w:sz w:val="21"/>
                <w:szCs w:val="21"/>
                <w:highlight w:val="none"/>
              </w:rPr>
              <w:t xml:space="preserve">样品约</w:t>
            </w:r>
            <w:r>
              <w:rPr>
                <w:rFonts w:hint="eastAsia" w:cs="Times New Roman"/>
                <w:color w:val="000000"/>
                <w:sz w:val="21"/>
                <w:szCs w:val="21"/>
                <w:highlight w:val="none"/>
              </w:rPr>
              <w:t xml:space="preserve">4个</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spacing w:line="240" w:lineRule="auto"/>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2" w:space="0"/>
            </w:tcBorders>
            <w:tcW w:w="20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right w:val="single" w:color="auto" w:sz="2" w:space="0"/>
            </w:tcBorders>
            <w:tcW w:w="355"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43"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地下水</w:t>
            </w:r>
            <w:r>
              <w:rPr>
                <w:rFonts w:cs="Times New Roman"/>
                <w:color w:val="000000"/>
                <w:sz w:val="21"/>
                <w:szCs w:val="21"/>
                <w:highlight w:val="none"/>
              </w:rPr>
              <w:t xml:space="preserve">的检测因子需包括pH、重金属</w:t>
            </w:r>
            <w:r>
              <w:rPr>
                <w:rFonts w:hint="eastAsia" w:cs="Times New Roman"/>
                <w:color w:val="000000"/>
                <w:sz w:val="21"/>
                <w:szCs w:val="21"/>
                <w:highlight w:val="none"/>
              </w:rPr>
              <w:t xml:space="preserve">7项、挥发性有机污染物65项、半挥发性有机污染物64项、特征污染物17项（需要包括：</w:t>
            </w:r>
            <w:r>
              <w:rPr>
                <w:rFonts w:cs="Times New Roman"/>
                <w:color w:val="000000"/>
                <w:sz w:val="21"/>
                <w:szCs w:val="21"/>
                <w:highlight w:val="none"/>
              </w:rPr>
              <w:t xml:space="preserve">石油烃（C</w:t>
            </w:r>
            <w:r>
              <w:rPr>
                <w:rFonts w:cs="Times New Roman"/>
                <w:color w:val="000000"/>
                <w:sz w:val="21"/>
                <w:szCs w:val="21"/>
                <w:highlight w:val="none"/>
                <w:vertAlign w:val="subscript"/>
              </w:rPr>
              <w:t xml:space="preserve">10</w:t>
            </w:r>
            <w:r>
              <w:rPr>
                <w:rFonts w:cs="Times New Roman"/>
                <w:color w:val="000000"/>
                <w:sz w:val="21"/>
                <w:szCs w:val="21"/>
                <w:highlight w:val="none"/>
              </w:rPr>
              <w:t xml:space="preserve">-C</w:t>
            </w:r>
            <w:r>
              <w:rPr>
                <w:rFonts w:cs="Times New Roman"/>
                <w:color w:val="000000"/>
                <w:sz w:val="21"/>
                <w:szCs w:val="21"/>
                <w:highlight w:val="none"/>
                <w:vertAlign w:val="subscript"/>
              </w:rPr>
              <w:t xml:space="preserve">40</w:t>
            </w:r>
            <w:r>
              <w:rPr>
                <w:rFonts w:cs="Times New Roman"/>
                <w:color w:val="000000"/>
                <w:sz w:val="21"/>
                <w:szCs w:val="21"/>
                <w:highlight w:val="none"/>
              </w:rPr>
              <w:t xml:space="preserve">）、丙酮、四氢呋喃、乙酸乙酯、对苯二酚、乙醚、正丁醇、苯乙酮、均三甲苯、甲氰菊酯、氯氰菊酯、锌、硒、钒、氟化物、苯甲醚和2-萘乙酮</w:t>
            </w:r>
            <w:r>
              <w:rPr>
                <w:rFonts w:hint="eastAsia" w:cs="Times New Roman"/>
                <w:color w:val="000000"/>
                <w:sz w:val="21"/>
                <w:szCs w:val="21"/>
                <w:highlight w:val="none"/>
              </w:rPr>
              <w:t xml:space="preserve">等）、《地下水质量标准》(GBT14848-2017)中的感官性状无机指标等25项等。考虑</w:t>
            </w:r>
            <w:r>
              <w:rPr>
                <w:rFonts w:cs="Times New Roman"/>
                <w:color w:val="000000"/>
                <w:sz w:val="21"/>
                <w:szCs w:val="21"/>
                <w:highlight w:val="none"/>
              </w:rPr>
              <w:t xml:space="preserve">到地块内涉及</w:t>
            </w:r>
            <w:r>
              <w:rPr>
                <w:rFonts w:hint="eastAsia" w:cs="Times New Roman"/>
                <w:color w:val="000000"/>
                <w:sz w:val="21"/>
                <w:szCs w:val="21"/>
                <w:highlight w:val="none"/>
              </w:rPr>
              <w:t xml:space="preserve">DNAPL类物质超标，根据技术规范要求需要分别在水位线以下0.5m和井管底部采集地下水样品</w:t>
            </w:r>
            <w:r>
              <w:rPr>
                <w:rFonts w:cs="Times New Roman"/>
                <w:color w:val="000000"/>
                <w:sz w:val="21"/>
                <w:szCs w:val="21"/>
                <w:highlight w:val="none"/>
              </w:rPr>
              <w:t xml:space="preserve">，地下水样品约</w:t>
            </w:r>
            <w:r>
              <w:rPr>
                <w:rFonts w:hint="eastAsia" w:cs="Times New Roman"/>
                <w:color w:val="000000"/>
                <w:sz w:val="21"/>
                <w:szCs w:val="21"/>
                <w:highlight w:val="none"/>
              </w:rPr>
              <w:t xml:space="preserve">28个</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28</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spacing w:line="240" w:lineRule="auto"/>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2" w:space="0"/>
            </w:tcBorders>
            <w:tcW w:w="20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bottom w:val="single" w:color="auto" w:sz="4" w:space="0"/>
              <w:right w:val="single" w:color="auto" w:sz="2" w:space="0"/>
            </w:tcBorders>
            <w:tcW w:w="355"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43"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周边地表水体的地表水，样品处理与检测费，</w:t>
            </w:r>
            <w:r>
              <w:rPr>
                <w:rFonts w:hint="eastAsia" w:cs="Times New Roman"/>
                <w:color w:val="000000"/>
                <w:sz w:val="21"/>
                <w:szCs w:val="21"/>
                <w:highlight w:val="none"/>
              </w:rPr>
              <w:t xml:space="preserve">地表水</w:t>
            </w:r>
            <w:r>
              <w:rPr>
                <w:rFonts w:cs="Times New Roman"/>
                <w:color w:val="000000"/>
                <w:sz w:val="21"/>
                <w:szCs w:val="21"/>
                <w:highlight w:val="none"/>
              </w:rPr>
              <w:t xml:space="preserve">的检测因子</w:t>
            </w:r>
            <w:r>
              <w:rPr>
                <w:rFonts w:hint="eastAsia" w:cs="Times New Roman"/>
                <w:color w:val="000000"/>
                <w:sz w:val="21"/>
                <w:szCs w:val="21"/>
                <w:highlight w:val="none"/>
              </w:rPr>
              <w:t xml:space="preserve">与</w:t>
            </w:r>
            <w:r>
              <w:rPr>
                <w:rFonts w:cs="Times New Roman"/>
                <w:color w:val="000000"/>
                <w:sz w:val="21"/>
                <w:szCs w:val="21"/>
                <w:highlight w:val="none"/>
              </w:rPr>
              <w:t xml:space="preserve">土壤的检测因子一致，地表水样品约</w:t>
            </w:r>
            <w:r>
              <w:rPr>
                <w:rFonts w:hint="eastAsia" w:cs="Times New Roman"/>
                <w:color w:val="000000"/>
                <w:sz w:val="21"/>
                <w:szCs w:val="21"/>
                <w:highlight w:val="none"/>
              </w:rPr>
              <w:t xml:space="preserve">4个</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spacing w:line="240" w:lineRule="auto"/>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2" w:space="0"/>
            </w:tcBorders>
            <w:tcW w:w="203"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5</w:t>
            </w:r>
            <w:r/>
          </w:p>
        </w:tc>
        <w:tc>
          <w:tcPr>
            <w:tcBorders>
              <w:top w:val="single" w:color="auto" w:sz="2" w:space="0"/>
              <w:left w:val="single" w:color="auto" w:sz="2" w:space="0"/>
              <w:right w:val="single" w:color="auto" w:sz="2" w:space="0"/>
            </w:tcBorders>
            <w:tcW w:w="355" w:type="pct"/>
            <w:vAlign w:val="center"/>
            <w:vMerge w:val="restart"/>
            <w:textDirection w:val="lrTb"/>
            <w:noWrap w:val="false"/>
          </w:tcPr>
          <w:p>
            <w:pPr>
              <w:jc w:val="center"/>
              <w:spacing w:line="240" w:lineRule="auto"/>
              <w:rPr>
                <w:rFonts w:cs="Times New Roman"/>
                <w:bCs/>
                <w:color w:val="000000"/>
                <w:sz w:val="21"/>
                <w:szCs w:val="21"/>
                <w:highlight w:val="none"/>
              </w:rPr>
            </w:pPr>
            <w:r>
              <w:rPr>
                <w:rFonts w:cs="Times New Roman"/>
                <w:color w:val="000000"/>
                <w:sz w:val="21"/>
                <w:szCs w:val="21"/>
                <w:highlight w:val="none"/>
              </w:rPr>
              <w:t xml:space="preserve">污染物入江风险评估</w:t>
            </w:r>
            <w:r/>
          </w:p>
        </w:tc>
        <w:tc>
          <w:tcPr>
            <w:tcBorders>
              <w:top w:val="single" w:color="auto" w:sz="2" w:space="0"/>
              <w:left w:val="single" w:color="auto" w:sz="2" w:space="0"/>
              <w:bottom w:val="single" w:color="auto" w:sz="2" w:space="0"/>
              <w:right w:val="single" w:color="auto" w:sz="2" w:space="0"/>
            </w:tcBorders>
            <w:tcW w:w="2143"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开展</w:t>
            </w:r>
            <w:r>
              <w:rPr>
                <w:rFonts w:cs="Times New Roman"/>
                <w:bCs/>
                <w:color w:val="000000"/>
                <w:sz w:val="21"/>
                <w:szCs w:val="21"/>
                <w:highlight w:val="none"/>
              </w:rPr>
              <w:t xml:space="preserve">入江风险识别与途径分析，</w:t>
            </w:r>
            <w:r>
              <w:rPr>
                <w:rFonts w:hint="eastAsia" w:cs="Times New Roman"/>
                <w:bCs/>
                <w:color w:val="000000"/>
                <w:sz w:val="21"/>
                <w:szCs w:val="21"/>
                <w:highlight w:val="none"/>
              </w:rPr>
              <w:t xml:space="preserve">结合地块利用类型，识别入江风险因素，分析污染物入江的主要途径及可行性，包括地块污染本身风险、水文水力联系风险、污染物入江途径风险、敏感目标影响风险、暴雨与汛期风险、开发建设新增风险等</w:t>
            </w:r>
            <w:r/>
          </w:p>
        </w:tc>
        <w:tc>
          <w:tcPr>
            <w:tcBorders>
              <w:top w:val="single" w:color="auto" w:sz="4" w:space="0"/>
              <w:left w:val="single" w:color="auto" w:sz="4" w:space="0"/>
              <w:right w:val="single" w:color="auto" w:sz="4" w:space="0"/>
            </w:tcBorders>
            <w:tcW w:w="322"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项</w:t>
            </w:r>
            <w:r/>
          </w:p>
        </w:tc>
        <w:tc>
          <w:tcPr>
            <w:tcBorders>
              <w:top w:val="single" w:color="auto" w:sz="4" w:space="0"/>
              <w:left w:val="single" w:color="auto" w:sz="4" w:space="0"/>
              <w:right w:val="single" w:color="auto" w:sz="4" w:space="0"/>
            </w:tcBorders>
            <w:tcW w:w="336"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right w:val="single" w:color="auto" w:sz="4" w:space="0"/>
            </w:tcBorders>
            <w:tcW w:w="522"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right w:val="single" w:color="auto" w:sz="4" w:space="0"/>
            </w:tcBorders>
            <w:tcW w:w="564"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right w:val="single" w:color="auto" w:sz="4" w:space="0"/>
            </w:tcBorders>
            <w:tcW w:w="552" w:type="pct"/>
            <w:vAlign w:val="center"/>
            <w:vMerge w:val="restart"/>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20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right w:val="single" w:color="auto" w:sz="2" w:space="0"/>
            </w:tcBorders>
            <w:tcW w:w="355"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43"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开展</w:t>
            </w:r>
            <w:r>
              <w:rPr>
                <w:rFonts w:hint="eastAsia" w:cs="Times New Roman"/>
                <w:color w:val="000000"/>
                <w:sz w:val="21"/>
                <w:szCs w:val="21"/>
                <w:highlight w:val="none"/>
              </w:rPr>
              <w:t xml:space="preserve">风险计算与等级判定，采用定性与定量相结合的方法，计算风险指标，判定地块入江风险等级。风险计算采用地下水模拟软件GMS根据MODFLOW模块构建三维有限差分地下水流模型进行计算，需要结合含水层概化和边界条件，开展地下水水流模拟及地下水溶质运移模拟。</w:t>
            </w:r>
            <w:r/>
          </w:p>
        </w:tc>
        <w:tc>
          <w:tcPr>
            <w:tcBorders>
              <w:left w:val="single" w:color="auto" w:sz="4" w:space="0"/>
              <w:right w:val="single" w:color="auto" w:sz="4" w:space="0"/>
            </w:tcBorders>
            <w:tcW w:w="32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336"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2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64"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52"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20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right w:val="single" w:color="auto" w:sz="2" w:space="0"/>
            </w:tcBorders>
            <w:tcW w:w="355"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43"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开展</w:t>
            </w:r>
            <w:r>
              <w:rPr>
                <w:rFonts w:cs="Times New Roman"/>
                <w:bCs/>
                <w:color w:val="000000"/>
                <w:sz w:val="21"/>
                <w:szCs w:val="21"/>
                <w:highlight w:val="none"/>
              </w:rPr>
              <w:t xml:space="preserve">入江风险防控措施，</w:t>
            </w:r>
            <w:r>
              <w:rPr>
                <w:rFonts w:hint="eastAsia" w:cs="Times New Roman"/>
                <w:bCs/>
                <w:color w:val="000000"/>
                <w:sz w:val="21"/>
                <w:szCs w:val="21"/>
                <w:highlight w:val="none"/>
              </w:rPr>
              <w:t xml:space="preserve">结合风险等级及地块利用类型，制定针对性、可操作的源头管控、过程拦截、应急处置及长效监测措施</w:t>
            </w:r>
            <w:r/>
          </w:p>
        </w:tc>
        <w:tc>
          <w:tcPr>
            <w:tcBorders>
              <w:left w:val="single" w:color="auto" w:sz="4" w:space="0"/>
              <w:right w:val="single" w:color="auto" w:sz="4" w:space="0"/>
            </w:tcBorders>
            <w:tcW w:w="32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336"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2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64"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52"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2" w:space="0"/>
            </w:tcBorders>
            <w:tcW w:w="20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bottom w:val="single" w:color="auto" w:sz="2" w:space="0"/>
              <w:right w:val="single" w:color="auto" w:sz="2" w:space="0"/>
            </w:tcBorders>
            <w:tcW w:w="355"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43"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开展</w:t>
            </w:r>
            <w:r>
              <w:rPr>
                <w:rFonts w:cs="Times New Roman"/>
                <w:bCs/>
                <w:color w:val="000000"/>
                <w:sz w:val="21"/>
                <w:szCs w:val="21"/>
                <w:highlight w:val="none"/>
              </w:rPr>
              <w:t xml:space="preserve">风险分析报告编制，</w:t>
            </w:r>
            <w:r>
              <w:rPr>
                <w:rFonts w:hint="eastAsia" w:cs="Times New Roman"/>
                <w:bCs/>
                <w:color w:val="000000"/>
                <w:sz w:val="21"/>
                <w:szCs w:val="21"/>
                <w:highlight w:val="none"/>
              </w:rPr>
              <w:t xml:space="preserve">编制入江风险分析报告，作为地块开发利用及监管的依据</w:t>
            </w:r>
            <w:r/>
          </w:p>
        </w:tc>
        <w:tc>
          <w:tcPr>
            <w:tcBorders>
              <w:left w:val="single" w:color="auto" w:sz="4" w:space="0"/>
              <w:bottom w:val="single" w:color="auto" w:sz="4" w:space="0"/>
              <w:right w:val="single" w:color="auto" w:sz="4" w:space="0"/>
            </w:tcBorders>
            <w:tcW w:w="32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336"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2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64"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52"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2" w:space="0"/>
            </w:tcBorders>
            <w:tcW w:w="203"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6</w:t>
            </w:r>
            <w:r/>
          </w:p>
        </w:tc>
        <w:tc>
          <w:tcPr>
            <w:tcBorders>
              <w:top w:val="single" w:color="auto" w:sz="2" w:space="0"/>
              <w:left w:val="single" w:color="auto" w:sz="2" w:space="0"/>
              <w:right w:val="single" w:color="auto" w:sz="2" w:space="0"/>
            </w:tcBorders>
            <w:tcW w:w="355" w:type="pct"/>
            <w:vAlign w:val="center"/>
            <w:vMerge w:val="restart"/>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t xml:space="preserve">风险评估报告编制、修改、备案等。</w:t>
            </w:r>
            <w:r/>
          </w:p>
        </w:tc>
        <w:tc>
          <w:tcPr>
            <w:tcBorders>
              <w:top w:val="single" w:color="auto" w:sz="2" w:space="0"/>
              <w:left w:val="single" w:color="auto" w:sz="2" w:space="0"/>
              <w:bottom w:val="single" w:color="auto" w:sz="2" w:space="0"/>
              <w:right w:val="single" w:color="auto" w:sz="2" w:space="0"/>
            </w:tcBorders>
            <w:tcW w:w="2143"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开展危害识别，收集土壤污染状况调查阶段获得的相关资料和数据，掌握地块土壤和地下水中关注污染物的浓度分布，明确规划土地利用方式，分析可能的敏感受体，如儿童、成人、地下水体等。</w:t>
            </w:r>
            <w:r/>
          </w:p>
        </w:tc>
        <w:tc>
          <w:tcPr>
            <w:tcBorders>
              <w:top w:val="single" w:color="auto" w:sz="4" w:space="0"/>
              <w:left w:val="single" w:color="auto" w:sz="4" w:space="0"/>
              <w:right w:val="single" w:color="auto" w:sz="4" w:space="0"/>
            </w:tcBorders>
            <w:tcW w:w="322"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项</w:t>
            </w:r>
            <w:r/>
          </w:p>
        </w:tc>
        <w:tc>
          <w:tcPr>
            <w:tcBorders>
              <w:top w:val="single" w:color="auto" w:sz="4" w:space="0"/>
              <w:left w:val="single" w:color="auto" w:sz="4" w:space="0"/>
              <w:right w:val="single" w:color="auto" w:sz="4" w:space="0"/>
            </w:tcBorders>
            <w:tcW w:w="336"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right w:val="single" w:color="auto" w:sz="4" w:space="0"/>
            </w:tcBorders>
            <w:tcW w:w="522"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right w:val="single" w:color="auto" w:sz="4" w:space="0"/>
            </w:tcBorders>
            <w:tcW w:w="564"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right w:val="single" w:color="auto" w:sz="4" w:space="0"/>
            </w:tcBorders>
            <w:tcW w:w="552" w:type="pct"/>
            <w:vAlign w:val="center"/>
            <w:vMerge w:val="restart"/>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20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right w:val="single" w:color="auto" w:sz="2" w:space="0"/>
            </w:tcBorders>
            <w:tcW w:w="355"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43"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开展暴露评估，在危害识别的基础上，分析地块内关注污染物迁移和危害敏感受体的可能性，确定地块地下水污染物的主要暴露途径和暴露评估模型，确定评估模型参数取值，计算敏感人群对地下水中污染物的暴露量。</w:t>
            </w:r>
            <w:r/>
          </w:p>
        </w:tc>
        <w:tc>
          <w:tcPr>
            <w:tcBorders>
              <w:left w:val="single" w:color="auto" w:sz="4" w:space="0"/>
              <w:right w:val="single" w:color="auto" w:sz="4" w:space="0"/>
            </w:tcBorders>
            <w:tcW w:w="32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336"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2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64"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52"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20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right w:val="single" w:color="auto" w:sz="2" w:space="0"/>
            </w:tcBorders>
            <w:tcW w:w="355"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43"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开展毒性评估，在危害识别的基础上，分析关注污染物对人体健康的危害效应，包括致癌效应和非致癌效应，确定与关注污染物相关的参数，包括参考剂量、参考浓度、致癌斜率因子和呼吸吸入单位致癌因子等。</w:t>
            </w:r>
            <w:r/>
          </w:p>
        </w:tc>
        <w:tc>
          <w:tcPr>
            <w:tcBorders>
              <w:left w:val="single" w:color="auto" w:sz="4" w:space="0"/>
              <w:right w:val="single" w:color="auto" w:sz="4" w:space="0"/>
            </w:tcBorders>
            <w:tcW w:w="32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336"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2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64"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52"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20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right w:val="single" w:color="auto" w:sz="2" w:space="0"/>
            </w:tcBorders>
            <w:tcW w:w="355"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43"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开展风险表征，在暴露评估和毒性评估的基础上，采用风险评估模型计算土壤和地下水中单一污染物经单一途径的致癌风险和危害商，计算单一污染物的总致癌风险和危害商，进行不确定性分析。</w:t>
            </w:r>
            <w:r/>
          </w:p>
        </w:tc>
        <w:tc>
          <w:tcPr>
            <w:tcBorders>
              <w:left w:val="single" w:color="auto" w:sz="4" w:space="0"/>
              <w:right w:val="single" w:color="auto" w:sz="4" w:space="0"/>
            </w:tcBorders>
            <w:tcW w:w="32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336"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2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64"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52"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2" w:space="0"/>
            </w:tcBorders>
            <w:tcW w:w="20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bottom w:val="single" w:color="auto" w:sz="2" w:space="0"/>
              <w:right w:val="single" w:color="auto" w:sz="2" w:space="0"/>
            </w:tcBorders>
            <w:tcW w:w="355"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43"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开展土壤和地下水风险控制值的计算，在风险表征的基础上，判断计算得到的风险值是否超过可接受风险水平。如地块风险评估结果未超过可接受风险水平，则结束风险评估工作；如地块风险评估结果超过可接受风险水平，则计算土壤、地下水中关注污染物的风险控制值；如调查结果表明，土壤中关注污染物可迁移进入地下水，则计算保护地下水的土壤风险控制值；根据计算结果，提出关注污染物的土壤和地下水风险控制值。</w:t>
            </w:r>
            <w:r/>
          </w:p>
        </w:tc>
        <w:tc>
          <w:tcPr>
            <w:tcBorders>
              <w:left w:val="single" w:color="auto" w:sz="4" w:space="0"/>
              <w:bottom w:val="single" w:color="auto" w:sz="4" w:space="0"/>
              <w:right w:val="single" w:color="auto" w:sz="4" w:space="0"/>
            </w:tcBorders>
            <w:tcW w:w="32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336"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2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64"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52"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4" w:space="0"/>
            </w:tcBorders>
            <w:tcW w:w="203"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7</w:t>
            </w:r>
            <w:r/>
          </w:p>
        </w:tc>
        <w:tc>
          <w:tcPr>
            <w:tcBorders>
              <w:top w:val="single" w:color="auto" w:sz="4" w:space="0"/>
              <w:left w:val="single" w:color="auto" w:sz="4" w:space="0"/>
              <w:right w:val="single" w:color="auto" w:sz="4" w:space="0"/>
            </w:tcBorders>
            <w:tcW w:w="355"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bCs/>
                <w:color w:val="000000"/>
                <w:sz w:val="21"/>
                <w:szCs w:val="21"/>
                <w:highlight w:val="none"/>
              </w:rPr>
              <w:t xml:space="preserve">风险评估报告专家费、会务费、</w:t>
            </w:r>
            <w:r>
              <w:rPr>
                <w:rFonts w:hint="eastAsia" w:eastAsia="宋体" w:cs="Times New Roman"/>
                <w:bCs/>
                <w:color w:val="000000"/>
                <w:sz w:val="21"/>
                <w:szCs w:val="21"/>
                <w:highlight w:val="none"/>
                <w:lang w:val="en-US" w:eastAsia="zh-CN"/>
              </w:rPr>
              <w:t xml:space="preserve">彩色</w:t>
            </w:r>
            <w:r>
              <w:rPr>
                <w:rFonts w:cs="Times New Roman"/>
                <w:bCs/>
                <w:color w:val="000000"/>
                <w:sz w:val="21"/>
                <w:szCs w:val="21"/>
                <w:highlight w:val="none"/>
              </w:rPr>
              <w:t xml:space="preserve">打印费等</w:t>
            </w:r>
            <w:r/>
          </w:p>
        </w:tc>
        <w:tc>
          <w:tcPr>
            <w:tcBorders>
              <w:top w:val="single" w:color="auto" w:sz="2" w:space="0"/>
              <w:left w:val="single" w:color="auto" w:sz="4" w:space="0"/>
              <w:bottom w:val="single" w:color="auto" w:sz="4" w:space="0"/>
              <w:right w:val="single" w:color="auto" w:sz="4" w:space="0"/>
            </w:tcBorders>
            <w:tcW w:w="2143"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bCs/>
                <w:color w:val="000000"/>
                <w:sz w:val="21"/>
                <w:szCs w:val="21"/>
                <w:highlight w:val="none"/>
              </w:rPr>
              <w:t xml:space="preserve">市生态环境局至少邀请5名业内专家及相关部门领导，组织召开专家评审会</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项</w:t>
            </w:r>
            <w:r/>
          </w:p>
        </w:tc>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4" w:space="0"/>
            </w:tcBorders>
            <w:tcW w:w="20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355"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2" w:space="0"/>
              <w:left w:val="single" w:color="auto" w:sz="4" w:space="0"/>
              <w:bottom w:val="single" w:color="auto" w:sz="4" w:space="0"/>
              <w:right w:val="single" w:color="auto" w:sz="4" w:space="0"/>
            </w:tcBorders>
            <w:tcW w:w="2143"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省生态环境厅至少邀请5名业内专家及相关部门领导，组织召开专家评审会</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项</w:t>
            </w:r>
            <w:r/>
          </w:p>
        </w:tc>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917"/>
        </w:trPr>
        <w:tc>
          <w:tcPr>
            <w:gridSpan w:val="6"/>
            <w:tcBorders>
              <w:top w:val="single" w:color="auto" w:sz="2" w:space="0"/>
              <w:left w:val="single" w:color="auto" w:sz="2" w:space="0"/>
              <w:bottom w:val="single" w:color="auto" w:sz="4" w:space="0"/>
              <w:right w:val="single" w:color="auto" w:sz="4" w:space="0"/>
            </w:tcBorders>
            <w:tcW w:w="3883"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w:t>
            </w:r>
            <w:r/>
          </w:p>
        </w:tc>
      </w:tr>
    </w:tbl>
    <w:p>
      <w:pPr>
        <w:jc w:val="center"/>
        <w:rPr>
          <w:rFonts w:cs="Times New Roman"/>
          <w:b/>
          <w:bCs/>
          <w:color w:val="000000"/>
          <w:highlight w:val="none"/>
        </w:rPr>
      </w:pPr>
      <w:r>
        <w:rPr>
          <w:rFonts w:cs="Times New Roman"/>
          <w:b/>
          <w:bCs/>
          <w:color w:val="000000"/>
          <w:highlight w:val="none"/>
        </w:rPr>
        <w:br w:type="page" w:clear="all"/>
      </w:r>
      <w:r>
        <w:rPr>
          <w:rFonts w:cs="Times New Roman"/>
          <w:b/>
          <w:bCs/>
          <w:color w:val="000000"/>
          <w:highlight w:val="none"/>
        </w:rPr>
        <w:t xml:space="preserve">表2  原南京祥宇农药有限公司地块风险评估项目费用报价明细表</w:t>
      </w:r>
      <w:r/>
    </w:p>
    <w:tbl>
      <w:tblPr>
        <w:tblStyle w:val="727"/>
        <w:tblW w:w="5035" w:type="pct"/>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autofit"/>
        <w:tblCellMar>
          <w:left w:w="0" w:type="dxa"/>
          <w:top w:w="0" w:type="dxa"/>
          <w:right w:w="0" w:type="dxa"/>
          <w:bottom w:w="0" w:type="dxa"/>
        </w:tblCellMar>
        <w:tblLook w:val="04A0" w:firstRow="1" w:lastRow="0" w:firstColumn="1" w:lastColumn="0" w:noHBand="0" w:noVBand="1"/>
      </w:tblPr>
      <w:tblGrid>
        <w:gridCol w:w="519"/>
        <w:gridCol w:w="1051"/>
        <w:gridCol w:w="6074"/>
        <w:gridCol w:w="890"/>
        <w:gridCol w:w="966"/>
        <w:gridCol w:w="1506"/>
        <w:gridCol w:w="1613"/>
        <w:gridCol w:w="1503"/>
      </w:tblGrid>
      <w:tr>
        <w:trPr>
          <w:jc w:val="center"/>
          <w:trHeight w:val="20"/>
        </w:trPr>
        <w:tc>
          <w:tcPr>
            <w:tcBorders>
              <w:top w:val="single" w:color="auto" w:sz="8" w:space="0"/>
              <w:left w:val="single" w:color="auto" w:sz="8" w:space="0"/>
              <w:bottom w:val="single" w:color="auto" w:sz="2" w:space="0"/>
              <w:right w:val="single" w:color="auto" w:sz="2" w:space="0"/>
            </w:tcBorders>
            <w:tcW w:w="184"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序号</w:t>
            </w:r>
            <w:r/>
          </w:p>
        </w:tc>
        <w:tc>
          <w:tcPr>
            <w:tcBorders>
              <w:top w:val="single" w:color="auto" w:sz="8" w:space="0"/>
              <w:left w:val="single" w:color="auto" w:sz="2" w:space="0"/>
              <w:bottom w:val="single" w:color="auto" w:sz="2" w:space="0"/>
              <w:right w:val="single" w:color="auto" w:sz="2" w:space="0"/>
            </w:tcBorders>
            <w:tcW w:w="372"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工作</w:t>
            </w:r>
            <w:r>
              <w:rPr>
                <w:rFonts w:hint="eastAsia" w:cs="Times New Roman"/>
                <w:b/>
                <w:color w:val="000000"/>
                <w:sz w:val="21"/>
                <w:szCs w:val="21"/>
                <w:highlight w:val="none"/>
              </w:rPr>
              <w:t xml:space="preserve">分类</w:t>
            </w:r>
            <w:r/>
          </w:p>
        </w:tc>
        <w:tc>
          <w:tcPr>
            <w:tcBorders>
              <w:top w:val="single" w:color="auto" w:sz="8" w:space="0"/>
              <w:left w:val="single" w:color="auto" w:sz="2" w:space="0"/>
              <w:bottom w:val="single" w:color="auto" w:sz="2" w:space="0"/>
              <w:right w:val="single" w:color="auto" w:sz="2" w:space="0"/>
            </w:tcBorders>
            <w:tcW w:w="2150"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工作内容</w:t>
            </w:r>
            <w:r/>
          </w:p>
        </w:tc>
        <w:tc>
          <w:tcPr>
            <w:tcBorders>
              <w:top w:val="single" w:color="auto" w:sz="8" w:space="0"/>
              <w:left w:val="single" w:color="auto" w:sz="2" w:space="0"/>
              <w:bottom w:val="single" w:color="auto" w:sz="4" w:space="0"/>
              <w:right w:val="single" w:color="auto" w:sz="2" w:space="0"/>
            </w:tcBorders>
            <w:tcW w:w="315"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计量</w:t>
            </w:r>
            <w:r/>
          </w:p>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单位</w:t>
            </w:r>
            <w:r/>
          </w:p>
        </w:tc>
        <w:tc>
          <w:tcPr>
            <w:tcBorders>
              <w:top w:val="single" w:color="auto" w:sz="8" w:space="0"/>
              <w:left w:val="single" w:color="auto" w:sz="2" w:space="0"/>
              <w:bottom w:val="single" w:color="auto" w:sz="4" w:space="0"/>
              <w:right w:val="single" w:color="auto" w:sz="2" w:space="0"/>
            </w:tcBorders>
            <w:tcW w:w="342"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数量</w:t>
            </w:r>
            <w:r/>
          </w:p>
        </w:tc>
        <w:tc>
          <w:tcPr>
            <w:tcBorders>
              <w:top w:val="single" w:color="auto" w:sz="8" w:space="0"/>
              <w:left w:val="single" w:color="auto" w:sz="2" w:space="0"/>
              <w:bottom w:val="single" w:color="auto" w:sz="4" w:space="0"/>
              <w:right w:val="single" w:color="auto" w:sz="2" w:space="0"/>
            </w:tcBorders>
            <w:tcW w:w="532"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单价</w:t>
            </w:r>
            <w:r/>
          </w:p>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（万元）</w:t>
            </w:r>
            <w:r/>
          </w:p>
        </w:tc>
        <w:tc>
          <w:tcPr>
            <w:tcBorders>
              <w:top w:val="single" w:color="auto" w:sz="8" w:space="0"/>
              <w:left w:val="single" w:color="auto" w:sz="2" w:space="0"/>
              <w:bottom w:val="single" w:color="auto" w:sz="4" w:space="0"/>
              <w:right w:val="single" w:color="auto" w:sz="8" w:space="0"/>
            </w:tcBorders>
            <w:tcW w:w="571" w:type="pct"/>
            <w:vAlign w:val="center"/>
            <w:textDirection w:val="lrTb"/>
            <w:noWrap w:val="false"/>
          </w:tcPr>
          <w:p>
            <w:pPr>
              <w:jc w:val="center"/>
              <w:spacing w:line="240" w:lineRule="auto"/>
              <w:rPr>
                <w:rFonts w:cs="Times New Roman"/>
                <w:b/>
                <w:color w:val="000000"/>
                <w:sz w:val="21"/>
                <w:szCs w:val="21"/>
                <w:highlight w:val="none"/>
              </w:rPr>
            </w:pPr>
            <w:r>
              <w:rPr>
                <w:rFonts w:hint="eastAsia" w:cs="Times New Roman"/>
                <w:b/>
                <w:color w:val="000000"/>
                <w:sz w:val="21"/>
                <w:szCs w:val="21"/>
                <w:highlight w:val="none"/>
              </w:rPr>
              <w:t xml:space="preserve">小计</w:t>
            </w:r>
            <w:r/>
          </w:p>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（万元）</w:t>
            </w:r>
            <w:r/>
          </w:p>
        </w:tc>
        <w:tc>
          <w:tcPr>
            <w:tcBorders>
              <w:top w:val="single" w:color="auto" w:sz="8" w:space="0"/>
              <w:left w:val="single" w:color="auto" w:sz="2" w:space="0"/>
              <w:bottom w:val="single" w:color="auto" w:sz="4" w:space="0"/>
              <w:right w:val="single" w:color="auto" w:sz="8" w:space="0"/>
            </w:tcBorders>
            <w:tcW w:w="532" w:type="pct"/>
            <w:vAlign w:val="center"/>
            <w:textDirection w:val="lrTb"/>
            <w:noWrap w:val="false"/>
          </w:tcPr>
          <w:p>
            <w:pPr>
              <w:jc w:val="center"/>
              <w:spacing w:line="240" w:lineRule="auto"/>
              <w:rPr>
                <w:rFonts w:cs="Times New Roman"/>
                <w:b/>
                <w:color w:val="000000"/>
                <w:sz w:val="21"/>
                <w:szCs w:val="21"/>
                <w:highlight w:val="none"/>
              </w:rPr>
            </w:pPr>
            <w:r>
              <w:rPr>
                <w:rFonts w:hint="eastAsia" w:cs="Times New Roman"/>
                <w:b/>
                <w:color w:val="000000"/>
                <w:sz w:val="21"/>
                <w:szCs w:val="21"/>
                <w:highlight w:val="none"/>
              </w:rPr>
              <w:t xml:space="preserve">备注</w:t>
            </w:r>
            <w:r/>
          </w:p>
        </w:tc>
      </w:tr>
      <w:tr>
        <w:trPr>
          <w:jc w:val="center"/>
          <w:trHeight w:val="20"/>
        </w:trPr>
        <w:tc>
          <w:tcPr>
            <w:tcBorders>
              <w:top w:val="single" w:color="auto" w:sz="4" w:space="0"/>
              <w:left w:val="single" w:color="auto" w:sz="8" w:space="0"/>
              <w:right w:val="single" w:color="auto" w:sz="2" w:space="0"/>
            </w:tcBorders>
            <w:tcW w:w="184"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bCs/>
                <w:color w:val="000000"/>
                <w:sz w:val="21"/>
                <w:szCs w:val="21"/>
                <w:highlight w:val="none"/>
              </w:rPr>
              <w:t xml:space="preserve">1</w:t>
            </w:r>
            <w:r/>
          </w:p>
        </w:tc>
        <w:tc>
          <w:tcPr>
            <w:tcBorders>
              <w:top w:val="single" w:color="auto" w:sz="4" w:space="0"/>
              <w:left w:val="single" w:color="auto" w:sz="2" w:space="0"/>
              <w:right w:val="single" w:color="auto" w:sz="2" w:space="0"/>
            </w:tcBorders>
            <w:tcW w:w="372"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水文地质勘察</w:t>
            </w:r>
            <w:r/>
          </w:p>
        </w:tc>
        <w:tc>
          <w:tcPr>
            <w:tcBorders>
              <w:top w:val="single" w:color="auto" w:sz="4" w:space="0"/>
              <w:left w:val="single" w:color="auto" w:sz="2" w:space="0"/>
              <w:bottom w:val="single" w:color="auto" w:sz="4" w:space="0"/>
              <w:right w:val="single" w:color="auto" w:sz="4" w:space="0"/>
            </w:tcBorders>
            <w:tcW w:w="215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含水文地质勘察钻孔</w:t>
            </w:r>
            <w:r>
              <w:rPr>
                <w:rFonts w:hint="eastAsia" w:cs="Times New Roman"/>
                <w:color w:val="000000"/>
                <w:sz w:val="21"/>
                <w:szCs w:val="21"/>
                <w:highlight w:val="none"/>
              </w:rPr>
              <w:t xml:space="preserve">钻探，布设4个钻孔点位，单个点位钻孔深度达到40m，需钻探至中风化层</w:t>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160</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84"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left w:val="single" w:color="auto" w:sz="2" w:space="0"/>
              <w:right w:val="single" w:color="auto" w:sz="2" w:space="0"/>
            </w:tcBorders>
            <w:tcW w:w="372"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5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含水文地质勘察钻孔</w:t>
            </w:r>
            <w:r>
              <w:rPr>
                <w:rFonts w:hint="eastAsia" w:cs="Times New Roman"/>
                <w:color w:val="000000"/>
                <w:sz w:val="21"/>
                <w:szCs w:val="21"/>
                <w:highlight w:val="none"/>
              </w:rPr>
              <w:t xml:space="preserve">建设地下水井，用于抽水试验及流场确定等，布设4个钻孔点位，单个点位建井深度达到40m，需钻探至中风化层</w:t>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160</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84"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left w:val="single" w:color="auto" w:sz="2" w:space="0"/>
              <w:right w:val="single" w:color="auto" w:sz="2" w:space="0"/>
            </w:tcBorders>
            <w:tcW w:w="372"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5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土工试验，包括土壤有机质含量、含水率、孔隙度、渗透系数、土壤颗粒密度、土壤容重等参数的测定，每个点位采集</w:t>
            </w:r>
            <w:r>
              <w:rPr>
                <w:rFonts w:hint="eastAsia" w:cs="Times New Roman"/>
                <w:color w:val="000000"/>
                <w:sz w:val="21"/>
                <w:szCs w:val="21"/>
                <w:highlight w:val="none"/>
              </w:rPr>
              <w:t xml:space="preserve">4个土工试验样品，共需送检16个土工试验样品</w:t>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84"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left w:val="single" w:color="auto" w:sz="2" w:space="0"/>
              <w:right w:val="single" w:color="auto" w:sz="2" w:space="0"/>
            </w:tcBorders>
            <w:tcW w:w="372"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5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抽水试验，需要</w:t>
            </w:r>
            <w:r>
              <w:rPr>
                <w:rFonts w:hint="eastAsia" w:cs="Times New Roman"/>
                <w:color w:val="000000"/>
                <w:sz w:val="21"/>
                <w:szCs w:val="21"/>
                <w:highlight w:val="none"/>
              </w:rPr>
              <w:t xml:space="preserve">2个台班</w:t>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台班</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2" w:space="0"/>
            </w:tcBorders>
            <w:tcW w:w="184"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left w:val="single" w:color="auto" w:sz="2" w:space="0"/>
              <w:bottom w:val="single" w:color="auto" w:sz="4" w:space="0"/>
              <w:right w:val="single" w:color="auto" w:sz="2" w:space="0"/>
            </w:tcBorders>
            <w:tcW w:w="372"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5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完成水文地质勘察报告（明确地层结构、地下水特征、地下水与长江水力联系、区域地下水补给、径流、排泄规律，以及对应长江河段的水质现状，水文特征等）</w:t>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项</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bottom w:val="single" w:color="auto" w:sz="4" w:space="0"/>
              <w:right w:val="single" w:color="auto" w:sz="2" w:space="0"/>
            </w:tcBorders>
            <w:tcW w:w="184" w:type="pct"/>
            <w:vAlign w:val="center"/>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t xml:space="preserve">2</w:t>
            </w:r>
            <w:r/>
          </w:p>
        </w:tc>
        <w:tc>
          <w:tcPr>
            <w:tcBorders>
              <w:top w:val="single" w:color="auto" w:sz="4" w:space="0"/>
              <w:left w:val="single" w:color="auto" w:sz="2" w:space="0"/>
              <w:bottom w:val="single" w:color="auto" w:sz="4" w:space="0"/>
              <w:right w:val="single" w:color="auto" w:sz="2" w:space="0"/>
            </w:tcBorders>
            <w:tcW w:w="37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补充调查方案制定</w:t>
            </w:r>
            <w:r/>
          </w:p>
        </w:tc>
        <w:tc>
          <w:tcPr>
            <w:tcBorders>
              <w:top w:val="single" w:color="auto" w:sz="4" w:space="0"/>
              <w:left w:val="single" w:color="auto" w:sz="2" w:space="0"/>
              <w:bottom w:val="single" w:color="auto" w:sz="4" w:space="0"/>
              <w:right w:val="single" w:color="auto" w:sz="4" w:space="0"/>
            </w:tcBorders>
            <w:tcW w:w="215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根据祥宇农药地块的资料分析结果，制定祥宇农药地块的补充调查方案</w:t>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项</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2" w:space="0"/>
            </w:tcBorders>
            <w:tcW w:w="184" w:type="pct"/>
            <w:vAlign w:val="center"/>
            <w:vMerge w:val="restart"/>
            <w:textDirection w:val="lrTb"/>
            <w:noWrap w:val="false"/>
          </w:tcPr>
          <w:p>
            <w:pPr>
              <w:jc w:val="center"/>
              <w:spacing w:line="240" w:lineRule="auto"/>
              <w:rPr>
                <w:rFonts w:cs="Times New Roman"/>
                <w:bCs/>
                <w:color w:val="000000"/>
                <w:sz w:val="21"/>
                <w:szCs w:val="21"/>
                <w:highlight w:val="none"/>
              </w:rPr>
            </w:pPr>
            <w:r>
              <w:rPr>
                <w:rFonts w:cs="Times New Roman"/>
                <w:color w:val="000000"/>
                <w:sz w:val="21"/>
                <w:szCs w:val="21"/>
                <w:highlight w:val="none"/>
              </w:rPr>
              <w:t xml:space="preserve">3</w:t>
            </w:r>
            <w:r/>
          </w:p>
        </w:tc>
        <w:tc>
          <w:tcPr>
            <w:tcBorders>
              <w:top w:val="single" w:color="auto" w:sz="4" w:space="0"/>
              <w:left w:val="single" w:color="auto" w:sz="2" w:space="0"/>
              <w:right w:val="single" w:color="auto" w:sz="2" w:space="0"/>
            </w:tcBorders>
            <w:tcW w:w="372"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现场钻探及采样费用</w:t>
            </w:r>
            <w:r/>
          </w:p>
        </w:tc>
        <w:tc>
          <w:tcPr>
            <w:tcBorders>
              <w:top w:val="single" w:color="auto" w:sz="4" w:space="0"/>
              <w:left w:val="single" w:color="auto" w:sz="2" w:space="0"/>
              <w:bottom w:val="single" w:color="auto" w:sz="4" w:space="0"/>
              <w:right w:val="single" w:color="auto" w:sz="4" w:space="0"/>
            </w:tcBorders>
            <w:tcW w:w="215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祥宇农药地块补充调查的钻探及采样工作，包括土壤钻探以及土壤样品采集（钻探深度至少为</w:t>
            </w:r>
            <w:r>
              <w:rPr>
                <w:rFonts w:hint="eastAsia" w:cs="Times New Roman"/>
                <w:color w:val="000000"/>
                <w:sz w:val="21"/>
                <w:szCs w:val="21"/>
                <w:highlight w:val="none"/>
              </w:rPr>
              <w:t xml:space="preserve">6m，部分点位需要钻探至9m、30m</w:t>
            </w:r>
            <w:r>
              <w:rPr>
                <w:rFonts w:cs="Times New Roman"/>
                <w:color w:val="000000"/>
                <w:sz w:val="21"/>
                <w:szCs w:val="21"/>
                <w:highlight w:val="none"/>
              </w:rPr>
              <w:t xml:space="preserve">），土壤总钻探深度约</w:t>
            </w:r>
            <w:r>
              <w:rPr>
                <w:rFonts w:hint="eastAsia" w:cs="Times New Roman"/>
                <w:color w:val="000000"/>
                <w:sz w:val="21"/>
                <w:szCs w:val="21"/>
                <w:highlight w:val="none"/>
              </w:rPr>
              <w:t xml:space="preserve">150m</w:t>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150</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spacing w:line="240" w:lineRule="auto"/>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2" w:space="0"/>
            </w:tcBorders>
            <w:tcW w:w="18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bottom w:val="single" w:color="auto" w:sz="4" w:space="0"/>
              <w:right w:val="single" w:color="auto" w:sz="2" w:space="0"/>
            </w:tcBorders>
            <w:tcW w:w="372"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5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祥宇农药地块补充调查的钻探及采样工作，包括地下水建井以及地下水样品采集（建井深度至少为</w:t>
            </w:r>
            <w:r>
              <w:rPr>
                <w:rFonts w:hint="eastAsia" w:cs="Times New Roman"/>
                <w:color w:val="000000"/>
                <w:sz w:val="21"/>
                <w:szCs w:val="21"/>
                <w:highlight w:val="none"/>
              </w:rPr>
              <w:t xml:space="preserve">6m，部分点位建井深度需要达到9m、30m</w:t>
            </w:r>
            <w:r>
              <w:rPr>
                <w:rFonts w:cs="Times New Roman"/>
                <w:color w:val="000000"/>
                <w:sz w:val="21"/>
                <w:szCs w:val="21"/>
                <w:highlight w:val="none"/>
              </w:rPr>
              <w:t xml:space="preserve">），地下水总建井深度约</w:t>
            </w:r>
            <w:r>
              <w:rPr>
                <w:rFonts w:hint="eastAsia" w:cs="Times New Roman"/>
                <w:color w:val="000000"/>
                <w:sz w:val="21"/>
                <w:szCs w:val="21"/>
                <w:highlight w:val="none"/>
              </w:rPr>
              <w:t xml:space="preserve">180m</w:t>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180</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spacing w:line="240" w:lineRule="auto"/>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2" w:space="0"/>
            </w:tcBorders>
            <w:tcW w:w="184" w:type="pct"/>
            <w:vAlign w:val="center"/>
            <w:vMerge w:val="restart"/>
            <w:textDirection w:val="lrTb"/>
            <w:noWrap w:val="false"/>
          </w:tcPr>
          <w:p>
            <w:pPr>
              <w:jc w:val="center"/>
              <w:spacing w:line="240" w:lineRule="auto"/>
              <w:rPr>
                <w:rFonts w:cs="Times New Roman"/>
                <w:bCs/>
                <w:color w:val="000000"/>
                <w:sz w:val="21"/>
                <w:szCs w:val="21"/>
                <w:highlight w:val="none"/>
              </w:rPr>
            </w:pPr>
            <w:r>
              <w:rPr>
                <w:rFonts w:cs="Times New Roman"/>
                <w:color w:val="000000"/>
                <w:sz w:val="21"/>
                <w:szCs w:val="21"/>
                <w:highlight w:val="none"/>
              </w:rPr>
              <w:t xml:space="preserve">4</w:t>
            </w:r>
            <w:r/>
          </w:p>
        </w:tc>
        <w:tc>
          <w:tcPr>
            <w:tcBorders>
              <w:top w:val="single" w:color="auto" w:sz="4" w:space="0"/>
              <w:left w:val="single" w:color="auto" w:sz="2" w:space="0"/>
              <w:right w:val="single" w:color="auto" w:sz="2" w:space="0"/>
            </w:tcBorders>
            <w:tcW w:w="372"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bCs/>
                <w:color w:val="000000"/>
                <w:sz w:val="21"/>
                <w:szCs w:val="21"/>
                <w:highlight w:val="none"/>
              </w:rPr>
              <w:t xml:space="preserve">样品处理与检测费</w:t>
            </w:r>
            <w:r/>
          </w:p>
        </w:tc>
        <w:tc>
          <w:tcPr>
            <w:tcBorders>
              <w:top w:val="single" w:color="auto" w:sz="4" w:space="0"/>
              <w:left w:val="single" w:color="auto" w:sz="2" w:space="0"/>
              <w:bottom w:val="single" w:color="auto" w:sz="4" w:space="0"/>
              <w:right w:val="single" w:color="auto" w:sz="4" w:space="0"/>
            </w:tcBorders>
            <w:tcW w:w="215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土壤检测因子需包括pH、重金属</w:t>
            </w:r>
            <w:r>
              <w:rPr>
                <w:rFonts w:hint="eastAsia" w:cs="Times New Roman"/>
                <w:color w:val="000000"/>
                <w:sz w:val="21"/>
                <w:szCs w:val="21"/>
                <w:highlight w:val="none"/>
              </w:rPr>
              <w:t xml:space="preserve">7项、挥发性有机污染物65项、半挥发性有机污染物64项、特征污染物18项（需要包括：</w:t>
            </w:r>
            <w:r>
              <w:rPr>
                <w:rFonts w:cs="Times New Roman"/>
                <w:color w:val="000000"/>
                <w:sz w:val="21"/>
                <w:szCs w:val="21"/>
                <w:highlight w:val="none"/>
              </w:rPr>
              <w:t xml:space="preserve">石油烃（C</w:t>
            </w:r>
            <w:r>
              <w:rPr>
                <w:rFonts w:cs="Times New Roman"/>
                <w:color w:val="000000"/>
                <w:sz w:val="21"/>
                <w:szCs w:val="21"/>
                <w:highlight w:val="none"/>
                <w:vertAlign w:val="subscript"/>
              </w:rPr>
              <w:t xml:space="preserve">10</w:t>
            </w:r>
            <w:r>
              <w:rPr>
                <w:rFonts w:cs="Times New Roman"/>
                <w:color w:val="000000"/>
                <w:sz w:val="21"/>
                <w:szCs w:val="21"/>
                <w:highlight w:val="none"/>
              </w:rPr>
              <w:t xml:space="preserve">-C</w:t>
            </w:r>
            <w:r>
              <w:rPr>
                <w:rFonts w:cs="Times New Roman"/>
                <w:color w:val="000000"/>
                <w:sz w:val="21"/>
                <w:szCs w:val="21"/>
                <w:highlight w:val="none"/>
                <w:vertAlign w:val="subscript"/>
              </w:rPr>
              <w:t xml:space="preserve">40</w:t>
            </w:r>
            <w:r>
              <w:rPr>
                <w:rFonts w:cs="Times New Roman"/>
                <w:color w:val="000000"/>
                <w:sz w:val="21"/>
                <w:szCs w:val="21"/>
                <w:highlight w:val="none"/>
              </w:rPr>
              <w:t xml:space="preserve">）、苯乙酮、1,3,5-三甲基苯、锌、铝、硒、银、氟化物、丙酮、对苯二酚、乙醚、正丁醇、甲氰菊酯、氯氰菊酯、四氢呋喃、乙酸乙酯、噻吩磺隆、烟嘧磺隆</w:t>
            </w:r>
            <w:r>
              <w:rPr>
                <w:rFonts w:hint="eastAsia" w:cs="Times New Roman"/>
                <w:color w:val="000000"/>
                <w:sz w:val="21"/>
                <w:szCs w:val="21"/>
                <w:highlight w:val="none"/>
              </w:rPr>
              <w:t xml:space="preserve">等）</w:t>
            </w:r>
            <w:r>
              <w:rPr>
                <w:rFonts w:cs="Times New Roman"/>
                <w:color w:val="000000"/>
                <w:sz w:val="21"/>
                <w:szCs w:val="21"/>
                <w:highlight w:val="none"/>
              </w:rPr>
              <w:t xml:space="preserve">，土壤样品约</w:t>
            </w:r>
            <w:r>
              <w:rPr>
                <w:rFonts w:hint="eastAsia" w:cs="Times New Roman"/>
                <w:color w:val="000000"/>
                <w:sz w:val="21"/>
                <w:szCs w:val="21"/>
                <w:highlight w:val="none"/>
              </w:rPr>
              <w:t xml:space="preserve">90个</w:t>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90</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spacing w:line="240" w:lineRule="auto"/>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2" w:space="0"/>
            </w:tcBorders>
            <w:tcW w:w="18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bottom w:val="single" w:color="auto" w:sz="4" w:space="0"/>
              <w:right w:val="single" w:color="auto" w:sz="2" w:space="0"/>
            </w:tcBorders>
            <w:tcW w:w="372"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50"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地下水</w:t>
            </w:r>
            <w:r>
              <w:rPr>
                <w:rFonts w:cs="Times New Roman"/>
                <w:color w:val="000000"/>
                <w:sz w:val="21"/>
                <w:szCs w:val="21"/>
                <w:highlight w:val="none"/>
              </w:rPr>
              <w:t xml:space="preserve">的检测因子需包括pH、重金属</w:t>
            </w:r>
            <w:r>
              <w:rPr>
                <w:rFonts w:hint="eastAsia" w:cs="Times New Roman"/>
                <w:color w:val="000000"/>
                <w:sz w:val="21"/>
                <w:szCs w:val="21"/>
                <w:highlight w:val="none"/>
              </w:rPr>
              <w:t xml:space="preserve">7项、挥发性有机污染物65项、半挥发性有机污染物64项、特征污染物18项（需要包括：</w:t>
            </w:r>
            <w:r>
              <w:rPr>
                <w:rFonts w:cs="Times New Roman"/>
                <w:color w:val="000000"/>
                <w:sz w:val="21"/>
                <w:szCs w:val="21"/>
                <w:highlight w:val="none"/>
              </w:rPr>
              <w:t xml:space="preserve">石油烃（C</w:t>
            </w:r>
            <w:r>
              <w:rPr>
                <w:rFonts w:cs="Times New Roman"/>
                <w:color w:val="000000"/>
                <w:sz w:val="21"/>
                <w:szCs w:val="21"/>
                <w:highlight w:val="none"/>
                <w:vertAlign w:val="subscript"/>
              </w:rPr>
              <w:t xml:space="preserve">10</w:t>
            </w:r>
            <w:r>
              <w:rPr>
                <w:rFonts w:cs="Times New Roman"/>
                <w:color w:val="000000"/>
                <w:sz w:val="21"/>
                <w:szCs w:val="21"/>
                <w:highlight w:val="none"/>
              </w:rPr>
              <w:t xml:space="preserve">-C</w:t>
            </w:r>
            <w:r>
              <w:rPr>
                <w:rFonts w:cs="Times New Roman"/>
                <w:color w:val="000000"/>
                <w:sz w:val="21"/>
                <w:szCs w:val="21"/>
                <w:highlight w:val="none"/>
                <w:vertAlign w:val="subscript"/>
              </w:rPr>
              <w:t xml:space="preserve">40</w:t>
            </w:r>
            <w:r>
              <w:rPr>
                <w:rFonts w:cs="Times New Roman"/>
                <w:color w:val="000000"/>
                <w:sz w:val="21"/>
                <w:szCs w:val="21"/>
                <w:highlight w:val="none"/>
              </w:rPr>
              <w:t xml:space="preserve">）、苯乙酮、1,3,5-三甲基苯、锌、铝、硒、银、氟化物、丙酮、对苯二酚、乙醚、正丁醇、甲氰菊酯、氯氰菊酯、四氢呋喃、乙酸乙酯、噻吩磺隆、烟嘧磺隆</w:t>
            </w:r>
            <w:r>
              <w:rPr>
                <w:rFonts w:hint="eastAsia" w:cs="Times New Roman"/>
                <w:color w:val="000000"/>
                <w:sz w:val="21"/>
                <w:szCs w:val="21"/>
                <w:highlight w:val="none"/>
              </w:rPr>
              <w:t xml:space="preserve">等）、《地下水质量标准》(GBT14848-2017)中的感官性状无机指标等25项等。考虑</w:t>
            </w:r>
            <w:r>
              <w:rPr>
                <w:rFonts w:cs="Times New Roman"/>
                <w:color w:val="000000"/>
                <w:sz w:val="21"/>
                <w:szCs w:val="21"/>
                <w:highlight w:val="none"/>
              </w:rPr>
              <w:t xml:space="preserve">到地块内涉及</w:t>
            </w:r>
            <w:r>
              <w:rPr>
                <w:rFonts w:hint="eastAsia" w:cs="Times New Roman"/>
                <w:color w:val="000000"/>
                <w:sz w:val="21"/>
                <w:szCs w:val="21"/>
                <w:highlight w:val="none"/>
              </w:rPr>
              <w:t xml:space="preserve">DNAPL类物质超标，根据技术规范要求需要分别在水位线以下0.5m和井管底部采集地下水样品</w:t>
            </w:r>
            <w:r>
              <w:rPr>
                <w:rFonts w:cs="Times New Roman"/>
                <w:color w:val="000000"/>
                <w:sz w:val="21"/>
                <w:szCs w:val="21"/>
                <w:highlight w:val="none"/>
              </w:rPr>
              <w:t xml:space="preserve">，地下水样品约</w:t>
            </w:r>
            <w:r>
              <w:rPr>
                <w:rFonts w:hint="eastAsia" w:cs="Times New Roman"/>
                <w:color w:val="000000"/>
                <w:sz w:val="21"/>
                <w:szCs w:val="21"/>
                <w:highlight w:val="none"/>
              </w:rPr>
              <w:t xml:space="preserve">28个</w:t>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28</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spacing w:line="240" w:lineRule="auto"/>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2" w:space="0"/>
            </w:tcBorders>
            <w:tcW w:w="184"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5</w:t>
            </w:r>
            <w:r/>
          </w:p>
        </w:tc>
        <w:tc>
          <w:tcPr>
            <w:tcBorders>
              <w:top w:val="single" w:color="auto" w:sz="2" w:space="0"/>
              <w:left w:val="single" w:color="auto" w:sz="2" w:space="0"/>
              <w:right w:val="single" w:color="auto" w:sz="2" w:space="0"/>
            </w:tcBorders>
            <w:tcW w:w="372" w:type="pct"/>
            <w:vAlign w:val="center"/>
            <w:vMerge w:val="restart"/>
            <w:textDirection w:val="lrTb"/>
            <w:noWrap w:val="false"/>
          </w:tcPr>
          <w:p>
            <w:pPr>
              <w:jc w:val="center"/>
              <w:spacing w:line="240" w:lineRule="auto"/>
              <w:rPr>
                <w:rFonts w:cs="Times New Roman"/>
                <w:bCs/>
                <w:color w:val="000000"/>
                <w:sz w:val="21"/>
                <w:szCs w:val="21"/>
                <w:highlight w:val="none"/>
              </w:rPr>
            </w:pPr>
            <w:r>
              <w:rPr>
                <w:rFonts w:cs="Times New Roman"/>
                <w:color w:val="000000"/>
                <w:sz w:val="21"/>
                <w:szCs w:val="21"/>
                <w:highlight w:val="none"/>
              </w:rPr>
              <w:t xml:space="preserve">污染物入江风险评估</w:t>
            </w:r>
            <w:r/>
          </w:p>
        </w:tc>
        <w:tc>
          <w:tcPr>
            <w:tcBorders>
              <w:top w:val="single" w:color="auto" w:sz="2" w:space="0"/>
              <w:left w:val="single" w:color="auto" w:sz="2" w:space="0"/>
              <w:bottom w:val="single" w:color="auto" w:sz="2" w:space="0"/>
              <w:right w:val="single" w:color="auto" w:sz="2" w:space="0"/>
            </w:tcBorders>
            <w:tcW w:w="215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开展</w:t>
            </w:r>
            <w:r>
              <w:rPr>
                <w:rFonts w:cs="Times New Roman"/>
                <w:bCs/>
                <w:color w:val="000000"/>
                <w:sz w:val="21"/>
                <w:szCs w:val="21"/>
                <w:highlight w:val="none"/>
              </w:rPr>
              <w:t xml:space="preserve">入江风险识别与途径分析，</w:t>
            </w:r>
            <w:r>
              <w:rPr>
                <w:rFonts w:hint="eastAsia" w:cs="Times New Roman"/>
                <w:bCs/>
                <w:color w:val="000000"/>
                <w:sz w:val="21"/>
                <w:szCs w:val="21"/>
                <w:highlight w:val="none"/>
              </w:rPr>
              <w:t xml:space="preserve">结合地块利用类型，识别入江风险因素，分析污染物入江的主要途径及可行性，包括地块污染本身风险、水文水力联系风险、污染物入江途径风险、敏感目标影响风险、暴雨与汛期风险、开发建设新增风险等</w:t>
            </w:r>
            <w:r/>
          </w:p>
        </w:tc>
        <w:tc>
          <w:tcPr>
            <w:tcBorders>
              <w:top w:val="single" w:color="auto" w:sz="4" w:space="0"/>
              <w:left w:val="single" w:color="auto" w:sz="4" w:space="0"/>
              <w:right w:val="single" w:color="auto" w:sz="4" w:space="0"/>
            </w:tcBorders>
            <w:tcW w:w="315"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项</w:t>
            </w:r>
            <w:r/>
          </w:p>
        </w:tc>
        <w:tc>
          <w:tcPr>
            <w:tcBorders>
              <w:top w:val="single" w:color="auto" w:sz="4" w:space="0"/>
              <w:left w:val="single" w:color="auto" w:sz="4" w:space="0"/>
              <w:right w:val="single" w:color="auto" w:sz="4" w:space="0"/>
            </w:tcBorders>
            <w:tcW w:w="342"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right w:val="single" w:color="auto" w:sz="4" w:space="0"/>
            </w:tcBorders>
            <w:tcW w:w="532"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right w:val="single" w:color="auto" w:sz="4" w:space="0"/>
            </w:tcBorders>
            <w:tcW w:w="571"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right w:val="single" w:color="auto" w:sz="4" w:space="0"/>
            </w:tcBorders>
            <w:tcW w:w="532" w:type="pct"/>
            <w:vAlign w:val="center"/>
            <w:vMerge w:val="restart"/>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8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right w:val="single" w:color="auto" w:sz="2" w:space="0"/>
            </w:tcBorders>
            <w:tcW w:w="372"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5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开展</w:t>
            </w:r>
            <w:r>
              <w:rPr>
                <w:rFonts w:hint="eastAsia" w:cs="Times New Roman"/>
                <w:color w:val="000000"/>
                <w:sz w:val="21"/>
                <w:szCs w:val="21"/>
                <w:highlight w:val="none"/>
              </w:rPr>
              <w:t xml:space="preserve">风险计算与等级判定，采用定性与定量相结合的方法，计算风险指标，判定地块入江风险等级。风险计算采用地下水模拟软件GMS根据MODFLOW模块构建三维有限差分地下水流模型进行计算，需要结合含水层概化和边界条件，开展地下水水流模拟及地下水溶质运移模拟。</w:t>
            </w:r>
            <w:r/>
          </w:p>
        </w:tc>
        <w:tc>
          <w:tcPr>
            <w:tcBorders>
              <w:left w:val="single" w:color="auto" w:sz="4" w:space="0"/>
              <w:right w:val="single" w:color="auto" w:sz="4" w:space="0"/>
            </w:tcBorders>
            <w:tcW w:w="315"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34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3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71"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32"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8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right w:val="single" w:color="auto" w:sz="2" w:space="0"/>
            </w:tcBorders>
            <w:tcW w:w="372"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5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开展</w:t>
            </w:r>
            <w:r>
              <w:rPr>
                <w:rFonts w:cs="Times New Roman"/>
                <w:bCs/>
                <w:color w:val="000000"/>
                <w:sz w:val="21"/>
                <w:szCs w:val="21"/>
                <w:highlight w:val="none"/>
              </w:rPr>
              <w:t xml:space="preserve">入江风险防控措施，</w:t>
            </w:r>
            <w:r>
              <w:rPr>
                <w:rFonts w:hint="eastAsia" w:cs="Times New Roman"/>
                <w:bCs/>
                <w:color w:val="000000"/>
                <w:sz w:val="21"/>
                <w:szCs w:val="21"/>
                <w:highlight w:val="none"/>
              </w:rPr>
              <w:t xml:space="preserve">结合风险等级及地块利用类型，制定针对性、可操作的源头管控、过程拦截、应急处置及长效监测措施</w:t>
            </w:r>
            <w:r/>
          </w:p>
        </w:tc>
        <w:tc>
          <w:tcPr>
            <w:tcBorders>
              <w:left w:val="single" w:color="auto" w:sz="4" w:space="0"/>
              <w:right w:val="single" w:color="auto" w:sz="4" w:space="0"/>
            </w:tcBorders>
            <w:tcW w:w="315"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34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3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71"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32"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2" w:space="0"/>
            </w:tcBorders>
            <w:tcW w:w="18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bottom w:val="single" w:color="auto" w:sz="2" w:space="0"/>
              <w:right w:val="single" w:color="auto" w:sz="2" w:space="0"/>
            </w:tcBorders>
            <w:tcW w:w="372"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5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开展</w:t>
            </w:r>
            <w:r>
              <w:rPr>
                <w:rFonts w:cs="Times New Roman"/>
                <w:bCs/>
                <w:color w:val="000000"/>
                <w:sz w:val="21"/>
                <w:szCs w:val="21"/>
                <w:highlight w:val="none"/>
              </w:rPr>
              <w:t xml:space="preserve">风险分析报告编制，</w:t>
            </w:r>
            <w:r>
              <w:rPr>
                <w:rFonts w:hint="eastAsia" w:cs="Times New Roman"/>
                <w:bCs/>
                <w:color w:val="000000"/>
                <w:sz w:val="21"/>
                <w:szCs w:val="21"/>
                <w:highlight w:val="none"/>
              </w:rPr>
              <w:t xml:space="preserve">编制入江风险分析报告，作为地块开发利用及监管的依据</w:t>
            </w:r>
            <w:r/>
          </w:p>
        </w:tc>
        <w:tc>
          <w:tcPr>
            <w:tcBorders>
              <w:left w:val="single" w:color="auto" w:sz="4" w:space="0"/>
              <w:bottom w:val="single" w:color="auto" w:sz="4" w:space="0"/>
              <w:right w:val="single" w:color="auto" w:sz="4" w:space="0"/>
            </w:tcBorders>
            <w:tcW w:w="315"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34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3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71"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32"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2" w:space="0"/>
            </w:tcBorders>
            <w:tcW w:w="184"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6</w:t>
            </w:r>
            <w:r/>
          </w:p>
        </w:tc>
        <w:tc>
          <w:tcPr>
            <w:tcBorders>
              <w:top w:val="single" w:color="auto" w:sz="2" w:space="0"/>
              <w:left w:val="single" w:color="auto" w:sz="2" w:space="0"/>
              <w:right w:val="single" w:color="auto" w:sz="2" w:space="0"/>
            </w:tcBorders>
            <w:tcW w:w="372" w:type="pct"/>
            <w:vAlign w:val="center"/>
            <w:vMerge w:val="restart"/>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t xml:space="preserve">风险评估报告编制</w:t>
            </w:r>
            <w:r/>
          </w:p>
        </w:tc>
        <w:tc>
          <w:tcPr>
            <w:tcBorders>
              <w:top w:val="single" w:color="auto" w:sz="2" w:space="0"/>
              <w:left w:val="single" w:color="auto" w:sz="2" w:space="0"/>
              <w:bottom w:val="single" w:color="auto" w:sz="2" w:space="0"/>
              <w:right w:val="single" w:color="auto" w:sz="2" w:space="0"/>
            </w:tcBorders>
            <w:tcW w:w="2150"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开展危害识别，收集土壤污染状况调查阶段获得的相关资料和数据，掌握地块土壤和地下水中关注污染物的浓度分布，明确规划土地利用方式，分析可能的敏感受体，如儿童、成人、地下水体等。</w:t>
            </w:r>
            <w:r/>
          </w:p>
        </w:tc>
        <w:tc>
          <w:tcPr>
            <w:tcBorders>
              <w:top w:val="single" w:color="auto" w:sz="4" w:space="0"/>
              <w:left w:val="single" w:color="auto" w:sz="4" w:space="0"/>
              <w:right w:val="single" w:color="auto" w:sz="4" w:space="0"/>
            </w:tcBorders>
            <w:tcW w:w="315"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项</w:t>
            </w:r>
            <w:r/>
          </w:p>
        </w:tc>
        <w:tc>
          <w:tcPr>
            <w:tcBorders>
              <w:top w:val="single" w:color="auto" w:sz="4" w:space="0"/>
              <w:left w:val="single" w:color="auto" w:sz="4" w:space="0"/>
              <w:right w:val="single" w:color="auto" w:sz="4" w:space="0"/>
            </w:tcBorders>
            <w:tcW w:w="342"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right w:val="single" w:color="auto" w:sz="4" w:space="0"/>
            </w:tcBorders>
            <w:tcW w:w="532"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right w:val="single" w:color="auto" w:sz="4" w:space="0"/>
            </w:tcBorders>
            <w:tcW w:w="571"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right w:val="single" w:color="auto" w:sz="4" w:space="0"/>
            </w:tcBorders>
            <w:tcW w:w="532" w:type="pct"/>
            <w:vAlign w:val="center"/>
            <w:vMerge w:val="restart"/>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8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right w:val="single" w:color="auto" w:sz="2" w:space="0"/>
            </w:tcBorders>
            <w:tcW w:w="372"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50"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开展暴露评估，在危害识别的基础上，分析地块内关注污染物迁移和危害敏感受体的可能性，确定地块地下水污染物的主要暴露途径和暴露评估模型，确定评估模型参数取值，计算敏感人群对地下水中污染物的暴露量。</w:t>
            </w:r>
            <w:r/>
          </w:p>
        </w:tc>
        <w:tc>
          <w:tcPr>
            <w:tcBorders>
              <w:left w:val="single" w:color="auto" w:sz="4" w:space="0"/>
              <w:right w:val="single" w:color="auto" w:sz="4" w:space="0"/>
            </w:tcBorders>
            <w:tcW w:w="315"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34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3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71"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32"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8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right w:val="single" w:color="auto" w:sz="2" w:space="0"/>
            </w:tcBorders>
            <w:tcW w:w="372"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50"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开展毒性评估，在危害识别的基础上，分析关注污染物对人体健康的危害效应，包括致癌效应和非致癌效应，确定与关注污染物相关的参数，包括参考剂量、参考浓度、致癌斜率因子和呼吸吸入单位致癌因子等。</w:t>
            </w:r>
            <w:r/>
          </w:p>
        </w:tc>
        <w:tc>
          <w:tcPr>
            <w:tcBorders>
              <w:left w:val="single" w:color="auto" w:sz="4" w:space="0"/>
              <w:right w:val="single" w:color="auto" w:sz="4" w:space="0"/>
            </w:tcBorders>
            <w:tcW w:w="315"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34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3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71"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32"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8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right w:val="single" w:color="auto" w:sz="2" w:space="0"/>
            </w:tcBorders>
            <w:tcW w:w="372"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50"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开展风险表征，在暴露评估和毒性评估的基础上，采用风险评估模型计算土壤和地下水中单一污染物经单一途径的致癌风险和危害商，计算单一污染物的总致癌风险和危害商，进行不确定性分析。</w:t>
            </w:r>
            <w:r/>
          </w:p>
        </w:tc>
        <w:tc>
          <w:tcPr>
            <w:tcBorders>
              <w:left w:val="single" w:color="auto" w:sz="4" w:space="0"/>
              <w:right w:val="single" w:color="auto" w:sz="4" w:space="0"/>
            </w:tcBorders>
            <w:tcW w:w="315"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34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3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71"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32"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75"/>
        </w:trPr>
        <w:tc>
          <w:tcPr>
            <w:tcBorders>
              <w:left w:val="single" w:color="auto" w:sz="8" w:space="0"/>
              <w:bottom w:val="single" w:color="auto" w:sz="4" w:space="0"/>
              <w:right w:val="single" w:color="auto" w:sz="2" w:space="0"/>
            </w:tcBorders>
            <w:tcW w:w="18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bottom w:val="single" w:color="auto" w:sz="2" w:space="0"/>
              <w:right w:val="single" w:color="auto" w:sz="2" w:space="0"/>
            </w:tcBorders>
            <w:tcW w:w="372"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50"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开展土壤和地下水风险控制值的计算，在风险表征的基础上，判断计算得到的风险值是否超过可接受风险水平。如地块风险评估结果未超过可接受风险水平，则结束风险评估工作；如地块风险评估结果超过可接受风险水平，则计算土壤、地下水中关注污染物的风险控制值；如调查结果表明，土壤中关注污染物可迁移进入地下水，则计算保护地下水的土壤风险控制值；根据计算结果，提出关注污染物的土壤和地下水风险控制值。</w:t>
            </w:r>
            <w:r/>
          </w:p>
        </w:tc>
        <w:tc>
          <w:tcPr>
            <w:tcBorders>
              <w:left w:val="single" w:color="auto" w:sz="4" w:space="0"/>
              <w:bottom w:val="single" w:color="auto" w:sz="4" w:space="0"/>
              <w:right w:val="single" w:color="auto" w:sz="4" w:space="0"/>
            </w:tcBorders>
            <w:tcW w:w="315"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34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3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71"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32"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4" w:space="0"/>
            </w:tcBorders>
            <w:tcW w:w="184"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7</w:t>
            </w:r>
            <w:r/>
          </w:p>
        </w:tc>
        <w:tc>
          <w:tcPr>
            <w:tcBorders>
              <w:top w:val="single" w:color="auto" w:sz="4" w:space="0"/>
              <w:left w:val="single" w:color="auto" w:sz="4" w:space="0"/>
              <w:right w:val="single" w:color="auto" w:sz="4" w:space="0"/>
            </w:tcBorders>
            <w:tcW w:w="372"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bCs/>
                <w:color w:val="000000"/>
                <w:sz w:val="21"/>
                <w:szCs w:val="21"/>
                <w:highlight w:val="none"/>
              </w:rPr>
              <w:t xml:space="preserve">风险评估报告专家费、会务费、</w:t>
            </w:r>
            <w:r>
              <w:rPr>
                <w:rFonts w:hint="eastAsia" w:eastAsia="宋体" w:cs="Times New Roman"/>
                <w:bCs/>
                <w:color w:val="000000"/>
                <w:sz w:val="21"/>
                <w:szCs w:val="21"/>
                <w:highlight w:val="none"/>
                <w:lang w:val="en-US" w:eastAsia="zh-CN"/>
              </w:rPr>
              <w:t xml:space="preserve">彩色</w:t>
            </w:r>
            <w:r>
              <w:rPr>
                <w:rFonts w:cs="Times New Roman"/>
                <w:bCs/>
                <w:color w:val="000000"/>
                <w:sz w:val="21"/>
                <w:szCs w:val="21"/>
                <w:highlight w:val="none"/>
              </w:rPr>
              <w:t xml:space="preserve">打印费等</w:t>
            </w:r>
            <w:r/>
          </w:p>
        </w:tc>
        <w:tc>
          <w:tcPr>
            <w:tcBorders>
              <w:top w:val="single" w:color="auto" w:sz="2" w:space="0"/>
              <w:left w:val="single" w:color="auto" w:sz="4" w:space="0"/>
              <w:bottom w:val="single" w:color="auto" w:sz="4" w:space="0"/>
              <w:right w:val="single" w:color="auto" w:sz="4" w:space="0"/>
            </w:tcBorders>
            <w:tcW w:w="2150"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bCs/>
                <w:color w:val="000000"/>
                <w:sz w:val="21"/>
                <w:szCs w:val="21"/>
                <w:highlight w:val="none"/>
              </w:rPr>
              <w:t xml:space="preserve">市生态环境局至少邀请5名业内专家及相关部门领导，组织召开专家评审会</w:t>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项</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4" w:space="0"/>
            </w:tcBorders>
            <w:tcW w:w="18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372"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2" w:space="0"/>
              <w:left w:val="single" w:color="auto" w:sz="4" w:space="0"/>
              <w:bottom w:val="single" w:color="auto" w:sz="4" w:space="0"/>
              <w:right w:val="single" w:color="auto" w:sz="4" w:space="0"/>
            </w:tcBorders>
            <w:tcW w:w="2150"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省生态环境厅至少邀请5名业内专家及相关部门领导，组织召开专家评审会</w:t>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项</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1257"/>
        </w:trPr>
        <w:tc>
          <w:tcPr>
            <w:gridSpan w:val="6"/>
            <w:tcBorders>
              <w:top w:val="single" w:color="auto" w:sz="2" w:space="0"/>
              <w:left w:val="single" w:color="auto" w:sz="2" w:space="0"/>
              <w:bottom w:val="single" w:color="auto" w:sz="4" w:space="0"/>
              <w:right w:val="single" w:color="auto" w:sz="4" w:space="0"/>
            </w:tcBorders>
            <w:tcW w:w="3896"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w:t>
            </w:r>
            <w:r/>
          </w:p>
        </w:tc>
      </w:tr>
    </w:tbl>
    <w:p>
      <w:pPr>
        <w:jc w:val="center"/>
        <w:rPr>
          <w:rFonts w:cs="Times New Roman"/>
          <w:b/>
          <w:bCs/>
          <w:color w:val="000000"/>
          <w:highlight w:val="none"/>
        </w:rPr>
      </w:pPr>
      <w:r>
        <w:rPr>
          <w:rFonts w:cs="Times New Roman"/>
          <w:b/>
          <w:bCs/>
          <w:color w:val="000000"/>
          <w:highlight w:val="none"/>
        </w:rPr>
        <w:br w:type="page" w:clear="all"/>
      </w:r>
      <w:r>
        <w:rPr>
          <w:rFonts w:cs="Times New Roman"/>
          <w:b/>
          <w:bCs/>
          <w:color w:val="000000"/>
          <w:highlight w:val="none"/>
        </w:rPr>
        <w:t xml:space="preserve">表3  原南京科思化学有限公司地块风险评估项目费用报价明细表</w:t>
      </w:r>
      <w:r/>
    </w:p>
    <w:tbl>
      <w:tblPr>
        <w:tblStyle w:val="727"/>
        <w:tblW w:w="5035" w:type="pct"/>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autofit"/>
        <w:tblCellMar>
          <w:left w:w="0" w:type="dxa"/>
          <w:top w:w="0" w:type="dxa"/>
          <w:right w:w="0" w:type="dxa"/>
          <w:bottom w:w="0" w:type="dxa"/>
        </w:tblCellMar>
        <w:tblLook w:val="04A0" w:firstRow="1" w:lastRow="0" w:firstColumn="1" w:lastColumn="0" w:noHBand="0" w:noVBand="1"/>
      </w:tblPr>
      <w:tblGrid>
        <w:gridCol w:w="519"/>
        <w:gridCol w:w="915"/>
        <w:gridCol w:w="6198"/>
        <w:gridCol w:w="910"/>
        <w:gridCol w:w="963"/>
        <w:gridCol w:w="1520"/>
        <w:gridCol w:w="1639"/>
        <w:gridCol w:w="1458"/>
      </w:tblGrid>
      <w:tr>
        <w:trPr>
          <w:jc w:val="center"/>
          <w:trHeight w:val="20"/>
        </w:trPr>
        <w:tc>
          <w:tcPr>
            <w:tcBorders>
              <w:top w:val="single" w:color="auto" w:sz="8" w:space="0"/>
              <w:left w:val="single" w:color="auto" w:sz="8" w:space="0"/>
              <w:bottom w:val="single" w:color="auto" w:sz="2" w:space="0"/>
              <w:right w:val="single" w:color="auto" w:sz="2" w:space="0"/>
            </w:tcBorders>
            <w:tcW w:w="184"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序号</w:t>
            </w:r>
            <w:r/>
          </w:p>
        </w:tc>
        <w:tc>
          <w:tcPr>
            <w:tcBorders>
              <w:top w:val="single" w:color="auto" w:sz="8" w:space="0"/>
              <w:left w:val="single" w:color="auto" w:sz="2" w:space="0"/>
              <w:bottom w:val="single" w:color="auto" w:sz="2" w:space="0"/>
              <w:right w:val="single" w:color="auto" w:sz="2" w:space="0"/>
            </w:tcBorders>
            <w:tcW w:w="324"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工作</w:t>
            </w:r>
            <w:r>
              <w:rPr>
                <w:rFonts w:hint="eastAsia" w:cs="Times New Roman"/>
                <w:b/>
                <w:color w:val="000000"/>
                <w:sz w:val="21"/>
                <w:szCs w:val="21"/>
                <w:highlight w:val="none"/>
              </w:rPr>
              <w:t xml:space="preserve">分类</w:t>
            </w:r>
            <w:r/>
          </w:p>
        </w:tc>
        <w:tc>
          <w:tcPr>
            <w:tcBorders>
              <w:top w:val="single" w:color="auto" w:sz="8" w:space="0"/>
              <w:left w:val="single" w:color="auto" w:sz="2" w:space="0"/>
              <w:bottom w:val="single" w:color="auto" w:sz="2" w:space="0"/>
              <w:right w:val="single" w:color="auto" w:sz="2" w:space="0"/>
            </w:tcBorders>
            <w:tcW w:w="2194"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工作内容</w:t>
            </w:r>
            <w:r/>
          </w:p>
        </w:tc>
        <w:tc>
          <w:tcPr>
            <w:tcBorders>
              <w:top w:val="single" w:color="auto" w:sz="8" w:space="0"/>
              <w:left w:val="single" w:color="auto" w:sz="2" w:space="0"/>
              <w:bottom w:val="single" w:color="auto" w:sz="4" w:space="0"/>
              <w:right w:val="single" w:color="auto" w:sz="2" w:space="0"/>
            </w:tcBorders>
            <w:tcW w:w="322"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计量</w:t>
            </w:r>
            <w:r/>
          </w:p>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单位</w:t>
            </w:r>
            <w:r/>
          </w:p>
        </w:tc>
        <w:tc>
          <w:tcPr>
            <w:tcBorders>
              <w:top w:val="single" w:color="auto" w:sz="8" w:space="0"/>
              <w:left w:val="single" w:color="auto" w:sz="2" w:space="0"/>
              <w:bottom w:val="single" w:color="auto" w:sz="4" w:space="0"/>
              <w:right w:val="single" w:color="auto" w:sz="2" w:space="0"/>
            </w:tcBorders>
            <w:tcW w:w="341"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数量</w:t>
            </w:r>
            <w:r/>
          </w:p>
        </w:tc>
        <w:tc>
          <w:tcPr>
            <w:tcBorders>
              <w:top w:val="single" w:color="auto" w:sz="8" w:space="0"/>
              <w:left w:val="single" w:color="auto" w:sz="2" w:space="0"/>
              <w:bottom w:val="single" w:color="auto" w:sz="4" w:space="0"/>
              <w:right w:val="single" w:color="auto" w:sz="2" w:space="0"/>
            </w:tcBorders>
            <w:tcW w:w="537"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单价</w:t>
            </w:r>
            <w:r/>
          </w:p>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（万元）</w:t>
            </w:r>
            <w:r/>
          </w:p>
        </w:tc>
        <w:tc>
          <w:tcPr>
            <w:tcBorders>
              <w:top w:val="single" w:color="auto" w:sz="8" w:space="0"/>
              <w:left w:val="single" w:color="auto" w:sz="2" w:space="0"/>
              <w:bottom w:val="single" w:color="auto" w:sz="4" w:space="0"/>
              <w:right w:val="single" w:color="auto" w:sz="8" w:space="0"/>
            </w:tcBorders>
            <w:tcW w:w="580" w:type="pct"/>
            <w:vAlign w:val="center"/>
            <w:textDirection w:val="lrTb"/>
            <w:noWrap w:val="false"/>
          </w:tcPr>
          <w:p>
            <w:pPr>
              <w:jc w:val="center"/>
              <w:spacing w:line="240" w:lineRule="auto"/>
              <w:rPr>
                <w:rFonts w:cs="Times New Roman"/>
                <w:b/>
                <w:color w:val="000000"/>
                <w:sz w:val="21"/>
                <w:szCs w:val="21"/>
                <w:highlight w:val="none"/>
              </w:rPr>
            </w:pPr>
            <w:r>
              <w:rPr>
                <w:rFonts w:hint="eastAsia" w:cs="Times New Roman"/>
                <w:b/>
                <w:color w:val="000000"/>
                <w:sz w:val="21"/>
                <w:szCs w:val="21"/>
                <w:highlight w:val="none"/>
              </w:rPr>
              <w:t xml:space="preserve">小计</w:t>
            </w:r>
            <w:r/>
          </w:p>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（万元）</w:t>
            </w:r>
            <w:r/>
          </w:p>
        </w:tc>
        <w:tc>
          <w:tcPr>
            <w:tcBorders>
              <w:top w:val="single" w:color="auto" w:sz="8" w:space="0"/>
              <w:left w:val="single" w:color="auto" w:sz="2" w:space="0"/>
              <w:bottom w:val="single" w:color="auto" w:sz="4" w:space="0"/>
              <w:right w:val="single" w:color="auto" w:sz="8" w:space="0"/>
            </w:tcBorders>
            <w:tcW w:w="516" w:type="pct"/>
            <w:vAlign w:val="center"/>
            <w:textDirection w:val="lrTb"/>
            <w:noWrap w:val="false"/>
          </w:tcPr>
          <w:p>
            <w:pPr>
              <w:jc w:val="center"/>
              <w:spacing w:line="240" w:lineRule="auto"/>
              <w:rPr>
                <w:rFonts w:cs="Times New Roman"/>
                <w:b/>
                <w:color w:val="000000"/>
                <w:sz w:val="21"/>
                <w:szCs w:val="21"/>
                <w:highlight w:val="none"/>
              </w:rPr>
            </w:pPr>
            <w:r>
              <w:rPr>
                <w:rFonts w:hint="eastAsia" w:cs="Times New Roman"/>
                <w:b/>
                <w:color w:val="000000"/>
                <w:sz w:val="21"/>
                <w:szCs w:val="21"/>
                <w:highlight w:val="none"/>
              </w:rPr>
              <w:t xml:space="preserve">备注</w:t>
            </w:r>
            <w:r/>
          </w:p>
        </w:tc>
      </w:tr>
      <w:tr>
        <w:trPr>
          <w:jc w:val="center"/>
          <w:trHeight w:val="20"/>
        </w:trPr>
        <w:tc>
          <w:tcPr>
            <w:tcBorders>
              <w:top w:val="single" w:color="auto" w:sz="4" w:space="0"/>
              <w:left w:val="single" w:color="auto" w:sz="8" w:space="0"/>
              <w:right w:val="single" w:color="auto" w:sz="2" w:space="0"/>
            </w:tcBorders>
            <w:tcW w:w="184"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bCs/>
                <w:color w:val="000000"/>
                <w:sz w:val="21"/>
                <w:szCs w:val="21"/>
                <w:highlight w:val="none"/>
              </w:rPr>
              <w:t xml:space="preserve">1</w:t>
            </w:r>
            <w:r/>
          </w:p>
        </w:tc>
        <w:tc>
          <w:tcPr>
            <w:tcBorders>
              <w:top w:val="single" w:color="auto" w:sz="4" w:space="0"/>
              <w:left w:val="single" w:color="auto" w:sz="2" w:space="0"/>
              <w:right w:val="single" w:color="auto" w:sz="2" w:space="0"/>
            </w:tcBorders>
            <w:tcW w:w="324"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水文地质勘察</w:t>
            </w:r>
            <w:r/>
          </w:p>
        </w:tc>
        <w:tc>
          <w:tcPr>
            <w:tcBorders>
              <w:top w:val="single" w:color="auto" w:sz="4" w:space="0"/>
              <w:left w:val="single" w:color="auto" w:sz="2" w:space="0"/>
              <w:bottom w:val="single" w:color="auto" w:sz="4" w:space="0"/>
              <w:right w:val="single" w:color="auto" w:sz="4" w:space="0"/>
            </w:tcBorders>
            <w:tcW w:w="219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含水文地质勘察钻孔</w:t>
            </w:r>
            <w:r>
              <w:rPr>
                <w:rFonts w:hint="eastAsia" w:cs="Times New Roman"/>
                <w:color w:val="000000"/>
                <w:sz w:val="21"/>
                <w:szCs w:val="21"/>
                <w:highlight w:val="none"/>
              </w:rPr>
              <w:t xml:space="preserve">钻探，布设4个钻孔点位，单个点位钻孔深度达到40m，需钻探至中风化层</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160</w:t>
            </w:r>
            <w:r/>
          </w:p>
        </w:tc>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84"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left w:val="single" w:color="auto" w:sz="2" w:space="0"/>
              <w:right w:val="single" w:color="auto" w:sz="2" w:space="0"/>
            </w:tcBorders>
            <w:tcW w:w="32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9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含水文地质勘察钻孔</w:t>
            </w:r>
            <w:r>
              <w:rPr>
                <w:rFonts w:hint="eastAsia" w:cs="Times New Roman"/>
                <w:color w:val="000000"/>
                <w:sz w:val="21"/>
                <w:szCs w:val="21"/>
                <w:highlight w:val="none"/>
              </w:rPr>
              <w:t xml:space="preserve">建设地下水井，用于抽水试验及流场确定等，布设4个钻孔点位，单个点位建井深度达到40m，需钻探至中风化层</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160</w:t>
            </w:r>
            <w:r/>
          </w:p>
        </w:tc>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84"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left w:val="single" w:color="auto" w:sz="2" w:space="0"/>
              <w:right w:val="single" w:color="auto" w:sz="2" w:space="0"/>
            </w:tcBorders>
            <w:tcW w:w="32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9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土工试验，包括土壤有机质含量、含水率、孔隙度、渗透系数、土壤颗粒密度、土壤容重等参数的测定，每个点位采集</w:t>
            </w:r>
            <w:r>
              <w:rPr>
                <w:rFonts w:hint="eastAsia" w:cs="Times New Roman"/>
                <w:color w:val="000000"/>
                <w:sz w:val="21"/>
                <w:szCs w:val="21"/>
                <w:highlight w:val="none"/>
              </w:rPr>
              <w:t xml:space="preserve">4个土工试验样品，共需送检16个土工试验样品</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84"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left w:val="single" w:color="auto" w:sz="2" w:space="0"/>
              <w:right w:val="single" w:color="auto" w:sz="2" w:space="0"/>
            </w:tcBorders>
            <w:tcW w:w="32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9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抽水试验，需要</w:t>
            </w:r>
            <w:r>
              <w:rPr>
                <w:rFonts w:hint="eastAsia" w:cs="Times New Roman"/>
                <w:color w:val="000000"/>
                <w:sz w:val="21"/>
                <w:szCs w:val="21"/>
                <w:highlight w:val="none"/>
              </w:rPr>
              <w:t xml:space="preserve">2个台班</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台班</w:t>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2" w:space="0"/>
            </w:tcBorders>
            <w:tcW w:w="184"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left w:val="single" w:color="auto" w:sz="2" w:space="0"/>
              <w:bottom w:val="single" w:color="auto" w:sz="4" w:space="0"/>
              <w:right w:val="single" w:color="auto" w:sz="2" w:space="0"/>
            </w:tcBorders>
            <w:tcW w:w="32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9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完成水文地质勘察报告（明确地层结构、地下水特征、地下水与长江水力联系、区域地下水补给、径流、排泄规律，以及对应长江河段的水质现状，水文特征等）</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项</w:t>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bottom w:val="single" w:color="auto" w:sz="4" w:space="0"/>
              <w:right w:val="single" w:color="auto" w:sz="2" w:space="0"/>
            </w:tcBorders>
            <w:tcW w:w="184" w:type="pct"/>
            <w:vAlign w:val="center"/>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t xml:space="preserve">2</w:t>
            </w:r>
            <w:r/>
          </w:p>
        </w:tc>
        <w:tc>
          <w:tcPr>
            <w:tcBorders>
              <w:top w:val="single" w:color="auto" w:sz="4" w:space="0"/>
              <w:left w:val="single" w:color="auto" w:sz="2" w:space="0"/>
              <w:bottom w:val="single" w:color="auto" w:sz="4" w:space="0"/>
              <w:right w:val="single" w:color="auto" w:sz="2" w:space="0"/>
            </w:tcBorders>
            <w:tcW w:w="32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补充调查方案制定</w:t>
            </w:r>
            <w:r/>
          </w:p>
        </w:tc>
        <w:tc>
          <w:tcPr>
            <w:tcBorders>
              <w:top w:val="single" w:color="auto" w:sz="4" w:space="0"/>
              <w:left w:val="single" w:color="auto" w:sz="2" w:space="0"/>
              <w:bottom w:val="single" w:color="auto" w:sz="4" w:space="0"/>
              <w:right w:val="single" w:color="auto" w:sz="4" w:space="0"/>
            </w:tcBorders>
            <w:tcW w:w="219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根据科思化学地块的资料分析结果，制定科思化学地块的补充调查方案</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项</w:t>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2" w:space="0"/>
            </w:tcBorders>
            <w:tcW w:w="184" w:type="pct"/>
            <w:vAlign w:val="center"/>
            <w:vMerge w:val="restart"/>
            <w:textDirection w:val="lrTb"/>
            <w:noWrap w:val="false"/>
          </w:tcPr>
          <w:p>
            <w:pPr>
              <w:jc w:val="center"/>
              <w:spacing w:line="240" w:lineRule="auto"/>
              <w:rPr>
                <w:rFonts w:cs="Times New Roman"/>
                <w:bCs/>
                <w:color w:val="000000"/>
                <w:sz w:val="21"/>
                <w:szCs w:val="21"/>
                <w:highlight w:val="none"/>
              </w:rPr>
            </w:pPr>
            <w:r>
              <w:rPr>
                <w:rFonts w:cs="Times New Roman"/>
                <w:color w:val="000000"/>
                <w:sz w:val="21"/>
                <w:szCs w:val="21"/>
                <w:highlight w:val="none"/>
              </w:rPr>
              <w:t xml:space="preserve">3</w:t>
            </w:r>
            <w:r/>
          </w:p>
        </w:tc>
        <w:tc>
          <w:tcPr>
            <w:tcBorders>
              <w:top w:val="single" w:color="auto" w:sz="4" w:space="0"/>
              <w:left w:val="single" w:color="auto" w:sz="2" w:space="0"/>
              <w:right w:val="single" w:color="auto" w:sz="2" w:space="0"/>
            </w:tcBorders>
            <w:tcW w:w="324"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现场钻探及采样费用</w:t>
            </w:r>
            <w:r/>
          </w:p>
        </w:tc>
        <w:tc>
          <w:tcPr>
            <w:tcBorders>
              <w:top w:val="single" w:color="auto" w:sz="4" w:space="0"/>
              <w:left w:val="single" w:color="auto" w:sz="2" w:space="0"/>
              <w:bottom w:val="single" w:color="auto" w:sz="4" w:space="0"/>
              <w:right w:val="single" w:color="auto" w:sz="4" w:space="0"/>
            </w:tcBorders>
            <w:tcW w:w="219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科思化学地块补充调查的钻探及采样工作，包括土壤钻探以及土壤样品采集（钻探深度至少为</w:t>
            </w:r>
            <w:r>
              <w:rPr>
                <w:rFonts w:hint="eastAsia" w:cs="Times New Roman"/>
                <w:color w:val="000000"/>
                <w:sz w:val="21"/>
                <w:szCs w:val="21"/>
                <w:highlight w:val="none"/>
              </w:rPr>
              <w:t xml:space="preserve">6m，部分点位需要钻探15m、30m</w:t>
            </w:r>
            <w:r>
              <w:rPr>
                <w:rFonts w:cs="Times New Roman"/>
                <w:color w:val="000000"/>
                <w:sz w:val="21"/>
                <w:szCs w:val="21"/>
                <w:highlight w:val="none"/>
              </w:rPr>
              <w:t xml:space="preserve">），土壤总钻探深度约</w:t>
            </w:r>
            <w:r>
              <w:rPr>
                <w:rFonts w:hint="eastAsia" w:cs="Times New Roman"/>
                <w:color w:val="000000"/>
                <w:sz w:val="21"/>
                <w:szCs w:val="21"/>
                <w:highlight w:val="none"/>
              </w:rPr>
              <w:t xml:space="preserve">230m</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230</w:t>
            </w:r>
            <w:r/>
          </w:p>
        </w:tc>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spacing w:line="240" w:lineRule="auto"/>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2" w:space="0"/>
            </w:tcBorders>
            <w:tcW w:w="18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bottom w:val="single" w:color="auto" w:sz="4" w:space="0"/>
              <w:right w:val="single" w:color="auto" w:sz="2" w:space="0"/>
            </w:tcBorders>
            <w:tcW w:w="32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9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科思化学地块补充调查的钻探及采样工作，包括地下水建井以及地下水样品采集（建井深度至少为</w:t>
            </w:r>
            <w:r>
              <w:rPr>
                <w:rFonts w:hint="eastAsia" w:cs="Times New Roman"/>
                <w:color w:val="000000"/>
                <w:sz w:val="21"/>
                <w:szCs w:val="21"/>
                <w:highlight w:val="none"/>
              </w:rPr>
              <w:t xml:space="preserve">6m，部分点位建井深度需要达到15m、30m</w:t>
            </w:r>
            <w:r>
              <w:rPr>
                <w:rFonts w:cs="Times New Roman"/>
                <w:color w:val="000000"/>
                <w:sz w:val="21"/>
                <w:szCs w:val="21"/>
                <w:highlight w:val="none"/>
              </w:rPr>
              <w:t xml:space="preserve">），地下水总建井深度约</w:t>
            </w:r>
            <w:r>
              <w:rPr>
                <w:rFonts w:hint="eastAsia" w:cs="Times New Roman"/>
                <w:color w:val="000000"/>
                <w:sz w:val="21"/>
                <w:szCs w:val="21"/>
                <w:highlight w:val="none"/>
              </w:rPr>
              <w:t xml:space="preserve">300m</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300</w:t>
            </w:r>
            <w:r/>
          </w:p>
        </w:tc>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spacing w:line="240" w:lineRule="auto"/>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2" w:space="0"/>
            </w:tcBorders>
            <w:tcW w:w="184" w:type="pct"/>
            <w:vAlign w:val="center"/>
            <w:vMerge w:val="restart"/>
            <w:textDirection w:val="lrTb"/>
            <w:noWrap w:val="false"/>
          </w:tcPr>
          <w:p>
            <w:pPr>
              <w:jc w:val="center"/>
              <w:spacing w:line="240" w:lineRule="auto"/>
              <w:rPr>
                <w:rFonts w:cs="Times New Roman"/>
                <w:bCs/>
                <w:color w:val="000000"/>
                <w:sz w:val="21"/>
                <w:szCs w:val="21"/>
                <w:highlight w:val="none"/>
              </w:rPr>
            </w:pPr>
            <w:r/>
            <w:bookmarkStart w:id="139" w:name="_Hlk227746391"/>
            <w:r>
              <w:rPr>
                <w:rFonts w:cs="Times New Roman"/>
                <w:color w:val="000000"/>
                <w:sz w:val="21"/>
                <w:szCs w:val="21"/>
                <w:highlight w:val="none"/>
              </w:rPr>
              <w:t xml:space="preserve">4</w:t>
            </w:r>
            <w:r/>
          </w:p>
        </w:tc>
        <w:tc>
          <w:tcPr>
            <w:tcBorders>
              <w:top w:val="single" w:color="auto" w:sz="4" w:space="0"/>
              <w:left w:val="single" w:color="auto" w:sz="2" w:space="0"/>
              <w:right w:val="single" w:color="auto" w:sz="2" w:space="0"/>
            </w:tcBorders>
            <w:tcW w:w="324"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bCs/>
                <w:color w:val="000000"/>
                <w:sz w:val="21"/>
                <w:szCs w:val="21"/>
                <w:highlight w:val="none"/>
              </w:rPr>
              <w:t xml:space="preserve">样品处理与检测费</w:t>
            </w:r>
            <w:r/>
          </w:p>
        </w:tc>
        <w:tc>
          <w:tcPr>
            <w:tcBorders>
              <w:top w:val="single" w:color="auto" w:sz="4" w:space="0"/>
              <w:left w:val="single" w:color="auto" w:sz="2" w:space="0"/>
              <w:bottom w:val="single" w:color="auto" w:sz="4" w:space="0"/>
              <w:right w:val="single" w:color="auto" w:sz="4" w:space="0"/>
            </w:tcBorders>
            <w:tcW w:w="219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土壤检测因子包括pH、重金属</w:t>
            </w:r>
            <w:r>
              <w:rPr>
                <w:rFonts w:hint="eastAsia" w:cs="Times New Roman"/>
                <w:color w:val="000000"/>
                <w:sz w:val="21"/>
                <w:szCs w:val="21"/>
                <w:highlight w:val="none"/>
              </w:rPr>
              <w:t xml:space="preserve">7项、挥发性有机污染物65项、半挥发性有机污染物64项、特征污染物20项（需要包括：</w:t>
            </w:r>
            <w:r>
              <w:rPr>
                <w:rFonts w:cs="Times New Roman"/>
                <w:color w:val="000000"/>
                <w:sz w:val="21"/>
                <w:szCs w:val="21"/>
                <w:highlight w:val="none"/>
              </w:rPr>
              <w:t xml:space="preserve">石油烃（C</w:t>
            </w:r>
            <w:r>
              <w:rPr>
                <w:rFonts w:cs="Times New Roman"/>
                <w:color w:val="000000"/>
                <w:sz w:val="21"/>
                <w:szCs w:val="21"/>
                <w:highlight w:val="none"/>
                <w:vertAlign w:val="subscript"/>
              </w:rPr>
              <w:t xml:space="preserve">10</w:t>
            </w:r>
            <w:r>
              <w:rPr>
                <w:rFonts w:cs="Times New Roman"/>
                <w:color w:val="000000"/>
                <w:sz w:val="21"/>
                <w:szCs w:val="21"/>
                <w:highlight w:val="none"/>
              </w:rPr>
              <w:t xml:space="preserve">-C</w:t>
            </w:r>
            <w:r>
              <w:rPr>
                <w:rFonts w:cs="Times New Roman"/>
                <w:color w:val="000000"/>
                <w:sz w:val="21"/>
                <w:szCs w:val="21"/>
                <w:highlight w:val="none"/>
                <w:vertAlign w:val="subscript"/>
              </w:rPr>
              <w:t xml:space="preserve">40</w:t>
            </w:r>
            <w:r>
              <w:rPr>
                <w:rFonts w:cs="Times New Roman"/>
                <w:color w:val="000000"/>
                <w:sz w:val="21"/>
                <w:szCs w:val="21"/>
                <w:highlight w:val="none"/>
              </w:rPr>
              <w:t xml:space="preserve">）、一溴二氯甲烷、溴仿、二溴氯甲烷、1,2-二溴乙烷、六氯环戊二烯、2,4-二硝基甲苯、2,4-二氯酚、2,4,6-三氯酚、2,4-二硝基酚、五氯酚、邻苯二甲酸二(2-乙基己基)酯、邻苯二甲酸丁基苄酯、邻苯二甲酸二正辛酯、3,3’-二氯联苯胺、苯甲醚、甲醇、均三甲苯、苯乙酮、2-萘乙酮</w:t>
            </w:r>
            <w:r>
              <w:rPr>
                <w:rFonts w:hint="eastAsia" w:cs="Times New Roman"/>
                <w:color w:val="000000"/>
                <w:sz w:val="21"/>
                <w:szCs w:val="21"/>
                <w:highlight w:val="none"/>
              </w:rPr>
              <w:t xml:space="preserve">等）</w:t>
            </w:r>
            <w:r>
              <w:rPr>
                <w:rFonts w:cs="Times New Roman"/>
                <w:color w:val="000000"/>
                <w:sz w:val="21"/>
                <w:szCs w:val="21"/>
                <w:highlight w:val="none"/>
              </w:rPr>
              <w:t xml:space="preserve">，土壤样品约</w:t>
            </w:r>
            <w:r>
              <w:rPr>
                <w:rFonts w:hint="eastAsia" w:cs="Times New Roman"/>
                <w:color w:val="000000"/>
                <w:sz w:val="21"/>
                <w:szCs w:val="21"/>
                <w:highlight w:val="none"/>
              </w:rPr>
              <w:t xml:space="preserve">160个</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160</w:t>
            </w:r>
            <w:r/>
          </w:p>
        </w:tc>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spacing w:line="240" w:lineRule="auto"/>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2" w:space="0"/>
            </w:tcBorders>
            <w:tcW w:w="18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bottom w:val="single" w:color="auto" w:sz="4" w:space="0"/>
              <w:right w:val="single" w:color="auto" w:sz="2" w:space="0"/>
            </w:tcBorders>
            <w:tcW w:w="324"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94"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地下水</w:t>
            </w:r>
            <w:r>
              <w:rPr>
                <w:rFonts w:cs="Times New Roman"/>
                <w:color w:val="000000"/>
                <w:sz w:val="21"/>
                <w:szCs w:val="21"/>
                <w:highlight w:val="none"/>
              </w:rPr>
              <w:t xml:space="preserve">的检测因子包括pH、重金属</w:t>
            </w:r>
            <w:r>
              <w:rPr>
                <w:rFonts w:hint="eastAsia" w:cs="Times New Roman"/>
                <w:color w:val="000000"/>
                <w:sz w:val="21"/>
                <w:szCs w:val="21"/>
                <w:highlight w:val="none"/>
              </w:rPr>
              <w:t xml:space="preserve">7项、挥发性有机污染物65项、半挥发性有机污染物64项、特征污染物20项（需要包括：</w:t>
            </w:r>
            <w:r>
              <w:rPr>
                <w:rFonts w:cs="Times New Roman"/>
                <w:color w:val="000000"/>
                <w:sz w:val="21"/>
                <w:szCs w:val="21"/>
                <w:highlight w:val="none"/>
              </w:rPr>
              <w:t xml:space="preserve">石油烃（C</w:t>
            </w:r>
            <w:r>
              <w:rPr>
                <w:rFonts w:cs="Times New Roman"/>
                <w:color w:val="000000"/>
                <w:sz w:val="21"/>
                <w:szCs w:val="21"/>
                <w:highlight w:val="none"/>
                <w:vertAlign w:val="subscript"/>
              </w:rPr>
              <w:t xml:space="preserve">10</w:t>
            </w:r>
            <w:r>
              <w:rPr>
                <w:rFonts w:cs="Times New Roman"/>
                <w:color w:val="000000"/>
                <w:sz w:val="21"/>
                <w:szCs w:val="21"/>
                <w:highlight w:val="none"/>
              </w:rPr>
              <w:t xml:space="preserve">-C</w:t>
            </w:r>
            <w:r>
              <w:rPr>
                <w:rFonts w:cs="Times New Roman"/>
                <w:color w:val="000000"/>
                <w:sz w:val="21"/>
                <w:szCs w:val="21"/>
                <w:highlight w:val="none"/>
                <w:vertAlign w:val="subscript"/>
              </w:rPr>
              <w:t xml:space="preserve">40</w:t>
            </w:r>
            <w:r>
              <w:rPr>
                <w:rFonts w:cs="Times New Roman"/>
                <w:color w:val="000000"/>
                <w:sz w:val="21"/>
                <w:szCs w:val="21"/>
                <w:highlight w:val="none"/>
              </w:rPr>
              <w:t xml:space="preserve">）、一溴二氯甲烷、溴仿、二溴氯甲烷、1,2-二溴乙烷、六氯环戊二烯、2,4-二硝基甲苯、2,4-二氯酚、2,4,6-三氯酚、2,4-二硝基酚、五氯酚、邻苯二甲酸二(2-乙基己基)酯、邻苯二甲酸丁基苄酯、邻苯二甲酸二正辛酯、3,3’-二氯联苯胺、苯甲醚、甲醇、均三甲苯、苯乙酮、2-萘乙酮</w:t>
            </w:r>
            <w:r>
              <w:rPr>
                <w:rFonts w:hint="eastAsia" w:cs="Times New Roman"/>
                <w:color w:val="000000"/>
                <w:sz w:val="21"/>
                <w:szCs w:val="21"/>
                <w:highlight w:val="none"/>
              </w:rPr>
              <w:t xml:space="preserve">等）</w:t>
            </w:r>
            <w:r>
              <w:rPr>
                <w:rFonts w:cs="Times New Roman"/>
                <w:color w:val="000000"/>
                <w:sz w:val="21"/>
                <w:szCs w:val="21"/>
                <w:highlight w:val="none"/>
              </w:rPr>
              <w:t xml:space="preserve">，</w:t>
            </w:r>
            <w:r>
              <w:rPr>
                <w:rFonts w:hint="eastAsia" w:cs="Times New Roman"/>
                <w:color w:val="000000"/>
                <w:sz w:val="21"/>
                <w:szCs w:val="21"/>
                <w:highlight w:val="none"/>
              </w:rPr>
              <w:t xml:space="preserve">《地下水质量标准》(GBT14848-2017)中的感官性状无机指标等25项等。考虑</w:t>
            </w:r>
            <w:r>
              <w:rPr>
                <w:rFonts w:cs="Times New Roman"/>
                <w:color w:val="000000"/>
                <w:sz w:val="21"/>
                <w:szCs w:val="21"/>
                <w:highlight w:val="none"/>
              </w:rPr>
              <w:t xml:space="preserve">到地块内涉及</w:t>
            </w:r>
            <w:r>
              <w:rPr>
                <w:rFonts w:hint="eastAsia" w:cs="Times New Roman"/>
                <w:color w:val="000000"/>
                <w:sz w:val="21"/>
                <w:szCs w:val="21"/>
                <w:highlight w:val="none"/>
              </w:rPr>
              <w:t xml:space="preserve">DNAPL类物质超标，根据技术规范要求需要分别在水位线以下0.5m和井管底部采集地下水样品</w:t>
            </w:r>
            <w:r>
              <w:rPr>
                <w:rFonts w:cs="Times New Roman"/>
                <w:color w:val="000000"/>
                <w:sz w:val="21"/>
                <w:szCs w:val="21"/>
                <w:highlight w:val="none"/>
              </w:rPr>
              <w:t xml:space="preserve">，地下水样品约</w:t>
            </w:r>
            <w:r>
              <w:rPr>
                <w:rFonts w:hint="eastAsia" w:cs="Times New Roman"/>
                <w:color w:val="000000"/>
                <w:sz w:val="21"/>
                <w:szCs w:val="21"/>
                <w:highlight w:val="none"/>
              </w:rPr>
              <w:t xml:space="preserve">52个</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52</w:t>
            </w:r>
            <w:r/>
          </w:p>
        </w:tc>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spacing w:line="240" w:lineRule="auto"/>
              <w:rPr>
                <w:rFonts w:cs="Times New Roman"/>
                <w:color w:val="000000"/>
                <w:sz w:val="21"/>
                <w:szCs w:val="21"/>
                <w:highlight w:val="none"/>
              </w:rPr>
            </w:pPr>
            <w:r>
              <w:rPr>
                <w:rFonts w:cs="Times New Roman"/>
                <w:color w:val="000000"/>
                <w:sz w:val="21"/>
                <w:szCs w:val="21"/>
                <w:highlight w:val="none"/>
              </w:rPr>
            </w:r>
            <w:bookmarkEnd w:id="139"/>
            <w:r/>
          </w:p>
        </w:tc>
      </w:tr>
      <w:tr>
        <w:trPr>
          <w:jc w:val="center"/>
          <w:trHeight w:val="20"/>
        </w:trPr>
        <w:tc>
          <w:tcPr>
            <w:tcBorders>
              <w:top w:val="single" w:color="auto" w:sz="4" w:space="0"/>
              <w:left w:val="single" w:color="auto" w:sz="8" w:space="0"/>
              <w:right w:val="single" w:color="auto" w:sz="2" w:space="0"/>
            </w:tcBorders>
            <w:tcW w:w="184"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5</w:t>
            </w:r>
            <w:r/>
          </w:p>
        </w:tc>
        <w:tc>
          <w:tcPr>
            <w:tcBorders>
              <w:top w:val="single" w:color="auto" w:sz="2" w:space="0"/>
              <w:left w:val="single" w:color="auto" w:sz="2" w:space="0"/>
              <w:right w:val="single" w:color="auto" w:sz="2" w:space="0"/>
            </w:tcBorders>
            <w:tcW w:w="324" w:type="pct"/>
            <w:vAlign w:val="center"/>
            <w:vMerge w:val="restart"/>
            <w:textDirection w:val="lrTb"/>
            <w:noWrap w:val="false"/>
          </w:tcPr>
          <w:p>
            <w:pPr>
              <w:jc w:val="center"/>
              <w:spacing w:line="240" w:lineRule="auto"/>
              <w:rPr>
                <w:rFonts w:cs="Times New Roman"/>
                <w:bCs/>
                <w:color w:val="000000"/>
                <w:sz w:val="21"/>
                <w:szCs w:val="21"/>
                <w:highlight w:val="none"/>
              </w:rPr>
            </w:pPr>
            <w:r>
              <w:rPr>
                <w:rFonts w:cs="Times New Roman"/>
                <w:color w:val="000000"/>
                <w:sz w:val="21"/>
                <w:szCs w:val="21"/>
                <w:highlight w:val="none"/>
              </w:rPr>
              <w:t xml:space="preserve">污染物入江风险评估</w:t>
            </w:r>
            <w:r/>
          </w:p>
        </w:tc>
        <w:tc>
          <w:tcPr>
            <w:tcBorders>
              <w:top w:val="single" w:color="auto" w:sz="2" w:space="0"/>
              <w:left w:val="single" w:color="auto" w:sz="2" w:space="0"/>
              <w:bottom w:val="single" w:color="auto" w:sz="2" w:space="0"/>
              <w:right w:val="single" w:color="auto" w:sz="2" w:space="0"/>
            </w:tcBorders>
            <w:tcW w:w="219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开展</w:t>
            </w:r>
            <w:r>
              <w:rPr>
                <w:rFonts w:cs="Times New Roman"/>
                <w:bCs/>
                <w:color w:val="000000"/>
                <w:sz w:val="21"/>
                <w:szCs w:val="21"/>
                <w:highlight w:val="none"/>
              </w:rPr>
              <w:t xml:space="preserve">入江风险识别与途径分析，</w:t>
            </w:r>
            <w:r>
              <w:rPr>
                <w:rFonts w:hint="eastAsia" w:cs="Times New Roman"/>
                <w:bCs/>
                <w:color w:val="000000"/>
                <w:sz w:val="21"/>
                <w:szCs w:val="21"/>
                <w:highlight w:val="none"/>
              </w:rPr>
              <w:t xml:space="preserve">结合地块利用类型，识别入江风险因素，分析污染物入江的主要途径及可行性，包括地块污染本身风险、水文水力联系风险、污染物入江途径风险、敏感目标影响风险、暴雨与汛期风险、开发建设新增风险等</w:t>
            </w:r>
            <w:r/>
          </w:p>
        </w:tc>
        <w:tc>
          <w:tcPr>
            <w:tcBorders>
              <w:top w:val="single" w:color="auto" w:sz="4" w:space="0"/>
              <w:left w:val="single" w:color="auto" w:sz="4" w:space="0"/>
              <w:right w:val="single" w:color="auto" w:sz="4" w:space="0"/>
            </w:tcBorders>
            <w:tcW w:w="322"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项</w:t>
            </w:r>
            <w:r/>
          </w:p>
        </w:tc>
        <w:tc>
          <w:tcPr>
            <w:tcBorders>
              <w:top w:val="single" w:color="auto" w:sz="4" w:space="0"/>
              <w:left w:val="single" w:color="auto" w:sz="4" w:space="0"/>
              <w:right w:val="single" w:color="auto" w:sz="4" w:space="0"/>
            </w:tcBorders>
            <w:tcW w:w="341"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right w:val="single" w:color="auto" w:sz="4" w:space="0"/>
            </w:tcBorders>
            <w:tcW w:w="537"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right w:val="single" w:color="auto" w:sz="4" w:space="0"/>
            </w:tcBorders>
            <w:tcW w:w="580"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right w:val="single" w:color="auto" w:sz="4" w:space="0"/>
            </w:tcBorders>
            <w:tcW w:w="516" w:type="pct"/>
            <w:vAlign w:val="center"/>
            <w:vMerge w:val="restart"/>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8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right w:val="single" w:color="auto" w:sz="2" w:space="0"/>
            </w:tcBorders>
            <w:tcW w:w="32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9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开展</w:t>
            </w:r>
            <w:r>
              <w:rPr>
                <w:rFonts w:hint="eastAsia" w:cs="Times New Roman"/>
                <w:color w:val="000000"/>
                <w:sz w:val="21"/>
                <w:szCs w:val="21"/>
                <w:highlight w:val="none"/>
              </w:rPr>
              <w:t xml:space="preserve">风险计算与等级判定，采用定性与定量相结合的方法，计算风险指标，判定地块入江风险等级。风险计算采用地下水模拟软件GMS根据MODFLOW模块构建三维有限差分地下水流模型进行计算，需要结合含水层概化和边界条件，开展地下水水流模拟及地下水溶质运移模拟。</w:t>
            </w:r>
            <w:r/>
          </w:p>
        </w:tc>
        <w:tc>
          <w:tcPr>
            <w:tcBorders>
              <w:left w:val="single" w:color="auto" w:sz="4" w:space="0"/>
              <w:right w:val="single" w:color="auto" w:sz="4" w:space="0"/>
            </w:tcBorders>
            <w:tcW w:w="32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341"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37"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80"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16"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8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right w:val="single" w:color="auto" w:sz="2" w:space="0"/>
            </w:tcBorders>
            <w:tcW w:w="32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9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开展</w:t>
            </w:r>
            <w:r>
              <w:rPr>
                <w:rFonts w:cs="Times New Roman"/>
                <w:bCs/>
                <w:color w:val="000000"/>
                <w:sz w:val="21"/>
                <w:szCs w:val="21"/>
                <w:highlight w:val="none"/>
              </w:rPr>
              <w:t xml:space="preserve">入江风险防控措施，</w:t>
            </w:r>
            <w:r>
              <w:rPr>
                <w:rFonts w:hint="eastAsia" w:cs="Times New Roman"/>
                <w:bCs/>
                <w:color w:val="000000"/>
                <w:sz w:val="21"/>
                <w:szCs w:val="21"/>
                <w:highlight w:val="none"/>
              </w:rPr>
              <w:t xml:space="preserve">结合风险等级及地块利用类型，制定针对性、可操作的源头管控、过程拦截、应急处置及长效监测措施</w:t>
            </w:r>
            <w:r/>
          </w:p>
        </w:tc>
        <w:tc>
          <w:tcPr>
            <w:tcBorders>
              <w:left w:val="single" w:color="auto" w:sz="4" w:space="0"/>
              <w:right w:val="single" w:color="auto" w:sz="4" w:space="0"/>
            </w:tcBorders>
            <w:tcW w:w="32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341"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37"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80"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16"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2" w:space="0"/>
            </w:tcBorders>
            <w:tcW w:w="18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bottom w:val="single" w:color="auto" w:sz="2" w:space="0"/>
              <w:right w:val="single" w:color="auto" w:sz="2" w:space="0"/>
            </w:tcBorders>
            <w:tcW w:w="32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9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开展</w:t>
            </w:r>
            <w:r>
              <w:rPr>
                <w:rFonts w:cs="Times New Roman"/>
                <w:bCs/>
                <w:color w:val="000000"/>
                <w:sz w:val="21"/>
                <w:szCs w:val="21"/>
                <w:highlight w:val="none"/>
              </w:rPr>
              <w:t xml:space="preserve">风险分析报告编制，</w:t>
            </w:r>
            <w:r>
              <w:rPr>
                <w:rFonts w:hint="eastAsia" w:cs="Times New Roman"/>
                <w:bCs/>
                <w:color w:val="000000"/>
                <w:sz w:val="21"/>
                <w:szCs w:val="21"/>
                <w:highlight w:val="none"/>
              </w:rPr>
              <w:t xml:space="preserve">编制入江风险分析报告，作为地块开发利用及监管的依据</w:t>
            </w:r>
            <w:r/>
          </w:p>
        </w:tc>
        <w:tc>
          <w:tcPr>
            <w:tcBorders>
              <w:left w:val="single" w:color="auto" w:sz="4" w:space="0"/>
              <w:bottom w:val="single" w:color="auto" w:sz="4" w:space="0"/>
              <w:right w:val="single" w:color="auto" w:sz="4" w:space="0"/>
            </w:tcBorders>
            <w:tcW w:w="32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341"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37"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80"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16"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2" w:space="0"/>
            </w:tcBorders>
            <w:tcW w:w="184"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6</w:t>
            </w:r>
            <w:r/>
          </w:p>
        </w:tc>
        <w:tc>
          <w:tcPr>
            <w:tcBorders>
              <w:top w:val="single" w:color="auto" w:sz="2" w:space="0"/>
              <w:left w:val="single" w:color="auto" w:sz="2" w:space="0"/>
              <w:right w:val="single" w:color="auto" w:sz="2" w:space="0"/>
            </w:tcBorders>
            <w:tcW w:w="324" w:type="pct"/>
            <w:vAlign w:val="center"/>
            <w:vMerge w:val="restart"/>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t xml:space="preserve">风险评估报告编制</w:t>
            </w:r>
            <w:r/>
          </w:p>
        </w:tc>
        <w:tc>
          <w:tcPr>
            <w:tcBorders>
              <w:top w:val="single" w:color="auto" w:sz="2" w:space="0"/>
              <w:left w:val="single" w:color="auto" w:sz="2" w:space="0"/>
              <w:bottom w:val="single" w:color="auto" w:sz="2" w:space="0"/>
              <w:right w:val="single" w:color="auto" w:sz="2" w:space="0"/>
            </w:tcBorders>
            <w:tcW w:w="2194"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开展危害识别，收集土壤污染状况调查阶段获得的相关资料和数据，掌握地块土壤和地下水中关注污染物的浓度分布，明确规划土地利用方式，分析可能的敏感受体，如儿童、成人、地下水体等。</w:t>
            </w:r>
            <w:r/>
          </w:p>
        </w:tc>
        <w:tc>
          <w:tcPr>
            <w:tcBorders>
              <w:top w:val="single" w:color="auto" w:sz="4" w:space="0"/>
              <w:left w:val="single" w:color="auto" w:sz="4" w:space="0"/>
              <w:right w:val="single" w:color="auto" w:sz="4" w:space="0"/>
            </w:tcBorders>
            <w:tcW w:w="322"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项</w:t>
            </w:r>
            <w:r/>
          </w:p>
        </w:tc>
        <w:tc>
          <w:tcPr>
            <w:tcBorders>
              <w:top w:val="single" w:color="auto" w:sz="4" w:space="0"/>
              <w:left w:val="single" w:color="auto" w:sz="4" w:space="0"/>
              <w:right w:val="single" w:color="auto" w:sz="4" w:space="0"/>
            </w:tcBorders>
            <w:tcW w:w="341"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right w:val="single" w:color="auto" w:sz="4" w:space="0"/>
            </w:tcBorders>
            <w:tcW w:w="537"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right w:val="single" w:color="auto" w:sz="4" w:space="0"/>
            </w:tcBorders>
            <w:tcW w:w="580"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right w:val="single" w:color="auto" w:sz="4" w:space="0"/>
            </w:tcBorders>
            <w:tcW w:w="516" w:type="pct"/>
            <w:vAlign w:val="center"/>
            <w:vMerge w:val="restart"/>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8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right w:val="single" w:color="auto" w:sz="2" w:space="0"/>
            </w:tcBorders>
            <w:tcW w:w="324"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94"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开展暴露评估，在危害识别的基础上，分析地块内关注污染物迁移和危害敏感受体的可能性，确定地块地下水污染物的主要暴露途径和暴露评估模型，确定评估模型参数取值，计算敏感人群对地下水中污染物的暴露量。</w:t>
            </w:r>
            <w:r/>
          </w:p>
        </w:tc>
        <w:tc>
          <w:tcPr>
            <w:tcBorders>
              <w:left w:val="single" w:color="auto" w:sz="4" w:space="0"/>
              <w:right w:val="single" w:color="auto" w:sz="4" w:space="0"/>
            </w:tcBorders>
            <w:tcW w:w="32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341"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37"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80"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16"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8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right w:val="single" w:color="auto" w:sz="2" w:space="0"/>
            </w:tcBorders>
            <w:tcW w:w="324"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94"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开展毒性评估，在危害识别的基础上，分析关注污染物对人体健康的危害效应，包括致癌效应和非致癌效应，确定与关注污染物相关的参数，包括参考剂量、参考浓度、致癌斜率因子和呼吸吸入单位致癌因子等。</w:t>
            </w:r>
            <w:r/>
          </w:p>
        </w:tc>
        <w:tc>
          <w:tcPr>
            <w:tcBorders>
              <w:left w:val="single" w:color="auto" w:sz="4" w:space="0"/>
              <w:right w:val="single" w:color="auto" w:sz="4" w:space="0"/>
            </w:tcBorders>
            <w:tcW w:w="32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341"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37"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80"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16"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8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right w:val="single" w:color="auto" w:sz="2" w:space="0"/>
            </w:tcBorders>
            <w:tcW w:w="324"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94"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开展风险表征，在暴露评估和毒性评估的基础上，采用风险评估模型计算土壤和地下水中单一污染物经单一途径的致癌风险和危害商，计算单一污染物的总致癌风险和危害商，进行不确定性分析。</w:t>
            </w:r>
            <w:r/>
          </w:p>
        </w:tc>
        <w:tc>
          <w:tcPr>
            <w:tcBorders>
              <w:left w:val="single" w:color="auto" w:sz="4" w:space="0"/>
              <w:right w:val="single" w:color="auto" w:sz="4" w:space="0"/>
            </w:tcBorders>
            <w:tcW w:w="32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341"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37"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80"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16"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2" w:space="0"/>
            </w:tcBorders>
            <w:tcW w:w="18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bottom w:val="single" w:color="auto" w:sz="2" w:space="0"/>
              <w:right w:val="single" w:color="auto" w:sz="2" w:space="0"/>
            </w:tcBorders>
            <w:tcW w:w="324"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94"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开展土壤和地下水风险控制值的计算，在风险表征的基础上，判断计算得到的风险值是否超过可接受风险水平。如地块风险评估结果未超过可接受风险水平，则结束风险评估工作；如地块风险评估结果超过可接受风险水平，则计算土壤、地下水中关注污染物的风险控制值；如调查结果表明，土壤中关注污染物可迁移进入地下水，则计算保护地下水的土壤风险控制值；根据计算结果，提出关注污染物的土壤和地下水风险控制值。</w:t>
            </w:r>
            <w:r/>
          </w:p>
        </w:tc>
        <w:tc>
          <w:tcPr>
            <w:tcBorders>
              <w:left w:val="single" w:color="auto" w:sz="4" w:space="0"/>
              <w:bottom w:val="single" w:color="auto" w:sz="4" w:space="0"/>
              <w:right w:val="single" w:color="auto" w:sz="4" w:space="0"/>
            </w:tcBorders>
            <w:tcW w:w="32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341"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37"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80"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16"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4" w:space="0"/>
            </w:tcBorders>
            <w:tcW w:w="184"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7</w:t>
            </w:r>
            <w:r/>
          </w:p>
        </w:tc>
        <w:tc>
          <w:tcPr>
            <w:tcBorders>
              <w:top w:val="single" w:color="auto" w:sz="4" w:space="0"/>
              <w:left w:val="single" w:color="auto" w:sz="4" w:space="0"/>
              <w:right w:val="single" w:color="auto" w:sz="4" w:space="0"/>
            </w:tcBorders>
            <w:tcW w:w="324"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bCs/>
                <w:color w:val="000000"/>
                <w:sz w:val="21"/>
                <w:szCs w:val="21"/>
                <w:highlight w:val="none"/>
              </w:rPr>
              <w:t xml:space="preserve">风险评估报告专家费、会务费、</w:t>
            </w:r>
            <w:r>
              <w:rPr>
                <w:rFonts w:hint="eastAsia" w:eastAsia="宋体" w:cs="Times New Roman"/>
                <w:bCs/>
                <w:color w:val="000000"/>
                <w:sz w:val="21"/>
                <w:szCs w:val="21"/>
                <w:highlight w:val="none"/>
                <w:lang w:val="en-US" w:eastAsia="zh-CN"/>
              </w:rPr>
              <w:t xml:space="preserve">彩色</w:t>
            </w:r>
            <w:r>
              <w:rPr>
                <w:rFonts w:cs="Times New Roman"/>
                <w:bCs/>
                <w:color w:val="000000"/>
                <w:sz w:val="21"/>
                <w:szCs w:val="21"/>
                <w:highlight w:val="none"/>
              </w:rPr>
              <w:t xml:space="preserve">打印费等</w:t>
            </w:r>
            <w:r/>
          </w:p>
        </w:tc>
        <w:tc>
          <w:tcPr>
            <w:tcBorders>
              <w:top w:val="single" w:color="auto" w:sz="2" w:space="0"/>
              <w:left w:val="single" w:color="auto" w:sz="4" w:space="0"/>
              <w:bottom w:val="single" w:color="auto" w:sz="4" w:space="0"/>
              <w:right w:val="single" w:color="auto" w:sz="4" w:space="0"/>
            </w:tcBorders>
            <w:tcW w:w="2194"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bCs/>
                <w:color w:val="000000"/>
                <w:sz w:val="21"/>
                <w:szCs w:val="21"/>
                <w:highlight w:val="none"/>
              </w:rPr>
              <w:t xml:space="preserve">市生态环境局至少邀请5名业内专家及相关部门领导，组织召开专家评审会</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项</w:t>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4" w:space="0"/>
            </w:tcBorders>
            <w:tcW w:w="18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324"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2" w:space="0"/>
              <w:left w:val="single" w:color="auto" w:sz="4" w:space="0"/>
              <w:bottom w:val="single" w:color="auto" w:sz="4" w:space="0"/>
              <w:right w:val="single" w:color="auto" w:sz="4" w:space="0"/>
            </w:tcBorders>
            <w:tcW w:w="2194"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省生态环境厅至少邀请5名业内专家及相关部门领导，组织召开专家评审会</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项</w:t>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1157"/>
        </w:trPr>
        <w:tc>
          <w:tcPr>
            <w:gridSpan w:val="6"/>
            <w:tcBorders>
              <w:top w:val="single" w:color="auto" w:sz="2" w:space="0"/>
              <w:left w:val="single" w:color="auto" w:sz="2" w:space="0"/>
              <w:bottom w:val="single" w:color="auto" w:sz="4" w:space="0"/>
              <w:right w:val="single" w:color="auto" w:sz="4" w:space="0"/>
            </w:tcBorders>
            <w:tcW w:w="3903"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16" w:type="pct"/>
            <w:vAlign w:val="top"/>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w:t>
            </w:r>
            <w:r/>
          </w:p>
        </w:tc>
      </w:tr>
    </w:tbl>
    <w:p>
      <w:pPr>
        <w:jc w:val="center"/>
        <w:rPr>
          <w:rFonts w:cs="Times New Roman"/>
          <w:b/>
          <w:bCs/>
          <w:color w:val="000000"/>
          <w:highlight w:val="none"/>
        </w:rPr>
      </w:pPr>
      <w:r>
        <w:rPr>
          <w:rFonts w:cs="Times New Roman"/>
          <w:b/>
          <w:bCs/>
          <w:color w:val="000000"/>
          <w:highlight w:val="none"/>
        </w:rPr>
      </w:r>
      <w:r/>
    </w:p>
    <w:p>
      <w:pPr>
        <w:jc w:val="center"/>
        <w:rPr>
          <w:rFonts w:cs="Times New Roman"/>
          <w:b/>
          <w:bCs/>
          <w:color w:val="000000"/>
          <w:highlight w:val="none"/>
        </w:rPr>
      </w:pPr>
      <w:r>
        <w:rPr>
          <w:rFonts w:cs="Times New Roman"/>
          <w:b/>
          <w:bCs/>
          <w:color w:val="000000"/>
          <w:highlight w:val="none"/>
        </w:rPr>
        <w:br w:type="page" w:clear="all"/>
      </w:r>
      <w:r>
        <w:rPr>
          <w:rFonts w:cs="Times New Roman"/>
          <w:b/>
          <w:bCs/>
          <w:color w:val="000000"/>
          <w:highlight w:val="none"/>
        </w:rPr>
        <w:t xml:space="preserve">表4  原南京宝恒化工有限公司地块风险评估项目费用报价明细表</w:t>
      </w:r>
      <w:r/>
    </w:p>
    <w:tbl>
      <w:tblPr>
        <w:tblStyle w:val="727"/>
        <w:tblW w:w="5035" w:type="pct"/>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autofit"/>
        <w:tblCellMar>
          <w:left w:w="0" w:type="dxa"/>
          <w:top w:w="0" w:type="dxa"/>
          <w:right w:w="0" w:type="dxa"/>
          <w:bottom w:w="0" w:type="dxa"/>
        </w:tblCellMar>
        <w:tblLook w:val="04A0" w:firstRow="1" w:lastRow="0" w:firstColumn="1" w:lastColumn="0" w:noHBand="0" w:noVBand="1"/>
      </w:tblPr>
      <w:tblGrid>
        <w:gridCol w:w="429"/>
        <w:gridCol w:w="997"/>
        <w:gridCol w:w="6184"/>
        <w:gridCol w:w="932"/>
        <w:gridCol w:w="941"/>
        <w:gridCol w:w="1574"/>
        <w:gridCol w:w="1661"/>
        <w:gridCol w:w="1404"/>
      </w:tblGrid>
      <w:tr>
        <w:trPr>
          <w:jc w:val="center"/>
          <w:trHeight w:val="20"/>
        </w:trPr>
        <w:tc>
          <w:tcPr>
            <w:tcBorders>
              <w:top w:val="single" w:color="auto" w:sz="8" w:space="0"/>
              <w:left w:val="single" w:color="auto" w:sz="8" w:space="0"/>
              <w:bottom w:val="single" w:color="auto" w:sz="2" w:space="0"/>
              <w:right w:val="single" w:color="auto" w:sz="2" w:space="0"/>
            </w:tcBorders>
            <w:tcW w:w="152"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序号</w:t>
            </w:r>
            <w:r/>
          </w:p>
        </w:tc>
        <w:tc>
          <w:tcPr>
            <w:tcBorders>
              <w:top w:val="single" w:color="auto" w:sz="8" w:space="0"/>
              <w:left w:val="single" w:color="auto" w:sz="2" w:space="0"/>
              <w:bottom w:val="single" w:color="auto" w:sz="2" w:space="0"/>
              <w:right w:val="single" w:color="auto" w:sz="2" w:space="0"/>
            </w:tcBorders>
            <w:tcW w:w="353"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工作</w:t>
            </w:r>
            <w:r>
              <w:rPr>
                <w:rFonts w:hint="eastAsia" w:cs="Times New Roman"/>
                <w:b/>
                <w:color w:val="000000"/>
                <w:sz w:val="21"/>
                <w:szCs w:val="21"/>
                <w:highlight w:val="none"/>
              </w:rPr>
              <w:t xml:space="preserve">分类</w:t>
            </w:r>
            <w:r/>
          </w:p>
        </w:tc>
        <w:tc>
          <w:tcPr>
            <w:tcBorders>
              <w:top w:val="single" w:color="auto" w:sz="8" w:space="0"/>
              <w:left w:val="single" w:color="auto" w:sz="2" w:space="0"/>
              <w:bottom w:val="single" w:color="auto" w:sz="2" w:space="0"/>
              <w:right w:val="single" w:color="auto" w:sz="2" w:space="0"/>
            </w:tcBorders>
            <w:tcW w:w="2189"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工作内容</w:t>
            </w:r>
            <w:r/>
          </w:p>
        </w:tc>
        <w:tc>
          <w:tcPr>
            <w:tcBorders>
              <w:top w:val="single" w:color="auto" w:sz="8" w:space="0"/>
              <w:left w:val="single" w:color="auto" w:sz="2" w:space="0"/>
              <w:bottom w:val="single" w:color="auto" w:sz="4" w:space="0"/>
              <w:right w:val="single" w:color="auto" w:sz="2" w:space="0"/>
            </w:tcBorders>
            <w:tcW w:w="330"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计量</w:t>
            </w:r>
            <w:r/>
          </w:p>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单位</w:t>
            </w:r>
            <w:r/>
          </w:p>
        </w:tc>
        <w:tc>
          <w:tcPr>
            <w:tcBorders>
              <w:top w:val="single" w:color="auto" w:sz="8" w:space="0"/>
              <w:left w:val="single" w:color="auto" w:sz="2" w:space="0"/>
              <w:bottom w:val="single" w:color="auto" w:sz="4" w:space="0"/>
              <w:right w:val="single" w:color="auto" w:sz="2" w:space="0"/>
            </w:tcBorders>
            <w:tcW w:w="333"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数量</w:t>
            </w:r>
            <w:r/>
          </w:p>
        </w:tc>
        <w:tc>
          <w:tcPr>
            <w:tcBorders>
              <w:top w:val="single" w:color="auto" w:sz="8" w:space="0"/>
              <w:left w:val="single" w:color="auto" w:sz="2" w:space="0"/>
              <w:bottom w:val="single" w:color="auto" w:sz="4" w:space="0"/>
              <w:right w:val="single" w:color="auto" w:sz="2" w:space="0"/>
            </w:tcBorders>
            <w:tcW w:w="555"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单价</w:t>
            </w:r>
            <w:r/>
          </w:p>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（万元）</w:t>
            </w:r>
            <w:r/>
          </w:p>
        </w:tc>
        <w:tc>
          <w:tcPr>
            <w:tcBorders>
              <w:top w:val="single" w:color="auto" w:sz="8" w:space="0"/>
              <w:left w:val="single" w:color="auto" w:sz="2" w:space="0"/>
              <w:bottom w:val="single" w:color="auto" w:sz="4" w:space="0"/>
              <w:right w:val="single" w:color="auto" w:sz="8" w:space="0"/>
            </w:tcBorders>
            <w:tcW w:w="588" w:type="pct"/>
            <w:vAlign w:val="center"/>
            <w:textDirection w:val="lrTb"/>
            <w:noWrap w:val="false"/>
          </w:tcPr>
          <w:p>
            <w:pPr>
              <w:jc w:val="center"/>
              <w:spacing w:line="240" w:lineRule="auto"/>
              <w:rPr>
                <w:rFonts w:cs="Times New Roman"/>
                <w:b/>
                <w:color w:val="000000"/>
                <w:sz w:val="21"/>
                <w:szCs w:val="21"/>
                <w:highlight w:val="none"/>
              </w:rPr>
            </w:pPr>
            <w:r>
              <w:rPr>
                <w:rFonts w:hint="eastAsia" w:cs="Times New Roman"/>
                <w:b/>
                <w:color w:val="000000"/>
                <w:sz w:val="21"/>
                <w:szCs w:val="21"/>
                <w:highlight w:val="none"/>
              </w:rPr>
              <w:t xml:space="preserve">小计</w:t>
            </w:r>
            <w:r/>
          </w:p>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（万元）</w:t>
            </w:r>
            <w:r/>
          </w:p>
        </w:tc>
        <w:tc>
          <w:tcPr>
            <w:tcBorders>
              <w:top w:val="single" w:color="auto" w:sz="8" w:space="0"/>
              <w:left w:val="single" w:color="auto" w:sz="2" w:space="0"/>
              <w:bottom w:val="single" w:color="auto" w:sz="4" w:space="0"/>
              <w:right w:val="single" w:color="auto" w:sz="8" w:space="0"/>
            </w:tcBorders>
            <w:tcW w:w="497" w:type="pct"/>
            <w:vAlign w:val="center"/>
            <w:textDirection w:val="lrTb"/>
            <w:noWrap w:val="false"/>
          </w:tcPr>
          <w:p>
            <w:pPr>
              <w:jc w:val="center"/>
              <w:spacing w:line="240" w:lineRule="auto"/>
              <w:rPr>
                <w:rFonts w:cs="Times New Roman"/>
                <w:b/>
                <w:color w:val="000000"/>
                <w:sz w:val="21"/>
                <w:szCs w:val="21"/>
                <w:highlight w:val="none"/>
              </w:rPr>
            </w:pPr>
            <w:r>
              <w:rPr>
                <w:rFonts w:hint="eastAsia" w:cs="Times New Roman"/>
                <w:b/>
                <w:color w:val="000000"/>
                <w:sz w:val="21"/>
                <w:szCs w:val="21"/>
                <w:highlight w:val="none"/>
              </w:rPr>
              <w:t xml:space="preserve">备注</w:t>
            </w:r>
            <w:r/>
          </w:p>
        </w:tc>
      </w:tr>
      <w:tr>
        <w:trPr>
          <w:jc w:val="center"/>
          <w:trHeight w:val="20"/>
        </w:trPr>
        <w:tc>
          <w:tcPr>
            <w:tcBorders>
              <w:top w:val="single" w:color="auto" w:sz="4" w:space="0"/>
              <w:left w:val="single" w:color="auto" w:sz="8" w:space="0"/>
              <w:right w:val="single" w:color="auto" w:sz="2" w:space="0"/>
            </w:tcBorders>
            <w:tcW w:w="152"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bCs/>
                <w:color w:val="000000"/>
                <w:sz w:val="21"/>
                <w:szCs w:val="21"/>
                <w:highlight w:val="none"/>
              </w:rPr>
              <w:t xml:space="preserve">1</w:t>
            </w:r>
            <w:r/>
          </w:p>
        </w:tc>
        <w:tc>
          <w:tcPr>
            <w:tcBorders>
              <w:top w:val="single" w:color="auto" w:sz="4" w:space="0"/>
              <w:left w:val="single" w:color="auto" w:sz="2" w:space="0"/>
              <w:right w:val="single" w:color="auto" w:sz="2" w:space="0"/>
            </w:tcBorders>
            <w:tcW w:w="353"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水文地质勘察</w:t>
            </w:r>
            <w:r/>
          </w:p>
        </w:tc>
        <w:tc>
          <w:tcPr>
            <w:tcBorders>
              <w:top w:val="single" w:color="auto" w:sz="4" w:space="0"/>
              <w:left w:val="single" w:color="auto" w:sz="2" w:space="0"/>
              <w:bottom w:val="single" w:color="auto" w:sz="4" w:space="0"/>
              <w:right w:val="single" w:color="auto" w:sz="4" w:space="0"/>
            </w:tcBorders>
            <w:tcW w:w="2189"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含水文地质勘察钻孔</w:t>
            </w:r>
            <w:r>
              <w:rPr>
                <w:rFonts w:hint="eastAsia" w:cs="Times New Roman"/>
                <w:color w:val="000000"/>
                <w:sz w:val="21"/>
                <w:szCs w:val="21"/>
                <w:highlight w:val="none"/>
              </w:rPr>
              <w:t xml:space="preserve">钻探，布设4个钻孔点位，单个点位钻孔深度达到40m，需钻探至中风化层</w:t>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333"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160</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52"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left w:val="single" w:color="auto" w:sz="2" w:space="0"/>
              <w:right w:val="single" w:color="auto" w:sz="2" w:space="0"/>
            </w:tcBorders>
            <w:tcW w:w="35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89"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含水文地质勘察钻孔</w:t>
            </w:r>
            <w:r>
              <w:rPr>
                <w:rFonts w:hint="eastAsia" w:cs="Times New Roman"/>
                <w:color w:val="000000"/>
                <w:sz w:val="21"/>
                <w:szCs w:val="21"/>
                <w:highlight w:val="none"/>
              </w:rPr>
              <w:t xml:space="preserve">建设地下水井，用于抽水试验及流场确定等，布设4个钻孔点位，单个点位建井深度达到40m，需钻探至中风化层</w:t>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333"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160</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52"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left w:val="single" w:color="auto" w:sz="2" w:space="0"/>
              <w:right w:val="single" w:color="auto" w:sz="2" w:space="0"/>
            </w:tcBorders>
            <w:tcW w:w="35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89"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土工试验，包括土壤有机质含量、含水率、孔隙度、渗透系数、土壤颗粒密度、土壤容重等参数的测定，每个点位采集</w:t>
            </w:r>
            <w:r>
              <w:rPr>
                <w:rFonts w:hint="eastAsia" w:cs="Times New Roman"/>
                <w:color w:val="000000"/>
                <w:sz w:val="21"/>
                <w:szCs w:val="21"/>
                <w:highlight w:val="none"/>
              </w:rPr>
              <w:t xml:space="preserve">4个土工试验样品，共需送检16个土工试验样品</w:t>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333"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52"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left w:val="single" w:color="auto" w:sz="2" w:space="0"/>
              <w:right w:val="single" w:color="auto" w:sz="2" w:space="0"/>
            </w:tcBorders>
            <w:tcW w:w="35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89"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抽水试验，需要</w:t>
            </w:r>
            <w:r>
              <w:rPr>
                <w:rFonts w:hint="eastAsia" w:cs="Times New Roman"/>
                <w:color w:val="000000"/>
                <w:sz w:val="21"/>
                <w:szCs w:val="21"/>
                <w:highlight w:val="none"/>
              </w:rPr>
              <w:t xml:space="preserve">2个台班</w:t>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台班</w:t>
            </w:r>
            <w:r/>
          </w:p>
        </w:tc>
        <w:tc>
          <w:tcPr>
            <w:tcBorders>
              <w:top w:val="single" w:color="auto" w:sz="4" w:space="0"/>
              <w:left w:val="single" w:color="auto" w:sz="4" w:space="0"/>
              <w:bottom w:val="single" w:color="auto" w:sz="4" w:space="0"/>
              <w:right w:val="single" w:color="auto" w:sz="4" w:space="0"/>
            </w:tcBorders>
            <w:tcW w:w="333"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2" w:space="0"/>
            </w:tcBorders>
            <w:tcW w:w="152"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left w:val="single" w:color="auto" w:sz="2" w:space="0"/>
              <w:bottom w:val="single" w:color="auto" w:sz="4" w:space="0"/>
              <w:right w:val="single" w:color="auto" w:sz="2" w:space="0"/>
            </w:tcBorders>
            <w:tcW w:w="35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89"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完成水文地质勘察报告（明确地层结构、地下水特征、地下水与长江水力联系、区域地下水补给、径流、排泄规律，以及对应长江河段的水质现状，水文特征等）</w:t>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项</w:t>
            </w:r>
            <w:r/>
          </w:p>
        </w:tc>
        <w:tc>
          <w:tcPr>
            <w:tcBorders>
              <w:top w:val="single" w:color="auto" w:sz="4" w:space="0"/>
              <w:left w:val="single" w:color="auto" w:sz="4" w:space="0"/>
              <w:bottom w:val="single" w:color="auto" w:sz="4" w:space="0"/>
              <w:right w:val="single" w:color="auto" w:sz="4" w:space="0"/>
            </w:tcBorders>
            <w:tcW w:w="333"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bottom w:val="single" w:color="auto" w:sz="4" w:space="0"/>
              <w:right w:val="single" w:color="auto" w:sz="2" w:space="0"/>
            </w:tcBorders>
            <w:tcW w:w="152" w:type="pct"/>
            <w:vAlign w:val="center"/>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t xml:space="preserve">2</w:t>
            </w:r>
            <w:r/>
          </w:p>
        </w:tc>
        <w:tc>
          <w:tcPr>
            <w:tcBorders>
              <w:top w:val="single" w:color="auto" w:sz="4" w:space="0"/>
              <w:left w:val="single" w:color="auto" w:sz="2" w:space="0"/>
              <w:bottom w:val="single" w:color="auto" w:sz="4" w:space="0"/>
              <w:right w:val="single" w:color="auto" w:sz="2" w:space="0"/>
            </w:tcBorders>
            <w:tcW w:w="353"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补充调查方案制定</w:t>
            </w:r>
            <w:r/>
          </w:p>
        </w:tc>
        <w:tc>
          <w:tcPr>
            <w:tcBorders>
              <w:top w:val="single" w:color="auto" w:sz="4" w:space="0"/>
              <w:left w:val="single" w:color="auto" w:sz="2" w:space="0"/>
              <w:bottom w:val="single" w:color="auto" w:sz="4" w:space="0"/>
              <w:right w:val="single" w:color="auto" w:sz="4" w:space="0"/>
            </w:tcBorders>
            <w:tcW w:w="2189"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根据宝恒化工地块的资料分析结果，制定宝恒化工地块的补充调查方案（含未调查区域）</w:t>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项</w:t>
            </w:r>
            <w:r/>
          </w:p>
        </w:tc>
        <w:tc>
          <w:tcPr>
            <w:tcBorders>
              <w:top w:val="single" w:color="auto" w:sz="4" w:space="0"/>
              <w:left w:val="single" w:color="auto" w:sz="4" w:space="0"/>
              <w:bottom w:val="single" w:color="auto" w:sz="4" w:space="0"/>
              <w:right w:val="single" w:color="auto" w:sz="4" w:space="0"/>
            </w:tcBorders>
            <w:tcW w:w="333"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2" w:space="0"/>
            </w:tcBorders>
            <w:tcW w:w="152" w:type="pct"/>
            <w:vAlign w:val="center"/>
            <w:vMerge w:val="restart"/>
            <w:textDirection w:val="lrTb"/>
            <w:noWrap w:val="false"/>
          </w:tcPr>
          <w:p>
            <w:pPr>
              <w:jc w:val="center"/>
              <w:spacing w:line="240" w:lineRule="auto"/>
              <w:rPr>
                <w:rFonts w:cs="Times New Roman"/>
                <w:bCs/>
                <w:color w:val="000000"/>
                <w:sz w:val="21"/>
                <w:szCs w:val="21"/>
                <w:highlight w:val="none"/>
              </w:rPr>
            </w:pPr>
            <w:r>
              <w:rPr>
                <w:rFonts w:cs="Times New Roman"/>
                <w:color w:val="000000"/>
                <w:sz w:val="21"/>
                <w:szCs w:val="21"/>
                <w:highlight w:val="none"/>
              </w:rPr>
              <w:t xml:space="preserve">3</w:t>
            </w:r>
            <w:r/>
          </w:p>
        </w:tc>
        <w:tc>
          <w:tcPr>
            <w:tcBorders>
              <w:top w:val="single" w:color="auto" w:sz="4" w:space="0"/>
              <w:left w:val="single" w:color="auto" w:sz="2" w:space="0"/>
              <w:right w:val="single" w:color="auto" w:sz="2" w:space="0"/>
            </w:tcBorders>
            <w:tcW w:w="353"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现场钻探及采样费用</w:t>
            </w:r>
            <w:r/>
          </w:p>
        </w:tc>
        <w:tc>
          <w:tcPr>
            <w:tcBorders>
              <w:top w:val="single" w:color="auto" w:sz="4" w:space="0"/>
              <w:left w:val="single" w:color="auto" w:sz="2" w:space="0"/>
              <w:bottom w:val="single" w:color="auto" w:sz="4" w:space="0"/>
              <w:right w:val="single" w:color="auto" w:sz="4" w:space="0"/>
            </w:tcBorders>
            <w:tcW w:w="2189"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包括宝恒化工地块未开展调查区域补充调查以及扩散情况调查，包括土壤钻探以及土壤样品采集（钻探深度至少为</w:t>
            </w:r>
            <w:r>
              <w:rPr>
                <w:rFonts w:hint="eastAsia" w:cs="Times New Roman"/>
                <w:color w:val="000000"/>
                <w:sz w:val="21"/>
                <w:szCs w:val="21"/>
                <w:highlight w:val="none"/>
              </w:rPr>
              <w:t xml:space="preserve">6m，部分点位需要钻探15m、30m</w:t>
            </w:r>
            <w:r>
              <w:rPr>
                <w:rFonts w:cs="Times New Roman"/>
                <w:color w:val="000000"/>
                <w:sz w:val="21"/>
                <w:szCs w:val="21"/>
                <w:highlight w:val="none"/>
              </w:rPr>
              <w:t xml:space="preserve">），土壤总钻探深度约</w:t>
            </w:r>
            <w:r>
              <w:rPr>
                <w:rFonts w:hint="eastAsia" w:cs="Times New Roman"/>
                <w:color w:val="000000"/>
                <w:sz w:val="21"/>
                <w:szCs w:val="21"/>
                <w:highlight w:val="none"/>
              </w:rPr>
              <w:t xml:space="preserve">240m</w:t>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333"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240</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spacing w:line="240" w:lineRule="auto"/>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2" w:space="0"/>
            </w:tcBorders>
            <w:tcW w:w="152"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bottom w:val="single" w:color="auto" w:sz="4" w:space="0"/>
              <w:right w:val="single" w:color="auto" w:sz="2" w:space="0"/>
            </w:tcBorders>
            <w:tcW w:w="35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89"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包括宝恒化工地块未开展调查区域补充调查以及扩散情况调查，包括地下水建井以及地下水样品采集（建井深度至少为</w:t>
            </w:r>
            <w:r>
              <w:rPr>
                <w:rFonts w:hint="eastAsia" w:cs="Times New Roman"/>
                <w:color w:val="000000"/>
                <w:sz w:val="21"/>
                <w:szCs w:val="21"/>
                <w:highlight w:val="none"/>
              </w:rPr>
              <w:t xml:space="preserve">6m，部分点位建井深度需要达到15m、30m</w:t>
            </w:r>
            <w:r>
              <w:rPr>
                <w:rFonts w:cs="Times New Roman"/>
                <w:color w:val="000000"/>
                <w:sz w:val="21"/>
                <w:szCs w:val="21"/>
                <w:highlight w:val="none"/>
              </w:rPr>
              <w:t xml:space="preserve">），地下水总建井深度约</w:t>
            </w:r>
            <w:r>
              <w:rPr>
                <w:rFonts w:hint="eastAsia" w:cs="Times New Roman"/>
                <w:color w:val="000000"/>
                <w:sz w:val="21"/>
                <w:szCs w:val="21"/>
                <w:highlight w:val="none"/>
              </w:rPr>
              <w:t xml:space="preserve">290m</w:t>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333"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290</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spacing w:line="240" w:lineRule="auto"/>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2" w:space="0"/>
            </w:tcBorders>
            <w:tcW w:w="152" w:type="pct"/>
            <w:vAlign w:val="center"/>
            <w:vMerge w:val="restart"/>
            <w:textDirection w:val="lrTb"/>
            <w:noWrap w:val="false"/>
          </w:tcPr>
          <w:p>
            <w:pPr>
              <w:jc w:val="center"/>
              <w:spacing w:line="240" w:lineRule="auto"/>
              <w:rPr>
                <w:rFonts w:cs="Times New Roman"/>
                <w:bCs/>
                <w:color w:val="000000"/>
                <w:sz w:val="21"/>
                <w:szCs w:val="21"/>
                <w:highlight w:val="none"/>
              </w:rPr>
            </w:pPr>
            <w:r>
              <w:rPr>
                <w:rFonts w:cs="Times New Roman"/>
                <w:color w:val="000000"/>
                <w:sz w:val="21"/>
                <w:szCs w:val="21"/>
                <w:highlight w:val="none"/>
              </w:rPr>
              <w:t xml:space="preserve">4</w:t>
            </w:r>
            <w:r/>
          </w:p>
        </w:tc>
        <w:tc>
          <w:tcPr>
            <w:tcBorders>
              <w:top w:val="single" w:color="auto" w:sz="4" w:space="0"/>
              <w:left w:val="single" w:color="auto" w:sz="2" w:space="0"/>
              <w:right w:val="single" w:color="auto" w:sz="2" w:space="0"/>
            </w:tcBorders>
            <w:tcW w:w="353"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bCs/>
                <w:color w:val="000000"/>
                <w:sz w:val="21"/>
                <w:szCs w:val="21"/>
                <w:highlight w:val="none"/>
              </w:rPr>
              <w:t xml:space="preserve">样品处理与检测费</w:t>
            </w:r>
            <w:r/>
          </w:p>
        </w:tc>
        <w:tc>
          <w:tcPr>
            <w:tcBorders>
              <w:top w:val="single" w:color="auto" w:sz="4" w:space="0"/>
              <w:left w:val="single" w:color="auto" w:sz="2" w:space="0"/>
              <w:bottom w:val="single" w:color="auto" w:sz="4" w:space="0"/>
              <w:right w:val="single" w:color="auto" w:sz="4" w:space="0"/>
            </w:tcBorders>
            <w:tcW w:w="2189"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包括宝恒化工地块未开展调查区域补充调查，土壤检测因子包括pH、重金属</w:t>
            </w:r>
            <w:r>
              <w:rPr>
                <w:rFonts w:hint="eastAsia" w:cs="Times New Roman"/>
                <w:color w:val="000000"/>
                <w:sz w:val="21"/>
                <w:szCs w:val="21"/>
                <w:highlight w:val="none"/>
              </w:rPr>
              <w:t xml:space="preserve">7项、挥发性有机污染物65项、半挥发性有机污染物64项、特征污染物30项（需要包括：</w:t>
            </w:r>
            <w:r>
              <w:rPr>
                <w:rFonts w:cs="Times New Roman"/>
                <w:color w:val="000000"/>
                <w:sz w:val="21"/>
                <w:szCs w:val="21"/>
                <w:highlight w:val="none"/>
              </w:rPr>
              <w:t xml:space="preserve">石油烃（C</w:t>
            </w:r>
            <w:r>
              <w:rPr>
                <w:rFonts w:cs="Times New Roman"/>
                <w:color w:val="000000"/>
                <w:sz w:val="21"/>
                <w:szCs w:val="21"/>
                <w:highlight w:val="none"/>
                <w:vertAlign w:val="subscript"/>
              </w:rPr>
              <w:t xml:space="preserve">10</w:t>
            </w:r>
            <w:r>
              <w:rPr>
                <w:rFonts w:cs="Times New Roman"/>
                <w:color w:val="000000"/>
                <w:sz w:val="21"/>
                <w:szCs w:val="21"/>
                <w:highlight w:val="none"/>
              </w:rPr>
              <w:t xml:space="preserve">-C</w:t>
            </w:r>
            <w:r>
              <w:rPr>
                <w:rFonts w:cs="Times New Roman"/>
                <w:color w:val="000000"/>
                <w:sz w:val="21"/>
                <w:szCs w:val="21"/>
                <w:highlight w:val="none"/>
                <w:vertAlign w:val="subscript"/>
              </w:rPr>
              <w:t xml:space="preserve">40</w:t>
            </w:r>
            <w:r>
              <w:rPr>
                <w:rFonts w:cs="Times New Roman"/>
                <w:color w:val="000000"/>
                <w:sz w:val="21"/>
                <w:szCs w:val="21"/>
                <w:highlight w:val="none"/>
              </w:rPr>
              <w:t xml:space="preserve">）、一溴二氯甲烷、溴仿、二溴氯甲烷、1,2-二溴乙烷、六氯环戊二烯、2,4-二硝基甲苯、2,4-二氯酚、2,4,6-三氯酚、2,4-二硝基酚、五氯酚、邻苯二甲酸二(2-乙基己基)酯、邻苯二甲酸丁基苄酯、邻苯二甲酸二正辛酯、3,3’-二氯联苯胺、钒、锌、硒、银、氟化物、丙酮、四氢呋喃、乙酸乙酯、对苯二酚、乙醚、正丁醇、甲氰菊酯、氯氰菊酯、苯乙酮、均三甲苯</w:t>
            </w:r>
            <w:r>
              <w:rPr>
                <w:rFonts w:hint="eastAsia" w:cs="Times New Roman"/>
                <w:color w:val="000000"/>
                <w:sz w:val="21"/>
                <w:szCs w:val="21"/>
                <w:highlight w:val="none"/>
              </w:rPr>
              <w:t xml:space="preserve">等）</w:t>
            </w:r>
            <w:r/>
          </w:p>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，土壤样品约</w:t>
            </w:r>
            <w:r>
              <w:rPr>
                <w:rFonts w:hint="eastAsia" w:cs="Times New Roman"/>
                <w:color w:val="000000"/>
                <w:sz w:val="21"/>
                <w:szCs w:val="21"/>
                <w:highlight w:val="none"/>
              </w:rPr>
              <w:t xml:space="preserve">180个</w:t>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333"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180</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spacing w:line="240" w:lineRule="auto"/>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2" w:space="0"/>
            </w:tcBorders>
            <w:tcW w:w="152"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bottom w:val="single" w:color="auto" w:sz="4" w:space="0"/>
              <w:right w:val="single" w:color="auto" w:sz="2" w:space="0"/>
            </w:tcBorders>
            <w:tcW w:w="353"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89"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地下水</w:t>
            </w:r>
            <w:r>
              <w:rPr>
                <w:rFonts w:cs="Times New Roman"/>
                <w:color w:val="000000"/>
                <w:sz w:val="21"/>
                <w:szCs w:val="21"/>
                <w:highlight w:val="none"/>
              </w:rPr>
              <w:t xml:space="preserve">的检测因子包括pH、重金属</w:t>
            </w:r>
            <w:r>
              <w:rPr>
                <w:rFonts w:hint="eastAsia" w:cs="Times New Roman"/>
                <w:color w:val="000000"/>
                <w:sz w:val="21"/>
                <w:szCs w:val="21"/>
                <w:highlight w:val="none"/>
              </w:rPr>
              <w:t xml:space="preserve">7项、挥发性有机污染物65项、半挥发性有机污染物64项、特征污染物30项（需要包括：（需要包括：</w:t>
            </w:r>
            <w:r>
              <w:rPr>
                <w:rFonts w:cs="Times New Roman"/>
                <w:color w:val="000000"/>
                <w:sz w:val="21"/>
                <w:szCs w:val="21"/>
                <w:highlight w:val="none"/>
              </w:rPr>
              <w:t xml:space="preserve">石油烃（C</w:t>
            </w:r>
            <w:r>
              <w:rPr>
                <w:rFonts w:cs="Times New Roman"/>
                <w:color w:val="000000"/>
                <w:sz w:val="21"/>
                <w:szCs w:val="21"/>
                <w:highlight w:val="none"/>
                <w:vertAlign w:val="subscript"/>
              </w:rPr>
              <w:t xml:space="preserve">10</w:t>
            </w:r>
            <w:r>
              <w:rPr>
                <w:rFonts w:cs="Times New Roman"/>
                <w:color w:val="000000"/>
                <w:sz w:val="21"/>
                <w:szCs w:val="21"/>
                <w:highlight w:val="none"/>
              </w:rPr>
              <w:t xml:space="preserve">-C</w:t>
            </w:r>
            <w:r>
              <w:rPr>
                <w:rFonts w:cs="Times New Roman"/>
                <w:color w:val="000000"/>
                <w:sz w:val="21"/>
                <w:szCs w:val="21"/>
                <w:highlight w:val="none"/>
                <w:vertAlign w:val="subscript"/>
              </w:rPr>
              <w:t xml:space="preserve">40</w:t>
            </w:r>
            <w:r>
              <w:rPr>
                <w:rFonts w:cs="Times New Roman"/>
                <w:color w:val="000000"/>
                <w:sz w:val="21"/>
                <w:szCs w:val="21"/>
                <w:highlight w:val="none"/>
              </w:rPr>
              <w:t xml:space="preserve">）、一溴二氯甲烷、溴仿、二溴氯甲烷、1,2-二溴乙烷、六氯环戊二烯、2,4-二硝基甲苯、2,4-二氯酚、2,4,6-三氯酚、2,4-二硝基酚、五氯酚、邻苯二甲酸二(2-乙基己基)酯、邻苯二甲酸丁基苄酯、邻苯二甲酸二正辛酯、3,3’-二氯联苯胺、钒、锌、硒、银、氟化物、丙酮、四氢呋喃、乙酸乙酯、对苯二酚、乙醚、正丁醇、甲氰菊酯、氯氰菊酯、苯乙酮、均三甲苯</w:t>
            </w:r>
            <w:r>
              <w:rPr>
                <w:rFonts w:hint="eastAsia" w:cs="Times New Roman"/>
                <w:color w:val="000000"/>
                <w:sz w:val="21"/>
                <w:szCs w:val="21"/>
                <w:highlight w:val="none"/>
              </w:rPr>
              <w:t xml:space="preserve">等）</w:t>
            </w:r>
            <w:r>
              <w:rPr>
                <w:rFonts w:cs="Times New Roman"/>
                <w:color w:val="000000"/>
                <w:sz w:val="21"/>
                <w:szCs w:val="21"/>
                <w:highlight w:val="none"/>
              </w:rPr>
              <w:t xml:space="preserve">，</w:t>
            </w:r>
            <w:r>
              <w:rPr>
                <w:rFonts w:hint="eastAsia" w:cs="Times New Roman"/>
                <w:color w:val="000000"/>
                <w:sz w:val="21"/>
                <w:szCs w:val="21"/>
                <w:highlight w:val="none"/>
              </w:rPr>
              <w:t xml:space="preserve">《地下水质量标准》(GBT14848-2017)中的感官性状无机指标等25项等。考虑</w:t>
            </w:r>
            <w:r>
              <w:rPr>
                <w:rFonts w:cs="Times New Roman"/>
                <w:color w:val="000000"/>
                <w:sz w:val="21"/>
                <w:szCs w:val="21"/>
                <w:highlight w:val="none"/>
              </w:rPr>
              <w:t xml:space="preserve">到地块内涉及</w:t>
            </w:r>
            <w:r>
              <w:rPr>
                <w:rFonts w:hint="eastAsia" w:cs="Times New Roman"/>
                <w:color w:val="000000"/>
                <w:sz w:val="21"/>
                <w:szCs w:val="21"/>
                <w:highlight w:val="none"/>
              </w:rPr>
              <w:t xml:space="preserve">DNAPL类物质超标，根据技术规范要求需要分别在水位线以下0.5m和井管底部采集地下水样品</w:t>
            </w:r>
            <w:r>
              <w:rPr>
                <w:rFonts w:cs="Times New Roman"/>
                <w:color w:val="000000"/>
                <w:sz w:val="21"/>
                <w:szCs w:val="21"/>
                <w:highlight w:val="none"/>
              </w:rPr>
              <w:t xml:space="preserve">，地下水样品约</w:t>
            </w:r>
            <w:r>
              <w:rPr>
                <w:rFonts w:hint="eastAsia" w:cs="Times New Roman"/>
                <w:color w:val="000000"/>
                <w:sz w:val="21"/>
                <w:szCs w:val="21"/>
                <w:highlight w:val="none"/>
              </w:rPr>
              <w:t xml:space="preserve">60个</w:t>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333"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60</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spacing w:line="240" w:lineRule="auto"/>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2" w:space="0"/>
            </w:tcBorders>
            <w:tcW w:w="152"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5</w:t>
            </w:r>
            <w:r/>
          </w:p>
        </w:tc>
        <w:tc>
          <w:tcPr>
            <w:tcBorders>
              <w:top w:val="single" w:color="auto" w:sz="4" w:space="0"/>
              <w:left w:val="single" w:color="auto" w:sz="2" w:space="0"/>
              <w:right w:val="single" w:color="auto" w:sz="2" w:space="0"/>
            </w:tcBorders>
            <w:tcW w:w="353" w:type="pct"/>
            <w:vAlign w:val="center"/>
            <w:vMerge w:val="restart"/>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t xml:space="preserve">土壤污染状况调查报告编制</w:t>
            </w:r>
            <w:r/>
          </w:p>
        </w:tc>
        <w:tc>
          <w:tcPr>
            <w:tcBorders>
              <w:top w:val="single" w:color="auto" w:sz="4" w:space="0"/>
              <w:left w:val="single" w:color="auto" w:sz="2" w:space="0"/>
              <w:bottom w:val="single" w:color="auto" w:sz="4" w:space="0"/>
              <w:right w:val="single" w:color="auto" w:sz="4" w:space="0"/>
            </w:tcBorders>
            <w:tcW w:w="2189"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针对宝恒化工地块未开展调查区域，开展资料收集及分析、人员访谈及分析、现场踏勘及分析，并开展污染识别及分析，包括地块的污染分析，以及周边地块的污染分析</w:t>
            </w:r>
            <w:r/>
          </w:p>
        </w:tc>
        <w:tc>
          <w:tcPr>
            <w:tcBorders>
              <w:top w:val="single" w:color="auto" w:sz="4" w:space="0"/>
              <w:left w:val="single" w:color="auto" w:sz="4" w:space="0"/>
              <w:right w:val="single" w:color="auto" w:sz="4" w:space="0"/>
            </w:tcBorders>
            <w:tcW w:w="330" w:type="pct"/>
            <w:vAlign w:val="center"/>
            <w:vMerge w:val="restart"/>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项</w:t>
            </w:r>
            <w:r/>
          </w:p>
        </w:tc>
        <w:tc>
          <w:tcPr>
            <w:tcBorders>
              <w:top w:val="single" w:color="auto" w:sz="4" w:space="0"/>
              <w:left w:val="single" w:color="auto" w:sz="4" w:space="0"/>
              <w:right w:val="single" w:color="auto" w:sz="4" w:space="0"/>
            </w:tcBorders>
            <w:tcW w:w="333" w:type="pct"/>
            <w:vAlign w:val="center"/>
            <w:vMerge w:val="restart"/>
            <w:textDirection w:val="lrTb"/>
            <w:noWrap w:val="false"/>
          </w:tcPr>
          <w:p>
            <w:pPr>
              <w:jc w:val="center"/>
              <w:spacing w:line="240" w:lineRule="auto"/>
              <w:rPr>
                <w:rFonts w:cs="Times New Roman"/>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right w:val="single" w:color="auto" w:sz="4" w:space="0"/>
            </w:tcBorders>
            <w:tcW w:w="555"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right w:val="single" w:color="auto" w:sz="4" w:space="0"/>
            </w:tcBorders>
            <w:tcW w:w="588"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right w:val="single" w:color="auto" w:sz="4" w:space="0"/>
            </w:tcBorders>
            <w:tcW w:w="497" w:type="pct"/>
            <w:vAlign w:val="center"/>
            <w:vMerge w:val="restart"/>
            <w:textDirection w:val="lrTb"/>
            <w:noWrap w:val="false"/>
          </w:tcPr>
          <w:p>
            <w:pPr>
              <w:spacing w:line="240" w:lineRule="auto"/>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52"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right w:val="single" w:color="auto" w:sz="2" w:space="0"/>
            </w:tcBorders>
            <w:tcW w:w="353"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89" w:type="pct"/>
            <w:vAlign w:val="center"/>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t xml:space="preserve">根据前面制定的采样方案，完成土壤和地下水的检测结果分析，分别采用不超标点连线法划定土壤超标范围，根据</w:t>
            </w:r>
            <w:r>
              <w:rPr>
                <w:rFonts w:hint="eastAsia" w:cs="Times New Roman"/>
                <w:bCs/>
                <w:color w:val="000000"/>
                <w:sz w:val="21"/>
                <w:szCs w:val="21"/>
                <w:highlight w:val="none"/>
              </w:rPr>
              <w:t xml:space="preserve">克里金插值法绘制地下水超标污染羽，划定地下水超标范围，确保土壤和地下水污染指标全部兜边界及兜底，计算土壤和地下水超标面积和方量</w:t>
            </w:r>
            <w:r/>
          </w:p>
        </w:tc>
        <w:tc>
          <w:tcPr>
            <w:tcBorders>
              <w:left w:val="single" w:color="auto" w:sz="4" w:space="0"/>
              <w:right w:val="single" w:color="auto" w:sz="4" w:space="0"/>
            </w:tcBorders>
            <w:tcW w:w="330"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33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55"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88"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497"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2" w:space="0"/>
            </w:tcBorders>
            <w:tcW w:w="152"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bottom w:val="single" w:color="auto" w:sz="4" w:space="0"/>
              <w:right w:val="single" w:color="auto" w:sz="2" w:space="0"/>
            </w:tcBorders>
            <w:tcW w:w="353"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89" w:type="pct"/>
            <w:vAlign w:val="center"/>
            <w:textDirection w:val="lrTb"/>
            <w:noWrap w:val="false"/>
          </w:tcPr>
          <w:p>
            <w:pPr>
              <w:jc w:val="center"/>
              <w:spacing w:line="240" w:lineRule="auto"/>
              <w:rPr>
                <w:rFonts w:cs="Times New Roman"/>
                <w:bCs/>
                <w:color w:val="000000"/>
                <w:sz w:val="21"/>
                <w:szCs w:val="21"/>
                <w:highlight w:val="none"/>
              </w:rPr>
            </w:pPr>
            <w:r>
              <w:rPr>
                <w:rFonts w:cs="Times New Roman"/>
                <w:color w:val="000000"/>
                <w:sz w:val="21"/>
                <w:szCs w:val="21"/>
                <w:highlight w:val="none"/>
              </w:rPr>
              <w:t xml:space="preserve">完成全流程的质控报告编制，开展土壤和地下水超标因子的溯源分析，编制</w:t>
            </w:r>
            <w:r>
              <w:rPr>
                <w:rFonts w:cs="Times New Roman"/>
                <w:bCs/>
                <w:color w:val="000000"/>
                <w:sz w:val="21"/>
                <w:szCs w:val="21"/>
                <w:highlight w:val="none"/>
              </w:rPr>
              <w:t xml:space="preserve">土壤污染状况调查报告，并根据专家评审意见修改完善报告，完成报告的备案等</w:t>
            </w:r>
            <w:r/>
          </w:p>
        </w:tc>
        <w:tc>
          <w:tcPr>
            <w:tcBorders>
              <w:left w:val="single" w:color="auto" w:sz="4" w:space="0"/>
              <w:bottom w:val="single" w:color="auto" w:sz="4" w:space="0"/>
              <w:right w:val="single" w:color="auto" w:sz="4" w:space="0"/>
            </w:tcBorders>
            <w:tcW w:w="330"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33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55"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88"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497"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794"/>
        </w:trPr>
        <w:tc>
          <w:tcPr>
            <w:tcBorders>
              <w:top w:val="single" w:color="auto" w:sz="4" w:space="0"/>
              <w:left w:val="single" w:color="auto" w:sz="8" w:space="0"/>
              <w:bottom w:val="single" w:color="auto" w:sz="4" w:space="0"/>
              <w:right w:val="single" w:color="auto" w:sz="2" w:space="0"/>
            </w:tcBorders>
            <w:tcW w:w="15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6</w:t>
            </w:r>
            <w:r/>
          </w:p>
        </w:tc>
        <w:tc>
          <w:tcPr>
            <w:tcBorders>
              <w:top w:val="single" w:color="auto" w:sz="4" w:space="0"/>
              <w:left w:val="single" w:color="auto" w:sz="2" w:space="0"/>
              <w:bottom w:val="single" w:color="auto" w:sz="4" w:space="0"/>
              <w:right w:val="single" w:color="auto" w:sz="2" w:space="0"/>
            </w:tcBorders>
            <w:tcW w:w="353" w:type="pct"/>
            <w:vAlign w:val="center"/>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t xml:space="preserve">土壤污染状况调查报告专家费、会务费、</w:t>
            </w:r>
            <w:r>
              <w:rPr>
                <w:rFonts w:hint="eastAsia" w:eastAsia="宋体" w:cs="Times New Roman"/>
                <w:bCs/>
                <w:color w:val="000000"/>
                <w:sz w:val="21"/>
                <w:szCs w:val="21"/>
                <w:highlight w:val="none"/>
                <w:lang w:val="en-US" w:eastAsia="zh-CN"/>
              </w:rPr>
              <w:t xml:space="preserve">彩色</w:t>
            </w:r>
            <w:r>
              <w:rPr>
                <w:rFonts w:cs="Times New Roman"/>
                <w:bCs/>
                <w:color w:val="000000"/>
                <w:sz w:val="21"/>
                <w:szCs w:val="21"/>
                <w:highlight w:val="none"/>
              </w:rPr>
              <w:t xml:space="preserve">打印费等等</w:t>
            </w:r>
            <w:r/>
          </w:p>
        </w:tc>
        <w:tc>
          <w:tcPr>
            <w:tcBorders>
              <w:top w:val="single" w:color="auto" w:sz="4" w:space="0"/>
              <w:left w:val="single" w:color="auto" w:sz="2" w:space="0"/>
              <w:bottom w:val="single" w:color="auto" w:sz="4" w:space="0"/>
              <w:right w:val="single" w:color="auto" w:sz="4" w:space="0"/>
            </w:tcBorders>
            <w:tcW w:w="2189"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bCs/>
                <w:color w:val="000000"/>
                <w:sz w:val="21"/>
                <w:szCs w:val="21"/>
                <w:highlight w:val="none"/>
              </w:rPr>
              <w:t xml:space="preserve">市生态环境局至少邀请5名业内专家及相关部门领导，组织召开专家评审会</w:t>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项</w:t>
            </w:r>
            <w:r/>
          </w:p>
        </w:tc>
        <w:tc>
          <w:tcPr>
            <w:tcBorders>
              <w:top w:val="single" w:color="auto" w:sz="4" w:space="0"/>
              <w:left w:val="single" w:color="auto" w:sz="4" w:space="0"/>
              <w:bottom w:val="single" w:color="auto" w:sz="4" w:space="0"/>
              <w:right w:val="single" w:color="auto" w:sz="4" w:space="0"/>
            </w:tcBorders>
            <w:tcW w:w="333"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2" w:space="0"/>
            </w:tcBorders>
            <w:tcW w:w="152"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7</w:t>
            </w:r>
            <w:r/>
          </w:p>
        </w:tc>
        <w:tc>
          <w:tcPr>
            <w:tcBorders>
              <w:top w:val="single" w:color="auto" w:sz="2" w:space="0"/>
              <w:left w:val="single" w:color="auto" w:sz="2" w:space="0"/>
              <w:right w:val="single" w:color="auto" w:sz="2" w:space="0"/>
            </w:tcBorders>
            <w:tcW w:w="353" w:type="pct"/>
            <w:vAlign w:val="center"/>
            <w:vMerge w:val="restart"/>
            <w:textDirection w:val="lrTb"/>
            <w:noWrap w:val="false"/>
          </w:tcPr>
          <w:p>
            <w:pPr>
              <w:jc w:val="center"/>
              <w:spacing w:line="240" w:lineRule="auto"/>
              <w:rPr>
                <w:rFonts w:cs="Times New Roman"/>
                <w:bCs/>
                <w:color w:val="000000"/>
                <w:sz w:val="21"/>
                <w:szCs w:val="21"/>
                <w:highlight w:val="none"/>
              </w:rPr>
            </w:pPr>
            <w:r>
              <w:rPr>
                <w:rFonts w:cs="Times New Roman"/>
                <w:color w:val="000000"/>
                <w:sz w:val="21"/>
                <w:szCs w:val="21"/>
                <w:highlight w:val="none"/>
              </w:rPr>
              <w:t xml:space="preserve">污染物入江风险评估</w:t>
            </w:r>
            <w:r/>
          </w:p>
        </w:tc>
        <w:tc>
          <w:tcPr>
            <w:tcBorders>
              <w:top w:val="single" w:color="auto" w:sz="2" w:space="0"/>
              <w:left w:val="single" w:color="auto" w:sz="2" w:space="0"/>
              <w:bottom w:val="single" w:color="auto" w:sz="2" w:space="0"/>
              <w:right w:val="single" w:color="auto" w:sz="2" w:space="0"/>
            </w:tcBorders>
            <w:tcW w:w="2189"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开展</w:t>
            </w:r>
            <w:r>
              <w:rPr>
                <w:rFonts w:cs="Times New Roman"/>
                <w:bCs/>
                <w:color w:val="000000"/>
                <w:sz w:val="21"/>
                <w:szCs w:val="21"/>
                <w:highlight w:val="none"/>
              </w:rPr>
              <w:t xml:space="preserve">入江风险识别与途径分析，</w:t>
            </w:r>
            <w:r>
              <w:rPr>
                <w:rFonts w:hint="eastAsia" w:cs="Times New Roman"/>
                <w:bCs/>
                <w:color w:val="000000"/>
                <w:sz w:val="21"/>
                <w:szCs w:val="21"/>
                <w:highlight w:val="none"/>
              </w:rPr>
              <w:t xml:space="preserve">结合地块利用类型，识别入江风险因素，分析污染物入江的主要途径及可行性，包括地块污染本身风险、水文水力联系风险、污染物入江途径风险、敏感目标影响风险、暴雨与汛期风险、开发建设新增风险等</w:t>
            </w:r>
            <w:r/>
          </w:p>
        </w:tc>
        <w:tc>
          <w:tcPr>
            <w:tcBorders>
              <w:top w:val="single" w:color="auto" w:sz="4" w:space="0"/>
              <w:left w:val="single" w:color="auto" w:sz="4" w:space="0"/>
              <w:right w:val="single" w:color="auto" w:sz="4" w:space="0"/>
            </w:tcBorders>
            <w:tcW w:w="330"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项</w:t>
            </w:r>
            <w:r/>
          </w:p>
        </w:tc>
        <w:tc>
          <w:tcPr>
            <w:tcBorders>
              <w:top w:val="single" w:color="auto" w:sz="4" w:space="0"/>
              <w:left w:val="single" w:color="auto" w:sz="4" w:space="0"/>
              <w:right w:val="single" w:color="auto" w:sz="4" w:space="0"/>
            </w:tcBorders>
            <w:tcW w:w="333"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right w:val="single" w:color="auto" w:sz="4" w:space="0"/>
            </w:tcBorders>
            <w:tcW w:w="555"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right w:val="single" w:color="auto" w:sz="4" w:space="0"/>
            </w:tcBorders>
            <w:tcW w:w="588"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right w:val="single" w:color="auto" w:sz="4" w:space="0"/>
            </w:tcBorders>
            <w:tcW w:w="497" w:type="pct"/>
            <w:vAlign w:val="center"/>
            <w:vMerge w:val="restart"/>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52"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right w:val="single" w:color="auto" w:sz="2" w:space="0"/>
            </w:tcBorders>
            <w:tcW w:w="35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89"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开展</w:t>
            </w:r>
            <w:r>
              <w:rPr>
                <w:rFonts w:hint="eastAsia" w:cs="Times New Roman"/>
                <w:color w:val="000000"/>
                <w:sz w:val="21"/>
                <w:szCs w:val="21"/>
                <w:highlight w:val="none"/>
              </w:rPr>
              <w:t xml:space="preserve">风险计算与等级判定，采用定性与定量相结合的方法，计算风险指标，判定地块入江风险等级。风险计算采用地下水模拟软件GMS根据MODFLOW模块构建三维有限差分地下水流模型进行计算，需要结合含水层概化和边界条件，开展地下水水流模拟及地下水溶质运移模拟。</w:t>
            </w:r>
            <w:r/>
          </w:p>
        </w:tc>
        <w:tc>
          <w:tcPr>
            <w:tcBorders>
              <w:left w:val="single" w:color="auto" w:sz="4" w:space="0"/>
              <w:right w:val="single" w:color="auto" w:sz="4" w:space="0"/>
            </w:tcBorders>
            <w:tcW w:w="330"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333"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55"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88"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497"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52"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right w:val="single" w:color="auto" w:sz="2" w:space="0"/>
            </w:tcBorders>
            <w:tcW w:w="35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89"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开展</w:t>
            </w:r>
            <w:r>
              <w:rPr>
                <w:rFonts w:cs="Times New Roman"/>
                <w:bCs/>
                <w:color w:val="000000"/>
                <w:sz w:val="21"/>
                <w:szCs w:val="21"/>
                <w:highlight w:val="none"/>
              </w:rPr>
              <w:t xml:space="preserve">入江风险防控措施，</w:t>
            </w:r>
            <w:r>
              <w:rPr>
                <w:rFonts w:hint="eastAsia" w:cs="Times New Roman"/>
                <w:bCs/>
                <w:color w:val="000000"/>
                <w:sz w:val="21"/>
                <w:szCs w:val="21"/>
                <w:highlight w:val="none"/>
              </w:rPr>
              <w:t xml:space="preserve">结合风险等级及地块利用类型，制定针对性、可操作的源头管控、过程拦截、应急处置及长效监测措施</w:t>
            </w:r>
            <w:r/>
          </w:p>
        </w:tc>
        <w:tc>
          <w:tcPr>
            <w:tcBorders>
              <w:left w:val="single" w:color="auto" w:sz="4" w:space="0"/>
              <w:right w:val="single" w:color="auto" w:sz="4" w:space="0"/>
            </w:tcBorders>
            <w:tcW w:w="330"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333"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55"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88"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497"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2" w:space="0"/>
            </w:tcBorders>
            <w:tcW w:w="152"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bottom w:val="single" w:color="auto" w:sz="2" w:space="0"/>
              <w:right w:val="single" w:color="auto" w:sz="2" w:space="0"/>
            </w:tcBorders>
            <w:tcW w:w="35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89"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开展</w:t>
            </w:r>
            <w:r>
              <w:rPr>
                <w:rFonts w:cs="Times New Roman"/>
                <w:bCs/>
                <w:color w:val="000000"/>
                <w:sz w:val="21"/>
                <w:szCs w:val="21"/>
                <w:highlight w:val="none"/>
              </w:rPr>
              <w:t xml:space="preserve">风险分析报告编制，</w:t>
            </w:r>
            <w:r>
              <w:rPr>
                <w:rFonts w:hint="eastAsia" w:cs="Times New Roman"/>
                <w:bCs/>
                <w:color w:val="000000"/>
                <w:sz w:val="21"/>
                <w:szCs w:val="21"/>
                <w:highlight w:val="none"/>
              </w:rPr>
              <w:t xml:space="preserve">编制入江风险分析报告，作为地块开发利用及监管的依据</w:t>
            </w:r>
            <w:r/>
          </w:p>
        </w:tc>
        <w:tc>
          <w:tcPr>
            <w:tcBorders>
              <w:left w:val="single" w:color="auto" w:sz="4" w:space="0"/>
              <w:bottom w:val="single" w:color="auto" w:sz="4" w:space="0"/>
              <w:right w:val="single" w:color="auto" w:sz="4" w:space="0"/>
            </w:tcBorders>
            <w:tcW w:w="330"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333"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55"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88"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497"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2" w:space="0"/>
            </w:tcBorders>
            <w:tcW w:w="152"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8</w:t>
            </w:r>
            <w:r/>
          </w:p>
        </w:tc>
        <w:tc>
          <w:tcPr>
            <w:tcBorders>
              <w:top w:val="single" w:color="auto" w:sz="2" w:space="0"/>
              <w:left w:val="single" w:color="auto" w:sz="2" w:space="0"/>
              <w:right w:val="single" w:color="auto" w:sz="2" w:space="0"/>
            </w:tcBorders>
            <w:tcW w:w="353" w:type="pct"/>
            <w:vAlign w:val="center"/>
            <w:vMerge w:val="restart"/>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t xml:space="preserve">风险评估报告编制</w:t>
            </w:r>
            <w:r/>
          </w:p>
        </w:tc>
        <w:tc>
          <w:tcPr>
            <w:tcBorders>
              <w:top w:val="single" w:color="auto" w:sz="2" w:space="0"/>
              <w:left w:val="single" w:color="auto" w:sz="2" w:space="0"/>
              <w:bottom w:val="single" w:color="auto" w:sz="2" w:space="0"/>
              <w:right w:val="single" w:color="auto" w:sz="2" w:space="0"/>
            </w:tcBorders>
            <w:tcW w:w="2189"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开展危害识别，收集土壤污染状况调查阶段获得的相关资料和数据，掌握地块土壤和地下水中关注污染物的浓度分布，明确规划土地利用方式，分析可能的敏感受体，如儿童、成人、地下水体等。</w:t>
            </w:r>
            <w:r/>
          </w:p>
        </w:tc>
        <w:tc>
          <w:tcPr>
            <w:tcBorders>
              <w:top w:val="single" w:color="auto" w:sz="4" w:space="0"/>
              <w:left w:val="single" w:color="auto" w:sz="4" w:space="0"/>
              <w:right w:val="single" w:color="auto" w:sz="4" w:space="0"/>
            </w:tcBorders>
            <w:tcW w:w="330"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项</w:t>
            </w:r>
            <w:r/>
          </w:p>
        </w:tc>
        <w:tc>
          <w:tcPr>
            <w:tcBorders>
              <w:top w:val="single" w:color="auto" w:sz="4" w:space="0"/>
              <w:left w:val="single" w:color="auto" w:sz="4" w:space="0"/>
              <w:right w:val="single" w:color="auto" w:sz="4" w:space="0"/>
            </w:tcBorders>
            <w:tcW w:w="333"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right w:val="single" w:color="auto" w:sz="4" w:space="0"/>
            </w:tcBorders>
            <w:tcW w:w="555"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right w:val="single" w:color="auto" w:sz="4" w:space="0"/>
            </w:tcBorders>
            <w:tcW w:w="588"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497" w:type="pct"/>
            <w:vAlign w:val="center"/>
            <w:vMerge w:val="restart"/>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52"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right w:val="single" w:color="auto" w:sz="2" w:space="0"/>
            </w:tcBorders>
            <w:tcW w:w="353"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89"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开展暴露评估，在危害识别的基础上，分析地块内关注污染物迁移和危害敏感受体的可能性，确定地块地下水污染物的主要暴露途径和暴露评估模型，确定评估模型参数取值，计算敏感人群对地下水中污染物的暴露量。</w:t>
            </w:r>
            <w:r/>
          </w:p>
        </w:tc>
        <w:tc>
          <w:tcPr>
            <w:tcBorders>
              <w:left w:val="single" w:color="auto" w:sz="4" w:space="0"/>
              <w:right w:val="single" w:color="auto" w:sz="4" w:space="0"/>
            </w:tcBorders>
            <w:tcW w:w="330"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333"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55"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88"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497"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52"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right w:val="single" w:color="auto" w:sz="2" w:space="0"/>
            </w:tcBorders>
            <w:tcW w:w="353"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89"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开展毒性评估，在危害识别的基础上，分析关注污染物对人体健康的危害效应，包括致癌效应和非致癌效应，确定与关注污染物相关的参数，包括参考剂量、参考浓度、致癌斜率因子和呼吸吸入单位致癌因子等。</w:t>
            </w:r>
            <w:r/>
          </w:p>
        </w:tc>
        <w:tc>
          <w:tcPr>
            <w:tcBorders>
              <w:left w:val="single" w:color="auto" w:sz="4" w:space="0"/>
              <w:right w:val="single" w:color="auto" w:sz="4" w:space="0"/>
            </w:tcBorders>
            <w:tcW w:w="330"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333"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55"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88"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497"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52"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right w:val="single" w:color="auto" w:sz="2" w:space="0"/>
            </w:tcBorders>
            <w:tcW w:w="353"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89"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开展风险表征，在暴露评估和毒性评估的基础上，采用风险评估模型计算土壤和地下水中单一污染物经单一途径的致癌风险和危害商，计算单一污染物的总致癌风险和危害商，进行不确定性分析。</w:t>
            </w:r>
            <w:r/>
          </w:p>
        </w:tc>
        <w:tc>
          <w:tcPr>
            <w:tcBorders>
              <w:left w:val="single" w:color="auto" w:sz="4" w:space="0"/>
              <w:right w:val="single" w:color="auto" w:sz="4" w:space="0"/>
            </w:tcBorders>
            <w:tcW w:w="330"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333"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55"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88"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497"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2" w:space="0"/>
            </w:tcBorders>
            <w:tcW w:w="152"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bottom w:val="single" w:color="auto" w:sz="2" w:space="0"/>
              <w:right w:val="single" w:color="auto" w:sz="2" w:space="0"/>
            </w:tcBorders>
            <w:tcW w:w="353"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89"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开展土壤和地下水风险控制值的计算，在风险表征的基础上，判断计算得到的风险值是否超过可接受风险水平。如地块风险评估结果未超过可接受风险水平，则结束风险评估工作；如地块风险评估结果超过可接受风险水平，则计算土壤、地下水中关注污染物的风险控制值；如调查结果表明，土壤中关注污染物可迁移进入地下水，则计算保护地下水的土壤风险控制值；根据计算结果，提出关注污染物的土壤和地下水风险控制值。</w:t>
            </w:r>
            <w:r/>
          </w:p>
        </w:tc>
        <w:tc>
          <w:tcPr>
            <w:tcBorders>
              <w:left w:val="single" w:color="auto" w:sz="4" w:space="0"/>
              <w:bottom w:val="single" w:color="auto" w:sz="4" w:space="0"/>
              <w:right w:val="single" w:color="auto" w:sz="4" w:space="0"/>
            </w:tcBorders>
            <w:tcW w:w="330"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333"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55"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88"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497"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4" w:space="0"/>
            </w:tcBorders>
            <w:tcW w:w="152"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9</w:t>
            </w:r>
            <w:r/>
          </w:p>
        </w:tc>
        <w:tc>
          <w:tcPr>
            <w:tcBorders>
              <w:top w:val="single" w:color="auto" w:sz="4" w:space="0"/>
              <w:left w:val="single" w:color="auto" w:sz="4" w:space="0"/>
              <w:right w:val="single" w:color="auto" w:sz="4" w:space="0"/>
            </w:tcBorders>
            <w:tcW w:w="353"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bCs/>
                <w:color w:val="000000"/>
                <w:sz w:val="21"/>
                <w:szCs w:val="21"/>
                <w:highlight w:val="none"/>
              </w:rPr>
              <w:t xml:space="preserve">风险评估报告专家费、会务费、</w:t>
            </w:r>
            <w:r>
              <w:rPr>
                <w:rFonts w:hint="eastAsia" w:eastAsia="宋体" w:cs="Times New Roman"/>
                <w:bCs/>
                <w:color w:val="000000"/>
                <w:sz w:val="21"/>
                <w:szCs w:val="21"/>
                <w:highlight w:val="none"/>
                <w:lang w:val="en-US" w:eastAsia="zh-CN"/>
              </w:rPr>
              <w:t xml:space="preserve">彩色</w:t>
            </w:r>
            <w:r>
              <w:rPr>
                <w:rFonts w:cs="Times New Roman"/>
                <w:bCs/>
                <w:color w:val="000000"/>
                <w:sz w:val="21"/>
                <w:szCs w:val="21"/>
                <w:highlight w:val="none"/>
              </w:rPr>
              <w:t xml:space="preserve">打印费等</w:t>
            </w:r>
            <w:r/>
          </w:p>
        </w:tc>
        <w:tc>
          <w:tcPr>
            <w:tcBorders>
              <w:top w:val="single" w:color="auto" w:sz="2" w:space="0"/>
              <w:left w:val="single" w:color="auto" w:sz="4" w:space="0"/>
              <w:bottom w:val="single" w:color="auto" w:sz="4" w:space="0"/>
              <w:right w:val="single" w:color="auto" w:sz="4" w:space="0"/>
            </w:tcBorders>
            <w:tcW w:w="2189"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bCs/>
                <w:color w:val="000000"/>
                <w:sz w:val="21"/>
                <w:szCs w:val="21"/>
                <w:highlight w:val="none"/>
              </w:rPr>
              <w:t xml:space="preserve">市生态环境局至少邀请5名业内专家及相关部门领导，组织召开专家评审会</w:t>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项</w:t>
            </w:r>
            <w:r/>
          </w:p>
        </w:tc>
        <w:tc>
          <w:tcPr>
            <w:tcBorders>
              <w:top w:val="single" w:color="auto" w:sz="4" w:space="0"/>
              <w:left w:val="single" w:color="auto" w:sz="4" w:space="0"/>
              <w:bottom w:val="single" w:color="auto" w:sz="4" w:space="0"/>
              <w:right w:val="single" w:color="auto" w:sz="4" w:space="0"/>
            </w:tcBorders>
            <w:tcW w:w="333"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4" w:space="0"/>
            </w:tcBorders>
            <w:tcW w:w="152"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353"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2" w:space="0"/>
              <w:left w:val="single" w:color="auto" w:sz="4" w:space="0"/>
              <w:bottom w:val="single" w:color="auto" w:sz="4" w:space="0"/>
              <w:right w:val="single" w:color="auto" w:sz="4" w:space="0"/>
            </w:tcBorders>
            <w:tcW w:w="2189"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省生态环境厅至少邀请5名业内专家及相关部门领导，组织召开专家评审会</w:t>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项</w:t>
            </w:r>
            <w:r/>
          </w:p>
        </w:tc>
        <w:tc>
          <w:tcPr>
            <w:tcBorders>
              <w:top w:val="single" w:color="auto" w:sz="4" w:space="0"/>
              <w:left w:val="single" w:color="auto" w:sz="4" w:space="0"/>
              <w:bottom w:val="single" w:color="auto" w:sz="4" w:space="0"/>
              <w:right w:val="single" w:color="auto" w:sz="4" w:space="0"/>
            </w:tcBorders>
            <w:tcW w:w="333"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1187"/>
        </w:trPr>
        <w:tc>
          <w:tcPr>
            <w:gridSpan w:val="6"/>
            <w:tcBorders>
              <w:top w:val="single" w:color="auto" w:sz="2" w:space="0"/>
              <w:left w:val="single" w:color="auto" w:sz="2" w:space="0"/>
              <w:bottom w:val="single" w:color="auto" w:sz="4" w:space="0"/>
              <w:right w:val="single" w:color="auto" w:sz="4" w:space="0"/>
            </w:tcBorders>
            <w:tcW w:w="391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w:t>
            </w:r>
            <w:r/>
          </w:p>
        </w:tc>
      </w:tr>
    </w:tbl>
    <w:p>
      <w:pPr>
        <w:jc w:val="center"/>
        <w:spacing w:line="360" w:lineRule="auto"/>
        <w:rPr>
          <w:rFonts w:hint="eastAsia" w:ascii="宋体" w:hAnsi="宋体" w:eastAsia="宋体" w:cs="宋体"/>
          <w:sz w:val="36"/>
          <w:szCs w:val="36"/>
          <w:highlight w:val="none"/>
          <w:lang w:val="zh-CN"/>
        </w:rPr>
        <w:outlineLvl w:val="0"/>
      </w:pPr>
      <w:r>
        <w:rPr>
          <w:rFonts w:hint="eastAsia" w:ascii="宋体" w:hAnsi="宋体" w:eastAsia="宋体" w:cs="宋体"/>
          <w:sz w:val="36"/>
          <w:szCs w:val="36"/>
          <w:highlight w:val="none"/>
          <w:lang w:val="zh-CN"/>
        </w:rPr>
      </w:r>
      <w:r/>
    </w:p>
    <w:p>
      <w:pPr>
        <w:jc w:val="center"/>
        <w:spacing w:line="360" w:lineRule="auto"/>
        <w:rPr>
          <w:rFonts w:hint="eastAsia" w:ascii="宋体" w:hAnsi="宋体" w:eastAsia="宋体" w:cs="宋体"/>
          <w:sz w:val="36"/>
          <w:szCs w:val="36"/>
          <w:highlight w:val="none"/>
          <w:lang w:val="zh-CN"/>
        </w:rPr>
        <w:outlineLvl w:val="0"/>
      </w:pPr>
      <w:r>
        <w:rPr>
          <w:rFonts w:hint="eastAsia" w:ascii="宋体" w:hAnsi="宋体" w:eastAsia="宋体" w:cs="宋体"/>
          <w:sz w:val="36"/>
          <w:szCs w:val="36"/>
          <w:highlight w:val="none"/>
          <w:lang w:val="zh-CN"/>
        </w:rPr>
      </w:r>
      <w:r/>
    </w:p>
    <w:p>
      <w:pPr>
        <w:jc w:val="center"/>
        <w:spacing w:line="360" w:lineRule="auto"/>
        <w:rPr>
          <w:rFonts w:hint="eastAsia" w:ascii="宋体" w:hAnsi="宋体" w:eastAsia="宋体" w:cs="宋体"/>
          <w:sz w:val="36"/>
          <w:szCs w:val="36"/>
          <w:highlight w:val="none"/>
          <w:lang w:val="zh-CN"/>
        </w:rPr>
        <w:outlineLvl w:val="0"/>
      </w:pPr>
      <w:r>
        <w:rPr>
          <w:rFonts w:hint="eastAsia" w:ascii="宋体" w:hAnsi="宋体" w:eastAsia="宋体" w:cs="宋体"/>
          <w:sz w:val="36"/>
          <w:szCs w:val="36"/>
          <w:highlight w:val="none"/>
          <w:lang w:val="zh-CN"/>
        </w:rPr>
      </w:r>
      <w:r/>
    </w:p>
    <w:p>
      <w:pPr>
        <w:jc w:val="center"/>
        <w:spacing w:line="360" w:lineRule="auto"/>
        <w:rPr>
          <w:rFonts w:hint="eastAsia" w:ascii="宋体" w:hAnsi="宋体" w:eastAsia="宋体" w:cs="宋体"/>
          <w:sz w:val="36"/>
          <w:szCs w:val="36"/>
          <w:highlight w:val="none"/>
          <w:lang w:val="zh-CN"/>
        </w:rPr>
        <w:sectPr>
          <w:footnotePr/>
          <w:endnotePr/>
          <w:type w:val="nextPage"/>
          <w:pgSz w:w="16838" w:h="11911" w:orient="landscape"/>
          <w:pgMar w:top="1531" w:right="1417" w:bottom="1531" w:left="1417" w:header="879" w:footer="1196" w:gutter="0"/>
          <w:cols w:num="1" w:sep="0" w:space="720" w:equalWidth="1"/>
          <w:docGrid w:linePitch="360"/>
        </w:sectPr>
        <w:outlineLvl w:val="0"/>
      </w:pPr>
      <w:r>
        <w:rPr>
          <w:rFonts w:hint="eastAsia" w:ascii="宋体" w:hAnsi="宋体" w:eastAsia="宋体" w:cs="宋体"/>
          <w:sz w:val="36"/>
          <w:szCs w:val="36"/>
          <w:highlight w:val="none"/>
          <w:lang w:val="zh-CN"/>
        </w:rPr>
      </w:r>
      <w:r/>
    </w:p>
    <w:p>
      <w:pPr>
        <w:rPr>
          <w:rFonts w:hint="eastAsia" w:eastAsia="宋体"/>
          <w:color w:val="000000"/>
          <w:spacing w:val="0"/>
          <w:position w:val="0"/>
          <w:highlight w:val="none"/>
          <w:shd w:val="clear" w:color="auto" w:fill="auto"/>
          <w:lang w:val="en-US" w:eastAsia="zh-CN"/>
        </w:rPr>
      </w:pPr>
      <w:r>
        <w:rPr>
          <w:rFonts w:hint="eastAsia" w:ascii="宋体" w:hAnsi="宋体" w:eastAsia="宋体" w:cs="宋体"/>
          <w:sz w:val="24"/>
          <w:szCs w:val="24"/>
          <w:highlight w:val="none"/>
          <w:lang w:val="en-US" w:eastAsia="zh-CN"/>
        </w:rPr>
        <w:t xml:space="preserve">7、</w:t>
      </w:r>
      <w:r>
        <w:rPr>
          <w:rFonts w:hint="eastAsia" w:ascii="宋体" w:hAnsi="宋体" w:cs="宋体"/>
          <w:b/>
          <w:bCs/>
          <w:szCs w:val="21"/>
          <w:highlight w:val="none"/>
        </w:rPr>
        <w:t xml:space="preserve">考核标准</w:t>
      </w:r>
      <w:r/>
    </w:p>
    <w:tbl>
      <w:tblPr>
        <w:tblStyle w:val="727"/>
        <w:tblW w:w="5302" w:type="pct"/>
        <w:tblInd w:w="-18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39"/>
        <w:gridCol w:w="1439"/>
        <w:gridCol w:w="5650"/>
        <w:gridCol w:w="638"/>
        <w:gridCol w:w="647"/>
      </w:tblGrid>
      <w:tr>
        <w:trPr>
          <w:trHeight w:val="674"/>
        </w:trPr>
        <w:tc>
          <w:tcPr>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pStyle w:val="1199"/>
              <w:ind w:firstLine="0"/>
              <w:jc w:val="cente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项目名称</w:t>
            </w:r>
            <w:r/>
          </w:p>
        </w:tc>
        <w:tc>
          <w:tcPr>
            <w:gridSpan w:val="4"/>
            <w:tcBorders>
              <w:top w:val="single" w:color="000000" w:sz="4" w:space="0"/>
              <w:left w:val="single" w:color="000000" w:sz="4" w:space="0"/>
              <w:bottom w:val="single" w:color="000000" w:sz="4" w:space="0"/>
              <w:right w:val="single" w:color="000000" w:sz="4" w:space="0"/>
            </w:tcBorders>
            <w:tcW w:w="4355" w:type="pct"/>
            <w:vAlign w:val="center"/>
            <w:textDirection w:val="lrTb"/>
            <w:noWrap/>
          </w:tcPr>
          <w:p>
            <w:pPr>
              <w:jc w:val="center"/>
              <w:spacing w:line="500" w:lineRule="exact"/>
              <w:widowControl/>
              <w:rPr>
                <w:rFonts w:hint="eastAsia" w:ascii="方正仿宋简体" w:hAnsi="方正仿宋简体" w:eastAsia="方正仿宋简体" w:cs="方正仿宋简体"/>
                <w:color w:val="000000"/>
                <w:sz w:val="21"/>
                <w:szCs w:val="21"/>
                <w:highlight w:val="none"/>
                <w:lang w:val="en-US" w:eastAsia="zh-CN" w:bidi="ar"/>
              </w:rPr>
            </w:pPr>
            <w:r>
              <w:rPr>
                <w:rFonts w:hint="eastAsia" w:ascii="方正仿宋简体" w:hAnsi="方正仿宋简体" w:eastAsia="方正仿宋简体" w:cs="方正仿宋简体"/>
                <w:color w:val="000000"/>
                <w:sz w:val="21"/>
                <w:szCs w:val="21"/>
                <w:highlight w:val="none"/>
                <w:lang w:val="en-US" w:eastAsia="zh-CN" w:bidi="ar"/>
              </w:rPr>
            </w:r>
            <w:r/>
          </w:p>
        </w:tc>
      </w:tr>
      <w:tr>
        <w:trPr>
          <w:trHeight w:val="674"/>
        </w:trPr>
        <w:tc>
          <w:tcPr>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pStyle w:val="1199"/>
              <w:ind w:firstLine="0"/>
              <w:jc w:val="cente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采购单位</w:t>
            </w:r>
            <w:r/>
          </w:p>
        </w:tc>
        <w:tc>
          <w:tcPr>
            <w:gridSpan w:val="4"/>
            <w:tcBorders>
              <w:top w:val="single" w:color="000000" w:sz="4" w:space="0"/>
              <w:left w:val="single" w:color="000000" w:sz="4" w:space="0"/>
              <w:bottom w:val="single" w:color="000000" w:sz="4" w:space="0"/>
              <w:right w:val="single" w:color="000000" w:sz="4" w:space="0"/>
            </w:tcBorders>
            <w:tcW w:w="4355" w:type="pct"/>
            <w:vAlign w:val="center"/>
            <w:textDirection w:val="lrTb"/>
            <w:noWrap/>
          </w:tcPr>
          <w:p>
            <w:pPr>
              <w:jc w:val="center"/>
              <w:spacing w:line="500" w:lineRule="exact"/>
              <w:widowControl/>
              <w:rPr>
                <w:rFonts w:hint="eastAsia" w:ascii="方正仿宋简体" w:hAnsi="方正仿宋简体" w:eastAsia="方正仿宋简体" w:cs="方正仿宋简体"/>
                <w:color w:val="000000"/>
                <w:sz w:val="21"/>
                <w:szCs w:val="21"/>
                <w:highlight w:val="none"/>
                <w:lang w:val="en-US" w:eastAsia="zh-CN" w:bidi="ar"/>
              </w:rPr>
            </w:pPr>
            <w:r>
              <w:rPr>
                <w:rFonts w:hint="eastAsia" w:ascii="方正仿宋简体" w:hAnsi="方正仿宋简体" w:eastAsia="方正仿宋简体" w:cs="方正仿宋简体"/>
                <w:color w:val="000000"/>
                <w:sz w:val="21"/>
                <w:szCs w:val="21"/>
                <w:highlight w:val="none"/>
                <w:lang w:val="en-US" w:eastAsia="zh-CN" w:bidi="ar"/>
              </w:rPr>
            </w:r>
            <w:r/>
          </w:p>
        </w:tc>
      </w:tr>
      <w:tr>
        <w:trPr>
          <w:trHeight w:val="674"/>
        </w:trPr>
        <w:tc>
          <w:tcPr>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pStyle w:val="1199"/>
              <w:ind w:firstLine="0"/>
              <w:jc w:val="cente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供应商</w:t>
            </w:r>
            <w:r/>
          </w:p>
        </w:tc>
        <w:tc>
          <w:tcPr>
            <w:gridSpan w:val="4"/>
            <w:tcBorders>
              <w:top w:val="single" w:color="000000" w:sz="4" w:space="0"/>
              <w:left w:val="single" w:color="000000" w:sz="4" w:space="0"/>
              <w:bottom w:val="single" w:color="000000" w:sz="4" w:space="0"/>
              <w:right w:val="single" w:color="000000" w:sz="4" w:space="0"/>
            </w:tcBorders>
            <w:tcW w:w="4355" w:type="pct"/>
            <w:vAlign w:val="center"/>
            <w:textDirection w:val="lrTb"/>
            <w:noWrap/>
          </w:tcPr>
          <w:p>
            <w:pPr>
              <w:jc w:val="center"/>
              <w:spacing w:line="500" w:lineRule="exact"/>
              <w:widowControl/>
              <w:rPr>
                <w:rFonts w:hint="eastAsia" w:ascii="方正仿宋简体" w:hAnsi="方正仿宋简体" w:eastAsia="方正仿宋简体" w:cs="方正仿宋简体"/>
                <w:color w:val="000000"/>
                <w:sz w:val="21"/>
                <w:szCs w:val="21"/>
                <w:highlight w:val="none"/>
                <w:lang w:val="en-US" w:eastAsia="zh-CN" w:bidi="ar"/>
              </w:rPr>
            </w:pPr>
            <w:r>
              <w:rPr>
                <w:rFonts w:hint="eastAsia" w:ascii="方正仿宋简体" w:hAnsi="方正仿宋简体" w:eastAsia="方正仿宋简体" w:cs="方正仿宋简体"/>
                <w:color w:val="000000"/>
                <w:sz w:val="21"/>
                <w:szCs w:val="21"/>
                <w:highlight w:val="none"/>
                <w:lang w:val="en-US" w:eastAsia="zh-CN" w:bidi="ar"/>
              </w:rPr>
            </w:r>
            <w:r/>
          </w:p>
        </w:tc>
      </w:tr>
      <w:tr>
        <w:trPr>
          <w:trHeight w:val="571"/>
        </w:trPr>
        <w:tc>
          <w:tcPr>
            <w:tcBorders>
              <w:top w:val="single" w:color="000000" w:sz="4" w:space="0"/>
              <w:left w:val="single" w:color="000000" w:sz="4" w:space="0"/>
              <w:right w:val="single" w:color="000000" w:sz="4" w:space="0"/>
            </w:tcBorders>
            <w:tcW w:w="64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考核项目</w:t>
            </w:r>
            <w:r/>
          </w:p>
        </w:tc>
        <w:tc>
          <w:tcPr>
            <w:tcBorders>
              <w:top w:val="single" w:color="000000" w:sz="4" w:space="0"/>
              <w:left w:val="single" w:color="000000" w:sz="4" w:space="0"/>
              <w:bottom w:val="single" w:color="000000" w:sz="4" w:space="0"/>
              <w:right w:val="single" w:color="000000" w:sz="4" w:space="0"/>
            </w:tcBorders>
            <w:tcW w:w="74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指标类别</w:t>
            </w:r>
            <w:r/>
          </w:p>
        </w:tc>
        <w:tc>
          <w:tcPr>
            <w:tcBorders>
              <w:top w:val="single" w:color="000000" w:sz="4" w:space="0"/>
              <w:left w:val="single" w:color="000000" w:sz="4" w:space="0"/>
              <w:bottom w:val="single" w:color="000000" w:sz="4" w:space="0"/>
              <w:right w:val="single" w:color="000000" w:sz="4" w:space="0"/>
            </w:tcBorders>
            <w:tcW w:w="293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考核具体内容和标准</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得分</w:t>
            </w:r>
            <w:r/>
          </w:p>
        </w:tc>
      </w:tr>
      <w:tr>
        <w:trPr>
          <w:trHeight w:val="678"/>
        </w:trPr>
        <w:tc>
          <w:tcPr>
            <w:tcBorders>
              <w:left w:val="single" w:color="000000" w:sz="4" w:space="0"/>
              <w:right w:val="single" w:color="000000" w:sz="4" w:space="0"/>
            </w:tcBorders>
            <w:tcW w:w="644"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right w:val="single" w:color="000000" w:sz="4" w:space="0"/>
            </w:tcBorders>
            <w:tcW w:w="748" w:type="pct"/>
            <w:vAlign w:val="center"/>
            <w:vMerge w:val="restart"/>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服务质量</w:t>
            </w:r>
            <w:r/>
          </w:p>
        </w:tc>
        <w:tc>
          <w:tcPr>
            <w:tcBorders>
              <w:top w:val="single" w:color="000000" w:sz="4" w:space="0"/>
              <w:left w:val="single" w:color="000000" w:sz="4" w:space="0"/>
              <w:bottom w:val="single" w:color="000000" w:sz="4" w:space="0"/>
              <w:right w:val="single" w:color="000000" w:sz="4" w:space="0"/>
            </w:tcBorders>
            <w:tcW w:w="2938"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szCs w:val="21"/>
                <w:highlight w:val="none"/>
                <w:lang w:val="en-US" w:eastAsia="zh-CN"/>
              </w:rPr>
              <w:t xml:space="preserve">是否</w:t>
            </w:r>
            <w:r>
              <w:rPr>
                <w:rFonts w:hint="eastAsia" w:ascii="宋体" w:hAnsi="宋体" w:eastAsia="宋体" w:cs="宋体"/>
                <w:szCs w:val="21"/>
                <w:highlight w:val="none"/>
              </w:rPr>
              <w:t xml:space="preserve">根据</w:t>
            </w:r>
            <w:r>
              <w:rPr>
                <w:rFonts w:hint="eastAsia" w:ascii="宋体" w:hAnsi="宋体" w:cs="宋体"/>
                <w:szCs w:val="21"/>
                <w:highlight w:val="none"/>
                <w:lang w:val="en-US" w:eastAsia="zh-CN"/>
              </w:rPr>
              <w:t xml:space="preserve">相关主管部门要求</w:t>
            </w:r>
            <w:r>
              <w:rPr>
                <w:rFonts w:hint="eastAsia" w:ascii="宋体" w:hAnsi="宋体" w:eastAsia="宋体" w:cs="宋体"/>
                <w:szCs w:val="21"/>
                <w:highlight w:val="none"/>
              </w:rPr>
              <w:t xml:space="preserve">，形成</w:t>
            </w:r>
            <w:r>
              <w:rPr>
                <w:rFonts w:hint="eastAsia" w:ascii="宋体" w:hAnsi="宋体" w:cs="宋体"/>
                <w:szCs w:val="21"/>
                <w:highlight w:val="none"/>
                <w:lang w:val="en-US" w:eastAsia="zh-CN"/>
              </w:rPr>
              <w:t xml:space="preserve">最终</w:t>
            </w:r>
            <w:r>
              <w:rPr>
                <w:rFonts w:hint="eastAsia" w:ascii="宋体" w:hAnsi="宋体" w:eastAsia="宋体" w:cs="宋体"/>
                <w:szCs w:val="21"/>
                <w:highlight w:val="none"/>
              </w:rPr>
              <w:t xml:space="preserve">成果</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0"/>
        </w:trPr>
        <w:tc>
          <w:tcPr>
            <w:tcBorders>
              <w:left w:val="single" w:color="000000" w:sz="4" w:space="0"/>
              <w:right w:val="single" w:color="000000" w:sz="4" w:space="0"/>
            </w:tcBorders>
            <w:tcW w:w="644"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left w:val="single" w:color="000000" w:sz="4" w:space="0"/>
              <w:right w:val="single" w:color="000000" w:sz="4" w:space="0"/>
            </w:tcBorders>
            <w:tcW w:w="748"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38"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成果报告完成后</w:t>
            </w:r>
            <w:r>
              <w:rPr>
                <w:rFonts w:hint="eastAsia" w:ascii="宋体" w:hAnsi="宋体" w:cs="宋体"/>
                <w:b w:val="0"/>
                <w:bCs w:val="0"/>
                <w:color w:val="000000"/>
                <w:sz w:val="21"/>
                <w:szCs w:val="21"/>
                <w:highlight w:val="none"/>
                <w:lang w:val="en-US" w:eastAsia="zh-CN" w:bidi="ar-SA"/>
              </w:rPr>
              <w:t xml:space="preserve">相关主管部门组织开会</w:t>
            </w:r>
            <w:r>
              <w:rPr>
                <w:rFonts w:hint="eastAsia" w:ascii="宋体" w:hAnsi="宋体" w:eastAsia="宋体" w:cs="宋体"/>
                <w:b w:val="0"/>
                <w:bCs w:val="0"/>
                <w:color w:val="000000"/>
                <w:sz w:val="21"/>
                <w:szCs w:val="21"/>
                <w:highlight w:val="none"/>
                <w:lang w:val="en-US" w:eastAsia="zh-CN" w:bidi="ar-SA"/>
              </w:rPr>
              <w:t xml:space="preserve">一次性通过得20分，第二次通过得15分，第三次通过不得分</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20"/>
        </w:trPr>
        <w:tc>
          <w:tcPr>
            <w:tcBorders>
              <w:left w:val="single" w:color="000000" w:sz="4" w:space="0"/>
              <w:right w:val="single" w:color="000000" w:sz="4" w:space="0"/>
            </w:tcBorders>
            <w:tcW w:w="644"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left w:val="single" w:color="000000" w:sz="4" w:space="0"/>
              <w:right w:val="single" w:color="000000" w:sz="4" w:space="0"/>
            </w:tcBorders>
            <w:tcW w:w="748"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38"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规定时间内是否正常完成</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86"/>
        </w:trPr>
        <w:tc>
          <w:tcPr>
            <w:tcBorders>
              <w:left w:val="single" w:color="000000" w:sz="4" w:space="0"/>
              <w:right w:val="single" w:color="000000" w:sz="4" w:space="0"/>
            </w:tcBorders>
            <w:tcW w:w="644"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right w:val="single" w:color="auto" w:sz="4" w:space="0"/>
            </w:tcBorders>
            <w:tcW w:w="748"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技术要求</w:t>
            </w:r>
            <w:r/>
          </w:p>
        </w:tc>
        <w:tc>
          <w:tcPr>
            <w:tcBorders>
              <w:top w:val="single" w:color="000000" w:sz="4" w:space="0"/>
              <w:left w:val="single" w:color="auto" w:sz="4" w:space="0"/>
              <w:bottom w:val="single" w:color="000000" w:sz="4" w:space="0"/>
              <w:right w:val="single" w:color="000000" w:sz="4" w:space="0"/>
            </w:tcBorders>
            <w:tcW w:w="2938"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是否满足相关技术规范要求</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97"/>
        </w:trPr>
        <w:tc>
          <w:tcPr>
            <w:tcBorders>
              <w:left w:val="single" w:color="000000" w:sz="4" w:space="0"/>
              <w:right w:val="single" w:color="000000" w:sz="4" w:space="0"/>
            </w:tcBorders>
            <w:tcW w:w="644"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left w:val="single" w:color="auto" w:sz="4" w:space="0"/>
              <w:right w:val="single" w:color="auto" w:sz="4" w:space="0"/>
            </w:tcBorders>
            <w:tcW w:w="748"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2938"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项目负责人是否具备3年及以上从业经验</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0"/>
        </w:trPr>
        <w:tc>
          <w:tcPr>
            <w:tcBorders>
              <w:left w:val="single" w:color="000000" w:sz="4" w:space="0"/>
              <w:right w:val="single" w:color="000000" w:sz="4" w:space="0"/>
            </w:tcBorders>
            <w:tcW w:w="644"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left w:val="single" w:color="auto" w:sz="4" w:space="0"/>
              <w:right w:val="single" w:color="auto" w:sz="4" w:space="0"/>
            </w:tcBorders>
            <w:tcW w:w="748"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2938"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项目组织管理措施完善，项目组成人员及分工明确，质量管理、技术保证、安全及劳动保证、项目售后服务内容及服务落实保证等措施健全</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20"/>
        </w:trPr>
        <w:tc>
          <w:tcPr>
            <w:tcBorders>
              <w:left w:val="single" w:color="000000" w:sz="4" w:space="0"/>
              <w:right w:val="single" w:color="000000" w:sz="4" w:space="0"/>
            </w:tcBorders>
            <w:tcW w:w="644"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left w:val="single" w:color="auto" w:sz="4" w:space="0"/>
              <w:bottom w:val="single" w:color="auto" w:sz="4" w:space="0"/>
              <w:right w:val="single" w:color="auto" w:sz="4" w:space="0"/>
            </w:tcBorders>
            <w:tcW w:w="748"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38"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是否开展现场</w:t>
            </w:r>
            <w:r>
              <w:rPr>
                <w:rFonts w:hint="eastAsia" w:ascii="宋体" w:hAnsi="宋体" w:eastAsia="宋体" w:cs="宋体"/>
                <w:i w:val="0"/>
                <w:iCs w:val="0"/>
                <w:color w:val="auto"/>
                <w:sz w:val="21"/>
                <w:szCs w:val="21"/>
                <w:highlight w:val="none"/>
                <w:u w:val="none"/>
                <w:lang w:val="en-US" w:eastAsia="zh-CN"/>
              </w:rPr>
              <w:t xml:space="preserve">踏勘及采样检测</w:t>
            </w:r>
            <w:r>
              <w:rPr>
                <w:rFonts w:hint="eastAsia" w:ascii="宋体" w:hAnsi="宋体" w:eastAsia="宋体" w:cs="宋体"/>
                <w:i w:val="0"/>
                <w:iCs w:val="0"/>
                <w:color w:val="auto"/>
                <w:sz w:val="21"/>
                <w:szCs w:val="21"/>
                <w:highlight w:val="none"/>
                <w:u w:val="none"/>
              </w:rPr>
              <w:t xml:space="preserve">调查工作</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32"/>
        </w:trPr>
        <w:tc>
          <w:tcPr>
            <w:tcBorders>
              <w:left w:val="single" w:color="000000" w:sz="4" w:space="0"/>
              <w:right w:val="single" w:color="000000" w:sz="4" w:space="0"/>
            </w:tcBorders>
            <w:tcW w:w="644"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right w:val="single" w:color="auto" w:sz="4" w:space="0"/>
            </w:tcBorders>
            <w:tcW w:w="748" w:type="pct"/>
            <w:vAlign w:val="center"/>
            <w:vMerge w:val="restart"/>
            <w:textDirection w:val="lrTb"/>
            <w:noWrap/>
          </w:tcPr>
          <w:p>
            <w:pPr>
              <w:jc w:val="center"/>
              <w:rPr>
                <w:rFonts w:hint="default" w:ascii="宋体" w:hAnsi="宋体" w:eastAsia="宋体" w:cs="宋体"/>
                <w:i w:val="0"/>
                <w:iCs w:val="0"/>
                <w:color w:val="000000"/>
                <w:sz w:val="21"/>
                <w:szCs w:val="21"/>
                <w:highlight w:val="none"/>
                <w:u w:val="none"/>
                <w:lang w:val="en-US" w:eastAsia="zh-CN"/>
              </w:rPr>
            </w:pPr>
            <w:r>
              <w:rPr>
                <w:rFonts w:hint="eastAsia"/>
                <w:sz w:val="24"/>
                <w:szCs w:val="24"/>
                <w:highlight w:val="none"/>
                <w:lang w:val="en-US" w:eastAsia="zh-CN"/>
              </w:rPr>
              <w:t xml:space="preserve">安全要求</w:t>
            </w:r>
            <w:r/>
          </w:p>
        </w:tc>
        <w:tc>
          <w:tcPr>
            <w:tcBorders>
              <w:top w:val="single" w:color="000000" w:sz="4" w:space="0"/>
              <w:left w:val="single" w:color="auto" w:sz="4" w:space="0"/>
              <w:bottom w:val="single" w:color="000000" w:sz="4" w:space="0"/>
              <w:right w:val="single" w:color="000000" w:sz="4" w:space="0"/>
            </w:tcBorders>
            <w:tcW w:w="2938"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是否开展项目组人员安全教育</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66"/>
        </w:trPr>
        <w:tc>
          <w:tcPr>
            <w:tcBorders>
              <w:left w:val="single" w:color="000000" w:sz="4" w:space="0"/>
              <w:right w:val="single" w:color="000000" w:sz="4" w:space="0"/>
            </w:tcBorders>
            <w:tcW w:w="644"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left w:val="single" w:color="auto" w:sz="4" w:space="0"/>
              <w:right w:val="single" w:color="auto" w:sz="4" w:space="0"/>
            </w:tcBorders>
            <w:tcW w:w="748"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auto" w:sz="4" w:space="0"/>
              <w:bottom w:val="single" w:color="000000" w:sz="4" w:space="0"/>
              <w:right w:val="single" w:color="000000" w:sz="4" w:space="0"/>
            </w:tcBorders>
            <w:tcW w:w="2938"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服务中是否发生安全事故</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457"/>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pStyle w:val="1201"/>
              <w:numPr>
                <w:ilvl w:val="0"/>
                <w:numId w:val="0"/>
              </w:numPr>
              <w:spacing w:line="360" w:lineRule="auto"/>
              <w:rPr>
                <w:rFonts w:hint="eastAsia" w:ascii="宋体" w:hAnsi="宋体" w:eastAsia="宋体" w:cs="宋体"/>
                <w:color w:val="auto"/>
                <w:spacing w:val="0"/>
                <w:sz w:val="21"/>
                <w:szCs w:val="21"/>
                <w:highlight w:val="none"/>
                <w:u w:val="none"/>
                <w:lang w:val="en-US" w:eastAsia="zh-CN" w:bidi="ar-SA"/>
              </w:rPr>
            </w:pPr>
            <w:r>
              <w:rPr>
                <w:rFonts w:hint="eastAsia" w:ascii="宋体" w:hAnsi="宋体" w:eastAsia="宋体" w:cs="宋体"/>
                <w:color w:val="auto"/>
                <w:spacing w:val="0"/>
                <w:sz w:val="21"/>
                <w:szCs w:val="21"/>
                <w:highlight w:val="none"/>
                <w:u w:val="none"/>
                <w:lang w:val="en-US" w:eastAsia="zh-CN" w:bidi="ar-SA"/>
              </w:rPr>
              <w:t xml:space="preserve">支付费用根据考核得分支付标准：</w:t>
            </w:r>
            <w:r/>
          </w:p>
          <w:p>
            <w:pPr>
              <w:jc w:val="both"/>
              <w:pageBreakBefore w:val="0"/>
              <w:spacing w:line="360" w:lineRule="auto"/>
              <w:widowControl w:val="off"/>
              <w:rPr>
                <w:rFonts w:hint="eastAsia" w:ascii="宋体" w:hAnsi="宋体" w:eastAsia="宋体" w:cs="宋体"/>
                <w:color w:val="auto"/>
                <w:spacing w:val="0"/>
                <w:sz w:val="21"/>
                <w:szCs w:val="21"/>
                <w:highlight w:val="none"/>
                <w:u w:val="none"/>
                <w:lang w:val="zh-CN" w:eastAsia="zh-CN" w:bidi="ar-SA"/>
              </w:rPr>
            </w:pPr>
            <w:r>
              <w:rPr>
                <w:rFonts w:hint="eastAsia" w:ascii="宋体" w:hAnsi="宋体" w:eastAsia="宋体" w:cs="宋体"/>
                <w:color w:val="auto"/>
                <w:spacing w:val="0"/>
                <w:sz w:val="21"/>
                <w:szCs w:val="21"/>
                <w:highlight w:val="none"/>
                <w:u w:val="none"/>
                <w:lang w:val="en-US" w:eastAsia="zh-CN" w:bidi="ar-SA"/>
              </w:rPr>
              <w:t xml:space="preserve">1</w:t>
            </w:r>
            <w:r>
              <w:rPr>
                <w:rFonts w:hint="default" w:ascii="宋体" w:hAnsi="宋体" w:eastAsia="宋体" w:cs="宋体"/>
                <w:color w:val="auto"/>
                <w:spacing w:val="0"/>
                <w:sz w:val="21"/>
                <w:szCs w:val="21"/>
                <w:highlight w:val="none"/>
                <w:u w:val="none"/>
                <w:lang w:val="en-US" w:eastAsia="zh-CN" w:bidi="ar-SA"/>
              </w:rPr>
              <w:t xml:space="preserve">、90分及以上：支付支付已完</w:t>
            </w:r>
            <w:r>
              <w:rPr>
                <w:rFonts w:hint="eastAsia" w:ascii="宋体" w:hAnsi="宋体" w:eastAsia="宋体" w:cs="宋体"/>
                <w:color w:val="auto"/>
                <w:spacing w:val="0"/>
                <w:sz w:val="21"/>
                <w:szCs w:val="21"/>
                <w:highlight w:val="none"/>
                <w:u w:val="none"/>
                <w:lang w:val="en-US" w:eastAsia="zh-CN" w:bidi="ar-SA"/>
              </w:rPr>
              <w:t xml:space="preserve">工作</w:t>
            </w:r>
            <w:r>
              <w:rPr>
                <w:rFonts w:hint="default" w:ascii="宋体" w:hAnsi="宋体" w:eastAsia="宋体" w:cs="宋体"/>
                <w:color w:val="auto"/>
                <w:spacing w:val="0"/>
                <w:sz w:val="21"/>
                <w:szCs w:val="21"/>
                <w:highlight w:val="none"/>
                <w:u w:val="none"/>
                <w:lang w:val="en-US" w:eastAsia="zh-CN" w:bidi="ar-SA"/>
              </w:rPr>
              <w:t xml:space="preserve">量费用的100%;</w:t>
            </w:r>
            <w:r/>
          </w:p>
          <w:p>
            <w:pPr>
              <w:jc w:val="both"/>
              <w:pageBreakBefore w:val="0"/>
              <w:spacing w:line="360" w:lineRule="auto"/>
              <w:widowControl w:val="off"/>
              <w:rPr>
                <w:rFonts w:hint="default" w:ascii="宋体" w:hAnsi="宋体" w:eastAsia="宋体" w:cs="宋体"/>
                <w:color w:val="auto"/>
                <w:spacing w:val="0"/>
                <w:sz w:val="21"/>
                <w:szCs w:val="21"/>
                <w:highlight w:val="none"/>
                <w:u w:val="none"/>
                <w:lang w:val="en-US" w:eastAsia="zh-CN" w:bidi="ar-SA"/>
              </w:rPr>
            </w:pPr>
            <w:r>
              <w:rPr>
                <w:rFonts w:hint="eastAsia" w:ascii="宋体" w:hAnsi="宋体" w:eastAsia="宋体" w:cs="宋体"/>
                <w:color w:val="auto"/>
                <w:spacing w:val="0"/>
                <w:sz w:val="21"/>
                <w:szCs w:val="21"/>
                <w:highlight w:val="none"/>
                <w:u w:val="none"/>
                <w:lang w:val="en-US" w:eastAsia="zh-CN" w:bidi="ar-SA"/>
              </w:rPr>
              <w:t xml:space="preserve">2</w:t>
            </w:r>
            <w:r>
              <w:rPr>
                <w:rFonts w:hint="default" w:ascii="宋体" w:hAnsi="宋体" w:eastAsia="宋体" w:cs="宋体"/>
                <w:color w:val="auto"/>
                <w:spacing w:val="0"/>
                <w:sz w:val="21"/>
                <w:szCs w:val="21"/>
                <w:highlight w:val="none"/>
                <w:u w:val="none"/>
                <w:lang w:val="en-US" w:eastAsia="zh-CN" w:bidi="ar-SA"/>
              </w:rPr>
              <w:t xml:space="preserve">、85分</w:t>
            </w:r>
            <w:r>
              <w:rPr>
                <w:rFonts w:hint="eastAsia" w:ascii="宋体" w:hAnsi="宋体" w:eastAsia="宋体" w:cs="宋体"/>
                <w:color w:val="auto"/>
                <w:spacing w:val="0"/>
                <w:sz w:val="21"/>
                <w:szCs w:val="21"/>
                <w:highlight w:val="none"/>
                <w:u w:val="none"/>
                <w:lang w:val="en-US" w:eastAsia="zh-CN" w:bidi="ar-SA"/>
              </w:rPr>
              <w:t xml:space="preserve">（含85分）</w:t>
            </w:r>
            <w:r>
              <w:rPr>
                <w:rFonts w:hint="default" w:ascii="宋体" w:hAnsi="宋体" w:eastAsia="宋体" w:cs="宋体"/>
                <w:color w:val="auto"/>
                <w:spacing w:val="0"/>
                <w:sz w:val="21"/>
                <w:szCs w:val="21"/>
                <w:highlight w:val="none"/>
                <w:u w:val="none"/>
                <w:lang w:val="en-US" w:eastAsia="zh-CN" w:bidi="ar-SA"/>
              </w:rPr>
              <w:t xml:space="preserve">--89分：支付已完</w:t>
            </w:r>
            <w:r>
              <w:rPr>
                <w:rFonts w:hint="eastAsia" w:ascii="宋体" w:hAnsi="宋体" w:eastAsia="宋体" w:cs="宋体"/>
                <w:color w:val="auto"/>
                <w:spacing w:val="0"/>
                <w:sz w:val="21"/>
                <w:szCs w:val="21"/>
                <w:highlight w:val="none"/>
                <w:u w:val="none"/>
                <w:lang w:val="en-US" w:eastAsia="zh-CN" w:bidi="ar-SA"/>
              </w:rPr>
              <w:t xml:space="preserve">工作</w:t>
            </w:r>
            <w:r>
              <w:rPr>
                <w:rFonts w:hint="default" w:ascii="宋体" w:hAnsi="宋体" w:eastAsia="宋体" w:cs="宋体"/>
                <w:color w:val="auto"/>
                <w:spacing w:val="0"/>
                <w:sz w:val="21"/>
                <w:szCs w:val="21"/>
                <w:highlight w:val="none"/>
                <w:u w:val="none"/>
                <w:lang w:val="en-US" w:eastAsia="zh-CN" w:bidi="ar-SA"/>
              </w:rPr>
              <w:t xml:space="preserve">量费用的90%,扣除的费用不予退还；</w:t>
            </w:r>
            <w:r/>
          </w:p>
          <w:p>
            <w:pPr>
              <w:jc w:val="both"/>
              <w:pageBreakBefore w:val="0"/>
              <w:spacing w:line="360" w:lineRule="auto"/>
              <w:widowControl w:val="off"/>
              <w:rPr>
                <w:rFonts w:hint="default" w:ascii="宋体" w:hAnsi="宋体" w:eastAsia="宋体" w:cs="宋体"/>
                <w:color w:val="000000" w:themeColor="text1"/>
                <w:spacing w:val="0"/>
                <w:sz w:val="21"/>
                <w:szCs w:val="21"/>
                <w:highlight w:val="none"/>
                <w:u w:val="none"/>
                <w:lang w:val="en-US" w:eastAsia="zh-CN" w:bidi="ar-SA"/>
                <w14:textFill>
                  <w14:solidFill>
                    <w14:schemeClr w14:val="tx1"/>
                  </w14:solidFill>
                </w14:textFill>
              </w:rPr>
            </w:pPr>
            <w:r>
              <w:rPr>
                <w:rFonts w:hint="eastAsia" w:ascii="宋体" w:hAnsi="宋体" w:eastAsia="宋体" w:cs="宋体"/>
                <w:color w:val="auto"/>
                <w:spacing w:val="0"/>
                <w:sz w:val="21"/>
                <w:szCs w:val="21"/>
                <w:highlight w:val="none"/>
                <w:u w:val="none"/>
                <w:lang w:val="en-US" w:eastAsia="zh-CN" w:bidi="ar-SA"/>
              </w:rPr>
              <w:t xml:space="preserve">3</w:t>
            </w:r>
            <w:r>
              <w:rPr>
                <w:rFonts w:hint="default" w:ascii="宋体" w:hAnsi="宋体" w:eastAsia="宋体" w:cs="宋体"/>
                <w:color w:val="auto"/>
                <w:spacing w:val="0"/>
                <w:sz w:val="21"/>
                <w:szCs w:val="21"/>
                <w:highlight w:val="none"/>
                <w:u w:val="none"/>
                <w:lang w:val="en-US" w:eastAsia="zh-CN" w:bidi="ar-SA"/>
              </w:rPr>
              <w:t xml:space="preserve">、80分</w:t>
            </w:r>
            <w:r>
              <w:rPr>
                <w:rFonts w:hint="eastAsia" w:ascii="宋体" w:hAnsi="宋体" w:eastAsia="宋体" w:cs="宋体"/>
                <w:color w:val="auto"/>
                <w:spacing w:val="0"/>
                <w:sz w:val="21"/>
                <w:szCs w:val="21"/>
                <w:highlight w:val="none"/>
                <w:u w:val="none"/>
                <w:lang w:val="en-US" w:eastAsia="zh-CN" w:bidi="ar-SA"/>
              </w:rPr>
              <w:t xml:space="preserve">（含80</w:t>
            </w:r>
            <w:r>
              <w:rPr>
                <w:rFonts w:hint="eastAsia" w:ascii="宋体" w:hAnsi="宋体" w:eastAsia="宋体" w:cs="宋体"/>
                <w:color w:val="000000" w:themeColor="text1"/>
                <w:spacing w:val="0"/>
                <w:sz w:val="21"/>
                <w:szCs w:val="21"/>
                <w:highlight w:val="none"/>
                <w:u w:val="none"/>
                <w:lang w:val="en-US" w:eastAsia="zh-CN" w:bidi="ar-SA"/>
                <w14:textFill>
                  <w14:solidFill>
                    <w14:schemeClr w14:val="tx1"/>
                  </w14:solidFill>
                </w14:textFill>
              </w:rPr>
              <w:t xml:space="preserve">分）</w:t>
            </w:r>
            <w:r>
              <w:rPr>
                <w:rFonts w:hint="default" w:ascii="宋体" w:hAnsi="宋体" w:eastAsia="宋体" w:cs="宋体"/>
                <w:color w:val="000000" w:themeColor="text1"/>
                <w:spacing w:val="0"/>
                <w:sz w:val="21"/>
                <w:szCs w:val="21"/>
                <w:highlight w:val="none"/>
                <w:u w:val="none"/>
                <w:lang w:val="en-US" w:eastAsia="zh-CN" w:bidi="ar-SA"/>
                <w14:textFill>
                  <w14:solidFill>
                    <w14:schemeClr w14:val="tx1"/>
                  </w14:solidFill>
                </w14:textFill>
              </w:rPr>
              <w:t xml:space="preserve">—84分：支付已完</w:t>
            </w:r>
            <w:r>
              <w:rPr>
                <w:rFonts w:hint="eastAsia" w:ascii="宋体" w:hAnsi="宋体" w:eastAsia="宋体" w:cs="宋体"/>
                <w:color w:val="000000" w:themeColor="text1"/>
                <w:spacing w:val="0"/>
                <w:sz w:val="21"/>
                <w:szCs w:val="21"/>
                <w:highlight w:val="none"/>
                <w:u w:val="none"/>
                <w:lang w:val="en-US" w:eastAsia="zh-CN" w:bidi="ar-SA"/>
                <w14:textFill>
                  <w14:solidFill>
                    <w14:schemeClr w14:val="tx1"/>
                  </w14:solidFill>
                </w14:textFill>
              </w:rPr>
              <w:t xml:space="preserve">工作</w:t>
            </w:r>
            <w:r>
              <w:rPr>
                <w:rFonts w:hint="default" w:ascii="宋体" w:hAnsi="宋体" w:eastAsia="宋体" w:cs="宋体"/>
                <w:color w:val="000000" w:themeColor="text1"/>
                <w:spacing w:val="0"/>
                <w:sz w:val="21"/>
                <w:szCs w:val="21"/>
                <w:highlight w:val="none"/>
                <w:u w:val="none"/>
                <w:lang w:val="en-US" w:eastAsia="zh-CN" w:bidi="ar-SA"/>
                <w14:textFill>
                  <w14:solidFill>
                    <w14:schemeClr w14:val="tx1"/>
                  </w14:solidFill>
                </w14:textFill>
              </w:rPr>
              <w:t xml:space="preserve">量费用的80%,扣除的费用不予退还；</w:t>
            </w:r>
            <w:r/>
          </w:p>
          <w:p>
            <w:pPr>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color w:val="000000" w:themeColor="text1"/>
                <w:spacing w:val="0"/>
                <w:sz w:val="21"/>
                <w:szCs w:val="21"/>
                <w:highlight w:val="none"/>
                <w:u w:val="none"/>
                <w:lang w:val="en-US" w:eastAsia="zh-CN" w:bidi="ar-SA"/>
                <w14:textFill>
                  <w14:solidFill>
                    <w14:schemeClr w14:val="tx1"/>
                  </w14:solidFill>
                </w14:textFill>
              </w:rPr>
              <w:t xml:space="preserve">4、</w:t>
            </w:r>
            <w:r>
              <w:rPr>
                <w:rFonts w:hint="eastAsia" w:ascii="宋体" w:hAnsi="宋体" w:eastAsia="宋体" w:cs="宋体"/>
                <w:color w:val="000000" w:themeColor="text1"/>
                <w:spacing w:val="0"/>
                <w:sz w:val="21"/>
                <w:szCs w:val="21"/>
                <w:highlight w:val="none"/>
                <w:u w:val="none"/>
                <w:lang w:val="zh-CN" w:eastAsia="zh-CN" w:bidi="ar-SA"/>
                <w14:textFill>
                  <w14:solidFill>
                    <w14:schemeClr w14:val="tx1"/>
                  </w14:solidFill>
                </w14:textFill>
              </w:rPr>
              <w:t xml:space="preserve">考核评分表作为考核依据，当分数低于</w:t>
            </w:r>
            <w:r>
              <w:rPr>
                <w:rFonts w:hint="eastAsia" w:ascii="宋体" w:hAnsi="宋体" w:eastAsia="宋体" w:cs="宋体"/>
                <w:color w:val="000000" w:themeColor="text1"/>
                <w:spacing w:val="0"/>
                <w:sz w:val="21"/>
                <w:szCs w:val="21"/>
                <w:highlight w:val="none"/>
                <w:u w:val="none"/>
                <w:lang w:val="en-US" w:eastAsia="zh-CN" w:bidi="ar-SA"/>
                <w14:textFill>
                  <w14:solidFill>
                    <w14:schemeClr w14:val="tx1"/>
                  </w14:solidFill>
                </w14:textFill>
              </w:rPr>
              <w:t xml:space="preserve">8</w:t>
            </w:r>
            <w:r>
              <w:rPr>
                <w:rFonts w:hint="eastAsia" w:ascii="宋体" w:hAnsi="宋体" w:eastAsia="宋体" w:cs="宋体"/>
                <w:color w:val="000000" w:themeColor="text1"/>
                <w:spacing w:val="0"/>
                <w:sz w:val="21"/>
                <w:szCs w:val="21"/>
                <w:highlight w:val="none"/>
                <w:u w:val="none"/>
                <w:lang w:val="zh-CN" w:eastAsia="zh-CN" w:bidi="ar-SA"/>
                <w14:textFill>
                  <w14:solidFill>
                    <w14:schemeClr w14:val="tx1"/>
                  </w14:solidFill>
                </w14:textFill>
              </w:rPr>
              <w:t xml:space="preserve">0分，</w:t>
            </w:r>
            <w:r>
              <w:rPr>
                <w:rFonts w:hint="eastAsia" w:ascii="宋体" w:hAnsi="宋体" w:eastAsia="宋体" w:cs="宋体"/>
                <w:color w:val="000000" w:themeColor="text1"/>
                <w:spacing w:val="0"/>
                <w:sz w:val="21"/>
                <w:szCs w:val="21"/>
                <w:highlight w:val="none"/>
                <w:u w:val="none"/>
                <w:lang w:val="en-US" w:eastAsia="zh-CN" w:bidi="ar-SA"/>
                <w14:textFill>
                  <w14:solidFill>
                    <w14:schemeClr w14:val="tx1"/>
                  </w14:solidFill>
                </w14:textFill>
              </w:rPr>
              <w:t xml:space="preserve">视为未通过考核，</w:t>
            </w:r>
            <w:r>
              <w:rPr>
                <w:rFonts w:hint="eastAsia" w:ascii="宋体" w:hAnsi="宋体" w:eastAsia="宋体" w:cs="宋体"/>
                <w:color w:val="000000" w:themeColor="text1"/>
                <w:spacing w:val="0"/>
                <w:sz w:val="21"/>
                <w:szCs w:val="21"/>
                <w:highlight w:val="none"/>
                <w:u w:val="none"/>
                <w:lang w:val="zh-CN" w:eastAsia="zh-CN" w:bidi="ar-SA"/>
                <w14:textFill>
                  <w14:solidFill>
                    <w14:schemeClr w14:val="tx1"/>
                  </w14:solidFill>
                </w14:textFill>
              </w:rPr>
              <w:t xml:space="preserve">甲方有权终止</w:t>
            </w:r>
            <w:r>
              <w:rPr>
                <w:rFonts w:hint="eastAsia" w:ascii="宋体" w:hAnsi="宋体" w:eastAsia="宋体" w:cs="宋体"/>
                <w:color w:val="auto"/>
                <w:spacing w:val="0"/>
                <w:sz w:val="21"/>
                <w:szCs w:val="21"/>
                <w:highlight w:val="none"/>
                <w:u w:val="none"/>
                <w:lang w:val="zh-CN" w:eastAsia="zh-CN" w:bidi="ar-SA"/>
              </w:rPr>
              <w:t xml:space="preserve">合同，</w:t>
            </w:r>
            <w:r>
              <w:rPr>
                <w:rFonts w:hint="eastAsia" w:ascii="宋体" w:hAnsi="宋体" w:eastAsia="宋体" w:cs="宋体"/>
                <w:color w:val="auto"/>
                <w:spacing w:val="0"/>
                <w:sz w:val="21"/>
                <w:szCs w:val="21"/>
                <w:highlight w:val="none"/>
                <w:u w:val="none"/>
                <w:lang w:val="en-US" w:eastAsia="zh-CN" w:bidi="ar-SA"/>
              </w:rPr>
              <w:t xml:space="preserve">乙方退还</w:t>
            </w:r>
            <w:r>
              <w:rPr>
                <w:rFonts w:hint="eastAsia" w:ascii="宋体" w:hAnsi="宋体" w:cs="宋体"/>
                <w:szCs w:val="21"/>
                <w:highlight w:val="none"/>
              </w:rPr>
              <w:t xml:space="preserve">所收取的全部费用</w:t>
            </w:r>
            <w:r>
              <w:rPr>
                <w:rFonts w:hint="eastAsia" w:ascii="宋体" w:hAnsi="宋体" w:eastAsia="宋体" w:cs="宋体"/>
                <w:color w:val="auto"/>
                <w:spacing w:val="0"/>
                <w:sz w:val="21"/>
                <w:szCs w:val="21"/>
                <w:highlight w:val="none"/>
                <w:u w:val="none"/>
                <w:lang w:val="zh-CN" w:eastAsia="zh-CN" w:bidi="ar-SA"/>
              </w:rPr>
              <w:t xml:space="preserve">。</w:t>
            </w:r>
            <w:r/>
          </w:p>
        </w:tc>
      </w:tr>
      <w:tr>
        <w:trPr>
          <w:trHeight w:val="1070"/>
        </w:trPr>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考核人意见（签字）</w:t>
            </w:r>
            <w:r/>
          </w:p>
        </w:tc>
        <w:tc>
          <w:tcPr>
            <w:gridSpan w:val="2"/>
            <w:tcBorders>
              <w:top w:val="single" w:color="000000" w:sz="4" w:space="0"/>
              <w:left w:val="single" w:color="000000" w:sz="4" w:space="0"/>
              <w:bottom w:val="single" w:color="000000" w:sz="4" w:space="0"/>
              <w:right w:val="single" w:color="000000" w:sz="4" w:space="0"/>
            </w:tcBorders>
            <w:tcW w:w="3687"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得分</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br w:type="page" w:clear="all"/>
      </w:r>
      <w:r/>
    </w:p>
    <w:p>
      <w:pPr>
        <w:jc w:val="center"/>
        <w:spacing w:line="360" w:lineRule="auto"/>
        <w:rPr>
          <w:color w:val="000000" w:themeColor="text1"/>
          <w:highlight w:val="none"/>
          <w:lang w:eastAsia="zh-CN"/>
          <w14:textFill>
            <w14:solidFill>
              <w14:schemeClr w14:val="tx1"/>
            </w14:solidFill>
          </w14:textFill>
        </w:rPr>
        <w:outlineLvl w:val="0"/>
      </w:pPr>
      <w:r>
        <w:rPr>
          <w:rFonts w:hint="eastAsia" w:ascii="宋体" w:hAnsi="宋体" w:eastAsia="宋体" w:cs="宋体"/>
          <w:b/>
          <w:color w:val="000000" w:themeColor="text1"/>
          <w:sz w:val="28"/>
          <w:szCs w:val="28"/>
          <w:highlight w:val="none"/>
          <w:lang w:val="zh-CN" w:eastAsia="zh-CN"/>
          <w14:textFill>
            <w14:solidFill>
              <w14:schemeClr w14:val="tx1"/>
            </w14:solidFill>
          </w14:textFill>
        </w:rPr>
        <w:t xml:space="preserve">第五章</w:t>
      </w:r>
      <w:r>
        <w:rPr>
          <w:rFonts w:hint="eastAsia" w:ascii="宋体" w:hAnsi="宋体" w:eastAsia="宋体" w:cs="宋体"/>
          <w:b/>
          <w:color w:val="000000" w:themeColor="text1"/>
          <w:sz w:val="28"/>
          <w:szCs w:val="28"/>
          <w:highlight w:val="none"/>
          <w:lang w:eastAsia="zh-CN"/>
          <w14:textFill>
            <w14:solidFill>
              <w14:schemeClr w14:val="tx1"/>
            </w14:solidFill>
          </w14:textFill>
        </w:rPr>
        <w:t xml:space="preserve"> </w:t>
      </w:r>
      <w:r>
        <w:rPr>
          <w:rFonts w:hint="eastAsia" w:ascii="宋体" w:hAnsi="宋体" w:eastAsia="宋体" w:cs="宋体"/>
          <w:b/>
          <w:color w:val="000000" w:themeColor="text1"/>
          <w:sz w:val="28"/>
          <w:szCs w:val="28"/>
          <w:highlight w:val="none"/>
          <w:lang w:val="zh-CN" w:eastAsia="zh-CN"/>
          <w14:textFill>
            <w14:solidFill>
              <w14:schemeClr w14:val="tx1"/>
            </w14:solidFill>
          </w14:textFill>
        </w:rPr>
        <w:t xml:space="preserve">合同草案条款及格式</w:t>
      </w:r>
      <w:bookmarkEnd w:id="138"/>
      <w:r/>
      <w:r/>
    </w:p>
    <w:p>
      <w:pPr>
        <w:ind w:left="118"/>
        <w:jc w:val="center"/>
        <w:rPr>
          <w:rFonts w:ascii="黑体" w:eastAsia="黑体"/>
          <w:color w:val="000000" w:themeColor="text1"/>
          <w:spacing w:val="-3"/>
          <w:sz w:val="52"/>
          <w:highlight w:val="none"/>
          <w:lang w:eastAsia="zh-CN"/>
          <w14:textFill>
            <w14:solidFill>
              <w14:schemeClr w14:val="tx1"/>
            </w14:solidFill>
          </w14:textFill>
        </w:rPr>
      </w:pPr>
      <w:r/>
      <w:bookmarkStart w:id="140" w:name="_bookmark10"/>
      <w:r/>
      <w:bookmarkEnd w:id="140"/>
      <w:r/>
      <w:r/>
    </w:p>
    <w:p>
      <w:pPr>
        <w:pStyle w:val="744"/>
        <w:ind w:left="440"/>
        <w:rPr>
          <w:rFonts w:ascii="黑体" w:hAnsi="宋体" w:eastAsia="黑体"/>
          <w:b/>
          <w:bCs/>
          <w:color w:val="000000" w:themeColor="text1"/>
          <w:sz w:val="44"/>
          <w:szCs w:val="44"/>
          <w:highlight w:val="none"/>
          <w:lang w:eastAsia="zh-CN"/>
          <w14:textFill>
            <w14:solidFill>
              <w14:schemeClr w14:val="tx1"/>
            </w14:solidFill>
          </w14:textFill>
        </w:rPr>
      </w:pPr>
      <w:r>
        <w:rPr>
          <w:rFonts w:ascii="黑体" w:hAnsi="宋体" w:eastAsia="黑体"/>
          <w:b/>
          <w:bCs/>
          <w:color w:val="000000" w:themeColor="text1"/>
          <w:sz w:val="44"/>
          <w:szCs w:val="44"/>
          <w:highlight w:val="none"/>
          <w:lang w:eastAsia="zh-CN"/>
          <w14:textFill>
            <w14:solidFill>
              <w14:schemeClr w14:val="tx1"/>
            </w14:solidFill>
          </w14:textFill>
        </w:rPr>
      </w:r>
      <w:r/>
    </w:p>
    <w:p>
      <w:pPr>
        <w:pStyle w:val="744"/>
        <w:ind w:left="440"/>
        <w:jc w:val="center"/>
        <w:rPr>
          <w:rFonts w:ascii="黑体" w:hAnsi="宋体" w:eastAsia="黑体"/>
          <w:b/>
          <w:bCs/>
          <w:color w:val="000000" w:themeColor="text1"/>
          <w:sz w:val="44"/>
          <w:szCs w:val="44"/>
          <w:highlight w:val="none"/>
          <w:lang w:eastAsia="zh-CN"/>
          <w14:textFill>
            <w14:solidFill>
              <w14:schemeClr w14:val="tx1"/>
            </w14:solidFill>
          </w14:textFill>
        </w:rPr>
      </w:pPr>
      <w:r>
        <w:rPr>
          <w:rFonts w:hint="eastAsia" w:ascii="黑体" w:hAnsi="宋体" w:eastAsia="黑体"/>
          <w:b/>
          <w:bCs/>
          <w:color w:val="000000" w:themeColor="text1"/>
          <w:sz w:val="44"/>
          <w:szCs w:val="44"/>
          <w:highlight w:val="none"/>
          <w:lang w:eastAsia="zh-CN"/>
          <w14:textFill>
            <w14:solidFill>
              <w14:schemeClr w14:val="tx1"/>
            </w14:solidFill>
          </w14:textFill>
        </w:rPr>
        <w:t xml:space="preserve">南京市政府采购合同</w:t>
      </w:r>
      <w:r/>
    </w:p>
    <w:p>
      <w:pPr>
        <w:rPr>
          <w:rFonts w:ascii="宋体" w:hAnsi="宋体"/>
          <w:color w:val="000000" w:themeColor="text1"/>
          <w:highlight w:val="none"/>
          <w:lang w:eastAsia="zh-CN"/>
          <w14:textFill>
            <w14:solidFill>
              <w14:schemeClr w14:val="tx1"/>
            </w14:solidFill>
          </w14:textFill>
        </w:rPr>
      </w:pPr>
      <w:r>
        <w:rPr>
          <w:rFonts w:ascii="宋体" w:hAnsi="宋体"/>
          <w:color w:val="000000" w:themeColor="text1"/>
          <w:highlight w:val="none"/>
          <w:lang w:eastAsia="zh-CN"/>
          <w14:textFill>
            <w14:solidFill>
              <w14:schemeClr w14:val="tx1"/>
            </w14:solidFill>
          </w14:textFill>
        </w:rPr>
      </w:r>
      <w:r/>
    </w:p>
    <w:p>
      <w:pPr>
        <w:rPr>
          <w:rFonts w:ascii="宋体" w:hAnsi="宋体"/>
          <w:color w:val="000000" w:themeColor="text1"/>
          <w:highlight w:val="none"/>
          <w:lang w:eastAsia="zh-CN"/>
          <w14:textFill>
            <w14:solidFill>
              <w14:schemeClr w14:val="tx1"/>
            </w14:solidFill>
          </w14:textFill>
        </w:rPr>
      </w:pPr>
      <w:r>
        <w:rPr>
          <w:rFonts w:ascii="宋体" w:hAnsi="宋体"/>
          <w:color w:val="000000" w:themeColor="text1"/>
          <w:highlight w:val="none"/>
          <w:lang w:eastAsia="zh-CN"/>
          <w14:textFill>
            <w14:solidFill>
              <w14:schemeClr w14:val="tx1"/>
            </w14:solidFill>
          </w14:textFill>
        </w:rPr>
      </w:r>
      <w:r/>
    </w:p>
    <w:p>
      <w:pPr>
        <w:rPr>
          <w:rFonts w:ascii="宋体" w:hAnsi="宋体"/>
          <w:color w:val="000000" w:themeColor="text1"/>
          <w:highlight w:val="none"/>
          <w:lang w:eastAsia="zh-CN"/>
          <w14:textFill>
            <w14:solidFill>
              <w14:schemeClr w14:val="tx1"/>
            </w14:solidFill>
          </w14:textFill>
        </w:rPr>
      </w:pPr>
      <w:r>
        <w:rPr>
          <w:rFonts w:ascii="宋体" w:hAnsi="宋体"/>
          <w:color w:val="000000" w:themeColor="text1"/>
          <w:highlight w:val="none"/>
          <w:lang w:eastAsia="zh-CN"/>
          <w14:textFill>
            <w14:solidFill>
              <w14:schemeClr w14:val="tx1"/>
            </w14:solidFill>
          </w14:textFill>
        </w:rPr>
      </w:r>
      <w:r/>
    </w:p>
    <w:p>
      <w:pPr>
        <w:rPr>
          <w:rFonts w:ascii="宋体" w:hAnsi="宋体"/>
          <w:b/>
          <w:color w:val="000000" w:themeColor="text1"/>
          <w:highlight w:val="none"/>
          <w:lang w:eastAsia="zh-CN"/>
          <w14:textFill>
            <w14:solidFill>
              <w14:schemeClr w14:val="tx1"/>
            </w14:solidFill>
          </w14:textFill>
        </w:rPr>
      </w:pPr>
      <w:r>
        <w:rPr>
          <w:rFonts w:ascii="宋体" w:hAnsi="宋体"/>
          <w:b/>
          <w:color w:val="000000" w:themeColor="text1"/>
          <w:highlight w:val="none"/>
          <w:lang w:eastAsia="zh-CN"/>
          <w14:textFill>
            <w14:solidFill>
              <w14:schemeClr w14:val="tx1"/>
            </w14:solidFill>
          </w14:textFill>
        </w:rPr>
      </w:r>
      <w:r/>
    </w:p>
    <w:p>
      <w:pPr>
        <w:rPr>
          <w:rFonts w:ascii="宋体" w:hAnsi="宋体"/>
          <w:b/>
          <w:color w:val="000000" w:themeColor="text1"/>
          <w:highlight w:val="none"/>
          <w:lang w:eastAsia="zh-CN"/>
          <w14:textFill>
            <w14:solidFill>
              <w14:schemeClr w14:val="tx1"/>
            </w14:solidFill>
          </w14:textFill>
        </w:rPr>
      </w:pPr>
      <w:r>
        <w:rPr>
          <w:rFonts w:ascii="宋体" w:hAnsi="宋体"/>
          <w:b/>
          <w:color w:val="000000" w:themeColor="text1"/>
          <w:highlight w:val="none"/>
          <w:lang w:eastAsia="zh-CN"/>
          <w14:textFill>
            <w14:solidFill>
              <w14:schemeClr w14:val="tx1"/>
            </w14:solidFill>
          </w14:textFill>
        </w:rPr>
      </w:r>
      <w:r/>
    </w:p>
    <w:p>
      <w:pPr>
        <w:rPr>
          <w:rFonts w:ascii="宋体" w:hAnsi="宋体"/>
          <w:b/>
          <w:color w:val="000000" w:themeColor="text1"/>
          <w:highlight w:val="none"/>
          <w:lang w:eastAsia="zh-CN"/>
          <w14:textFill>
            <w14:solidFill>
              <w14:schemeClr w14:val="tx1"/>
            </w14:solidFill>
          </w14:textFill>
        </w:rPr>
      </w:pPr>
      <w:r>
        <w:rPr>
          <w:rFonts w:ascii="宋体" w:hAnsi="宋体"/>
          <w:b/>
          <w:color w:val="000000" w:themeColor="text1"/>
          <w:highlight w:val="none"/>
          <w:lang w:eastAsia="zh-CN"/>
          <w14:textFill>
            <w14:solidFill>
              <w14:schemeClr w14:val="tx1"/>
            </w14:solidFill>
          </w14:textFill>
        </w:rPr>
      </w:r>
      <w:r/>
    </w:p>
    <w:p>
      <w:pPr>
        <w:rPr>
          <w:rFonts w:ascii="宋体" w:hAnsi="宋体"/>
          <w:b/>
          <w:color w:val="000000" w:themeColor="text1"/>
          <w:highlight w:val="none"/>
          <w:lang w:eastAsia="zh-CN"/>
          <w14:textFill>
            <w14:solidFill>
              <w14:schemeClr w14:val="tx1"/>
            </w14:solidFill>
          </w14:textFill>
        </w:rPr>
      </w:pPr>
      <w:r>
        <w:rPr>
          <w:rFonts w:ascii="宋体" w:hAnsi="宋体"/>
          <w:b/>
          <w:color w:val="000000" w:themeColor="text1"/>
          <w:highlight w:val="none"/>
          <w:lang w:eastAsia="zh-CN"/>
          <w14:textFill>
            <w14:solidFill>
              <w14:schemeClr w14:val="tx1"/>
            </w14:solidFill>
          </w14:textFill>
        </w:rPr>
      </w:r>
      <w:r/>
    </w:p>
    <w:p>
      <w:pPr>
        <w:rPr>
          <w:rFonts w:ascii="宋体" w:hAnsi="宋体"/>
          <w:b/>
          <w:color w:val="000000" w:themeColor="text1"/>
          <w:highlight w:val="none"/>
          <w:lang w:eastAsia="zh-CN"/>
          <w14:textFill>
            <w14:solidFill>
              <w14:schemeClr w14:val="tx1"/>
            </w14:solidFill>
          </w14:textFill>
        </w:rPr>
      </w:pPr>
      <w:r>
        <w:rPr>
          <w:rFonts w:ascii="宋体" w:hAnsi="宋体"/>
          <w:b/>
          <w:color w:val="000000" w:themeColor="text1"/>
          <w:highlight w:val="none"/>
          <w:lang w:eastAsia="zh-CN"/>
          <w14:textFill>
            <w14:solidFill>
              <w14:schemeClr w14:val="tx1"/>
            </w14:solidFill>
          </w14:textFill>
        </w:rPr>
      </w:r>
      <w:r/>
    </w:p>
    <w:p>
      <w:pPr>
        <w:rPr>
          <w:rFonts w:ascii="宋体" w:hAnsi="宋体"/>
          <w:b/>
          <w:color w:val="000000" w:themeColor="text1"/>
          <w:highlight w:val="none"/>
          <w:lang w:eastAsia="zh-CN"/>
          <w14:textFill>
            <w14:solidFill>
              <w14:schemeClr w14:val="tx1"/>
            </w14:solidFill>
          </w14:textFill>
        </w:rPr>
      </w:pPr>
      <w:r>
        <w:rPr>
          <w:rFonts w:ascii="宋体" w:hAnsi="宋体"/>
          <w:b/>
          <w:color w:val="000000" w:themeColor="text1"/>
          <w:highlight w:val="none"/>
          <w:lang w:eastAsia="zh-CN"/>
          <w14:textFill>
            <w14:solidFill>
              <w14:schemeClr w14:val="tx1"/>
            </w14:solidFill>
          </w14:textFill>
        </w:rPr>
      </w:r>
      <w:r/>
    </w:p>
    <w:p>
      <w:pPr>
        <w:rPr>
          <w:rFonts w:ascii="宋体" w:hAnsi="宋体"/>
          <w:b/>
          <w:color w:val="000000" w:themeColor="text1"/>
          <w:highlight w:val="none"/>
          <w:lang w:eastAsia="zh-CN"/>
          <w14:textFill>
            <w14:solidFill>
              <w14:schemeClr w14:val="tx1"/>
            </w14:solidFill>
          </w14:textFill>
        </w:rPr>
      </w:pPr>
      <w:r>
        <w:rPr>
          <w:rFonts w:ascii="宋体" w:hAnsi="宋体"/>
          <w:b/>
          <w:color w:val="000000" w:themeColor="text1"/>
          <w:highlight w:val="none"/>
          <w:lang w:eastAsia="zh-CN"/>
          <w14:textFill>
            <w14:solidFill>
              <w14:schemeClr w14:val="tx1"/>
            </w14:solidFill>
          </w14:textFill>
        </w:rPr>
      </w:r>
      <w:r/>
    </w:p>
    <w:p>
      <w:pPr>
        <w:ind w:firstLine="964"/>
        <w:spacing w:line="900" w:lineRule="exact"/>
        <w:rPr>
          <w:rFonts w:ascii="宋体" w:hAnsi="宋体"/>
          <w:b/>
          <w:color w:val="000000" w:themeColor="text1"/>
          <w:sz w:val="28"/>
          <w:szCs w:val="28"/>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 xml:space="preserve">项目编号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p>
    <w:p>
      <w:pPr>
        <w:ind w:left="2502" w:hanging="2493"/>
        <w:spacing w:line="900" w:lineRule="exact"/>
        <w:rPr>
          <w:rFonts w:ascii="宋体" w:hAnsi="宋体"/>
          <w:b/>
          <w:color w:val="000000" w:themeColor="text1"/>
          <w:sz w:val="24"/>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 xml:space="preserve">       项目名称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rPr>
          <w:rFonts w:hint="eastAsia" w:ascii="宋体" w:hAnsi="宋体" w:eastAsiaTheme="minorEastAsia"/>
          <w:b/>
          <w:color w:val="000000" w:themeColor="text1"/>
          <w:sz w:val="28"/>
          <w:szCs w:val="28"/>
          <w:highlight w:val="none"/>
          <w:u w:val="single"/>
          <w:lang w:eastAsia="zh-CN"/>
          <w14:textFill>
            <w14:solidFill>
              <w14:schemeClr w14:val="tx1"/>
            </w14:solidFill>
          </w14:textFill>
        </w:rPr>
        <w:t xml:space="preserve">                              </w:t>
      </w:r>
      <w:r>
        <w:rPr>
          <w:rFonts w:ascii="宋体" w:hAnsi="宋体"/>
          <w:b/>
          <w:color w:val="000000" w:themeColor="text1"/>
          <w:sz w:val="28"/>
          <w:szCs w:val="28"/>
          <w:highlight w:val="none"/>
          <w:u w:val="single"/>
          <w:lang w:eastAsia="zh-CN"/>
          <w14:textFill>
            <w14:solidFill>
              <w14:schemeClr w14:val="tx1"/>
            </w14:solidFill>
          </w14:textFill>
        </w:rPr>
        <w:t xml:space="preserve"> </w:t>
      </w:r>
      <w:r/>
    </w:p>
    <w:p>
      <w:pPr>
        <w:ind w:firstLine="964"/>
        <w:spacing w:line="900" w:lineRule="exact"/>
        <w:rPr>
          <w:rFonts w:ascii="宋体" w:hAnsi="宋体"/>
          <w:b/>
          <w:color w:val="000000" w:themeColor="text1"/>
          <w:sz w:val="28"/>
          <w:szCs w:val="28"/>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 xml:space="preserve">采购单位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rPr>
          <w:rFonts w:hint="eastAsia" w:ascii="宋体" w:hAnsi="宋体" w:eastAsiaTheme="minorEastAsia"/>
          <w:b/>
          <w:color w:val="000000" w:themeColor="text1"/>
          <w:sz w:val="28"/>
          <w:szCs w:val="28"/>
          <w:highlight w:val="none"/>
          <w:u w:val="single"/>
          <w:lang w:eastAsia="zh-CN"/>
          <w14:textFill>
            <w14:solidFill>
              <w14:schemeClr w14:val="tx1"/>
            </w14:solidFill>
          </w14:textFill>
        </w:rPr>
        <w:t xml:space="preserve">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p>
    <w:p>
      <w:pPr>
        <w:ind w:firstLine="964"/>
        <w:spacing w:line="900" w:lineRule="exact"/>
        <w:rPr>
          <w:rFonts w:ascii="宋体" w:hAnsi="宋体"/>
          <w:b/>
          <w:color w:val="000000" w:themeColor="text1"/>
          <w:sz w:val="28"/>
          <w:szCs w:val="28"/>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val="en-US" w:eastAsia="zh-CN"/>
          <w14:textFill>
            <w14:solidFill>
              <w14:schemeClr w14:val="tx1"/>
            </w14:solidFill>
          </w14:textFill>
        </w:rPr>
        <w:t xml:space="preserve">成交</w:t>
      </w:r>
      <w:r>
        <w:rPr>
          <w:rFonts w:hint="eastAsia" w:ascii="宋体" w:hAnsi="宋体"/>
          <w:b/>
          <w:color w:val="000000" w:themeColor="text1"/>
          <w:sz w:val="28"/>
          <w:szCs w:val="28"/>
          <w:highlight w:val="none"/>
          <w:lang w:eastAsia="zh-CN"/>
          <w14:textFill>
            <w14:solidFill>
              <w14:schemeClr w14:val="tx1"/>
            </w14:solidFill>
          </w14:textFill>
        </w:rPr>
        <w:t xml:space="preserve">单位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p>
    <w:p>
      <w:pPr>
        <w:ind w:firstLine="964"/>
        <w:spacing w:line="900" w:lineRule="exact"/>
        <w:rPr>
          <w:rFonts w:ascii="宋体" w:hAnsi="宋体" w:eastAsiaTheme="minorEastAsia"/>
          <w:b/>
          <w:color w:val="000000" w:themeColor="text1"/>
          <w:sz w:val="28"/>
          <w:szCs w:val="28"/>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 xml:space="preserve">签订日期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rPr>
          <w:rFonts w:hint="eastAsia" w:ascii="宋体" w:hAnsi="宋体"/>
          <w:b/>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b/>
          <w:color w:val="000000" w:themeColor="text1"/>
          <w:sz w:val="28"/>
          <w:szCs w:val="28"/>
          <w:highlight w:val="none"/>
          <w:u w:val="single"/>
          <w:lang w:eastAsia="zh-CN"/>
          <w14:textFill>
            <w14:solidFill>
              <w14:schemeClr w14:val="tx1"/>
            </w14:solidFill>
          </w14:textFill>
        </w:rPr>
        <w:t xml:space="preserve">年   月    日          </w:t>
      </w:r>
      <w:r/>
    </w:p>
    <w:p>
      <w:pPr>
        <w:pStyle w:val="78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78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781"/>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br w:type="page" w:clear="all"/>
      </w:r>
      <w:r/>
    </w:p>
    <w:p>
      <w:pPr>
        <w:keepLines w:val="0"/>
        <w:keepNext w:val="0"/>
        <w:pageBreakBefore w:val="0"/>
        <w:spacing w:line="360" w:lineRule="auto"/>
        <w:widowControl w:val="off"/>
        <w:rPr>
          <w:rFonts w:hint="default" w:ascii="宋体" w:hAnsi="宋体" w:eastAsia="宋体" w:cs="宋体"/>
          <w:szCs w:val="21"/>
          <w:highlight w:val="none"/>
          <w:u w:val="single"/>
          <w:lang w:val="en-US" w:eastAsia="zh-CN"/>
        </w:rPr>
      </w:pPr>
      <w:r>
        <w:rPr>
          <w:rFonts w:hint="eastAsia" w:ascii="宋体" w:hAnsi="宋体" w:cs="宋体"/>
          <w:szCs w:val="21"/>
          <w:highlight w:val="none"/>
        </w:rPr>
        <w:t xml:space="preserve">采购人（以下称甲方）：</w:t>
      </w:r>
      <w:r>
        <w:rPr>
          <w:rFonts w:hint="eastAsia" w:ascii="宋体" w:hAnsi="宋体" w:cs="宋体"/>
          <w:szCs w:val="21"/>
          <w:highlight w:val="none"/>
          <w:u w:val="single"/>
          <w:lang w:val="en-US" w:eastAsia="zh-CN"/>
        </w:rPr>
        <w:t xml:space="preserve">                   </w:t>
      </w:r>
      <w:r/>
    </w:p>
    <w:p>
      <w:pPr>
        <w:spacing w:line="360" w:lineRule="auto"/>
        <w:rPr>
          <w:rFonts w:hint="default" w:ascii="宋体" w:hAnsi="宋体" w:eastAsia="宋体" w:cs="宋体"/>
          <w:szCs w:val="21"/>
          <w:highlight w:val="none"/>
          <w:u w:val="single"/>
          <w:lang w:val="en-US" w:eastAsia="zh-CN"/>
        </w:rPr>
      </w:pPr>
      <w:r>
        <w:rPr>
          <w:rFonts w:hint="eastAsia" w:ascii="宋体" w:hAnsi="宋体" w:cs="宋体"/>
          <w:szCs w:val="21"/>
          <w:highlight w:val="none"/>
        </w:rPr>
        <w:t xml:space="preserve">地址：</w:t>
      </w:r>
      <w:r>
        <w:rPr>
          <w:rFonts w:hint="eastAsia" w:ascii="宋体" w:hAnsi="宋体" w:cs="宋体"/>
          <w:szCs w:val="21"/>
          <w:highlight w:val="none"/>
          <w:u w:val="single"/>
          <w:lang w:val="en-US" w:eastAsia="zh-CN"/>
        </w:rPr>
        <w:t xml:space="preserve">                                   </w:t>
      </w:r>
      <w:r/>
    </w:p>
    <w:p>
      <w:pPr>
        <w:spacing w:line="360" w:lineRule="auto"/>
        <w:rPr>
          <w:rFonts w:hint="default" w:ascii="宋体" w:hAnsi="宋体" w:eastAsia="宋体" w:cs="宋体"/>
          <w:szCs w:val="21"/>
          <w:highlight w:val="none"/>
          <w:u w:val="single"/>
          <w:lang w:val="en-US" w:eastAsia="zh-CN"/>
        </w:rPr>
      </w:pPr>
      <w:r>
        <w:rPr>
          <w:rFonts w:hint="eastAsia" w:ascii="宋体" w:hAnsi="宋体" w:cs="宋体"/>
          <w:szCs w:val="21"/>
          <w:highlight w:val="none"/>
        </w:rPr>
        <w:t xml:space="preserve">供应商（以下称乙方）：</w:t>
      </w:r>
      <w:r>
        <w:rPr>
          <w:rFonts w:hint="eastAsia" w:ascii="宋体" w:hAnsi="宋体" w:cs="宋体"/>
          <w:szCs w:val="21"/>
          <w:highlight w:val="none"/>
          <w:u w:val="single"/>
          <w:lang w:val="en-US" w:eastAsia="zh-CN"/>
        </w:rPr>
        <w:t xml:space="preserve">                   </w:t>
      </w:r>
      <w:r/>
    </w:p>
    <w:p>
      <w:pPr>
        <w:spacing w:line="360" w:lineRule="auto"/>
        <w:rPr>
          <w:rFonts w:hint="default" w:ascii="宋体" w:hAnsi="宋体" w:eastAsia="宋体" w:cs="宋体"/>
          <w:szCs w:val="21"/>
          <w:highlight w:val="none"/>
          <w:u w:val="single"/>
          <w:lang w:val="en-US" w:eastAsia="zh-CN"/>
        </w:rPr>
      </w:pPr>
      <w:r>
        <w:rPr>
          <w:rFonts w:hint="eastAsia" w:ascii="宋体" w:hAnsi="宋体" w:cs="宋体"/>
          <w:szCs w:val="21"/>
          <w:highlight w:val="none"/>
        </w:rPr>
        <w:t xml:space="preserve">地址：</w:t>
      </w:r>
      <w:r>
        <w:rPr>
          <w:rFonts w:hint="eastAsia" w:ascii="宋体" w:hAnsi="宋体" w:cs="宋体"/>
          <w:szCs w:val="21"/>
          <w:highlight w:val="none"/>
          <w:u w:val="single"/>
          <w:lang w:val="en-US" w:eastAsia="zh-CN"/>
        </w:rPr>
        <w:t xml:space="preserve">                                   </w:t>
      </w:r>
      <w:r/>
    </w:p>
    <w:p>
      <w:pPr>
        <w:ind w:firstLine="440"/>
        <w:jc w:val="left"/>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4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根据《中华人民共和国政府采购法》、《中华人民共和国</w:t>
      </w:r>
      <w:r>
        <w:rPr>
          <w:rFonts w:hint="eastAsia" w:ascii="宋体" w:hAnsi="宋体" w:cs="宋体"/>
          <w:color w:val="auto"/>
          <w:szCs w:val="21"/>
          <w:highlight w:val="none"/>
          <w:lang w:val="en-US" w:eastAsia="zh-CN"/>
        </w:rPr>
        <w:t xml:space="preserve">民法典</w:t>
      </w:r>
      <w:r>
        <w:rPr>
          <w:rFonts w:hint="eastAsia" w:ascii="宋体" w:hAnsi="宋体" w:cs="宋体"/>
          <w:color w:val="auto"/>
          <w:szCs w:val="21"/>
          <w:highlight w:val="none"/>
        </w:rPr>
        <w:t xml:space="preserve">》等法律法规的规定，甲乙双方按照招标代理的采购结果签订本合同。</w:t>
      </w:r>
      <w:r/>
    </w:p>
    <w:p>
      <w:pPr>
        <w:ind w:firstLine="44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1.项目概况</w:t>
      </w:r>
      <w:r/>
    </w:p>
    <w:p>
      <w:pPr>
        <w:ind w:firstLine="440"/>
        <w:spacing w:line="360" w:lineRule="auto"/>
        <w:rPr>
          <w:rFonts w:hint="default" w:ascii="宋体" w:hAnsi="宋体" w:eastAsia="宋体" w:cs="宋体"/>
          <w:color w:val="auto"/>
          <w:highlight w:val="none"/>
          <w:u w:val="single"/>
          <w:lang w:val="en-US" w:eastAsia="zh-CN"/>
        </w:rPr>
      </w:pPr>
      <w:r>
        <w:rPr>
          <w:rFonts w:hint="eastAsia" w:ascii="宋体" w:hAnsi="宋体" w:cs="宋体"/>
          <w:color w:val="auto"/>
          <w:szCs w:val="21"/>
          <w:highlight w:val="none"/>
        </w:rPr>
        <w:t xml:space="preserve">1.1 项目名称：</w:t>
      </w:r>
      <w:r>
        <w:rPr>
          <w:rFonts w:hint="eastAsia" w:ascii="宋体" w:hAnsi="宋体" w:cs="宋体"/>
          <w:color w:val="auto"/>
          <w:szCs w:val="21"/>
          <w:highlight w:val="none"/>
          <w:u w:val="single"/>
          <w:lang w:val="en-US" w:eastAsia="zh-CN"/>
        </w:rPr>
        <w:t xml:space="preserve">                     </w:t>
      </w:r>
      <w:r/>
    </w:p>
    <w:p>
      <w:pPr>
        <w:ind w:firstLine="440"/>
        <w:spacing w:line="360" w:lineRule="auto"/>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 xml:space="preserve">1.2 项目地点：</w:t>
      </w:r>
      <w:r>
        <w:rPr>
          <w:rFonts w:hint="eastAsia" w:ascii="宋体" w:hAnsi="宋体" w:cs="宋体"/>
          <w:color w:val="auto"/>
          <w:szCs w:val="21"/>
          <w:highlight w:val="none"/>
          <w:u w:val="single"/>
          <w:lang w:val="en-US" w:eastAsia="zh-CN"/>
        </w:rPr>
        <w:t xml:space="preserve">                     </w:t>
      </w:r>
      <w:r/>
    </w:p>
    <w:p>
      <w:pPr>
        <w:ind w:firstLine="440"/>
        <w:spacing w:line="360" w:lineRule="auto"/>
        <w:rPr>
          <w:rFonts w:hint="eastAsia" w:ascii="宋体" w:hAnsi="宋体" w:cs="宋体"/>
          <w:color w:val="auto"/>
          <w:highlight w:val="none"/>
        </w:rPr>
      </w:pPr>
      <w:r>
        <w:rPr>
          <w:rFonts w:hint="eastAsia" w:ascii="宋体" w:hAnsi="宋体" w:cs="宋体"/>
          <w:color w:val="auto"/>
          <w:highlight w:val="none"/>
        </w:rPr>
        <w:t xml:space="preserve">1.3 项目内容：分别完成4个地块的水文地质勘察、补充调查（含方案制定、现场钻探及采样、样品处理与检测）、污染物入江风险评估</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人体健康风险评估</w:t>
      </w:r>
      <w:r>
        <w:rPr>
          <w:rFonts w:hint="eastAsia" w:ascii="宋体" w:hAnsi="宋体" w:cs="宋体"/>
          <w:color w:val="auto"/>
          <w:highlight w:val="none"/>
        </w:rPr>
        <w:t xml:space="preserve">、风险评估报告编制、专家评审及修改、备案等内容。</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1.4 合同总价：￥</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元（大写：人民币</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元）。</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供应商完成（</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highlight w:val="none"/>
        </w:rPr>
        <w:t xml:space="preserve">项目</w:t>
      </w:r>
      <w:r>
        <w:rPr>
          <w:rFonts w:hint="eastAsia" w:ascii="宋体" w:hAnsi="宋体" w:cs="宋体"/>
          <w:color w:val="auto"/>
          <w:szCs w:val="21"/>
          <w:highlight w:val="none"/>
          <w:lang w:val="zh-CN"/>
        </w:rPr>
        <w:t xml:space="preserve">工作；（2）价格应包括供应商为完成相关服务所承担的全部费用含人员经费、人员保险费等相关费用、以及在服务过程中发生的市场风险等一切费用。不论其在磋商文件中是否有提及。</w:t>
      </w:r>
      <w:r/>
    </w:p>
    <w:p>
      <w:pPr>
        <w:ind w:firstLine="44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2．定义</w:t>
      </w:r>
      <w:r/>
    </w:p>
    <w:p>
      <w:pPr>
        <w:ind w:firstLine="44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l“合同”系指甲方和乙方（以下简称合同双方）签署的、合同格式中列明的合同双方所达成的协议，包括所有的附件、附录、磋商文件、磋商响应文件全部内容及对磋商文件书面修正、澄清的内容等以及构成合同的所有文件。</w:t>
      </w:r>
      <w:r/>
    </w:p>
    <w:p>
      <w:pPr>
        <w:ind w:firstLine="44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2.2“合同价格”系指根据合同规定，在乙方全面正确地履行合同义务后甲方应支付给乙方的价格。</w:t>
      </w:r>
      <w:r/>
    </w:p>
    <w:p>
      <w:pPr>
        <w:ind w:firstLine="44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2.3“甲方”系指采购人。</w:t>
      </w:r>
      <w:r/>
    </w:p>
    <w:p>
      <w:pPr>
        <w:ind w:firstLine="44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2.4“乙方”系指成交供应商。</w:t>
      </w:r>
      <w:r/>
    </w:p>
    <w:p>
      <w:pPr>
        <w:ind w:firstLine="44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3．适用范围</w:t>
      </w:r>
      <w:r/>
    </w:p>
    <w:p>
      <w:pPr>
        <w:ind w:firstLine="44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3.l本合同条款适用于本次采购项目。</w:t>
      </w:r>
      <w:r/>
    </w:p>
    <w:p>
      <w:pPr>
        <w:ind w:firstLine="44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4.项目工期及付款周期；</w:t>
      </w:r>
      <w:r/>
    </w:p>
    <w:p>
      <w:pPr>
        <w:ind w:firstLine="44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4.1项目工期</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项目总工期：90天</w:t>
      </w:r>
      <w:r/>
    </w:p>
    <w:p>
      <w:pPr>
        <w:ind w:firstLine="44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第一阶段：前60天内完成补充调查采样，出具土壤污染风险评估报告；</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第二阶段：后30天内完成风险评估报告省级评审工作。</w:t>
      </w:r>
      <w:r/>
    </w:p>
    <w:p>
      <w:pPr>
        <w:ind w:firstLine="440"/>
        <w:spacing w:line="360" w:lineRule="auto"/>
        <w:rPr>
          <w:rFonts w:hint="eastAsia" w:ascii="宋体" w:hAnsi="宋体" w:eastAsia="宋体"/>
          <w:color w:val="auto"/>
          <w:highlight w:val="none"/>
          <w:lang w:eastAsia="zh-CN"/>
        </w:rPr>
      </w:pPr>
      <w:r>
        <w:rPr>
          <w:rFonts w:hint="eastAsia" w:ascii="宋体" w:hAnsi="宋体" w:cs="宋体"/>
          <w:color w:val="auto"/>
          <w:szCs w:val="21"/>
          <w:highlight w:val="none"/>
          <w:lang w:val="en-US" w:eastAsia="zh-CN"/>
        </w:rPr>
        <w:t xml:space="preserve">4.2</w:t>
      </w:r>
      <w:r>
        <w:rPr>
          <w:rFonts w:hint="eastAsia" w:ascii="宋体" w:hAnsi="宋体"/>
          <w:color w:val="auto"/>
          <w:szCs w:val="21"/>
          <w:highlight w:val="none"/>
        </w:rPr>
        <w:t xml:space="preserve">本合同项下所有款项均以人民币支付，后期</w:t>
      </w:r>
      <w:r>
        <w:rPr>
          <w:rFonts w:hint="eastAsia" w:ascii="宋体" w:hAnsi="宋体"/>
          <w:color w:val="auto"/>
          <w:highlight w:val="none"/>
        </w:rPr>
        <w:t xml:space="preserve">结算价款=合同价款-考核扣款</w:t>
      </w:r>
      <w:r>
        <w:rPr>
          <w:rFonts w:hint="eastAsia" w:ascii="宋体" w:hAnsi="宋体"/>
          <w:color w:val="auto"/>
          <w:highlight w:val="none"/>
          <w:lang w:eastAsia="zh-CN"/>
        </w:rPr>
        <w:t xml:space="preserve">（具体考核标准见附件）</w:t>
      </w:r>
      <w:r/>
    </w:p>
    <w:p>
      <w:pPr>
        <w:ind w:firstLine="440"/>
        <w:spacing w:line="360" w:lineRule="auto"/>
        <w:rPr>
          <w:rFonts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付款周期</w:t>
      </w:r>
      <w:r/>
    </w:p>
    <w:p>
      <w:pPr>
        <w:ind w:firstLine="44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第一阶段：签订协议后</w:t>
      </w:r>
      <w:r>
        <w:rPr>
          <w:rFonts w:hint="eastAsia" w:ascii="宋体" w:hAnsi="宋体" w:eastAsia="宋体" w:cs="宋体"/>
          <w:color w:val="auto"/>
          <w:szCs w:val="21"/>
          <w:highlight w:val="none"/>
          <w:lang w:val="en-US" w:eastAsia="zh-CN"/>
        </w:rPr>
        <w:t xml:space="preserve">30</w:t>
      </w:r>
      <w:r>
        <w:rPr>
          <w:rFonts w:hint="eastAsia" w:ascii="宋体" w:hAnsi="宋体" w:cs="宋体"/>
          <w:color w:val="auto"/>
          <w:szCs w:val="21"/>
          <w:highlight w:val="none"/>
        </w:rPr>
        <w:t xml:space="preserve">个工作日内，支付首付款，即约定</w:t>
      </w:r>
      <w:r>
        <w:rPr>
          <w:rFonts w:hint="eastAsia" w:ascii="宋体" w:hAnsi="宋体" w:eastAsia="宋体" w:cs="宋体"/>
          <w:color w:val="auto"/>
          <w:szCs w:val="21"/>
          <w:highlight w:val="none"/>
          <w:lang w:val="en-US" w:eastAsia="zh-CN"/>
        </w:rPr>
        <w:t xml:space="preserve">合同价</w:t>
      </w:r>
      <w:r>
        <w:rPr>
          <w:rFonts w:hint="eastAsia" w:ascii="宋体" w:hAnsi="宋体" w:cs="宋体"/>
          <w:color w:val="auto"/>
          <w:szCs w:val="21"/>
          <w:highlight w:val="none"/>
        </w:rPr>
        <w:t xml:space="preserve">总额的30%；</w:t>
      </w:r>
      <w:r/>
    </w:p>
    <w:p>
      <w:pPr>
        <w:ind w:firstLine="44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第二阶段：完成补充调查、出具土壤污染风险评估调查报告后</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30</w:t>
      </w:r>
      <w:r>
        <w:rPr>
          <w:rFonts w:hint="eastAsia" w:ascii="宋体" w:hAnsi="宋体" w:cs="宋体"/>
          <w:color w:val="000000" w:themeColor="text1"/>
          <w:szCs w:val="21"/>
          <w:highlight w:val="none"/>
          <w14:textFill>
            <w14:solidFill>
              <w14:schemeClr w14:val="tx1"/>
            </w14:solidFill>
          </w14:textFill>
        </w:rPr>
        <w:t xml:space="preserve">个工作日内，支付约定</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合同价</w:t>
      </w:r>
      <w:r>
        <w:rPr>
          <w:rFonts w:hint="eastAsia" w:ascii="宋体" w:hAnsi="宋体" w:cs="宋体"/>
          <w:color w:val="000000" w:themeColor="text1"/>
          <w:szCs w:val="21"/>
          <w:highlight w:val="none"/>
          <w14:textFill>
            <w14:solidFill>
              <w14:schemeClr w14:val="tx1"/>
            </w14:solidFill>
          </w14:textFill>
        </w:rPr>
        <w:t xml:space="preserve">总额的30%；</w:t>
      </w:r>
      <w:r/>
    </w:p>
    <w:p>
      <w:pPr>
        <w:ind w:firstLine="44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第三阶段：完成风险评估报告评审后</w:t>
      </w:r>
      <w:r>
        <w:rPr>
          <w:rFonts w:hint="eastAsia" w:ascii="宋体" w:hAnsi="宋体" w:cs="宋体"/>
          <w:color w:val="000000" w:themeColor="text1"/>
          <w:szCs w:val="21"/>
          <w:highlight w:val="none"/>
          <w:lang w:val="en-US" w:eastAsia="zh-CN"/>
          <w14:textFill>
            <w14:solidFill>
              <w14:schemeClr w14:val="tx1"/>
            </w14:solidFill>
          </w14:textFill>
        </w:rPr>
        <w:t xml:space="preserve">并通过甲方考核后，根据考核成绩按比例支付总价30%，未通过考核乙方返还全部已收费用；</w:t>
      </w:r>
      <w:r/>
    </w:p>
    <w:p>
      <w:pPr>
        <w:ind w:firstLine="44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第四阶段：质保期结束后支付剩余10%费用。</w:t>
      </w:r>
      <w:r/>
    </w:p>
    <w:p>
      <w:pPr>
        <w:ind w:firstLine="440"/>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质保期指从完成报告省级评审后1年</w:t>
      </w:r>
      <w:r>
        <w:rPr>
          <w:rFonts w:hint="eastAsia" w:eastAsia="宋体"/>
          <w:color w:val="000000" w:themeColor="text1"/>
          <w:highlight w:val="none"/>
          <w:lang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每次付款前，乙方需向甲方提供相应的增值税发票。</w:t>
      </w:r>
      <w:r/>
    </w:p>
    <w:p>
      <w:pPr>
        <w:ind w:firstLine="440"/>
        <w:spacing w:line="360" w:lineRule="auto"/>
        <w:rPr>
          <w:rFonts w:hint="eastAsia" w:ascii="宋体" w:hAnsi="宋体" w:cs="宋体"/>
          <w:b/>
          <w:szCs w:val="21"/>
          <w:highlight w:val="none"/>
        </w:rPr>
      </w:pPr>
      <w:r>
        <w:rPr>
          <w:rFonts w:hint="eastAsia" w:ascii="宋体" w:hAnsi="宋体" w:cs="宋体"/>
          <w:b/>
          <w:szCs w:val="21"/>
          <w:highlight w:val="none"/>
        </w:rPr>
        <w:t xml:space="preserve">5．甲方权利义务</w:t>
      </w:r>
      <w:r/>
    </w:p>
    <w:p>
      <w:p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5.1甲方配合提供相应基础资料。</w:t>
      </w:r>
      <w:r/>
    </w:p>
    <w:p>
      <w:p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5.2负责与有关部门的联系和协调。</w:t>
      </w:r>
      <w:r/>
    </w:p>
    <w:p>
      <w:p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5.3及时支付服务费用。</w:t>
      </w:r>
      <w:r/>
    </w:p>
    <w:p>
      <w:p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5.4甲方有权将不符合服务要求的人员退给乙方，乙方需及时更换合格人员。</w:t>
      </w:r>
      <w:r/>
    </w:p>
    <w:p>
      <w:pPr>
        <w:ind w:firstLine="420"/>
        <w:jc w:val="left"/>
        <w:spacing w:line="360" w:lineRule="auto"/>
        <w:shd w:val="clear" w:color="auto" w:fill="ffffff"/>
        <w:widowControl/>
        <w:rPr>
          <w:rFonts w:hint="eastAsia" w:ascii="宋体" w:hAnsi="宋体"/>
          <w:highlight w:val="none"/>
          <w:lang w:val="zh-CN"/>
        </w:rPr>
      </w:pPr>
      <w:r>
        <w:rPr>
          <w:rFonts w:hint="eastAsia" w:ascii="宋体" w:hAnsi="宋体" w:cs="宋体"/>
          <w:szCs w:val="21"/>
          <w:highlight w:val="none"/>
          <w:lang w:val="en-US" w:eastAsia="zh-CN"/>
        </w:rPr>
        <w:t xml:space="preserve">5.5</w:t>
      </w:r>
      <w:r>
        <w:rPr>
          <w:rFonts w:hint="eastAsia" w:ascii="宋体" w:hAnsi="宋体"/>
          <w:highlight w:val="none"/>
          <w:lang w:val="zh-CN"/>
        </w:rPr>
        <w:t xml:space="preserve">甲方有权对乙方</w:t>
      </w:r>
      <w:r>
        <w:rPr>
          <w:rFonts w:hint="eastAsia" w:ascii="宋体" w:hAnsi="宋体"/>
          <w:szCs w:val="21"/>
          <w:highlight w:val="none"/>
        </w:rPr>
        <w:t xml:space="preserve">提供的服务及履行本合同情况</w:t>
      </w:r>
      <w:r>
        <w:rPr>
          <w:rFonts w:hint="eastAsia" w:ascii="宋体" w:hAnsi="宋体"/>
          <w:highlight w:val="none"/>
          <w:lang w:val="zh-CN"/>
        </w:rPr>
        <w:t xml:space="preserve">等进行监督、检查和考核评定，并有权对乙方违反</w:t>
      </w:r>
      <w:r>
        <w:rPr>
          <w:rFonts w:hint="eastAsia" w:ascii="宋体" w:hAnsi="宋体"/>
          <w:highlight w:val="none"/>
        </w:rPr>
        <w:t xml:space="preserve">服务</w:t>
      </w:r>
      <w:r>
        <w:rPr>
          <w:rFonts w:hint="eastAsia" w:ascii="宋体" w:hAnsi="宋体"/>
          <w:highlight w:val="none"/>
          <w:lang w:val="zh-CN"/>
        </w:rPr>
        <w:t xml:space="preserve">考核细则或违反本合同约定的行为进行处罚。</w:t>
      </w:r>
      <w:r/>
    </w:p>
    <w:p>
      <w:pPr>
        <w:ind w:firstLine="440"/>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r>
      <w:r/>
    </w:p>
    <w:p>
      <w:pPr>
        <w:ind w:firstLine="440"/>
        <w:spacing w:line="360" w:lineRule="auto"/>
        <w:rPr>
          <w:rFonts w:hint="eastAsia" w:ascii="宋体" w:hAnsi="宋体" w:cs="宋体"/>
          <w:b/>
          <w:szCs w:val="21"/>
          <w:highlight w:val="none"/>
        </w:rPr>
      </w:pPr>
      <w:r>
        <w:rPr>
          <w:rFonts w:hint="eastAsia" w:ascii="宋体" w:hAnsi="宋体" w:cs="宋体"/>
          <w:b/>
          <w:szCs w:val="21"/>
          <w:highlight w:val="none"/>
        </w:rPr>
        <w:t xml:space="preserve">6．乙方权利义务</w:t>
      </w:r>
      <w:r/>
    </w:p>
    <w:p>
      <w:p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6.1</w:t>
      </w:r>
      <w:r>
        <w:rPr>
          <w:rFonts w:hint="eastAsia" w:ascii="宋体" w:hAnsi="宋体" w:cs="宋体"/>
          <w:szCs w:val="21"/>
          <w:highlight w:val="none"/>
        </w:rPr>
        <w:tab/>
      </w:r>
      <w:r>
        <w:rPr>
          <w:rFonts w:hint="eastAsia" w:ascii="宋体" w:hAnsi="宋体" w:cs="宋体"/>
          <w:szCs w:val="21"/>
          <w:highlight w:val="none"/>
        </w:rPr>
        <w:t xml:space="preserve">按照法规政策及有关行业规范、标准和磋商文件、响应文件及合同约定，提供专业化的服务。</w:t>
      </w:r>
      <w:r/>
    </w:p>
    <w:p>
      <w:p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6.2</w:t>
      </w:r>
      <w:r>
        <w:rPr>
          <w:rFonts w:hint="eastAsia" w:ascii="宋体" w:hAnsi="宋体" w:cs="宋体"/>
          <w:szCs w:val="21"/>
          <w:highlight w:val="none"/>
        </w:rPr>
        <w:tab/>
      </w:r>
      <w:r>
        <w:rPr>
          <w:rFonts w:hint="eastAsia" w:ascii="宋体" w:hAnsi="宋体" w:cs="宋体"/>
          <w:szCs w:val="21"/>
          <w:highlight w:val="none"/>
        </w:rPr>
        <w:t xml:space="preserve">制定好检查服务规章制度，抓好员工培训，派遣具有相适应岗位技能的人员，并保证人员队伍的稳定，未经甲方书面同意不得自行撤换。</w:t>
      </w:r>
      <w:r/>
    </w:p>
    <w:p>
      <w:p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6.3 乙方根据甲方提供服务业务的范围和要求督促完成工作任务。</w:t>
      </w:r>
      <w:r/>
    </w:p>
    <w:p>
      <w:p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6.4 乙方服务人员必须认证履行职责，遵守各项规章制度；服从甲方管理人员的工作调度和分配，不妨碍甲方工作，严守职业道德，遵纪守法，依职履责。</w:t>
      </w:r>
      <w:r/>
    </w:p>
    <w:p>
      <w:p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6.5 乙方应接受甲方对不符合要求的人员的调换。</w:t>
      </w:r>
      <w:r/>
    </w:p>
    <w:p>
      <w:p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6.6 乙方不得采用转包、转让及其他未经甲方同意的方式转移采购结果。</w:t>
      </w:r>
      <w:r/>
    </w:p>
    <w:p>
      <w:p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6.7 乙方必须做好相关人员的安全管理工作。作业过程中如发生安全事故，一切责任费用均由乙方承担，并按有关规定配合协助有关部门做好事故处理工作。</w:t>
      </w:r>
      <w:r/>
    </w:p>
    <w:p>
      <w:pPr>
        <w:ind w:firstLine="411"/>
        <w:spacing w:line="360" w:lineRule="auto"/>
        <w:rPr>
          <w:rFonts w:hint="eastAsia" w:ascii="宋体" w:hAnsi="宋体" w:cs="宋体"/>
          <w:szCs w:val="21"/>
          <w:highlight w:val="none"/>
        </w:rPr>
      </w:pPr>
      <w:r>
        <w:rPr>
          <w:rFonts w:hint="eastAsia" w:ascii="宋体" w:hAnsi="宋体" w:cs="宋体"/>
          <w:szCs w:val="21"/>
          <w:highlight w:val="none"/>
        </w:rPr>
        <w:t xml:space="preserve">6.8 及时做好调查服务的内、外业资料的记录、收集、整理、保管。</w:t>
      </w:r>
      <w:r/>
    </w:p>
    <w:p>
      <w:pPr>
        <w:ind w:firstLine="440"/>
        <w:spacing w:line="360" w:lineRule="auto"/>
        <w:rPr>
          <w:rFonts w:hint="eastAsia" w:ascii="宋体" w:hAnsi="宋体" w:cs="宋体"/>
          <w:b/>
          <w:szCs w:val="21"/>
          <w:highlight w:val="none"/>
        </w:rPr>
      </w:pPr>
      <w:r>
        <w:rPr>
          <w:rFonts w:hint="eastAsia" w:ascii="宋体" w:hAnsi="宋体" w:cs="宋体"/>
          <w:szCs w:val="21"/>
          <w:highlight w:val="none"/>
        </w:rPr>
        <w:t xml:space="preserve">7</w:t>
      </w:r>
      <w:r>
        <w:rPr>
          <w:rFonts w:hint="eastAsia" w:ascii="宋体" w:hAnsi="宋体" w:cs="宋体"/>
          <w:b/>
          <w:szCs w:val="21"/>
          <w:highlight w:val="none"/>
        </w:rPr>
        <w:t xml:space="preserve">．违约责任</w:t>
      </w:r>
      <w:r/>
    </w:p>
    <w:p>
      <w:p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7.1 如乙方没有按合同规定交工或提供服务，每延迟一天扣除合同总金额的0.2%的违约金，直至按合同交工或提供服务为止。违约金最高限额为合同总金额的5%。</w:t>
      </w:r>
      <w:r/>
    </w:p>
    <w:p>
      <w:pPr>
        <w:ind w:firstLine="420"/>
        <w:jc w:val="left"/>
        <w:spacing w:line="360" w:lineRule="auto"/>
        <w:rPr>
          <w:rFonts w:hint="eastAsia"/>
          <w:highlight w:val="none"/>
        </w:rPr>
      </w:pPr>
      <w:r>
        <w:rPr>
          <w:rFonts w:hint="eastAsia" w:ascii="宋体" w:hAnsi="宋体" w:cs="宋体"/>
          <w:szCs w:val="21"/>
          <w:highlight w:val="none"/>
        </w:rPr>
        <w:t xml:space="preserve">7.2 如乙方逾期交付达25天，甲方有权解除合同，解除合同的通知自到达乙方时生效。乙方逾期交付的，今后参加政府采购信誉将受到影响。</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7.3 乙方在承担违约责任后，仍应继续履行合同规定的义务（甲方解除合同的除外）。甲方未能及时追究乙方的任何一项违约责任并不表明甲方放弃追究乙方该项或其他违约责任。</w:t>
      </w:r>
      <w:r/>
    </w:p>
    <w:p>
      <w:pPr>
        <w:ind w:firstLine="440"/>
        <w:spacing w:line="360" w:lineRule="auto"/>
        <w:rPr>
          <w:rFonts w:hint="eastAsia" w:ascii="宋体" w:hAnsi="宋体" w:cs="宋体"/>
          <w:b/>
          <w:szCs w:val="21"/>
          <w:highlight w:val="none"/>
        </w:rPr>
      </w:pPr>
      <w:r>
        <w:rPr>
          <w:rFonts w:hint="eastAsia" w:ascii="宋体" w:hAnsi="宋体" w:cs="宋体"/>
          <w:b/>
          <w:szCs w:val="21"/>
          <w:highlight w:val="none"/>
        </w:rPr>
        <w:t xml:space="preserve">8.交付使用和验收</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验收标准：按行业通行标准和乙方响应文件的承诺。（</w:t>
      </w:r>
      <w:r>
        <w:rPr>
          <w:rFonts w:hint="eastAsia" w:ascii="宋体" w:hAnsi="宋体" w:cs="宋体"/>
          <w:szCs w:val="21"/>
          <w:highlight w:val="none"/>
          <w:lang w:val="zh-CN"/>
        </w:rPr>
        <w:t xml:space="preserve">不低于国家相关标准</w:t>
      </w:r>
      <w:r>
        <w:rPr>
          <w:rFonts w:hint="eastAsia" w:ascii="宋体" w:hAnsi="宋体" w:cs="宋体"/>
          <w:szCs w:val="21"/>
          <w:highlight w:val="none"/>
        </w:rPr>
        <w:t xml:space="preserve">）</w:t>
      </w:r>
      <w:r/>
    </w:p>
    <w:p>
      <w:pPr>
        <w:ind w:firstLine="440"/>
        <w:spacing w:line="360" w:lineRule="auto"/>
        <w:rPr>
          <w:rFonts w:hint="eastAsia" w:ascii="宋体" w:hAnsi="宋体" w:cs="宋体"/>
          <w:b/>
          <w:szCs w:val="21"/>
          <w:highlight w:val="none"/>
        </w:rPr>
      </w:pPr>
      <w:r>
        <w:rPr>
          <w:rFonts w:hint="eastAsia" w:ascii="宋体" w:hAnsi="宋体" w:cs="宋体"/>
          <w:b/>
          <w:szCs w:val="21"/>
          <w:highlight w:val="none"/>
        </w:rPr>
        <w:t xml:space="preserve">9．不可抗力</w:t>
      </w:r>
      <w:r/>
    </w:p>
    <w:p>
      <w:p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9.1签约双方任一方由于受诸如战争、严重火灾、洪水、台风、地震等不可抗力事故的影响而不能执行合同时，履行合同的期限应予以延长，延长的期限应相当于事故所影响的时间。</w:t>
      </w:r>
      <w:r/>
    </w:p>
    <w:p>
      <w:p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9.2受阻一方应在不可抗力事故发生后尽快用电报、传真或电传通知对方，并于事故发生后14天内将有关当局出具的证明文件用特快专递寄给对方审阅确认。一旦不可抗力事故的影响持续40天以上，双方（或三方）应通过友好协商在合理的时间内达成是否继续履行合同的协议。</w:t>
      </w:r>
      <w:r/>
    </w:p>
    <w:p>
      <w:pPr>
        <w:ind w:firstLine="440"/>
        <w:spacing w:line="360" w:lineRule="auto"/>
        <w:rPr>
          <w:rFonts w:hint="eastAsia" w:ascii="宋体" w:hAnsi="宋体" w:cs="宋体"/>
          <w:b/>
          <w:szCs w:val="21"/>
          <w:highlight w:val="none"/>
        </w:rPr>
      </w:pPr>
      <w:r>
        <w:rPr>
          <w:rFonts w:hint="eastAsia" w:ascii="宋体" w:hAnsi="宋体" w:cs="宋体"/>
          <w:b/>
          <w:szCs w:val="21"/>
          <w:highlight w:val="none"/>
        </w:rPr>
        <w:t xml:space="preserve">10．税费</w:t>
      </w:r>
      <w:r/>
    </w:p>
    <w:p>
      <w:p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10.1与履行本合同有关的一切税费，由乙方承担。</w:t>
      </w:r>
      <w:r/>
    </w:p>
    <w:p>
      <w:pPr>
        <w:ind w:firstLine="440"/>
        <w:spacing w:line="360" w:lineRule="auto"/>
        <w:rPr>
          <w:rFonts w:hint="eastAsia" w:ascii="宋体" w:hAnsi="宋体" w:cs="宋体"/>
          <w:b/>
          <w:szCs w:val="21"/>
          <w:highlight w:val="none"/>
        </w:rPr>
      </w:pPr>
      <w:r>
        <w:rPr>
          <w:rFonts w:hint="eastAsia" w:ascii="宋体" w:hAnsi="宋体" w:cs="宋体"/>
          <w:b/>
          <w:szCs w:val="21"/>
          <w:highlight w:val="none"/>
        </w:rPr>
        <w:t xml:space="preserve">11．争议</w:t>
      </w:r>
      <w:r/>
    </w:p>
    <w:p>
      <w:p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11.1在执行本合同中发生的或与本合同有关的争端，双方应通过友好协商解决。经协商不能达成协议时，可向</w:t>
      </w:r>
      <w:r>
        <w:rPr>
          <w:rFonts w:hint="eastAsia" w:ascii="宋体" w:hAnsi="宋体" w:cs="宋体"/>
          <w:b/>
          <w:szCs w:val="21"/>
          <w:highlight w:val="none"/>
          <w:u w:val="single"/>
        </w:rPr>
        <w:t xml:space="preserve">南京市江宁区</w:t>
      </w:r>
      <w:r>
        <w:rPr>
          <w:rFonts w:hint="eastAsia" w:ascii="宋体" w:hAnsi="宋体" w:cs="宋体"/>
          <w:szCs w:val="21"/>
          <w:highlight w:val="none"/>
        </w:rPr>
        <w:t xml:space="preserve">人民法院提请诉讼。</w:t>
      </w:r>
      <w:r/>
    </w:p>
    <w:p>
      <w:p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11.2诉讼期间，双方应继续履行争议部分以外的合同内容。</w:t>
      </w:r>
      <w:r/>
    </w:p>
    <w:p>
      <w:pPr>
        <w:ind w:firstLine="440"/>
        <w:spacing w:line="360" w:lineRule="auto"/>
        <w:rPr>
          <w:rFonts w:hint="eastAsia" w:ascii="宋体" w:hAnsi="宋体" w:cs="宋体"/>
          <w:b/>
          <w:szCs w:val="21"/>
          <w:highlight w:val="none"/>
        </w:rPr>
      </w:pPr>
      <w:r>
        <w:rPr>
          <w:rFonts w:hint="eastAsia" w:ascii="宋体" w:hAnsi="宋体" w:cs="宋体"/>
          <w:b/>
          <w:szCs w:val="21"/>
          <w:highlight w:val="none"/>
        </w:rPr>
        <w:t xml:space="preserve">12．违约终止合同</w:t>
      </w:r>
      <w:r/>
    </w:p>
    <w:p>
      <w:p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12.1 因解除而终止</w:t>
      </w:r>
      <w:r/>
    </w:p>
    <w:p>
      <w:p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12.1.1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12.1.2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12.1.3合同一方依本合同约定行使解除权的，合同自解除通知送达另一方之日起终止。违约方应当按本合同约定支付违约金或赔偿损失。</w:t>
      </w:r>
      <w:r/>
    </w:p>
    <w:p>
      <w:p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12.1.4合同终止后，不妨碍守约方向违约方追究违约责任。</w:t>
      </w:r>
      <w:r/>
    </w:p>
    <w:p>
      <w:p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12.2 有下列情形之一的，合同权利义务终止：</w:t>
      </w:r>
      <w:r/>
    </w:p>
    <w:p>
      <w:p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12.2.1本合同已按约定履行完毕；</w:t>
      </w:r>
      <w:r/>
    </w:p>
    <w:p>
      <w:p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12.2.2本合同经各方协商一致而终止；</w:t>
      </w:r>
      <w:r/>
    </w:p>
    <w:p>
      <w:p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12.2.3法律法规规定终止的其他情形。</w:t>
      </w:r>
      <w:r/>
    </w:p>
    <w:p>
      <w:pPr>
        <w:ind w:firstLine="440"/>
        <w:spacing w:line="360" w:lineRule="auto"/>
        <w:rPr>
          <w:rFonts w:hint="eastAsia" w:ascii="宋体" w:hAnsi="宋体" w:cs="宋体"/>
          <w:b/>
          <w:szCs w:val="21"/>
          <w:highlight w:val="none"/>
        </w:rPr>
      </w:pPr>
      <w:r>
        <w:rPr>
          <w:rFonts w:hint="eastAsia" w:ascii="宋体" w:hAnsi="宋体" w:cs="宋体"/>
          <w:b/>
          <w:szCs w:val="21"/>
          <w:highlight w:val="none"/>
        </w:rPr>
        <w:t xml:space="preserve">13．合同修改</w:t>
      </w:r>
      <w:r/>
    </w:p>
    <w:p>
      <w:p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13.1对合同条款作出任何改动或偏离，均须甲乙双方签署书面的合同修改书。</w:t>
      </w:r>
      <w:r/>
    </w:p>
    <w:p>
      <w:pPr>
        <w:ind w:firstLine="440"/>
        <w:spacing w:line="360" w:lineRule="auto"/>
        <w:rPr>
          <w:rFonts w:hint="eastAsia" w:ascii="宋体" w:hAnsi="宋体" w:cs="宋体"/>
          <w:b/>
          <w:szCs w:val="21"/>
          <w:highlight w:val="none"/>
        </w:rPr>
      </w:pPr>
      <w:r>
        <w:rPr>
          <w:rFonts w:hint="eastAsia" w:ascii="宋体" w:hAnsi="宋体" w:cs="宋体"/>
          <w:b/>
          <w:szCs w:val="21"/>
          <w:highlight w:val="none"/>
        </w:rPr>
        <w:t xml:space="preserve">14．适用法律</w:t>
      </w:r>
      <w:r/>
    </w:p>
    <w:p>
      <w:p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14.l本合同应按中华人民共和国的法律解释。</w:t>
      </w:r>
      <w:r/>
    </w:p>
    <w:p>
      <w:pPr>
        <w:ind w:firstLine="440"/>
        <w:spacing w:line="360" w:lineRule="auto"/>
        <w:rPr>
          <w:rFonts w:hint="eastAsia" w:ascii="宋体" w:hAnsi="宋体" w:cs="宋体"/>
          <w:b/>
          <w:szCs w:val="21"/>
          <w:highlight w:val="none"/>
        </w:rPr>
      </w:pPr>
      <w:r>
        <w:rPr>
          <w:rFonts w:hint="eastAsia" w:ascii="宋体" w:hAnsi="宋体" w:cs="宋体"/>
          <w:b/>
          <w:szCs w:val="21"/>
          <w:highlight w:val="none"/>
        </w:rPr>
        <w:t xml:space="preserve">15．语言与计量单位</w:t>
      </w:r>
      <w:r/>
    </w:p>
    <w:p>
      <w:p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15.1合同书写应用中文。甲乙双方所有的来往函电以及与合同有关的文件均应以中文书写。</w:t>
      </w:r>
      <w:r/>
    </w:p>
    <w:p>
      <w:p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15.2除技术规格中另有规定外，计量单位均使用国家法定单位制。</w:t>
      </w:r>
      <w:r/>
    </w:p>
    <w:p>
      <w:pPr>
        <w:ind w:firstLine="440"/>
        <w:spacing w:line="360" w:lineRule="auto"/>
        <w:rPr>
          <w:rFonts w:hint="eastAsia" w:ascii="宋体" w:hAnsi="宋体" w:cs="宋体"/>
          <w:b/>
          <w:szCs w:val="21"/>
          <w:highlight w:val="none"/>
        </w:rPr>
      </w:pPr>
      <w:r>
        <w:rPr>
          <w:rFonts w:hint="eastAsia" w:ascii="宋体" w:hAnsi="宋体" w:cs="宋体"/>
          <w:b/>
          <w:szCs w:val="21"/>
          <w:highlight w:val="none"/>
        </w:rPr>
        <w:t xml:space="preserve">16．通知</w:t>
      </w:r>
      <w:r/>
    </w:p>
    <w:p>
      <w:p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16.1本合同任何一方给另一方的通知都应以书面形式发送，而另一方应以书面形式确认并发送到对方明确的地址。</w:t>
      </w:r>
      <w:r/>
    </w:p>
    <w:p>
      <w:pPr>
        <w:ind w:firstLine="440"/>
        <w:spacing w:line="360" w:lineRule="auto"/>
        <w:rPr>
          <w:rFonts w:hint="eastAsia" w:ascii="宋体" w:hAnsi="宋体" w:cs="宋体"/>
          <w:b/>
          <w:szCs w:val="21"/>
          <w:highlight w:val="none"/>
        </w:rPr>
      </w:pPr>
      <w:r>
        <w:rPr>
          <w:rFonts w:hint="eastAsia" w:ascii="宋体" w:hAnsi="宋体" w:cs="宋体"/>
          <w:b/>
          <w:szCs w:val="21"/>
          <w:highlight w:val="none"/>
        </w:rPr>
        <w:t xml:space="preserve">17．合同生效及其他</w:t>
      </w:r>
      <w:r/>
    </w:p>
    <w:p>
      <w:p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17.1除合同中另有说明，本合同经双方法定代表人或其委托代理人签字并加盖公章或合同专用章后，即开始生效。</w:t>
      </w:r>
      <w:r/>
    </w:p>
    <w:p>
      <w:p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17.2合同一式肆份，甲方贰份，乙方贰份</w:t>
      </w:r>
      <w:bookmarkStart w:id="141" w:name="EB53f8c4154ce94b9e967cb9583c3f4748"/>
      <w:r>
        <w:rPr>
          <w:rFonts w:hint="eastAsia" w:ascii="宋体" w:hAnsi="宋体" w:cs="宋体"/>
          <w:szCs w:val="21"/>
          <w:highlight w:val="none"/>
        </w:rPr>
        <w:t xml:space="preserve">。自双方授权代表签字、盖章之日起生效。</w:t>
      </w:r>
      <w:bookmarkEnd w:id="141"/>
      <w:r/>
      <w:r/>
    </w:p>
    <w:p>
      <w:pPr>
        <w:ind w:firstLine="440"/>
        <w:spacing w:line="360" w:lineRule="auto"/>
        <w:rPr>
          <w:rFonts w:hint="eastAsia" w:ascii="宋体" w:hAnsi="宋体" w:cs="宋体"/>
          <w:b/>
          <w:szCs w:val="21"/>
          <w:highlight w:val="none"/>
        </w:rPr>
      </w:pPr>
      <w:r>
        <w:rPr>
          <w:rFonts w:hint="eastAsia" w:ascii="宋体" w:hAnsi="宋体" w:cs="宋体"/>
          <w:b/>
          <w:szCs w:val="21"/>
          <w:highlight w:val="none"/>
        </w:rPr>
        <w:t xml:space="preserve">18．合同文件及解释顺序</w:t>
      </w:r>
      <w:r/>
    </w:p>
    <w:p>
      <w:p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下列文件均为合同组成文件是本合同不可分割的组成部分，与本合同具有同等法律效力，这些文件包括但不限于：</w:t>
      </w:r>
      <w:r/>
    </w:p>
    <w:p>
      <w:p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18.1成交通知书（包括供应商“回执”） </w:t>
      </w:r>
      <w:r/>
    </w:p>
    <w:p>
      <w:p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18.2双方商定的补充协议或合同期内双方签署的备忘录</w:t>
      </w:r>
      <w:r/>
    </w:p>
    <w:p>
      <w:p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18.3磋商响应文件（包括修改、澄清）</w:t>
      </w:r>
      <w:r/>
    </w:p>
    <w:p>
      <w:p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18.4磋商文件（包括澄清、答疑、修改和补充通知）</w:t>
      </w:r>
      <w:r/>
    </w:p>
    <w:p>
      <w:p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18.5与本合同有关的其他文件</w:t>
      </w:r>
      <w:r/>
    </w:p>
    <w:p>
      <w:pPr>
        <w:ind w:firstLine="420"/>
        <w:jc w:val="left"/>
        <w:spacing w:line="360" w:lineRule="auto"/>
        <w:rPr>
          <w:rFonts w:hint="eastAsia" w:ascii="宋体" w:hAnsi="宋体" w:cs="宋体"/>
          <w:b/>
          <w:bCs/>
          <w:szCs w:val="21"/>
          <w:highlight w:val="none"/>
          <w:lang w:val="zh-CN"/>
        </w:rPr>
      </w:pPr>
      <w:r>
        <w:rPr>
          <w:rFonts w:hint="eastAsia" w:ascii="宋体" w:hAnsi="宋体" w:cs="宋体"/>
          <w:b/>
          <w:szCs w:val="21"/>
          <w:highlight w:val="none"/>
        </w:rPr>
        <w:t xml:space="preserve">19．</w:t>
      </w:r>
      <w:r>
        <w:rPr>
          <w:rFonts w:hint="eastAsia" w:ascii="宋体" w:hAnsi="宋体" w:cs="宋体"/>
          <w:b/>
          <w:bCs/>
          <w:szCs w:val="21"/>
          <w:highlight w:val="none"/>
          <w:lang w:val="zh-CN"/>
        </w:rPr>
        <w:t xml:space="preserve">合同的变更和终止</w:t>
      </w:r>
      <w:r/>
    </w:p>
    <w:p>
      <w:pPr>
        <w:ind w:firstLine="440"/>
        <w:jc w:val="left"/>
        <w:spacing w:line="360" w:lineRule="auto"/>
        <w:rPr>
          <w:rFonts w:hint="eastAsia" w:ascii="宋体" w:hAnsi="宋体" w:cs="宋体"/>
          <w:szCs w:val="21"/>
          <w:highlight w:val="none"/>
          <w:lang w:val="zh-CN"/>
        </w:rPr>
      </w:pPr>
      <w:r>
        <w:rPr>
          <w:rFonts w:hint="eastAsia" w:ascii="宋体" w:hAnsi="宋体" w:cs="宋体"/>
          <w:szCs w:val="21"/>
          <w:highlight w:val="none"/>
        </w:rPr>
        <w:t xml:space="preserve">19</w:t>
      </w:r>
      <w:r>
        <w:rPr>
          <w:rFonts w:hint="eastAsia" w:ascii="宋体" w:hAnsi="宋体" w:cs="宋体"/>
          <w:szCs w:val="21"/>
          <w:highlight w:val="none"/>
          <w:lang w:val="zh-CN"/>
        </w:rPr>
        <w:t xml:space="preserve">.1 除《政府采购法》第50条第二款规定的情形外，本合同一经签订，甲乙双方不得擅自变更、中止或终止合同。</w:t>
      </w:r>
      <w:r/>
    </w:p>
    <w:p>
      <w:pPr>
        <w:ind w:firstLine="440"/>
        <w:jc w:val="left"/>
        <w:spacing w:line="360" w:lineRule="auto"/>
        <w:rPr>
          <w:rFonts w:hint="eastAsia" w:ascii="宋体" w:hAnsi="宋体" w:cs="宋体"/>
          <w:szCs w:val="21"/>
          <w:highlight w:val="none"/>
        </w:rPr>
      </w:pPr>
      <w:r>
        <w:rPr>
          <w:rFonts w:hint="eastAsia" w:ascii="宋体" w:hAnsi="宋体" w:cs="宋体"/>
          <w:szCs w:val="21"/>
          <w:highlight w:val="none"/>
        </w:rPr>
        <w:t xml:space="preserve">19</w:t>
      </w:r>
      <w:r>
        <w:rPr>
          <w:rFonts w:hint="eastAsia" w:ascii="宋体" w:hAnsi="宋体" w:cs="宋体"/>
          <w:szCs w:val="21"/>
          <w:highlight w:val="none"/>
          <w:lang w:val="zh-CN"/>
        </w:rPr>
        <w:t xml:space="preserve">.2 </w:t>
      </w:r>
      <w:r>
        <w:rPr>
          <w:rFonts w:hint="eastAsia" w:ascii="宋体" w:hAnsi="宋体" w:cs="宋体"/>
          <w:szCs w:val="21"/>
          <w:highlight w:val="none"/>
        </w:rPr>
        <w:t xml:space="preserve">除发生法律规定的不能预见、不能避免并不能克服的客观情况外，甲乙双方不得放弃或拒绝履行合同。乙方放弃或拒绝履行合同，在三年内不得参加南京市江宁</w:t>
      </w:r>
      <w:r>
        <w:rPr>
          <w:rFonts w:hint="eastAsia" w:ascii="宋体" w:hAnsi="宋体" w:cs="宋体"/>
          <w:szCs w:val="21"/>
          <w:highlight w:val="none"/>
          <w:lang w:val="en-US" w:eastAsia="zh-CN"/>
        </w:rPr>
        <w:t xml:space="preserve">滨江开发区</w:t>
      </w:r>
      <w:r>
        <w:rPr>
          <w:rFonts w:hint="eastAsia" w:ascii="宋体" w:hAnsi="宋体" w:cs="宋体"/>
          <w:szCs w:val="21"/>
          <w:highlight w:val="none"/>
        </w:rPr>
        <w:t xml:space="preserve">组织的政府采购活动。</w:t>
      </w:r>
      <w:r/>
    </w:p>
    <w:p>
      <w:pPr>
        <w:ind w:firstLine="440"/>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20.补充条款</w:t>
      </w:r>
      <w:r/>
    </w:p>
    <w:p>
      <w:pPr>
        <w:ind w:firstLine="440"/>
        <w:jc w:val="left"/>
        <w:spacing w:line="360" w:lineRule="auto"/>
        <w:rPr>
          <w:rFonts w:hint="eastAsia" w:ascii="宋体" w:hAnsi="宋体" w:cs="宋体"/>
          <w:szCs w:val="21"/>
          <w:highlight w:val="none"/>
        </w:rPr>
      </w:pPr>
      <w:r>
        <w:rPr>
          <w:rFonts w:hint="eastAsia" w:ascii="宋体" w:hAnsi="宋体" w:cs="宋体"/>
          <w:szCs w:val="21"/>
          <w:highlight w:val="none"/>
        </w:rPr>
        <w:t xml:space="preserve">20.1乙方提供评估成果及相关资料（加盖单位公章），评估成果电子档壹份。</w:t>
      </w:r>
      <w:r/>
    </w:p>
    <w:p>
      <w:pPr>
        <w:ind w:firstLine="440"/>
        <w:jc w:val="left"/>
        <w:spacing w:line="360" w:lineRule="auto"/>
        <w:rPr>
          <w:rFonts w:hint="eastAsia" w:ascii="宋体" w:hAnsi="宋体" w:cs="宋体"/>
          <w:szCs w:val="21"/>
          <w:highlight w:val="none"/>
        </w:rPr>
      </w:pPr>
      <w:r>
        <w:rPr>
          <w:rFonts w:hint="eastAsia" w:ascii="宋体" w:hAnsi="宋体" w:cs="宋体"/>
          <w:szCs w:val="21"/>
          <w:highlight w:val="none"/>
        </w:rPr>
        <w:t xml:space="preserve">20.2乙方因本合同获取的甲方材料，未经甲方书面同意不得向任意第三方披露。除乙方为完成本合同项下的义务必须知晓甲方提供的材料人员外，乙方不得向本单位其他员工披露相关材料。否则甲方有权要求解除本合同，并要求乙方赔偿全部损失。</w:t>
      </w:r>
      <w:r/>
    </w:p>
    <w:p>
      <w:pPr>
        <w:ind w:firstLine="440"/>
        <w:jc w:val="left"/>
        <w:spacing w:line="360" w:lineRule="auto"/>
        <w:rPr>
          <w:rFonts w:hint="eastAsia" w:ascii="宋体" w:hAnsi="宋体" w:cs="宋体"/>
          <w:szCs w:val="21"/>
          <w:highlight w:val="none"/>
        </w:rPr>
      </w:pPr>
      <w:r>
        <w:rPr>
          <w:rFonts w:hint="eastAsia" w:ascii="宋体" w:hAnsi="宋体" w:cs="宋体"/>
          <w:szCs w:val="21"/>
          <w:highlight w:val="none"/>
        </w:rPr>
        <w:t xml:space="preserve">20.3若乙方须前往项目所在地进行勘察，需提前通知甲方。乙方在场地勘察时造成的甲乙双方及第三方人身或财产损失的，由乙方承担赔偿责任。</w:t>
      </w:r>
      <w:r/>
    </w:p>
    <w:p>
      <w:pPr>
        <w:ind w:firstLine="440"/>
        <w:jc w:val="left"/>
        <w:spacing w:line="360" w:lineRule="auto"/>
        <w:rPr>
          <w:rFonts w:hint="eastAsia" w:ascii="宋体" w:hAnsi="宋体" w:cs="宋体"/>
          <w:szCs w:val="21"/>
          <w:highlight w:val="none"/>
        </w:rPr>
      </w:pPr>
      <w:r>
        <w:rPr>
          <w:rFonts w:hint="eastAsia" w:ascii="宋体" w:hAnsi="宋体" w:cs="宋体"/>
          <w:szCs w:val="21"/>
          <w:highlight w:val="none"/>
        </w:rPr>
        <w:t xml:space="preserve">20.4乙方应按照合同约定或法律约定向甲方支付违约金的，甲方有权从未付款项直接予以扣除。</w:t>
      </w:r>
      <w:r/>
    </w:p>
    <w:p>
      <w:pPr>
        <w:ind w:firstLine="440"/>
        <w:jc w:val="left"/>
        <w:spacing w:line="360" w:lineRule="auto"/>
        <w:rPr>
          <w:rFonts w:hint="eastAsia" w:ascii="宋体" w:hAnsi="宋体" w:cs="宋体"/>
          <w:szCs w:val="21"/>
          <w:highlight w:val="none"/>
        </w:rPr>
      </w:pPr>
      <w:r>
        <w:rPr>
          <w:rFonts w:hint="eastAsia" w:ascii="宋体" w:hAnsi="宋体" w:cs="宋体"/>
          <w:szCs w:val="21"/>
          <w:highlight w:val="none"/>
        </w:rPr>
        <w:t xml:space="preserve">20.5因乙方原因，导致甲方解除合同的，乙方应退还所收取的全部费用。</w:t>
      </w:r>
      <w:r/>
    </w:p>
    <w:p>
      <w:pPr>
        <w:ind w:firstLine="440"/>
        <w:jc w:val="left"/>
        <w:spacing w:line="360" w:lineRule="auto"/>
        <w:rPr>
          <w:rFonts w:hint="eastAsia" w:ascii="宋体" w:hAnsi="宋体" w:cs="宋体"/>
          <w:szCs w:val="21"/>
          <w:highlight w:val="none"/>
        </w:rPr>
      </w:pPr>
      <w:r>
        <w:rPr>
          <w:rFonts w:hint="eastAsia" w:ascii="宋体" w:hAnsi="宋体" w:cs="宋体"/>
          <w:szCs w:val="21"/>
          <w:highlight w:val="none"/>
        </w:rPr>
      </w:r>
      <w:r/>
    </w:p>
    <w:p>
      <w:pPr>
        <w:ind w:firstLine="440"/>
        <w:jc w:val="left"/>
        <w:spacing w:line="280" w:lineRule="exact"/>
        <w:rPr>
          <w:rFonts w:hint="eastAsia" w:ascii="宋体" w:hAnsi="宋体" w:cs="宋体"/>
          <w:szCs w:val="21"/>
          <w:highlight w:val="none"/>
        </w:rPr>
      </w:pPr>
      <w:r>
        <w:rPr>
          <w:rFonts w:hint="eastAsia" w:ascii="宋体" w:hAnsi="宋体" w:cs="宋体"/>
          <w:szCs w:val="21"/>
          <w:highlight w:val="none"/>
        </w:rPr>
        <w:t xml:space="preserve">以下无正文</w:t>
      </w:r>
      <w:r/>
    </w:p>
    <w:tbl>
      <w:tblPr>
        <w:tblStyle w:val="727"/>
        <w:tblW w:w="10016" w:type="dxa"/>
        <w:tblInd w:w="-365" w:type="dxa"/>
        <w:tblLayout w:type="fixed"/>
        <w:tblCellMar>
          <w:left w:w="108" w:type="dxa"/>
          <w:top w:w="0" w:type="dxa"/>
          <w:right w:w="108" w:type="dxa"/>
          <w:bottom w:w="0" w:type="dxa"/>
        </w:tblCellMar>
        <w:tblLook w:val="04A0" w:firstRow="1" w:lastRow="0" w:firstColumn="1" w:lastColumn="0" w:noHBand="0" w:noVBand="1"/>
      </w:tblPr>
      <w:tblGrid>
        <w:gridCol w:w="5049"/>
        <w:gridCol w:w="4967"/>
      </w:tblGrid>
      <w:tr>
        <w:trPr>
          <w:trHeight w:val="2343"/>
        </w:trPr>
        <w:tc>
          <w:tcPr>
            <w:tcW w:w="5049" w:type="dxa"/>
            <w:vAlign w:val="top"/>
            <w:textDirection w:val="lrTb"/>
            <w:noWrap w:val="false"/>
          </w:tcPr>
          <w:p>
            <w:pPr>
              <w:ind w:left="2310" w:hanging="2420"/>
              <w:jc w:val="left"/>
              <w:rPr>
                <w:rFonts w:hint="eastAsia" w:ascii="宋体" w:hAnsi="宋体" w:cs="宋体"/>
                <w:bCs/>
                <w:szCs w:val="21"/>
                <w:highlight w:val="none"/>
              </w:rPr>
            </w:pPr>
            <w:r>
              <w:rPr>
                <w:rFonts w:hint="eastAsia" w:ascii="宋体" w:hAnsi="宋体" w:cs="宋体"/>
                <w:bCs/>
                <w:szCs w:val="21"/>
                <w:highlight w:val="none"/>
              </w:rPr>
              <w:t xml:space="preserve">甲方（采购人）：（盖章）</w:t>
            </w:r>
            <w:r/>
          </w:p>
          <w:p>
            <w:pPr>
              <w:jc w:val="left"/>
              <w:rPr>
                <w:rFonts w:hint="eastAsia" w:ascii="宋体" w:hAnsi="宋体" w:cs="宋体"/>
                <w:bCs/>
                <w:szCs w:val="21"/>
                <w:highlight w:val="none"/>
              </w:rPr>
            </w:pPr>
            <w:r>
              <w:rPr>
                <w:rFonts w:hint="eastAsia" w:ascii="宋体" w:hAnsi="宋体" w:cs="宋体"/>
                <w:bCs/>
                <w:szCs w:val="21"/>
                <w:highlight w:val="none"/>
              </w:rPr>
              <w:t xml:space="preserve">委托代理人：</w:t>
            </w:r>
            <w:r/>
          </w:p>
          <w:p>
            <w:pPr>
              <w:jc w:val="left"/>
              <w:rPr>
                <w:rFonts w:hint="eastAsia" w:ascii="宋体" w:hAnsi="宋体" w:cs="宋体"/>
                <w:bCs/>
                <w:szCs w:val="21"/>
                <w:highlight w:val="none"/>
              </w:rPr>
            </w:pPr>
            <w:r>
              <w:rPr>
                <w:rFonts w:hint="eastAsia" w:ascii="宋体" w:hAnsi="宋体" w:cs="宋体"/>
                <w:bCs/>
                <w:szCs w:val="21"/>
                <w:highlight w:val="none"/>
              </w:rPr>
            </w:r>
            <w:r/>
          </w:p>
        </w:tc>
        <w:tc>
          <w:tcPr>
            <w:tcW w:w="4967" w:type="dxa"/>
            <w:vAlign w:val="top"/>
            <w:textDirection w:val="lrTb"/>
            <w:noWrap w:val="false"/>
          </w:tcPr>
          <w:p>
            <w:pPr>
              <w:ind w:left="2310" w:hanging="2420"/>
              <w:jc w:val="left"/>
              <w:rPr>
                <w:rFonts w:hint="eastAsia" w:ascii="宋体" w:hAnsi="宋体" w:cs="宋体"/>
                <w:bCs/>
                <w:szCs w:val="21"/>
                <w:highlight w:val="none"/>
              </w:rPr>
            </w:pPr>
            <w:r>
              <w:rPr>
                <w:rFonts w:hint="eastAsia" w:ascii="宋体" w:hAnsi="宋体" w:cs="宋体"/>
                <w:bCs/>
                <w:szCs w:val="21"/>
                <w:highlight w:val="none"/>
              </w:rPr>
              <w:t xml:space="preserve">乙方（供应商）：（盖章）</w:t>
            </w:r>
            <w:r/>
          </w:p>
          <w:p>
            <w:pPr>
              <w:jc w:val="left"/>
              <w:rPr>
                <w:rFonts w:hint="eastAsia" w:ascii="宋体" w:hAnsi="宋体" w:cs="宋体"/>
                <w:bCs/>
                <w:szCs w:val="21"/>
                <w:highlight w:val="none"/>
              </w:rPr>
            </w:pPr>
            <w:r>
              <w:rPr>
                <w:rFonts w:hint="eastAsia" w:ascii="宋体" w:hAnsi="宋体" w:cs="宋体"/>
                <w:bCs/>
                <w:szCs w:val="21"/>
                <w:highlight w:val="none"/>
              </w:rPr>
              <w:t xml:space="preserve">委托代表人：</w:t>
            </w:r>
            <w:r/>
          </w:p>
          <w:p>
            <w:pPr>
              <w:jc w:val="left"/>
              <w:rPr>
                <w:rFonts w:hint="eastAsia" w:ascii="宋体" w:hAnsi="宋体" w:cs="宋体"/>
                <w:bCs/>
                <w:szCs w:val="21"/>
                <w:highlight w:val="none"/>
              </w:rPr>
            </w:pPr>
            <w:r>
              <w:rPr>
                <w:rFonts w:hint="eastAsia" w:ascii="宋体" w:hAnsi="宋体" w:cs="宋体"/>
                <w:bCs/>
                <w:szCs w:val="21"/>
                <w:highlight w:val="none"/>
              </w:rPr>
              <w:t xml:space="preserve">项目负责人：</w:t>
            </w:r>
            <w:r/>
          </w:p>
          <w:p>
            <w:pPr>
              <w:jc w:val="left"/>
              <w:rPr>
                <w:rFonts w:hint="eastAsia" w:ascii="宋体" w:hAnsi="宋体" w:cs="宋体"/>
                <w:bCs/>
                <w:szCs w:val="21"/>
                <w:highlight w:val="none"/>
              </w:rPr>
            </w:pPr>
            <w:r>
              <w:rPr>
                <w:rFonts w:hint="eastAsia" w:ascii="宋体" w:hAnsi="宋体" w:cs="宋体"/>
                <w:bCs/>
                <w:szCs w:val="21"/>
                <w:highlight w:val="none"/>
              </w:rPr>
              <w:t xml:space="preserve">电话：</w:t>
            </w:r>
            <w:r/>
          </w:p>
          <w:p>
            <w:pPr>
              <w:jc w:val="left"/>
              <w:rPr>
                <w:rFonts w:hint="eastAsia" w:ascii="宋体" w:hAnsi="宋体" w:cs="宋体"/>
                <w:bCs/>
                <w:szCs w:val="21"/>
                <w:highlight w:val="none"/>
              </w:rPr>
            </w:pPr>
            <w:r>
              <w:rPr>
                <w:rFonts w:hint="eastAsia" w:ascii="宋体" w:hAnsi="宋体" w:cs="宋体"/>
                <w:bCs/>
                <w:szCs w:val="21"/>
                <w:highlight w:val="none"/>
              </w:rPr>
              <w:t xml:space="preserve">开户银行：</w:t>
            </w:r>
            <w:r/>
          </w:p>
          <w:p>
            <w:pPr>
              <w:jc w:val="left"/>
              <w:rPr>
                <w:rFonts w:hint="eastAsia" w:ascii="宋体" w:hAnsi="宋体" w:cs="宋体"/>
                <w:bCs/>
                <w:szCs w:val="21"/>
                <w:highlight w:val="none"/>
              </w:rPr>
            </w:pPr>
            <w:r>
              <w:rPr>
                <w:rFonts w:hint="eastAsia" w:ascii="宋体" w:hAnsi="宋体" w:cs="宋体"/>
                <w:bCs/>
                <w:szCs w:val="21"/>
                <w:highlight w:val="none"/>
              </w:rPr>
              <w:t xml:space="preserve">账号：</w:t>
            </w:r>
            <w:r/>
          </w:p>
          <w:p>
            <w:pPr>
              <w:jc w:val="left"/>
              <w:rPr>
                <w:rFonts w:ascii="宋体" w:hAnsi="宋体" w:cs="宋体"/>
                <w:bCs/>
                <w:szCs w:val="21"/>
                <w:highlight w:val="none"/>
              </w:rPr>
            </w:pPr>
            <w:r>
              <w:rPr>
                <w:rFonts w:hint="eastAsia" w:ascii="宋体" w:hAnsi="宋体" w:cs="宋体"/>
                <w:bCs/>
                <w:szCs w:val="21"/>
                <w:highlight w:val="none"/>
              </w:rPr>
              <w:t xml:space="preserve">单位地址：</w:t>
            </w:r>
            <w:r/>
          </w:p>
          <w:p>
            <w:pPr>
              <w:jc w:val="left"/>
              <w:rPr>
                <w:rFonts w:hint="eastAsia" w:ascii="宋体" w:hAnsi="宋体" w:cs="宋体"/>
                <w:bCs/>
                <w:szCs w:val="21"/>
                <w:highlight w:val="none"/>
              </w:rPr>
            </w:pPr>
            <w:r>
              <w:rPr>
                <w:rFonts w:hint="eastAsia" w:ascii="宋体" w:hAnsi="宋体" w:cs="宋体"/>
                <w:bCs/>
                <w:szCs w:val="21"/>
                <w:highlight w:val="none"/>
              </w:rPr>
              <w:t xml:space="preserve">日期：</w:t>
            </w:r>
            <w:r/>
          </w:p>
        </w:tc>
      </w:tr>
    </w:tbl>
    <w:p>
      <w:pPr>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br w:type="page" w:clear="all"/>
      </w:r>
      <w:r/>
    </w:p>
    <w:p>
      <w:pPr>
        <w:rPr>
          <w:rFonts w:hint="eastAsia" w:eastAsia="宋体"/>
          <w:color w:val="000000"/>
          <w:spacing w:val="0"/>
          <w:position w:val="0"/>
          <w:highlight w:val="none"/>
          <w:shd w:val="clear" w:color="auto" w:fill="auto"/>
          <w:lang w:val="en-US" w:eastAsia="zh-CN"/>
        </w:rPr>
      </w:pPr>
      <w:r>
        <w:rPr>
          <w:rFonts w:hint="eastAsia" w:ascii="宋体" w:hAnsi="宋体" w:cs="宋体"/>
          <w:b/>
          <w:bCs/>
          <w:szCs w:val="21"/>
          <w:highlight w:val="none"/>
        </w:rPr>
        <w:t xml:space="preserve">附件：考核标准</w:t>
      </w:r>
      <w:r/>
    </w:p>
    <w:tbl>
      <w:tblPr>
        <w:tblStyle w:val="727"/>
        <w:tblW w:w="5302" w:type="pct"/>
        <w:tblInd w:w="-18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39"/>
        <w:gridCol w:w="1439"/>
        <w:gridCol w:w="5650"/>
        <w:gridCol w:w="638"/>
        <w:gridCol w:w="647"/>
      </w:tblGrid>
      <w:tr>
        <w:trPr>
          <w:trHeight w:val="674"/>
        </w:trPr>
        <w:tc>
          <w:tcPr>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pStyle w:val="1199"/>
              <w:ind w:firstLine="0"/>
              <w:jc w:val="cente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项目名称</w:t>
            </w:r>
            <w:r/>
          </w:p>
        </w:tc>
        <w:tc>
          <w:tcPr>
            <w:gridSpan w:val="4"/>
            <w:tcBorders>
              <w:top w:val="single" w:color="000000" w:sz="4" w:space="0"/>
              <w:left w:val="single" w:color="000000" w:sz="4" w:space="0"/>
              <w:bottom w:val="single" w:color="000000" w:sz="4" w:space="0"/>
              <w:right w:val="single" w:color="000000" w:sz="4" w:space="0"/>
            </w:tcBorders>
            <w:tcW w:w="4355" w:type="pct"/>
            <w:vAlign w:val="center"/>
            <w:textDirection w:val="lrTb"/>
            <w:noWrap/>
          </w:tcPr>
          <w:p>
            <w:pPr>
              <w:jc w:val="center"/>
              <w:spacing w:line="500" w:lineRule="exact"/>
              <w:widowControl/>
              <w:rPr>
                <w:rFonts w:hint="eastAsia" w:ascii="方正仿宋简体" w:hAnsi="方正仿宋简体" w:eastAsia="方正仿宋简体" w:cs="方正仿宋简体"/>
                <w:color w:val="000000"/>
                <w:sz w:val="21"/>
                <w:szCs w:val="21"/>
                <w:highlight w:val="none"/>
                <w:lang w:val="en-US" w:eastAsia="zh-CN" w:bidi="ar"/>
              </w:rPr>
            </w:pPr>
            <w:r>
              <w:rPr>
                <w:rFonts w:hint="eastAsia" w:ascii="方正仿宋简体" w:hAnsi="方正仿宋简体" w:eastAsia="方正仿宋简体" w:cs="方正仿宋简体"/>
                <w:color w:val="000000"/>
                <w:sz w:val="21"/>
                <w:szCs w:val="21"/>
                <w:highlight w:val="none"/>
                <w:lang w:val="en-US" w:eastAsia="zh-CN" w:bidi="ar"/>
              </w:rPr>
            </w:r>
            <w:r/>
          </w:p>
        </w:tc>
      </w:tr>
      <w:tr>
        <w:trPr>
          <w:trHeight w:val="674"/>
        </w:trPr>
        <w:tc>
          <w:tcPr>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pStyle w:val="1199"/>
              <w:ind w:firstLine="0"/>
              <w:jc w:val="cente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采购单位</w:t>
            </w:r>
            <w:r/>
          </w:p>
        </w:tc>
        <w:tc>
          <w:tcPr>
            <w:gridSpan w:val="4"/>
            <w:tcBorders>
              <w:top w:val="single" w:color="000000" w:sz="4" w:space="0"/>
              <w:left w:val="single" w:color="000000" w:sz="4" w:space="0"/>
              <w:bottom w:val="single" w:color="000000" w:sz="4" w:space="0"/>
              <w:right w:val="single" w:color="000000" w:sz="4" w:space="0"/>
            </w:tcBorders>
            <w:tcW w:w="4355" w:type="pct"/>
            <w:vAlign w:val="center"/>
            <w:textDirection w:val="lrTb"/>
            <w:noWrap/>
          </w:tcPr>
          <w:p>
            <w:pPr>
              <w:jc w:val="center"/>
              <w:spacing w:line="500" w:lineRule="exact"/>
              <w:widowControl/>
              <w:rPr>
                <w:rFonts w:hint="eastAsia" w:ascii="方正仿宋简体" w:hAnsi="方正仿宋简体" w:eastAsia="方正仿宋简体" w:cs="方正仿宋简体"/>
                <w:color w:val="000000"/>
                <w:sz w:val="21"/>
                <w:szCs w:val="21"/>
                <w:highlight w:val="none"/>
                <w:lang w:val="en-US" w:eastAsia="zh-CN" w:bidi="ar"/>
              </w:rPr>
            </w:pPr>
            <w:r>
              <w:rPr>
                <w:rFonts w:hint="eastAsia" w:ascii="方正仿宋简体" w:hAnsi="方正仿宋简体" w:eastAsia="方正仿宋简体" w:cs="方正仿宋简体"/>
                <w:color w:val="000000"/>
                <w:sz w:val="21"/>
                <w:szCs w:val="21"/>
                <w:highlight w:val="none"/>
                <w:lang w:val="en-US" w:eastAsia="zh-CN" w:bidi="ar"/>
              </w:rPr>
            </w:r>
            <w:r/>
          </w:p>
        </w:tc>
      </w:tr>
      <w:tr>
        <w:trPr>
          <w:trHeight w:val="674"/>
        </w:trPr>
        <w:tc>
          <w:tcPr>
            <w:tcBorders>
              <w:top w:val="single" w:color="000000" w:sz="4" w:space="0"/>
              <w:left w:val="single" w:color="000000" w:sz="4" w:space="0"/>
              <w:bottom w:val="single" w:color="000000" w:sz="4" w:space="0"/>
              <w:right w:val="single" w:color="000000" w:sz="4" w:space="0"/>
            </w:tcBorders>
            <w:tcW w:w="644" w:type="pct"/>
            <w:vAlign w:val="center"/>
            <w:textDirection w:val="lrTb"/>
            <w:noWrap/>
          </w:tcPr>
          <w:p>
            <w:pPr>
              <w:pStyle w:val="1199"/>
              <w:ind w:firstLine="0"/>
              <w:jc w:val="cente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供应商</w:t>
            </w:r>
            <w:r/>
          </w:p>
        </w:tc>
        <w:tc>
          <w:tcPr>
            <w:gridSpan w:val="4"/>
            <w:tcBorders>
              <w:top w:val="single" w:color="000000" w:sz="4" w:space="0"/>
              <w:left w:val="single" w:color="000000" w:sz="4" w:space="0"/>
              <w:bottom w:val="single" w:color="000000" w:sz="4" w:space="0"/>
              <w:right w:val="single" w:color="000000" w:sz="4" w:space="0"/>
            </w:tcBorders>
            <w:tcW w:w="4355" w:type="pct"/>
            <w:vAlign w:val="center"/>
            <w:textDirection w:val="lrTb"/>
            <w:noWrap/>
          </w:tcPr>
          <w:p>
            <w:pPr>
              <w:jc w:val="center"/>
              <w:spacing w:line="500" w:lineRule="exact"/>
              <w:widowControl/>
              <w:rPr>
                <w:rFonts w:hint="eastAsia" w:ascii="方正仿宋简体" w:hAnsi="方正仿宋简体" w:eastAsia="方正仿宋简体" w:cs="方正仿宋简体"/>
                <w:color w:val="000000"/>
                <w:sz w:val="21"/>
                <w:szCs w:val="21"/>
                <w:highlight w:val="none"/>
                <w:lang w:val="en-US" w:eastAsia="zh-CN" w:bidi="ar"/>
              </w:rPr>
            </w:pPr>
            <w:r>
              <w:rPr>
                <w:rFonts w:hint="eastAsia" w:ascii="方正仿宋简体" w:hAnsi="方正仿宋简体" w:eastAsia="方正仿宋简体" w:cs="方正仿宋简体"/>
                <w:color w:val="000000"/>
                <w:sz w:val="21"/>
                <w:szCs w:val="21"/>
                <w:highlight w:val="none"/>
                <w:lang w:val="en-US" w:eastAsia="zh-CN" w:bidi="ar"/>
              </w:rPr>
            </w:r>
            <w:r/>
          </w:p>
        </w:tc>
      </w:tr>
      <w:tr>
        <w:trPr>
          <w:trHeight w:val="571"/>
        </w:trPr>
        <w:tc>
          <w:tcPr>
            <w:tcBorders>
              <w:top w:val="single" w:color="000000" w:sz="4" w:space="0"/>
              <w:left w:val="single" w:color="000000" w:sz="4" w:space="0"/>
              <w:right w:val="single" w:color="000000" w:sz="4" w:space="0"/>
            </w:tcBorders>
            <w:tcW w:w="64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考核项目</w:t>
            </w:r>
            <w:r/>
          </w:p>
        </w:tc>
        <w:tc>
          <w:tcPr>
            <w:tcBorders>
              <w:top w:val="single" w:color="000000" w:sz="4" w:space="0"/>
              <w:left w:val="single" w:color="000000" w:sz="4" w:space="0"/>
              <w:bottom w:val="single" w:color="000000" w:sz="4" w:space="0"/>
              <w:right w:val="single" w:color="000000" w:sz="4" w:space="0"/>
            </w:tcBorders>
            <w:tcW w:w="74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指标类别</w:t>
            </w:r>
            <w:r/>
          </w:p>
        </w:tc>
        <w:tc>
          <w:tcPr>
            <w:tcBorders>
              <w:top w:val="single" w:color="000000" w:sz="4" w:space="0"/>
              <w:left w:val="single" w:color="000000" w:sz="4" w:space="0"/>
              <w:bottom w:val="single" w:color="000000" w:sz="4" w:space="0"/>
              <w:right w:val="single" w:color="000000" w:sz="4" w:space="0"/>
            </w:tcBorders>
            <w:tcW w:w="293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考核具体内容和标准</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得分</w:t>
            </w:r>
            <w:r/>
          </w:p>
        </w:tc>
      </w:tr>
      <w:tr>
        <w:trPr>
          <w:trHeight w:val="678"/>
        </w:trPr>
        <w:tc>
          <w:tcPr>
            <w:tcBorders>
              <w:left w:val="single" w:color="000000" w:sz="4" w:space="0"/>
              <w:right w:val="single" w:color="000000" w:sz="4" w:space="0"/>
            </w:tcBorders>
            <w:tcW w:w="644"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right w:val="single" w:color="000000" w:sz="4" w:space="0"/>
            </w:tcBorders>
            <w:tcW w:w="748" w:type="pct"/>
            <w:vAlign w:val="center"/>
            <w:vMerge w:val="restart"/>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服务质量</w:t>
            </w:r>
            <w:r/>
          </w:p>
        </w:tc>
        <w:tc>
          <w:tcPr>
            <w:tcBorders>
              <w:top w:val="single" w:color="000000" w:sz="4" w:space="0"/>
              <w:left w:val="single" w:color="000000" w:sz="4" w:space="0"/>
              <w:bottom w:val="single" w:color="000000" w:sz="4" w:space="0"/>
              <w:right w:val="single" w:color="000000" w:sz="4" w:space="0"/>
            </w:tcBorders>
            <w:tcW w:w="2938"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szCs w:val="21"/>
                <w:highlight w:val="none"/>
                <w:lang w:val="en-US" w:eastAsia="zh-CN"/>
              </w:rPr>
              <w:t xml:space="preserve">是否</w:t>
            </w:r>
            <w:r>
              <w:rPr>
                <w:rFonts w:hint="eastAsia" w:ascii="宋体" w:hAnsi="宋体" w:eastAsia="宋体" w:cs="宋体"/>
                <w:szCs w:val="21"/>
                <w:highlight w:val="none"/>
              </w:rPr>
              <w:t xml:space="preserve">根据</w:t>
            </w:r>
            <w:r>
              <w:rPr>
                <w:rFonts w:hint="eastAsia" w:ascii="宋体" w:hAnsi="宋体" w:cs="宋体"/>
                <w:szCs w:val="21"/>
                <w:highlight w:val="none"/>
                <w:lang w:val="en-US" w:eastAsia="zh-CN"/>
              </w:rPr>
              <w:t xml:space="preserve">相关主管部门要求</w:t>
            </w:r>
            <w:r>
              <w:rPr>
                <w:rFonts w:hint="eastAsia" w:ascii="宋体" w:hAnsi="宋体" w:eastAsia="宋体" w:cs="宋体"/>
                <w:szCs w:val="21"/>
                <w:highlight w:val="none"/>
              </w:rPr>
              <w:t xml:space="preserve">，形成</w:t>
            </w:r>
            <w:r>
              <w:rPr>
                <w:rFonts w:hint="eastAsia" w:ascii="宋体" w:hAnsi="宋体" w:cs="宋体"/>
                <w:szCs w:val="21"/>
                <w:highlight w:val="none"/>
                <w:lang w:val="en-US" w:eastAsia="zh-CN"/>
              </w:rPr>
              <w:t xml:space="preserve">最终</w:t>
            </w:r>
            <w:r>
              <w:rPr>
                <w:rFonts w:hint="eastAsia" w:ascii="宋体" w:hAnsi="宋体" w:eastAsia="宋体" w:cs="宋体"/>
                <w:szCs w:val="21"/>
                <w:highlight w:val="none"/>
              </w:rPr>
              <w:t xml:space="preserve">成果</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0"/>
        </w:trPr>
        <w:tc>
          <w:tcPr>
            <w:tcBorders>
              <w:left w:val="single" w:color="000000" w:sz="4" w:space="0"/>
              <w:right w:val="single" w:color="000000" w:sz="4" w:space="0"/>
            </w:tcBorders>
            <w:tcW w:w="644"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left w:val="single" w:color="000000" w:sz="4" w:space="0"/>
              <w:right w:val="single" w:color="000000" w:sz="4" w:space="0"/>
            </w:tcBorders>
            <w:tcW w:w="748"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38"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成果报告完成后</w:t>
            </w:r>
            <w:r>
              <w:rPr>
                <w:rFonts w:hint="eastAsia" w:ascii="宋体" w:hAnsi="宋体" w:cs="宋体"/>
                <w:b w:val="0"/>
                <w:bCs w:val="0"/>
                <w:color w:val="000000"/>
                <w:sz w:val="21"/>
                <w:szCs w:val="21"/>
                <w:highlight w:val="none"/>
                <w:lang w:val="en-US" w:eastAsia="zh-CN" w:bidi="ar-SA"/>
              </w:rPr>
              <w:t xml:space="preserve">相关主管部门组织开会</w:t>
            </w:r>
            <w:r>
              <w:rPr>
                <w:rFonts w:hint="eastAsia" w:ascii="宋体" w:hAnsi="宋体" w:eastAsia="宋体" w:cs="宋体"/>
                <w:b w:val="0"/>
                <w:bCs w:val="0"/>
                <w:color w:val="000000"/>
                <w:sz w:val="21"/>
                <w:szCs w:val="21"/>
                <w:highlight w:val="none"/>
                <w:lang w:val="en-US" w:eastAsia="zh-CN" w:bidi="ar-SA"/>
              </w:rPr>
              <w:t xml:space="preserve">一次性通过得20分，第二次通过得15分，第三次通过不得分</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20"/>
        </w:trPr>
        <w:tc>
          <w:tcPr>
            <w:tcBorders>
              <w:left w:val="single" w:color="000000" w:sz="4" w:space="0"/>
              <w:right w:val="single" w:color="000000" w:sz="4" w:space="0"/>
            </w:tcBorders>
            <w:tcW w:w="644"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left w:val="single" w:color="000000" w:sz="4" w:space="0"/>
              <w:right w:val="single" w:color="000000" w:sz="4" w:space="0"/>
            </w:tcBorders>
            <w:tcW w:w="748"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38"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规定时间内是否正常完成</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86"/>
        </w:trPr>
        <w:tc>
          <w:tcPr>
            <w:tcBorders>
              <w:left w:val="single" w:color="000000" w:sz="4" w:space="0"/>
              <w:right w:val="single" w:color="000000" w:sz="4" w:space="0"/>
            </w:tcBorders>
            <w:tcW w:w="644"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right w:val="single" w:color="auto" w:sz="4" w:space="0"/>
            </w:tcBorders>
            <w:tcW w:w="748"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技术要求</w:t>
            </w:r>
            <w:r/>
          </w:p>
        </w:tc>
        <w:tc>
          <w:tcPr>
            <w:tcBorders>
              <w:top w:val="single" w:color="000000" w:sz="4" w:space="0"/>
              <w:left w:val="single" w:color="auto" w:sz="4" w:space="0"/>
              <w:bottom w:val="single" w:color="000000" w:sz="4" w:space="0"/>
              <w:right w:val="single" w:color="000000" w:sz="4" w:space="0"/>
            </w:tcBorders>
            <w:tcW w:w="2938"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是否满足相关技术规范要求</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97"/>
        </w:trPr>
        <w:tc>
          <w:tcPr>
            <w:tcBorders>
              <w:left w:val="single" w:color="000000" w:sz="4" w:space="0"/>
              <w:right w:val="single" w:color="000000" w:sz="4" w:space="0"/>
            </w:tcBorders>
            <w:tcW w:w="644"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left w:val="single" w:color="auto" w:sz="4" w:space="0"/>
              <w:right w:val="single" w:color="auto" w:sz="4" w:space="0"/>
            </w:tcBorders>
            <w:tcW w:w="748"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2938"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项目负责人是否具备3年及以上从业经验</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0"/>
        </w:trPr>
        <w:tc>
          <w:tcPr>
            <w:tcBorders>
              <w:left w:val="single" w:color="000000" w:sz="4" w:space="0"/>
              <w:right w:val="single" w:color="000000" w:sz="4" w:space="0"/>
            </w:tcBorders>
            <w:tcW w:w="644"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left w:val="single" w:color="auto" w:sz="4" w:space="0"/>
              <w:right w:val="single" w:color="auto" w:sz="4" w:space="0"/>
            </w:tcBorders>
            <w:tcW w:w="748" w:type="pct"/>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2938"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项目组织管理措施完善，项目组成人员及分工明确，质量管理、技术保证、安全及劳动保证、项目售后服务内容及服务落实保证等措施健全</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20"/>
        </w:trPr>
        <w:tc>
          <w:tcPr>
            <w:tcBorders>
              <w:left w:val="single" w:color="000000" w:sz="4" w:space="0"/>
              <w:right w:val="single" w:color="000000" w:sz="4" w:space="0"/>
            </w:tcBorders>
            <w:tcW w:w="644"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left w:val="single" w:color="auto" w:sz="4" w:space="0"/>
              <w:bottom w:val="single" w:color="auto" w:sz="4" w:space="0"/>
              <w:right w:val="single" w:color="auto" w:sz="4" w:space="0"/>
            </w:tcBorders>
            <w:tcW w:w="748"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938"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是否开展现场</w:t>
            </w:r>
            <w:r>
              <w:rPr>
                <w:rFonts w:hint="eastAsia" w:ascii="宋体" w:hAnsi="宋体" w:eastAsia="宋体" w:cs="宋体"/>
                <w:i w:val="0"/>
                <w:iCs w:val="0"/>
                <w:color w:val="auto"/>
                <w:sz w:val="21"/>
                <w:szCs w:val="21"/>
                <w:highlight w:val="none"/>
                <w:u w:val="none"/>
                <w:lang w:val="en-US" w:eastAsia="zh-CN"/>
              </w:rPr>
              <w:t xml:space="preserve">踏勘及采样检测</w:t>
            </w:r>
            <w:r>
              <w:rPr>
                <w:rFonts w:hint="eastAsia" w:ascii="宋体" w:hAnsi="宋体" w:eastAsia="宋体" w:cs="宋体"/>
                <w:i w:val="0"/>
                <w:iCs w:val="0"/>
                <w:color w:val="auto"/>
                <w:sz w:val="21"/>
                <w:szCs w:val="21"/>
                <w:highlight w:val="none"/>
                <w:u w:val="none"/>
              </w:rPr>
              <w:t xml:space="preserve">调查工作</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32"/>
        </w:trPr>
        <w:tc>
          <w:tcPr>
            <w:tcBorders>
              <w:left w:val="single" w:color="000000" w:sz="4" w:space="0"/>
              <w:right w:val="single" w:color="000000" w:sz="4" w:space="0"/>
            </w:tcBorders>
            <w:tcW w:w="644"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auto" w:sz="4" w:space="0"/>
              <w:left w:val="single" w:color="auto" w:sz="4" w:space="0"/>
              <w:right w:val="single" w:color="auto" w:sz="4" w:space="0"/>
            </w:tcBorders>
            <w:tcW w:w="748" w:type="pct"/>
            <w:vAlign w:val="center"/>
            <w:vMerge w:val="restart"/>
            <w:textDirection w:val="lrTb"/>
            <w:noWrap/>
          </w:tcPr>
          <w:p>
            <w:pPr>
              <w:jc w:val="center"/>
              <w:rPr>
                <w:rFonts w:hint="default" w:ascii="宋体" w:hAnsi="宋体" w:eastAsia="宋体" w:cs="宋体"/>
                <w:i w:val="0"/>
                <w:iCs w:val="0"/>
                <w:color w:val="000000"/>
                <w:sz w:val="21"/>
                <w:szCs w:val="21"/>
                <w:highlight w:val="none"/>
                <w:u w:val="none"/>
                <w:lang w:val="en-US" w:eastAsia="zh-CN"/>
              </w:rPr>
            </w:pPr>
            <w:r>
              <w:rPr>
                <w:rFonts w:hint="eastAsia"/>
                <w:sz w:val="24"/>
                <w:szCs w:val="24"/>
                <w:highlight w:val="none"/>
                <w:lang w:val="en-US" w:eastAsia="zh-CN"/>
              </w:rPr>
              <w:t xml:space="preserve">安全要求</w:t>
            </w:r>
            <w:r/>
          </w:p>
        </w:tc>
        <w:tc>
          <w:tcPr>
            <w:tcBorders>
              <w:top w:val="single" w:color="000000" w:sz="4" w:space="0"/>
              <w:left w:val="single" w:color="auto" w:sz="4" w:space="0"/>
              <w:bottom w:val="single" w:color="000000" w:sz="4" w:space="0"/>
              <w:right w:val="single" w:color="000000" w:sz="4" w:space="0"/>
            </w:tcBorders>
            <w:tcW w:w="2938"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是否开展项目组人员安全教育</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66"/>
        </w:trPr>
        <w:tc>
          <w:tcPr>
            <w:tcBorders>
              <w:left w:val="single" w:color="000000" w:sz="4" w:space="0"/>
              <w:right w:val="single" w:color="000000" w:sz="4" w:space="0"/>
            </w:tcBorders>
            <w:tcW w:w="644"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left w:val="single" w:color="auto" w:sz="4" w:space="0"/>
              <w:right w:val="single" w:color="auto" w:sz="4" w:space="0"/>
            </w:tcBorders>
            <w:tcW w:w="748" w:type="pct"/>
            <w:vAlign w:val="center"/>
            <w:vMerge w:val="continue"/>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auto" w:sz="4" w:space="0"/>
              <w:bottom w:val="single" w:color="000000" w:sz="4" w:space="0"/>
              <w:right w:val="single" w:color="000000" w:sz="4" w:space="0"/>
            </w:tcBorders>
            <w:tcW w:w="2938" w:type="pct"/>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服务中是否发生安全事故</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457"/>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pStyle w:val="1201"/>
              <w:numPr>
                <w:ilvl w:val="0"/>
                <w:numId w:val="0"/>
              </w:numPr>
              <w:spacing w:line="360" w:lineRule="auto"/>
              <w:rPr>
                <w:rFonts w:hint="eastAsia" w:ascii="宋体" w:hAnsi="宋体" w:eastAsia="宋体" w:cs="宋体"/>
                <w:color w:val="auto"/>
                <w:spacing w:val="0"/>
                <w:sz w:val="21"/>
                <w:szCs w:val="21"/>
                <w:highlight w:val="none"/>
                <w:u w:val="none"/>
                <w:lang w:val="en-US" w:eastAsia="zh-CN" w:bidi="ar-SA"/>
              </w:rPr>
            </w:pPr>
            <w:r>
              <w:rPr>
                <w:rFonts w:hint="eastAsia" w:ascii="宋体" w:hAnsi="宋体" w:eastAsia="宋体" w:cs="宋体"/>
                <w:color w:val="auto"/>
                <w:spacing w:val="0"/>
                <w:sz w:val="21"/>
                <w:szCs w:val="21"/>
                <w:highlight w:val="none"/>
                <w:u w:val="none"/>
                <w:lang w:val="en-US" w:eastAsia="zh-CN" w:bidi="ar-SA"/>
              </w:rPr>
              <w:t xml:space="preserve">支付费用根据考核得分支付标准：</w:t>
            </w:r>
            <w:r/>
          </w:p>
          <w:p>
            <w:pPr>
              <w:jc w:val="both"/>
              <w:pageBreakBefore w:val="0"/>
              <w:spacing w:line="360" w:lineRule="auto"/>
              <w:widowControl w:val="off"/>
              <w:rPr>
                <w:rFonts w:hint="eastAsia" w:ascii="宋体" w:hAnsi="宋体" w:eastAsia="宋体" w:cs="宋体"/>
                <w:color w:val="auto"/>
                <w:spacing w:val="0"/>
                <w:sz w:val="21"/>
                <w:szCs w:val="21"/>
                <w:highlight w:val="none"/>
                <w:u w:val="none"/>
                <w:lang w:val="zh-CN" w:eastAsia="zh-CN" w:bidi="ar-SA"/>
              </w:rPr>
            </w:pPr>
            <w:r>
              <w:rPr>
                <w:rFonts w:hint="eastAsia" w:ascii="宋体" w:hAnsi="宋体" w:eastAsia="宋体" w:cs="宋体"/>
                <w:color w:val="auto"/>
                <w:spacing w:val="0"/>
                <w:sz w:val="21"/>
                <w:szCs w:val="21"/>
                <w:highlight w:val="none"/>
                <w:u w:val="none"/>
                <w:lang w:val="en-US" w:eastAsia="zh-CN" w:bidi="ar-SA"/>
              </w:rPr>
              <w:t xml:space="preserve">1</w:t>
            </w:r>
            <w:r>
              <w:rPr>
                <w:rFonts w:hint="default" w:ascii="宋体" w:hAnsi="宋体" w:eastAsia="宋体" w:cs="宋体"/>
                <w:color w:val="auto"/>
                <w:spacing w:val="0"/>
                <w:sz w:val="21"/>
                <w:szCs w:val="21"/>
                <w:highlight w:val="none"/>
                <w:u w:val="none"/>
                <w:lang w:val="en-US" w:eastAsia="zh-CN" w:bidi="ar-SA"/>
              </w:rPr>
              <w:t xml:space="preserve">、90分及以上：支付支付已完</w:t>
            </w:r>
            <w:r>
              <w:rPr>
                <w:rFonts w:hint="eastAsia" w:ascii="宋体" w:hAnsi="宋体" w:eastAsia="宋体" w:cs="宋体"/>
                <w:color w:val="auto"/>
                <w:spacing w:val="0"/>
                <w:sz w:val="21"/>
                <w:szCs w:val="21"/>
                <w:highlight w:val="none"/>
                <w:u w:val="none"/>
                <w:lang w:val="en-US" w:eastAsia="zh-CN" w:bidi="ar-SA"/>
              </w:rPr>
              <w:t xml:space="preserve">工作</w:t>
            </w:r>
            <w:r>
              <w:rPr>
                <w:rFonts w:hint="default" w:ascii="宋体" w:hAnsi="宋体" w:eastAsia="宋体" w:cs="宋体"/>
                <w:color w:val="auto"/>
                <w:spacing w:val="0"/>
                <w:sz w:val="21"/>
                <w:szCs w:val="21"/>
                <w:highlight w:val="none"/>
                <w:u w:val="none"/>
                <w:lang w:val="en-US" w:eastAsia="zh-CN" w:bidi="ar-SA"/>
              </w:rPr>
              <w:t xml:space="preserve">量费用的100%;</w:t>
            </w:r>
            <w:r/>
          </w:p>
          <w:p>
            <w:pPr>
              <w:jc w:val="both"/>
              <w:pageBreakBefore w:val="0"/>
              <w:spacing w:line="360" w:lineRule="auto"/>
              <w:widowControl w:val="off"/>
              <w:rPr>
                <w:rFonts w:hint="default" w:ascii="宋体" w:hAnsi="宋体" w:eastAsia="宋体" w:cs="宋体"/>
                <w:color w:val="auto"/>
                <w:spacing w:val="0"/>
                <w:sz w:val="21"/>
                <w:szCs w:val="21"/>
                <w:highlight w:val="none"/>
                <w:u w:val="none"/>
                <w:lang w:val="en-US" w:eastAsia="zh-CN" w:bidi="ar-SA"/>
              </w:rPr>
            </w:pPr>
            <w:r>
              <w:rPr>
                <w:rFonts w:hint="eastAsia" w:ascii="宋体" w:hAnsi="宋体" w:eastAsia="宋体" w:cs="宋体"/>
                <w:color w:val="auto"/>
                <w:spacing w:val="0"/>
                <w:sz w:val="21"/>
                <w:szCs w:val="21"/>
                <w:highlight w:val="none"/>
                <w:u w:val="none"/>
                <w:lang w:val="en-US" w:eastAsia="zh-CN" w:bidi="ar-SA"/>
              </w:rPr>
              <w:t xml:space="preserve">2</w:t>
            </w:r>
            <w:r>
              <w:rPr>
                <w:rFonts w:hint="default" w:ascii="宋体" w:hAnsi="宋体" w:eastAsia="宋体" w:cs="宋体"/>
                <w:color w:val="auto"/>
                <w:spacing w:val="0"/>
                <w:sz w:val="21"/>
                <w:szCs w:val="21"/>
                <w:highlight w:val="none"/>
                <w:u w:val="none"/>
                <w:lang w:val="en-US" w:eastAsia="zh-CN" w:bidi="ar-SA"/>
              </w:rPr>
              <w:t xml:space="preserve">、85分</w:t>
            </w:r>
            <w:r>
              <w:rPr>
                <w:rFonts w:hint="eastAsia" w:ascii="宋体" w:hAnsi="宋体" w:eastAsia="宋体" w:cs="宋体"/>
                <w:color w:val="auto"/>
                <w:spacing w:val="0"/>
                <w:sz w:val="21"/>
                <w:szCs w:val="21"/>
                <w:highlight w:val="none"/>
                <w:u w:val="none"/>
                <w:lang w:val="en-US" w:eastAsia="zh-CN" w:bidi="ar-SA"/>
              </w:rPr>
              <w:t xml:space="preserve">（含85分）</w:t>
            </w:r>
            <w:r>
              <w:rPr>
                <w:rFonts w:hint="default" w:ascii="宋体" w:hAnsi="宋体" w:eastAsia="宋体" w:cs="宋体"/>
                <w:color w:val="auto"/>
                <w:spacing w:val="0"/>
                <w:sz w:val="21"/>
                <w:szCs w:val="21"/>
                <w:highlight w:val="none"/>
                <w:u w:val="none"/>
                <w:lang w:val="en-US" w:eastAsia="zh-CN" w:bidi="ar-SA"/>
              </w:rPr>
              <w:t xml:space="preserve">--89分：支付已完</w:t>
            </w:r>
            <w:r>
              <w:rPr>
                <w:rFonts w:hint="eastAsia" w:ascii="宋体" w:hAnsi="宋体" w:eastAsia="宋体" w:cs="宋体"/>
                <w:color w:val="auto"/>
                <w:spacing w:val="0"/>
                <w:sz w:val="21"/>
                <w:szCs w:val="21"/>
                <w:highlight w:val="none"/>
                <w:u w:val="none"/>
                <w:lang w:val="en-US" w:eastAsia="zh-CN" w:bidi="ar-SA"/>
              </w:rPr>
              <w:t xml:space="preserve">工作</w:t>
            </w:r>
            <w:r>
              <w:rPr>
                <w:rFonts w:hint="default" w:ascii="宋体" w:hAnsi="宋体" w:eastAsia="宋体" w:cs="宋体"/>
                <w:color w:val="auto"/>
                <w:spacing w:val="0"/>
                <w:sz w:val="21"/>
                <w:szCs w:val="21"/>
                <w:highlight w:val="none"/>
                <w:u w:val="none"/>
                <w:lang w:val="en-US" w:eastAsia="zh-CN" w:bidi="ar-SA"/>
              </w:rPr>
              <w:t xml:space="preserve">量费用的90%,扣除的费用不予退还；</w:t>
            </w:r>
            <w:r/>
          </w:p>
          <w:p>
            <w:pPr>
              <w:jc w:val="both"/>
              <w:pageBreakBefore w:val="0"/>
              <w:spacing w:line="360" w:lineRule="auto"/>
              <w:widowControl w:val="off"/>
              <w:rPr>
                <w:rFonts w:hint="default" w:ascii="宋体" w:hAnsi="宋体" w:eastAsia="宋体" w:cs="宋体"/>
                <w:color w:val="auto"/>
                <w:spacing w:val="0"/>
                <w:sz w:val="21"/>
                <w:szCs w:val="21"/>
                <w:highlight w:val="none"/>
                <w:u w:val="none"/>
                <w:lang w:val="en-US" w:eastAsia="zh-CN" w:bidi="ar-SA"/>
              </w:rPr>
            </w:pPr>
            <w:r>
              <w:rPr>
                <w:rFonts w:hint="eastAsia" w:ascii="宋体" w:hAnsi="宋体" w:eastAsia="宋体" w:cs="宋体"/>
                <w:color w:val="auto"/>
                <w:spacing w:val="0"/>
                <w:sz w:val="21"/>
                <w:szCs w:val="21"/>
                <w:highlight w:val="none"/>
                <w:u w:val="none"/>
                <w:lang w:val="en-US" w:eastAsia="zh-CN" w:bidi="ar-SA"/>
              </w:rPr>
              <w:t xml:space="preserve">3</w:t>
            </w:r>
            <w:r>
              <w:rPr>
                <w:rFonts w:hint="default" w:ascii="宋体" w:hAnsi="宋体" w:eastAsia="宋体" w:cs="宋体"/>
                <w:color w:val="auto"/>
                <w:spacing w:val="0"/>
                <w:sz w:val="21"/>
                <w:szCs w:val="21"/>
                <w:highlight w:val="none"/>
                <w:u w:val="none"/>
                <w:lang w:val="en-US" w:eastAsia="zh-CN" w:bidi="ar-SA"/>
              </w:rPr>
              <w:t xml:space="preserve">、80分</w:t>
            </w:r>
            <w:r>
              <w:rPr>
                <w:rFonts w:hint="eastAsia" w:ascii="宋体" w:hAnsi="宋体" w:eastAsia="宋体" w:cs="宋体"/>
                <w:color w:val="auto"/>
                <w:spacing w:val="0"/>
                <w:sz w:val="21"/>
                <w:szCs w:val="21"/>
                <w:highlight w:val="none"/>
                <w:u w:val="none"/>
                <w:lang w:val="en-US" w:eastAsia="zh-CN" w:bidi="ar-SA"/>
              </w:rPr>
              <w:t xml:space="preserve">（含80分）</w:t>
            </w:r>
            <w:r>
              <w:rPr>
                <w:rFonts w:hint="default" w:ascii="宋体" w:hAnsi="宋体" w:eastAsia="宋体" w:cs="宋体"/>
                <w:color w:val="auto"/>
                <w:spacing w:val="0"/>
                <w:sz w:val="21"/>
                <w:szCs w:val="21"/>
                <w:highlight w:val="none"/>
                <w:u w:val="none"/>
                <w:lang w:val="en-US" w:eastAsia="zh-CN" w:bidi="ar-SA"/>
              </w:rPr>
              <w:t xml:space="preserve">—84分：支付已完</w:t>
            </w:r>
            <w:r>
              <w:rPr>
                <w:rFonts w:hint="eastAsia" w:ascii="宋体" w:hAnsi="宋体" w:eastAsia="宋体" w:cs="宋体"/>
                <w:color w:val="auto"/>
                <w:spacing w:val="0"/>
                <w:sz w:val="21"/>
                <w:szCs w:val="21"/>
                <w:highlight w:val="none"/>
                <w:u w:val="none"/>
                <w:lang w:val="en-US" w:eastAsia="zh-CN" w:bidi="ar-SA"/>
              </w:rPr>
              <w:t xml:space="preserve">工作</w:t>
            </w:r>
            <w:r>
              <w:rPr>
                <w:rFonts w:hint="default" w:ascii="宋体" w:hAnsi="宋体" w:eastAsia="宋体" w:cs="宋体"/>
                <w:color w:val="auto"/>
                <w:spacing w:val="0"/>
                <w:sz w:val="21"/>
                <w:szCs w:val="21"/>
                <w:highlight w:val="none"/>
                <w:u w:val="none"/>
                <w:lang w:val="en-US" w:eastAsia="zh-CN" w:bidi="ar-SA"/>
              </w:rPr>
              <w:t xml:space="preserve">量费用的80%,扣除的费用不予退还；</w:t>
            </w:r>
            <w:r/>
          </w:p>
          <w:p>
            <w:pPr>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color w:val="auto"/>
                <w:spacing w:val="0"/>
                <w:sz w:val="21"/>
                <w:szCs w:val="21"/>
                <w:highlight w:val="none"/>
                <w:u w:val="none"/>
                <w:lang w:val="en-US" w:eastAsia="zh-CN" w:bidi="ar-SA"/>
              </w:rPr>
              <w:t xml:space="preserve">4、</w:t>
            </w:r>
            <w:r>
              <w:rPr>
                <w:rFonts w:hint="eastAsia" w:ascii="宋体" w:hAnsi="宋体" w:eastAsia="宋体" w:cs="宋体"/>
                <w:color w:val="auto"/>
                <w:spacing w:val="0"/>
                <w:sz w:val="21"/>
                <w:szCs w:val="21"/>
                <w:highlight w:val="none"/>
                <w:u w:val="none"/>
                <w:lang w:val="zh-CN" w:eastAsia="zh-CN" w:bidi="ar-SA"/>
              </w:rPr>
              <w:t xml:space="preserve">考核评分表作为考核依</w:t>
            </w:r>
            <w:r>
              <w:rPr>
                <w:rFonts w:hint="eastAsia" w:ascii="宋体" w:hAnsi="宋体" w:eastAsia="宋体" w:cs="宋体"/>
                <w:color w:val="000000" w:themeColor="text1"/>
                <w:spacing w:val="0"/>
                <w:sz w:val="21"/>
                <w:szCs w:val="21"/>
                <w:highlight w:val="none"/>
                <w:u w:val="none"/>
                <w:lang w:val="zh-CN" w:eastAsia="zh-CN" w:bidi="ar-SA"/>
                <w14:textFill>
                  <w14:solidFill>
                    <w14:schemeClr w14:val="tx1"/>
                  </w14:solidFill>
                </w14:textFill>
              </w:rPr>
              <w:t xml:space="preserve">据，当分数低于</w:t>
            </w:r>
            <w:r>
              <w:rPr>
                <w:rFonts w:hint="eastAsia" w:ascii="宋体" w:hAnsi="宋体" w:eastAsia="宋体" w:cs="宋体"/>
                <w:color w:val="000000" w:themeColor="text1"/>
                <w:spacing w:val="0"/>
                <w:sz w:val="21"/>
                <w:szCs w:val="21"/>
                <w:highlight w:val="none"/>
                <w:u w:val="none"/>
                <w:lang w:val="en-US" w:eastAsia="zh-CN" w:bidi="ar-SA"/>
                <w14:textFill>
                  <w14:solidFill>
                    <w14:schemeClr w14:val="tx1"/>
                  </w14:solidFill>
                </w14:textFill>
              </w:rPr>
              <w:t xml:space="preserve">8</w:t>
            </w:r>
            <w:r>
              <w:rPr>
                <w:rFonts w:hint="eastAsia" w:ascii="宋体" w:hAnsi="宋体" w:eastAsia="宋体" w:cs="宋体"/>
                <w:color w:val="000000" w:themeColor="text1"/>
                <w:spacing w:val="0"/>
                <w:sz w:val="21"/>
                <w:szCs w:val="21"/>
                <w:highlight w:val="none"/>
                <w:u w:val="none"/>
                <w:lang w:val="zh-CN" w:eastAsia="zh-CN" w:bidi="ar-SA"/>
                <w14:textFill>
                  <w14:solidFill>
                    <w14:schemeClr w14:val="tx1"/>
                  </w14:solidFill>
                </w14:textFill>
              </w:rPr>
              <w:t xml:space="preserve">0分，</w:t>
            </w:r>
            <w:r>
              <w:rPr>
                <w:rFonts w:hint="eastAsia" w:ascii="宋体" w:hAnsi="宋体" w:eastAsia="宋体" w:cs="宋体"/>
                <w:color w:val="000000" w:themeColor="text1"/>
                <w:spacing w:val="0"/>
                <w:sz w:val="21"/>
                <w:szCs w:val="21"/>
                <w:highlight w:val="none"/>
                <w:u w:val="none"/>
                <w:lang w:val="en-US" w:eastAsia="zh-CN" w:bidi="ar-SA"/>
                <w14:textFill>
                  <w14:solidFill>
                    <w14:schemeClr w14:val="tx1"/>
                  </w14:solidFill>
                </w14:textFill>
              </w:rPr>
              <w:t xml:space="preserve">视为未通过考核，</w:t>
            </w:r>
            <w:r>
              <w:rPr>
                <w:rFonts w:hint="eastAsia" w:ascii="宋体" w:hAnsi="宋体" w:eastAsia="宋体" w:cs="宋体"/>
                <w:color w:val="000000" w:themeColor="text1"/>
                <w:spacing w:val="0"/>
                <w:sz w:val="21"/>
                <w:szCs w:val="21"/>
                <w:highlight w:val="none"/>
                <w:u w:val="none"/>
                <w:lang w:val="zh-CN" w:eastAsia="zh-CN" w:bidi="ar-SA"/>
                <w14:textFill>
                  <w14:solidFill>
                    <w14:schemeClr w14:val="tx1"/>
                  </w14:solidFill>
                </w14:textFill>
              </w:rPr>
              <w:t xml:space="preserve">甲方有权终止合同，</w:t>
            </w:r>
            <w:r>
              <w:rPr>
                <w:rFonts w:hint="eastAsia" w:ascii="宋体" w:hAnsi="宋体" w:eastAsia="宋体" w:cs="宋体"/>
                <w:color w:val="000000" w:themeColor="text1"/>
                <w:spacing w:val="0"/>
                <w:sz w:val="21"/>
                <w:szCs w:val="21"/>
                <w:highlight w:val="none"/>
                <w:u w:val="none"/>
                <w:lang w:val="en-US" w:eastAsia="zh-CN" w:bidi="ar-SA"/>
                <w14:textFill>
                  <w14:solidFill>
                    <w14:schemeClr w14:val="tx1"/>
                  </w14:solidFill>
                </w14:textFill>
              </w:rPr>
              <w:t xml:space="preserve">乙方退还</w:t>
            </w:r>
            <w:r>
              <w:rPr>
                <w:rFonts w:hint="eastAsia" w:ascii="宋体" w:hAnsi="宋体" w:cs="宋体"/>
                <w:color w:val="000000" w:themeColor="text1"/>
                <w:szCs w:val="21"/>
                <w:highlight w:val="none"/>
                <w14:textFill>
                  <w14:solidFill>
                    <w14:schemeClr w14:val="tx1"/>
                  </w14:solidFill>
                </w14:textFill>
              </w:rPr>
              <w:t xml:space="preserve">所收取的全部费用</w:t>
            </w:r>
            <w:r>
              <w:rPr>
                <w:rFonts w:hint="eastAsia" w:ascii="宋体" w:hAnsi="宋体" w:eastAsia="宋体" w:cs="宋体"/>
                <w:color w:val="000000" w:themeColor="text1"/>
                <w:spacing w:val="0"/>
                <w:sz w:val="21"/>
                <w:szCs w:val="21"/>
                <w:highlight w:val="none"/>
                <w:u w:val="none"/>
                <w:lang w:val="zh-CN" w:eastAsia="zh-CN" w:bidi="ar-SA"/>
                <w14:textFill>
                  <w14:solidFill>
                    <w14:schemeClr w14:val="tx1"/>
                  </w14:solidFill>
                </w14:textFill>
              </w:rPr>
              <w:t xml:space="preserve">。</w:t>
            </w:r>
            <w:r/>
          </w:p>
        </w:tc>
      </w:tr>
      <w:tr>
        <w:trPr>
          <w:trHeight w:val="1070"/>
        </w:trPr>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考核人意见（签字）</w:t>
            </w:r>
            <w:r/>
          </w:p>
        </w:tc>
        <w:tc>
          <w:tcPr>
            <w:gridSpan w:val="2"/>
            <w:tcBorders>
              <w:top w:val="single" w:color="000000" w:sz="4" w:space="0"/>
              <w:left w:val="single" w:color="000000" w:sz="4" w:space="0"/>
              <w:bottom w:val="single" w:color="000000" w:sz="4" w:space="0"/>
              <w:right w:val="single" w:color="000000" w:sz="4" w:space="0"/>
            </w:tcBorders>
            <w:tcW w:w="3687"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得分</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br w:type="page" w:clear="all"/>
      </w:r>
      <w:r/>
    </w:p>
    <w:p>
      <w:pPr>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ind w:right="177"/>
        <w:jc w:val="center"/>
        <w:tabs>
          <w:tab w:val="left" w:pos="1279" w:leader="none"/>
        </w:tabs>
        <w:rPr>
          <w:color w:val="000000" w:themeColor="text1"/>
          <w:highlight w:val="none"/>
          <w:lang w:eastAsia="zh-CN"/>
          <w14:textFill>
            <w14:solidFill>
              <w14:schemeClr w14:val="tx1"/>
            </w14:solidFill>
          </w14:textFill>
        </w:rPr>
        <w:outlineLvl w:val="0"/>
      </w:pPr>
      <w:r/>
      <w:bookmarkStart w:id="142" w:name="_Toc183610250"/>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第六章 响应文件格式</w:t>
      </w:r>
      <w:bookmarkEnd w:id="142"/>
      <w:r/>
      <w:r/>
    </w:p>
    <w:p>
      <w:pPr>
        <w:spacing w:before="12"/>
        <w:rPr>
          <w:rFonts w:ascii="宋体" w:hAnsi="宋体" w:eastAsia="宋体" w:cs="宋体"/>
          <w:color w:val="000000" w:themeColor="text1"/>
          <w:sz w:val="21"/>
          <w:szCs w:val="21"/>
          <w:highlight w:val="none"/>
          <w:lang w:eastAsia="zh-CN"/>
          <w14:textFill>
            <w14:solidFill>
              <w14:schemeClr w14:val="tx1"/>
            </w14:solidFill>
          </w14:textFill>
        </w:rPr>
      </w:pPr>
      <w:r>
        <w:rPr>
          <w:rFonts w:ascii="宋体" w:hAnsi="宋体" w:eastAsia="宋体" w:cs="宋体"/>
          <w:color w:val="000000" w:themeColor="text1"/>
          <w:sz w:val="21"/>
          <w:szCs w:val="21"/>
          <w:highlight w:val="none"/>
          <w:lang w:eastAsia="zh-CN"/>
          <w14:textFill>
            <w14:solidFill>
              <w14:schemeClr w14:val="tx1"/>
            </w14:solidFill>
          </w14:textFill>
        </w:rPr>
      </w:r>
      <w:r/>
    </w:p>
    <w:p>
      <w:pPr>
        <w:spacing w:before="12"/>
        <w:rPr>
          <w:rFonts w:ascii="宋体" w:hAnsi="宋体" w:eastAsia="宋体" w:cs="宋体"/>
          <w:color w:val="000000" w:themeColor="text1"/>
          <w:sz w:val="21"/>
          <w:szCs w:val="21"/>
          <w:highlight w:val="none"/>
          <w:lang w:eastAsia="zh-CN"/>
          <w14:textFill>
            <w14:solidFill>
              <w14:schemeClr w14:val="tx1"/>
            </w14:solidFill>
          </w14:textFill>
        </w:rPr>
      </w:pPr>
      <w:r>
        <w:rPr>
          <w:rFonts w:ascii="宋体" w:hAnsi="宋体" w:eastAsia="宋体" w:cs="宋体"/>
          <w:color w:val="000000" w:themeColor="text1"/>
          <w:sz w:val="21"/>
          <w:szCs w:val="21"/>
          <w:highlight w:val="none"/>
          <w:lang w:eastAsia="zh-CN"/>
          <w14:textFill>
            <w14:solidFill>
              <w14:schemeClr w14:val="tx1"/>
            </w14:solidFill>
          </w14:textFill>
        </w:rPr>
      </w:r>
      <w:r/>
    </w:p>
    <w:p>
      <w:pPr>
        <w:spacing w:before="12"/>
        <w:rPr>
          <w:rFonts w:ascii="宋体" w:hAnsi="宋体" w:eastAsia="宋体" w:cs="宋体"/>
          <w:color w:val="000000" w:themeColor="text1"/>
          <w:sz w:val="21"/>
          <w:szCs w:val="21"/>
          <w:highlight w:val="none"/>
          <w:lang w:eastAsia="zh-CN"/>
          <w14:textFill>
            <w14:solidFill>
              <w14:schemeClr w14:val="tx1"/>
            </w14:solidFill>
          </w14:textFill>
        </w:rPr>
      </w:pPr>
      <w:r>
        <w:rPr>
          <w:rFonts w:ascii="宋体" w:hAnsi="宋体" w:eastAsia="宋体" w:cs="宋体"/>
          <w:color w:val="000000" w:themeColor="text1"/>
          <w:sz w:val="21"/>
          <w:szCs w:val="21"/>
          <w:highlight w:val="none"/>
          <w:lang w:eastAsia="zh-CN"/>
          <w14:textFill>
            <w14:solidFill>
              <w14:schemeClr w14:val="tx1"/>
            </w14:solidFill>
          </w14:textFill>
        </w:rPr>
      </w:r>
      <w:r/>
    </w:p>
    <w:p>
      <w:pPr>
        <w:jc w:val="right"/>
        <w:spacing w:line="712" w:lineRule="auto"/>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32"/>
          <w:szCs w:val="32"/>
          <w:highlight w:val="none"/>
          <w:lang w:eastAsia="zh-CN"/>
          <w14:textFill>
            <w14:solidFill>
              <w14:schemeClr w14:val="tx1"/>
            </w14:solidFill>
          </w14:textFill>
        </w:rPr>
        <w:t xml:space="preserve">正本（副本）</w:t>
      </w:r>
      <w:r>
        <w:rPr>
          <w:color w:val="000000" w:themeColor="text1"/>
          <w:highlight w:val="none"/>
          <w:lang w:eastAsia="zh-CN"/>
          <w14:textFill>
            <w14:solidFill>
              <w14:schemeClr w14:val="tx1"/>
            </w14:solidFill>
          </w14:textFill>
        </w:rPr>
        <w:t xml:space="preserve"> </w:t>
      </w:r>
      <w:r/>
    </w:p>
    <w:p>
      <w:pPr>
        <w:jc w:val="center"/>
        <w:spacing w:line="360" w:lineRule="auto"/>
        <w:rPr>
          <w:rFonts w:ascii="宋体" w:hAnsi="宋体" w:eastAsia="宋体" w:cs="宋体"/>
          <w:color w:val="000000" w:themeColor="text1"/>
          <w:sz w:val="44"/>
          <w:szCs w:val="44"/>
          <w:highlight w:val="none"/>
          <w:lang w:eastAsia="zh-CN"/>
          <w14:textFill>
            <w14:solidFill>
              <w14:schemeClr w14:val="tx1"/>
            </w14:solidFill>
          </w14:textFill>
        </w:rPr>
      </w:pPr>
      <w:r>
        <w:rPr>
          <w:rFonts w:ascii="宋体" w:hAnsi="宋体" w:eastAsia="宋体" w:cs="宋体"/>
          <w:color w:val="000000" w:themeColor="text1"/>
          <w:sz w:val="44"/>
          <w:szCs w:val="44"/>
          <w:highlight w:val="none"/>
          <w:lang w:eastAsia="zh-CN"/>
          <w14:textFill>
            <w14:solidFill>
              <w14:schemeClr w14:val="tx1"/>
            </w14:solidFill>
          </w14:textFill>
        </w:rPr>
      </w:r>
      <w:r/>
    </w:p>
    <w:p>
      <w:pPr>
        <w:jc w:val="center"/>
        <w:spacing w:line="360" w:lineRule="auto"/>
        <w:rPr>
          <w:rFonts w:cs="黑体"/>
          <w:color w:val="000000" w:themeColor="text1"/>
          <w:sz w:val="48"/>
          <w:szCs w:val="48"/>
          <w:highlight w:val="none"/>
          <w:lang w:eastAsia="zh-CN"/>
          <w14:textFill>
            <w14:solidFill>
              <w14:schemeClr w14:val="tx1"/>
            </w14:solidFill>
          </w14:textFill>
        </w:rPr>
      </w:pPr>
      <w:r>
        <w:rPr>
          <w:rFonts w:hint="eastAsia" w:ascii="宋体" w:hAnsi="宋体" w:eastAsia="宋体" w:cs="宋体"/>
          <w:color w:val="000000" w:themeColor="text1"/>
          <w:sz w:val="48"/>
          <w:szCs w:val="48"/>
          <w:highlight w:val="none"/>
          <w:lang w:eastAsia="zh-CN"/>
          <w14:textFill>
            <w14:solidFill>
              <w14:schemeClr w14:val="tx1"/>
            </w14:solidFill>
          </w14:textFill>
        </w:rPr>
        <w:t xml:space="preserve">原铜井化工园退役场地风险评估项目</w:t>
      </w:r>
      <w:r/>
    </w:p>
    <w:p>
      <w:pPr>
        <w:rPr>
          <w:rFonts w:ascii="黑体" w:hAnsi="黑体" w:eastAsia="黑体" w:cs="黑体"/>
          <w:color w:val="000000" w:themeColor="text1"/>
          <w:sz w:val="32"/>
          <w:szCs w:val="32"/>
          <w:highlight w:val="none"/>
          <w:lang w:eastAsia="zh-CN"/>
          <w14:textFill>
            <w14:solidFill>
              <w14:schemeClr w14:val="tx1"/>
            </w14:solidFill>
          </w14:textFill>
        </w:rPr>
      </w:pPr>
      <w:r>
        <w:rPr>
          <w:rFonts w:ascii="黑体" w:hAnsi="黑体" w:eastAsia="黑体" w:cs="黑体"/>
          <w:color w:val="000000" w:themeColor="text1"/>
          <w:sz w:val="32"/>
          <w:szCs w:val="32"/>
          <w:highlight w:val="none"/>
          <w:lang w:eastAsia="zh-CN"/>
          <w14:textFill>
            <w14:solidFill>
              <w14:schemeClr w14:val="tx1"/>
            </w14:solidFill>
          </w14:textFill>
        </w:rPr>
      </w:r>
      <w:r/>
    </w:p>
    <w:p>
      <w:pPr>
        <w:rPr>
          <w:rFonts w:ascii="黑体" w:hAnsi="黑体" w:eastAsia="黑体" w:cs="黑体"/>
          <w:color w:val="000000" w:themeColor="text1"/>
          <w:sz w:val="32"/>
          <w:szCs w:val="32"/>
          <w:highlight w:val="none"/>
          <w:lang w:eastAsia="zh-CN"/>
          <w14:textFill>
            <w14:solidFill>
              <w14:schemeClr w14:val="tx1"/>
            </w14:solidFill>
          </w14:textFill>
        </w:rPr>
      </w:pPr>
      <w:r>
        <w:rPr>
          <w:rFonts w:ascii="黑体" w:hAnsi="黑体" w:eastAsia="黑体" w:cs="黑体"/>
          <w:color w:val="000000" w:themeColor="text1"/>
          <w:sz w:val="32"/>
          <w:szCs w:val="32"/>
          <w:highlight w:val="none"/>
          <w:lang w:eastAsia="zh-CN"/>
          <w14:textFill>
            <w14:solidFill>
              <w14:schemeClr w14:val="tx1"/>
            </w14:solidFill>
          </w14:textFill>
        </w:rPr>
      </w:r>
      <w:r/>
    </w:p>
    <w:p>
      <w:pPr>
        <w:spacing w:before="8"/>
        <w:rPr>
          <w:rFonts w:ascii="黑体" w:hAnsi="黑体" w:eastAsia="黑体" w:cs="黑体"/>
          <w:color w:val="000000" w:themeColor="text1"/>
          <w:sz w:val="24"/>
          <w:szCs w:val="24"/>
          <w:highlight w:val="none"/>
          <w:lang w:eastAsia="zh-CN"/>
          <w14:textFill>
            <w14:solidFill>
              <w14:schemeClr w14:val="tx1"/>
            </w14:solidFill>
          </w14:textFill>
        </w:rPr>
      </w:pPr>
      <w:r>
        <w:rPr>
          <w:rFonts w:ascii="黑体" w:hAnsi="黑体" w:eastAsia="黑体" w:cs="黑体"/>
          <w:color w:val="000000" w:themeColor="text1"/>
          <w:sz w:val="24"/>
          <w:szCs w:val="24"/>
          <w:highlight w:val="none"/>
          <w:lang w:eastAsia="zh-CN"/>
          <w14:textFill>
            <w14:solidFill>
              <w14:schemeClr w14:val="tx1"/>
            </w14:solidFill>
          </w14:textFill>
        </w:rPr>
      </w:r>
      <w:r/>
    </w:p>
    <w:p>
      <w:pPr>
        <w:ind w:right="1"/>
        <w:jc w:val="center"/>
        <w:rPr>
          <w:rFonts w:ascii="黑体" w:hAnsi="黑体" w:eastAsia="黑体" w:cs="黑体"/>
          <w:color w:val="000000" w:themeColor="text1"/>
          <w:sz w:val="72"/>
          <w:szCs w:val="72"/>
          <w:highlight w:val="none"/>
          <w:lang w:eastAsia="zh-CN"/>
          <w14:textFill>
            <w14:solidFill>
              <w14:schemeClr w14:val="tx1"/>
            </w14:solidFill>
          </w14:textFill>
        </w:rPr>
      </w:pPr>
      <w:r>
        <w:rPr>
          <w:rFonts w:ascii="黑体" w:hAnsi="黑体" w:eastAsia="黑体" w:cs="黑体"/>
          <w:color w:val="000000" w:themeColor="text1"/>
          <w:sz w:val="72"/>
          <w:szCs w:val="72"/>
          <w:highlight w:val="none"/>
          <w:lang w:eastAsia="zh-CN"/>
          <w14:textFill>
            <w14:solidFill>
              <w14:schemeClr w14:val="tx1"/>
            </w14:solidFill>
          </w14:textFill>
        </w:rPr>
        <w:t xml:space="preserve">响应文件</w:t>
      </w:r>
      <w:r/>
    </w:p>
    <w:p>
      <w:pPr>
        <w:rPr>
          <w:rFonts w:ascii="黑体" w:hAnsi="黑体" w:eastAsia="黑体" w:cs="黑体"/>
          <w:color w:val="000000" w:themeColor="text1"/>
          <w:sz w:val="72"/>
          <w:szCs w:val="72"/>
          <w:highlight w:val="none"/>
          <w:lang w:eastAsia="zh-CN"/>
          <w14:textFill>
            <w14:solidFill>
              <w14:schemeClr w14:val="tx1"/>
            </w14:solidFill>
          </w14:textFill>
        </w:rPr>
      </w:pPr>
      <w:r>
        <w:rPr>
          <w:rFonts w:ascii="黑体" w:hAnsi="黑体" w:eastAsia="黑体" w:cs="黑体"/>
          <w:color w:val="000000" w:themeColor="text1"/>
          <w:sz w:val="72"/>
          <w:szCs w:val="72"/>
          <w:highlight w:val="none"/>
          <w:lang w:eastAsia="zh-CN"/>
          <w14:textFill>
            <w14:solidFill>
              <w14:schemeClr w14:val="tx1"/>
            </w14:solidFill>
          </w14:textFill>
        </w:rPr>
      </w:r>
      <w:r/>
    </w:p>
    <w:p>
      <w:pPr>
        <w:rPr>
          <w:rFonts w:ascii="黑体" w:hAnsi="黑体" w:eastAsia="黑体" w:cs="黑体"/>
          <w:color w:val="000000" w:themeColor="text1"/>
          <w:sz w:val="72"/>
          <w:szCs w:val="72"/>
          <w:highlight w:val="none"/>
          <w:lang w:eastAsia="zh-CN"/>
          <w14:textFill>
            <w14:solidFill>
              <w14:schemeClr w14:val="tx1"/>
            </w14:solidFill>
          </w14:textFill>
        </w:rPr>
      </w:pPr>
      <w:r>
        <w:rPr>
          <w:rFonts w:ascii="黑体" w:hAnsi="黑体" w:eastAsia="黑体" w:cs="黑体"/>
          <w:color w:val="000000" w:themeColor="text1"/>
          <w:sz w:val="72"/>
          <w:szCs w:val="72"/>
          <w:highlight w:val="none"/>
          <w:lang w:eastAsia="zh-CN"/>
          <w14:textFill>
            <w14:solidFill>
              <w14:schemeClr w14:val="tx1"/>
            </w14:solidFill>
          </w14:textFill>
        </w:rPr>
      </w:r>
      <w:r/>
    </w:p>
    <w:p>
      <w:pPr>
        <w:ind w:left="1397" w:right="1025"/>
        <w:spacing w:line="357" w:lineRule="auto"/>
        <w:tabs>
          <w:tab w:val="left" w:pos="6358" w:leader="none"/>
          <w:tab w:val="left" w:pos="6437" w:leader="none"/>
        </w:tabs>
        <w:rPr>
          <w:rFonts w:eastAsia="Times New Roman"/>
          <w:color w:val="000000" w:themeColor="text1"/>
          <w:sz w:val="32"/>
          <w:szCs w:val="32"/>
          <w:highlight w:val="none"/>
          <w:lang w:eastAsia="zh-CN"/>
          <w14:textFill>
            <w14:solidFill>
              <w14:schemeClr w14:val="tx1"/>
            </w14:solidFill>
          </w14:textFill>
        </w:rPr>
      </w:pPr>
      <w:r>
        <w:rPr>
          <w:rFonts w:hint="eastAsia" w:ascii="黑体" w:hAnsi="黑体" w:eastAsia="黑体" w:cs="黑体"/>
          <w:color w:val="000000" w:themeColor="text1"/>
          <w:sz w:val="32"/>
          <w:szCs w:val="32"/>
          <w:highlight w:val="none"/>
          <w:lang w:eastAsia="zh-CN"/>
          <w14:textFill>
            <w14:solidFill>
              <w14:schemeClr w14:val="tx1"/>
            </w14:solidFill>
          </w14:textFill>
        </w:rPr>
        <w:t xml:space="preserve">项目编号</w:t>
      </w:r>
      <w:r>
        <w:rPr>
          <w:rFonts w:ascii="黑体" w:hAnsi="黑体" w:eastAsia="黑体" w:cs="黑体"/>
          <w:color w:val="000000" w:themeColor="text1"/>
          <w:sz w:val="32"/>
          <w:szCs w:val="32"/>
          <w:highlight w:val="none"/>
          <w:lang w:eastAsia="zh-CN"/>
          <w14:textFill>
            <w14:solidFill>
              <w14:schemeClr w14:val="tx1"/>
            </w14:solidFill>
          </w14:textFill>
        </w:rPr>
        <w:t xml:space="preserve">：</w:t>
      </w:r>
      <w:r>
        <w:rPr>
          <w:rFonts w:eastAsia="Times New Roman"/>
          <w:color w:val="000000" w:themeColor="text1"/>
          <w:sz w:val="32"/>
          <w:szCs w:val="32"/>
          <w:highlight w:val="none"/>
          <w:u w:val="single"/>
          <w:lang w:eastAsia="zh-CN"/>
          <w14:textFill>
            <w14:solidFill>
              <w14:schemeClr w14:val="tx1"/>
            </w14:solidFill>
          </w14:textFill>
        </w:rPr>
        <w:t xml:space="preserve"> </w:t>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lang w:eastAsia="zh-CN"/>
          <w14:textFill>
            <w14:solidFill>
              <w14:schemeClr w14:val="tx1"/>
            </w14:solidFill>
          </w14:textFill>
        </w:rPr>
        <w:t xml:space="preserve">                    </w:t>
      </w:r>
      <w:r/>
    </w:p>
    <w:p>
      <w:pPr>
        <w:ind w:left="1397" w:right="1025"/>
        <w:spacing w:line="357" w:lineRule="auto"/>
        <w:tabs>
          <w:tab w:val="left" w:pos="6358" w:leader="none"/>
          <w:tab w:val="left" w:pos="6437" w:leader="none"/>
        </w:tabs>
        <w:rPr>
          <w:rFonts w:eastAsia="Times New Roman"/>
          <w:color w:val="000000" w:themeColor="text1"/>
          <w:sz w:val="32"/>
          <w:szCs w:val="32"/>
          <w:highlight w:val="none"/>
          <w:lang w:eastAsia="zh-CN"/>
          <w14:textFill>
            <w14:solidFill>
              <w14:schemeClr w14:val="tx1"/>
            </w14:solidFill>
          </w14:textFill>
        </w:rPr>
      </w:pPr>
      <w:r>
        <w:rPr>
          <w:rFonts w:ascii="黑体" w:hAnsi="黑体" w:eastAsia="黑体" w:cs="黑体"/>
          <w:color w:val="000000" w:themeColor="text1"/>
          <w:sz w:val="32"/>
          <w:szCs w:val="32"/>
          <w:highlight w:val="none"/>
          <w:lang w:eastAsia="zh-CN"/>
          <w14:textFill>
            <w14:solidFill>
              <w14:schemeClr w14:val="tx1"/>
            </w14:solidFill>
          </w14:textFill>
        </w:rPr>
        <w:t xml:space="preserve">供 应 商：</w:t>
      </w:r>
      <w:r>
        <w:rPr>
          <w:rFonts w:eastAsia="Times New Roman"/>
          <w:color w:val="000000" w:themeColor="text1"/>
          <w:sz w:val="32"/>
          <w:szCs w:val="32"/>
          <w:highlight w:val="none"/>
          <w:u w:val="single"/>
          <w:lang w:eastAsia="zh-CN"/>
          <w14:textFill>
            <w14:solidFill>
              <w14:schemeClr w14:val="tx1"/>
            </w14:solidFill>
          </w14:textFill>
        </w:rPr>
        <w:tab/>
      </w:r>
      <w:r>
        <w:rPr>
          <w:rFonts w:ascii="黑体" w:hAnsi="黑体" w:eastAsia="黑体" w:cs="黑体"/>
          <w:color w:val="000000" w:themeColor="text1"/>
          <w:sz w:val="32"/>
          <w:szCs w:val="32"/>
          <w:highlight w:val="none"/>
          <w:lang w:eastAsia="zh-CN"/>
          <w14:textFill>
            <w14:solidFill>
              <w14:schemeClr w14:val="tx1"/>
            </w14:solidFill>
          </w14:textFill>
        </w:rPr>
        <w:t xml:space="preserve">（单位公章） 联 系</w:t>
      </w:r>
      <w:r>
        <w:rPr>
          <w:rFonts w:ascii="黑体" w:hAnsi="黑体" w:eastAsia="黑体" w:cs="黑体"/>
          <w:color w:val="000000" w:themeColor="text1"/>
          <w:spacing w:val="-1"/>
          <w:sz w:val="32"/>
          <w:szCs w:val="32"/>
          <w:highlight w:val="none"/>
          <w:lang w:eastAsia="zh-CN"/>
          <w14:textFill>
            <w14:solidFill>
              <w14:schemeClr w14:val="tx1"/>
            </w14:solidFill>
          </w14:textFill>
        </w:rPr>
        <w:t xml:space="preserve"> </w:t>
      </w:r>
      <w:r>
        <w:rPr>
          <w:rFonts w:ascii="黑体" w:hAnsi="黑体" w:eastAsia="黑体" w:cs="黑体"/>
          <w:color w:val="000000" w:themeColor="text1"/>
          <w:sz w:val="32"/>
          <w:szCs w:val="32"/>
          <w:highlight w:val="none"/>
          <w:lang w:eastAsia="zh-CN"/>
          <w14:textFill>
            <w14:solidFill>
              <w14:schemeClr w14:val="tx1"/>
            </w14:solidFill>
          </w14:textFill>
        </w:rPr>
        <w:t xml:space="preserve">人：</w:t>
      </w:r>
      <w:r>
        <w:rPr>
          <w:rFonts w:eastAsia="Times New Roman"/>
          <w:color w:val="000000" w:themeColor="text1"/>
          <w:sz w:val="32"/>
          <w:szCs w:val="32"/>
          <w:highlight w:val="none"/>
          <w:u w:val="single"/>
          <w:lang w:eastAsia="zh-CN"/>
          <w14:textFill>
            <w14:solidFill>
              <w14:schemeClr w14:val="tx1"/>
            </w14:solidFill>
          </w14:textFill>
        </w:rPr>
        <w:t xml:space="preserve"> </w:t>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lang w:eastAsia="zh-CN"/>
          <w14:textFill>
            <w14:solidFill>
              <w14:schemeClr w14:val="tx1"/>
            </w14:solidFill>
          </w14:textFill>
        </w:rPr>
        <w:t xml:space="preserve">    </w:t>
      </w:r>
      <w:r/>
    </w:p>
    <w:p>
      <w:pPr>
        <w:ind w:left="1397" w:right="1025"/>
        <w:spacing w:line="357" w:lineRule="auto"/>
        <w:tabs>
          <w:tab w:val="left" w:pos="6358" w:leader="none"/>
          <w:tab w:val="left" w:pos="6437" w:leader="none"/>
        </w:tabs>
        <w:rPr>
          <w:rFonts w:eastAsia="Times New Roman"/>
          <w:color w:val="000000" w:themeColor="text1"/>
          <w:sz w:val="32"/>
          <w:szCs w:val="32"/>
          <w:highlight w:val="none"/>
          <w:lang w:eastAsia="zh-CN"/>
          <w14:textFill>
            <w14:solidFill>
              <w14:schemeClr w14:val="tx1"/>
            </w14:solidFill>
          </w14:textFill>
        </w:rPr>
      </w:pPr>
      <w:r>
        <w:rPr>
          <w:rFonts w:ascii="黑体" w:hAnsi="黑体" w:eastAsia="黑体" w:cs="黑体"/>
          <w:color w:val="000000" w:themeColor="text1"/>
          <w:sz w:val="32"/>
          <w:szCs w:val="32"/>
          <w:highlight w:val="none"/>
          <w:lang w:eastAsia="zh-CN"/>
          <w14:textFill>
            <w14:solidFill>
              <w14:schemeClr w14:val="tx1"/>
            </w14:solidFill>
          </w14:textFill>
        </w:rPr>
        <w:t xml:space="preserve">联系方式：</w:t>
      </w:r>
      <w:r>
        <w:rPr>
          <w:rFonts w:eastAsia="Times New Roman"/>
          <w:color w:val="000000" w:themeColor="text1"/>
          <w:sz w:val="32"/>
          <w:szCs w:val="32"/>
          <w:highlight w:val="none"/>
          <w:u w:val="single"/>
          <w:lang w:eastAsia="zh-CN"/>
          <w14:textFill>
            <w14:solidFill>
              <w14:schemeClr w14:val="tx1"/>
            </w14:solidFill>
          </w14:textFill>
        </w:rPr>
        <w:t xml:space="preserve"> </w:t>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lang w:eastAsia="zh-CN"/>
          <w14:textFill>
            <w14:solidFill>
              <w14:schemeClr w14:val="tx1"/>
            </w14:solidFill>
          </w14:textFill>
        </w:rPr>
        <w:t xml:space="preserve">    </w:t>
      </w:r>
      <w:r/>
    </w:p>
    <w:p>
      <w:pPr>
        <w:ind w:left="1397" w:right="1025"/>
        <w:spacing w:line="357" w:lineRule="auto"/>
        <w:tabs>
          <w:tab w:val="left" w:pos="6358" w:leader="none"/>
          <w:tab w:val="left" w:pos="6437" w:leader="none"/>
        </w:tabs>
        <w:rPr>
          <w:rFonts w:eastAsia="Times New Roman"/>
          <w:color w:val="000000" w:themeColor="text1"/>
          <w:sz w:val="32"/>
          <w:szCs w:val="32"/>
          <w:highlight w:val="none"/>
          <w:lang w:eastAsia="zh-CN"/>
          <w14:textFill>
            <w14:solidFill>
              <w14:schemeClr w14:val="tx1"/>
            </w14:solidFill>
          </w14:textFill>
        </w:rPr>
      </w:pPr>
      <w:r>
        <w:rPr>
          <w:rFonts w:ascii="黑体" w:hAnsi="黑体" w:eastAsia="黑体" w:cs="黑体"/>
          <w:color w:val="000000" w:themeColor="text1"/>
          <w:sz w:val="32"/>
          <w:szCs w:val="32"/>
          <w:highlight w:val="none"/>
          <w:lang w:eastAsia="zh-CN"/>
          <w14:textFill>
            <w14:solidFill>
              <w14:schemeClr w14:val="tx1"/>
            </w14:solidFill>
          </w14:textFill>
        </w:rPr>
        <w:t xml:space="preserve">单位地址：</w:t>
      </w:r>
      <w:r>
        <w:rPr>
          <w:rFonts w:eastAsia="Times New Roman"/>
          <w:color w:val="000000" w:themeColor="text1"/>
          <w:sz w:val="32"/>
          <w:szCs w:val="32"/>
          <w:highlight w:val="none"/>
          <w:u w:val="single"/>
          <w:lang w:eastAsia="zh-CN"/>
          <w14:textFill>
            <w14:solidFill>
              <w14:schemeClr w14:val="tx1"/>
            </w14:solidFill>
          </w14:textFill>
        </w:rPr>
        <w:t xml:space="preserve"> </w:t>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u w:val="single"/>
          <w:lang w:eastAsia="zh-CN"/>
          <w14:textFill>
            <w14:solidFill>
              <w14:schemeClr w14:val="tx1"/>
            </w14:solidFill>
          </w14:textFill>
        </w:rPr>
        <w:tab/>
      </w:r>
      <w:r/>
    </w:p>
    <w:p>
      <w:pPr>
        <w:ind w:left="47"/>
        <w:jc w:val="center"/>
        <w:spacing w:before="46"/>
        <w:tabs>
          <w:tab w:val="left" w:pos="847" w:leader="none"/>
          <w:tab w:val="left" w:pos="1648" w:leader="none"/>
          <w:tab w:val="left" w:pos="2448" w:leader="none"/>
        </w:tabs>
        <w:rPr>
          <w:rFonts w:ascii="黑体" w:hAnsi="黑体" w:eastAsia="黑体" w:cs="黑体"/>
          <w:color w:val="000000" w:themeColor="text1"/>
          <w:sz w:val="32"/>
          <w:szCs w:val="32"/>
          <w:highlight w:val="none"/>
          <w:lang w:eastAsia="zh-CN"/>
          <w14:textFill>
            <w14:solidFill>
              <w14:schemeClr w14:val="tx1"/>
            </w14:solidFill>
          </w14:textFill>
        </w:rPr>
      </w:pPr>
      <w:r>
        <w:rPr>
          <w:rFonts w:eastAsia="Times New Roman"/>
          <w:color w:val="000000" w:themeColor="text1"/>
          <w:sz w:val="32"/>
          <w:szCs w:val="32"/>
          <w:highlight w:val="none"/>
          <w:u w:val="single"/>
          <w:lang w:eastAsia="zh-CN"/>
          <w14:textFill>
            <w14:solidFill>
              <w14:schemeClr w14:val="tx1"/>
            </w14:solidFill>
          </w14:textFill>
        </w:rPr>
        <w:t xml:space="preserve"> </w:t>
      </w:r>
      <w:r>
        <w:rPr>
          <w:rFonts w:eastAsia="Times New Roman"/>
          <w:color w:val="000000" w:themeColor="text1"/>
          <w:sz w:val="32"/>
          <w:szCs w:val="32"/>
          <w:highlight w:val="none"/>
          <w:u w:val="single"/>
          <w:lang w:eastAsia="zh-CN"/>
          <w14:textFill>
            <w14:solidFill>
              <w14:schemeClr w14:val="tx1"/>
            </w14:solidFill>
          </w14:textFill>
        </w:rPr>
        <w:tab/>
      </w:r>
      <w:r>
        <w:rPr>
          <w:rFonts w:ascii="黑体" w:hAnsi="黑体" w:eastAsia="黑体" w:cs="黑体"/>
          <w:color w:val="000000" w:themeColor="text1"/>
          <w:spacing w:val="2"/>
          <w:sz w:val="32"/>
          <w:szCs w:val="32"/>
          <w:highlight w:val="none"/>
          <w:lang w:eastAsia="zh-CN"/>
          <w14:textFill>
            <w14:solidFill>
              <w14:schemeClr w14:val="tx1"/>
            </w14:solidFill>
          </w14:textFill>
        </w:rPr>
        <w:t xml:space="preserve">年</w:t>
      </w:r>
      <w:r>
        <w:rPr>
          <w:rFonts w:eastAsia="Times New Roman"/>
          <w:color w:val="000000" w:themeColor="text1"/>
          <w:spacing w:val="2"/>
          <w:sz w:val="32"/>
          <w:szCs w:val="32"/>
          <w:highlight w:val="none"/>
          <w:u w:val="single"/>
          <w:lang w:eastAsia="zh-CN"/>
          <w14:textFill>
            <w14:solidFill>
              <w14:schemeClr w14:val="tx1"/>
            </w14:solidFill>
          </w14:textFill>
        </w:rPr>
        <w:tab/>
      </w:r>
      <w:r>
        <w:rPr>
          <w:rFonts w:ascii="黑体" w:hAnsi="黑体" w:eastAsia="黑体" w:cs="黑体"/>
          <w:color w:val="000000" w:themeColor="text1"/>
          <w:spacing w:val="-1"/>
          <w:sz w:val="32"/>
          <w:szCs w:val="32"/>
          <w:highlight w:val="none"/>
          <w:lang w:eastAsia="zh-CN"/>
          <w14:textFill>
            <w14:solidFill>
              <w14:schemeClr w14:val="tx1"/>
            </w14:solidFill>
          </w14:textFill>
        </w:rPr>
        <w:t xml:space="preserve">月</w:t>
      </w:r>
      <w:r>
        <w:rPr>
          <w:rFonts w:eastAsia="Times New Roman"/>
          <w:color w:val="000000" w:themeColor="text1"/>
          <w:spacing w:val="-1"/>
          <w:sz w:val="32"/>
          <w:szCs w:val="32"/>
          <w:highlight w:val="none"/>
          <w:u w:val="single"/>
          <w:lang w:eastAsia="zh-CN"/>
          <w14:textFill>
            <w14:solidFill>
              <w14:schemeClr w14:val="tx1"/>
            </w14:solidFill>
          </w14:textFill>
        </w:rPr>
        <w:tab/>
      </w:r>
      <w:r>
        <w:rPr>
          <w:rFonts w:ascii="黑体" w:hAnsi="黑体" w:eastAsia="黑体" w:cs="黑体"/>
          <w:color w:val="000000" w:themeColor="text1"/>
          <w:sz w:val="32"/>
          <w:szCs w:val="32"/>
          <w:highlight w:val="none"/>
          <w:lang w:eastAsia="zh-CN"/>
          <w14:textFill>
            <w14:solidFill>
              <w14:schemeClr w14:val="tx1"/>
            </w14:solidFill>
          </w14:textFill>
        </w:rPr>
        <w:t xml:space="preserve">日</w:t>
      </w:r>
      <w:r/>
    </w:p>
    <w:p>
      <w:pPr>
        <w:rPr>
          <w:rFonts w:hint="eastAsia" w:ascii="宋体" w:hAnsi="宋体"/>
          <w:b/>
          <w:color w:val="000000" w:themeColor="text1"/>
          <w:sz w:val="24"/>
          <w:szCs w:val="21"/>
          <w:highlight w:val="none"/>
          <w:lang w:eastAsia="zh-CN"/>
          <w14:textFill>
            <w14:solidFill>
              <w14:schemeClr w14:val="tx1"/>
            </w14:solidFill>
          </w14:textFill>
        </w:rPr>
      </w:pPr>
      <w:r/>
      <w:bookmarkStart w:id="143" w:name="_Toc175663950"/>
      <w:r/>
      <w:bookmarkStart w:id="144" w:name="_Toc11056"/>
      <w:r/>
      <w:bookmarkStart w:id="145" w:name="_Toc22659"/>
      <w:r>
        <w:rPr>
          <w:rFonts w:hint="eastAsia" w:ascii="宋体" w:hAnsi="宋体"/>
          <w:b/>
          <w:color w:val="000000" w:themeColor="text1"/>
          <w:sz w:val="24"/>
          <w:szCs w:val="21"/>
          <w:highlight w:val="none"/>
          <w:lang w:eastAsia="zh-CN"/>
          <w14:textFill>
            <w14:solidFill>
              <w14:schemeClr w14:val="tx1"/>
            </w14:solidFill>
          </w14:textFill>
        </w:rPr>
        <w:br w:type="page" w:clear="all"/>
      </w:r>
      <w:r/>
    </w:p>
    <w:p>
      <w:pPr>
        <w:rPr>
          <w:rFonts w:ascii="宋体" w:hAnsi="宋体"/>
          <w:b/>
          <w:color w:val="000000" w:themeColor="text1"/>
          <w:sz w:val="24"/>
          <w:szCs w:val="21"/>
          <w:highlight w:val="none"/>
          <w:lang w:eastAsia="zh-CN"/>
          <w14:textFill>
            <w14:solidFill>
              <w14:schemeClr w14:val="tx1"/>
            </w14:solidFill>
          </w14:textFill>
        </w:rPr>
        <w:outlineLvl w:val="1"/>
      </w:pPr>
      <w:r>
        <w:rPr>
          <w:rFonts w:hint="eastAsia" w:ascii="宋体" w:hAnsi="宋体"/>
          <w:b/>
          <w:color w:val="000000" w:themeColor="text1"/>
          <w:sz w:val="24"/>
          <w:szCs w:val="21"/>
          <w:highlight w:val="none"/>
          <w:lang w:eastAsia="zh-CN"/>
          <w14:textFill>
            <w14:solidFill>
              <w14:schemeClr w14:val="tx1"/>
            </w14:solidFill>
          </w14:textFill>
        </w:rPr>
        <w:t xml:space="preserve">一、磋商申请及声明</w:t>
      </w:r>
      <w:bookmarkEnd w:id="143"/>
      <w:r/>
      <w:bookmarkEnd w:id="144"/>
      <w:r/>
      <w:bookmarkEnd w:id="145"/>
      <w:r/>
      <w:r/>
    </w:p>
    <w:p>
      <w:pPr>
        <w:jc w:val="center"/>
        <w:rPr>
          <w:rFonts w:ascii="宋体" w:hAnsi="宋体" w:cs="宋体"/>
          <w:b/>
          <w:color w:val="000000" w:themeColor="text1"/>
          <w:sz w:val="52"/>
          <w:szCs w:val="44"/>
          <w:highlight w:val="none"/>
          <w:lang w:val="zh-CN" w:eastAsia="zh-CN"/>
          <w14:textFill>
            <w14:solidFill>
              <w14:schemeClr w14:val="tx1"/>
            </w14:solidFill>
          </w14:textFill>
        </w:rPr>
      </w:pPr>
      <w:r>
        <w:rPr>
          <w:rFonts w:hint="eastAsia" w:ascii="宋体" w:hAnsi="宋体" w:cs="宋体"/>
          <w:b/>
          <w:color w:val="000000" w:themeColor="text1"/>
          <w:sz w:val="52"/>
          <w:szCs w:val="44"/>
          <w:highlight w:val="none"/>
          <w:lang w:val="zh-CN" w:eastAsia="zh-CN"/>
          <w14:textFill>
            <w14:solidFill>
              <w14:schemeClr w14:val="tx1"/>
            </w14:solidFill>
          </w14:textFill>
        </w:rPr>
        <w:t xml:space="preserve">磋商申请及声明</w:t>
      </w:r>
      <w:r/>
    </w:p>
    <w:p>
      <w:pPr>
        <w:spacing w:line="400" w:lineRule="exact"/>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致：</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南京江宁滨江经济开发区管理委员会</w:t>
      </w:r>
      <w:r/>
    </w:p>
    <w:p>
      <w:pPr>
        <w:ind w:firstLine="420"/>
        <w:spacing w:line="360" w:lineRule="exact"/>
        <w:rPr>
          <w:rFonts w:ascii="宋体"/>
          <w:color w:val="000000" w:themeColor="text1"/>
          <w:sz w:val="24"/>
          <w:szCs w:val="21"/>
          <w:highlight w:val="none"/>
          <w:lang w:val="zh-CN" w:eastAsia="zh-CN"/>
          <w14:textFill>
            <w14:solidFill>
              <w14:schemeClr w14:val="tx1"/>
            </w14:solidFill>
          </w14:textFill>
        </w:rPr>
      </w:pPr>
      <w:r>
        <w:rPr>
          <w:rFonts w:hint="eastAsia" w:ascii="宋体"/>
          <w:color w:val="000000" w:themeColor="text1"/>
          <w:sz w:val="24"/>
          <w:szCs w:val="21"/>
          <w:highlight w:val="none"/>
          <w:lang w:val="zh-CN" w:eastAsia="zh-CN"/>
          <w14:textFill>
            <w14:solidFill>
              <w14:schemeClr w14:val="tx1"/>
            </w14:solidFill>
          </w14:textFill>
        </w:rPr>
        <w:t xml:space="preserve">根据贵方</w:t>
      </w:r>
      <w:r>
        <w:rPr>
          <w:rFonts w:hint="eastAsia" w:ascii="宋体" w:eastAsiaTheme="minorEastAsia"/>
          <w:color w:val="000000" w:themeColor="text1"/>
          <w:sz w:val="24"/>
          <w:szCs w:val="21"/>
          <w:highlight w:val="none"/>
          <w:u w:val="single"/>
          <w:lang w:val="zh-CN" w:eastAsia="zh-CN"/>
          <w14:textFill>
            <w14:solidFill>
              <w14:schemeClr w14:val="tx1"/>
            </w14:solidFill>
          </w14:textFill>
        </w:rPr>
        <w:t xml:space="preserve">   </w:t>
      </w:r>
      <w:r>
        <w:rPr>
          <w:rFonts w:ascii="宋体"/>
          <w:color w:val="000000" w:themeColor="text1"/>
          <w:sz w:val="24"/>
          <w:szCs w:val="21"/>
          <w:highlight w:val="none"/>
          <w:u w:val="single"/>
          <w:lang w:val="zh-CN" w:eastAsia="zh-CN"/>
          <w14:textFill>
            <w14:solidFill>
              <w14:schemeClr w14:val="tx1"/>
            </w14:solidFill>
          </w14:textFill>
        </w:rPr>
        <w:t xml:space="preserve">  </w:t>
      </w:r>
      <w:r>
        <w:rPr>
          <w:rFonts w:hint="eastAsia" w:ascii="宋体"/>
          <w:color w:val="000000" w:themeColor="text1"/>
          <w:sz w:val="24"/>
          <w:szCs w:val="21"/>
          <w:highlight w:val="none"/>
          <w:lang w:val="zh-CN" w:eastAsia="zh-CN"/>
          <w14:textFill>
            <w14:solidFill>
              <w14:schemeClr w14:val="tx1"/>
            </w14:solidFill>
          </w14:textFill>
        </w:rPr>
        <w:t xml:space="preserve">号采购文件，正式授权下述签字人</w:t>
      </w:r>
      <w:r>
        <w:rPr>
          <w:rFonts w:hint="eastAsia" w:ascii="宋体"/>
          <w:color w:val="000000" w:themeColor="text1"/>
          <w:sz w:val="24"/>
          <w:szCs w:val="21"/>
          <w:highlight w:val="none"/>
          <w:u w:val="single"/>
          <w:lang w:val="zh-CN" w:eastAsia="zh-CN"/>
          <w14:textFill>
            <w14:solidFill>
              <w14:schemeClr w14:val="tx1"/>
            </w14:solidFill>
          </w14:textFill>
        </w:rPr>
        <w:t xml:space="preserve">     </w:t>
      </w:r>
      <w:r>
        <w:rPr>
          <w:rFonts w:hint="eastAsia" w:ascii="宋体"/>
          <w:color w:val="000000" w:themeColor="text1"/>
          <w:sz w:val="24"/>
          <w:szCs w:val="21"/>
          <w:highlight w:val="none"/>
          <w:lang w:val="zh-CN" w:eastAsia="zh-CN"/>
          <w14:textFill>
            <w14:solidFill>
              <w14:schemeClr w14:val="tx1"/>
            </w14:solidFill>
          </w14:textFill>
        </w:rPr>
        <w:t xml:space="preserve">(姓名和职务)代表</w:t>
      </w:r>
      <w:r>
        <w:rPr>
          <w:rFonts w:hint="eastAsia" w:ascii="宋体"/>
          <w:color w:val="000000" w:themeColor="text1"/>
          <w:sz w:val="24"/>
          <w:szCs w:val="21"/>
          <w:highlight w:val="none"/>
          <w:u w:val="single"/>
          <w:lang w:val="zh-CN" w:eastAsia="zh-CN"/>
          <w14:textFill>
            <w14:solidFill>
              <w14:schemeClr w14:val="tx1"/>
            </w14:solidFill>
          </w14:textFill>
        </w:rPr>
        <w:t xml:space="preserve">       </w:t>
      </w:r>
      <w:r>
        <w:rPr>
          <w:rFonts w:hint="eastAsia" w:ascii="宋体"/>
          <w:color w:val="000000" w:themeColor="text1"/>
          <w:sz w:val="24"/>
          <w:szCs w:val="21"/>
          <w:highlight w:val="none"/>
          <w:lang w:val="zh-CN" w:eastAsia="zh-CN"/>
          <w14:textFill>
            <w14:solidFill>
              <w14:schemeClr w14:val="tx1"/>
            </w14:solidFill>
          </w14:textFill>
        </w:rPr>
        <w:t xml:space="preserve">（供应商名称），提交响应文件并参加磋商。</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据此函，签字人兹宣布同意如下：</w:t>
      </w:r>
      <w:r/>
    </w:p>
    <w:p>
      <w:pPr>
        <w:ind w:firstLine="480"/>
        <w:spacing w:line="400" w:lineRule="exact"/>
        <w:rPr>
          <w:rFonts w:asci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t xml:space="preserve">1.</w:t>
      </w:r>
      <w:r>
        <w:rPr>
          <w:rFonts w:hint="eastAsia" w:ascii="宋体" w:hAnsi="宋体"/>
          <w:color w:val="000000" w:themeColor="text1"/>
          <w:sz w:val="24"/>
          <w:szCs w:val="21"/>
          <w:highlight w:val="none"/>
          <w:lang w:eastAsia="zh-CN"/>
          <w14:textFill>
            <w14:solidFill>
              <w14:schemeClr w14:val="tx1"/>
            </w14:solidFill>
          </w14:textFill>
        </w:rPr>
        <w:t xml:space="preserve">按磋商需求的磋商报价为</w:t>
      </w:r>
      <w:r>
        <w:rPr>
          <w:rFonts w:hint="eastAsia" w:ascii="宋体" w:hAnsi="宋体"/>
          <w:color w:val="000000" w:themeColor="text1"/>
          <w:sz w:val="24"/>
          <w:szCs w:val="21"/>
          <w:highlight w:val="none"/>
          <w:u w:val="single"/>
          <w:lang w:eastAsia="zh-CN"/>
          <w14:textFill>
            <w14:solidFill>
              <w14:schemeClr w14:val="tx1"/>
            </w14:solidFill>
          </w14:textFill>
        </w:rPr>
        <w:t xml:space="preserve">¥       （大写：      ）</w:t>
      </w:r>
      <w:r>
        <w:rPr>
          <w:rFonts w:hint="eastAsia" w:ascii="宋体" w:hAnsi="宋体"/>
          <w:color w:val="000000" w:themeColor="text1"/>
          <w:sz w:val="24"/>
          <w:szCs w:val="21"/>
          <w:highlight w:val="none"/>
          <w:lang w:eastAsia="zh-CN"/>
          <w14:textFill>
            <w14:solidFill>
              <w14:schemeClr w14:val="tx1"/>
            </w14:solidFill>
          </w14:textFill>
        </w:rPr>
        <w:t xml:space="preserve">。</w:t>
      </w:r>
      <w:r/>
    </w:p>
    <w:p>
      <w:pPr>
        <w:ind w:firstLine="480"/>
        <w:spacing w:line="400" w:lineRule="exact"/>
        <w:rPr>
          <w:rFonts w:asci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t xml:space="preserve">2.</w:t>
      </w:r>
      <w:r>
        <w:rPr>
          <w:rFonts w:hint="eastAsia" w:ascii="宋体" w:hAnsi="宋体"/>
          <w:color w:val="000000" w:themeColor="text1"/>
          <w:sz w:val="24"/>
          <w:szCs w:val="21"/>
          <w:highlight w:val="none"/>
          <w:lang w:eastAsia="zh-CN"/>
          <w14:textFill>
            <w14:solidFill>
              <w14:schemeClr w14:val="tx1"/>
            </w14:solidFill>
          </w14:textFill>
        </w:rPr>
        <w:t xml:space="preserve">我们完全理解贵方不一定要接受最低报价的磋商或收到的任何磋商。</w:t>
      </w:r>
      <w:r/>
    </w:p>
    <w:p>
      <w:pPr>
        <w:ind w:firstLine="480"/>
        <w:spacing w:line="400" w:lineRule="exact"/>
        <w:rPr>
          <w:rFonts w:asci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t xml:space="preserve">3.</w:t>
      </w:r>
      <w:r>
        <w:rPr>
          <w:rFonts w:hint="eastAsia" w:ascii="宋体" w:hAnsi="宋体"/>
          <w:color w:val="000000" w:themeColor="text1"/>
          <w:sz w:val="24"/>
          <w:szCs w:val="21"/>
          <w:highlight w:val="none"/>
          <w:lang w:eastAsia="zh-CN"/>
          <w14:textFill>
            <w14:solidFill>
              <w14:schemeClr w14:val="tx1"/>
            </w14:solidFill>
          </w14:textFill>
        </w:rPr>
        <w:t xml:space="preserve">我们已详细审核全部磋商文件及其有效补充文件，我们知道必须放弃提出含糊不清或误解的问题的权利。</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t xml:space="preserve">4.</w:t>
      </w:r>
      <w:r>
        <w:rPr>
          <w:rFonts w:hint="eastAsia" w:ascii="宋体" w:hAnsi="宋体"/>
          <w:color w:val="000000" w:themeColor="text1"/>
          <w:sz w:val="24"/>
          <w:szCs w:val="21"/>
          <w:highlight w:val="none"/>
          <w:lang w:eastAsia="zh-CN"/>
          <w14:textFill>
            <w14:solidFill>
              <w14:schemeClr w14:val="tx1"/>
            </w14:solidFill>
          </w14:textFill>
        </w:rPr>
        <w:t xml:space="preserve">我们同意从规定的磋商日期起遵循本磋商文件，并在规定的磋商有效期期满之前均具有约束力。</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5</w:t>
      </w:r>
      <w:r>
        <w:rPr>
          <w:rFonts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lang w:eastAsia="zh-CN"/>
          <w14:textFill>
            <w14:solidFill>
              <w14:schemeClr w14:val="tx1"/>
            </w14:solidFill>
          </w14:textFill>
        </w:rPr>
        <w:t xml:space="preserve">同意向贵方提供贵方可能要求的与磋商有关的任何证据或资料。</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6</w:t>
      </w:r>
      <w:r>
        <w:rPr>
          <w:rFonts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lang w:eastAsia="zh-CN"/>
          <w14:textFill>
            <w14:solidFill>
              <w14:schemeClr w14:val="tx1"/>
            </w14:solidFill>
          </w14:textFill>
        </w:rPr>
        <w:t xml:space="preserve">一旦我方成交，我方将根据磋商文件的规定，严格履行合同，并保证于承诺的时间完成货物的启动、调试等服务，交付采购人验收、使用。</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7</w:t>
      </w:r>
      <w:r>
        <w:rPr>
          <w:rFonts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lang w:eastAsia="zh-CN"/>
          <w14:textFill>
            <w14:solidFill>
              <w14:schemeClr w14:val="tx1"/>
            </w14:solidFill>
          </w14:textFill>
        </w:rPr>
        <w:t xml:space="preserve">我方将严格遵守《中华人民共和国政府采购法》第七十七条规定，若有下列情形之一的，将被处以采购金额</w:t>
      </w:r>
      <w:r>
        <w:rPr>
          <w:rFonts w:ascii="宋体" w:hAnsi="宋体"/>
          <w:color w:val="000000" w:themeColor="text1"/>
          <w:sz w:val="24"/>
          <w:szCs w:val="21"/>
          <w:highlight w:val="none"/>
          <w:lang w:eastAsia="zh-CN"/>
          <w14:textFill>
            <w14:solidFill>
              <w14:schemeClr w14:val="tx1"/>
            </w14:solidFill>
          </w14:textFill>
        </w:rPr>
        <w:t xml:space="preserve">5</w:t>
      </w:r>
      <w:r>
        <w:rPr>
          <w:rFonts w:hint="eastAsia" w:ascii="宋体" w:hAnsi="宋体"/>
          <w:color w:val="000000" w:themeColor="text1"/>
          <w:sz w:val="24"/>
          <w:szCs w:val="21"/>
          <w:highlight w:val="none"/>
          <w:lang w:eastAsia="zh-CN"/>
          <w14:textFill>
            <w14:solidFill>
              <w14:schemeClr w14:val="tx1"/>
            </w14:solidFill>
          </w14:textFill>
        </w:rPr>
        <w:t xml:space="preserve">‰以上</w:t>
      </w:r>
      <w:r>
        <w:rPr>
          <w:rFonts w:ascii="宋体" w:hAnsi="宋体"/>
          <w:color w:val="000000" w:themeColor="text1"/>
          <w:sz w:val="24"/>
          <w:szCs w:val="21"/>
          <w:highlight w:val="none"/>
          <w:lang w:eastAsia="zh-CN"/>
          <w14:textFill>
            <w14:solidFill>
              <w14:schemeClr w14:val="tx1"/>
            </w14:solidFill>
          </w14:textFill>
        </w:rPr>
        <w:t xml:space="preserve">10</w:t>
      </w:r>
      <w:r>
        <w:rPr>
          <w:rFonts w:hint="eastAsia" w:ascii="宋体" w:hAnsi="宋体"/>
          <w:color w:val="000000" w:themeColor="text1"/>
          <w:sz w:val="24"/>
          <w:szCs w:val="21"/>
          <w:highlight w:val="none"/>
          <w:lang w:eastAsia="zh-CN"/>
          <w14:textFill>
            <w14:solidFill>
              <w14:schemeClr w14:val="tx1"/>
            </w14:solidFill>
          </w14:textFill>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w:t>
      </w:r>
      <w:r>
        <w:rPr>
          <w:rFonts w:ascii="宋体" w:hAnsi="宋体"/>
          <w:color w:val="000000" w:themeColor="text1"/>
          <w:sz w:val="24"/>
          <w:szCs w:val="21"/>
          <w:highlight w:val="none"/>
          <w:lang w:eastAsia="zh-CN"/>
          <w14:textFill>
            <w14:solidFill>
              <w14:schemeClr w14:val="tx1"/>
            </w14:solidFill>
          </w14:textFill>
        </w:rPr>
        <w:t xml:space="preserve">1</w:t>
      </w:r>
      <w:r>
        <w:rPr>
          <w:rFonts w:hint="eastAsia" w:ascii="宋体" w:hAnsi="宋体"/>
          <w:color w:val="000000" w:themeColor="text1"/>
          <w:sz w:val="24"/>
          <w:szCs w:val="21"/>
          <w:highlight w:val="none"/>
          <w:lang w:eastAsia="zh-CN"/>
          <w14:textFill>
            <w14:solidFill>
              <w14:schemeClr w14:val="tx1"/>
            </w14:solidFill>
          </w14:textFill>
        </w:rPr>
        <w:t xml:space="preserve">）提供虚假材料谋取中标、成交的；</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w:t>
      </w:r>
      <w:r>
        <w:rPr>
          <w:rFonts w:ascii="宋体" w:hAnsi="宋体"/>
          <w:color w:val="000000" w:themeColor="text1"/>
          <w:sz w:val="24"/>
          <w:szCs w:val="21"/>
          <w:highlight w:val="none"/>
          <w:lang w:eastAsia="zh-CN"/>
          <w14:textFill>
            <w14:solidFill>
              <w14:schemeClr w14:val="tx1"/>
            </w14:solidFill>
          </w14:textFill>
        </w:rPr>
        <w:t xml:space="preserve">2</w:t>
      </w:r>
      <w:r>
        <w:rPr>
          <w:rFonts w:hint="eastAsia" w:ascii="宋体" w:hAnsi="宋体"/>
          <w:color w:val="000000" w:themeColor="text1"/>
          <w:sz w:val="24"/>
          <w:szCs w:val="21"/>
          <w:highlight w:val="none"/>
          <w:lang w:eastAsia="zh-CN"/>
          <w14:textFill>
            <w14:solidFill>
              <w14:schemeClr w14:val="tx1"/>
            </w14:solidFill>
          </w14:textFill>
        </w:rPr>
        <w:t xml:space="preserve">）采取不正当手段诋毁、排挤其他供应商的；</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w:t>
      </w:r>
      <w:r>
        <w:rPr>
          <w:rFonts w:ascii="宋体" w:hAnsi="宋体"/>
          <w:color w:val="000000" w:themeColor="text1"/>
          <w:sz w:val="24"/>
          <w:szCs w:val="21"/>
          <w:highlight w:val="none"/>
          <w:lang w:eastAsia="zh-CN"/>
          <w14:textFill>
            <w14:solidFill>
              <w14:schemeClr w14:val="tx1"/>
            </w14:solidFill>
          </w14:textFill>
        </w:rPr>
        <w:t xml:space="preserve">3</w:t>
      </w:r>
      <w:r>
        <w:rPr>
          <w:rFonts w:hint="eastAsia" w:ascii="宋体" w:hAnsi="宋体"/>
          <w:color w:val="000000" w:themeColor="text1"/>
          <w:sz w:val="24"/>
          <w:szCs w:val="21"/>
          <w:highlight w:val="none"/>
          <w:lang w:eastAsia="zh-CN"/>
          <w14:textFill>
            <w14:solidFill>
              <w14:schemeClr w14:val="tx1"/>
            </w14:solidFill>
          </w14:textFill>
        </w:rPr>
        <w:t xml:space="preserve">）与采购人、其它供应商或者采购代理机构恶意串通的；</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w:t>
      </w:r>
      <w:r>
        <w:rPr>
          <w:rFonts w:ascii="宋体" w:hAnsi="宋体"/>
          <w:color w:val="000000" w:themeColor="text1"/>
          <w:sz w:val="24"/>
          <w:szCs w:val="21"/>
          <w:highlight w:val="none"/>
          <w:lang w:eastAsia="zh-CN"/>
          <w14:textFill>
            <w14:solidFill>
              <w14:schemeClr w14:val="tx1"/>
            </w14:solidFill>
          </w14:textFill>
        </w:rPr>
        <w:t xml:space="preserve">4</w:t>
      </w:r>
      <w:r>
        <w:rPr>
          <w:rFonts w:hint="eastAsia" w:ascii="宋体" w:hAnsi="宋体"/>
          <w:color w:val="000000" w:themeColor="text1"/>
          <w:sz w:val="24"/>
          <w:szCs w:val="21"/>
          <w:highlight w:val="none"/>
          <w:lang w:eastAsia="zh-CN"/>
          <w14:textFill>
            <w14:solidFill>
              <w14:schemeClr w14:val="tx1"/>
            </w14:solidFill>
          </w14:textFill>
        </w:rPr>
        <w:t xml:space="preserve">）向采购人、采购代理机构行贿或者提供其他不正当利益的；</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w:t>
      </w:r>
      <w:r>
        <w:rPr>
          <w:rFonts w:ascii="宋体" w:hAnsi="宋体"/>
          <w:color w:val="000000" w:themeColor="text1"/>
          <w:sz w:val="24"/>
          <w:szCs w:val="21"/>
          <w:highlight w:val="none"/>
          <w:lang w:eastAsia="zh-CN"/>
          <w14:textFill>
            <w14:solidFill>
              <w14:schemeClr w14:val="tx1"/>
            </w14:solidFill>
          </w14:textFill>
        </w:rPr>
        <w:t xml:space="preserve">5</w:t>
      </w:r>
      <w:r>
        <w:rPr>
          <w:rFonts w:hint="eastAsia" w:ascii="宋体" w:hAnsi="宋体"/>
          <w:color w:val="000000" w:themeColor="text1"/>
          <w:sz w:val="24"/>
          <w:szCs w:val="21"/>
          <w:highlight w:val="none"/>
          <w:lang w:eastAsia="zh-CN"/>
          <w14:textFill>
            <w14:solidFill>
              <w14:schemeClr w14:val="tx1"/>
            </w14:solidFill>
          </w14:textFill>
        </w:rPr>
        <w:t xml:space="preserve">）在采购过程中与采购人进行协商磋商的；</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w:t>
      </w:r>
      <w:r>
        <w:rPr>
          <w:rFonts w:ascii="宋体" w:hAnsi="宋体"/>
          <w:color w:val="000000" w:themeColor="text1"/>
          <w:sz w:val="24"/>
          <w:szCs w:val="21"/>
          <w:highlight w:val="none"/>
          <w:lang w:eastAsia="zh-CN"/>
          <w14:textFill>
            <w14:solidFill>
              <w14:schemeClr w14:val="tx1"/>
            </w14:solidFill>
          </w14:textFill>
        </w:rPr>
        <w:t xml:space="preserve">6</w:t>
      </w:r>
      <w:r>
        <w:rPr>
          <w:rFonts w:hint="eastAsia" w:ascii="宋体" w:hAnsi="宋体"/>
          <w:color w:val="000000" w:themeColor="text1"/>
          <w:sz w:val="24"/>
          <w:szCs w:val="21"/>
          <w:highlight w:val="none"/>
          <w:lang w:eastAsia="zh-CN"/>
          <w14:textFill>
            <w14:solidFill>
              <w14:schemeClr w14:val="tx1"/>
            </w14:solidFill>
          </w14:textFill>
        </w:rPr>
        <w:t xml:space="preserve">）拒绝有关部门监督检查或提供虚假情况的。</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8</w:t>
      </w:r>
      <w:r>
        <w:rPr>
          <w:rFonts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lang w:eastAsia="zh-CN"/>
          <w14:textFill>
            <w14:solidFill>
              <w14:schemeClr w14:val="tx1"/>
            </w14:solidFill>
          </w14:textFill>
        </w:rPr>
        <w:t xml:space="preserve">与本磋商有关的正式通讯地址为：</w:t>
      </w:r>
      <w:r/>
    </w:p>
    <w:p>
      <w:pPr>
        <w:ind w:firstLine="720"/>
        <w:spacing w:line="400" w:lineRule="exact"/>
        <w:rPr>
          <w:rFonts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供应商名称（盖章）：</w:t>
      </w:r>
      <w:r/>
    </w:p>
    <w:p>
      <w:pPr>
        <w:ind w:firstLine="720"/>
        <w:spacing w:line="400" w:lineRule="exact"/>
        <w:rPr>
          <w:rFonts w:asci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地址：</w:t>
      </w:r>
      <w:r/>
    </w:p>
    <w:p>
      <w:pPr>
        <w:ind w:firstLine="720"/>
        <w:spacing w:line="400" w:lineRule="exact"/>
        <w:rPr>
          <w:rFonts w:ascii="宋体" w:hAnsi="宋体"/>
          <w:color w:val="000000" w:themeColor="text1"/>
          <w:sz w:val="24"/>
          <w:highlight w:val="none"/>
          <w:u w:val="singl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联系电话：</w:t>
      </w:r>
      <w:r/>
    </w:p>
    <w:p>
      <w:pPr>
        <w:ind w:firstLine="720"/>
        <w:spacing w:line="400" w:lineRule="exact"/>
        <w:rPr>
          <w:rFonts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olor w:val="000000" w:themeColor="text1"/>
          <w:sz w:val="24"/>
          <w:highlight w:val="none"/>
          <w:lang w:eastAsia="zh-CN"/>
          <w14:textFill>
            <w14:solidFill>
              <w14:schemeClr w14:val="tx1"/>
            </w14:solidFill>
          </w14:textFill>
        </w:rPr>
        <w:t xml:space="preserve">法定</w:t>
      </w:r>
      <w:r>
        <w:rPr>
          <w:rFonts w:hint="eastAsia" w:ascii="宋体" w:hAnsi="宋体"/>
          <w:color w:val="000000" w:themeColor="text1"/>
          <w:sz w:val="24"/>
          <w:highlight w:val="none"/>
          <w:lang w:eastAsia="zh-CN"/>
          <w14:textFill>
            <w14:solidFill>
              <w14:schemeClr w14:val="tx1"/>
            </w14:solidFill>
          </w14:textFill>
        </w:rPr>
        <w:t xml:space="preserve">代表人（签字或盖章）：</w:t>
      </w:r>
      <w:r/>
    </w:p>
    <w:p>
      <w:pPr>
        <w:ind w:firstLine="720"/>
        <w:spacing w:line="400" w:lineRule="exact"/>
        <w:rPr>
          <w:rFonts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日期：   年   月   日</w:t>
      </w:r>
      <w:r/>
    </w:p>
    <w:p>
      <w:pPr>
        <w:ind w:firstLine="720"/>
        <w:spacing w:line="360" w:lineRule="exact"/>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ind w:firstLine="720"/>
        <w:spacing w:line="360" w:lineRule="exact"/>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pStyle w:val="781"/>
        <w:rPr>
          <w:rFonts w:eastAsiaTheme="minorEastAsia"/>
          <w:color w:val="000000" w:themeColor="text1"/>
          <w:highlight w:val="none"/>
          <w:lang w:eastAsia="zh-CN"/>
          <w14:textFill>
            <w14:solidFill>
              <w14:schemeClr w14:val="tx1"/>
            </w14:solidFill>
          </w14:textFill>
        </w:rPr>
      </w:pPr>
      <w:r/>
      <w:bookmarkStart w:id="146" w:name="_Hlt460314944"/>
      <w:r/>
      <w:bookmarkEnd w:id="146"/>
      <w:r/>
      <w:bookmarkStart w:id="147" w:name="_Toc10181"/>
      <w:r/>
      <w:bookmarkStart w:id="148" w:name="_Toc26050"/>
      <w:r/>
      <w:r/>
    </w:p>
    <w:p>
      <w:pPr>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br w:type="page" w:clear="all"/>
      </w:r>
      <w:r/>
    </w:p>
    <w:p>
      <w:pPr>
        <w:rPr>
          <w:rFonts w:ascii="宋体" w:hAnsi="宋体"/>
          <w:b/>
          <w:color w:val="000000" w:themeColor="text1"/>
          <w:sz w:val="24"/>
          <w:szCs w:val="21"/>
          <w:highlight w:val="none"/>
          <w:lang w:eastAsia="zh-CN"/>
          <w14:textFill>
            <w14:solidFill>
              <w14:schemeClr w14:val="tx1"/>
            </w14:solidFill>
          </w14:textFill>
        </w:rPr>
        <w:outlineLvl w:val="1"/>
      </w:pPr>
      <w:r/>
      <w:bookmarkStart w:id="149" w:name="_Toc175663951"/>
      <w:r>
        <w:rPr>
          <w:rFonts w:hint="eastAsia" w:ascii="宋体" w:hAnsi="宋体"/>
          <w:b/>
          <w:color w:val="000000" w:themeColor="text1"/>
          <w:sz w:val="24"/>
          <w:szCs w:val="21"/>
          <w:highlight w:val="none"/>
          <w:lang w:eastAsia="zh-CN"/>
          <w14:textFill>
            <w14:solidFill>
              <w14:schemeClr w14:val="tx1"/>
            </w14:solidFill>
          </w14:textFill>
        </w:rPr>
        <w:t xml:space="preserve">二、法定代表人授权委托书</w:t>
      </w:r>
      <w:bookmarkEnd w:id="147"/>
      <w:r/>
      <w:bookmarkEnd w:id="148"/>
      <w:r/>
      <w:bookmarkEnd w:id="149"/>
      <w:r/>
      <w:r/>
    </w:p>
    <w:p>
      <w:pPr>
        <w:ind w:firstLine="803"/>
        <w:jc w:val="center"/>
        <w:rPr>
          <w:rFonts w:ascii="宋体" w:hAnsi="宋体"/>
          <w:b/>
          <w:bCs/>
          <w:color w:val="000000" w:themeColor="text1"/>
          <w:sz w:val="24"/>
          <w:highlight w:val="none"/>
          <w:lang w:eastAsia="zh-CN"/>
          <w14:textFill>
            <w14:solidFill>
              <w14:schemeClr w14:val="tx1"/>
            </w14:solidFill>
          </w14:textFill>
        </w:rPr>
      </w:pPr>
      <w:r>
        <w:rPr>
          <w:rFonts w:hint="eastAsia" w:ascii="黑体" w:hAnsi="宋体" w:eastAsia="黑体"/>
          <w:b/>
          <w:bCs/>
          <w:color w:val="000000" w:themeColor="text1"/>
          <w:sz w:val="40"/>
          <w:szCs w:val="44"/>
          <w:highlight w:val="none"/>
          <w:lang w:eastAsia="zh-CN"/>
          <w14:textFill>
            <w14:solidFill>
              <w14:schemeClr w14:val="tx1"/>
            </w14:solidFill>
          </w14:textFill>
        </w:rPr>
        <w:t xml:space="preserve">法定代表人授权委托书</w:t>
      </w:r>
      <w:r/>
    </w:p>
    <w:p>
      <w:pPr>
        <w:spacing w:line="500" w:lineRule="exact"/>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 </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南京江宁滨江经济开发区管理委员会</w:t>
      </w:r>
      <w:r>
        <w:rPr>
          <w:rFonts w:hint="eastAsia" w:ascii="宋体" w:hAnsi="宋体"/>
          <w:color w:val="000000" w:themeColor="text1"/>
          <w:sz w:val="24"/>
          <w:szCs w:val="21"/>
          <w:highlight w:val="none"/>
          <w:lang w:eastAsia="zh-CN"/>
          <w14:textFill>
            <w14:solidFill>
              <w14:schemeClr w14:val="tx1"/>
            </w14:solidFill>
          </w14:textFill>
        </w:rPr>
        <w:t xml:space="preserve"> ：</w:t>
      </w:r>
      <w:r/>
    </w:p>
    <w:p>
      <w:pPr>
        <w:spacing w:line="500" w:lineRule="exact"/>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    本授权书声明：注册于</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 xml:space="preserve">（供应商注册地址）的</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 xml:space="preserve">（供应商名称）法定代表人</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 xml:space="preserve">（法定代表人姓名、职务）代表本公司授权在下面签字的</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 xml:space="preserve">（授权代表姓名、职务）为本公司的合法代理人，就贵方组织的项目编号：</w:t>
      </w:r>
      <w:r>
        <w:rPr>
          <w:rFonts w:hint="eastAsia" w:ascii="宋体" w:hAnsi="宋体" w:eastAsiaTheme="minorEastAsia"/>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u w:val="single"/>
          <w:lang w:eastAsia="zh-CN"/>
          <w14:textFill>
            <w14:solidFill>
              <w14:schemeClr w14:val="tx1"/>
            </w14:solidFill>
          </w14:textFill>
        </w:rPr>
        <w:t xml:space="preserve">号</w:t>
      </w:r>
      <w:r>
        <w:rPr>
          <w:rFonts w:hint="eastAsia" w:ascii="宋体" w:hAnsi="宋体"/>
          <w:color w:val="000000" w:themeColor="text1"/>
          <w:sz w:val="24"/>
          <w:szCs w:val="21"/>
          <w:highlight w:val="none"/>
          <w:lang w:eastAsia="zh-CN"/>
          <w14:textFill>
            <w14:solidFill>
              <w14:schemeClr w14:val="tx1"/>
            </w14:solidFill>
          </w14:textFill>
        </w:rPr>
        <w:t xml:space="preserve">，项目名称</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 xml:space="preserve">，以本公司名义处理一切与之有关的事务。</w:t>
      </w:r>
      <w:r/>
    </w:p>
    <w:p>
      <w:pPr>
        <w:ind w:firstLine="420"/>
        <w:spacing w:line="500" w:lineRule="exact"/>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本授权书于</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 xml:space="preserve">年</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 xml:space="preserve">月</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 xml:space="preserve">日签字生效，特此声明。</w:t>
      </w:r>
      <w:r/>
    </w:p>
    <w:p>
      <w:pPr>
        <w:ind w:firstLine="420"/>
        <w:spacing w:line="500" w:lineRule="exact"/>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附：</w:t>
      </w:r>
      <w:r>
        <w:rPr>
          <w:rFonts w:hint="eastAsia" w:ascii="宋体" w:hAnsi="宋体"/>
          <w:b/>
          <w:color w:val="000000" w:themeColor="text1"/>
          <w:sz w:val="24"/>
          <w:szCs w:val="21"/>
          <w:highlight w:val="none"/>
          <w:lang w:eastAsia="zh-CN"/>
          <w14:textFill>
            <w14:solidFill>
              <w14:schemeClr w14:val="tx1"/>
            </w14:solidFill>
          </w14:textFill>
        </w:rPr>
        <w:t xml:space="preserve">法人</w:t>
      </w:r>
      <w:r>
        <w:rPr>
          <w:rFonts w:hint="eastAsia" w:ascii="宋体" w:hAnsi="宋体"/>
          <w:color w:val="000000" w:themeColor="text1"/>
          <w:sz w:val="24"/>
          <w:szCs w:val="21"/>
          <w:highlight w:val="none"/>
          <w:lang w:eastAsia="zh-CN"/>
          <w14:textFill>
            <w14:solidFill>
              <w14:schemeClr w14:val="tx1"/>
            </w14:solidFill>
          </w14:textFill>
        </w:rPr>
        <w:t xml:space="preserve">及授</w:t>
      </w:r>
      <w:r>
        <w:rPr>
          <w:rFonts w:hint="eastAsia" w:ascii="宋体" w:hAnsi="宋体"/>
          <w:b/>
          <w:color w:val="000000" w:themeColor="text1"/>
          <w:sz w:val="24"/>
          <w:szCs w:val="21"/>
          <w:highlight w:val="none"/>
          <w:lang w:eastAsia="zh-CN"/>
          <w14:textFill>
            <w14:solidFill>
              <w14:schemeClr w14:val="tx1"/>
            </w14:solidFill>
          </w14:textFill>
        </w:rPr>
        <w:t xml:space="preserve">权委托人</w:t>
      </w:r>
      <w:r>
        <w:rPr>
          <w:rFonts w:hint="eastAsia" w:ascii="宋体" w:hAnsi="宋体"/>
          <w:color w:val="000000" w:themeColor="text1"/>
          <w:sz w:val="24"/>
          <w:szCs w:val="21"/>
          <w:highlight w:val="none"/>
          <w:lang w:eastAsia="zh-CN"/>
          <w14:textFill>
            <w14:solidFill>
              <w14:schemeClr w14:val="tx1"/>
            </w14:solidFill>
          </w14:textFill>
        </w:rPr>
        <w:t xml:space="preserve">身份证加盖公章。</w:t>
      </w:r>
      <w:r/>
    </w:p>
    <w:p>
      <w:pPr>
        <w:ind w:firstLine="420"/>
        <w:spacing w:line="500" w:lineRule="exact"/>
        <w:rPr>
          <w:rFonts w:ascii="宋体" w:hAns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r>
      <w:r/>
    </w:p>
    <w:p>
      <w:pPr>
        <w:ind w:firstLine="420"/>
        <w:spacing w:line="500" w:lineRule="exact"/>
        <w:rPr>
          <w:rFonts w:ascii="宋体" w:hAns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r>
      <w:r/>
    </w:p>
    <w:p>
      <w:pPr>
        <w:ind w:firstLine="480"/>
        <w:spacing w:line="500" w:lineRule="exact"/>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供应商名称（盖章）:            </w:t>
      </w:r>
      <w:r/>
    </w:p>
    <w:p>
      <w:pPr>
        <w:ind w:firstLine="480"/>
        <w:spacing w:line="500" w:lineRule="exact"/>
        <w:tabs>
          <w:tab w:val="left" w:pos="1440" w:leader="none"/>
        </w:tabs>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日    期：       年    月    日</w:t>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br w:type="page" w:clear="all"/>
      </w:r>
      <w:r/>
    </w:p>
    <w:p>
      <w:pPr>
        <w:rPr>
          <w:rFonts w:ascii="宋体" w:hAnsi="宋体"/>
          <w:b/>
          <w:color w:val="000000" w:themeColor="text1"/>
          <w:sz w:val="24"/>
          <w:szCs w:val="21"/>
          <w:highlight w:val="none"/>
          <w:lang w:eastAsia="zh-CN"/>
          <w14:textFill>
            <w14:solidFill>
              <w14:schemeClr w14:val="tx1"/>
            </w14:solidFill>
          </w14:textFill>
        </w:rPr>
        <w:outlineLvl w:val="1"/>
      </w:pPr>
      <w:r/>
      <w:bookmarkStart w:id="150" w:name="_Toc354594116"/>
      <w:r/>
      <w:bookmarkStart w:id="151" w:name="_Toc175663952"/>
      <w:r/>
      <w:bookmarkStart w:id="152" w:name="_Toc25188"/>
      <w:r/>
      <w:bookmarkStart w:id="153" w:name="_Toc8055"/>
      <w:r>
        <w:rPr>
          <w:rFonts w:hint="eastAsia" w:ascii="宋体" w:hAnsi="宋体"/>
          <w:b/>
          <w:color w:val="000000" w:themeColor="text1"/>
          <w:sz w:val="24"/>
          <w:szCs w:val="21"/>
          <w:highlight w:val="none"/>
          <w:lang w:eastAsia="zh-CN"/>
          <w14:textFill>
            <w14:solidFill>
              <w14:schemeClr w14:val="tx1"/>
            </w14:solidFill>
          </w14:textFill>
        </w:rPr>
        <w:t xml:space="preserve">三、磋商报价</w:t>
      </w:r>
      <w:bookmarkEnd w:id="150"/>
      <w:r/>
      <w:bookmarkEnd w:id="151"/>
      <w:r/>
      <w:bookmarkEnd w:id="152"/>
      <w:r/>
      <w:bookmarkEnd w:id="153"/>
      <w:r>
        <w:rPr>
          <w:rFonts w:hint="eastAsia" w:asciiTheme="minorEastAsia" w:hAnsiTheme="minorEastAsia" w:eastAsiaTheme="minorEastAsia"/>
          <w:b/>
          <w:color w:val="000000" w:themeColor="text1"/>
          <w:sz w:val="24"/>
          <w:szCs w:val="21"/>
          <w:highlight w:val="none"/>
          <w:lang w:eastAsia="zh-CN"/>
          <w14:textFill>
            <w14:solidFill>
              <w14:schemeClr w14:val="tx1"/>
            </w14:solidFill>
          </w14:textFill>
        </w:rPr>
        <w:t xml:space="preserve">（第一轮）</w:t>
      </w:r>
      <w:r/>
    </w:p>
    <w:p>
      <w:pPr>
        <w:ind w:firstLine="361"/>
        <w:jc w:val="center"/>
        <w:spacing w:line="360" w:lineRule="auto"/>
        <w:rPr>
          <w:rFonts w:ascii="黑体" w:hAnsi="宋体" w:eastAsia="黑体"/>
          <w:b/>
          <w:color w:val="000000" w:themeColor="text1"/>
          <w:sz w:val="36"/>
          <w:szCs w:val="28"/>
          <w:highlight w:val="none"/>
          <w:lang w:eastAsia="zh-CN"/>
          <w14:textFill>
            <w14:solidFill>
              <w14:schemeClr w14:val="tx1"/>
            </w14:solidFill>
          </w14:textFill>
        </w:rPr>
      </w:pPr>
      <w:r>
        <w:rPr>
          <w:rFonts w:hint="eastAsia" w:ascii="黑体" w:hAnsi="宋体" w:eastAsia="黑体"/>
          <w:b/>
          <w:color w:val="000000" w:themeColor="text1"/>
          <w:sz w:val="36"/>
          <w:szCs w:val="28"/>
          <w:highlight w:val="none"/>
          <w:lang w:eastAsia="zh-CN"/>
          <w14:textFill>
            <w14:solidFill>
              <w14:schemeClr w14:val="tx1"/>
            </w14:solidFill>
          </w14:textFill>
        </w:rPr>
        <w:t xml:space="preserve">磋商报价（第一轮）</w:t>
      </w:r>
      <w:r/>
    </w:p>
    <w:p>
      <w:pPr>
        <w:spacing w:line="360" w:lineRule="auto"/>
        <w:rPr>
          <w:rFonts w:ascii="宋体" w:hAnsi="宋体" w:eastAsiaTheme="minorEastAsia"/>
          <w:bCs/>
          <w:color w:val="000000" w:themeColor="text1"/>
          <w:sz w:val="24"/>
          <w:szCs w:val="21"/>
          <w:highlight w:val="none"/>
          <w:lang w:eastAsia="zh-CN"/>
          <w14:textFill>
            <w14:solidFill>
              <w14:schemeClr w14:val="tx1"/>
            </w14:solidFill>
          </w14:textFill>
        </w:rPr>
      </w:pPr>
      <w:r>
        <w:rPr>
          <w:rFonts w:hint="eastAsia" w:ascii="宋体" w:hAnsi="宋体"/>
          <w:bCs/>
          <w:color w:val="000000" w:themeColor="text1"/>
          <w:sz w:val="24"/>
          <w:szCs w:val="21"/>
          <w:highlight w:val="none"/>
          <w:lang w:eastAsia="zh-CN"/>
          <w14:textFill>
            <w14:solidFill>
              <w14:schemeClr w14:val="tx1"/>
            </w14:solidFill>
          </w14:textFill>
        </w:rPr>
        <w:t xml:space="preserve">项目编号：JSZC-320115-NJMT-C2026-0003 </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bCs/>
          <w:color w:val="000000" w:themeColor="text1"/>
          <w:sz w:val="24"/>
          <w:szCs w:val="21"/>
          <w:highlight w:val="none"/>
          <w:lang w:eastAsia="zh-CN"/>
          <w14:textFill>
            <w14:solidFill>
              <w14:schemeClr w14:val="tx1"/>
            </w14:solidFill>
          </w14:textFill>
        </w:rPr>
        <w:t xml:space="preserve">项目名称：</w:t>
      </w:r>
      <w:r>
        <w:rPr>
          <w:rFonts w:hint="eastAsia" w:ascii="宋体" w:hAnsi="宋体" w:eastAsia="宋体" w:cs="宋体"/>
          <w:color w:val="000000" w:themeColor="text1"/>
          <w:sz w:val="24"/>
          <w:highlight w:val="none"/>
          <w:lang w:eastAsia="zh-CN"/>
          <w14:textFill>
            <w14:solidFill>
              <w14:schemeClr w14:val="tx1"/>
            </w14:solidFill>
          </w14:textFill>
        </w:rPr>
        <w:t xml:space="preserve">原铜井化工园退役场地风险评估项目</w:t>
      </w:r>
      <w:r/>
    </w:p>
    <w:tbl>
      <w:tblPr>
        <w:tblStyle w:val="76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13"/>
        <w:gridCol w:w="6452"/>
      </w:tblGrid>
      <w:tr>
        <w:trPr>
          <w:trHeight w:val="724"/>
        </w:trPr>
        <w:tc>
          <w:tcPr>
            <w:tcW w:w="2759" w:type="dxa"/>
            <w:vAlign w:val="center"/>
            <w:vMerge w:val="restart"/>
            <w:textDirection w:val="lrTb"/>
            <w:noWrap w:val="false"/>
          </w:tcPr>
          <w:p>
            <w:pPr>
              <w:jc w:val="center"/>
              <w:spacing w:line="360" w:lineRule="auto"/>
              <w:rPr>
                <w:rFonts w:hint="eastAsia" w:ascii="宋体" w:hAnsi="宋体" w:eastAsia="宋体" w:cs="宋体"/>
                <w:color w:val="000000" w:themeColor="text1"/>
                <w:sz w:val="24"/>
                <w:highlight w:val="none"/>
                <w:vertAlign w:val="baseline"/>
                <w:lang w:eastAsia="zh-CN"/>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磋商报价</w:t>
            </w:r>
            <w:r/>
          </w:p>
        </w:tc>
        <w:tc>
          <w:tcPr>
            <w:tcW w:w="6840" w:type="dxa"/>
            <w:vAlign w:val="center"/>
            <w:textDirection w:val="lrTb"/>
            <w:noWrap w:val="false"/>
          </w:tcPr>
          <w:p>
            <w:pPr>
              <w:jc w:val="both"/>
              <w:spacing w:line="360" w:lineRule="auto"/>
              <w:rPr>
                <w:rFonts w:hint="eastAsia" w:ascii="宋体" w:hAnsi="宋体" w:eastAsia="宋体" w:cs="宋体"/>
                <w:color w:val="000000" w:themeColor="text1"/>
                <w:sz w:val="24"/>
                <w:highlight w:val="none"/>
                <w:vertAlign w:val="baseli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w:t>
            </w:r>
            <w:r/>
          </w:p>
        </w:tc>
      </w:tr>
      <w:tr>
        <w:trPr>
          <w:trHeight w:val="789"/>
        </w:trPr>
        <w:tc>
          <w:tcPr>
            <w:tcW w:w="2759" w:type="dxa"/>
            <w:vAlign w:val="center"/>
            <w:vMerge w:val="continue"/>
            <w:textDirection w:val="lrTb"/>
            <w:noWrap w:val="false"/>
          </w:tcPr>
          <w:p>
            <w:pPr>
              <w:jc w:val="center"/>
              <w:spacing w:line="360" w:lineRule="auto"/>
              <w:rPr>
                <w:rFonts w:hint="eastAsia" w:ascii="宋体" w:hAnsi="宋体" w:eastAsia="宋体" w:cs="宋体"/>
                <w:color w:val="000000" w:themeColor="text1"/>
                <w:sz w:val="24"/>
                <w:highlight w:val="none"/>
                <w:vertAlign w:val="baseline"/>
                <w:lang w:eastAsia="zh-CN"/>
                <w14:textFill>
                  <w14:solidFill>
                    <w14:schemeClr w14:val="tx1"/>
                  </w14:solidFill>
                </w14:textFill>
              </w:rPr>
            </w:pPr>
            <w:r>
              <w:rPr>
                <w:rFonts w:hint="eastAsia" w:ascii="宋体" w:hAnsi="宋体" w:eastAsia="宋体" w:cs="宋体"/>
                <w:color w:val="000000" w:themeColor="text1"/>
                <w:sz w:val="24"/>
                <w:highlight w:val="none"/>
                <w:vertAlign w:val="baseline"/>
                <w:lang w:eastAsia="zh-CN"/>
                <w14:textFill>
                  <w14:solidFill>
                    <w14:schemeClr w14:val="tx1"/>
                  </w14:solidFill>
                </w14:textFill>
              </w:rPr>
            </w:r>
            <w:r/>
          </w:p>
        </w:tc>
        <w:tc>
          <w:tcPr>
            <w:tcW w:w="6840" w:type="dxa"/>
            <w:vAlign w:val="center"/>
            <w:textDirection w:val="lrTb"/>
            <w:noWrap w:val="false"/>
          </w:tcPr>
          <w:p>
            <w:pPr>
              <w:jc w:val="both"/>
              <w:spacing w:line="360" w:lineRule="auto"/>
              <w:rPr>
                <w:rFonts w:hint="eastAsia" w:ascii="宋体" w:hAnsi="宋体" w:eastAsia="宋体" w:cs="宋体"/>
                <w:color w:val="000000" w:themeColor="text1"/>
                <w:sz w:val="24"/>
                <w:highlight w:val="none"/>
                <w:vertAlign w:val="baseli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大写：</w:t>
            </w:r>
            <w:r/>
          </w:p>
        </w:tc>
      </w:tr>
      <w:tr>
        <w:trPr>
          <w:trHeight w:val="789"/>
        </w:trPr>
        <w:tc>
          <w:tcPr>
            <w:tcW w:w="2759" w:type="dxa"/>
            <w:vAlign w:val="center"/>
            <w:textDirection w:val="lrTb"/>
            <w:noWrap w:val="false"/>
          </w:tcPr>
          <w:p>
            <w:pPr>
              <w:jc w:val="center"/>
              <w:spacing w:line="360" w:lineRule="auto"/>
              <w:rPr>
                <w:rFonts w:hint="eastAsia" w:ascii="宋体" w:hAnsi="宋体" w:eastAsia="宋体" w:cs="宋体"/>
                <w:color w:val="000000" w:themeColor="text1"/>
                <w:sz w:val="24"/>
                <w:highlight w:val="none"/>
                <w:vertAlign w:val="baseline"/>
                <w:lang w:eastAsia="zh-CN"/>
                <w14:textFill>
                  <w14:solidFill>
                    <w14:schemeClr w14:val="tx1"/>
                  </w14:solidFill>
                </w14:textFill>
              </w:rPr>
            </w:pPr>
            <w:r>
              <w:rPr>
                <w:color w:val="000000" w:themeColor="text1"/>
                <w:highlight w:val="none"/>
                <w:lang w:val="en-US"/>
                <w14:textFill>
                  <w14:solidFill>
                    <w14:schemeClr w14:val="tx1"/>
                  </w14:solidFill>
                </w14:textFill>
              </w:rPr>
              <w:t xml:space="preserve">项目负责人</w:t>
            </w:r>
            <w:r/>
          </w:p>
        </w:tc>
        <w:tc>
          <w:tcPr>
            <w:tcW w:w="6840" w:type="dxa"/>
            <w:vAlign w:val="center"/>
            <w:textDirection w:val="lrTb"/>
            <w:noWrap w:val="false"/>
          </w:tcPr>
          <w:p>
            <w:pPr>
              <w:jc w:val="both"/>
              <w:spacing w:line="360" w:lineRule="auto"/>
              <w:rPr>
                <w:rFonts w:hint="eastAsia" w:ascii="宋体" w:hAnsi="宋体" w:eastAsia="宋体" w:cs="宋体"/>
                <w:color w:val="000000" w:themeColor="text1"/>
                <w:sz w:val="24"/>
                <w:highlight w:val="none"/>
                <w:vertAlign w:val="baseline"/>
                <w:lang w:eastAsia="zh-CN"/>
                <w14:textFill>
                  <w14:solidFill>
                    <w14:schemeClr w14:val="tx1"/>
                  </w14:solidFill>
                </w14:textFill>
              </w:rPr>
            </w:pPr>
            <w:r>
              <w:rPr>
                <w:rFonts w:hint="eastAsia" w:ascii="宋体" w:hAnsi="宋体" w:eastAsia="宋体" w:cs="宋体"/>
                <w:color w:val="000000" w:themeColor="text1"/>
                <w:sz w:val="24"/>
                <w:highlight w:val="none"/>
                <w:vertAlign w:val="baseline"/>
                <w:lang w:eastAsia="zh-CN"/>
                <w14:textFill>
                  <w14:solidFill>
                    <w14:schemeClr w14:val="tx1"/>
                  </w14:solidFill>
                </w14:textFill>
              </w:rPr>
            </w:r>
            <w:r/>
          </w:p>
        </w:tc>
      </w:tr>
      <w:tr>
        <w:trPr>
          <w:trHeight w:val="789"/>
        </w:trPr>
        <w:tc>
          <w:tcPr>
            <w:tcW w:w="2759" w:type="dxa"/>
            <w:vAlign w:val="center"/>
            <w:textDirection w:val="lrTb"/>
            <w:noWrap w:val="false"/>
          </w:tcPr>
          <w:p>
            <w:pPr>
              <w:jc w:val="center"/>
              <w:spacing w:line="360" w:lineRule="auto"/>
              <w:rPr>
                <w:rFonts w:hint="eastAsia" w:ascii="宋体" w:hAnsi="宋体" w:eastAsia="宋体" w:cs="宋体"/>
                <w:color w:val="000000" w:themeColor="text1"/>
                <w:sz w:val="24"/>
                <w:highlight w:val="none"/>
                <w:vertAlign w:val="baseli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服务期</w:t>
            </w:r>
            <w:r/>
          </w:p>
        </w:tc>
        <w:tc>
          <w:tcPr>
            <w:tcW w:w="6840" w:type="dxa"/>
            <w:vAlign w:val="center"/>
            <w:textDirection w:val="lrTb"/>
            <w:noWrap w:val="false"/>
          </w:tcPr>
          <w:p>
            <w:pPr>
              <w:jc w:val="both"/>
              <w:spacing w:line="360" w:lineRule="auto"/>
              <w:rPr>
                <w:rFonts w:hint="eastAsia" w:ascii="宋体" w:hAnsi="宋体" w:eastAsia="宋体" w:cs="宋体"/>
                <w:color w:val="000000" w:themeColor="text1"/>
                <w:sz w:val="24"/>
                <w:highlight w:val="none"/>
                <w:vertAlign w:val="baseline"/>
                <w:lang w:eastAsia="zh-CN"/>
                <w14:textFill>
                  <w14:solidFill>
                    <w14:schemeClr w14:val="tx1"/>
                  </w14:solidFill>
                </w14:textFill>
              </w:rPr>
            </w:pPr>
            <w:r>
              <w:rPr>
                <w:rFonts w:hint="eastAsia" w:ascii="宋体" w:hAnsi="宋体" w:eastAsia="宋体" w:cs="宋体"/>
                <w:color w:val="000000" w:themeColor="text1"/>
                <w:sz w:val="24"/>
                <w:highlight w:val="none"/>
                <w:vertAlign w:val="baseline"/>
                <w:lang w:eastAsia="zh-CN"/>
                <w14:textFill>
                  <w14:solidFill>
                    <w14:schemeClr w14:val="tx1"/>
                  </w14:solidFill>
                </w14:textFill>
              </w:rPr>
            </w:r>
            <w:r/>
          </w:p>
        </w:tc>
      </w:tr>
      <w:tr>
        <w:trPr>
          <w:trHeight w:val="724"/>
        </w:trPr>
        <w:tc>
          <w:tcPr>
            <w:tcW w:w="2759" w:type="dxa"/>
            <w:vAlign w:val="center"/>
            <w:textDirection w:val="lrTb"/>
            <w:noWrap w:val="false"/>
          </w:tcPr>
          <w:p>
            <w:pPr>
              <w:jc w:val="center"/>
              <w:spacing w:line="360" w:lineRule="auto"/>
              <w:rPr>
                <w:rFonts w:hint="eastAsia" w:ascii="宋体" w:hAnsi="宋体" w:eastAsia="宋体" w:cs="宋体"/>
                <w:color w:val="000000" w:themeColor="text1"/>
                <w:sz w:val="24"/>
                <w:highlight w:val="none"/>
                <w:vertAlign w:val="baseline"/>
                <w:lang w:eastAsia="zh-CN"/>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是否小微企业</w:t>
            </w:r>
            <w:r/>
          </w:p>
        </w:tc>
        <w:tc>
          <w:tcPr>
            <w:tcW w:w="6840" w:type="dxa"/>
            <w:vAlign w:val="center"/>
            <w:textDirection w:val="lrTb"/>
            <w:noWrap w:val="false"/>
          </w:tcPr>
          <w:p>
            <w:pPr>
              <w:jc w:val="both"/>
              <w:spacing w:line="360" w:lineRule="auto"/>
              <w:rPr>
                <w:rFonts w:hint="eastAsia" w:ascii="宋体" w:hAnsi="宋体" w:eastAsia="宋体" w:cs="宋体"/>
                <w:color w:val="000000" w:themeColor="text1"/>
                <w:sz w:val="24"/>
                <w:highlight w:val="none"/>
                <w:vertAlign w:val="baseline"/>
                <w:lang w:eastAsia="zh-CN"/>
                <w14:textFill>
                  <w14:solidFill>
                    <w14:schemeClr w14:val="tx1"/>
                  </w14:solidFill>
                </w14:textFill>
              </w:rPr>
            </w:pPr>
            <w:r>
              <w:rPr>
                <w:color w:val="000000" w:themeColor="text1"/>
                <w:highlight w:val="none"/>
                <w:lang w:val="zh-CN"/>
                <w14:textFill>
                  <w14:solidFill>
                    <w14:schemeClr w14:val="tx1"/>
                  </w14:solidFill>
                </w14:textFill>
              </w:rPr>
              <w:t xml:space="preserve">是</w:t>
            </w:r>
            <w:r>
              <w:rPr>
                <w:rFonts w:hint="eastAsia"/>
                <w:color w:val="000000" w:themeColor="text1"/>
                <w:highlight w:val="none"/>
                <w:lang w:val="zh-CN"/>
                <w14:textFill>
                  <w14:solidFill>
                    <w14:schemeClr w14:val="tx1"/>
                  </w14:solidFill>
                </w14:textFill>
              </w:rPr>
              <w:t xml:space="preserve">       否</w:t>
            </w:r>
            <w:r/>
          </w:p>
        </w:tc>
      </w:tr>
      <w:tr>
        <w:trPr>
          <w:trHeight w:val="741"/>
        </w:trPr>
        <w:tc>
          <w:tcPr>
            <w:tcW w:w="2759" w:type="dxa"/>
            <w:vAlign w:val="center"/>
            <w:textDirection w:val="lrTb"/>
            <w:noWrap w:val="false"/>
          </w:tcPr>
          <w:p>
            <w:pPr>
              <w:jc w:val="center"/>
              <w:spacing w:line="360" w:lineRule="auto"/>
              <w:rPr>
                <w:rFonts w:hint="eastAsia" w:ascii="宋体" w:hAnsi="宋体" w:eastAsia="宋体" w:cs="宋体"/>
                <w:color w:val="000000" w:themeColor="text1"/>
                <w:sz w:val="24"/>
                <w:highlight w:val="none"/>
                <w:vertAlign w:val="baseline"/>
                <w:lang w:eastAsia="zh-CN"/>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其它</w:t>
            </w:r>
            <w:r/>
          </w:p>
        </w:tc>
        <w:tc>
          <w:tcPr>
            <w:tcW w:w="6840" w:type="dxa"/>
            <w:vAlign w:val="center"/>
            <w:textDirection w:val="lrTb"/>
            <w:noWrap w:val="false"/>
          </w:tcPr>
          <w:p>
            <w:pPr>
              <w:jc w:val="both"/>
              <w:spacing w:line="360" w:lineRule="auto"/>
              <w:rPr>
                <w:rFonts w:hint="eastAsia" w:ascii="宋体" w:hAnsi="宋体" w:eastAsia="宋体" w:cs="宋体"/>
                <w:color w:val="000000" w:themeColor="text1"/>
                <w:sz w:val="24"/>
                <w:highlight w:val="none"/>
                <w:vertAlign w:val="baseline"/>
                <w:lang w:eastAsia="zh-CN"/>
                <w14:textFill>
                  <w14:solidFill>
                    <w14:schemeClr w14:val="tx1"/>
                  </w14:solidFill>
                </w14:textFill>
              </w:rPr>
            </w:pPr>
            <w:r>
              <w:rPr>
                <w:rFonts w:hint="eastAsia"/>
                <w:color w:val="000000" w:themeColor="text1"/>
                <w:highlight w:val="none"/>
                <w:lang w:val="zh-CN" w:eastAsia="zh-CN"/>
                <w14:textFill>
                  <w14:solidFill>
                    <w14:schemeClr w14:val="tx1"/>
                  </w14:solidFill>
                </w14:textFill>
              </w:rPr>
              <w:t xml:space="preserve">（如有优惠条件须在此注明）</w:t>
            </w:r>
            <w:r/>
          </w:p>
        </w:tc>
      </w:tr>
    </w:tbl>
    <w:p>
      <w:pPr>
        <w:rPr>
          <w:color w:val="000000" w:themeColor="text1"/>
          <w:highlight w:val="none"/>
          <w:lang w:val="zh-CN" w:eastAsia="zh-CN"/>
          <w14:textFill>
            <w14:solidFill>
              <w14:schemeClr w14:val="tx1"/>
            </w14:solidFill>
          </w14:textFill>
        </w:rPr>
      </w:pPr>
      <w:r>
        <w:rPr>
          <w:color w:val="000000" w:themeColor="text1"/>
          <w:highlight w:val="none"/>
          <w:lang w:val="zh-CN" w:eastAsia="zh-CN"/>
          <w14:textFill>
            <w14:solidFill>
              <w14:schemeClr w14:val="tx1"/>
            </w14:solidFill>
          </w14:textFill>
        </w:rPr>
      </w:r>
      <w:r/>
    </w:p>
    <w:p>
      <w:pPr>
        <w:spacing w:line="500" w:lineRule="exact"/>
        <w:rPr>
          <w:rFonts w:hint="eastAsia"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供应商名称（盖章）:            </w:t>
      </w:r>
      <w:r/>
    </w:p>
    <w:p>
      <w:pPr>
        <w:spacing w:line="500" w:lineRule="exact"/>
        <w:rPr>
          <w:rFonts w:hint="eastAsia"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r>
      <w:r/>
    </w:p>
    <w:p>
      <w:pPr>
        <w:spacing w:line="500" w:lineRule="exact"/>
        <w:tabs>
          <w:tab w:val="left" w:pos="1440" w:leader="none"/>
        </w:tabs>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日    期：       年    月    日</w:t>
      </w:r>
      <w:r/>
    </w:p>
    <w:p>
      <w:pPr>
        <w:rPr>
          <w:rFonts w:ascii="宋体" w:hAnsi="宋体" w:cs="宋体"/>
          <w:color w:val="000000" w:themeColor="text1"/>
          <w:sz w:val="24"/>
          <w:szCs w:val="21"/>
          <w:highlight w:val="none"/>
          <w:lang w:eastAsia="zh-CN"/>
          <w14:textFill>
            <w14:solidFill>
              <w14:schemeClr w14:val="tx1"/>
            </w14:solidFill>
          </w14:textFill>
        </w:rPr>
      </w:pPr>
      <w:r>
        <w:rPr>
          <w:rFonts w:ascii="宋体" w:hAnsi="宋体" w:cs="宋体"/>
          <w:color w:val="000000" w:themeColor="text1"/>
          <w:sz w:val="24"/>
          <w:szCs w:val="21"/>
          <w:highlight w:val="none"/>
          <w:lang w:eastAsia="zh-CN"/>
          <w14:textFill>
            <w14:solidFill>
              <w14:schemeClr w14:val="tx1"/>
            </w14:solidFill>
          </w14:textFill>
        </w:rPr>
      </w:r>
      <w:r/>
    </w:p>
    <w:p>
      <w:pPr>
        <w:ind w:firstLine="480"/>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说明:  </w:t>
      </w:r>
      <w:r/>
    </w:p>
    <w:p>
      <w:pPr>
        <w:ind w:firstLine="420"/>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1、采购人对每一项货物和服务仅接受一个价格，</w:t>
      </w:r>
      <w:r>
        <w:rPr>
          <w:rFonts w:hint="eastAsia" w:ascii="宋体" w:hAnsi="宋体"/>
          <w:color w:val="000000" w:themeColor="text1"/>
          <w:sz w:val="24"/>
          <w:szCs w:val="21"/>
          <w:highlight w:val="none"/>
          <w:shd w:val="pct10" w:color="auto" w:fill="ffffff"/>
          <w:lang w:eastAsia="zh-CN"/>
          <w14:textFill>
            <w14:solidFill>
              <w14:schemeClr w14:val="tx1"/>
            </w14:solidFill>
          </w14:textFill>
        </w:rPr>
        <w:t xml:space="preserve">不得填报有选择性报价方案</w:t>
      </w:r>
      <w:r>
        <w:rPr>
          <w:rFonts w:hint="eastAsia" w:ascii="宋体" w:hAnsi="宋体"/>
          <w:color w:val="000000" w:themeColor="text1"/>
          <w:sz w:val="24"/>
          <w:szCs w:val="21"/>
          <w:highlight w:val="none"/>
          <w:lang w:eastAsia="zh-CN"/>
          <w14:textFill>
            <w14:solidFill>
              <w14:schemeClr w14:val="tx1"/>
            </w14:solidFill>
          </w14:textFill>
        </w:rPr>
        <w:t xml:space="preserve">。若有优惠条款须注明，但不得影响报价，影响产品整体功能。</w:t>
      </w:r>
      <w:r/>
    </w:p>
    <w:p>
      <w:pPr>
        <w:ind w:firstLine="420"/>
        <w:rPr>
          <w:rFonts w:hint="eastAsia"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2、磋商报价是磋商文件所确定的采购范围内的全部货物或服务的价格体现。磋商报价：包括但不限于人员劳资、交通费、风险评估费等，应包括供应商为完成任务所承担的全部费用、利润、税金、政策性文件规定及及合同包含内的所有风险、责任等各项应有费用，不论其在采购文件中是否有提及。响应供应商应根据上述因素自行考虑磋商报价</w:t>
      </w:r>
      <w:bookmarkStart w:id="154" w:name="_Hlt460314991"/>
      <w:r/>
      <w:bookmarkEnd w:id="154"/>
      <w:r/>
      <w:bookmarkStart w:id="155" w:name="_Toc479931772"/>
      <w:r/>
      <w:bookmarkStart w:id="156" w:name="_Toc12002"/>
      <w:r/>
      <w:bookmarkStart w:id="157" w:name="_Toc12980"/>
      <w:r/>
      <w:bookmarkStart w:id="158" w:name="_Toc354594118"/>
      <w:r/>
      <w:bookmarkStart w:id="159" w:name="_Toc341184785"/>
      <w:r>
        <w:rPr>
          <w:rFonts w:hint="eastAsia" w:ascii="宋体" w:hAnsi="宋体"/>
          <w:color w:val="000000" w:themeColor="text1"/>
          <w:sz w:val="24"/>
          <w:szCs w:val="21"/>
          <w:highlight w:val="none"/>
          <w:lang w:eastAsia="zh-CN"/>
          <w14:textFill>
            <w14:solidFill>
              <w14:schemeClr w14:val="tx1"/>
            </w14:solidFill>
          </w14:textFill>
        </w:rPr>
        <w:t xml:space="preserve">。</w:t>
      </w:r>
      <w:bookmarkEnd w:id="155"/>
      <w:r/>
      <w:bookmarkEnd w:id="156"/>
      <w:r/>
      <w:bookmarkEnd w:id="157"/>
      <w:r/>
      <w:bookmarkStart w:id="160" w:name="_Toc459109593"/>
      <w:r/>
      <w:bookmarkStart w:id="161" w:name="_Toc27011"/>
      <w:r/>
      <w:bookmarkStart w:id="162" w:name="_Toc12860"/>
      <w:r/>
      <w:bookmarkStart w:id="163" w:name="_Toc175663953"/>
      <w:r/>
      <w:r/>
    </w:p>
    <w:p>
      <w:pPr>
        <w:rPr>
          <w:rFonts w:hint="eastAsia"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br w:type="page" w:clear="all"/>
      </w:r>
      <w:r/>
    </w:p>
    <w:p>
      <w:pPr>
        <w:jc w:val="center"/>
        <w:spacing w:line="240" w:lineRule="atLeast"/>
        <w:rPr>
          <w:rFonts w:hint="eastAsia" w:ascii="宋体" w:hAnsi="宋体" w:cs="宋体"/>
          <w:color w:val="000000"/>
          <w:sz w:val="32"/>
          <w:szCs w:val="32"/>
          <w:highlight w:val="none"/>
          <w:lang w:val="zh-CN"/>
        </w:rPr>
      </w:pPr>
      <w:r>
        <w:rPr>
          <w:rFonts w:hint="eastAsia" w:ascii="宋体" w:hAnsi="宋体" w:cs="宋体"/>
          <w:color w:val="000000"/>
          <w:sz w:val="32"/>
          <w:szCs w:val="32"/>
          <w:highlight w:val="none"/>
          <w:lang w:val="zh-CN"/>
        </w:rPr>
        <w:t xml:space="preserve">分项报价表</w:t>
      </w:r>
      <w:r/>
    </w:p>
    <w:tbl>
      <w:tblPr>
        <w:tblStyle w:val="768"/>
        <w:tblW w:w="93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5564"/>
        <w:gridCol w:w="2087"/>
        <w:gridCol w:w="906"/>
      </w:tblGrid>
      <w:tr>
        <w:trPr>
          <w:trHeight w:val="862"/>
        </w:trPr>
        <w:tc>
          <w:tcPr>
            <w:tcW w:w="842" w:type="dxa"/>
            <w:vAlign w:val="center"/>
            <w:textDirection w:val="lrTb"/>
            <w:noWrap w:val="false"/>
          </w:tcPr>
          <w:p>
            <w:pPr>
              <w:jc w:val="center"/>
              <w:rPr>
                <w:rFonts w:hint="default"/>
                <w:b/>
                <w:bCs/>
                <w:sz w:val="24"/>
                <w:szCs w:val="24"/>
                <w:highlight w:val="none"/>
                <w:lang w:val="en-US" w:eastAsia="zh-CN"/>
              </w:rPr>
            </w:pPr>
            <w:r>
              <w:rPr>
                <w:rFonts w:hint="eastAsia"/>
                <w:b/>
                <w:bCs/>
                <w:sz w:val="24"/>
                <w:szCs w:val="24"/>
                <w:highlight w:val="none"/>
                <w:lang w:val="en-US" w:eastAsia="zh-CN"/>
              </w:rPr>
              <w:t xml:space="preserve">序号</w:t>
            </w:r>
            <w:r/>
          </w:p>
        </w:tc>
        <w:tc>
          <w:tcPr>
            <w:tcW w:w="5564" w:type="dxa"/>
            <w:vAlign w:val="center"/>
            <w:textDirection w:val="lrTb"/>
            <w:noWrap w:val="false"/>
          </w:tcPr>
          <w:p>
            <w:pPr>
              <w:jc w:val="center"/>
              <w:rPr>
                <w:rFonts w:hint="default"/>
                <w:b/>
                <w:bCs/>
                <w:sz w:val="24"/>
                <w:szCs w:val="24"/>
                <w:highlight w:val="none"/>
                <w:lang w:val="en-US" w:eastAsia="zh-CN"/>
              </w:rPr>
            </w:pPr>
            <w:r>
              <w:rPr>
                <w:rFonts w:hint="eastAsia"/>
                <w:b/>
                <w:bCs/>
                <w:sz w:val="24"/>
                <w:szCs w:val="24"/>
                <w:highlight w:val="none"/>
                <w:lang w:val="en-US" w:eastAsia="zh-CN"/>
              </w:rPr>
              <w:t xml:space="preserve">地块名称</w:t>
            </w:r>
            <w:r/>
          </w:p>
        </w:tc>
        <w:tc>
          <w:tcPr>
            <w:tcW w:w="2087" w:type="dxa"/>
            <w:vAlign w:val="center"/>
            <w:textDirection w:val="lrTb"/>
            <w:noWrap w:val="false"/>
          </w:tcPr>
          <w:p>
            <w:pPr>
              <w:jc w:val="center"/>
              <w:rPr>
                <w:rFonts w:hint="default"/>
                <w:b/>
                <w:bCs/>
                <w:sz w:val="24"/>
                <w:szCs w:val="24"/>
                <w:highlight w:val="none"/>
                <w:lang w:val="en-US" w:eastAsia="zh-CN"/>
              </w:rPr>
            </w:pPr>
            <w:r>
              <w:rPr>
                <w:rFonts w:hint="eastAsia"/>
                <w:b/>
                <w:bCs/>
                <w:sz w:val="24"/>
                <w:szCs w:val="24"/>
                <w:highlight w:val="none"/>
                <w:lang w:val="en-US" w:eastAsia="zh-CN"/>
              </w:rPr>
              <w:t xml:space="preserve">费用</w:t>
            </w:r>
            <w:r/>
          </w:p>
        </w:tc>
        <w:tc>
          <w:tcPr>
            <w:tcW w:w="906" w:type="dxa"/>
            <w:vAlign w:val="center"/>
            <w:textDirection w:val="lrTb"/>
            <w:noWrap w:val="false"/>
          </w:tcPr>
          <w:p>
            <w:pPr>
              <w:jc w:val="center"/>
              <w:rPr>
                <w:rFonts w:hint="default"/>
                <w:b/>
                <w:bCs/>
                <w:sz w:val="24"/>
                <w:szCs w:val="24"/>
                <w:highlight w:val="none"/>
                <w:lang w:val="en-US" w:eastAsia="zh-CN"/>
              </w:rPr>
            </w:pPr>
            <w:r>
              <w:rPr>
                <w:rFonts w:hint="eastAsia"/>
                <w:b/>
                <w:bCs/>
                <w:sz w:val="24"/>
                <w:szCs w:val="24"/>
                <w:highlight w:val="none"/>
                <w:lang w:val="en-US" w:eastAsia="zh-CN"/>
              </w:rPr>
              <w:t xml:space="preserve">备注</w:t>
            </w:r>
            <w:r/>
          </w:p>
        </w:tc>
      </w:tr>
      <w:tr>
        <w:trPr>
          <w:trHeight w:val="964"/>
        </w:trPr>
        <w:tc>
          <w:tcPr>
            <w:tcW w:w="842"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1</w:t>
            </w:r>
            <w:r/>
          </w:p>
        </w:tc>
        <w:tc>
          <w:tcPr>
            <w:tcW w:w="5564" w:type="dxa"/>
            <w:vAlign w:val="center"/>
            <w:textDirection w:val="lrTb"/>
            <w:noWrap w:val="false"/>
          </w:tcPr>
          <w:p>
            <w:pPr>
              <w:jc w:val="center"/>
              <w:rPr>
                <w:rFonts w:hint="eastAsia"/>
                <w:sz w:val="24"/>
                <w:szCs w:val="24"/>
                <w:highlight w:val="none"/>
                <w:lang w:val="en-US" w:eastAsia="zh-CN"/>
              </w:rPr>
            </w:pPr>
            <w:r>
              <w:rPr>
                <w:sz w:val="24"/>
                <w:szCs w:val="24"/>
                <w:highlight w:val="none"/>
              </w:rPr>
              <w:t xml:space="preserve">原南京申宁化工有限责任公司地块风险评估项目费用</w:t>
            </w:r>
            <w:r/>
          </w:p>
        </w:tc>
        <w:tc>
          <w:tcPr>
            <w:tcW w:w="2087" w:type="dxa"/>
            <w:vAlign w:val="center"/>
            <w:textDirection w:val="lrTb"/>
            <w:noWrap w:val="false"/>
          </w:tcPr>
          <w:p>
            <w:pPr>
              <w:jc w:val="center"/>
              <w:rPr>
                <w:rFonts w:hint="eastAsia"/>
                <w:sz w:val="24"/>
                <w:szCs w:val="24"/>
                <w:highlight w:val="none"/>
                <w:lang w:val="en-US" w:eastAsia="zh-CN"/>
              </w:rPr>
            </w:pPr>
            <w:r>
              <w:rPr>
                <w:rFonts w:hint="eastAsia"/>
                <w:sz w:val="24"/>
                <w:szCs w:val="24"/>
                <w:highlight w:val="none"/>
                <w:lang w:val="en-US" w:eastAsia="zh-CN"/>
              </w:rPr>
            </w:r>
            <w:r/>
          </w:p>
        </w:tc>
        <w:tc>
          <w:tcPr>
            <w:tcW w:w="906" w:type="dxa"/>
            <w:vAlign w:val="center"/>
            <w:textDirection w:val="lrTb"/>
            <w:noWrap w:val="false"/>
          </w:tcPr>
          <w:p>
            <w:pPr>
              <w:jc w:val="center"/>
              <w:rPr>
                <w:rFonts w:hint="eastAsia"/>
                <w:sz w:val="24"/>
                <w:szCs w:val="24"/>
                <w:highlight w:val="none"/>
                <w:lang w:val="en-US" w:eastAsia="zh-CN"/>
              </w:rPr>
            </w:pPr>
            <w:r>
              <w:rPr>
                <w:rFonts w:hint="eastAsia"/>
                <w:sz w:val="24"/>
                <w:szCs w:val="24"/>
                <w:highlight w:val="none"/>
                <w:lang w:val="en-US" w:eastAsia="zh-CN"/>
              </w:rPr>
            </w:r>
            <w:r/>
          </w:p>
        </w:tc>
      </w:tr>
      <w:tr>
        <w:trPr>
          <w:trHeight w:val="1026"/>
        </w:trPr>
        <w:tc>
          <w:tcPr>
            <w:tcW w:w="842"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2</w:t>
            </w:r>
            <w:r/>
          </w:p>
        </w:tc>
        <w:tc>
          <w:tcPr>
            <w:tcW w:w="5564" w:type="dxa"/>
            <w:vAlign w:val="center"/>
            <w:textDirection w:val="lrTb"/>
            <w:noWrap w:val="false"/>
          </w:tcPr>
          <w:p>
            <w:pPr>
              <w:jc w:val="center"/>
              <w:rPr>
                <w:rFonts w:hint="eastAsia"/>
                <w:sz w:val="24"/>
                <w:szCs w:val="24"/>
                <w:highlight w:val="none"/>
                <w:lang w:val="en-US" w:eastAsia="zh-CN"/>
              </w:rPr>
            </w:pPr>
            <w:r>
              <w:rPr>
                <w:sz w:val="24"/>
                <w:szCs w:val="24"/>
                <w:highlight w:val="none"/>
              </w:rPr>
              <w:t xml:space="preserve">原南京祥宇农药有限公司地块风险评估项目费用</w:t>
            </w:r>
            <w:r/>
          </w:p>
        </w:tc>
        <w:tc>
          <w:tcPr>
            <w:tcW w:w="2087" w:type="dxa"/>
            <w:vAlign w:val="center"/>
            <w:textDirection w:val="lrTb"/>
            <w:noWrap w:val="false"/>
          </w:tcPr>
          <w:p>
            <w:pPr>
              <w:jc w:val="center"/>
              <w:rPr>
                <w:rFonts w:hint="eastAsia"/>
                <w:sz w:val="24"/>
                <w:szCs w:val="24"/>
                <w:highlight w:val="none"/>
                <w:lang w:val="en-US" w:eastAsia="zh-CN"/>
              </w:rPr>
            </w:pPr>
            <w:r>
              <w:rPr>
                <w:rFonts w:hint="eastAsia"/>
                <w:sz w:val="24"/>
                <w:szCs w:val="24"/>
                <w:highlight w:val="none"/>
                <w:lang w:val="en-US" w:eastAsia="zh-CN"/>
              </w:rPr>
            </w:r>
            <w:r/>
          </w:p>
        </w:tc>
        <w:tc>
          <w:tcPr>
            <w:tcW w:w="906" w:type="dxa"/>
            <w:vAlign w:val="center"/>
            <w:textDirection w:val="lrTb"/>
            <w:noWrap w:val="false"/>
          </w:tcPr>
          <w:p>
            <w:pPr>
              <w:jc w:val="center"/>
              <w:rPr>
                <w:rFonts w:hint="eastAsia"/>
                <w:sz w:val="24"/>
                <w:szCs w:val="24"/>
                <w:highlight w:val="none"/>
                <w:lang w:val="en-US" w:eastAsia="zh-CN"/>
              </w:rPr>
            </w:pPr>
            <w:r>
              <w:rPr>
                <w:rFonts w:hint="eastAsia"/>
                <w:sz w:val="24"/>
                <w:szCs w:val="24"/>
                <w:highlight w:val="none"/>
                <w:lang w:val="en-US" w:eastAsia="zh-CN"/>
              </w:rPr>
            </w:r>
            <w:r/>
          </w:p>
        </w:tc>
      </w:tr>
      <w:tr>
        <w:trPr>
          <w:trHeight w:val="964"/>
        </w:trPr>
        <w:tc>
          <w:tcPr>
            <w:tcW w:w="842"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3</w:t>
            </w:r>
            <w:r/>
          </w:p>
        </w:tc>
        <w:tc>
          <w:tcPr>
            <w:tcW w:w="5564" w:type="dxa"/>
            <w:vAlign w:val="center"/>
            <w:textDirection w:val="lrTb"/>
            <w:noWrap w:val="false"/>
          </w:tcPr>
          <w:p>
            <w:pPr>
              <w:jc w:val="center"/>
              <w:rPr>
                <w:rFonts w:hint="eastAsia"/>
                <w:sz w:val="24"/>
                <w:szCs w:val="24"/>
                <w:highlight w:val="none"/>
                <w:lang w:val="en-US" w:eastAsia="zh-CN"/>
              </w:rPr>
            </w:pPr>
            <w:r>
              <w:rPr>
                <w:sz w:val="24"/>
                <w:szCs w:val="24"/>
                <w:highlight w:val="none"/>
              </w:rPr>
              <w:t xml:space="preserve">原南京科思化学有限公司地块风险评估项目费用</w:t>
            </w:r>
            <w:r/>
          </w:p>
        </w:tc>
        <w:tc>
          <w:tcPr>
            <w:tcW w:w="2087" w:type="dxa"/>
            <w:vAlign w:val="center"/>
            <w:textDirection w:val="lrTb"/>
            <w:noWrap w:val="false"/>
          </w:tcPr>
          <w:p>
            <w:pPr>
              <w:jc w:val="center"/>
              <w:rPr>
                <w:rFonts w:hint="eastAsia"/>
                <w:sz w:val="24"/>
                <w:szCs w:val="24"/>
                <w:highlight w:val="none"/>
                <w:lang w:val="en-US" w:eastAsia="zh-CN"/>
              </w:rPr>
            </w:pPr>
            <w:r>
              <w:rPr>
                <w:rFonts w:hint="eastAsia"/>
                <w:sz w:val="24"/>
                <w:szCs w:val="24"/>
                <w:highlight w:val="none"/>
                <w:lang w:val="en-US" w:eastAsia="zh-CN"/>
              </w:rPr>
            </w:r>
            <w:r/>
          </w:p>
        </w:tc>
        <w:tc>
          <w:tcPr>
            <w:tcW w:w="906" w:type="dxa"/>
            <w:vAlign w:val="center"/>
            <w:textDirection w:val="lrTb"/>
            <w:noWrap w:val="false"/>
          </w:tcPr>
          <w:p>
            <w:pPr>
              <w:jc w:val="center"/>
              <w:rPr>
                <w:rFonts w:hint="eastAsia"/>
                <w:sz w:val="24"/>
                <w:szCs w:val="24"/>
                <w:highlight w:val="none"/>
                <w:lang w:val="en-US" w:eastAsia="zh-CN"/>
              </w:rPr>
            </w:pPr>
            <w:r>
              <w:rPr>
                <w:rFonts w:hint="eastAsia"/>
                <w:sz w:val="24"/>
                <w:szCs w:val="24"/>
                <w:highlight w:val="none"/>
                <w:lang w:val="en-US" w:eastAsia="zh-CN"/>
              </w:rPr>
            </w:r>
            <w:r/>
          </w:p>
        </w:tc>
      </w:tr>
      <w:tr>
        <w:trPr>
          <w:trHeight w:val="943"/>
        </w:trPr>
        <w:tc>
          <w:tcPr>
            <w:tcW w:w="842"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4</w:t>
            </w:r>
            <w:r/>
          </w:p>
        </w:tc>
        <w:tc>
          <w:tcPr>
            <w:tcW w:w="5564" w:type="dxa"/>
            <w:vAlign w:val="center"/>
            <w:textDirection w:val="lrTb"/>
            <w:noWrap w:val="false"/>
          </w:tcPr>
          <w:p>
            <w:pPr>
              <w:jc w:val="center"/>
              <w:rPr>
                <w:rFonts w:hint="eastAsia"/>
                <w:sz w:val="24"/>
                <w:szCs w:val="24"/>
                <w:highlight w:val="none"/>
                <w:lang w:val="en-US" w:eastAsia="zh-CN"/>
              </w:rPr>
            </w:pPr>
            <w:r>
              <w:rPr>
                <w:sz w:val="24"/>
                <w:szCs w:val="24"/>
                <w:highlight w:val="none"/>
              </w:rPr>
              <w:t xml:space="preserve">原南京宝恒化工有限公司地块风险评估项目费用</w:t>
            </w:r>
            <w:r/>
          </w:p>
        </w:tc>
        <w:tc>
          <w:tcPr>
            <w:tcW w:w="2087" w:type="dxa"/>
            <w:vAlign w:val="center"/>
            <w:textDirection w:val="lrTb"/>
            <w:noWrap w:val="false"/>
          </w:tcPr>
          <w:p>
            <w:pPr>
              <w:jc w:val="center"/>
              <w:rPr>
                <w:rFonts w:hint="eastAsia"/>
                <w:sz w:val="24"/>
                <w:szCs w:val="24"/>
                <w:highlight w:val="none"/>
                <w:lang w:val="en-US" w:eastAsia="zh-CN"/>
              </w:rPr>
            </w:pPr>
            <w:r>
              <w:rPr>
                <w:rFonts w:hint="eastAsia"/>
                <w:sz w:val="24"/>
                <w:szCs w:val="24"/>
                <w:highlight w:val="none"/>
                <w:lang w:val="en-US" w:eastAsia="zh-CN"/>
              </w:rPr>
            </w:r>
            <w:r/>
          </w:p>
        </w:tc>
        <w:tc>
          <w:tcPr>
            <w:tcW w:w="906" w:type="dxa"/>
            <w:vAlign w:val="center"/>
            <w:textDirection w:val="lrTb"/>
            <w:noWrap w:val="false"/>
          </w:tcPr>
          <w:p>
            <w:pPr>
              <w:jc w:val="center"/>
              <w:rPr>
                <w:rFonts w:hint="eastAsia"/>
                <w:sz w:val="24"/>
                <w:szCs w:val="24"/>
                <w:highlight w:val="none"/>
                <w:lang w:val="en-US" w:eastAsia="zh-CN"/>
              </w:rPr>
            </w:pPr>
            <w:r>
              <w:rPr>
                <w:rFonts w:hint="eastAsia"/>
                <w:sz w:val="24"/>
                <w:szCs w:val="24"/>
                <w:highlight w:val="none"/>
                <w:lang w:val="en-US" w:eastAsia="zh-CN"/>
              </w:rPr>
            </w:r>
            <w:r/>
          </w:p>
        </w:tc>
      </w:tr>
      <w:tr>
        <w:trPr>
          <w:trHeight w:val="969"/>
        </w:trPr>
        <w:tc>
          <w:tcPr>
            <w:gridSpan w:val="2"/>
            <w:tcW w:w="6406"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总计（万元）</w:t>
            </w:r>
            <w:r/>
          </w:p>
        </w:tc>
        <w:tc>
          <w:tcPr>
            <w:tcW w:w="2087" w:type="dxa"/>
            <w:vAlign w:val="center"/>
            <w:textDirection w:val="lrTb"/>
            <w:noWrap w:val="false"/>
          </w:tcPr>
          <w:p>
            <w:pPr>
              <w:jc w:val="center"/>
              <w:rPr>
                <w:rFonts w:hint="eastAsia"/>
                <w:sz w:val="24"/>
                <w:szCs w:val="24"/>
                <w:highlight w:val="none"/>
                <w:lang w:val="en-US" w:eastAsia="zh-CN"/>
              </w:rPr>
            </w:pPr>
            <w:r>
              <w:rPr>
                <w:rFonts w:hint="eastAsia"/>
                <w:sz w:val="24"/>
                <w:szCs w:val="24"/>
                <w:highlight w:val="none"/>
                <w:lang w:val="en-US" w:eastAsia="zh-CN"/>
              </w:rPr>
            </w:r>
            <w:r/>
          </w:p>
        </w:tc>
        <w:tc>
          <w:tcPr>
            <w:tcW w:w="906" w:type="dxa"/>
            <w:vAlign w:val="center"/>
            <w:textDirection w:val="lrTb"/>
            <w:noWrap w:val="false"/>
          </w:tcPr>
          <w:p>
            <w:pPr>
              <w:jc w:val="center"/>
              <w:rPr>
                <w:rFonts w:hint="eastAsia"/>
                <w:sz w:val="24"/>
                <w:szCs w:val="24"/>
                <w:highlight w:val="none"/>
                <w:lang w:val="en-US" w:eastAsia="zh-CN"/>
              </w:rPr>
            </w:pPr>
            <w:r>
              <w:rPr>
                <w:rFonts w:hint="eastAsia"/>
                <w:sz w:val="24"/>
                <w:szCs w:val="24"/>
                <w:highlight w:val="none"/>
                <w:lang w:val="en-US" w:eastAsia="zh-CN"/>
              </w:rPr>
            </w:r>
            <w:r/>
          </w:p>
        </w:tc>
      </w:tr>
    </w:tbl>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备注：1、具体工作内容见招标文件。</w:t>
      </w:r>
      <w:r/>
    </w:p>
    <w:p>
      <w:pPr>
        <w:ind w:firstLine="66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2、除合同另有规定外，</w:t>
      </w:r>
      <w:r>
        <w:rPr>
          <w:rFonts w:hint="eastAsia" w:ascii="宋体" w:hAnsi="宋体" w:eastAsia="宋体" w:cs="宋体"/>
          <w:color w:val="000000"/>
          <w:szCs w:val="21"/>
          <w:highlight w:val="none"/>
          <w:lang w:val="en-US" w:eastAsia="zh-CN"/>
        </w:rPr>
        <w:t xml:space="preserve">采购</w:t>
      </w:r>
      <w:r>
        <w:rPr>
          <w:rFonts w:hint="eastAsia" w:ascii="宋体" w:hAnsi="宋体" w:cs="宋体"/>
          <w:color w:val="000000"/>
          <w:szCs w:val="21"/>
          <w:highlight w:val="none"/>
        </w:rPr>
        <w:t xml:space="preserve">清单已包含了本次招标项目的所有工作，以及为完成各分项工程所有明示或隐含的工作内容，投标人均应考虑在其所填报的综合单价；</w:t>
      </w:r>
      <w:r>
        <w:rPr>
          <w:rFonts w:hint="eastAsia" w:ascii="宋体" w:hAnsi="宋体" w:eastAsia="宋体" w:cs="宋体"/>
          <w:color w:val="000000"/>
          <w:szCs w:val="21"/>
          <w:highlight w:val="none"/>
          <w:lang w:val="en-US" w:eastAsia="zh-CN"/>
        </w:rPr>
        <w:t xml:space="preserve">采购</w:t>
      </w:r>
      <w:r>
        <w:rPr>
          <w:rFonts w:hint="eastAsia" w:ascii="宋体" w:hAnsi="宋体" w:cs="宋体"/>
          <w:color w:val="000000"/>
          <w:szCs w:val="21"/>
          <w:highlight w:val="none"/>
        </w:rPr>
        <w:t xml:space="preserve">清单中的单价和合价包括由承包人承担的直接费、间接费、其他费用、措施费用、税金等全部费用和要求获得的利润以及应由承包人承担的义务、责任和风险所发生的一切费用。</w:t>
      </w:r>
      <w:r/>
    </w:p>
    <w:p>
      <w:pPr>
        <w:jc w:val="left"/>
        <w:spacing w:line="360" w:lineRule="auto"/>
        <w:shd w:val="clear" w:color="auto" w:fill="ffffff"/>
        <w:widowControl/>
        <w:rPr>
          <w:rFonts w:hint="eastAsia" w:ascii="宋体" w:hAnsi="宋体"/>
          <w:sz w:val="24"/>
          <w:highlight w:val="none"/>
        </w:rPr>
      </w:pPr>
      <w:r>
        <w:rPr>
          <w:rFonts w:hint="eastAsia" w:ascii="宋体" w:hAnsi="宋体"/>
          <w:sz w:val="24"/>
          <w:highlight w:val="none"/>
        </w:rPr>
      </w:r>
      <w:r/>
    </w:p>
    <w:p>
      <w:pPr>
        <w:jc w:val="left"/>
        <w:spacing w:line="360" w:lineRule="auto"/>
        <w:shd w:val="clear" w:color="auto" w:fill="ffffff"/>
        <w:widowControl/>
        <w:rPr>
          <w:rFonts w:hint="eastAsia" w:ascii="宋体" w:hAnsi="宋体"/>
          <w:sz w:val="24"/>
          <w:highlight w:val="none"/>
        </w:rPr>
      </w:pPr>
      <w:r>
        <w:rPr>
          <w:rFonts w:hint="eastAsia" w:ascii="宋体" w:hAnsi="宋体"/>
          <w:sz w:val="24"/>
          <w:highlight w:val="none"/>
        </w:rPr>
      </w:r>
      <w:r/>
    </w:p>
    <w:p>
      <w:pPr>
        <w:spacing w:line="500" w:lineRule="exact"/>
        <w:rPr>
          <w:rFonts w:hint="eastAsia"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供应商名称（盖章）:            </w:t>
      </w:r>
      <w:r/>
    </w:p>
    <w:p>
      <w:pPr>
        <w:spacing w:line="500" w:lineRule="exact"/>
        <w:rPr>
          <w:rFonts w:hint="eastAsia"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r>
      <w:r/>
    </w:p>
    <w:p>
      <w:pPr>
        <w:spacing w:line="500" w:lineRule="exact"/>
        <w:tabs>
          <w:tab w:val="left" w:pos="1440" w:leader="none"/>
        </w:tabs>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日    期：       年    月    日</w:t>
      </w:r>
      <w:r/>
    </w:p>
    <w:p>
      <w:pPr>
        <w:ind w:firstLine="420"/>
        <w:spacing w:line="360" w:lineRule="auto"/>
        <w:rPr>
          <w:rFonts w:hint="eastAsia" w:ascii="宋体" w:hAnsi="宋体" w:eastAsia="宋体" w:cs="宋体"/>
          <w:sz w:val="21"/>
          <w:szCs w:val="21"/>
          <w:highlight w:val="none"/>
          <w:lang w:val="en-US" w:eastAsia="zh-CN"/>
        </w:rPr>
        <w:outlineLvl w:val="0"/>
      </w:pPr>
      <w:r>
        <w:rPr>
          <w:rFonts w:hint="eastAsia" w:ascii="宋体" w:hAnsi="宋体" w:eastAsia="宋体" w:cs="宋体"/>
          <w:sz w:val="21"/>
          <w:szCs w:val="21"/>
          <w:highlight w:val="none"/>
          <w:lang w:val="en-US" w:eastAsia="zh-CN"/>
        </w:rPr>
      </w:r>
      <w:r/>
    </w:p>
    <w:p>
      <w:pPr>
        <w:jc w:val="center"/>
        <w:spacing w:line="360" w:lineRule="auto"/>
        <w:rPr>
          <w:rFonts w:hint="eastAsia" w:ascii="宋体" w:hAnsi="宋体" w:eastAsia="宋体" w:cs="宋体"/>
          <w:sz w:val="36"/>
          <w:szCs w:val="36"/>
          <w:highlight w:val="none"/>
          <w:lang w:val="zh-CN"/>
        </w:rPr>
        <w:outlineLvl w:val="0"/>
      </w:pPr>
      <w:r>
        <w:rPr>
          <w:rFonts w:hint="eastAsia" w:ascii="宋体" w:hAnsi="宋体" w:eastAsia="宋体" w:cs="宋体"/>
          <w:sz w:val="36"/>
          <w:szCs w:val="36"/>
          <w:highlight w:val="none"/>
          <w:lang w:val="zh-CN"/>
        </w:rPr>
      </w:r>
      <w:r/>
    </w:p>
    <w:p>
      <w:pPr>
        <w:jc w:val="center"/>
        <w:spacing w:line="360" w:lineRule="auto"/>
        <w:rPr>
          <w:rFonts w:hint="eastAsia" w:ascii="宋体" w:hAnsi="宋体" w:eastAsia="宋体" w:cs="宋体"/>
          <w:sz w:val="36"/>
          <w:szCs w:val="36"/>
          <w:highlight w:val="none"/>
          <w:lang w:val="zh-CN"/>
        </w:rPr>
        <w:sectPr>
          <w:headerReference w:type="default" r:id="rId10"/>
          <w:footerReference w:type="default" r:id="rId13"/>
          <w:footnotePr/>
          <w:endnotePr/>
          <w:type w:val="nextPage"/>
          <w:pgSz w:w="11911" w:h="16838" w:orient="portrait"/>
          <w:pgMar w:top="1417" w:right="1531" w:bottom="1417" w:left="1531" w:header="879" w:footer="1196" w:gutter="0"/>
          <w:cols w:num="1" w:sep="0" w:space="720" w:equalWidth="1"/>
          <w:docGrid w:linePitch="360"/>
        </w:sectPr>
        <w:outlineLvl w:val="0"/>
      </w:pPr>
      <w:r>
        <w:rPr>
          <w:rFonts w:hint="eastAsia" w:ascii="宋体" w:hAnsi="宋体" w:eastAsia="宋体" w:cs="宋体"/>
          <w:sz w:val="36"/>
          <w:szCs w:val="36"/>
          <w:highlight w:val="none"/>
          <w:lang w:val="zh-CN"/>
        </w:rPr>
      </w:r>
      <w:r/>
    </w:p>
    <w:p>
      <w:pPr>
        <w:jc w:val="center"/>
        <w:rPr>
          <w:rFonts w:cs="Times New Roman"/>
          <w:b/>
          <w:bCs/>
          <w:color w:val="000000"/>
          <w:highlight w:val="none"/>
        </w:rPr>
      </w:pPr>
      <w:r>
        <w:rPr>
          <w:rFonts w:cs="Times New Roman"/>
          <w:b/>
          <w:bCs/>
          <w:color w:val="000000"/>
          <w:highlight w:val="none"/>
        </w:rPr>
        <w:t xml:space="preserve">表1  原南京申宁化工有限责任公司地块风险评估项目费用报价明细表</w:t>
      </w:r>
      <w:r/>
    </w:p>
    <w:tbl>
      <w:tblPr>
        <w:tblStyle w:val="727"/>
        <w:tblW w:w="5035" w:type="pct"/>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autofit"/>
        <w:tblCellMar>
          <w:left w:w="0" w:type="dxa"/>
          <w:top w:w="0" w:type="dxa"/>
          <w:right w:w="0" w:type="dxa"/>
          <w:bottom w:w="0" w:type="dxa"/>
        </w:tblCellMar>
        <w:tblLook w:val="04A0" w:firstRow="1" w:lastRow="0" w:firstColumn="1" w:lastColumn="0" w:noHBand="0" w:noVBand="1"/>
      </w:tblPr>
      <w:tblGrid>
        <w:gridCol w:w="573"/>
        <w:gridCol w:w="1003"/>
        <w:gridCol w:w="6054"/>
        <w:gridCol w:w="910"/>
        <w:gridCol w:w="949"/>
        <w:gridCol w:w="1480"/>
        <w:gridCol w:w="1593"/>
        <w:gridCol w:w="1560"/>
      </w:tblGrid>
      <w:tr>
        <w:trPr>
          <w:jc w:val="center"/>
          <w:trHeight w:val="20"/>
        </w:trPr>
        <w:tc>
          <w:tcPr>
            <w:tcBorders>
              <w:top w:val="single" w:color="auto" w:sz="8" w:space="0"/>
              <w:left w:val="single" w:color="auto" w:sz="8" w:space="0"/>
              <w:bottom w:val="single" w:color="auto" w:sz="2" w:space="0"/>
              <w:right w:val="single" w:color="auto" w:sz="2" w:space="0"/>
            </w:tcBorders>
            <w:tcW w:w="203"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序号</w:t>
            </w:r>
            <w:r/>
          </w:p>
        </w:tc>
        <w:tc>
          <w:tcPr>
            <w:tcBorders>
              <w:top w:val="single" w:color="auto" w:sz="8" w:space="0"/>
              <w:left w:val="single" w:color="auto" w:sz="2" w:space="0"/>
              <w:bottom w:val="single" w:color="auto" w:sz="2" w:space="0"/>
              <w:right w:val="single" w:color="auto" w:sz="2" w:space="0"/>
            </w:tcBorders>
            <w:tcW w:w="355"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工作</w:t>
            </w:r>
            <w:r>
              <w:rPr>
                <w:rFonts w:hint="eastAsia" w:cs="Times New Roman"/>
                <w:b/>
                <w:color w:val="000000"/>
                <w:sz w:val="21"/>
                <w:szCs w:val="21"/>
                <w:highlight w:val="none"/>
              </w:rPr>
              <w:t xml:space="preserve">分类</w:t>
            </w:r>
            <w:r/>
          </w:p>
        </w:tc>
        <w:tc>
          <w:tcPr>
            <w:tcBorders>
              <w:top w:val="single" w:color="auto" w:sz="8" w:space="0"/>
              <w:left w:val="single" w:color="auto" w:sz="2" w:space="0"/>
              <w:bottom w:val="single" w:color="auto" w:sz="2" w:space="0"/>
              <w:right w:val="single" w:color="auto" w:sz="2" w:space="0"/>
            </w:tcBorders>
            <w:tcW w:w="2143"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工作内容</w:t>
            </w:r>
            <w:r/>
          </w:p>
        </w:tc>
        <w:tc>
          <w:tcPr>
            <w:tcBorders>
              <w:top w:val="single" w:color="auto" w:sz="8" w:space="0"/>
              <w:left w:val="single" w:color="auto" w:sz="2" w:space="0"/>
              <w:bottom w:val="single" w:color="auto" w:sz="4" w:space="0"/>
              <w:right w:val="single" w:color="auto" w:sz="2" w:space="0"/>
            </w:tcBorders>
            <w:tcW w:w="322"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计量</w:t>
            </w:r>
            <w:r/>
          </w:p>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单位</w:t>
            </w:r>
            <w:r/>
          </w:p>
        </w:tc>
        <w:tc>
          <w:tcPr>
            <w:tcBorders>
              <w:top w:val="single" w:color="auto" w:sz="8" w:space="0"/>
              <w:left w:val="single" w:color="auto" w:sz="2" w:space="0"/>
              <w:bottom w:val="single" w:color="auto" w:sz="4" w:space="0"/>
              <w:right w:val="single" w:color="auto" w:sz="2" w:space="0"/>
            </w:tcBorders>
            <w:tcW w:w="336"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数量</w:t>
            </w:r>
            <w:r/>
          </w:p>
        </w:tc>
        <w:tc>
          <w:tcPr>
            <w:tcBorders>
              <w:top w:val="single" w:color="auto" w:sz="8" w:space="0"/>
              <w:left w:val="single" w:color="auto" w:sz="2" w:space="0"/>
              <w:bottom w:val="single" w:color="auto" w:sz="4" w:space="0"/>
              <w:right w:val="single" w:color="auto" w:sz="2" w:space="0"/>
            </w:tcBorders>
            <w:tcW w:w="522"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单价</w:t>
            </w:r>
            <w:r/>
          </w:p>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（万元）</w:t>
            </w:r>
            <w:r/>
          </w:p>
        </w:tc>
        <w:tc>
          <w:tcPr>
            <w:tcBorders>
              <w:top w:val="single" w:color="auto" w:sz="8" w:space="0"/>
              <w:left w:val="single" w:color="auto" w:sz="2" w:space="0"/>
              <w:bottom w:val="single" w:color="auto" w:sz="4" w:space="0"/>
              <w:right w:val="single" w:color="auto" w:sz="8" w:space="0"/>
            </w:tcBorders>
            <w:tcW w:w="564" w:type="pct"/>
            <w:vAlign w:val="center"/>
            <w:textDirection w:val="lrTb"/>
            <w:noWrap w:val="false"/>
          </w:tcPr>
          <w:p>
            <w:pPr>
              <w:jc w:val="center"/>
              <w:spacing w:line="240" w:lineRule="auto"/>
              <w:rPr>
                <w:rFonts w:cs="Times New Roman"/>
                <w:b/>
                <w:color w:val="000000"/>
                <w:sz w:val="21"/>
                <w:szCs w:val="21"/>
                <w:highlight w:val="none"/>
              </w:rPr>
            </w:pPr>
            <w:r>
              <w:rPr>
                <w:rFonts w:hint="eastAsia" w:cs="Times New Roman"/>
                <w:b/>
                <w:color w:val="000000"/>
                <w:sz w:val="21"/>
                <w:szCs w:val="21"/>
                <w:highlight w:val="none"/>
              </w:rPr>
              <w:t xml:space="preserve">小计</w:t>
            </w:r>
            <w:r/>
          </w:p>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（万元）</w:t>
            </w:r>
            <w:r/>
          </w:p>
        </w:tc>
        <w:tc>
          <w:tcPr>
            <w:tcBorders>
              <w:top w:val="single" w:color="auto" w:sz="8" w:space="0"/>
              <w:left w:val="single" w:color="auto" w:sz="2" w:space="0"/>
              <w:bottom w:val="single" w:color="auto" w:sz="4" w:space="0"/>
              <w:right w:val="single" w:color="auto" w:sz="8" w:space="0"/>
            </w:tcBorders>
            <w:tcW w:w="552" w:type="pct"/>
            <w:vAlign w:val="center"/>
            <w:textDirection w:val="lrTb"/>
            <w:noWrap w:val="false"/>
          </w:tcPr>
          <w:p>
            <w:pPr>
              <w:jc w:val="center"/>
              <w:spacing w:line="240" w:lineRule="auto"/>
              <w:rPr>
                <w:rFonts w:cs="Times New Roman"/>
                <w:b/>
                <w:color w:val="000000"/>
                <w:sz w:val="21"/>
                <w:szCs w:val="21"/>
                <w:highlight w:val="none"/>
              </w:rPr>
            </w:pPr>
            <w:r>
              <w:rPr>
                <w:rFonts w:hint="eastAsia" w:cs="Times New Roman"/>
                <w:b/>
                <w:color w:val="000000"/>
                <w:sz w:val="21"/>
                <w:szCs w:val="21"/>
                <w:highlight w:val="none"/>
              </w:rPr>
              <w:t xml:space="preserve">备注</w:t>
            </w:r>
            <w:r/>
          </w:p>
        </w:tc>
      </w:tr>
      <w:tr>
        <w:trPr>
          <w:jc w:val="center"/>
          <w:trHeight w:val="20"/>
        </w:trPr>
        <w:tc>
          <w:tcPr>
            <w:tcBorders>
              <w:top w:val="single" w:color="auto" w:sz="4" w:space="0"/>
              <w:left w:val="single" w:color="auto" w:sz="8" w:space="0"/>
              <w:right w:val="single" w:color="auto" w:sz="2" w:space="0"/>
            </w:tcBorders>
            <w:tcW w:w="203"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bCs/>
                <w:color w:val="000000"/>
                <w:sz w:val="21"/>
                <w:szCs w:val="21"/>
                <w:highlight w:val="none"/>
              </w:rPr>
              <w:t xml:space="preserve">1</w:t>
            </w:r>
            <w:r/>
          </w:p>
        </w:tc>
        <w:tc>
          <w:tcPr>
            <w:tcBorders>
              <w:top w:val="single" w:color="auto" w:sz="4" w:space="0"/>
              <w:left w:val="single" w:color="auto" w:sz="2" w:space="0"/>
              <w:right w:val="single" w:color="auto" w:sz="2" w:space="0"/>
            </w:tcBorders>
            <w:tcW w:w="355"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水文地质勘察</w:t>
            </w:r>
            <w:r/>
          </w:p>
        </w:tc>
        <w:tc>
          <w:tcPr>
            <w:tcBorders>
              <w:top w:val="single" w:color="auto" w:sz="4" w:space="0"/>
              <w:left w:val="single" w:color="auto" w:sz="2" w:space="0"/>
              <w:bottom w:val="single" w:color="auto" w:sz="4" w:space="0"/>
              <w:right w:val="single" w:color="auto" w:sz="4" w:space="0"/>
            </w:tcBorders>
            <w:tcW w:w="2143"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含水文地质勘察钻孔</w:t>
            </w:r>
            <w:r>
              <w:rPr>
                <w:rFonts w:hint="eastAsia" w:cs="Times New Roman"/>
                <w:color w:val="000000"/>
                <w:sz w:val="21"/>
                <w:szCs w:val="21"/>
                <w:highlight w:val="none"/>
              </w:rPr>
              <w:t xml:space="preserve">钻探，布设4个钻孔点位，单个点位钻孔深度达到40m，需钻探至中风化层</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160</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right w:val="single" w:color="auto" w:sz="4" w:space="0"/>
            </w:tcBorders>
            <w:tcW w:w="552"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2" w:space="0"/>
            </w:tcBorders>
            <w:tcW w:w="203"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4" w:space="0"/>
              <w:left w:val="single" w:color="auto" w:sz="2" w:space="0"/>
              <w:right w:val="single" w:color="auto" w:sz="2" w:space="0"/>
            </w:tcBorders>
            <w:tcW w:w="355"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43"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含水文地质勘察钻孔</w:t>
            </w:r>
            <w:r>
              <w:rPr>
                <w:rFonts w:hint="eastAsia" w:cs="Times New Roman"/>
                <w:color w:val="000000"/>
                <w:sz w:val="21"/>
                <w:szCs w:val="21"/>
                <w:highlight w:val="none"/>
              </w:rPr>
              <w:t xml:space="preserve">建设地下水井，用于抽水试验及流场确定等，布设4个钻孔点位，单个点位建井深度达到40m，需钻探至中风化层</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160</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right w:val="single" w:color="auto" w:sz="4" w:space="0"/>
            </w:tcBorders>
            <w:tcW w:w="552"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2" w:space="0"/>
            </w:tcBorders>
            <w:tcW w:w="203"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4" w:space="0"/>
              <w:left w:val="single" w:color="auto" w:sz="2" w:space="0"/>
              <w:right w:val="single" w:color="auto" w:sz="2" w:space="0"/>
            </w:tcBorders>
            <w:tcW w:w="355"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43"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土工试验，包括土壤有机质含量、含水率、孔隙度、渗透系数、土壤颗粒密度、土壤容重等参数的测定，每个点位采集</w:t>
            </w:r>
            <w:r>
              <w:rPr>
                <w:rFonts w:hint="eastAsia" w:cs="Times New Roman"/>
                <w:color w:val="000000"/>
                <w:sz w:val="21"/>
                <w:szCs w:val="21"/>
                <w:highlight w:val="none"/>
              </w:rPr>
              <w:t xml:space="preserve">4个土工试验样品，共需送检16个土工试验样品</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52"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203"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left w:val="single" w:color="auto" w:sz="2" w:space="0"/>
              <w:right w:val="single" w:color="auto" w:sz="2" w:space="0"/>
            </w:tcBorders>
            <w:tcW w:w="355"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43"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抽水试验，需要</w:t>
            </w:r>
            <w:r>
              <w:rPr>
                <w:rFonts w:hint="eastAsia" w:cs="Times New Roman"/>
                <w:color w:val="000000"/>
                <w:sz w:val="21"/>
                <w:szCs w:val="21"/>
                <w:highlight w:val="none"/>
              </w:rPr>
              <w:t xml:space="preserve">2个台班</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台班</w:t>
            </w:r>
            <w:r/>
          </w:p>
        </w:tc>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52"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2" w:space="0"/>
            </w:tcBorders>
            <w:tcW w:w="203"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left w:val="single" w:color="auto" w:sz="2" w:space="0"/>
              <w:bottom w:val="single" w:color="auto" w:sz="4" w:space="0"/>
              <w:right w:val="single" w:color="auto" w:sz="2" w:space="0"/>
            </w:tcBorders>
            <w:tcW w:w="355"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43"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完成水文地质勘察报告（明确地层结构、地下水特征、地下水与长江水力联系、区域地下水补给、径流、排泄规律，以及对应长江河段的水质现状，水文特征等）</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项</w:t>
            </w:r>
            <w:r/>
          </w:p>
        </w:tc>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52"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bottom w:val="single" w:color="auto" w:sz="4" w:space="0"/>
              <w:right w:val="single" w:color="auto" w:sz="2" w:space="0"/>
            </w:tcBorders>
            <w:tcW w:w="203" w:type="pct"/>
            <w:vAlign w:val="center"/>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t xml:space="preserve">2</w:t>
            </w:r>
            <w:r/>
          </w:p>
        </w:tc>
        <w:tc>
          <w:tcPr>
            <w:tcBorders>
              <w:top w:val="single" w:color="auto" w:sz="4" w:space="0"/>
              <w:left w:val="single" w:color="auto" w:sz="2" w:space="0"/>
              <w:bottom w:val="single" w:color="auto" w:sz="4" w:space="0"/>
              <w:right w:val="single" w:color="auto" w:sz="2" w:space="0"/>
            </w:tcBorders>
            <w:tcW w:w="355"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补充调查方案制定</w:t>
            </w:r>
            <w:r/>
          </w:p>
        </w:tc>
        <w:tc>
          <w:tcPr>
            <w:tcBorders>
              <w:top w:val="single" w:color="auto" w:sz="4" w:space="0"/>
              <w:left w:val="single" w:color="auto" w:sz="2" w:space="0"/>
              <w:bottom w:val="single" w:color="auto" w:sz="4" w:space="0"/>
              <w:right w:val="single" w:color="auto" w:sz="4" w:space="0"/>
            </w:tcBorders>
            <w:tcW w:w="2143"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根据申宁化工地块的资料分析结果，制定申宁化工地块的补充调查方案</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项</w:t>
            </w:r>
            <w:r/>
          </w:p>
        </w:tc>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2" w:space="0"/>
            </w:tcBorders>
            <w:tcW w:w="203" w:type="pct"/>
            <w:vAlign w:val="center"/>
            <w:vMerge w:val="restart"/>
            <w:textDirection w:val="lrTb"/>
            <w:noWrap w:val="false"/>
          </w:tcPr>
          <w:p>
            <w:pPr>
              <w:jc w:val="center"/>
              <w:spacing w:line="240" w:lineRule="auto"/>
              <w:rPr>
                <w:rFonts w:cs="Times New Roman"/>
                <w:bCs/>
                <w:color w:val="000000"/>
                <w:sz w:val="21"/>
                <w:szCs w:val="21"/>
                <w:highlight w:val="none"/>
              </w:rPr>
            </w:pPr>
            <w:r>
              <w:rPr>
                <w:rFonts w:cs="Times New Roman"/>
                <w:color w:val="000000"/>
                <w:sz w:val="21"/>
                <w:szCs w:val="21"/>
                <w:highlight w:val="none"/>
              </w:rPr>
              <w:t xml:space="preserve">3</w:t>
            </w:r>
            <w:r/>
          </w:p>
        </w:tc>
        <w:tc>
          <w:tcPr>
            <w:tcBorders>
              <w:top w:val="single" w:color="auto" w:sz="4" w:space="0"/>
              <w:left w:val="single" w:color="auto" w:sz="2" w:space="0"/>
              <w:right w:val="single" w:color="auto" w:sz="2" w:space="0"/>
            </w:tcBorders>
            <w:tcW w:w="355"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现场钻探及采样费用</w:t>
            </w:r>
            <w:r/>
          </w:p>
        </w:tc>
        <w:tc>
          <w:tcPr>
            <w:tcBorders>
              <w:top w:val="single" w:color="auto" w:sz="4" w:space="0"/>
              <w:left w:val="single" w:color="auto" w:sz="2" w:space="0"/>
              <w:bottom w:val="single" w:color="auto" w:sz="4" w:space="0"/>
              <w:right w:val="single" w:color="auto" w:sz="4" w:space="0"/>
            </w:tcBorders>
            <w:tcW w:w="2143"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申宁化工地块补充调查的钻探及采样工作，包括土壤钻探以及土壤样品采集（钻探深度至少为</w:t>
            </w:r>
            <w:r>
              <w:rPr>
                <w:rFonts w:hint="eastAsia" w:cs="Times New Roman"/>
                <w:color w:val="000000"/>
                <w:sz w:val="21"/>
                <w:szCs w:val="21"/>
                <w:highlight w:val="none"/>
              </w:rPr>
              <w:t xml:space="preserve">6m，部分点位需要钻探15m、30m</w:t>
            </w:r>
            <w:r>
              <w:rPr>
                <w:rFonts w:cs="Times New Roman"/>
                <w:color w:val="000000"/>
                <w:sz w:val="21"/>
                <w:szCs w:val="21"/>
                <w:highlight w:val="none"/>
              </w:rPr>
              <w:t xml:space="preserve">），土壤总钻探深度约</w:t>
            </w:r>
            <w:r>
              <w:rPr>
                <w:rFonts w:hint="eastAsia" w:cs="Times New Roman"/>
                <w:color w:val="000000"/>
                <w:sz w:val="21"/>
                <w:szCs w:val="21"/>
                <w:highlight w:val="none"/>
              </w:rPr>
              <w:t xml:space="preserve">150m</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150</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spacing w:line="240" w:lineRule="auto"/>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2" w:space="0"/>
            </w:tcBorders>
            <w:tcW w:w="20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bottom w:val="single" w:color="auto" w:sz="4" w:space="0"/>
              <w:right w:val="single" w:color="auto" w:sz="2" w:space="0"/>
            </w:tcBorders>
            <w:tcW w:w="355"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43"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申宁化工地块补充调查的钻探及采样工作，包括地下水建井以及地下水样品采集（建井深度至少为</w:t>
            </w:r>
            <w:r>
              <w:rPr>
                <w:rFonts w:hint="eastAsia" w:cs="Times New Roman"/>
                <w:color w:val="000000"/>
                <w:sz w:val="21"/>
                <w:szCs w:val="21"/>
                <w:highlight w:val="none"/>
              </w:rPr>
              <w:t xml:space="preserve">6m，部分点位建井深度需要达到15m、30m</w:t>
            </w:r>
            <w:r>
              <w:rPr>
                <w:rFonts w:cs="Times New Roman"/>
                <w:color w:val="000000"/>
                <w:sz w:val="21"/>
                <w:szCs w:val="21"/>
                <w:highlight w:val="none"/>
              </w:rPr>
              <w:t xml:space="preserve">），地下水总建井深度约</w:t>
            </w:r>
            <w:r>
              <w:rPr>
                <w:rFonts w:hint="eastAsia" w:cs="Times New Roman"/>
                <w:color w:val="000000"/>
                <w:sz w:val="21"/>
                <w:szCs w:val="21"/>
                <w:highlight w:val="none"/>
              </w:rPr>
              <w:t xml:space="preserve">200m</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200</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spacing w:line="240" w:lineRule="auto"/>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2" w:space="0"/>
            </w:tcBorders>
            <w:tcW w:w="203" w:type="pct"/>
            <w:vAlign w:val="center"/>
            <w:vMerge w:val="restart"/>
            <w:textDirection w:val="lrTb"/>
            <w:noWrap w:val="false"/>
          </w:tcPr>
          <w:p>
            <w:pPr>
              <w:jc w:val="center"/>
              <w:spacing w:line="240" w:lineRule="auto"/>
              <w:rPr>
                <w:rFonts w:cs="Times New Roman"/>
                <w:bCs/>
                <w:color w:val="000000"/>
                <w:sz w:val="21"/>
                <w:szCs w:val="21"/>
                <w:highlight w:val="none"/>
              </w:rPr>
            </w:pPr>
            <w:r>
              <w:rPr>
                <w:rFonts w:cs="Times New Roman"/>
                <w:color w:val="000000"/>
                <w:sz w:val="21"/>
                <w:szCs w:val="21"/>
                <w:highlight w:val="none"/>
              </w:rPr>
              <w:t xml:space="preserve">4</w:t>
            </w:r>
            <w:r/>
          </w:p>
        </w:tc>
        <w:tc>
          <w:tcPr>
            <w:tcBorders>
              <w:top w:val="single" w:color="auto" w:sz="4" w:space="0"/>
              <w:left w:val="single" w:color="auto" w:sz="2" w:space="0"/>
              <w:right w:val="single" w:color="auto" w:sz="2" w:space="0"/>
            </w:tcBorders>
            <w:tcW w:w="355"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bCs/>
                <w:color w:val="000000"/>
                <w:sz w:val="21"/>
                <w:szCs w:val="21"/>
                <w:highlight w:val="none"/>
              </w:rPr>
              <w:t xml:space="preserve">样品处理与检测费</w:t>
            </w:r>
            <w:r/>
          </w:p>
        </w:tc>
        <w:tc>
          <w:tcPr>
            <w:tcBorders>
              <w:top w:val="single" w:color="auto" w:sz="4" w:space="0"/>
              <w:left w:val="single" w:color="auto" w:sz="2" w:space="0"/>
              <w:bottom w:val="single" w:color="auto" w:sz="4" w:space="0"/>
              <w:right w:val="single" w:color="auto" w:sz="4" w:space="0"/>
            </w:tcBorders>
            <w:tcW w:w="2143"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土壤的检测因子需包括pH、重金属</w:t>
            </w:r>
            <w:r>
              <w:rPr>
                <w:rFonts w:hint="eastAsia" w:cs="Times New Roman"/>
                <w:color w:val="000000"/>
                <w:sz w:val="21"/>
                <w:szCs w:val="21"/>
                <w:highlight w:val="none"/>
              </w:rPr>
              <w:t xml:space="preserve">7项、挥发性有机污染物65项、半挥发性有机污染物64项、特征污染物17项（需要包括：</w:t>
            </w:r>
            <w:r>
              <w:rPr>
                <w:rFonts w:cs="Times New Roman"/>
                <w:color w:val="000000"/>
                <w:sz w:val="21"/>
                <w:szCs w:val="21"/>
                <w:highlight w:val="none"/>
              </w:rPr>
              <w:t xml:space="preserve">石油烃（C</w:t>
            </w:r>
            <w:r>
              <w:rPr>
                <w:rFonts w:cs="Times New Roman"/>
                <w:color w:val="000000"/>
                <w:sz w:val="21"/>
                <w:szCs w:val="21"/>
                <w:highlight w:val="none"/>
                <w:vertAlign w:val="subscript"/>
              </w:rPr>
              <w:t xml:space="preserve">10</w:t>
            </w:r>
            <w:r>
              <w:rPr>
                <w:rFonts w:cs="Times New Roman"/>
                <w:color w:val="000000"/>
                <w:sz w:val="21"/>
                <w:szCs w:val="21"/>
                <w:highlight w:val="none"/>
              </w:rPr>
              <w:t xml:space="preserve">-C</w:t>
            </w:r>
            <w:r>
              <w:rPr>
                <w:rFonts w:cs="Times New Roman"/>
                <w:color w:val="000000"/>
                <w:sz w:val="21"/>
                <w:szCs w:val="21"/>
                <w:highlight w:val="none"/>
                <w:vertAlign w:val="subscript"/>
              </w:rPr>
              <w:t xml:space="preserve">40</w:t>
            </w:r>
            <w:r>
              <w:rPr>
                <w:rFonts w:cs="Times New Roman"/>
                <w:color w:val="000000"/>
                <w:sz w:val="21"/>
                <w:szCs w:val="21"/>
                <w:highlight w:val="none"/>
              </w:rPr>
              <w:t xml:space="preserve">）、丙酮、四氢呋喃、乙酸乙酯、对苯二酚、乙醚、正丁醇、苯乙酮、均三甲苯、甲氰菊酯、氯氰菊酯、锌、硒、钒、氟化物、苯甲醚和2-萘乙酮</w:t>
            </w:r>
            <w:r>
              <w:rPr>
                <w:rFonts w:hint="eastAsia" w:cs="Times New Roman"/>
                <w:color w:val="000000"/>
                <w:sz w:val="21"/>
                <w:szCs w:val="21"/>
                <w:highlight w:val="none"/>
              </w:rPr>
              <w:t xml:space="preserve">等）</w:t>
            </w:r>
            <w:r>
              <w:rPr>
                <w:rFonts w:cs="Times New Roman"/>
                <w:color w:val="000000"/>
                <w:sz w:val="21"/>
                <w:szCs w:val="21"/>
                <w:highlight w:val="none"/>
              </w:rPr>
              <w:t xml:space="preserve">，土壤样品约</w:t>
            </w:r>
            <w:r>
              <w:rPr>
                <w:rFonts w:hint="eastAsia" w:cs="Times New Roman"/>
                <w:color w:val="000000"/>
                <w:sz w:val="21"/>
                <w:szCs w:val="21"/>
                <w:highlight w:val="none"/>
              </w:rPr>
              <w:t xml:space="preserve">100个</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100</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spacing w:line="240" w:lineRule="auto"/>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2" w:space="0"/>
            </w:tcBorders>
            <w:tcW w:w="20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right w:val="single" w:color="auto" w:sz="2" w:space="0"/>
            </w:tcBorders>
            <w:tcW w:w="355"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43"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周边地表水体的底泥，样品处理与检测费，</w:t>
            </w:r>
            <w:r>
              <w:rPr>
                <w:rFonts w:hint="eastAsia" w:cs="Times New Roman"/>
                <w:color w:val="000000"/>
                <w:sz w:val="21"/>
                <w:szCs w:val="21"/>
                <w:highlight w:val="none"/>
              </w:rPr>
              <w:t xml:space="preserve">底泥</w:t>
            </w:r>
            <w:r>
              <w:rPr>
                <w:rFonts w:cs="Times New Roman"/>
                <w:color w:val="000000"/>
                <w:sz w:val="21"/>
                <w:szCs w:val="21"/>
                <w:highlight w:val="none"/>
              </w:rPr>
              <w:t xml:space="preserve">的检测因子</w:t>
            </w:r>
            <w:r>
              <w:rPr>
                <w:rFonts w:hint="eastAsia" w:cs="Times New Roman"/>
                <w:color w:val="000000"/>
                <w:sz w:val="21"/>
                <w:szCs w:val="21"/>
                <w:highlight w:val="none"/>
              </w:rPr>
              <w:t xml:space="preserve">与</w:t>
            </w:r>
            <w:r>
              <w:rPr>
                <w:rFonts w:cs="Times New Roman"/>
                <w:color w:val="000000"/>
                <w:sz w:val="21"/>
                <w:szCs w:val="21"/>
                <w:highlight w:val="none"/>
              </w:rPr>
              <w:t xml:space="preserve">土壤的检测因子一致，</w:t>
            </w:r>
            <w:r>
              <w:rPr>
                <w:rFonts w:hint="eastAsia" w:cs="Times New Roman"/>
                <w:color w:val="000000"/>
                <w:sz w:val="21"/>
                <w:szCs w:val="21"/>
                <w:highlight w:val="none"/>
              </w:rPr>
              <w:t xml:space="preserve">底泥</w:t>
            </w:r>
            <w:r>
              <w:rPr>
                <w:rFonts w:cs="Times New Roman"/>
                <w:color w:val="000000"/>
                <w:sz w:val="21"/>
                <w:szCs w:val="21"/>
                <w:highlight w:val="none"/>
              </w:rPr>
              <w:t xml:space="preserve">样品约</w:t>
            </w:r>
            <w:r>
              <w:rPr>
                <w:rFonts w:hint="eastAsia" w:cs="Times New Roman"/>
                <w:color w:val="000000"/>
                <w:sz w:val="21"/>
                <w:szCs w:val="21"/>
                <w:highlight w:val="none"/>
              </w:rPr>
              <w:t xml:space="preserve">4个</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spacing w:line="240" w:lineRule="auto"/>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2" w:space="0"/>
            </w:tcBorders>
            <w:tcW w:w="20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right w:val="single" w:color="auto" w:sz="2" w:space="0"/>
            </w:tcBorders>
            <w:tcW w:w="355"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43"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地下水</w:t>
            </w:r>
            <w:r>
              <w:rPr>
                <w:rFonts w:cs="Times New Roman"/>
                <w:color w:val="000000"/>
                <w:sz w:val="21"/>
                <w:szCs w:val="21"/>
                <w:highlight w:val="none"/>
              </w:rPr>
              <w:t xml:space="preserve">的检测因子需包括pH、重金属</w:t>
            </w:r>
            <w:r>
              <w:rPr>
                <w:rFonts w:hint="eastAsia" w:cs="Times New Roman"/>
                <w:color w:val="000000"/>
                <w:sz w:val="21"/>
                <w:szCs w:val="21"/>
                <w:highlight w:val="none"/>
              </w:rPr>
              <w:t xml:space="preserve">7项、挥发性有机污染物65项、半挥发性有机污染物64项、特征污染物17项（需要包括：</w:t>
            </w:r>
            <w:r>
              <w:rPr>
                <w:rFonts w:cs="Times New Roman"/>
                <w:color w:val="000000"/>
                <w:sz w:val="21"/>
                <w:szCs w:val="21"/>
                <w:highlight w:val="none"/>
              </w:rPr>
              <w:t xml:space="preserve">石油烃（C</w:t>
            </w:r>
            <w:r>
              <w:rPr>
                <w:rFonts w:cs="Times New Roman"/>
                <w:color w:val="000000"/>
                <w:sz w:val="21"/>
                <w:szCs w:val="21"/>
                <w:highlight w:val="none"/>
                <w:vertAlign w:val="subscript"/>
              </w:rPr>
              <w:t xml:space="preserve">10</w:t>
            </w:r>
            <w:r>
              <w:rPr>
                <w:rFonts w:cs="Times New Roman"/>
                <w:color w:val="000000"/>
                <w:sz w:val="21"/>
                <w:szCs w:val="21"/>
                <w:highlight w:val="none"/>
              </w:rPr>
              <w:t xml:space="preserve">-C</w:t>
            </w:r>
            <w:r>
              <w:rPr>
                <w:rFonts w:cs="Times New Roman"/>
                <w:color w:val="000000"/>
                <w:sz w:val="21"/>
                <w:szCs w:val="21"/>
                <w:highlight w:val="none"/>
                <w:vertAlign w:val="subscript"/>
              </w:rPr>
              <w:t xml:space="preserve">40</w:t>
            </w:r>
            <w:r>
              <w:rPr>
                <w:rFonts w:cs="Times New Roman"/>
                <w:color w:val="000000"/>
                <w:sz w:val="21"/>
                <w:szCs w:val="21"/>
                <w:highlight w:val="none"/>
              </w:rPr>
              <w:t xml:space="preserve">）、丙酮、四氢呋喃、乙酸乙酯、对苯二酚、乙醚、正丁醇、苯乙酮、均三甲苯、甲氰菊酯、氯氰菊酯、锌、硒、钒、氟化物、苯甲醚和2-萘乙酮</w:t>
            </w:r>
            <w:r>
              <w:rPr>
                <w:rFonts w:hint="eastAsia" w:cs="Times New Roman"/>
                <w:color w:val="000000"/>
                <w:sz w:val="21"/>
                <w:szCs w:val="21"/>
                <w:highlight w:val="none"/>
              </w:rPr>
              <w:t xml:space="preserve">等）、《地下水质量标准》(GBT14848-2017)中的感官性状无机指标等25项等。考虑</w:t>
            </w:r>
            <w:r>
              <w:rPr>
                <w:rFonts w:cs="Times New Roman"/>
                <w:color w:val="000000"/>
                <w:sz w:val="21"/>
                <w:szCs w:val="21"/>
                <w:highlight w:val="none"/>
              </w:rPr>
              <w:t xml:space="preserve">到地块内涉及</w:t>
            </w:r>
            <w:r>
              <w:rPr>
                <w:rFonts w:hint="eastAsia" w:cs="Times New Roman"/>
                <w:color w:val="000000"/>
                <w:sz w:val="21"/>
                <w:szCs w:val="21"/>
                <w:highlight w:val="none"/>
              </w:rPr>
              <w:t xml:space="preserve">DNAPL类物质超标，根据技术规范要求需要分别在水位线以下0.5m和井管底部采集地下水样品</w:t>
            </w:r>
            <w:r>
              <w:rPr>
                <w:rFonts w:cs="Times New Roman"/>
                <w:color w:val="000000"/>
                <w:sz w:val="21"/>
                <w:szCs w:val="21"/>
                <w:highlight w:val="none"/>
              </w:rPr>
              <w:t xml:space="preserve">，地下水样品约</w:t>
            </w:r>
            <w:r>
              <w:rPr>
                <w:rFonts w:hint="eastAsia" w:cs="Times New Roman"/>
                <w:color w:val="000000"/>
                <w:sz w:val="21"/>
                <w:szCs w:val="21"/>
                <w:highlight w:val="none"/>
              </w:rPr>
              <w:t xml:space="preserve">28个</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28</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spacing w:line="240" w:lineRule="auto"/>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2" w:space="0"/>
            </w:tcBorders>
            <w:tcW w:w="20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bottom w:val="single" w:color="auto" w:sz="4" w:space="0"/>
              <w:right w:val="single" w:color="auto" w:sz="2" w:space="0"/>
            </w:tcBorders>
            <w:tcW w:w="355"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43"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周边地表水体的地表水，样品处理与检测费，</w:t>
            </w:r>
            <w:r>
              <w:rPr>
                <w:rFonts w:hint="eastAsia" w:cs="Times New Roman"/>
                <w:color w:val="000000"/>
                <w:sz w:val="21"/>
                <w:szCs w:val="21"/>
                <w:highlight w:val="none"/>
              </w:rPr>
              <w:t xml:space="preserve">地表水</w:t>
            </w:r>
            <w:r>
              <w:rPr>
                <w:rFonts w:cs="Times New Roman"/>
                <w:color w:val="000000"/>
                <w:sz w:val="21"/>
                <w:szCs w:val="21"/>
                <w:highlight w:val="none"/>
              </w:rPr>
              <w:t xml:space="preserve">的检测因子</w:t>
            </w:r>
            <w:r>
              <w:rPr>
                <w:rFonts w:hint="eastAsia" w:cs="Times New Roman"/>
                <w:color w:val="000000"/>
                <w:sz w:val="21"/>
                <w:szCs w:val="21"/>
                <w:highlight w:val="none"/>
              </w:rPr>
              <w:t xml:space="preserve">与</w:t>
            </w:r>
            <w:r>
              <w:rPr>
                <w:rFonts w:cs="Times New Roman"/>
                <w:color w:val="000000"/>
                <w:sz w:val="21"/>
                <w:szCs w:val="21"/>
                <w:highlight w:val="none"/>
              </w:rPr>
              <w:t xml:space="preserve">土壤的检测因子一致，地表水样品约</w:t>
            </w:r>
            <w:r>
              <w:rPr>
                <w:rFonts w:hint="eastAsia" w:cs="Times New Roman"/>
                <w:color w:val="000000"/>
                <w:sz w:val="21"/>
                <w:szCs w:val="21"/>
                <w:highlight w:val="none"/>
              </w:rPr>
              <w:t xml:space="preserve">4个</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spacing w:line="240" w:lineRule="auto"/>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2" w:space="0"/>
            </w:tcBorders>
            <w:tcW w:w="203"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5</w:t>
            </w:r>
            <w:r/>
          </w:p>
        </w:tc>
        <w:tc>
          <w:tcPr>
            <w:tcBorders>
              <w:top w:val="single" w:color="auto" w:sz="2" w:space="0"/>
              <w:left w:val="single" w:color="auto" w:sz="2" w:space="0"/>
              <w:right w:val="single" w:color="auto" w:sz="2" w:space="0"/>
            </w:tcBorders>
            <w:tcW w:w="355" w:type="pct"/>
            <w:vAlign w:val="center"/>
            <w:vMerge w:val="restart"/>
            <w:textDirection w:val="lrTb"/>
            <w:noWrap w:val="false"/>
          </w:tcPr>
          <w:p>
            <w:pPr>
              <w:jc w:val="center"/>
              <w:spacing w:line="240" w:lineRule="auto"/>
              <w:rPr>
                <w:rFonts w:cs="Times New Roman"/>
                <w:bCs/>
                <w:color w:val="000000"/>
                <w:sz w:val="21"/>
                <w:szCs w:val="21"/>
                <w:highlight w:val="none"/>
              </w:rPr>
            </w:pPr>
            <w:r>
              <w:rPr>
                <w:rFonts w:cs="Times New Roman"/>
                <w:color w:val="000000"/>
                <w:sz w:val="21"/>
                <w:szCs w:val="21"/>
                <w:highlight w:val="none"/>
              </w:rPr>
              <w:t xml:space="preserve">污染物入江风险评估</w:t>
            </w:r>
            <w:r/>
          </w:p>
        </w:tc>
        <w:tc>
          <w:tcPr>
            <w:tcBorders>
              <w:top w:val="single" w:color="auto" w:sz="2" w:space="0"/>
              <w:left w:val="single" w:color="auto" w:sz="2" w:space="0"/>
              <w:bottom w:val="single" w:color="auto" w:sz="2" w:space="0"/>
              <w:right w:val="single" w:color="auto" w:sz="2" w:space="0"/>
            </w:tcBorders>
            <w:tcW w:w="2143"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开展</w:t>
            </w:r>
            <w:r>
              <w:rPr>
                <w:rFonts w:cs="Times New Roman"/>
                <w:bCs/>
                <w:color w:val="000000"/>
                <w:sz w:val="21"/>
                <w:szCs w:val="21"/>
                <w:highlight w:val="none"/>
              </w:rPr>
              <w:t xml:space="preserve">入江风险识别与途径分析，</w:t>
            </w:r>
            <w:r>
              <w:rPr>
                <w:rFonts w:hint="eastAsia" w:cs="Times New Roman"/>
                <w:bCs/>
                <w:color w:val="000000"/>
                <w:sz w:val="21"/>
                <w:szCs w:val="21"/>
                <w:highlight w:val="none"/>
              </w:rPr>
              <w:t xml:space="preserve">结合地块利用类型，识别入江风险因素，分析污染物入江的主要途径及可行性，包括地块污染本身风险、水文水力联系风险、污染物入江途径风险、敏感目标影响风险、暴雨与汛期风险、开发建设新增风险等</w:t>
            </w:r>
            <w:r/>
          </w:p>
        </w:tc>
        <w:tc>
          <w:tcPr>
            <w:tcBorders>
              <w:top w:val="single" w:color="auto" w:sz="4" w:space="0"/>
              <w:left w:val="single" w:color="auto" w:sz="4" w:space="0"/>
              <w:right w:val="single" w:color="auto" w:sz="4" w:space="0"/>
            </w:tcBorders>
            <w:tcW w:w="322"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项</w:t>
            </w:r>
            <w:r/>
          </w:p>
        </w:tc>
        <w:tc>
          <w:tcPr>
            <w:tcBorders>
              <w:top w:val="single" w:color="auto" w:sz="4" w:space="0"/>
              <w:left w:val="single" w:color="auto" w:sz="4" w:space="0"/>
              <w:right w:val="single" w:color="auto" w:sz="4" w:space="0"/>
            </w:tcBorders>
            <w:tcW w:w="336"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right w:val="single" w:color="auto" w:sz="4" w:space="0"/>
            </w:tcBorders>
            <w:tcW w:w="522"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right w:val="single" w:color="auto" w:sz="4" w:space="0"/>
            </w:tcBorders>
            <w:tcW w:w="564"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right w:val="single" w:color="auto" w:sz="4" w:space="0"/>
            </w:tcBorders>
            <w:tcW w:w="552" w:type="pct"/>
            <w:vAlign w:val="center"/>
            <w:vMerge w:val="restart"/>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20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right w:val="single" w:color="auto" w:sz="2" w:space="0"/>
            </w:tcBorders>
            <w:tcW w:w="355"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43"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开展</w:t>
            </w:r>
            <w:r>
              <w:rPr>
                <w:rFonts w:hint="eastAsia" w:cs="Times New Roman"/>
                <w:color w:val="000000"/>
                <w:sz w:val="21"/>
                <w:szCs w:val="21"/>
                <w:highlight w:val="none"/>
              </w:rPr>
              <w:t xml:space="preserve">风险计算与等级判定，采用定性与定量相结合的方法，计算风险指标，判定地块入江风险等级。风险计算采用地下水模拟软件GMS根据MODFLOW模块构建三维有限差分地下水流模型进行计算，需要结合含水层概化和边界条件，开展地下水水流模拟及地下水溶质运移模拟。</w:t>
            </w:r>
            <w:r/>
          </w:p>
        </w:tc>
        <w:tc>
          <w:tcPr>
            <w:tcBorders>
              <w:left w:val="single" w:color="auto" w:sz="4" w:space="0"/>
              <w:right w:val="single" w:color="auto" w:sz="4" w:space="0"/>
            </w:tcBorders>
            <w:tcW w:w="32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336"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2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64"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52"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20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right w:val="single" w:color="auto" w:sz="2" w:space="0"/>
            </w:tcBorders>
            <w:tcW w:w="355"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43"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开展</w:t>
            </w:r>
            <w:r>
              <w:rPr>
                <w:rFonts w:cs="Times New Roman"/>
                <w:bCs/>
                <w:color w:val="000000"/>
                <w:sz w:val="21"/>
                <w:szCs w:val="21"/>
                <w:highlight w:val="none"/>
              </w:rPr>
              <w:t xml:space="preserve">入江风险防控措施，</w:t>
            </w:r>
            <w:r>
              <w:rPr>
                <w:rFonts w:hint="eastAsia" w:cs="Times New Roman"/>
                <w:bCs/>
                <w:color w:val="000000"/>
                <w:sz w:val="21"/>
                <w:szCs w:val="21"/>
                <w:highlight w:val="none"/>
              </w:rPr>
              <w:t xml:space="preserve">结合风险等级及地块利用类型，制定针对性、可操作的源头管控、过程拦截、应急处置及长效监测措施</w:t>
            </w:r>
            <w:r/>
          </w:p>
        </w:tc>
        <w:tc>
          <w:tcPr>
            <w:tcBorders>
              <w:left w:val="single" w:color="auto" w:sz="4" w:space="0"/>
              <w:right w:val="single" w:color="auto" w:sz="4" w:space="0"/>
            </w:tcBorders>
            <w:tcW w:w="32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336"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2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64"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52"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2" w:space="0"/>
            </w:tcBorders>
            <w:tcW w:w="20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bottom w:val="single" w:color="auto" w:sz="2" w:space="0"/>
              <w:right w:val="single" w:color="auto" w:sz="2" w:space="0"/>
            </w:tcBorders>
            <w:tcW w:w="355"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43"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开展</w:t>
            </w:r>
            <w:r>
              <w:rPr>
                <w:rFonts w:cs="Times New Roman"/>
                <w:bCs/>
                <w:color w:val="000000"/>
                <w:sz w:val="21"/>
                <w:szCs w:val="21"/>
                <w:highlight w:val="none"/>
              </w:rPr>
              <w:t xml:space="preserve">风险分析报告编制，</w:t>
            </w:r>
            <w:r>
              <w:rPr>
                <w:rFonts w:hint="eastAsia" w:cs="Times New Roman"/>
                <w:bCs/>
                <w:color w:val="000000"/>
                <w:sz w:val="21"/>
                <w:szCs w:val="21"/>
                <w:highlight w:val="none"/>
              </w:rPr>
              <w:t xml:space="preserve">编制入江风险分析报告，作为地块开发利用及监管的依据</w:t>
            </w:r>
            <w:r/>
          </w:p>
        </w:tc>
        <w:tc>
          <w:tcPr>
            <w:tcBorders>
              <w:left w:val="single" w:color="auto" w:sz="4" w:space="0"/>
              <w:bottom w:val="single" w:color="auto" w:sz="4" w:space="0"/>
              <w:right w:val="single" w:color="auto" w:sz="4" w:space="0"/>
            </w:tcBorders>
            <w:tcW w:w="32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336"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2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64"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52"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2" w:space="0"/>
            </w:tcBorders>
            <w:tcW w:w="203"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6</w:t>
            </w:r>
            <w:r/>
          </w:p>
        </w:tc>
        <w:tc>
          <w:tcPr>
            <w:tcBorders>
              <w:top w:val="single" w:color="auto" w:sz="2" w:space="0"/>
              <w:left w:val="single" w:color="auto" w:sz="2" w:space="0"/>
              <w:right w:val="single" w:color="auto" w:sz="2" w:space="0"/>
            </w:tcBorders>
            <w:tcW w:w="355" w:type="pct"/>
            <w:vAlign w:val="center"/>
            <w:vMerge w:val="restart"/>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t xml:space="preserve">风险评估报告编制、修改、备案等。</w:t>
            </w:r>
            <w:r/>
          </w:p>
        </w:tc>
        <w:tc>
          <w:tcPr>
            <w:tcBorders>
              <w:top w:val="single" w:color="auto" w:sz="2" w:space="0"/>
              <w:left w:val="single" w:color="auto" w:sz="2" w:space="0"/>
              <w:bottom w:val="single" w:color="auto" w:sz="2" w:space="0"/>
              <w:right w:val="single" w:color="auto" w:sz="2" w:space="0"/>
            </w:tcBorders>
            <w:tcW w:w="2143"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开展危害识别，收集土壤污染状况调查阶段获得的相关资料和数据，掌握地块土壤和地下水中关注污染物的浓度分布，明确规划土地利用方式，分析可能的敏感受体，如儿童、成人、地下水体等。</w:t>
            </w:r>
            <w:r/>
          </w:p>
        </w:tc>
        <w:tc>
          <w:tcPr>
            <w:tcBorders>
              <w:top w:val="single" w:color="auto" w:sz="4" w:space="0"/>
              <w:left w:val="single" w:color="auto" w:sz="4" w:space="0"/>
              <w:right w:val="single" w:color="auto" w:sz="4" w:space="0"/>
            </w:tcBorders>
            <w:tcW w:w="322"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项</w:t>
            </w:r>
            <w:r/>
          </w:p>
        </w:tc>
        <w:tc>
          <w:tcPr>
            <w:tcBorders>
              <w:top w:val="single" w:color="auto" w:sz="4" w:space="0"/>
              <w:left w:val="single" w:color="auto" w:sz="4" w:space="0"/>
              <w:right w:val="single" w:color="auto" w:sz="4" w:space="0"/>
            </w:tcBorders>
            <w:tcW w:w="336"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right w:val="single" w:color="auto" w:sz="4" w:space="0"/>
            </w:tcBorders>
            <w:tcW w:w="522"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right w:val="single" w:color="auto" w:sz="4" w:space="0"/>
            </w:tcBorders>
            <w:tcW w:w="564"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right w:val="single" w:color="auto" w:sz="4" w:space="0"/>
            </w:tcBorders>
            <w:tcW w:w="552" w:type="pct"/>
            <w:vAlign w:val="center"/>
            <w:vMerge w:val="restart"/>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20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right w:val="single" w:color="auto" w:sz="2" w:space="0"/>
            </w:tcBorders>
            <w:tcW w:w="355"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43"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开展暴露评估，在危害识别的基础上，分析地块内关注污染物迁移和危害敏感受体的可能性，确定地块地下水污染物的主要暴露途径和暴露评估模型，确定评估模型参数取值，计算敏感人群对地下水中污染物的暴露量。</w:t>
            </w:r>
            <w:r/>
          </w:p>
        </w:tc>
        <w:tc>
          <w:tcPr>
            <w:tcBorders>
              <w:left w:val="single" w:color="auto" w:sz="4" w:space="0"/>
              <w:right w:val="single" w:color="auto" w:sz="4" w:space="0"/>
            </w:tcBorders>
            <w:tcW w:w="32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336"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2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64"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52"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20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right w:val="single" w:color="auto" w:sz="2" w:space="0"/>
            </w:tcBorders>
            <w:tcW w:w="355"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43"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开展毒性评估，在危害识别的基础上，分析关注污染物对人体健康的危害效应，包括致癌效应和非致癌效应，确定与关注污染物相关的参数，包括参考剂量、参考浓度、致癌斜率因子和呼吸吸入单位致癌因子等。</w:t>
            </w:r>
            <w:r/>
          </w:p>
        </w:tc>
        <w:tc>
          <w:tcPr>
            <w:tcBorders>
              <w:left w:val="single" w:color="auto" w:sz="4" w:space="0"/>
              <w:right w:val="single" w:color="auto" w:sz="4" w:space="0"/>
            </w:tcBorders>
            <w:tcW w:w="32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336"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2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64"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52"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20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right w:val="single" w:color="auto" w:sz="2" w:space="0"/>
            </w:tcBorders>
            <w:tcW w:w="355"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43"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开展风险表征，在暴露评估和毒性评估的基础上，采用风险评估模型计算土壤和地下水中单一污染物经单一途径的致癌风险和危害商，计算单一污染物的总致癌风险和危害商，进行不确定性分析。</w:t>
            </w:r>
            <w:r/>
          </w:p>
        </w:tc>
        <w:tc>
          <w:tcPr>
            <w:tcBorders>
              <w:left w:val="single" w:color="auto" w:sz="4" w:space="0"/>
              <w:right w:val="single" w:color="auto" w:sz="4" w:space="0"/>
            </w:tcBorders>
            <w:tcW w:w="32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336"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2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64"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52"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2" w:space="0"/>
            </w:tcBorders>
            <w:tcW w:w="20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bottom w:val="single" w:color="auto" w:sz="2" w:space="0"/>
              <w:right w:val="single" w:color="auto" w:sz="2" w:space="0"/>
            </w:tcBorders>
            <w:tcW w:w="355"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43"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开展土壤和地下水风险控制值的计算，在风险表征的基础上，判断计算得到的风险值是否超过可接受风险水平。如地块风险评估结果未超过可接受风险水平，则结束风险评估工作；如地块风险评估结果超过可接受风险水平，则计算土壤、地下水中关注污染物的风险控制值；如调查结果表明，土壤中关注污染物可迁移进入地下水，则计算保护地下水的土壤风险控制值；根据计算结果，提出关注污染物的土壤和地下水风险控制值。</w:t>
            </w:r>
            <w:r/>
          </w:p>
        </w:tc>
        <w:tc>
          <w:tcPr>
            <w:tcBorders>
              <w:left w:val="single" w:color="auto" w:sz="4" w:space="0"/>
              <w:bottom w:val="single" w:color="auto" w:sz="4" w:space="0"/>
              <w:right w:val="single" w:color="auto" w:sz="4" w:space="0"/>
            </w:tcBorders>
            <w:tcW w:w="32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336"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2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64"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52"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4" w:space="0"/>
            </w:tcBorders>
            <w:tcW w:w="203"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7</w:t>
            </w:r>
            <w:r/>
          </w:p>
        </w:tc>
        <w:tc>
          <w:tcPr>
            <w:tcBorders>
              <w:top w:val="single" w:color="auto" w:sz="4" w:space="0"/>
              <w:left w:val="single" w:color="auto" w:sz="4" w:space="0"/>
              <w:right w:val="single" w:color="auto" w:sz="4" w:space="0"/>
            </w:tcBorders>
            <w:tcW w:w="355"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bCs/>
                <w:color w:val="000000"/>
                <w:sz w:val="21"/>
                <w:szCs w:val="21"/>
                <w:highlight w:val="none"/>
              </w:rPr>
              <w:t xml:space="preserve">风险评估报告专家费、会务费、</w:t>
            </w:r>
            <w:r>
              <w:rPr>
                <w:rFonts w:hint="eastAsia" w:eastAsia="宋体" w:cs="Times New Roman"/>
                <w:bCs/>
                <w:color w:val="000000"/>
                <w:sz w:val="21"/>
                <w:szCs w:val="21"/>
                <w:highlight w:val="none"/>
                <w:lang w:val="en-US" w:eastAsia="zh-CN"/>
              </w:rPr>
              <w:t xml:space="preserve">彩色</w:t>
            </w:r>
            <w:r>
              <w:rPr>
                <w:rFonts w:cs="Times New Roman"/>
                <w:bCs/>
                <w:color w:val="000000"/>
                <w:sz w:val="21"/>
                <w:szCs w:val="21"/>
                <w:highlight w:val="none"/>
              </w:rPr>
              <w:t xml:space="preserve">打印费等</w:t>
            </w:r>
            <w:r/>
          </w:p>
        </w:tc>
        <w:tc>
          <w:tcPr>
            <w:tcBorders>
              <w:top w:val="single" w:color="auto" w:sz="2" w:space="0"/>
              <w:left w:val="single" w:color="auto" w:sz="4" w:space="0"/>
              <w:bottom w:val="single" w:color="auto" w:sz="4" w:space="0"/>
              <w:right w:val="single" w:color="auto" w:sz="4" w:space="0"/>
            </w:tcBorders>
            <w:tcW w:w="2143"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bCs/>
                <w:color w:val="000000"/>
                <w:sz w:val="21"/>
                <w:szCs w:val="21"/>
                <w:highlight w:val="none"/>
              </w:rPr>
              <w:t xml:space="preserve">市生态环境局至少邀请5名业内专家及相关部门领导，组织召开专家评审会</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项</w:t>
            </w:r>
            <w:r/>
          </w:p>
        </w:tc>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4" w:space="0"/>
            </w:tcBorders>
            <w:tcW w:w="20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355"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2" w:space="0"/>
              <w:left w:val="single" w:color="auto" w:sz="4" w:space="0"/>
              <w:bottom w:val="single" w:color="auto" w:sz="4" w:space="0"/>
              <w:right w:val="single" w:color="auto" w:sz="4" w:space="0"/>
            </w:tcBorders>
            <w:tcW w:w="2143"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省生态环境厅至少邀请5名业内专家及相关部门领导，组织召开专家评审会</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项</w:t>
            </w:r>
            <w:r/>
          </w:p>
        </w:tc>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917"/>
        </w:trPr>
        <w:tc>
          <w:tcPr>
            <w:gridSpan w:val="6"/>
            <w:tcBorders>
              <w:top w:val="single" w:color="auto" w:sz="2" w:space="0"/>
              <w:left w:val="single" w:color="auto" w:sz="2" w:space="0"/>
              <w:bottom w:val="single" w:color="auto" w:sz="4" w:space="0"/>
              <w:right w:val="single" w:color="auto" w:sz="4" w:space="0"/>
            </w:tcBorders>
            <w:tcW w:w="3883"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w:t>
            </w:r>
            <w:r/>
          </w:p>
        </w:tc>
      </w:tr>
    </w:tbl>
    <w:p>
      <w:pPr>
        <w:jc w:val="center"/>
        <w:rPr>
          <w:rFonts w:cs="Times New Roman"/>
          <w:b/>
          <w:bCs/>
          <w:color w:val="000000"/>
          <w:highlight w:val="none"/>
        </w:rPr>
      </w:pPr>
      <w:r>
        <w:rPr>
          <w:rFonts w:cs="Times New Roman"/>
          <w:b/>
          <w:bCs/>
          <w:color w:val="000000"/>
          <w:highlight w:val="none"/>
        </w:rPr>
        <w:br w:type="page" w:clear="all"/>
      </w:r>
      <w:r>
        <w:rPr>
          <w:rFonts w:cs="Times New Roman"/>
          <w:b/>
          <w:bCs/>
          <w:color w:val="000000"/>
          <w:highlight w:val="none"/>
        </w:rPr>
        <w:t xml:space="preserve">表2  原南京祥宇农药有限公司地块风险评估项目费用报价明细表</w:t>
      </w:r>
      <w:r/>
    </w:p>
    <w:tbl>
      <w:tblPr>
        <w:tblStyle w:val="727"/>
        <w:tblW w:w="5035" w:type="pct"/>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autofit"/>
        <w:tblCellMar>
          <w:left w:w="0" w:type="dxa"/>
          <w:top w:w="0" w:type="dxa"/>
          <w:right w:w="0" w:type="dxa"/>
          <w:bottom w:w="0" w:type="dxa"/>
        </w:tblCellMar>
        <w:tblLook w:val="04A0" w:firstRow="1" w:lastRow="0" w:firstColumn="1" w:lastColumn="0" w:noHBand="0" w:noVBand="1"/>
      </w:tblPr>
      <w:tblGrid>
        <w:gridCol w:w="519"/>
        <w:gridCol w:w="1051"/>
        <w:gridCol w:w="6074"/>
        <w:gridCol w:w="890"/>
        <w:gridCol w:w="966"/>
        <w:gridCol w:w="1506"/>
        <w:gridCol w:w="1613"/>
        <w:gridCol w:w="1503"/>
      </w:tblGrid>
      <w:tr>
        <w:trPr>
          <w:jc w:val="center"/>
          <w:trHeight w:val="20"/>
        </w:trPr>
        <w:tc>
          <w:tcPr>
            <w:tcBorders>
              <w:top w:val="single" w:color="auto" w:sz="8" w:space="0"/>
              <w:left w:val="single" w:color="auto" w:sz="8" w:space="0"/>
              <w:bottom w:val="single" w:color="auto" w:sz="2" w:space="0"/>
              <w:right w:val="single" w:color="auto" w:sz="2" w:space="0"/>
            </w:tcBorders>
            <w:tcW w:w="184"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序号</w:t>
            </w:r>
            <w:r/>
          </w:p>
        </w:tc>
        <w:tc>
          <w:tcPr>
            <w:tcBorders>
              <w:top w:val="single" w:color="auto" w:sz="8" w:space="0"/>
              <w:left w:val="single" w:color="auto" w:sz="2" w:space="0"/>
              <w:bottom w:val="single" w:color="auto" w:sz="2" w:space="0"/>
              <w:right w:val="single" w:color="auto" w:sz="2" w:space="0"/>
            </w:tcBorders>
            <w:tcW w:w="372"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工作</w:t>
            </w:r>
            <w:r>
              <w:rPr>
                <w:rFonts w:hint="eastAsia" w:cs="Times New Roman"/>
                <w:b/>
                <w:color w:val="000000"/>
                <w:sz w:val="21"/>
                <w:szCs w:val="21"/>
                <w:highlight w:val="none"/>
              </w:rPr>
              <w:t xml:space="preserve">分类</w:t>
            </w:r>
            <w:r/>
          </w:p>
        </w:tc>
        <w:tc>
          <w:tcPr>
            <w:tcBorders>
              <w:top w:val="single" w:color="auto" w:sz="8" w:space="0"/>
              <w:left w:val="single" w:color="auto" w:sz="2" w:space="0"/>
              <w:bottom w:val="single" w:color="auto" w:sz="2" w:space="0"/>
              <w:right w:val="single" w:color="auto" w:sz="2" w:space="0"/>
            </w:tcBorders>
            <w:tcW w:w="2150"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工作内容</w:t>
            </w:r>
            <w:r/>
          </w:p>
        </w:tc>
        <w:tc>
          <w:tcPr>
            <w:tcBorders>
              <w:top w:val="single" w:color="auto" w:sz="8" w:space="0"/>
              <w:left w:val="single" w:color="auto" w:sz="2" w:space="0"/>
              <w:bottom w:val="single" w:color="auto" w:sz="4" w:space="0"/>
              <w:right w:val="single" w:color="auto" w:sz="2" w:space="0"/>
            </w:tcBorders>
            <w:tcW w:w="315"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计量</w:t>
            </w:r>
            <w:r/>
          </w:p>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单位</w:t>
            </w:r>
            <w:r/>
          </w:p>
        </w:tc>
        <w:tc>
          <w:tcPr>
            <w:tcBorders>
              <w:top w:val="single" w:color="auto" w:sz="8" w:space="0"/>
              <w:left w:val="single" w:color="auto" w:sz="2" w:space="0"/>
              <w:bottom w:val="single" w:color="auto" w:sz="4" w:space="0"/>
              <w:right w:val="single" w:color="auto" w:sz="2" w:space="0"/>
            </w:tcBorders>
            <w:tcW w:w="342"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数量</w:t>
            </w:r>
            <w:r/>
          </w:p>
        </w:tc>
        <w:tc>
          <w:tcPr>
            <w:tcBorders>
              <w:top w:val="single" w:color="auto" w:sz="8" w:space="0"/>
              <w:left w:val="single" w:color="auto" w:sz="2" w:space="0"/>
              <w:bottom w:val="single" w:color="auto" w:sz="4" w:space="0"/>
              <w:right w:val="single" w:color="auto" w:sz="2" w:space="0"/>
            </w:tcBorders>
            <w:tcW w:w="532"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单价</w:t>
            </w:r>
            <w:r/>
          </w:p>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（万元）</w:t>
            </w:r>
            <w:r/>
          </w:p>
        </w:tc>
        <w:tc>
          <w:tcPr>
            <w:tcBorders>
              <w:top w:val="single" w:color="auto" w:sz="8" w:space="0"/>
              <w:left w:val="single" w:color="auto" w:sz="2" w:space="0"/>
              <w:bottom w:val="single" w:color="auto" w:sz="4" w:space="0"/>
              <w:right w:val="single" w:color="auto" w:sz="8" w:space="0"/>
            </w:tcBorders>
            <w:tcW w:w="571" w:type="pct"/>
            <w:vAlign w:val="center"/>
            <w:textDirection w:val="lrTb"/>
            <w:noWrap w:val="false"/>
          </w:tcPr>
          <w:p>
            <w:pPr>
              <w:jc w:val="center"/>
              <w:spacing w:line="240" w:lineRule="auto"/>
              <w:rPr>
                <w:rFonts w:cs="Times New Roman"/>
                <w:b/>
                <w:color w:val="000000"/>
                <w:sz w:val="21"/>
                <w:szCs w:val="21"/>
                <w:highlight w:val="none"/>
              </w:rPr>
            </w:pPr>
            <w:r>
              <w:rPr>
                <w:rFonts w:hint="eastAsia" w:cs="Times New Roman"/>
                <w:b/>
                <w:color w:val="000000"/>
                <w:sz w:val="21"/>
                <w:szCs w:val="21"/>
                <w:highlight w:val="none"/>
              </w:rPr>
              <w:t xml:space="preserve">小计</w:t>
            </w:r>
            <w:r/>
          </w:p>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（万元）</w:t>
            </w:r>
            <w:r/>
          </w:p>
        </w:tc>
        <w:tc>
          <w:tcPr>
            <w:tcBorders>
              <w:top w:val="single" w:color="auto" w:sz="8" w:space="0"/>
              <w:left w:val="single" w:color="auto" w:sz="2" w:space="0"/>
              <w:bottom w:val="single" w:color="auto" w:sz="4" w:space="0"/>
              <w:right w:val="single" w:color="auto" w:sz="8" w:space="0"/>
            </w:tcBorders>
            <w:tcW w:w="532" w:type="pct"/>
            <w:vAlign w:val="center"/>
            <w:textDirection w:val="lrTb"/>
            <w:noWrap w:val="false"/>
          </w:tcPr>
          <w:p>
            <w:pPr>
              <w:jc w:val="center"/>
              <w:spacing w:line="240" w:lineRule="auto"/>
              <w:rPr>
                <w:rFonts w:cs="Times New Roman"/>
                <w:b/>
                <w:color w:val="000000"/>
                <w:sz w:val="21"/>
                <w:szCs w:val="21"/>
                <w:highlight w:val="none"/>
              </w:rPr>
            </w:pPr>
            <w:r>
              <w:rPr>
                <w:rFonts w:hint="eastAsia" w:cs="Times New Roman"/>
                <w:b/>
                <w:color w:val="000000"/>
                <w:sz w:val="21"/>
                <w:szCs w:val="21"/>
                <w:highlight w:val="none"/>
              </w:rPr>
              <w:t xml:space="preserve">备注</w:t>
            </w:r>
            <w:r/>
          </w:p>
        </w:tc>
      </w:tr>
      <w:tr>
        <w:trPr>
          <w:jc w:val="center"/>
          <w:trHeight w:val="20"/>
        </w:trPr>
        <w:tc>
          <w:tcPr>
            <w:tcBorders>
              <w:top w:val="single" w:color="auto" w:sz="4" w:space="0"/>
              <w:left w:val="single" w:color="auto" w:sz="8" w:space="0"/>
              <w:right w:val="single" w:color="auto" w:sz="2" w:space="0"/>
            </w:tcBorders>
            <w:tcW w:w="184"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bCs/>
                <w:color w:val="000000"/>
                <w:sz w:val="21"/>
                <w:szCs w:val="21"/>
                <w:highlight w:val="none"/>
              </w:rPr>
              <w:t xml:space="preserve">1</w:t>
            </w:r>
            <w:r/>
          </w:p>
        </w:tc>
        <w:tc>
          <w:tcPr>
            <w:tcBorders>
              <w:top w:val="single" w:color="auto" w:sz="4" w:space="0"/>
              <w:left w:val="single" w:color="auto" w:sz="2" w:space="0"/>
              <w:right w:val="single" w:color="auto" w:sz="2" w:space="0"/>
            </w:tcBorders>
            <w:tcW w:w="372"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水文地质勘察</w:t>
            </w:r>
            <w:r/>
          </w:p>
        </w:tc>
        <w:tc>
          <w:tcPr>
            <w:tcBorders>
              <w:top w:val="single" w:color="auto" w:sz="4" w:space="0"/>
              <w:left w:val="single" w:color="auto" w:sz="2" w:space="0"/>
              <w:bottom w:val="single" w:color="auto" w:sz="4" w:space="0"/>
              <w:right w:val="single" w:color="auto" w:sz="4" w:space="0"/>
            </w:tcBorders>
            <w:tcW w:w="215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含水文地质勘察钻孔</w:t>
            </w:r>
            <w:r>
              <w:rPr>
                <w:rFonts w:hint="eastAsia" w:cs="Times New Roman"/>
                <w:color w:val="000000"/>
                <w:sz w:val="21"/>
                <w:szCs w:val="21"/>
                <w:highlight w:val="none"/>
              </w:rPr>
              <w:t xml:space="preserve">钻探，布设4个钻孔点位，单个点位钻孔深度达到40m，需钻探至中风化层</w:t>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160</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84"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left w:val="single" w:color="auto" w:sz="2" w:space="0"/>
              <w:right w:val="single" w:color="auto" w:sz="2" w:space="0"/>
            </w:tcBorders>
            <w:tcW w:w="372"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5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含水文地质勘察钻孔</w:t>
            </w:r>
            <w:r>
              <w:rPr>
                <w:rFonts w:hint="eastAsia" w:cs="Times New Roman"/>
                <w:color w:val="000000"/>
                <w:sz w:val="21"/>
                <w:szCs w:val="21"/>
                <w:highlight w:val="none"/>
              </w:rPr>
              <w:t xml:space="preserve">建设地下水井，用于抽水试验及流场确定等，布设4个钻孔点位，单个点位建井深度达到40m，需钻探至中风化层</w:t>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160</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84"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left w:val="single" w:color="auto" w:sz="2" w:space="0"/>
              <w:right w:val="single" w:color="auto" w:sz="2" w:space="0"/>
            </w:tcBorders>
            <w:tcW w:w="372"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5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土工试验，包括土壤有机质含量、含水率、孔隙度、渗透系数、土壤颗粒密度、土壤容重等参数的测定，每个点位采集</w:t>
            </w:r>
            <w:r>
              <w:rPr>
                <w:rFonts w:hint="eastAsia" w:cs="Times New Roman"/>
                <w:color w:val="000000"/>
                <w:sz w:val="21"/>
                <w:szCs w:val="21"/>
                <w:highlight w:val="none"/>
              </w:rPr>
              <w:t xml:space="preserve">4个土工试验样品，共需送检16个土工试验样品</w:t>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84"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left w:val="single" w:color="auto" w:sz="2" w:space="0"/>
              <w:right w:val="single" w:color="auto" w:sz="2" w:space="0"/>
            </w:tcBorders>
            <w:tcW w:w="372"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5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抽水试验，需要</w:t>
            </w:r>
            <w:r>
              <w:rPr>
                <w:rFonts w:hint="eastAsia" w:cs="Times New Roman"/>
                <w:color w:val="000000"/>
                <w:sz w:val="21"/>
                <w:szCs w:val="21"/>
                <w:highlight w:val="none"/>
              </w:rPr>
              <w:t xml:space="preserve">2个台班</w:t>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台班</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2" w:space="0"/>
            </w:tcBorders>
            <w:tcW w:w="184"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left w:val="single" w:color="auto" w:sz="2" w:space="0"/>
              <w:bottom w:val="single" w:color="auto" w:sz="4" w:space="0"/>
              <w:right w:val="single" w:color="auto" w:sz="2" w:space="0"/>
            </w:tcBorders>
            <w:tcW w:w="372"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5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完成水文地质勘察报告（明确地层结构、地下水特征、地下水与长江水力联系、区域地下水补给、径流、排泄规律，以及对应长江河段的水质现状，水文特征等）</w:t>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项</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bottom w:val="single" w:color="auto" w:sz="4" w:space="0"/>
              <w:right w:val="single" w:color="auto" w:sz="2" w:space="0"/>
            </w:tcBorders>
            <w:tcW w:w="184" w:type="pct"/>
            <w:vAlign w:val="center"/>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t xml:space="preserve">2</w:t>
            </w:r>
            <w:r/>
          </w:p>
        </w:tc>
        <w:tc>
          <w:tcPr>
            <w:tcBorders>
              <w:top w:val="single" w:color="auto" w:sz="4" w:space="0"/>
              <w:left w:val="single" w:color="auto" w:sz="2" w:space="0"/>
              <w:bottom w:val="single" w:color="auto" w:sz="4" w:space="0"/>
              <w:right w:val="single" w:color="auto" w:sz="2" w:space="0"/>
            </w:tcBorders>
            <w:tcW w:w="37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补充调查方案制定</w:t>
            </w:r>
            <w:r/>
          </w:p>
        </w:tc>
        <w:tc>
          <w:tcPr>
            <w:tcBorders>
              <w:top w:val="single" w:color="auto" w:sz="4" w:space="0"/>
              <w:left w:val="single" w:color="auto" w:sz="2" w:space="0"/>
              <w:bottom w:val="single" w:color="auto" w:sz="4" w:space="0"/>
              <w:right w:val="single" w:color="auto" w:sz="4" w:space="0"/>
            </w:tcBorders>
            <w:tcW w:w="215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根据祥宇农药地块的资料分析结果，制定祥宇农药地块的补充调查方案</w:t>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项</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2" w:space="0"/>
            </w:tcBorders>
            <w:tcW w:w="184" w:type="pct"/>
            <w:vAlign w:val="center"/>
            <w:vMerge w:val="restart"/>
            <w:textDirection w:val="lrTb"/>
            <w:noWrap w:val="false"/>
          </w:tcPr>
          <w:p>
            <w:pPr>
              <w:jc w:val="center"/>
              <w:spacing w:line="240" w:lineRule="auto"/>
              <w:rPr>
                <w:rFonts w:cs="Times New Roman"/>
                <w:bCs/>
                <w:color w:val="000000"/>
                <w:sz w:val="21"/>
                <w:szCs w:val="21"/>
                <w:highlight w:val="none"/>
              </w:rPr>
            </w:pPr>
            <w:r>
              <w:rPr>
                <w:rFonts w:cs="Times New Roman"/>
                <w:color w:val="000000"/>
                <w:sz w:val="21"/>
                <w:szCs w:val="21"/>
                <w:highlight w:val="none"/>
              </w:rPr>
              <w:t xml:space="preserve">3</w:t>
            </w:r>
            <w:r/>
          </w:p>
        </w:tc>
        <w:tc>
          <w:tcPr>
            <w:tcBorders>
              <w:top w:val="single" w:color="auto" w:sz="4" w:space="0"/>
              <w:left w:val="single" w:color="auto" w:sz="2" w:space="0"/>
              <w:right w:val="single" w:color="auto" w:sz="2" w:space="0"/>
            </w:tcBorders>
            <w:tcW w:w="372"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现场钻探及采样费用</w:t>
            </w:r>
            <w:r/>
          </w:p>
        </w:tc>
        <w:tc>
          <w:tcPr>
            <w:tcBorders>
              <w:top w:val="single" w:color="auto" w:sz="4" w:space="0"/>
              <w:left w:val="single" w:color="auto" w:sz="2" w:space="0"/>
              <w:bottom w:val="single" w:color="auto" w:sz="4" w:space="0"/>
              <w:right w:val="single" w:color="auto" w:sz="4" w:space="0"/>
            </w:tcBorders>
            <w:tcW w:w="215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祥宇农药地块补充调查的钻探及采样工作，包括土壤钻探以及土壤样品采集（钻探深度至少为</w:t>
            </w:r>
            <w:r>
              <w:rPr>
                <w:rFonts w:hint="eastAsia" w:cs="Times New Roman"/>
                <w:color w:val="000000"/>
                <w:sz w:val="21"/>
                <w:szCs w:val="21"/>
                <w:highlight w:val="none"/>
              </w:rPr>
              <w:t xml:space="preserve">6m，部分点位需要钻探至9m、30m</w:t>
            </w:r>
            <w:r>
              <w:rPr>
                <w:rFonts w:cs="Times New Roman"/>
                <w:color w:val="000000"/>
                <w:sz w:val="21"/>
                <w:szCs w:val="21"/>
                <w:highlight w:val="none"/>
              </w:rPr>
              <w:t xml:space="preserve">），土壤总钻探深度约</w:t>
            </w:r>
            <w:r>
              <w:rPr>
                <w:rFonts w:hint="eastAsia" w:cs="Times New Roman"/>
                <w:color w:val="000000"/>
                <w:sz w:val="21"/>
                <w:szCs w:val="21"/>
                <w:highlight w:val="none"/>
              </w:rPr>
              <w:t xml:space="preserve">150m</w:t>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150</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spacing w:line="240" w:lineRule="auto"/>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2" w:space="0"/>
            </w:tcBorders>
            <w:tcW w:w="18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bottom w:val="single" w:color="auto" w:sz="4" w:space="0"/>
              <w:right w:val="single" w:color="auto" w:sz="2" w:space="0"/>
            </w:tcBorders>
            <w:tcW w:w="372"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5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祥宇农药地块补充调查的钻探及采样工作，包括地下水建井以及地下水样品采集（建井深度至少为</w:t>
            </w:r>
            <w:r>
              <w:rPr>
                <w:rFonts w:hint="eastAsia" w:cs="Times New Roman"/>
                <w:color w:val="000000"/>
                <w:sz w:val="21"/>
                <w:szCs w:val="21"/>
                <w:highlight w:val="none"/>
              </w:rPr>
              <w:t xml:space="preserve">6m，部分点位建井深度需要达到9m、30m</w:t>
            </w:r>
            <w:r>
              <w:rPr>
                <w:rFonts w:cs="Times New Roman"/>
                <w:color w:val="000000"/>
                <w:sz w:val="21"/>
                <w:szCs w:val="21"/>
                <w:highlight w:val="none"/>
              </w:rPr>
              <w:t xml:space="preserve">），地下水总建井深度约</w:t>
            </w:r>
            <w:r>
              <w:rPr>
                <w:rFonts w:hint="eastAsia" w:cs="Times New Roman"/>
                <w:color w:val="000000"/>
                <w:sz w:val="21"/>
                <w:szCs w:val="21"/>
                <w:highlight w:val="none"/>
              </w:rPr>
              <w:t xml:space="preserve">180m</w:t>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180</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spacing w:line="240" w:lineRule="auto"/>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2" w:space="0"/>
            </w:tcBorders>
            <w:tcW w:w="184" w:type="pct"/>
            <w:vAlign w:val="center"/>
            <w:vMerge w:val="restart"/>
            <w:textDirection w:val="lrTb"/>
            <w:noWrap w:val="false"/>
          </w:tcPr>
          <w:p>
            <w:pPr>
              <w:jc w:val="center"/>
              <w:spacing w:line="240" w:lineRule="auto"/>
              <w:rPr>
                <w:rFonts w:cs="Times New Roman"/>
                <w:bCs/>
                <w:color w:val="000000"/>
                <w:sz w:val="21"/>
                <w:szCs w:val="21"/>
                <w:highlight w:val="none"/>
              </w:rPr>
            </w:pPr>
            <w:r>
              <w:rPr>
                <w:rFonts w:cs="Times New Roman"/>
                <w:color w:val="000000"/>
                <w:sz w:val="21"/>
                <w:szCs w:val="21"/>
                <w:highlight w:val="none"/>
              </w:rPr>
              <w:t xml:space="preserve">4</w:t>
            </w:r>
            <w:r/>
          </w:p>
        </w:tc>
        <w:tc>
          <w:tcPr>
            <w:tcBorders>
              <w:top w:val="single" w:color="auto" w:sz="4" w:space="0"/>
              <w:left w:val="single" w:color="auto" w:sz="2" w:space="0"/>
              <w:right w:val="single" w:color="auto" w:sz="2" w:space="0"/>
            </w:tcBorders>
            <w:tcW w:w="372"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bCs/>
                <w:color w:val="000000"/>
                <w:sz w:val="21"/>
                <w:szCs w:val="21"/>
                <w:highlight w:val="none"/>
              </w:rPr>
              <w:t xml:space="preserve">样品处理与检测费</w:t>
            </w:r>
            <w:r/>
          </w:p>
        </w:tc>
        <w:tc>
          <w:tcPr>
            <w:tcBorders>
              <w:top w:val="single" w:color="auto" w:sz="4" w:space="0"/>
              <w:left w:val="single" w:color="auto" w:sz="2" w:space="0"/>
              <w:bottom w:val="single" w:color="auto" w:sz="4" w:space="0"/>
              <w:right w:val="single" w:color="auto" w:sz="4" w:space="0"/>
            </w:tcBorders>
            <w:tcW w:w="215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土壤检测因子需包括pH、重金属</w:t>
            </w:r>
            <w:r>
              <w:rPr>
                <w:rFonts w:hint="eastAsia" w:cs="Times New Roman"/>
                <w:color w:val="000000"/>
                <w:sz w:val="21"/>
                <w:szCs w:val="21"/>
                <w:highlight w:val="none"/>
              </w:rPr>
              <w:t xml:space="preserve">7项、挥发性有机污染物65项、半挥发性有机污染物64项、特征污染物18项（需要包括：</w:t>
            </w:r>
            <w:r>
              <w:rPr>
                <w:rFonts w:cs="Times New Roman"/>
                <w:color w:val="000000"/>
                <w:sz w:val="21"/>
                <w:szCs w:val="21"/>
                <w:highlight w:val="none"/>
              </w:rPr>
              <w:t xml:space="preserve">石油烃（C</w:t>
            </w:r>
            <w:r>
              <w:rPr>
                <w:rFonts w:cs="Times New Roman"/>
                <w:color w:val="000000"/>
                <w:sz w:val="21"/>
                <w:szCs w:val="21"/>
                <w:highlight w:val="none"/>
                <w:vertAlign w:val="subscript"/>
              </w:rPr>
              <w:t xml:space="preserve">10</w:t>
            </w:r>
            <w:r>
              <w:rPr>
                <w:rFonts w:cs="Times New Roman"/>
                <w:color w:val="000000"/>
                <w:sz w:val="21"/>
                <w:szCs w:val="21"/>
                <w:highlight w:val="none"/>
              </w:rPr>
              <w:t xml:space="preserve">-C</w:t>
            </w:r>
            <w:r>
              <w:rPr>
                <w:rFonts w:cs="Times New Roman"/>
                <w:color w:val="000000"/>
                <w:sz w:val="21"/>
                <w:szCs w:val="21"/>
                <w:highlight w:val="none"/>
                <w:vertAlign w:val="subscript"/>
              </w:rPr>
              <w:t xml:space="preserve">40</w:t>
            </w:r>
            <w:r>
              <w:rPr>
                <w:rFonts w:cs="Times New Roman"/>
                <w:color w:val="000000"/>
                <w:sz w:val="21"/>
                <w:szCs w:val="21"/>
                <w:highlight w:val="none"/>
              </w:rPr>
              <w:t xml:space="preserve">）、苯乙酮、1,3,5-三甲基苯、锌、铝、硒、银、氟化物、丙酮、对苯二酚、乙醚、正丁醇、甲氰菊酯、氯氰菊酯、四氢呋喃、乙酸乙酯、噻吩磺隆、烟嘧磺隆</w:t>
            </w:r>
            <w:r>
              <w:rPr>
                <w:rFonts w:hint="eastAsia" w:cs="Times New Roman"/>
                <w:color w:val="000000"/>
                <w:sz w:val="21"/>
                <w:szCs w:val="21"/>
                <w:highlight w:val="none"/>
              </w:rPr>
              <w:t xml:space="preserve">等）</w:t>
            </w:r>
            <w:r>
              <w:rPr>
                <w:rFonts w:cs="Times New Roman"/>
                <w:color w:val="000000"/>
                <w:sz w:val="21"/>
                <w:szCs w:val="21"/>
                <w:highlight w:val="none"/>
              </w:rPr>
              <w:t xml:space="preserve">，土壤样品约</w:t>
            </w:r>
            <w:r>
              <w:rPr>
                <w:rFonts w:hint="eastAsia" w:cs="Times New Roman"/>
                <w:color w:val="000000"/>
                <w:sz w:val="21"/>
                <w:szCs w:val="21"/>
                <w:highlight w:val="none"/>
              </w:rPr>
              <w:t xml:space="preserve">90个</w:t>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90</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spacing w:line="240" w:lineRule="auto"/>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2" w:space="0"/>
            </w:tcBorders>
            <w:tcW w:w="18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bottom w:val="single" w:color="auto" w:sz="4" w:space="0"/>
              <w:right w:val="single" w:color="auto" w:sz="2" w:space="0"/>
            </w:tcBorders>
            <w:tcW w:w="372"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50"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地下水</w:t>
            </w:r>
            <w:r>
              <w:rPr>
                <w:rFonts w:cs="Times New Roman"/>
                <w:color w:val="000000"/>
                <w:sz w:val="21"/>
                <w:szCs w:val="21"/>
                <w:highlight w:val="none"/>
              </w:rPr>
              <w:t xml:space="preserve">的检测因子需包括pH、重金属</w:t>
            </w:r>
            <w:r>
              <w:rPr>
                <w:rFonts w:hint="eastAsia" w:cs="Times New Roman"/>
                <w:color w:val="000000"/>
                <w:sz w:val="21"/>
                <w:szCs w:val="21"/>
                <w:highlight w:val="none"/>
              </w:rPr>
              <w:t xml:space="preserve">7项、挥发性有机污染物65项、半挥发性有机污染物64项、特征污染物18项（需要包括：</w:t>
            </w:r>
            <w:r>
              <w:rPr>
                <w:rFonts w:cs="Times New Roman"/>
                <w:color w:val="000000"/>
                <w:sz w:val="21"/>
                <w:szCs w:val="21"/>
                <w:highlight w:val="none"/>
              </w:rPr>
              <w:t xml:space="preserve">石油烃（C</w:t>
            </w:r>
            <w:r>
              <w:rPr>
                <w:rFonts w:cs="Times New Roman"/>
                <w:color w:val="000000"/>
                <w:sz w:val="21"/>
                <w:szCs w:val="21"/>
                <w:highlight w:val="none"/>
                <w:vertAlign w:val="subscript"/>
              </w:rPr>
              <w:t xml:space="preserve">10</w:t>
            </w:r>
            <w:r>
              <w:rPr>
                <w:rFonts w:cs="Times New Roman"/>
                <w:color w:val="000000"/>
                <w:sz w:val="21"/>
                <w:szCs w:val="21"/>
                <w:highlight w:val="none"/>
              </w:rPr>
              <w:t xml:space="preserve">-C</w:t>
            </w:r>
            <w:r>
              <w:rPr>
                <w:rFonts w:cs="Times New Roman"/>
                <w:color w:val="000000"/>
                <w:sz w:val="21"/>
                <w:szCs w:val="21"/>
                <w:highlight w:val="none"/>
                <w:vertAlign w:val="subscript"/>
              </w:rPr>
              <w:t xml:space="preserve">40</w:t>
            </w:r>
            <w:r>
              <w:rPr>
                <w:rFonts w:cs="Times New Roman"/>
                <w:color w:val="000000"/>
                <w:sz w:val="21"/>
                <w:szCs w:val="21"/>
                <w:highlight w:val="none"/>
              </w:rPr>
              <w:t xml:space="preserve">）、苯乙酮、1,3,5-三甲基苯、锌、铝、硒、银、氟化物、丙酮、对苯二酚、乙醚、正丁醇、甲氰菊酯、氯氰菊酯、四氢呋喃、乙酸乙酯、噻吩磺隆、烟嘧磺隆</w:t>
            </w:r>
            <w:r>
              <w:rPr>
                <w:rFonts w:hint="eastAsia" w:cs="Times New Roman"/>
                <w:color w:val="000000"/>
                <w:sz w:val="21"/>
                <w:szCs w:val="21"/>
                <w:highlight w:val="none"/>
              </w:rPr>
              <w:t xml:space="preserve">等）、《地下水质量标准》(GBT14848-2017)中的感官性状无机指标等25项等。考虑</w:t>
            </w:r>
            <w:r>
              <w:rPr>
                <w:rFonts w:cs="Times New Roman"/>
                <w:color w:val="000000"/>
                <w:sz w:val="21"/>
                <w:szCs w:val="21"/>
                <w:highlight w:val="none"/>
              </w:rPr>
              <w:t xml:space="preserve">到地块内涉及</w:t>
            </w:r>
            <w:r>
              <w:rPr>
                <w:rFonts w:hint="eastAsia" w:cs="Times New Roman"/>
                <w:color w:val="000000"/>
                <w:sz w:val="21"/>
                <w:szCs w:val="21"/>
                <w:highlight w:val="none"/>
              </w:rPr>
              <w:t xml:space="preserve">DNAPL类物质超标，根据技术规范要求需要分别在水位线以下0.5m和井管底部采集地下水样品</w:t>
            </w:r>
            <w:r>
              <w:rPr>
                <w:rFonts w:cs="Times New Roman"/>
                <w:color w:val="000000"/>
                <w:sz w:val="21"/>
                <w:szCs w:val="21"/>
                <w:highlight w:val="none"/>
              </w:rPr>
              <w:t xml:space="preserve">，地下水样品约</w:t>
            </w:r>
            <w:r>
              <w:rPr>
                <w:rFonts w:hint="eastAsia" w:cs="Times New Roman"/>
                <w:color w:val="000000"/>
                <w:sz w:val="21"/>
                <w:szCs w:val="21"/>
                <w:highlight w:val="none"/>
              </w:rPr>
              <w:t xml:space="preserve">28个</w:t>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28</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spacing w:line="240" w:lineRule="auto"/>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2" w:space="0"/>
            </w:tcBorders>
            <w:tcW w:w="184"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5</w:t>
            </w:r>
            <w:r/>
          </w:p>
        </w:tc>
        <w:tc>
          <w:tcPr>
            <w:tcBorders>
              <w:top w:val="single" w:color="auto" w:sz="2" w:space="0"/>
              <w:left w:val="single" w:color="auto" w:sz="2" w:space="0"/>
              <w:right w:val="single" w:color="auto" w:sz="2" w:space="0"/>
            </w:tcBorders>
            <w:tcW w:w="372" w:type="pct"/>
            <w:vAlign w:val="center"/>
            <w:vMerge w:val="restart"/>
            <w:textDirection w:val="lrTb"/>
            <w:noWrap w:val="false"/>
          </w:tcPr>
          <w:p>
            <w:pPr>
              <w:jc w:val="center"/>
              <w:spacing w:line="240" w:lineRule="auto"/>
              <w:rPr>
                <w:rFonts w:cs="Times New Roman"/>
                <w:bCs/>
                <w:color w:val="000000"/>
                <w:sz w:val="21"/>
                <w:szCs w:val="21"/>
                <w:highlight w:val="none"/>
              </w:rPr>
            </w:pPr>
            <w:r>
              <w:rPr>
                <w:rFonts w:cs="Times New Roman"/>
                <w:color w:val="000000"/>
                <w:sz w:val="21"/>
                <w:szCs w:val="21"/>
                <w:highlight w:val="none"/>
              </w:rPr>
              <w:t xml:space="preserve">污染物入江风险评估</w:t>
            </w:r>
            <w:r/>
          </w:p>
        </w:tc>
        <w:tc>
          <w:tcPr>
            <w:tcBorders>
              <w:top w:val="single" w:color="auto" w:sz="2" w:space="0"/>
              <w:left w:val="single" w:color="auto" w:sz="2" w:space="0"/>
              <w:bottom w:val="single" w:color="auto" w:sz="2" w:space="0"/>
              <w:right w:val="single" w:color="auto" w:sz="2" w:space="0"/>
            </w:tcBorders>
            <w:tcW w:w="215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开展</w:t>
            </w:r>
            <w:r>
              <w:rPr>
                <w:rFonts w:cs="Times New Roman"/>
                <w:bCs/>
                <w:color w:val="000000"/>
                <w:sz w:val="21"/>
                <w:szCs w:val="21"/>
                <w:highlight w:val="none"/>
              </w:rPr>
              <w:t xml:space="preserve">入江风险识别与途径分析，</w:t>
            </w:r>
            <w:r>
              <w:rPr>
                <w:rFonts w:hint="eastAsia" w:cs="Times New Roman"/>
                <w:bCs/>
                <w:color w:val="000000"/>
                <w:sz w:val="21"/>
                <w:szCs w:val="21"/>
                <w:highlight w:val="none"/>
              </w:rPr>
              <w:t xml:space="preserve">结合地块利用类型，识别入江风险因素，分析污染物入江的主要途径及可行性，包括地块污染本身风险、水文水力联系风险、污染物入江途径风险、敏感目标影响风险、暴雨与汛期风险、开发建设新增风险等</w:t>
            </w:r>
            <w:r/>
          </w:p>
        </w:tc>
        <w:tc>
          <w:tcPr>
            <w:tcBorders>
              <w:top w:val="single" w:color="auto" w:sz="4" w:space="0"/>
              <w:left w:val="single" w:color="auto" w:sz="4" w:space="0"/>
              <w:right w:val="single" w:color="auto" w:sz="4" w:space="0"/>
            </w:tcBorders>
            <w:tcW w:w="315"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项</w:t>
            </w:r>
            <w:r/>
          </w:p>
        </w:tc>
        <w:tc>
          <w:tcPr>
            <w:tcBorders>
              <w:top w:val="single" w:color="auto" w:sz="4" w:space="0"/>
              <w:left w:val="single" w:color="auto" w:sz="4" w:space="0"/>
              <w:right w:val="single" w:color="auto" w:sz="4" w:space="0"/>
            </w:tcBorders>
            <w:tcW w:w="342"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right w:val="single" w:color="auto" w:sz="4" w:space="0"/>
            </w:tcBorders>
            <w:tcW w:w="532"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right w:val="single" w:color="auto" w:sz="4" w:space="0"/>
            </w:tcBorders>
            <w:tcW w:w="571"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right w:val="single" w:color="auto" w:sz="4" w:space="0"/>
            </w:tcBorders>
            <w:tcW w:w="532" w:type="pct"/>
            <w:vAlign w:val="center"/>
            <w:vMerge w:val="restart"/>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8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right w:val="single" w:color="auto" w:sz="2" w:space="0"/>
            </w:tcBorders>
            <w:tcW w:w="372"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5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开展</w:t>
            </w:r>
            <w:r>
              <w:rPr>
                <w:rFonts w:hint="eastAsia" w:cs="Times New Roman"/>
                <w:color w:val="000000"/>
                <w:sz w:val="21"/>
                <w:szCs w:val="21"/>
                <w:highlight w:val="none"/>
              </w:rPr>
              <w:t xml:space="preserve">风险计算与等级判定，采用定性与定量相结合的方法，计算风险指标，判定地块入江风险等级。风险计算采用地下水模拟软件GMS根据MODFLOW模块构建三维有限差分地下水流模型进行计算，需要结合含水层概化和边界条件，开展地下水水流模拟及地下水溶质运移模拟。</w:t>
            </w:r>
            <w:r/>
          </w:p>
        </w:tc>
        <w:tc>
          <w:tcPr>
            <w:tcBorders>
              <w:left w:val="single" w:color="auto" w:sz="4" w:space="0"/>
              <w:right w:val="single" w:color="auto" w:sz="4" w:space="0"/>
            </w:tcBorders>
            <w:tcW w:w="315"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34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3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71"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32"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8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right w:val="single" w:color="auto" w:sz="2" w:space="0"/>
            </w:tcBorders>
            <w:tcW w:w="372"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5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开展</w:t>
            </w:r>
            <w:r>
              <w:rPr>
                <w:rFonts w:cs="Times New Roman"/>
                <w:bCs/>
                <w:color w:val="000000"/>
                <w:sz w:val="21"/>
                <w:szCs w:val="21"/>
                <w:highlight w:val="none"/>
              </w:rPr>
              <w:t xml:space="preserve">入江风险防控措施，</w:t>
            </w:r>
            <w:r>
              <w:rPr>
                <w:rFonts w:hint="eastAsia" w:cs="Times New Roman"/>
                <w:bCs/>
                <w:color w:val="000000"/>
                <w:sz w:val="21"/>
                <w:szCs w:val="21"/>
                <w:highlight w:val="none"/>
              </w:rPr>
              <w:t xml:space="preserve">结合风险等级及地块利用类型，制定针对性、可操作的源头管控、过程拦截、应急处置及长效监测措施</w:t>
            </w:r>
            <w:r/>
          </w:p>
        </w:tc>
        <w:tc>
          <w:tcPr>
            <w:tcBorders>
              <w:left w:val="single" w:color="auto" w:sz="4" w:space="0"/>
              <w:right w:val="single" w:color="auto" w:sz="4" w:space="0"/>
            </w:tcBorders>
            <w:tcW w:w="315"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34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3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71"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32"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2" w:space="0"/>
            </w:tcBorders>
            <w:tcW w:w="18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bottom w:val="single" w:color="auto" w:sz="2" w:space="0"/>
              <w:right w:val="single" w:color="auto" w:sz="2" w:space="0"/>
            </w:tcBorders>
            <w:tcW w:w="372"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5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开展</w:t>
            </w:r>
            <w:r>
              <w:rPr>
                <w:rFonts w:cs="Times New Roman"/>
                <w:bCs/>
                <w:color w:val="000000"/>
                <w:sz w:val="21"/>
                <w:szCs w:val="21"/>
                <w:highlight w:val="none"/>
              </w:rPr>
              <w:t xml:space="preserve">风险分析报告编制，</w:t>
            </w:r>
            <w:r>
              <w:rPr>
                <w:rFonts w:hint="eastAsia" w:cs="Times New Roman"/>
                <w:bCs/>
                <w:color w:val="000000"/>
                <w:sz w:val="21"/>
                <w:szCs w:val="21"/>
                <w:highlight w:val="none"/>
              </w:rPr>
              <w:t xml:space="preserve">编制入江风险分析报告，作为地块开发利用及监管的依据</w:t>
            </w:r>
            <w:r/>
          </w:p>
        </w:tc>
        <w:tc>
          <w:tcPr>
            <w:tcBorders>
              <w:left w:val="single" w:color="auto" w:sz="4" w:space="0"/>
              <w:bottom w:val="single" w:color="auto" w:sz="4" w:space="0"/>
              <w:right w:val="single" w:color="auto" w:sz="4" w:space="0"/>
            </w:tcBorders>
            <w:tcW w:w="315"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34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3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71"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32"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2" w:space="0"/>
            </w:tcBorders>
            <w:tcW w:w="184"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6</w:t>
            </w:r>
            <w:r/>
          </w:p>
        </w:tc>
        <w:tc>
          <w:tcPr>
            <w:tcBorders>
              <w:top w:val="single" w:color="auto" w:sz="2" w:space="0"/>
              <w:left w:val="single" w:color="auto" w:sz="2" w:space="0"/>
              <w:right w:val="single" w:color="auto" w:sz="2" w:space="0"/>
            </w:tcBorders>
            <w:tcW w:w="372" w:type="pct"/>
            <w:vAlign w:val="center"/>
            <w:vMerge w:val="restart"/>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t xml:space="preserve">风险评估报告编制</w:t>
            </w:r>
            <w:r/>
          </w:p>
        </w:tc>
        <w:tc>
          <w:tcPr>
            <w:tcBorders>
              <w:top w:val="single" w:color="auto" w:sz="2" w:space="0"/>
              <w:left w:val="single" w:color="auto" w:sz="2" w:space="0"/>
              <w:bottom w:val="single" w:color="auto" w:sz="2" w:space="0"/>
              <w:right w:val="single" w:color="auto" w:sz="2" w:space="0"/>
            </w:tcBorders>
            <w:tcW w:w="2150"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开展危害识别，收集土壤污染状况调查阶段获得的相关资料和数据，掌握地块土壤和地下水中关注污染物的浓度分布，明确规划土地利用方式，分析可能的敏感受体，如儿童、成人、地下水体等。</w:t>
            </w:r>
            <w:r/>
          </w:p>
        </w:tc>
        <w:tc>
          <w:tcPr>
            <w:tcBorders>
              <w:top w:val="single" w:color="auto" w:sz="4" w:space="0"/>
              <w:left w:val="single" w:color="auto" w:sz="4" w:space="0"/>
              <w:right w:val="single" w:color="auto" w:sz="4" w:space="0"/>
            </w:tcBorders>
            <w:tcW w:w="315"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项</w:t>
            </w:r>
            <w:r/>
          </w:p>
        </w:tc>
        <w:tc>
          <w:tcPr>
            <w:tcBorders>
              <w:top w:val="single" w:color="auto" w:sz="4" w:space="0"/>
              <w:left w:val="single" w:color="auto" w:sz="4" w:space="0"/>
              <w:right w:val="single" w:color="auto" w:sz="4" w:space="0"/>
            </w:tcBorders>
            <w:tcW w:w="342"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right w:val="single" w:color="auto" w:sz="4" w:space="0"/>
            </w:tcBorders>
            <w:tcW w:w="532"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right w:val="single" w:color="auto" w:sz="4" w:space="0"/>
            </w:tcBorders>
            <w:tcW w:w="571"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right w:val="single" w:color="auto" w:sz="4" w:space="0"/>
            </w:tcBorders>
            <w:tcW w:w="532" w:type="pct"/>
            <w:vAlign w:val="center"/>
            <w:vMerge w:val="restart"/>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8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right w:val="single" w:color="auto" w:sz="2" w:space="0"/>
            </w:tcBorders>
            <w:tcW w:w="372"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50"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开展暴露评估，在危害识别的基础上，分析地块内关注污染物迁移和危害敏感受体的可能性，确定地块地下水污染物的主要暴露途径和暴露评估模型，确定评估模型参数取值，计算敏感人群对地下水中污染物的暴露量。</w:t>
            </w:r>
            <w:r/>
          </w:p>
        </w:tc>
        <w:tc>
          <w:tcPr>
            <w:tcBorders>
              <w:left w:val="single" w:color="auto" w:sz="4" w:space="0"/>
              <w:right w:val="single" w:color="auto" w:sz="4" w:space="0"/>
            </w:tcBorders>
            <w:tcW w:w="315"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34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3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71"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32"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8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right w:val="single" w:color="auto" w:sz="2" w:space="0"/>
            </w:tcBorders>
            <w:tcW w:w="372"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50"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开展毒性评估，在危害识别的基础上，分析关注污染物对人体健康的危害效应，包括致癌效应和非致癌效应，确定与关注污染物相关的参数，包括参考剂量、参考浓度、致癌斜率因子和呼吸吸入单位致癌因子等。</w:t>
            </w:r>
            <w:r/>
          </w:p>
        </w:tc>
        <w:tc>
          <w:tcPr>
            <w:tcBorders>
              <w:left w:val="single" w:color="auto" w:sz="4" w:space="0"/>
              <w:right w:val="single" w:color="auto" w:sz="4" w:space="0"/>
            </w:tcBorders>
            <w:tcW w:w="315"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34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3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71"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32"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8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right w:val="single" w:color="auto" w:sz="2" w:space="0"/>
            </w:tcBorders>
            <w:tcW w:w="372"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50"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开展风险表征，在暴露评估和毒性评估的基础上，采用风险评估模型计算土壤和地下水中单一污染物经单一途径的致癌风险和危害商，计算单一污染物的总致癌风险和危害商，进行不确定性分析。</w:t>
            </w:r>
            <w:r/>
          </w:p>
        </w:tc>
        <w:tc>
          <w:tcPr>
            <w:tcBorders>
              <w:left w:val="single" w:color="auto" w:sz="4" w:space="0"/>
              <w:right w:val="single" w:color="auto" w:sz="4" w:space="0"/>
            </w:tcBorders>
            <w:tcW w:w="315"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34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3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71"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32"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75"/>
        </w:trPr>
        <w:tc>
          <w:tcPr>
            <w:tcBorders>
              <w:left w:val="single" w:color="auto" w:sz="8" w:space="0"/>
              <w:bottom w:val="single" w:color="auto" w:sz="4" w:space="0"/>
              <w:right w:val="single" w:color="auto" w:sz="2" w:space="0"/>
            </w:tcBorders>
            <w:tcW w:w="18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bottom w:val="single" w:color="auto" w:sz="2" w:space="0"/>
              <w:right w:val="single" w:color="auto" w:sz="2" w:space="0"/>
            </w:tcBorders>
            <w:tcW w:w="372"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50"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开展土壤和地下水风险控制值的计算，在风险表征的基础上，判断计算得到的风险值是否超过可接受风险水平。如地块风险评估结果未超过可接受风险水平，则结束风险评估工作；如地块风险评估结果超过可接受风险水平，则计算土壤、地下水中关注污染物的风险控制值；如调查结果表明，土壤中关注污染物可迁移进入地下水，则计算保护地下水的土壤风险控制值；根据计算结果，提出关注污染物的土壤和地下水风险控制值。</w:t>
            </w:r>
            <w:r/>
          </w:p>
        </w:tc>
        <w:tc>
          <w:tcPr>
            <w:tcBorders>
              <w:left w:val="single" w:color="auto" w:sz="4" w:space="0"/>
              <w:bottom w:val="single" w:color="auto" w:sz="4" w:space="0"/>
              <w:right w:val="single" w:color="auto" w:sz="4" w:space="0"/>
            </w:tcBorders>
            <w:tcW w:w="315"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34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3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71"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32"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4" w:space="0"/>
            </w:tcBorders>
            <w:tcW w:w="184"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7</w:t>
            </w:r>
            <w:r/>
          </w:p>
        </w:tc>
        <w:tc>
          <w:tcPr>
            <w:tcBorders>
              <w:top w:val="single" w:color="auto" w:sz="4" w:space="0"/>
              <w:left w:val="single" w:color="auto" w:sz="4" w:space="0"/>
              <w:right w:val="single" w:color="auto" w:sz="4" w:space="0"/>
            </w:tcBorders>
            <w:tcW w:w="372"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bCs/>
                <w:color w:val="000000"/>
                <w:sz w:val="21"/>
                <w:szCs w:val="21"/>
                <w:highlight w:val="none"/>
              </w:rPr>
              <w:t xml:space="preserve">风险评估报告专家费、会务费、</w:t>
            </w:r>
            <w:r>
              <w:rPr>
                <w:rFonts w:hint="eastAsia" w:eastAsia="宋体" w:cs="Times New Roman"/>
                <w:bCs/>
                <w:color w:val="000000"/>
                <w:sz w:val="21"/>
                <w:szCs w:val="21"/>
                <w:highlight w:val="none"/>
                <w:lang w:val="en-US" w:eastAsia="zh-CN"/>
              </w:rPr>
              <w:t xml:space="preserve">彩色</w:t>
            </w:r>
            <w:r>
              <w:rPr>
                <w:rFonts w:cs="Times New Roman"/>
                <w:bCs/>
                <w:color w:val="000000"/>
                <w:sz w:val="21"/>
                <w:szCs w:val="21"/>
                <w:highlight w:val="none"/>
              </w:rPr>
              <w:t xml:space="preserve">打印费等</w:t>
            </w:r>
            <w:r/>
          </w:p>
        </w:tc>
        <w:tc>
          <w:tcPr>
            <w:tcBorders>
              <w:top w:val="single" w:color="auto" w:sz="2" w:space="0"/>
              <w:left w:val="single" w:color="auto" w:sz="4" w:space="0"/>
              <w:bottom w:val="single" w:color="auto" w:sz="4" w:space="0"/>
              <w:right w:val="single" w:color="auto" w:sz="4" w:space="0"/>
            </w:tcBorders>
            <w:tcW w:w="2150"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bCs/>
                <w:color w:val="000000"/>
                <w:sz w:val="21"/>
                <w:szCs w:val="21"/>
                <w:highlight w:val="none"/>
              </w:rPr>
              <w:t xml:space="preserve">市生态环境局至少邀请5名业内专家及相关部门领导，组织召开专家评审会</w:t>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项</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4" w:space="0"/>
            </w:tcBorders>
            <w:tcW w:w="18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372"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2" w:space="0"/>
              <w:left w:val="single" w:color="auto" w:sz="4" w:space="0"/>
              <w:bottom w:val="single" w:color="auto" w:sz="4" w:space="0"/>
              <w:right w:val="single" w:color="auto" w:sz="4" w:space="0"/>
            </w:tcBorders>
            <w:tcW w:w="2150"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省生态环境厅至少邀请5名业内专家及相关部门领导，组织召开专家评审会</w:t>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项</w:t>
            </w:r>
            <w:r/>
          </w:p>
        </w:tc>
        <w:tc>
          <w:tcPr>
            <w:tcBorders>
              <w:top w:val="single" w:color="auto" w:sz="4" w:space="0"/>
              <w:left w:val="single" w:color="auto" w:sz="4" w:space="0"/>
              <w:bottom w:val="single" w:color="auto" w:sz="4" w:space="0"/>
              <w:right w:val="single" w:color="auto" w:sz="4" w:space="0"/>
            </w:tcBorders>
            <w:tcW w:w="342"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1257"/>
        </w:trPr>
        <w:tc>
          <w:tcPr>
            <w:gridSpan w:val="6"/>
            <w:tcBorders>
              <w:top w:val="single" w:color="auto" w:sz="2" w:space="0"/>
              <w:left w:val="single" w:color="auto" w:sz="2" w:space="0"/>
              <w:bottom w:val="single" w:color="auto" w:sz="4" w:space="0"/>
              <w:right w:val="single" w:color="auto" w:sz="4" w:space="0"/>
            </w:tcBorders>
            <w:tcW w:w="3896"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w:t>
            </w:r>
            <w:r/>
          </w:p>
        </w:tc>
      </w:tr>
    </w:tbl>
    <w:p>
      <w:pPr>
        <w:jc w:val="center"/>
        <w:rPr>
          <w:rFonts w:cs="Times New Roman"/>
          <w:b/>
          <w:bCs/>
          <w:color w:val="000000"/>
          <w:highlight w:val="none"/>
        </w:rPr>
      </w:pPr>
      <w:r>
        <w:rPr>
          <w:rFonts w:cs="Times New Roman"/>
          <w:b/>
          <w:bCs/>
          <w:color w:val="000000"/>
          <w:highlight w:val="none"/>
        </w:rPr>
        <w:br w:type="page" w:clear="all"/>
      </w:r>
      <w:r>
        <w:rPr>
          <w:rFonts w:cs="Times New Roman"/>
          <w:b/>
          <w:bCs/>
          <w:color w:val="000000"/>
          <w:highlight w:val="none"/>
        </w:rPr>
        <w:t xml:space="preserve">表3  原南京科思化学有限公司地块风险评估项目费用报价明细表</w:t>
      </w:r>
      <w:r/>
    </w:p>
    <w:tbl>
      <w:tblPr>
        <w:tblStyle w:val="727"/>
        <w:tblW w:w="5035" w:type="pct"/>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autofit"/>
        <w:tblCellMar>
          <w:left w:w="0" w:type="dxa"/>
          <w:top w:w="0" w:type="dxa"/>
          <w:right w:w="0" w:type="dxa"/>
          <w:bottom w:w="0" w:type="dxa"/>
        </w:tblCellMar>
        <w:tblLook w:val="04A0" w:firstRow="1" w:lastRow="0" w:firstColumn="1" w:lastColumn="0" w:noHBand="0" w:noVBand="1"/>
      </w:tblPr>
      <w:tblGrid>
        <w:gridCol w:w="519"/>
        <w:gridCol w:w="915"/>
        <w:gridCol w:w="6198"/>
        <w:gridCol w:w="910"/>
        <w:gridCol w:w="963"/>
        <w:gridCol w:w="1520"/>
        <w:gridCol w:w="1639"/>
        <w:gridCol w:w="1458"/>
      </w:tblGrid>
      <w:tr>
        <w:trPr>
          <w:jc w:val="center"/>
          <w:trHeight w:val="20"/>
        </w:trPr>
        <w:tc>
          <w:tcPr>
            <w:tcBorders>
              <w:top w:val="single" w:color="auto" w:sz="8" w:space="0"/>
              <w:left w:val="single" w:color="auto" w:sz="8" w:space="0"/>
              <w:bottom w:val="single" w:color="auto" w:sz="2" w:space="0"/>
              <w:right w:val="single" w:color="auto" w:sz="2" w:space="0"/>
            </w:tcBorders>
            <w:tcW w:w="184"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序号</w:t>
            </w:r>
            <w:r/>
          </w:p>
        </w:tc>
        <w:tc>
          <w:tcPr>
            <w:tcBorders>
              <w:top w:val="single" w:color="auto" w:sz="8" w:space="0"/>
              <w:left w:val="single" w:color="auto" w:sz="2" w:space="0"/>
              <w:bottom w:val="single" w:color="auto" w:sz="2" w:space="0"/>
              <w:right w:val="single" w:color="auto" w:sz="2" w:space="0"/>
            </w:tcBorders>
            <w:tcW w:w="324"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工作</w:t>
            </w:r>
            <w:r>
              <w:rPr>
                <w:rFonts w:hint="eastAsia" w:cs="Times New Roman"/>
                <w:b/>
                <w:color w:val="000000"/>
                <w:sz w:val="21"/>
                <w:szCs w:val="21"/>
                <w:highlight w:val="none"/>
              </w:rPr>
              <w:t xml:space="preserve">分类</w:t>
            </w:r>
            <w:r/>
          </w:p>
        </w:tc>
        <w:tc>
          <w:tcPr>
            <w:tcBorders>
              <w:top w:val="single" w:color="auto" w:sz="8" w:space="0"/>
              <w:left w:val="single" w:color="auto" w:sz="2" w:space="0"/>
              <w:bottom w:val="single" w:color="auto" w:sz="2" w:space="0"/>
              <w:right w:val="single" w:color="auto" w:sz="2" w:space="0"/>
            </w:tcBorders>
            <w:tcW w:w="2194"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工作内容</w:t>
            </w:r>
            <w:r/>
          </w:p>
        </w:tc>
        <w:tc>
          <w:tcPr>
            <w:tcBorders>
              <w:top w:val="single" w:color="auto" w:sz="8" w:space="0"/>
              <w:left w:val="single" w:color="auto" w:sz="2" w:space="0"/>
              <w:bottom w:val="single" w:color="auto" w:sz="4" w:space="0"/>
              <w:right w:val="single" w:color="auto" w:sz="2" w:space="0"/>
            </w:tcBorders>
            <w:tcW w:w="322"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计量</w:t>
            </w:r>
            <w:r/>
          </w:p>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单位</w:t>
            </w:r>
            <w:r/>
          </w:p>
        </w:tc>
        <w:tc>
          <w:tcPr>
            <w:tcBorders>
              <w:top w:val="single" w:color="auto" w:sz="8" w:space="0"/>
              <w:left w:val="single" w:color="auto" w:sz="2" w:space="0"/>
              <w:bottom w:val="single" w:color="auto" w:sz="4" w:space="0"/>
              <w:right w:val="single" w:color="auto" w:sz="2" w:space="0"/>
            </w:tcBorders>
            <w:tcW w:w="341"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数量</w:t>
            </w:r>
            <w:r/>
          </w:p>
        </w:tc>
        <w:tc>
          <w:tcPr>
            <w:tcBorders>
              <w:top w:val="single" w:color="auto" w:sz="8" w:space="0"/>
              <w:left w:val="single" w:color="auto" w:sz="2" w:space="0"/>
              <w:bottom w:val="single" w:color="auto" w:sz="4" w:space="0"/>
              <w:right w:val="single" w:color="auto" w:sz="2" w:space="0"/>
            </w:tcBorders>
            <w:tcW w:w="537"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单价</w:t>
            </w:r>
            <w:r/>
          </w:p>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（万元）</w:t>
            </w:r>
            <w:r/>
          </w:p>
        </w:tc>
        <w:tc>
          <w:tcPr>
            <w:tcBorders>
              <w:top w:val="single" w:color="auto" w:sz="8" w:space="0"/>
              <w:left w:val="single" w:color="auto" w:sz="2" w:space="0"/>
              <w:bottom w:val="single" w:color="auto" w:sz="4" w:space="0"/>
              <w:right w:val="single" w:color="auto" w:sz="8" w:space="0"/>
            </w:tcBorders>
            <w:tcW w:w="580" w:type="pct"/>
            <w:vAlign w:val="center"/>
            <w:textDirection w:val="lrTb"/>
            <w:noWrap w:val="false"/>
          </w:tcPr>
          <w:p>
            <w:pPr>
              <w:jc w:val="center"/>
              <w:spacing w:line="240" w:lineRule="auto"/>
              <w:rPr>
                <w:rFonts w:cs="Times New Roman"/>
                <w:b/>
                <w:color w:val="000000"/>
                <w:sz w:val="21"/>
                <w:szCs w:val="21"/>
                <w:highlight w:val="none"/>
              </w:rPr>
            </w:pPr>
            <w:r>
              <w:rPr>
                <w:rFonts w:hint="eastAsia" w:cs="Times New Roman"/>
                <w:b/>
                <w:color w:val="000000"/>
                <w:sz w:val="21"/>
                <w:szCs w:val="21"/>
                <w:highlight w:val="none"/>
              </w:rPr>
              <w:t xml:space="preserve">小计</w:t>
            </w:r>
            <w:r/>
          </w:p>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（万元）</w:t>
            </w:r>
            <w:r/>
          </w:p>
        </w:tc>
        <w:tc>
          <w:tcPr>
            <w:tcBorders>
              <w:top w:val="single" w:color="auto" w:sz="8" w:space="0"/>
              <w:left w:val="single" w:color="auto" w:sz="2" w:space="0"/>
              <w:bottom w:val="single" w:color="auto" w:sz="4" w:space="0"/>
              <w:right w:val="single" w:color="auto" w:sz="8" w:space="0"/>
            </w:tcBorders>
            <w:tcW w:w="516" w:type="pct"/>
            <w:vAlign w:val="center"/>
            <w:textDirection w:val="lrTb"/>
            <w:noWrap w:val="false"/>
          </w:tcPr>
          <w:p>
            <w:pPr>
              <w:jc w:val="center"/>
              <w:spacing w:line="240" w:lineRule="auto"/>
              <w:rPr>
                <w:rFonts w:cs="Times New Roman"/>
                <w:b/>
                <w:color w:val="000000"/>
                <w:sz w:val="21"/>
                <w:szCs w:val="21"/>
                <w:highlight w:val="none"/>
              </w:rPr>
            </w:pPr>
            <w:r>
              <w:rPr>
                <w:rFonts w:hint="eastAsia" w:cs="Times New Roman"/>
                <w:b/>
                <w:color w:val="000000"/>
                <w:sz w:val="21"/>
                <w:szCs w:val="21"/>
                <w:highlight w:val="none"/>
              </w:rPr>
              <w:t xml:space="preserve">备注</w:t>
            </w:r>
            <w:r/>
          </w:p>
        </w:tc>
      </w:tr>
      <w:tr>
        <w:trPr>
          <w:jc w:val="center"/>
          <w:trHeight w:val="20"/>
        </w:trPr>
        <w:tc>
          <w:tcPr>
            <w:tcBorders>
              <w:top w:val="single" w:color="auto" w:sz="4" w:space="0"/>
              <w:left w:val="single" w:color="auto" w:sz="8" w:space="0"/>
              <w:right w:val="single" w:color="auto" w:sz="2" w:space="0"/>
            </w:tcBorders>
            <w:tcW w:w="184"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bCs/>
                <w:color w:val="000000"/>
                <w:sz w:val="21"/>
                <w:szCs w:val="21"/>
                <w:highlight w:val="none"/>
              </w:rPr>
              <w:t xml:space="preserve">1</w:t>
            </w:r>
            <w:r/>
          </w:p>
        </w:tc>
        <w:tc>
          <w:tcPr>
            <w:tcBorders>
              <w:top w:val="single" w:color="auto" w:sz="4" w:space="0"/>
              <w:left w:val="single" w:color="auto" w:sz="2" w:space="0"/>
              <w:right w:val="single" w:color="auto" w:sz="2" w:space="0"/>
            </w:tcBorders>
            <w:tcW w:w="324"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水文地质勘察</w:t>
            </w:r>
            <w:r/>
          </w:p>
        </w:tc>
        <w:tc>
          <w:tcPr>
            <w:tcBorders>
              <w:top w:val="single" w:color="auto" w:sz="4" w:space="0"/>
              <w:left w:val="single" w:color="auto" w:sz="2" w:space="0"/>
              <w:bottom w:val="single" w:color="auto" w:sz="4" w:space="0"/>
              <w:right w:val="single" w:color="auto" w:sz="4" w:space="0"/>
            </w:tcBorders>
            <w:tcW w:w="219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含水文地质勘察钻孔</w:t>
            </w:r>
            <w:r>
              <w:rPr>
                <w:rFonts w:hint="eastAsia" w:cs="Times New Roman"/>
                <w:color w:val="000000"/>
                <w:sz w:val="21"/>
                <w:szCs w:val="21"/>
                <w:highlight w:val="none"/>
              </w:rPr>
              <w:t xml:space="preserve">钻探，布设4个钻孔点位，单个点位钻孔深度达到40m，需钻探至中风化层</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160</w:t>
            </w:r>
            <w:r/>
          </w:p>
        </w:tc>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84"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left w:val="single" w:color="auto" w:sz="2" w:space="0"/>
              <w:right w:val="single" w:color="auto" w:sz="2" w:space="0"/>
            </w:tcBorders>
            <w:tcW w:w="32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9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含水文地质勘察钻孔</w:t>
            </w:r>
            <w:r>
              <w:rPr>
                <w:rFonts w:hint="eastAsia" w:cs="Times New Roman"/>
                <w:color w:val="000000"/>
                <w:sz w:val="21"/>
                <w:szCs w:val="21"/>
                <w:highlight w:val="none"/>
              </w:rPr>
              <w:t xml:space="preserve">建设地下水井，用于抽水试验及流场确定等，布设4个钻孔点位，单个点位建井深度达到40m，需钻探至中风化层</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160</w:t>
            </w:r>
            <w:r/>
          </w:p>
        </w:tc>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84"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left w:val="single" w:color="auto" w:sz="2" w:space="0"/>
              <w:right w:val="single" w:color="auto" w:sz="2" w:space="0"/>
            </w:tcBorders>
            <w:tcW w:w="32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9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土工试验，包括土壤有机质含量、含水率、孔隙度、渗透系数、土壤颗粒密度、土壤容重等参数的测定，每个点位采集</w:t>
            </w:r>
            <w:r>
              <w:rPr>
                <w:rFonts w:hint="eastAsia" w:cs="Times New Roman"/>
                <w:color w:val="000000"/>
                <w:sz w:val="21"/>
                <w:szCs w:val="21"/>
                <w:highlight w:val="none"/>
              </w:rPr>
              <w:t xml:space="preserve">4个土工试验样品，共需送检16个土工试验样品</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84"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left w:val="single" w:color="auto" w:sz="2" w:space="0"/>
              <w:right w:val="single" w:color="auto" w:sz="2" w:space="0"/>
            </w:tcBorders>
            <w:tcW w:w="32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9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抽水试验，需要</w:t>
            </w:r>
            <w:r>
              <w:rPr>
                <w:rFonts w:hint="eastAsia" w:cs="Times New Roman"/>
                <w:color w:val="000000"/>
                <w:sz w:val="21"/>
                <w:szCs w:val="21"/>
                <w:highlight w:val="none"/>
              </w:rPr>
              <w:t xml:space="preserve">2个台班</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台班</w:t>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2" w:space="0"/>
            </w:tcBorders>
            <w:tcW w:w="184"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left w:val="single" w:color="auto" w:sz="2" w:space="0"/>
              <w:bottom w:val="single" w:color="auto" w:sz="4" w:space="0"/>
              <w:right w:val="single" w:color="auto" w:sz="2" w:space="0"/>
            </w:tcBorders>
            <w:tcW w:w="32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9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完成水文地质勘察报告（明确地层结构、地下水特征、地下水与长江水力联系、区域地下水补给、径流、排泄规律，以及对应长江河段的水质现状，水文特征等）</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项</w:t>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bottom w:val="single" w:color="auto" w:sz="4" w:space="0"/>
              <w:right w:val="single" w:color="auto" w:sz="2" w:space="0"/>
            </w:tcBorders>
            <w:tcW w:w="184" w:type="pct"/>
            <w:vAlign w:val="center"/>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t xml:space="preserve">2</w:t>
            </w:r>
            <w:r/>
          </w:p>
        </w:tc>
        <w:tc>
          <w:tcPr>
            <w:tcBorders>
              <w:top w:val="single" w:color="auto" w:sz="4" w:space="0"/>
              <w:left w:val="single" w:color="auto" w:sz="2" w:space="0"/>
              <w:bottom w:val="single" w:color="auto" w:sz="4" w:space="0"/>
              <w:right w:val="single" w:color="auto" w:sz="2" w:space="0"/>
            </w:tcBorders>
            <w:tcW w:w="32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补充调查方案制定</w:t>
            </w:r>
            <w:r/>
          </w:p>
        </w:tc>
        <w:tc>
          <w:tcPr>
            <w:tcBorders>
              <w:top w:val="single" w:color="auto" w:sz="4" w:space="0"/>
              <w:left w:val="single" w:color="auto" w:sz="2" w:space="0"/>
              <w:bottom w:val="single" w:color="auto" w:sz="4" w:space="0"/>
              <w:right w:val="single" w:color="auto" w:sz="4" w:space="0"/>
            </w:tcBorders>
            <w:tcW w:w="219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根据科思化学地块的资料分析结果，制定科思化学地块的补充调查方案</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项</w:t>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2" w:space="0"/>
            </w:tcBorders>
            <w:tcW w:w="184" w:type="pct"/>
            <w:vAlign w:val="center"/>
            <w:vMerge w:val="restart"/>
            <w:textDirection w:val="lrTb"/>
            <w:noWrap w:val="false"/>
          </w:tcPr>
          <w:p>
            <w:pPr>
              <w:jc w:val="center"/>
              <w:spacing w:line="240" w:lineRule="auto"/>
              <w:rPr>
                <w:rFonts w:cs="Times New Roman"/>
                <w:bCs/>
                <w:color w:val="000000"/>
                <w:sz w:val="21"/>
                <w:szCs w:val="21"/>
                <w:highlight w:val="none"/>
              </w:rPr>
            </w:pPr>
            <w:r>
              <w:rPr>
                <w:rFonts w:cs="Times New Roman"/>
                <w:color w:val="000000"/>
                <w:sz w:val="21"/>
                <w:szCs w:val="21"/>
                <w:highlight w:val="none"/>
              </w:rPr>
              <w:t xml:space="preserve">3</w:t>
            </w:r>
            <w:r/>
          </w:p>
        </w:tc>
        <w:tc>
          <w:tcPr>
            <w:tcBorders>
              <w:top w:val="single" w:color="auto" w:sz="4" w:space="0"/>
              <w:left w:val="single" w:color="auto" w:sz="2" w:space="0"/>
              <w:right w:val="single" w:color="auto" w:sz="2" w:space="0"/>
            </w:tcBorders>
            <w:tcW w:w="324"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现场钻探及采样费用</w:t>
            </w:r>
            <w:r/>
          </w:p>
        </w:tc>
        <w:tc>
          <w:tcPr>
            <w:tcBorders>
              <w:top w:val="single" w:color="auto" w:sz="4" w:space="0"/>
              <w:left w:val="single" w:color="auto" w:sz="2" w:space="0"/>
              <w:bottom w:val="single" w:color="auto" w:sz="4" w:space="0"/>
              <w:right w:val="single" w:color="auto" w:sz="4" w:space="0"/>
            </w:tcBorders>
            <w:tcW w:w="219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科思化学地块补充调查的钻探及采样工作，包括土壤钻探以及土壤样品采集（钻探深度至少为</w:t>
            </w:r>
            <w:r>
              <w:rPr>
                <w:rFonts w:hint="eastAsia" w:cs="Times New Roman"/>
                <w:color w:val="000000"/>
                <w:sz w:val="21"/>
                <w:szCs w:val="21"/>
                <w:highlight w:val="none"/>
              </w:rPr>
              <w:t xml:space="preserve">6m，部分点位需要钻探15m、30m</w:t>
            </w:r>
            <w:r>
              <w:rPr>
                <w:rFonts w:cs="Times New Roman"/>
                <w:color w:val="000000"/>
                <w:sz w:val="21"/>
                <w:szCs w:val="21"/>
                <w:highlight w:val="none"/>
              </w:rPr>
              <w:t xml:space="preserve">），土壤总钻探深度约</w:t>
            </w:r>
            <w:r>
              <w:rPr>
                <w:rFonts w:hint="eastAsia" w:cs="Times New Roman"/>
                <w:color w:val="000000"/>
                <w:sz w:val="21"/>
                <w:szCs w:val="21"/>
                <w:highlight w:val="none"/>
              </w:rPr>
              <w:t xml:space="preserve">230m</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230</w:t>
            </w:r>
            <w:r/>
          </w:p>
        </w:tc>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spacing w:line="240" w:lineRule="auto"/>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2" w:space="0"/>
            </w:tcBorders>
            <w:tcW w:w="18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bottom w:val="single" w:color="auto" w:sz="4" w:space="0"/>
              <w:right w:val="single" w:color="auto" w:sz="2" w:space="0"/>
            </w:tcBorders>
            <w:tcW w:w="32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9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科思化学地块补充调查的钻探及采样工作，包括地下水建井以及地下水样品采集（建井深度至少为</w:t>
            </w:r>
            <w:r>
              <w:rPr>
                <w:rFonts w:hint="eastAsia" w:cs="Times New Roman"/>
                <w:color w:val="000000"/>
                <w:sz w:val="21"/>
                <w:szCs w:val="21"/>
                <w:highlight w:val="none"/>
              </w:rPr>
              <w:t xml:space="preserve">6m，部分点位建井深度需要达到15m、30m</w:t>
            </w:r>
            <w:r>
              <w:rPr>
                <w:rFonts w:cs="Times New Roman"/>
                <w:color w:val="000000"/>
                <w:sz w:val="21"/>
                <w:szCs w:val="21"/>
                <w:highlight w:val="none"/>
              </w:rPr>
              <w:t xml:space="preserve">），地下水总建井深度约</w:t>
            </w:r>
            <w:r>
              <w:rPr>
                <w:rFonts w:hint="eastAsia" w:cs="Times New Roman"/>
                <w:color w:val="000000"/>
                <w:sz w:val="21"/>
                <w:szCs w:val="21"/>
                <w:highlight w:val="none"/>
              </w:rPr>
              <w:t xml:space="preserve">300m</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300</w:t>
            </w:r>
            <w:r/>
          </w:p>
        </w:tc>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spacing w:line="240" w:lineRule="auto"/>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2" w:space="0"/>
            </w:tcBorders>
            <w:tcW w:w="184" w:type="pct"/>
            <w:vAlign w:val="center"/>
            <w:vMerge w:val="restart"/>
            <w:textDirection w:val="lrTb"/>
            <w:noWrap w:val="false"/>
          </w:tcPr>
          <w:p>
            <w:pPr>
              <w:jc w:val="center"/>
              <w:spacing w:line="240" w:lineRule="auto"/>
              <w:rPr>
                <w:rFonts w:cs="Times New Roman"/>
                <w:bCs/>
                <w:color w:val="000000"/>
                <w:sz w:val="21"/>
                <w:szCs w:val="21"/>
                <w:highlight w:val="none"/>
              </w:rPr>
            </w:pPr>
            <w:r>
              <w:rPr>
                <w:rFonts w:cs="Times New Roman"/>
                <w:color w:val="000000"/>
                <w:sz w:val="21"/>
                <w:szCs w:val="21"/>
                <w:highlight w:val="none"/>
              </w:rPr>
              <w:t xml:space="preserve">4</w:t>
            </w:r>
            <w:r/>
          </w:p>
        </w:tc>
        <w:tc>
          <w:tcPr>
            <w:tcBorders>
              <w:top w:val="single" w:color="auto" w:sz="4" w:space="0"/>
              <w:left w:val="single" w:color="auto" w:sz="2" w:space="0"/>
              <w:right w:val="single" w:color="auto" w:sz="2" w:space="0"/>
            </w:tcBorders>
            <w:tcW w:w="324"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bCs/>
                <w:color w:val="000000"/>
                <w:sz w:val="21"/>
                <w:szCs w:val="21"/>
                <w:highlight w:val="none"/>
              </w:rPr>
              <w:t xml:space="preserve">样品处理与检测费</w:t>
            </w:r>
            <w:r/>
          </w:p>
        </w:tc>
        <w:tc>
          <w:tcPr>
            <w:tcBorders>
              <w:top w:val="single" w:color="auto" w:sz="4" w:space="0"/>
              <w:left w:val="single" w:color="auto" w:sz="2" w:space="0"/>
              <w:bottom w:val="single" w:color="auto" w:sz="4" w:space="0"/>
              <w:right w:val="single" w:color="auto" w:sz="4" w:space="0"/>
            </w:tcBorders>
            <w:tcW w:w="219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土壤检测因子包括pH、重金属</w:t>
            </w:r>
            <w:r>
              <w:rPr>
                <w:rFonts w:hint="eastAsia" w:cs="Times New Roman"/>
                <w:color w:val="000000"/>
                <w:sz w:val="21"/>
                <w:szCs w:val="21"/>
                <w:highlight w:val="none"/>
              </w:rPr>
              <w:t xml:space="preserve">7项、挥发性有机污染物65项、半挥发性有机污染物64项、特征污染物20项（需要包括：</w:t>
            </w:r>
            <w:r>
              <w:rPr>
                <w:rFonts w:cs="Times New Roman"/>
                <w:color w:val="000000"/>
                <w:sz w:val="21"/>
                <w:szCs w:val="21"/>
                <w:highlight w:val="none"/>
              </w:rPr>
              <w:t xml:space="preserve">石油烃（C</w:t>
            </w:r>
            <w:r>
              <w:rPr>
                <w:rFonts w:cs="Times New Roman"/>
                <w:color w:val="000000"/>
                <w:sz w:val="21"/>
                <w:szCs w:val="21"/>
                <w:highlight w:val="none"/>
                <w:vertAlign w:val="subscript"/>
              </w:rPr>
              <w:t xml:space="preserve">10</w:t>
            </w:r>
            <w:r>
              <w:rPr>
                <w:rFonts w:cs="Times New Roman"/>
                <w:color w:val="000000"/>
                <w:sz w:val="21"/>
                <w:szCs w:val="21"/>
                <w:highlight w:val="none"/>
              </w:rPr>
              <w:t xml:space="preserve">-C</w:t>
            </w:r>
            <w:r>
              <w:rPr>
                <w:rFonts w:cs="Times New Roman"/>
                <w:color w:val="000000"/>
                <w:sz w:val="21"/>
                <w:szCs w:val="21"/>
                <w:highlight w:val="none"/>
                <w:vertAlign w:val="subscript"/>
              </w:rPr>
              <w:t xml:space="preserve">40</w:t>
            </w:r>
            <w:r>
              <w:rPr>
                <w:rFonts w:cs="Times New Roman"/>
                <w:color w:val="000000"/>
                <w:sz w:val="21"/>
                <w:szCs w:val="21"/>
                <w:highlight w:val="none"/>
              </w:rPr>
              <w:t xml:space="preserve">）、一溴二氯甲烷、溴仿、二溴氯甲烷、1,2-二溴乙烷、六氯环戊二烯、2,4-二硝基甲苯、2,4-二氯酚、2,4,6-三氯酚、2,4-二硝基酚、五氯酚、邻苯二甲酸二(2-乙基己基)酯、邻苯二甲酸丁基苄酯、邻苯二甲酸二正辛酯、3,3’-二氯联苯胺、苯甲醚、甲醇、均三甲苯、苯乙酮、2-萘乙酮</w:t>
            </w:r>
            <w:r>
              <w:rPr>
                <w:rFonts w:hint="eastAsia" w:cs="Times New Roman"/>
                <w:color w:val="000000"/>
                <w:sz w:val="21"/>
                <w:szCs w:val="21"/>
                <w:highlight w:val="none"/>
              </w:rPr>
              <w:t xml:space="preserve">等）</w:t>
            </w:r>
            <w:r>
              <w:rPr>
                <w:rFonts w:cs="Times New Roman"/>
                <w:color w:val="000000"/>
                <w:sz w:val="21"/>
                <w:szCs w:val="21"/>
                <w:highlight w:val="none"/>
              </w:rPr>
              <w:t xml:space="preserve">，土壤样品约</w:t>
            </w:r>
            <w:r>
              <w:rPr>
                <w:rFonts w:hint="eastAsia" w:cs="Times New Roman"/>
                <w:color w:val="000000"/>
                <w:sz w:val="21"/>
                <w:szCs w:val="21"/>
                <w:highlight w:val="none"/>
              </w:rPr>
              <w:t xml:space="preserve">160个</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160</w:t>
            </w:r>
            <w:r/>
          </w:p>
        </w:tc>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spacing w:line="240" w:lineRule="auto"/>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2" w:space="0"/>
            </w:tcBorders>
            <w:tcW w:w="18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bottom w:val="single" w:color="auto" w:sz="4" w:space="0"/>
              <w:right w:val="single" w:color="auto" w:sz="2" w:space="0"/>
            </w:tcBorders>
            <w:tcW w:w="324"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94"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地下水</w:t>
            </w:r>
            <w:r>
              <w:rPr>
                <w:rFonts w:cs="Times New Roman"/>
                <w:color w:val="000000"/>
                <w:sz w:val="21"/>
                <w:szCs w:val="21"/>
                <w:highlight w:val="none"/>
              </w:rPr>
              <w:t xml:space="preserve">的检测因子包括pH、重金属</w:t>
            </w:r>
            <w:r>
              <w:rPr>
                <w:rFonts w:hint="eastAsia" w:cs="Times New Roman"/>
                <w:color w:val="000000"/>
                <w:sz w:val="21"/>
                <w:szCs w:val="21"/>
                <w:highlight w:val="none"/>
              </w:rPr>
              <w:t xml:space="preserve">7项、挥发性有机污染物65项、半挥发性有机污染物64项、特征污染物20项（需要包括：</w:t>
            </w:r>
            <w:r>
              <w:rPr>
                <w:rFonts w:cs="Times New Roman"/>
                <w:color w:val="000000"/>
                <w:sz w:val="21"/>
                <w:szCs w:val="21"/>
                <w:highlight w:val="none"/>
              </w:rPr>
              <w:t xml:space="preserve">石油烃（C</w:t>
            </w:r>
            <w:r>
              <w:rPr>
                <w:rFonts w:cs="Times New Roman"/>
                <w:color w:val="000000"/>
                <w:sz w:val="21"/>
                <w:szCs w:val="21"/>
                <w:highlight w:val="none"/>
                <w:vertAlign w:val="subscript"/>
              </w:rPr>
              <w:t xml:space="preserve">10</w:t>
            </w:r>
            <w:r>
              <w:rPr>
                <w:rFonts w:cs="Times New Roman"/>
                <w:color w:val="000000"/>
                <w:sz w:val="21"/>
                <w:szCs w:val="21"/>
                <w:highlight w:val="none"/>
              </w:rPr>
              <w:t xml:space="preserve">-C</w:t>
            </w:r>
            <w:r>
              <w:rPr>
                <w:rFonts w:cs="Times New Roman"/>
                <w:color w:val="000000"/>
                <w:sz w:val="21"/>
                <w:szCs w:val="21"/>
                <w:highlight w:val="none"/>
                <w:vertAlign w:val="subscript"/>
              </w:rPr>
              <w:t xml:space="preserve">40</w:t>
            </w:r>
            <w:r>
              <w:rPr>
                <w:rFonts w:cs="Times New Roman"/>
                <w:color w:val="000000"/>
                <w:sz w:val="21"/>
                <w:szCs w:val="21"/>
                <w:highlight w:val="none"/>
              </w:rPr>
              <w:t xml:space="preserve">）、一溴二氯甲烷、溴仿、二溴氯甲烷、1,2-二溴乙烷、六氯环戊二烯、2,4-二硝基甲苯、2,4-二氯酚、2,4,6-三氯酚、2,4-二硝基酚、五氯酚、邻苯二甲酸二(2-乙基己基)酯、邻苯二甲酸丁基苄酯、邻苯二甲酸二正辛酯、3,3’-二氯联苯胺、苯甲醚、甲醇、均三甲苯、苯乙酮、2-萘乙酮</w:t>
            </w:r>
            <w:r>
              <w:rPr>
                <w:rFonts w:hint="eastAsia" w:cs="Times New Roman"/>
                <w:color w:val="000000"/>
                <w:sz w:val="21"/>
                <w:szCs w:val="21"/>
                <w:highlight w:val="none"/>
              </w:rPr>
              <w:t xml:space="preserve">等）</w:t>
            </w:r>
            <w:r>
              <w:rPr>
                <w:rFonts w:cs="Times New Roman"/>
                <w:color w:val="000000"/>
                <w:sz w:val="21"/>
                <w:szCs w:val="21"/>
                <w:highlight w:val="none"/>
              </w:rPr>
              <w:t xml:space="preserve">，</w:t>
            </w:r>
            <w:r>
              <w:rPr>
                <w:rFonts w:hint="eastAsia" w:cs="Times New Roman"/>
                <w:color w:val="000000"/>
                <w:sz w:val="21"/>
                <w:szCs w:val="21"/>
                <w:highlight w:val="none"/>
              </w:rPr>
              <w:t xml:space="preserve">《地下水质量标准》(GBT14848-2017)中的感官性状无机指标等25项等。考虑</w:t>
            </w:r>
            <w:r>
              <w:rPr>
                <w:rFonts w:cs="Times New Roman"/>
                <w:color w:val="000000"/>
                <w:sz w:val="21"/>
                <w:szCs w:val="21"/>
                <w:highlight w:val="none"/>
              </w:rPr>
              <w:t xml:space="preserve">到地块内涉及</w:t>
            </w:r>
            <w:r>
              <w:rPr>
                <w:rFonts w:hint="eastAsia" w:cs="Times New Roman"/>
                <w:color w:val="000000"/>
                <w:sz w:val="21"/>
                <w:szCs w:val="21"/>
                <w:highlight w:val="none"/>
              </w:rPr>
              <w:t xml:space="preserve">DNAPL类物质超标，根据技术规范要求需要分别在水位线以下0.5m和井管底部采集地下水样品</w:t>
            </w:r>
            <w:r>
              <w:rPr>
                <w:rFonts w:cs="Times New Roman"/>
                <w:color w:val="000000"/>
                <w:sz w:val="21"/>
                <w:szCs w:val="21"/>
                <w:highlight w:val="none"/>
              </w:rPr>
              <w:t xml:space="preserve">，地下水样品约</w:t>
            </w:r>
            <w:r>
              <w:rPr>
                <w:rFonts w:hint="eastAsia" w:cs="Times New Roman"/>
                <w:color w:val="000000"/>
                <w:sz w:val="21"/>
                <w:szCs w:val="21"/>
                <w:highlight w:val="none"/>
              </w:rPr>
              <w:t xml:space="preserve">52个</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52</w:t>
            </w:r>
            <w:r/>
          </w:p>
        </w:tc>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spacing w:line="240" w:lineRule="auto"/>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2" w:space="0"/>
            </w:tcBorders>
            <w:tcW w:w="184"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5</w:t>
            </w:r>
            <w:r/>
          </w:p>
        </w:tc>
        <w:tc>
          <w:tcPr>
            <w:tcBorders>
              <w:top w:val="single" w:color="auto" w:sz="2" w:space="0"/>
              <w:left w:val="single" w:color="auto" w:sz="2" w:space="0"/>
              <w:right w:val="single" w:color="auto" w:sz="2" w:space="0"/>
            </w:tcBorders>
            <w:tcW w:w="324" w:type="pct"/>
            <w:vAlign w:val="center"/>
            <w:vMerge w:val="restart"/>
            <w:textDirection w:val="lrTb"/>
            <w:noWrap w:val="false"/>
          </w:tcPr>
          <w:p>
            <w:pPr>
              <w:jc w:val="center"/>
              <w:spacing w:line="240" w:lineRule="auto"/>
              <w:rPr>
                <w:rFonts w:cs="Times New Roman"/>
                <w:bCs/>
                <w:color w:val="000000"/>
                <w:sz w:val="21"/>
                <w:szCs w:val="21"/>
                <w:highlight w:val="none"/>
              </w:rPr>
            </w:pPr>
            <w:r>
              <w:rPr>
                <w:rFonts w:cs="Times New Roman"/>
                <w:color w:val="000000"/>
                <w:sz w:val="21"/>
                <w:szCs w:val="21"/>
                <w:highlight w:val="none"/>
              </w:rPr>
              <w:t xml:space="preserve">污染物入江风险评估</w:t>
            </w:r>
            <w:r/>
          </w:p>
        </w:tc>
        <w:tc>
          <w:tcPr>
            <w:tcBorders>
              <w:top w:val="single" w:color="auto" w:sz="2" w:space="0"/>
              <w:left w:val="single" w:color="auto" w:sz="2" w:space="0"/>
              <w:bottom w:val="single" w:color="auto" w:sz="2" w:space="0"/>
              <w:right w:val="single" w:color="auto" w:sz="2" w:space="0"/>
            </w:tcBorders>
            <w:tcW w:w="219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开展</w:t>
            </w:r>
            <w:r>
              <w:rPr>
                <w:rFonts w:cs="Times New Roman"/>
                <w:bCs/>
                <w:color w:val="000000"/>
                <w:sz w:val="21"/>
                <w:szCs w:val="21"/>
                <w:highlight w:val="none"/>
              </w:rPr>
              <w:t xml:space="preserve">入江风险识别与途径分析，</w:t>
            </w:r>
            <w:r>
              <w:rPr>
                <w:rFonts w:hint="eastAsia" w:cs="Times New Roman"/>
                <w:bCs/>
                <w:color w:val="000000"/>
                <w:sz w:val="21"/>
                <w:szCs w:val="21"/>
                <w:highlight w:val="none"/>
              </w:rPr>
              <w:t xml:space="preserve">结合地块利用类型，识别入江风险因素，分析污染物入江的主要途径及可行性，包括地块污染本身风险、水文水力联系风险、污染物入江途径风险、敏感目标影响风险、暴雨与汛期风险、开发建设新增风险等</w:t>
            </w:r>
            <w:r/>
          </w:p>
        </w:tc>
        <w:tc>
          <w:tcPr>
            <w:tcBorders>
              <w:top w:val="single" w:color="auto" w:sz="4" w:space="0"/>
              <w:left w:val="single" w:color="auto" w:sz="4" w:space="0"/>
              <w:right w:val="single" w:color="auto" w:sz="4" w:space="0"/>
            </w:tcBorders>
            <w:tcW w:w="322"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项</w:t>
            </w:r>
            <w:r/>
          </w:p>
        </w:tc>
        <w:tc>
          <w:tcPr>
            <w:tcBorders>
              <w:top w:val="single" w:color="auto" w:sz="4" w:space="0"/>
              <w:left w:val="single" w:color="auto" w:sz="4" w:space="0"/>
              <w:right w:val="single" w:color="auto" w:sz="4" w:space="0"/>
            </w:tcBorders>
            <w:tcW w:w="341"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right w:val="single" w:color="auto" w:sz="4" w:space="0"/>
            </w:tcBorders>
            <w:tcW w:w="537"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right w:val="single" w:color="auto" w:sz="4" w:space="0"/>
            </w:tcBorders>
            <w:tcW w:w="580"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right w:val="single" w:color="auto" w:sz="4" w:space="0"/>
            </w:tcBorders>
            <w:tcW w:w="516" w:type="pct"/>
            <w:vAlign w:val="center"/>
            <w:vMerge w:val="restart"/>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8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right w:val="single" w:color="auto" w:sz="2" w:space="0"/>
            </w:tcBorders>
            <w:tcW w:w="32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9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开展</w:t>
            </w:r>
            <w:r>
              <w:rPr>
                <w:rFonts w:hint="eastAsia" w:cs="Times New Roman"/>
                <w:color w:val="000000"/>
                <w:sz w:val="21"/>
                <w:szCs w:val="21"/>
                <w:highlight w:val="none"/>
              </w:rPr>
              <w:t xml:space="preserve">风险计算与等级判定，采用定性与定量相结合的方法，计算风险指标，判定地块入江风险等级。风险计算采用地下水模拟软件GMS根据MODFLOW模块构建三维有限差分地下水流模型进行计算，需要结合含水层概化和边界条件，开展地下水水流模拟及地下水溶质运移模拟。</w:t>
            </w:r>
            <w:r/>
          </w:p>
        </w:tc>
        <w:tc>
          <w:tcPr>
            <w:tcBorders>
              <w:left w:val="single" w:color="auto" w:sz="4" w:space="0"/>
              <w:right w:val="single" w:color="auto" w:sz="4" w:space="0"/>
            </w:tcBorders>
            <w:tcW w:w="32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341"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37"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80"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16"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8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right w:val="single" w:color="auto" w:sz="2" w:space="0"/>
            </w:tcBorders>
            <w:tcW w:w="32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9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开展</w:t>
            </w:r>
            <w:r>
              <w:rPr>
                <w:rFonts w:cs="Times New Roman"/>
                <w:bCs/>
                <w:color w:val="000000"/>
                <w:sz w:val="21"/>
                <w:szCs w:val="21"/>
                <w:highlight w:val="none"/>
              </w:rPr>
              <w:t xml:space="preserve">入江风险防控措施，</w:t>
            </w:r>
            <w:r>
              <w:rPr>
                <w:rFonts w:hint="eastAsia" w:cs="Times New Roman"/>
                <w:bCs/>
                <w:color w:val="000000"/>
                <w:sz w:val="21"/>
                <w:szCs w:val="21"/>
                <w:highlight w:val="none"/>
              </w:rPr>
              <w:t xml:space="preserve">结合风险等级及地块利用类型，制定针对性、可操作的源头管控、过程拦截、应急处置及长效监测措施</w:t>
            </w:r>
            <w:r/>
          </w:p>
        </w:tc>
        <w:tc>
          <w:tcPr>
            <w:tcBorders>
              <w:left w:val="single" w:color="auto" w:sz="4" w:space="0"/>
              <w:right w:val="single" w:color="auto" w:sz="4" w:space="0"/>
            </w:tcBorders>
            <w:tcW w:w="32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341"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37"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80"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16"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2" w:space="0"/>
            </w:tcBorders>
            <w:tcW w:w="18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bottom w:val="single" w:color="auto" w:sz="2" w:space="0"/>
              <w:right w:val="single" w:color="auto" w:sz="2" w:space="0"/>
            </w:tcBorders>
            <w:tcW w:w="32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9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开展</w:t>
            </w:r>
            <w:r>
              <w:rPr>
                <w:rFonts w:cs="Times New Roman"/>
                <w:bCs/>
                <w:color w:val="000000"/>
                <w:sz w:val="21"/>
                <w:szCs w:val="21"/>
                <w:highlight w:val="none"/>
              </w:rPr>
              <w:t xml:space="preserve">风险分析报告编制，</w:t>
            </w:r>
            <w:r>
              <w:rPr>
                <w:rFonts w:hint="eastAsia" w:cs="Times New Roman"/>
                <w:bCs/>
                <w:color w:val="000000"/>
                <w:sz w:val="21"/>
                <w:szCs w:val="21"/>
                <w:highlight w:val="none"/>
              </w:rPr>
              <w:t xml:space="preserve">编制入江风险分析报告，作为地块开发利用及监管的依据</w:t>
            </w:r>
            <w:r/>
          </w:p>
        </w:tc>
        <w:tc>
          <w:tcPr>
            <w:tcBorders>
              <w:left w:val="single" w:color="auto" w:sz="4" w:space="0"/>
              <w:bottom w:val="single" w:color="auto" w:sz="4" w:space="0"/>
              <w:right w:val="single" w:color="auto" w:sz="4" w:space="0"/>
            </w:tcBorders>
            <w:tcW w:w="32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341"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37"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80"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16"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2" w:space="0"/>
            </w:tcBorders>
            <w:tcW w:w="184"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6</w:t>
            </w:r>
            <w:r/>
          </w:p>
        </w:tc>
        <w:tc>
          <w:tcPr>
            <w:tcBorders>
              <w:top w:val="single" w:color="auto" w:sz="2" w:space="0"/>
              <w:left w:val="single" w:color="auto" w:sz="2" w:space="0"/>
              <w:right w:val="single" w:color="auto" w:sz="2" w:space="0"/>
            </w:tcBorders>
            <w:tcW w:w="324" w:type="pct"/>
            <w:vAlign w:val="center"/>
            <w:vMerge w:val="restart"/>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t xml:space="preserve">风险评估报告编制</w:t>
            </w:r>
            <w:r/>
          </w:p>
        </w:tc>
        <w:tc>
          <w:tcPr>
            <w:tcBorders>
              <w:top w:val="single" w:color="auto" w:sz="2" w:space="0"/>
              <w:left w:val="single" w:color="auto" w:sz="2" w:space="0"/>
              <w:bottom w:val="single" w:color="auto" w:sz="2" w:space="0"/>
              <w:right w:val="single" w:color="auto" w:sz="2" w:space="0"/>
            </w:tcBorders>
            <w:tcW w:w="2194"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开展危害识别，收集土壤污染状况调查阶段获得的相关资料和数据，掌握地块土壤和地下水中关注污染物的浓度分布，明确规划土地利用方式，分析可能的敏感受体，如儿童、成人、地下水体等。</w:t>
            </w:r>
            <w:r/>
          </w:p>
        </w:tc>
        <w:tc>
          <w:tcPr>
            <w:tcBorders>
              <w:top w:val="single" w:color="auto" w:sz="4" w:space="0"/>
              <w:left w:val="single" w:color="auto" w:sz="4" w:space="0"/>
              <w:right w:val="single" w:color="auto" w:sz="4" w:space="0"/>
            </w:tcBorders>
            <w:tcW w:w="322"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项</w:t>
            </w:r>
            <w:r/>
          </w:p>
        </w:tc>
        <w:tc>
          <w:tcPr>
            <w:tcBorders>
              <w:top w:val="single" w:color="auto" w:sz="4" w:space="0"/>
              <w:left w:val="single" w:color="auto" w:sz="4" w:space="0"/>
              <w:right w:val="single" w:color="auto" w:sz="4" w:space="0"/>
            </w:tcBorders>
            <w:tcW w:w="341"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right w:val="single" w:color="auto" w:sz="4" w:space="0"/>
            </w:tcBorders>
            <w:tcW w:w="537"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right w:val="single" w:color="auto" w:sz="4" w:space="0"/>
            </w:tcBorders>
            <w:tcW w:w="580"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right w:val="single" w:color="auto" w:sz="4" w:space="0"/>
            </w:tcBorders>
            <w:tcW w:w="516" w:type="pct"/>
            <w:vAlign w:val="center"/>
            <w:vMerge w:val="restart"/>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8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right w:val="single" w:color="auto" w:sz="2" w:space="0"/>
            </w:tcBorders>
            <w:tcW w:w="324"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94"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开展暴露评估，在危害识别的基础上，分析地块内关注污染物迁移和危害敏感受体的可能性，确定地块地下水污染物的主要暴露途径和暴露评估模型，确定评估模型参数取值，计算敏感人群对地下水中污染物的暴露量。</w:t>
            </w:r>
            <w:r/>
          </w:p>
        </w:tc>
        <w:tc>
          <w:tcPr>
            <w:tcBorders>
              <w:left w:val="single" w:color="auto" w:sz="4" w:space="0"/>
              <w:right w:val="single" w:color="auto" w:sz="4" w:space="0"/>
            </w:tcBorders>
            <w:tcW w:w="32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341"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37"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80"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16"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8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right w:val="single" w:color="auto" w:sz="2" w:space="0"/>
            </w:tcBorders>
            <w:tcW w:w="324"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94"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开展毒性评估，在危害识别的基础上，分析关注污染物对人体健康的危害效应，包括致癌效应和非致癌效应，确定与关注污染物相关的参数，包括参考剂量、参考浓度、致癌斜率因子和呼吸吸入单位致癌因子等。</w:t>
            </w:r>
            <w:r/>
          </w:p>
        </w:tc>
        <w:tc>
          <w:tcPr>
            <w:tcBorders>
              <w:left w:val="single" w:color="auto" w:sz="4" w:space="0"/>
              <w:right w:val="single" w:color="auto" w:sz="4" w:space="0"/>
            </w:tcBorders>
            <w:tcW w:w="32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341"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37"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80"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16"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8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right w:val="single" w:color="auto" w:sz="2" w:space="0"/>
            </w:tcBorders>
            <w:tcW w:w="324"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94"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开展风险表征，在暴露评估和毒性评估的基础上，采用风险评估模型计算土壤和地下水中单一污染物经单一途径的致癌风险和危害商，计算单一污染物的总致癌风险和危害商，进行不确定性分析。</w:t>
            </w:r>
            <w:r/>
          </w:p>
        </w:tc>
        <w:tc>
          <w:tcPr>
            <w:tcBorders>
              <w:left w:val="single" w:color="auto" w:sz="4" w:space="0"/>
              <w:right w:val="single" w:color="auto" w:sz="4" w:space="0"/>
            </w:tcBorders>
            <w:tcW w:w="32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341"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37"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80"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16"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2" w:space="0"/>
            </w:tcBorders>
            <w:tcW w:w="18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bottom w:val="single" w:color="auto" w:sz="2" w:space="0"/>
              <w:right w:val="single" w:color="auto" w:sz="2" w:space="0"/>
            </w:tcBorders>
            <w:tcW w:w="324"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94"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开展土壤和地下水风险控制值的计算，在风险表征的基础上，判断计算得到的风险值是否超过可接受风险水平。如地块风险评估结果未超过可接受风险水平，则结束风险评估工作；如地块风险评估结果超过可接受风险水平，则计算土壤、地下水中关注污染物的风险控制值；如调查结果表明，土壤中关注污染物可迁移进入地下水，则计算保护地下水的土壤风险控制值；根据计算结果，提出关注污染物的土壤和地下水风险控制值。</w:t>
            </w:r>
            <w:r/>
          </w:p>
        </w:tc>
        <w:tc>
          <w:tcPr>
            <w:tcBorders>
              <w:left w:val="single" w:color="auto" w:sz="4" w:space="0"/>
              <w:bottom w:val="single" w:color="auto" w:sz="4" w:space="0"/>
              <w:right w:val="single" w:color="auto" w:sz="4" w:space="0"/>
            </w:tcBorders>
            <w:tcW w:w="322"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341"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37"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80"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16"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4" w:space="0"/>
            </w:tcBorders>
            <w:tcW w:w="184"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7</w:t>
            </w:r>
            <w:r/>
          </w:p>
        </w:tc>
        <w:tc>
          <w:tcPr>
            <w:tcBorders>
              <w:top w:val="single" w:color="auto" w:sz="4" w:space="0"/>
              <w:left w:val="single" w:color="auto" w:sz="4" w:space="0"/>
              <w:right w:val="single" w:color="auto" w:sz="4" w:space="0"/>
            </w:tcBorders>
            <w:tcW w:w="324"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bCs/>
                <w:color w:val="000000"/>
                <w:sz w:val="21"/>
                <w:szCs w:val="21"/>
                <w:highlight w:val="none"/>
              </w:rPr>
              <w:t xml:space="preserve">风险评估报告专家费、会务费、</w:t>
            </w:r>
            <w:r>
              <w:rPr>
                <w:rFonts w:hint="eastAsia" w:eastAsia="宋体" w:cs="Times New Roman"/>
                <w:bCs/>
                <w:color w:val="000000"/>
                <w:sz w:val="21"/>
                <w:szCs w:val="21"/>
                <w:highlight w:val="none"/>
                <w:lang w:val="en-US" w:eastAsia="zh-CN"/>
              </w:rPr>
              <w:t xml:space="preserve">彩色</w:t>
            </w:r>
            <w:r>
              <w:rPr>
                <w:rFonts w:cs="Times New Roman"/>
                <w:bCs/>
                <w:color w:val="000000"/>
                <w:sz w:val="21"/>
                <w:szCs w:val="21"/>
                <w:highlight w:val="none"/>
              </w:rPr>
              <w:t xml:space="preserve">打印费等</w:t>
            </w:r>
            <w:r/>
          </w:p>
        </w:tc>
        <w:tc>
          <w:tcPr>
            <w:tcBorders>
              <w:top w:val="single" w:color="auto" w:sz="2" w:space="0"/>
              <w:left w:val="single" w:color="auto" w:sz="4" w:space="0"/>
              <w:bottom w:val="single" w:color="auto" w:sz="4" w:space="0"/>
              <w:right w:val="single" w:color="auto" w:sz="4" w:space="0"/>
            </w:tcBorders>
            <w:tcW w:w="2194"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bCs/>
                <w:color w:val="000000"/>
                <w:sz w:val="21"/>
                <w:szCs w:val="21"/>
                <w:highlight w:val="none"/>
              </w:rPr>
              <w:t xml:space="preserve">市生态环境局至少邀请5名业内专家及相关部门领导，组织召开专家评审会</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项</w:t>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4" w:space="0"/>
            </w:tcBorders>
            <w:tcW w:w="184"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324"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2" w:space="0"/>
              <w:left w:val="single" w:color="auto" w:sz="4" w:space="0"/>
              <w:bottom w:val="single" w:color="auto" w:sz="4" w:space="0"/>
              <w:right w:val="single" w:color="auto" w:sz="4" w:space="0"/>
            </w:tcBorders>
            <w:tcW w:w="2194"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省生态环境厅至少邀请5名业内专家及相关部门领导，组织召开专家评审会</w:t>
            </w:r>
            <w:r/>
          </w:p>
        </w:tc>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项</w:t>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1157"/>
        </w:trPr>
        <w:tc>
          <w:tcPr>
            <w:gridSpan w:val="6"/>
            <w:tcBorders>
              <w:top w:val="single" w:color="auto" w:sz="2" w:space="0"/>
              <w:left w:val="single" w:color="auto" w:sz="2" w:space="0"/>
              <w:bottom w:val="single" w:color="auto" w:sz="4" w:space="0"/>
              <w:right w:val="single" w:color="auto" w:sz="4" w:space="0"/>
            </w:tcBorders>
            <w:tcW w:w="3903"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16" w:type="pct"/>
            <w:vAlign w:val="top"/>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w:t>
            </w:r>
            <w:r/>
          </w:p>
        </w:tc>
      </w:tr>
    </w:tbl>
    <w:p>
      <w:pPr>
        <w:jc w:val="center"/>
        <w:rPr>
          <w:rFonts w:cs="Times New Roman"/>
          <w:b/>
          <w:bCs/>
          <w:color w:val="000000"/>
          <w:highlight w:val="none"/>
        </w:rPr>
      </w:pPr>
      <w:r>
        <w:rPr>
          <w:rFonts w:cs="Times New Roman"/>
          <w:b/>
          <w:bCs/>
          <w:color w:val="000000"/>
          <w:highlight w:val="none"/>
        </w:rPr>
      </w:r>
      <w:r/>
    </w:p>
    <w:p>
      <w:pPr>
        <w:jc w:val="center"/>
        <w:rPr>
          <w:rFonts w:cs="Times New Roman"/>
          <w:b/>
          <w:bCs/>
          <w:color w:val="000000"/>
          <w:highlight w:val="none"/>
        </w:rPr>
      </w:pPr>
      <w:r>
        <w:rPr>
          <w:rFonts w:cs="Times New Roman"/>
          <w:b/>
          <w:bCs/>
          <w:color w:val="000000"/>
          <w:highlight w:val="none"/>
        </w:rPr>
        <w:br w:type="page" w:clear="all"/>
      </w:r>
      <w:r>
        <w:rPr>
          <w:rFonts w:cs="Times New Roman"/>
          <w:b/>
          <w:bCs/>
          <w:color w:val="000000"/>
          <w:highlight w:val="none"/>
        </w:rPr>
        <w:t xml:space="preserve">表4  原南京宝恒化工有限公司地块风险评估项目费用报价明细表</w:t>
      </w:r>
      <w:r/>
    </w:p>
    <w:tbl>
      <w:tblPr>
        <w:tblStyle w:val="727"/>
        <w:tblW w:w="5035" w:type="pct"/>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autofit"/>
        <w:tblCellMar>
          <w:left w:w="0" w:type="dxa"/>
          <w:top w:w="0" w:type="dxa"/>
          <w:right w:w="0" w:type="dxa"/>
          <w:bottom w:w="0" w:type="dxa"/>
        </w:tblCellMar>
        <w:tblLook w:val="04A0" w:firstRow="1" w:lastRow="0" w:firstColumn="1" w:lastColumn="0" w:noHBand="0" w:noVBand="1"/>
      </w:tblPr>
      <w:tblGrid>
        <w:gridCol w:w="429"/>
        <w:gridCol w:w="997"/>
        <w:gridCol w:w="6184"/>
        <w:gridCol w:w="932"/>
        <w:gridCol w:w="941"/>
        <w:gridCol w:w="1574"/>
        <w:gridCol w:w="1661"/>
        <w:gridCol w:w="1404"/>
      </w:tblGrid>
      <w:tr>
        <w:trPr>
          <w:jc w:val="center"/>
          <w:trHeight w:val="20"/>
        </w:trPr>
        <w:tc>
          <w:tcPr>
            <w:tcBorders>
              <w:top w:val="single" w:color="auto" w:sz="8" w:space="0"/>
              <w:left w:val="single" w:color="auto" w:sz="8" w:space="0"/>
              <w:bottom w:val="single" w:color="auto" w:sz="2" w:space="0"/>
              <w:right w:val="single" w:color="auto" w:sz="2" w:space="0"/>
            </w:tcBorders>
            <w:tcW w:w="152"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序号</w:t>
            </w:r>
            <w:r/>
          </w:p>
        </w:tc>
        <w:tc>
          <w:tcPr>
            <w:tcBorders>
              <w:top w:val="single" w:color="auto" w:sz="8" w:space="0"/>
              <w:left w:val="single" w:color="auto" w:sz="2" w:space="0"/>
              <w:bottom w:val="single" w:color="auto" w:sz="2" w:space="0"/>
              <w:right w:val="single" w:color="auto" w:sz="2" w:space="0"/>
            </w:tcBorders>
            <w:tcW w:w="353"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工作</w:t>
            </w:r>
            <w:r>
              <w:rPr>
                <w:rFonts w:hint="eastAsia" w:cs="Times New Roman"/>
                <w:b/>
                <w:color w:val="000000"/>
                <w:sz w:val="21"/>
                <w:szCs w:val="21"/>
                <w:highlight w:val="none"/>
              </w:rPr>
              <w:t xml:space="preserve">分类</w:t>
            </w:r>
            <w:r/>
          </w:p>
        </w:tc>
        <w:tc>
          <w:tcPr>
            <w:tcBorders>
              <w:top w:val="single" w:color="auto" w:sz="8" w:space="0"/>
              <w:left w:val="single" w:color="auto" w:sz="2" w:space="0"/>
              <w:bottom w:val="single" w:color="auto" w:sz="2" w:space="0"/>
              <w:right w:val="single" w:color="auto" w:sz="2" w:space="0"/>
            </w:tcBorders>
            <w:tcW w:w="2189"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工作内容</w:t>
            </w:r>
            <w:r/>
          </w:p>
        </w:tc>
        <w:tc>
          <w:tcPr>
            <w:tcBorders>
              <w:top w:val="single" w:color="auto" w:sz="8" w:space="0"/>
              <w:left w:val="single" w:color="auto" w:sz="2" w:space="0"/>
              <w:bottom w:val="single" w:color="auto" w:sz="4" w:space="0"/>
              <w:right w:val="single" w:color="auto" w:sz="2" w:space="0"/>
            </w:tcBorders>
            <w:tcW w:w="330"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计量</w:t>
            </w:r>
            <w:r/>
          </w:p>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单位</w:t>
            </w:r>
            <w:r/>
          </w:p>
        </w:tc>
        <w:tc>
          <w:tcPr>
            <w:tcBorders>
              <w:top w:val="single" w:color="auto" w:sz="8" w:space="0"/>
              <w:left w:val="single" w:color="auto" w:sz="2" w:space="0"/>
              <w:bottom w:val="single" w:color="auto" w:sz="4" w:space="0"/>
              <w:right w:val="single" w:color="auto" w:sz="2" w:space="0"/>
            </w:tcBorders>
            <w:tcW w:w="333"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数量</w:t>
            </w:r>
            <w:r/>
          </w:p>
        </w:tc>
        <w:tc>
          <w:tcPr>
            <w:tcBorders>
              <w:top w:val="single" w:color="auto" w:sz="8" w:space="0"/>
              <w:left w:val="single" w:color="auto" w:sz="2" w:space="0"/>
              <w:bottom w:val="single" w:color="auto" w:sz="4" w:space="0"/>
              <w:right w:val="single" w:color="auto" w:sz="2" w:space="0"/>
            </w:tcBorders>
            <w:tcW w:w="555" w:type="pct"/>
            <w:vAlign w:val="center"/>
            <w:textDirection w:val="lrTb"/>
            <w:noWrap w:val="false"/>
          </w:tcPr>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单价</w:t>
            </w:r>
            <w:r/>
          </w:p>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（万元）</w:t>
            </w:r>
            <w:r/>
          </w:p>
        </w:tc>
        <w:tc>
          <w:tcPr>
            <w:tcBorders>
              <w:top w:val="single" w:color="auto" w:sz="8" w:space="0"/>
              <w:left w:val="single" w:color="auto" w:sz="2" w:space="0"/>
              <w:bottom w:val="single" w:color="auto" w:sz="4" w:space="0"/>
              <w:right w:val="single" w:color="auto" w:sz="8" w:space="0"/>
            </w:tcBorders>
            <w:tcW w:w="588" w:type="pct"/>
            <w:vAlign w:val="center"/>
            <w:textDirection w:val="lrTb"/>
            <w:noWrap w:val="false"/>
          </w:tcPr>
          <w:p>
            <w:pPr>
              <w:jc w:val="center"/>
              <w:spacing w:line="240" w:lineRule="auto"/>
              <w:rPr>
                <w:rFonts w:cs="Times New Roman"/>
                <w:b/>
                <w:color w:val="000000"/>
                <w:sz w:val="21"/>
                <w:szCs w:val="21"/>
                <w:highlight w:val="none"/>
              </w:rPr>
            </w:pPr>
            <w:r>
              <w:rPr>
                <w:rFonts w:hint="eastAsia" w:cs="Times New Roman"/>
                <w:b/>
                <w:color w:val="000000"/>
                <w:sz w:val="21"/>
                <w:szCs w:val="21"/>
                <w:highlight w:val="none"/>
              </w:rPr>
              <w:t xml:space="preserve">小计</w:t>
            </w:r>
            <w:r/>
          </w:p>
          <w:p>
            <w:pPr>
              <w:jc w:val="center"/>
              <w:spacing w:line="240" w:lineRule="auto"/>
              <w:rPr>
                <w:rFonts w:cs="Times New Roman"/>
                <w:b/>
                <w:color w:val="000000"/>
                <w:sz w:val="21"/>
                <w:szCs w:val="21"/>
                <w:highlight w:val="none"/>
              </w:rPr>
            </w:pPr>
            <w:r>
              <w:rPr>
                <w:rFonts w:cs="Times New Roman"/>
                <w:b/>
                <w:color w:val="000000"/>
                <w:sz w:val="21"/>
                <w:szCs w:val="21"/>
                <w:highlight w:val="none"/>
              </w:rPr>
              <w:t xml:space="preserve">（万元）</w:t>
            </w:r>
            <w:r/>
          </w:p>
        </w:tc>
        <w:tc>
          <w:tcPr>
            <w:tcBorders>
              <w:top w:val="single" w:color="auto" w:sz="8" w:space="0"/>
              <w:left w:val="single" w:color="auto" w:sz="2" w:space="0"/>
              <w:bottom w:val="single" w:color="auto" w:sz="4" w:space="0"/>
              <w:right w:val="single" w:color="auto" w:sz="8" w:space="0"/>
            </w:tcBorders>
            <w:tcW w:w="497" w:type="pct"/>
            <w:vAlign w:val="center"/>
            <w:textDirection w:val="lrTb"/>
            <w:noWrap w:val="false"/>
          </w:tcPr>
          <w:p>
            <w:pPr>
              <w:jc w:val="center"/>
              <w:spacing w:line="240" w:lineRule="auto"/>
              <w:rPr>
                <w:rFonts w:cs="Times New Roman"/>
                <w:b/>
                <w:color w:val="000000"/>
                <w:sz w:val="21"/>
                <w:szCs w:val="21"/>
                <w:highlight w:val="none"/>
              </w:rPr>
            </w:pPr>
            <w:r>
              <w:rPr>
                <w:rFonts w:hint="eastAsia" w:cs="Times New Roman"/>
                <w:b/>
                <w:color w:val="000000"/>
                <w:sz w:val="21"/>
                <w:szCs w:val="21"/>
                <w:highlight w:val="none"/>
              </w:rPr>
              <w:t xml:space="preserve">备注</w:t>
            </w:r>
            <w:r/>
          </w:p>
        </w:tc>
      </w:tr>
      <w:tr>
        <w:trPr>
          <w:jc w:val="center"/>
          <w:trHeight w:val="20"/>
        </w:trPr>
        <w:tc>
          <w:tcPr>
            <w:tcBorders>
              <w:top w:val="single" w:color="auto" w:sz="4" w:space="0"/>
              <w:left w:val="single" w:color="auto" w:sz="8" w:space="0"/>
              <w:right w:val="single" w:color="auto" w:sz="2" w:space="0"/>
            </w:tcBorders>
            <w:tcW w:w="152"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bCs/>
                <w:color w:val="000000"/>
                <w:sz w:val="21"/>
                <w:szCs w:val="21"/>
                <w:highlight w:val="none"/>
              </w:rPr>
              <w:t xml:space="preserve">1</w:t>
            </w:r>
            <w:r/>
          </w:p>
        </w:tc>
        <w:tc>
          <w:tcPr>
            <w:tcBorders>
              <w:top w:val="single" w:color="auto" w:sz="4" w:space="0"/>
              <w:left w:val="single" w:color="auto" w:sz="2" w:space="0"/>
              <w:right w:val="single" w:color="auto" w:sz="2" w:space="0"/>
            </w:tcBorders>
            <w:tcW w:w="353"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水文地质勘察</w:t>
            </w:r>
            <w:r/>
          </w:p>
        </w:tc>
        <w:tc>
          <w:tcPr>
            <w:tcBorders>
              <w:top w:val="single" w:color="auto" w:sz="4" w:space="0"/>
              <w:left w:val="single" w:color="auto" w:sz="2" w:space="0"/>
              <w:bottom w:val="single" w:color="auto" w:sz="4" w:space="0"/>
              <w:right w:val="single" w:color="auto" w:sz="4" w:space="0"/>
            </w:tcBorders>
            <w:tcW w:w="2189"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含水文地质勘察钻孔</w:t>
            </w:r>
            <w:r>
              <w:rPr>
                <w:rFonts w:hint="eastAsia" w:cs="Times New Roman"/>
                <w:color w:val="000000"/>
                <w:sz w:val="21"/>
                <w:szCs w:val="21"/>
                <w:highlight w:val="none"/>
              </w:rPr>
              <w:t xml:space="preserve">钻探，布设4个钻孔点位，单个点位钻孔深度达到40m，需钻探至中风化层</w:t>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333"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160</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52"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left w:val="single" w:color="auto" w:sz="2" w:space="0"/>
              <w:right w:val="single" w:color="auto" w:sz="2" w:space="0"/>
            </w:tcBorders>
            <w:tcW w:w="35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89"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含水文地质勘察钻孔</w:t>
            </w:r>
            <w:r>
              <w:rPr>
                <w:rFonts w:hint="eastAsia" w:cs="Times New Roman"/>
                <w:color w:val="000000"/>
                <w:sz w:val="21"/>
                <w:szCs w:val="21"/>
                <w:highlight w:val="none"/>
              </w:rPr>
              <w:t xml:space="preserve">建设地下水井，用于抽水试验及流场确定等，布设4个钻孔点位，单个点位建井深度达到40m，需钻探至中风化层</w:t>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333"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160</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52"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left w:val="single" w:color="auto" w:sz="2" w:space="0"/>
              <w:right w:val="single" w:color="auto" w:sz="2" w:space="0"/>
            </w:tcBorders>
            <w:tcW w:w="35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89"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土工试验，包括土壤有机质含量、含水率、孔隙度、渗透系数、土壤颗粒密度、土壤容重等参数的测定，每个点位采集</w:t>
            </w:r>
            <w:r>
              <w:rPr>
                <w:rFonts w:hint="eastAsia" w:cs="Times New Roman"/>
                <w:color w:val="000000"/>
                <w:sz w:val="21"/>
                <w:szCs w:val="21"/>
                <w:highlight w:val="none"/>
              </w:rPr>
              <w:t xml:space="preserve">4个土工试验样品，共需送检16个土工试验样品</w:t>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333"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52"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left w:val="single" w:color="auto" w:sz="2" w:space="0"/>
              <w:right w:val="single" w:color="auto" w:sz="2" w:space="0"/>
            </w:tcBorders>
            <w:tcW w:w="35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89"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抽水试验，需要</w:t>
            </w:r>
            <w:r>
              <w:rPr>
                <w:rFonts w:hint="eastAsia" w:cs="Times New Roman"/>
                <w:color w:val="000000"/>
                <w:sz w:val="21"/>
                <w:szCs w:val="21"/>
                <w:highlight w:val="none"/>
              </w:rPr>
              <w:t xml:space="preserve">2个台班</w:t>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台班</w:t>
            </w:r>
            <w:r/>
          </w:p>
        </w:tc>
        <w:tc>
          <w:tcPr>
            <w:tcBorders>
              <w:top w:val="single" w:color="auto" w:sz="4" w:space="0"/>
              <w:left w:val="single" w:color="auto" w:sz="4" w:space="0"/>
              <w:bottom w:val="single" w:color="auto" w:sz="4" w:space="0"/>
              <w:right w:val="single" w:color="auto" w:sz="4" w:space="0"/>
            </w:tcBorders>
            <w:tcW w:w="333"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2" w:space="0"/>
            </w:tcBorders>
            <w:tcW w:w="152"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left w:val="single" w:color="auto" w:sz="2" w:space="0"/>
              <w:bottom w:val="single" w:color="auto" w:sz="4" w:space="0"/>
              <w:right w:val="single" w:color="auto" w:sz="2" w:space="0"/>
            </w:tcBorders>
            <w:tcW w:w="35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89"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完成水文地质勘察报告（明确地层结构、地下水特征、地下水与长江水力联系、区域地下水补给、径流、排泄规律，以及对应长江河段的水质现状，水文特征等）</w:t>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项</w:t>
            </w:r>
            <w:r/>
          </w:p>
        </w:tc>
        <w:tc>
          <w:tcPr>
            <w:tcBorders>
              <w:top w:val="single" w:color="auto" w:sz="4" w:space="0"/>
              <w:left w:val="single" w:color="auto" w:sz="4" w:space="0"/>
              <w:bottom w:val="single" w:color="auto" w:sz="4" w:space="0"/>
              <w:right w:val="single" w:color="auto" w:sz="4" w:space="0"/>
            </w:tcBorders>
            <w:tcW w:w="333"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bottom w:val="single" w:color="auto" w:sz="4" w:space="0"/>
              <w:right w:val="single" w:color="auto" w:sz="2" w:space="0"/>
            </w:tcBorders>
            <w:tcW w:w="152" w:type="pct"/>
            <w:vAlign w:val="center"/>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t xml:space="preserve">2</w:t>
            </w:r>
            <w:r/>
          </w:p>
        </w:tc>
        <w:tc>
          <w:tcPr>
            <w:tcBorders>
              <w:top w:val="single" w:color="auto" w:sz="4" w:space="0"/>
              <w:left w:val="single" w:color="auto" w:sz="2" w:space="0"/>
              <w:bottom w:val="single" w:color="auto" w:sz="4" w:space="0"/>
              <w:right w:val="single" w:color="auto" w:sz="2" w:space="0"/>
            </w:tcBorders>
            <w:tcW w:w="353"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补充调查方案制定</w:t>
            </w:r>
            <w:r/>
          </w:p>
        </w:tc>
        <w:tc>
          <w:tcPr>
            <w:tcBorders>
              <w:top w:val="single" w:color="auto" w:sz="4" w:space="0"/>
              <w:left w:val="single" w:color="auto" w:sz="2" w:space="0"/>
              <w:bottom w:val="single" w:color="auto" w:sz="4" w:space="0"/>
              <w:right w:val="single" w:color="auto" w:sz="4" w:space="0"/>
            </w:tcBorders>
            <w:tcW w:w="2189"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根据宝恒化工地块的资料分析结果，制定宝恒化工地块的补充调查方案（含未调查区域）</w:t>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项</w:t>
            </w:r>
            <w:r/>
          </w:p>
        </w:tc>
        <w:tc>
          <w:tcPr>
            <w:tcBorders>
              <w:top w:val="single" w:color="auto" w:sz="4" w:space="0"/>
              <w:left w:val="single" w:color="auto" w:sz="4" w:space="0"/>
              <w:bottom w:val="single" w:color="auto" w:sz="4" w:space="0"/>
              <w:right w:val="single" w:color="auto" w:sz="4" w:space="0"/>
            </w:tcBorders>
            <w:tcW w:w="333"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2" w:space="0"/>
            </w:tcBorders>
            <w:tcW w:w="152" w:type="pct"/>
            <w:vAlign w:val="center"/>
            <w:vMerge w:val="restart"/>
            <w:textDirection w:val="lrTb"/>
            <w:noWrap w:val="false"/>
          </w:tcPr>
          <w:p>
            <w:pPr>
              <w:jc w:val="center"/>
              <w:spacing w:line="240" w:lineRule="auto"/>
              <w:rPr>
                <w:rFonts w:cs="Times New Roman"/>
                <w:bCs/>
                <w:color w:val="000000"/>
                <w:sz w:val="21"/>
                <w:szCs w:val="21"/>
                <w:highlight w:val="none"/>
              </w:rPr>
            </w:pPr>
            <w:r>
              <w:rPr>
                <w:rFonts w:cs="Times New Roman"/>
                <w:color w:val="000000"/>
                <w:sz w:val="21"/>
                <w:szCs w:val="21"/>
                <w:highlight w:val="none"/>
              </w:rPr>
              <w:t xml:space="preserve">3</w:t>
            </w:r>
            <w:r/>
          </w:p>
        </w:tc>
        <w:tc>
          <w:tcPr>
            <w:tcBorders>
              <w:top w:val="single" w:color="auto" w:sz="4" w:space="0"/>
              <w:left w:val="single" w:color="auto" w:sz="2" w:space="0"/>
              <w:right w:val="single" w:color="auto" w:sz="2" w:space="0"/>
            </w:tcBorders>
            <w:tcW w:w="353"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现场钻探及采样费用</w:t>
            </w:r>
            <w:r/>
          </w:p>
        </w:tc>
        <w:tc>
          <w:tcPr>
            <w:tcBorders>
              <w:top w:val="single" w:color="auto" w:sz="4" w:space="0"/>
              <w:left w:val="single" w:color="auto" w:sz="2" w:space="0"/>
              <w:bottom w:val="single" w:color="auto" w:sz="4" w:space="0"/>
              <w:right w:val="single" w:color="auto" w:sz="4" w:space="0"/>
            </w:tcBorders>
            <w:tcW w:w="2189"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包括宝恒化工地块未开展调查区域补充调查以及扩散情况调查，包括土壤钻探以及土壤样品采集（钻探深度至少为</w:t>
            </w:r>
            <w:r>
              <w:rPr>
                <w:rFonts w:hint="eastAsia" w:cs="Times New Roman"/>
                <w:color w:val="000000"/>
                <w:sz w:val="21"/>
                <w:szCs w:val="21"/>
                <w:highlight w:val="none"/>
              </w:rPr>
              <w:t xml:space="preserve">6m，部分点位需要钻探15m、30m</w:t>
            </w:r>
            <w:r>
              <w:rPr>
                <w:rFonts w:cs="Times New Roman"/>
                <w:color w:val="000000"/>
                <w:sz w:val="21"/>
                <w:szCs w:val="21"/>
                <w:highlight w:val="none"/>
              </w:rPr>
              <w:t xml:space="preserve">），土壤总钻探深度约</w:t>
            </w:r>
            <w:r>
              <w:rPr>
                <w:rFonts w:hint="eastAsia" w:cs="Times New Roman"/>
                <w:color w:val="000000"/>
                <w:sz w:val="21"/>
                <w:szCs w:val="21"/>
                <w:highlight w:val="none"/>
              </w:rPr>
              <w:t xml:space="preserve">240m</w:t>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333"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240</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spacing w:line="240" w:lineRule="auto"/>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2" w:space="0"/>
            </w:tcBorders>
            <w:tcW w:w="152"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bottom w:val="single" w:color="auto" w:sz="4" w:space="0"/>
              <w:right w:val="single" w:color="auto" w:sz="2" w:space="0"/>
            </w:tcBorders>
            <w:tcW w:w="35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89"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包括宝恒化工地块未开展调查区域补充调查以及扩散情况调查，包括地下水建井以及地下水样品采集（建井深度至少为</w:t>
            </w:r>
            <w:r>
              <w:rPr>
                <w:rFonts w:hint="eastAsia" w:cs="Times New Roman"/>
                <w:color w:val="000000"/>
                <w:sz w:val="21"/>
                <w:szCs w:val="21"/>
                <w:highlight w:val="none"/>
              </w:rPr>
              <w:t xml:space="preserve">6m，部分点位建井深度需要达到15m、30m</w:t>
            </w:r>
            <w:r>
              <w:rPr>
                <w:rFonts w:cs="Times New Roman"/>
                <w:color w:val="000000"/>
                <w:sz w:val="21"/>
                <w:szCs w:val="21"/>
                <w:highlight w:val="none"/>
              </w:rPr>
              <w:t xml:space="preserve">），地下水总建井深度约</w:t>
            </w:r>
            <w:r>
              <w:rPr>
                <w:rFonts w:hint="eastAsia" w:cs="Times New Roman"/>
                <w:color w:val="000000"/>
                <w:sz w:val="21"/>
                <w:szCs w:val="21"/>
                <w:highlight w:val="none"/>
              </w:rPr>
              <w:t xml:space="preserve">290m</w:t>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m</w:t>
            </w:r>
            <w:r/>
          </w:p>
        </w:tc>
        <w:tc>
          <w:tcPr>
            <w:tcBorders>
              <w:top w:val="single" w:color="auto" w:sz="4" w:space="0"/>
              <w:left w:val="single" w:color="auto" w:sz="4" w:space="0"/>
              <w:bottom w:val="single" w:color="auto" w:sz="4" w:space="0"/>
              <w:right w:val="single" w:color="auto" w:sz="4" w:space="0"/>
            </w:tcBorders>
            <w:tcW w:w="333"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290</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spacing w:line="240" w:lineRule="auto"/>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2" w:space="0"/>
            </w:tcBorders>
            <w:tcW w:w="152" w:type="pct"/>
            <w:vAlign w:val="center"/>
            <w:vMerge w:val="restart"/>
            <w:textDirection w:val="lrTb"/>
            <w:noWrap w:val="false"/>
          </w:tcPr>
          <w:p>
            <w:pPr>
              <w:jc w:val="center"/>
              <w:spacing w:line="240" w:lineRule="auto"/>
              <w:rPr>
                <w:rFonts w:cs="Times New Roman"/>
                <w:bCs/>
                <w:color w:val="000000"/>
                <w:sz w:val="21"/>
                <w:szCs w:val="21"/>
                <w:highlight w:val="none"/>
              </w:rPr>
            </w:pPr>
            <w:r>
              <w:rPr>
                <w:rFonts w:cs="Times New Roman"/>
                <w:color w:val="000000"/>
                <w:sz w:val="21"/>
                <w:szCs w:val="21"/>
                <w:highlight w:val="none"/>
              </w:rPr>
              <w:t xml:space="preserve">4</w:t>
            </w:r>
            <w:r/>
          </w:p>
        </w:tc>
        <w:tc>
          <w:tcPr>
            <w:tcBorders>
              <w:top w:val="single" w:color="auto" w:sz="4" w:space="0"/>
              <w:left w:val="single" w:color="auto" w:sz="2" w:space="0"/>
              <w:right w:val="single" w:color="auto" w:sz="2" w:space="0"/>
            </w:tcBorders>
            <w:tcW w:w="353"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bCs/>
                <w:color w:val="000000"/>
                <w:sz w:val="21"/>
                <w:szCs w:val="21"/>
                <w:highlight w:val="none"/>
              </w:rPr>
              <w:t xml:space="preserve">样品处理与检测费</w:t>
            </w:r>
            <w:r/>
          </w:p>
        </w:tc>
        <w:tc>
          <w:tcPr>
            <w:tcBorders>
              <w:top w:val="single" w:color="auto" w:sz="4" w:space="0"/>
              <w:left w:val="single" w:color="auto" w:sz="2" w:space="0"/>
              <w:bottom w:val="single" w:color="auto" w:sz="4" w:space="0"/>
              <w:right w:val="single" w:color="auto" w:sz="4" w:space="0"/>
            </w:tcBorders>
            <w:tcW w:w="2189"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包括宝恒化工地块未开展调查区域补充调查，土壤检测因子包括pH、重金属</w:t>
            </w:r>
            <w:r>
              <w:rPr>
                <w:rFonts w:hint="eastAsia" w:cs="Times New Roman"/>
                <w:color w:val="000000"/>
                <w:sz w:val="21"/>
                <w:szCs w:val="21"/>
                <w:highlight w:val="none"/>
              </w:rPr>
              <w:t xml:space="preserve">7项、挥发性有机污染物65项、半挥发性有机污染物64项、特征污染物30项（需要包括：</w:t>
            </w:r>
            <w:r>
              <w:rPr>
                <w:rFonts w:cs="Times New Roman"/>
                <w:color w:val="000000"/>
                <w:sz w:val="21"/>
                <w:szCs w:val="21"/>
                <w:highlight w:val="none"/>
              </w:rPr>
              <w:t xml:space="preserve">石油烃（C</w:t>
            </w:r>
            <w:r>
              <w:rPr>
                <w:rFonts w:cs="Times New Roman"/>
                <w:color w:val="000000"/>
                <w:sz w:val="21"/>
                <w:szCs w:val="21"/>
                <w:highlight w:val="none"/>
                <w:vertAlign w:val="subscript"/>
              </w:rPr>
              <w:t xml:space="preserve">10</w:t>
            </w:r>
            <w:r>
              <w:rPr>
                <w:rFonts w:cs="Times New Roman"/>
                <w:color w:val="000000"/>
                <w:sz w:val="21"/>
                <w:szCs w:val="21"/>
                <w:highlight w:val="none"/>
              </w:rPr>
              <w:t xml:space="preserve">-C</w:t>
            </w:r>
            <w:r>
              <w:rPr>
                <w:rFonts w:cs="Times New Roman"/>
                <w:color w:val="000000"/>
                <w:sz w:val="21"/>
                <w:szCs w:val="21"/>
                <w:highlight w:val="none"/>
                <w:vertAlign w:val="subscript"/>
              </w:rPr>
              <w:t xml:space="preserve">40</w:t>
            </w:r>
            <w:r>
              <w:rPr>
                <w:rFonts w:cs="Times New Roman"/>
                <w:color w:val="000000"/>
                <w:sz w:val="21"/>
                <w:szCs w:val="21"/>
                <w:highlight w:val="none"/>
              </w:rPr>
              <w:t xml:space="preserve">）、一溴二氯甲烷、溴仿、二溴氯甲烷、1,2-二溴乙烷、六氯环戊二烯、2,4-二硝基甲苯、2,4-二氯酚、2,4,6-三氯酚、2,4-二硝基酚、五氯酚、邻苯二甲酸二(2-乙基己基)酯、邻苯二甲酸丁基苄酯、邻苯二甲酸二正辛酯、3,3’-二氯联苯胺、钒、锌、硒、银、氟化物、丙酮、四氢呋喃、乙酸乙酯、对苯二酚、乙醚、正丁醇、甲氰菊酯、氯氰菊酯、苯乙酮、均三甲苯</w:t>
            </w:r>
            <w:r>
              <w:rPr>
                <w:rFonts w:hint="eastAsia" w:cs="Times New Roman"/>
                <w:color w:val="000000"/>
                <w:sz w:val="21"/>
                <w:szCs w:val="21"/>
                <w:highlight w:val="none"/>
              </w:rPr>
              <w:t xml:space="preserve">等）</w:t>
            </w:r>
            <w:r/>
          </w:p>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，土壤样品约</w:t>
            </w:r>
            <w:r>
              <w:rPr>
                <w:rFonts w:hint="eastAsia" w:cs="Times New Roman"/>
                <w:color w:val="000000"/>
                <w:sz w:val="21"/>
                <w:szCs w:val="21"/>
                <w:highlight w:val="none"/>
              </w:rPr>
              <w:t xml:space="preserve">180个</w:t>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333"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180</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spacing w:line="240" w:lineRule="auto"/>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2" w:space="0"/>
            </w:tcBorders>
            <w:tcW w:w="152"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bottom w:val="single" w:color="auto" w:sz="4" w:space="0"/>
              <w:right w:val="single" w:color="auto" w:sz="2" w:space="0"/>
            </w:tcBorders>
            <w:tcW w:w="353"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89"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地下水</w:t>
            </w:r>
            <w:r>
              <w:rPr>
                <w:rFonts w:cs="Times New Roman"/>
                <w:color w:val="000000"/>
                <w:sz w:val="21"/>
                <w:szCs w:val="21"/>
                <w:highlight w:val="none"/>
              </w:rPr>
              <w:t xml:space="preserve">的检测因子包括pH、重金属</w:t>
            </w:r>
            <w:r>
              <w:rPr>
                <w:rFonts w:hint="eastAsia" w:cs="Times New Roman"/>
                <w:color w:val="000000"/>
                <w:sz w:val="21"/>
                <w:szCs w:val="21"/>
                <w:highlight w:val="none"/>
              </w:rPr>
              <w:t xml:space="preserve">7项、挥发性有机污染物65项、半挥发性有机污染物64项、特征污染物30项（需要包括：（需要包括：</w:t>
            </w:r>
            <w:r>
              <w:rPr>
                <w:rFonts w:cs="Times New Roman"/>
                <w:color w:val="000000"/>
                <w:sz w:val="21"/>
                <w:szCs w:val="21"/>
                <w:highlight w:val="none"/>
              </w:rPr>
              <w:t xml:space="preserve">石油烃（C</w:t>
            </w:r>
            <w:r>
              <w:rPr>
                <w:rFonts w:cs="Times New Roman"/>
                <w:color w:val="000000"/>
                <w:sz w:val="21"/>
                <w:szCs w:val="21"/>
                <w:highlight w:val="none"/>
                <w:vertAlign w:val="subscript"/>
              </w:rPr>
              <w:t xml:space="preserve">10</w:t>
            </w:r>
            <w:r>
              <w:rPr>
                <w:rFonts w:cs="Times New Roman"/>
                <w:color w:val="000000"/>
                <w:sz w:val="21"/>
                <w:szCs w:val="21"/>
                <w:highlight w:val="none"/>
              </w:rPr>
              <w:t xml:space="preserve">-C</w:t>
            </w:r>
            <w:r>
              <w:rPr>
                <w:rFonts w:cs="Times New Roman"/>
                <w:color w:val="000000"/>
                <w:sz w:val="21"/>
                <w:szCs w:val="21"/>
                <w:highlight w:val="none"/>
                <w:vertAlign w:val="subscript"/>
              </w:rPr>
              <w:t xml:space="preserve">40</w:t>
            </w:r>
            <w:r>
              <w:rPr>
                <w:rFonts w:cs="Times New Roman"/>
                <w:color w:val="000000"/>
                <w:sz w:val="21"/>
                <w:szCs w:val="21"/>
                <w:highlight w:val="none"/>
              </w:rPr>
              <w:t xml:space="preserve">）、一溴二氯甲烷、溴仿、二溴氯甲烷、1,2-二溴乙烷、六氯环戊二烯、2,4-二硝基甲苯、2,4-二氯酚、2,4,6-三氯酚、2,4-二硝基酚、五氯酚、邻苯二甲酸二(2-乙基己基)酯、邻苯二甲酸丁基苄酯、邻苯二甲酸二正辛酯、3,3’-二氯联苯胺、钒、锌、硒、银、氟化物、丙酮、四氢呋喃、乙酸乙酯、对苯二酚、乙醚、正丁醇、甲氰菊酯、氯氰菊酯、苯乙酮、均三甲苯</w:t>
            </w:r>
            <w:r>
              <w:rPr>
                <w:rFonts w:hint="eastAsia" w:cs="Times New Roman"/>
                <w:color w:val="000000"/>
                <w:sz w:val="21"/>
                <w:szCs w:val="21"/>
                <w:highlight w:val="none"/>
              </w:rPr>
              <w:t xml:space="preserve">等）</w:t>
            </w:r>
            <w:r>
              <w:rPr>
                <w:rFonts w:cs="Times New Roman"/>
                <w:color w:val="000000"/>
                <w:sz w:val="21"/>
                <w:szCs w:val="21"/>
                <w:highlight w:val="none"/>
              </w:rPr>
              <w:t xml:space="preserve">，</w:t>
            </w:r>
            <w:r>
              <w:rPr>
                <w:rFonts w:hint="eastAsia" w:cs="Times New Roman"/>
                <w:color w:val="000000"/>
                <w:sz w:val="21"/>
                <w:szCs w:val="21"/>
                <w:highlight w:val="none"/>
              </w:rPr>
              <w:t xml:space="preserve">《地下水质量标准》(GBT14848-2017)中的感官性状无机指标等25项等。考虑</w:t>
            </w:r>
            <w:r>
              <w:rPr>
                <w:rFonts w:cs="Times New Roman"/>
                <w:color w:val="000000"/>
                <w:sz w:val="21"/>
                <w:szCs w:val="21"/>
                <w:highlight w:val="none"/>
              </w:rPr>
              <w:t xml:space="preserve">到地块内涉及</w:t>
            </w:r>
            <w:r>
              <w:rPr>
                <w:rFonts w:hint="eastAsia" w:cs="Times New Roman"/>
                <w:color w:val="000000"/>
                <w:sz w:val="21"/>
                <w:szCs w:val="21"/>
                <w:highlight w:val="none"/>
              </w:rPr>
              <w:t xml:space="preserve">DNAPL类物质超标，根据技术规范要求需要分别在水位线以下0.5m和井管底部采集地下水样品</w:t>
            </w:r>
            <w:r>
              <w:rPr>
                <w:rFonts w:cs="Times New Roman"/>
                <w:color w:val="000000"/>
                <w:sz w:val="21"/>
                <w:szCs w:val="21"/>
                <w:highlight w:val="none"/>
              </w:rPr>
              <w:t xml:space="preserve">，地下水样品约</w:t>
            </w:r>
            <w:r>
              <w:rPr>
                <w:rFonts w:hint="eastAsia" w:cs="Times New Roman"/>
                <w:color w:val="000000"/>
                <w:sz w:val="21"/>
                <w:szCs w:val="21"/>
                <w:highlight w:val="none"/>
              </w:rPr>
              <w:t xml:space="preserve">60个</w:t>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333"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60</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spacing w:line="240" w:lineRule="auto"/>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2" w:space="0"/>
            </w:tcBorders>
            <w:tcW w:w="152"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5</w:t>
            </w:r>
            <w:r/>
          </w:p>
        </w:tc>
        <w:tc>
          <w:tcPr>
            <w:tcBorders>
              <w:top w:val="single" w:color="auto" w:sz="4" w:space="0"/>
              <w:left w:val="single" w:color="auto" w:sz="2" w:space="0"/>
              <w:right w:val="single" w:color="auto" w:sz="2" w:space="0"/>
            </w:tcBorders>
            <w:tcW w:w="353" w:type="pct"/>
            <w:vAlign w:val="center"/>
            <w:vMerge w:val="restart"/>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t xml:space="preserve">土壤污染状况调查报告编制</w:t>
            </w:r>
            <w:r/>
          </w:p>
        </w:tc>
        <w:tc>
          <w:tcPr>
            <w:tcBorders>
              <w:top w:val="single" w:color="auto" w:sz="4" w:space="0"/>
              <w:left w:val="single" w:color="auto" w:sz="2" w:space="0"/>
              <w:bottom w:val="single" w:color="auto" w:sz="4" w:space="0"/>
              <w:right w:val="single" w:color="auto" w:sz="4" w:space="0"/>
            </w:tcBorders>
            <w:tcW w:w="2189"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针对宝恒化工地块未开展调查区域，开展资料收集及分析、人员访谈及分析、现场踏勘及分析，并开展污染识别及分析，包括地块的污染分析，以及周边地块的污染分析</w:t>
            </w:r>
            <w:r/>
          </w:p>
        </w:tc>
        <w:tc>
          <w:tcPr>
            <w:tcBorders>
              <w:top w:val="single" w:color="auto" w:sz="4" w:space="0"/>
              <w:left w:val="single" w:color="auto" w:sz="4" w:space="0"/>
              <w:right w:val="single" w:color="auto" w:sz="4" w:space="0"/>
            </w:tcBorders>
            <w:tcW w:w="330" w:type="pct"/>
            <w:vAlign w:val="center"/>
            <w:vMerge w:val="restart"/>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项</w:t>
            </w:r>
            <w:r/>
          </w:p>
        </w:tc>
        <w:tc>
          <w:tcPr>
            <w:tcBorders>
              <w:top w:val="single" w:color="auto" w:sz="4" w:space="0"/>
              <w:left w:val="single" w:color="auto" w:sz="4" w:space="0"/>
              <w:right w:val="single" w:color="auto" w:sz="4" w:space="0"/>
            </w:tcBorders>
            <w:tcW w:w="333" w:type="pct"/>
            <w:vAlign w:val="center"/>
            <w:vMerge w:val="restart"/>
            <w:textDirection w:val="lrTb"/>
            <w:noWrap w:val="false"/>
          </w:tcPr>
          <w:p>
            <w:pPr>
              <w:jc w:val="center"/>
              <w:spacing w:line="240" w:lineRule="auto"/>
              <w:rPr>
                <w:rFonts w:cs="Times New Roman"/>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right w:val="single" w:color="auto" w:sz="4" w:space="0"/>
            </w:tcBorders>
            <w:tcW w:w="555"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right w:val="single" w:color="auto" w:sz="4" w:space="0"/>
            </w:tcBorders>
            <w:tcW w:w="588"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right w:val="single" w:color="auto" w:sz="4" w:space="0"/>
            </w:tcBorders>
            <w:tcW w:w="497" w:type="pct"/>
            <w:vAlign w:val="center"/>
            <w:vMerge w:val="restart"/>
            <w:textDirection w:val="lrTb"/>
            <w:noWrap w:val="false"/>
          </w:tcPr>
          <w:p>
            <w:pPr>
              <w:spacing w:line="240" w:lineRule="auto"/>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52"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right w:val="single" w:color="auto" w:sz="2" w:space="0"/>
            </w:tcBorders>
            <w:tcW w:w="353"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89" w:type="pct"/>
            <w:vAlign w:val="center"/>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t xml:space="preserve">根据前面制定的采样方案，完成土壤和地下水的检测结果分析，分别采用不超标点连线法划定土壤超标范围，根据</w:t>
            </w:r>
            <w:r>
              <w:rPr>
                <w:rFonts w:hint="eastAsia" w:cs="Times New Roman"/>
                <w:bCs/>
                <w:color w:val="000000"/>
                <w:sz w:val="21"/>
                <w:szCs w:val="21"/>
                <w:highlight w:val="none"/>
              </w:rPr>
              <w:t xml:space="preserve">克里金插值法绘制地下水超标污染羽，划定地下水超标范围，确保土壤和地下水污染指标全部兜边界及兜底，计算土壤和地下水超标面积和方量</w:t>
            </w:r>
            <w:r/>
          </w:p>
        </w:tc>
        <w:tc>
          <w:tcPr>
            <w:tcBorders>
              <w:left w:val="single" w:color="auto" w:sz="4" w:space="0"/>
              <w:right w:val="single" w:color="auto" w:sz="4" w:space="0"/>
            </w:tcBorders>
            <w:tcW w:w="330"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33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55"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88"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497"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2" w:space="0"/>
            </w:tcBorders>
            <w:tcW w:w="152"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bottom w:val="single" w:color="auto" w:sz="4" w:space="0"/>
              <w:right w:val="single" w:color="auto" w:sz="2" w:space="0"/>
            </w:tcBorders>
            <w:tcW w:w="353"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4" w:space="0"/>
              <w:left w:val="single" w:color="auto" w:sz="2" w:space="0"/>
              <w:bottom w:val="single" w:color="auto" w:sz="4" w:space="0"/>
              <w:right w:val="single" w:color="auto" w:sz="4" w:space="0"/>
            </w:tcBorders>
            <w:tcW w:w="2189" w:type="pct"/>
            <w:vAlign w:val="center"/>
            <w:textDirection w:val="lrTb"/>
            <w:noWrap w:val="false"/>
          </w:tcPr>
          <w:p>
            <w:pPr>
              <w:jc w:val="center"/>
              <w:spacing w:line="240" w:lineRule="auto"/>
              <w:rPr>
                <w:rFonts w:cs="Times New Roman"/>
                <w:bCs/>
                <w:color w:val="000000"/>
                <w:sz w:val="21"/>
                <w:szCs w:val="21"/>
                <w:highlight w:val="none"/>
              </w:rPr>
            </w:pPr>
            <w:r>
              <w:rPr>
                <w:rFonts w:cs="Times New Roman"/>
                <w:color w:val="000000"/>
                <w:sz w:val="21"/>
                <w:szCs w:val="21"/>
                <w:highlight w:val="none"/>
              </w:rPr>
              <w:t xml:space="preserve">完成全流程的质控报告编制，开展土壤和地下水超标因子的溯源分析，编制</w:t>
            </w:r>
            <w:r>
              <w:rPr>
                <w:rFonts w:cs="Times New Roman"/>
                <w:bCs/>
                <w:color w:val="000000"/>
                <w:sz w:val="21"/>
                <w:szCs w:val="21"/>
                <w:highlight w:val="none"/>
              </w:rPr>
              <w:t xml:space="preserve">土壤污染状况调查报告，并根据专家评审意见修改完善报告，完成报告的备案等</w:t>
            </w:r>
            <w:r/>
          </w:p>
        </w:tc>
        <w:tc>
          <w:tcPr>
            <w:tcBorders>
              <w:left w:val="single" w:color="auto" w:sz="4" w:space="0"/>
              <w:bottom w:val="single" w:color="auto" w:sz="4" w:space="0"/>
              <w:right w:val="single" w:color="auto" w:sz="4" w:space="0"/>
            </w:tcBorders>
            <w:tcW w:w="330"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33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55"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88"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497"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794"/>
        </w:trPr>
        <w:tc>
          <w:tcPr>
            <w:tcBorders>
              <w:top w:val="single" w:color="auto" w:sz="4" w:space="0"/>
              <w:left w:val="single" w:color="auto" w:sz="8" w:space="0"/>
              <w:bottom w:val="single" w:color="auto" w:sz="4" w:space="0"/>
              <w:right w:val="single" w:color="auto" w:sz="2" w:space="0"/>
            </w:tcBorders>
            <w:tcW w:w="152"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6</w:t>
            </w:r>
            <w:r/>
          </w:p>
        </w:tc>
        <w:tc>
          <w:tcPr>
            <w:tcBorders>
              <w:top w:val="single" w:color="auto" w:sz="4" w:space="0"/>
              <w:left w:val="single" w:color="auto" w:sz="2" w:space="0"/>
              <w:bottom w:val="single" w:color="auto" w:sz="4" w:space="0"/>
              <w:right w:val="single" w:color="auto" w:sz="2" w:space="0"/>
            </w:tcBorders>
            <w:tcW w:w="353" w:type="pct"/>
            <w:vAlign w:val="center"/>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t xml:space="preserve">土壤污染状况调查报告专家费、会务费、</w:t>
            </w:r>
            <w:r>
              <w:rPr>
                <w:rFonts w:hint="eastAsia" w:eastAsia="宋体" w:cs="Times New Roman"/>
                <w:bCs/>
                <w:color w:val="000000"/>
                <w:sz w:val="21"/>
                <w:szCs w:val="21"/>
                <w:highlight w:val="none"/>
                <w:lang w:val="en-US" w:eastAsia="zh-CN"/>
              </w:rPr>
              <w:t xml:space="preserve">彩色</w:t>
            </w:r>
            <w:r>
              <w:rPr>
                <w:rFonts w:cs="Times New Roman"/>
                <w:bCs/>
                <w:color w:val="000000"/>
                <w:sz w:val="21"/>
                <w:szCs w:val="21"/>
                <w:highlight w:val="none"/>
              </w:rPr>
              <w:t xml:space="preserve">打印费等等</w:t>
            </w:r>
            <w:r/>
          </w:p>
        </w:tc>
        <w:tc>
          <w:tcPr>
            <w:tcBorders>
              <w:top w:val="single" w:color="auto" w:sz="4" w:space="0"/>
              <w:left w:val="single" w:color="auto" w:sz="2" w:space="0"/>
              <w:bottom w:val="single" w:color="auto" w:sz="4" w:space="0"/>
              <w:right w:val="single" w:color="auto" w:sz="4" w:space="0"/>
            </w:tcBorders>
            <w:tcW w:w="2189"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bCs/>
                <w:color w:val="000000"/>
                <w:sz w:val="21"/>
                <w:szCs w:val="21"/>
                <w:highlight w:val="none"/>
              </w:rPr>
              <w:t xml:space="preserve">市生态环境局至少邀请5名业内专家及相关部门领导，组织召开专家评审会</w:t>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项</w:t>
            </w:r>
            <w:r/>
          </w:p>
        </w:tc>
        <w:tc>
          <w:tcPr>
            <w:tcBorders>
              <w:top w:val="single" w:color="auto" w:sz="4" w:space="0"/>
              <w:left w:val="single" w:color="auto" w:sz="4" w:space="0"/>
              <w:bottom w:val="single" w:color="auto" w:sz="4" w:space="0"/>
              <w:right w:val="single" w:color="auto" w:sz="4" w:space="0"/>
            </w:tcBorders>
            <w:tcW w:w="333"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2" w:space="0"/>
            </w:tcBorders>
            <w:tcW w:w="152"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7</w:t>
            </w:r>
            <w:r/>
          </w:p>
        </w:tc>
        <w:tc>
          <w:tcPr>
            <w:tcBorders>
              <w:top w:val="single" w:color="auto" w:sz="2" w:space="0"/>
              <w:left w:val="single" w:color="auto" w:sz="2" w:space="0"/>
              <w:right w:val="single" w:color="auto" w:sz="2" w:space="0"/>
            </w:tcBorders>
            <w:tcW w:w="353" w:type="pct"/>
            <w:vAlign w:val="center"/>
            <w:vMerge w:val="restart"/>
            <w:textDirection w:val="lrTb"/>
            <w:noWrap w:val="false"/>
          </w:tcPr>
          <w:p>
            <w:pPr>
              <w:jc w:val="center"/>
              <w:spacing w:line="240" w:lineRule="auto"/>
              <w:rPr>
                <w:rFonts w:cs="Times New Roman"/>
                <w:bCs/>
                <w:color w:val="000000"/>
                <w:sz w:val="21"/>
                <w:szCs w:val="21"/>
                <w:highlight w:val="none"/>
              </w:rPr>
            </w:pPr>
            <w:r>
              <w:rPr>
                <w:rFonts w:cs="Times New Roman"/>
                <w:color w:val="000000"/>
                <w:sz w:val="21"/>
                <w:szCs w:val="21"/>
                <w:highlight w:val="none"/>
              </w:rPr>
              <w:t xml:space="preserve">污染物入江风险评估</w:t>
            </w:r>
            <w:r/>
          </w:p>
        </w:tc>
        <w:tc>
          <w:tcPr>
            <w:tcBorders>
              <w:top w:val="single" w:color="auto" w:sz="2" w:space="0"/>
              <w:left w:val="single" w:color="auto" w:sz="2" w:space="0"/>
              <w:bottom w:val="single" w:color="auto" w:sz="2" w:space="0"/>
              <w:right w:val="single" w:color="auto" w:sz="2" w:space="0"/>
            </w:tcBorders>
            <w:tcW w:w="2189"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开展</w:t>
            </w:r>
            <w:r>
              <w:rPr>
                <w:rFonts w:cs="Times New Roman"/>
                <w:bCs/>
                <w:color w:val="000000"/>
                <w:sz w:val="21"/>
                <w:szCs w:val="21"/>
                <w:highlight w:val="none"/>
              </w:rPr>
              <w:t xml:space="preserve">入江风险识别与途径分析，</w:t>
            </w:r>
            <w:r>
              <w:rPr>
                <w:rFonts w:hint="eastAsia" w:cs="Times New Roman"/>
                <w:bCs/>
                <w:color w:val="000000"/>
                <w:sz w:val="21"/>
                <w:szCs w:val="21"/>
                <w:highlight w:val="none"/>
              </w:rPr>
              <w:t xml:space="preserve">结合地块利用类型，识别入江风险因素，分析污染物入江的主要途径及可行性，包括地块污染本身风险、水文水力联系风险、污染物入江途径风险、敏感目标影响风险、暴雨与汛期风险、开发建设新增风险等</w:t>
            </w:r>
            <w:r/>
          </w:p>
        </w:tc>
        <w:tc>
          <w:tcPr>
            <w:tcBorders>
              <w:top w:val="single" w:color="auto" w:sz="4" w:space="0"/>
              <w:left w:val="single" w:color="auto" w:sz="4" w:space="0"/>
              <w:right w:val="single" w:color="auto" w:sz="4" w:space="0"/>
            </w:tcBorders>
            <w:tcW w:w="330"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项</w:t>
            </w:r>
            <w:r/>
          </w:p>
        </w:tc>
        <w:tc>
          <w:tcPr>
            <w:tcBorders>
              <w:top w:val="single" w:color="auto" w:sz="4" w:space="0"/>
              <w:left w:val="single" w:color="auto" w:sz="4" w:space="0"/>
              <w:right w:val="single" w:color="auto" w:sz="4" w:space="0"/>
            </w:tcBorders>
            <w:tcW w:w="333"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right w:val="single" w:color="auto" w:sz="4" w:space="0"/>
            </w:tcBorders>
            <w:tcW w:w="555"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right w:val="single" w:color="auto" w:sz="4" w:space="0"/>
            </w:tcBorders>
            <w:tcW w:w="588"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right w:val="single" w:color="auto" w:sz="4" w:space="0"/>
            </w:tcBorders>
            <w:tcW w:w="497" w:type="pct"/>
            <w:vAlign w:val="center"/>
            <w:vMerge w:val="restart"/>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52"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right w:val="single" w:color="auto" w:sz="2" w:space="0"/>
            </w:tcBorders>
            <w:tcW w:w="35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89"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开展</w:t>
            </w:r>
            <w:r>
              <w:rPr>
                <w:rFonts w:hint="eastAsia" w:cs="Times New Roman"/>
                <w:color w:val="000000"/>
                <w:sz w:val="21"/>
                <w:szCs w:val="21"/>
                <w:highlight w:val="none"/>
              </w:rPr>
              <w:t xml:space="preserve">风险计算与等级判定，采用定性与定量相结合的方法，计算风险指标，判定地块入江风险等级。风险计算采用地下水模拟软件GMS根据MODFLOW模块构建三维有限差分地下水流模型进行计算，需要结合含水层概化和边界条件，开展地下水水流模拟及地下水溶质运移模拟。</w:t>
            </w:r>
            <w:r/>
          </w:p>
        </w:tc>
        <w:tc>
          <w:tcPr>
            <w:tcBorders>
              <w:left w:val="single" w:color="auto" w:sz="4" w:space="0"/>
              <w:right w:val="single" w:color="auto" w:sz="4" w:space="0"/>
            </w:tcBorders>
            <w:tcW w:w="330"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333"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55"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88"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497"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52"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right w:val="single" w:color="auto" w:sz="2" w:space="0"/>
            </w:tcBorders>
            <w:tcW w:w="35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89"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开展</w:t>
            </w:r>
            <w:r>
              <w:rPr>
                <w:rFonts w:cs="Times New Roman"/>
                <w:bCs/>
                <w:color w:val="000000"/>
                <w:sz w:val="21"/>
                <w:szCs w:val="21"/>
                <w:highlight w:val="none"/>
              </w:rPr>
              <w:t xml:space="preserve">入江风险防控措施，</w:t>
            </w:r>
            <w:r>
              <w:rPr>
                <w:rFonts w:hint="eastAsia" w:cs="Times New Roman"/>
                <w:bCs/>
                <w:color w:val="000000"/>
                <w:sz w:val="21"/>
                <w:szCs w:val="21"/>
                <w:highlight w:val="none"/>
              </w:rPr>
              <w:t xml:space="preserve">结合风险等级及地块利用类型，制定针对性、可操作的源头管控、过程拦截、应急处置及长效监测措施</w:t>
            </w:r>
            <w:r/>
          </w:p>
        </w:tc>
        <w:tc>
          <w:tcPr>
            <w:tcBorders>
              <w:left w:val="single" w:color="auto" w:sz="4" w:space="0"/>
              <w:right w:val="single" w:color="auto" w:sz="4" w:space="0"/>
            </w:tcBorders>
            <w:tcW w:w="330"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333"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55"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88"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497"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2" w:space="0"/>
            </w:tcBorders>
            <w:tcW w:w="152"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bottom w:val="single" w:color="auto" w:sz="2" w:space="0"/>
              <w:right w:val="single" w:color="auto" w:sz="2" w:space="0"/>
            </w:tcBorders>
            <w:tcW w:w="353"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89"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开展</w:t>
            </w:r>
            <w:r>
              <w:rPr>
                <w:rFonts w:cs="Times New Roman"/>
                <w:bCs/>
                <w:color w:val="000000"/>
                <w:sz w:val="21"/>
                <w:szCs w:val="21"/>
                <w:highlight w:val="none"/>
              </w:rPr>
              <w:t xml:space="preserve">风险分析报告编制，</w:t>
            </w:r>
            <w:r>
              <w:rPr>
                <w:rFonts w:hint="eastAsia" w:cs="Times New Roman"/>
                <w:bCs/>
                <w:color w:val="000000"/>
                <w:sz w:val="21"/>
                <w:szCs w:val="21"/>
                <w:highlight w:val="none"/>
              </w:rPr>
              <w:t xml:space="preserve">编制入江风险分析报告，作为地块开发利用及监管的依据</w:t>
            </w:r>
            <w:r/>
          </w:p>
        </w:tc>
        <w:tc>
          <w:tcPr>
            <w:tcBorders>
              <w:left w:val="single" w:color="auto" w:sz="4" w:space="0"/>
              <w:bottom w:val="single" w:color="auto" w:sz="4" w:space="0"/>
              <w:right w:val="single" w:color="auto" w:sz="4" w:space="0"/>
            </w:tcBorders>
            <w:tcW w:w="330"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333"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55"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88"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497"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2" w:space="0"/>
            </w:tcBorders>
            <w:tcW w:w="152"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8</w:t>
            </w:r>
            <w:r/>
          </w:p>
        </w:tc>
        <w:tc>
          <w:tcPr>
            <w:tcBorders>
              <w:top w:val="single" w:color="auto" w:sz="2" w:space="0"/>
              <w:left w:val="single" w:color="auto" w:sz="2" w:space="0"/>
              <w:right w:val="single" w:color="auto" w:sz="2" w:space="0"/>
            </w:tcBorders>
            <w:tcW w:w="353" w:type="pct"/>
            <w:vAlign w:val="center"/>
            <w:vMerge w:val="restart"/>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t xml:space="preserve">风险评估报告编制</w:t>
            </w:r>
            <w:r/>
          </w:p>
        </w:tc>
        <w:tc>
          <w:tcPr>
            <w:tcBorders>
              <w:top w:val="single" w:color="auto" w:sz="2" w:space="0"/>
              <w:left w:val="single" w:color="auto" w:sz="2" w:space="0"/>
              <w:bottom w:val="single" w:color="auto" w:sz="2" w:space="0"/>
              <w:right w:val="single" w:color="auto" w:sz="2" w:space="0"/>
            </w:tcBorders>
            <w:tcW w:w="2189"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开展危害识别，收集土壤污染状况调查阶段获得的相关资料和数据，掌握地块土壤和地下水中关注污染物的浓度分布，明确规划土地利用方式，分析可能的敏感受体，如儿童、成人、地下水体等。</w:t>
            </w:r>
            <w:r/>
          </w:p>
        </w:tc>
        <w:tc>
          <w:tcPr>
            <w:tcBorders>
              <w:top w:val="single" w:color="auto" w:sz="4" w:space="0"/>
              <w:left w:val="single" w:color="auto" w:sz="4" w:space="0"/>
              <w:right w:val="single" w:color="auto" w:sz="4" w:space="0"/>
            </w:tcBorders>
            <w:tcW w:w="330"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项</w:t>
            </w:r>
            <w:r/>
          </w:p>
        </w:tc>
        <w:tc>
          <w:tcPr>
            <w:tcBorders>
              <w:top w:val="single" w:color="auto" w:sz="4" w:space="0"/>
              <w:left w:val="single" w:color="auto" w:sz="4" w:space="0"/>
              <w:right w:val="single" w:color="auto" w:sz="4" w:space="0"/>
            </w:tcBorders>
            <w:tcW w:w="333"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right w:val="single" w:color="auto" w:sz="4" w:space="0"/>
            </w:tcBorders>
            <w:tcW w:w="555"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right w:val="single" w:color="auto" w:sz="4" w:space="0"/>
            </w:tcBorders>
            <w:tcW w:w="588" w:type="pct"/>
            <w:vAlign w:val="center"/>
            <w:vMerge w:val="restart"/>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497" w:type="pct"/>
            <w:vAlign w:val="center"/>
            <w:vMerge w:val="restart"/>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52"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right w:val="single" w:color="auto" w:sz="2" w:space="0"/>
            </w:tcBorders>
            <w:tcW w:w="353"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89"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开展暴露评估，在危害识别的基础上，分析地块内关注污染物迁移和危害敏感受体的可能性，确定地块地下水污染物的主要暴露途径和暴露评估模型，确定评估模型参数取值，计算敏感人群对地下水中污染物的暴露量。</w:t>
            </w:r>
            <w:r/>
          </w:p>
        </w:tc>
        <w:tc>
          <w:tcPr>
            <w:tcBorders>
              <w:left w:val="single" w:color="auto" w:sz="4" w:space="0"/>
              <w:right w:val="single" w:color="auto" w:sz="4" w:space="0"/>
            </w:tcBorders>
            <w:tcW w:w="330"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333"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55"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88"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497"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52"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right w:val="single" w:color="auto" w:sz="2" w:space="0"/>
            </w:tcBorders>
            <w:tcW w:w="353"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89"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开展毒性评估，在危害识别的基础上，分析关注污染物对人体健康的危害效应，包括致癌效应和非致癌效应，确定与关注污染物相关的参数，包括参考剂量、参考浓度、致癌斜率因子和呼吸吸入单位致癌因子等。</w:t>
            </w:r>
            <w:r/>
          </w:p>
        </w:tc>
        <w:tc>
          <w:tcPr>
            <w:tcBorders>
              <w:left w:val="single" w:color="auto" w:sz="4" w:space="0"/>
              <w:right w:val="single" w:color="auto" w:sz="4" w:space="0"/>
            </w:tcBorders>
            <w:tcW w:w="330"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333"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55"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88"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497"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right w:val="single" w:color="auto" w:sz="2" w:space="0"/>
            </w:tcBorders>
            <w:tcW w:w="152"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right w:val="single" w:color="auto" w:sz="2" w:space="0"/>
            </w:tcBorders>
            <w:tcW w:w="353"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89"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开展风险表征，在暴露评估和毒性评估的基础上，采用风险评估模型计算土壤和地下水中单一污染物经单一途径的致癌风险和危害商，计算单一污染物的总致癌风险和危害商，进行不确定性分析。</w:t>
            </w:r>
            <w:r/>
          </w:p>
        </w:tc>
        <w:tc>
          <w:tcPr>
            <w:tcBorders>
              <w:left w:val="single" w:color="auto" w:sz="4" w:space="0"/>
              <w:right w:val="single" w:color="auto" w:sz="4" w:space="0"/>
            </w:tcBorders>
            <w:tcW w:w="330"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333"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55"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588"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right w:val="single" w:color="auto" w:sz="4" w:space="0"/>
            </w:tcBorders>
            <w:tcW w:w="497"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2" w:space="0"/>
            </w:tcBorders>
            <w:tcW w:w="152"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2" w:space="0"/>
              <w:bottom w:val="single" w:color="auto" w:sz="2" w:space="0"/>
              <w:right w:val="single" w:color="auto" w:sz="2" w:space="0"/>
            </w:tcBorders>
            <w:tcW w:w="353"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2" w:space="0"/>
              <w:left w:val="single" w:color="auto" w:sz="2" w:space="0"/>
              <w:bottom w:val="single" w:color="auto" w:sz="2" w:space="0"/>
              <w:right w:val="single" w:color="auto" w:sz="2" w:space="0"/>
            </w:tcBorders>
            <w:tcW w:w="2189"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开展土壤和地下水风险控制值的计算，在风险表征的基础上，判断计算得到的风险值是否超过可接受风险水平。如地块风险评估结果未超过可接受风险水平，则结束风险评估工作；如地块风险评估结果超过可接受风险水平，则计算土壤、地下水中关注污染物的风险控制值；如调查结果表明，土壤中关注污染物可迁移进入地下水，则计算保护地下水的土壤风险控制值；根据计算结果，提出关注污染物的土壤和地下水风险控制值。</w:t>
            </w:r>
            <w:r/>
          </w:p>
        </w:tc>
        <w:tc>
          <w:tcPr>
            <w:tcBorders>
              <w:left w:val="single" w:color="auto" w:sz="4" w:space="0"/>
              <w:bottom w:val="single" w:color="auto" w:sz="4" w:space="0"/>
              <w:right w:val="single" w:color="auto" w:sz="4" w:space="0"/>
            </w:tcBorders>
            <w:tcW w:w="330"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333"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55"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588" w:type="pct"/>
            <w:vAlign w:val="center"/>
            <w:vMerge w:val="continue"/>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497" w:type="pct"/>
            <w:vAlign w:val="center"/>
            <w:vMerge w:val="continue"/>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top w:val="single" w:color="auto" w:sz="4" w:space="0"/>
              <w:left w:val="single" w:color="auto" w:sz="8" w:space="0"/>
              <w:right w:val="single" w:color="auto" w:sz="4" w:space="0"/>
            </w:tcBorders>
            <w:tcW w:w="152"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9</w:t>
            </w:r>
            <w:r/>
          </w:p>
        </w:tc>
        <w:tc>
          <w:tcPr>
            <w:tcBorders>
              <w:top w:val="single" w:color="auto" w:sz="4" w:space="0"/>
              <w:left w:val="single" w:color="auto" w:sz="4" w:space="0"/>
              <w:right w:val="single" w:color="auto" w:sz="4" w:space="0"/>
            </w:tcBorders>
            <w:tcW w:w="353" w:type="pct"/>
            <w:vAlign w:val="center"/>
            <w:vMerge w:val="restart"/>
            <w:textDirection w:val="lrTb"/>
            <w:noWrap w:val="false"/>
          </w:tcPr>
          <w:p>
            <w:pPr>
              <w:jc w:val="center"/>
              <w:spacing w:line="240" w:lineRule="auto"/>
              <w:rPr>
                <w:rFonts w:cs="Times New Roman"/>
                <w:color w:val="000000"/>
                <w:sz w:val="21"/>
                <w:szCs w:val="21"/>
                <w:highlight w:val="none"/>
              </w:rPr>
            </w:pPr>
            <w:r>
              <w:rPr>
                <w:rFonts w:cs="Times New Roman"/>
                <w:bCs/>
                <w:color w:val="000000"/>
                <w:sz w:val="21"/>
                <w:szCs w:val="21"/>
                <w:highlight w:val="none"/>
              </w:rPr>
              <w:t xml:space="preserve">风险评估报告专家费、会务费、</w:t>
            </w:r>
            <w:r>
              <w:rPr>
                <w:rFonts w:hint="eastAsia" w:eastAsia="宋体" w:cs="Times New Roman"/>
                <w:bCs/>
                <w:color w:val="000000"/>
                <w:sz w:val="21"/>
                <w:szCs w:val="21"/>
                <w:highlight w:val="none"/>
                <w:lang w:val="en-US" w:eastAsia="zh-CN"/>
              </w:rPr>
              <w:t xml:space="preserve">彩色</w:t>
            </w:r>
            <w:r>
              <w:rPr>
                <w:rFonts w:cs="Times New Roman"/>
                <w:bCs/>
                <w:color w:val="000000"/>
                <w:sz w:val="21"/>
                <w:szCs w:val="21"/>
                <w:highlight w:val="none"/>
              </w:rPr>
              <w:t xml:space="preserve">打印费等</w:t>
            </w:r>
            <w:r/>
          </w:p>
        </w:tc>
        <w:tc>
          <w:tcPr>
            <w:tcBorders>
              <w:top w:val="single" w:color="auto" w:sz="2" w:space="0"/>
              <w:left w:val="single" w:color="auto" w:sz="4" w:space="0"/>
              <w:bottom w:val="single" w:color="auto" w:sz="4" w:space="0"/>
              <w:right w:val="single" w:color="auto" w:sz="4" w:space="0"/>
            </w:tcBorders>
            <w:tcW w:w="2189"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bCs/>
                <w:color w:val="000000"/>
                <w:sz w:val="21"/>
                <w:szCs w:val="21"/>
                <w:highlight w:val="none"/>
              </w:rPr>
              <w:t xml:space="preserve">市生态环境局至少邀请5名业内专家及相关部门领导，组织召开专家评审会</w:t>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项</w:t>
            </w:r>
            <w:r/>
          </w:p>
        </w:tc>
        <w:tc>
          <w:tcPr>
            <w:tcBorders>
              <w:top w:val="single" w:color="auto" w:sz="4" w:space="0"/>
              <w:left w:val="single" w:color="auto" w:sz="4" w:space="0"/>
              <w:bottom w:val="single" w:color="auto" w:sz="4" w:space="0"/>
              <w:right w:val="single" w:color="auto" w:sz="4" w:space="0"/>
            </w:tcBorders>
            <w:tcW w:w="333"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20"/>
        </w:trPr>
        <w:tc>
          <w:tcPr>
            <w:tcBorders>
              <w:left w:val="single" w:color="auto" w:sz="8" w:space="0"/>
              <w:bottom w:val="single" w:color="auto" w:sz="4" w:space="0"/>
              <w:right w:val="single" w:color="auto" w:sz="4" w:space="0"/>
            </w:tcBorders>
            <w:tcW w:w="152" w:type="pct"/>
            <w:vAlign w:val="center"/>
            <w:vMerge w:val="continue"/>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left w:val="single" w:color="auto" w:sz="4" w:space="0"/>
              <w:bottom w:val="single" w:color="auto" w:sz="4" w:space="0"/>
              <w:right w:val="single" w:color="auto" w:sz="4" w:space="0"/>
            </w:tcBorders>
            <w:tcW w:w="353" w:type="pct"/>
            <w:vAlign w:val="center"/>
            <w:vMerge w:val="continue"/>
            <w:textDirection w:val="lrTb"/>
            <w:noWrap w:val="false"/>
          </w:tcPr>
          <w:p>
            <w:pPr>
              <w:jc w:val="center"/>
              <w:spacing w:line="240" w:lineRule="auto"/>
              <w:rPr>
                <w:rFonts w:cs="Times New Roman"/>
                <w:bCs/>
                <w:color w:val="000000"/>
                <w:sz w:val="21"/>
                <w:szCs w:val="21"/>
                <w:highlight w:val="none"/>
              </w:rPr>
            </w:pPr>
            <w:r>
              <w:rPr>
                <w:rFonts w:cs="Times New Roman"/>
                <w:bCs/>
                <w:color w:val="000000"/>
                <w:sz w:val="21"/>
                <w:szCs w:val="21"/>
                <w:highlight w:val="none"/>
              </w:rPr>
            </w:r>
            <w:r/>
          </w:p>
        </w:tc>
        <w:tc>
          <w:tcPr>
            <w:tcBorders>
              <w:top w:val="single" w:color="auto" w:sz="2" w:space="0"/>
              <w:left w:val="single" w:color="auto" w:sz="4" w:space="0"/>
              <w:bottom w:val="single" w:color="auto" w:sz="4" w:space="0"/>
              <w:right w:val="single" w:color="auto" w:sz="4" w:space="0"/>
            </w:tcBorders>
            <w:tcW w:w="2189" w:type="pct"/>
            <w:vAlign w:val="center"/>
            <w:textDirection w:val="lrTb"/>
            <w:noWrap w:val="false"/>
          </w:tcPr>
          <w:p>
            <w:pPr>
              <w:jc w:val="center"/>
              <w:spacing w:line="240" w:lineRule="auto"/>
              <w:rPr>
                <w:rFonts w:cs="Times New Roman"/>
                <w:bCs/>
                <w:color w:val="000000"/>
                <w:sz w:val="21"/>
                <w:szCs w:val="21"/>
                <w:highlight w:val="none"/>
              </w:rPr>
            </w:pPr>
            <w:r>
              <w:rPr>
                <w:rFonts w:hint="eastAsia" w:cs="Times New Roman"/>
                <w:bCs/>
                <w:color w:val="000000"/>
                <w:sz w:val="21"/>
                <w:szCs w:val="21"/>
                <w:highlight w:val="none"/>
              </w:rPr>
              <w:t xml:space="preserve">省生态环境厅至少邀请5名业内专家及相关部门领导，组织召开专家评审会</w:t>
            </w:r>
            <w:r/>
          </w:p>
        </w:tc>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t xml:space="preserve">项</w:t>
            </w:r>
            <w:r/>
          </w:p>
        </w:tc>
        <w:tc>
          <w:tcPr>
            <w:tcBorders>
              <w:top w:val="single" w:color="auto" w:sz="4" w:space="0"/>
              <w:left w:val="single" w:color="auto" w:sz="4" w:space="0"/>
              <w:bottom w:val="single" w:color="auto" w:sz="4" w:space="0"/>
              <w:right w:val="single" w:color="auto" w:sz="4" w:space="0"/>
            </w:tcBorders>
            <w:tcW w:w="333" w:type="pct"/>
            <w:vAlign w:val="center"/>
            <w:textDirection w:val="lrTb"/>
            <w:noWrap w:val="false"/>
          </w:tcPr>
          <w:p>
            <w:pPr>
              <w:jc w:val="center"/>
              <w:spacing w:line="240" w:lineRule="auto"/>
              <w:widowControl/>
              <w:rPr>
                <w:rFonts w:cs="Times New Roman"/>
                <w:color w:val="000000"/>
                <w:sz w:val="21"/>
                <w:szCs w:val="21"/>
                <w:highlight w:val="none"/>
              </w:rPr>
            </w:pPr>
            <w:r>
              <w:rPr>
                <w:rFonts w:hint="eastAsia" w:cs="Times New Roman"/>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55"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widowControl/>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spacing w:line="240" w:lineRule="auto"/>
              <w:widowControl/>
              <w:rPr>
                <w:rFonts w:cs="Times New Roman"/>
                <w:color w:val="000000"/>
                <w:sz w:val="21"/>
                <w:szCs w:val="21"/>
                <w:highlight w:val="none"/>
              </w:rPr>
            </w:pPr>
            <w:r>
              <w:rPr>
                <w:rFonts w:cs="Times New Roman"/>
                <w:color w:val="000000"/>
                <w:sz w:val="21"/>
                <w:szCs w:val="21"/>
                <w:highlight w:val="none"/>
              </w:rPr>
            </w:r>
            <w:r/>
          </w:p>
        </w:tc>
      </w:tr>
      <w:tr>
        <w:trPr>
          <w:jc w:val="center"/>
          <w:trHeight w:val="1187"/>
        </w:trPr>
        <w:tc>
          <w:tcPr>
            <w:gridSpan w:val="6"/>
            <w:tcBorders>
              <w:top w:val="single" w:color="auto" w:sz="2" w:space="0"/>
              <w:left w:val="single" w:color="auto" w:sz="2" w:space="0"/>
              <w:bottom w:val="single" w:color="auto" w:sz="4" w:space="0"/>
              <w:right w:val="single" w:color="auto" w:sz="4" w:space="0"/>
            </w:tcBorders>
            <w:tcW w:w="3914"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rPr>
                <w:rFonts w:cs="Times New Roman"/>
                <w:color w:val="000000"/>
                <w:sz w:val="21"/>
                <w:szCs w:val="21"/>
                <w:highlight w:val="none"/>
              </w:rPr>
            </w:pPr>
            <w:r>
              <w:rPr>
                <w:rFonts w:cs="Times New Roman"/>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spacing w:line="240" w:lineRule="auto"/>
              <w:rPr>
                <w:rFonts w:cs="Times New Roman"/>
                <w:color w:val="000000"/>
                <w:sz w:val="21"/>
                <w:szCs w:val="21"/>
                <w:highlight w:val="none"/>
              </w:rPr>
            </w:pPr>
            <w:r>
              <w:rPr>
                <w:rFonts w:hint="eastAsia" w:cs="Times New Roman"/>
                <w:color w:val="000000"/>
                <w:sz w:val="21"/>
                <w:szCs w:val="21"/>
                <w:highlight w:val="none"/>
              </w:rPr>
              <w:t xml:space="preserve">/</w:t>
            </w:r>
            <w:r/>
          </w:p>
        </w:tc>
      </w:tr>
    </w:tbl>
    <w:p>
      <w:pPr>
        <w:jc w:val="center"/>
        <w:spacing w:line="360" w:lineRule="auto"/>
        <w:rPr>
          <w:rFonts w:hint="eastAsia" w:ascii="宋体" w:hAnsi="宋体" w:eastAsia="宋体" w:cs="宋体"/>
          <w:sz w:val="36"/>
          <w:szCs w:val="36"/>
          <w:highlight w:val="none"/>
          <w:lang w:val="zh-CN"/>
        </w:rPr>
        <w:outlineLvl w:val="0"/>
      </w:pPr>
      <w:r>
        <w:rPr>
          <w:rFonts w:hint="eastAsia" w:ascii="宋体" w:hAnsi="宋体" w:eastAsia="宋体" w:cs="宋体"/>
          <w:sz w:val="36"/>
          <w:szCs w:val="36"/>
          <w:highlight w:val="none"/>
          <w:lang w:val="zh-CN"/>
        </w:rPr>
      </w:r>
      <w:r/>
    </w:p>
    <w:p>
      <w:pPr>
        <w:jc w:val="center"/>
        <w:spacing w:line="360" w:lineRule="auto"/>
        <w:rPr>
          <w:rFonts w:hint="eastAsia" w:ascii="宋体" w:hAnsi="宋体" w:eastAsia="宋体" w:cs="宋体"/>
          <w:sz w:val="36"/>
          <w:szCs w:val="36"/>
          <w:highlight w:val="none"/>
          <w:lang w:val="zh-CN"/>
        </w:rPr>
        <w:outlineLvl w:val="0"/>
      </w:pPr>
      <w:r>
        <w:rPr>
          <w:rFonts w:hint="eastAsia" w:ascii="宋体" w:hAnsi="宋体" w:eastAsia="宋体" w:cs="宋体"/>
          <w:sz w:val="36"/>
          <w:szCs w:val="36"/>
          <w:highlight w:val="none"/>
          <w:lang w:val="zh-CN"/>
        </w:rPr>
      </w:r>
      <w:r/>
    </w:p>
    <w:p>
      <w:pPr>
        <w:jc w:val="center"/>
        <w:spacing w:line="360" w:lineRule="auto"/>
        <w:rPr>
          <w:rFonts w:hint="eastAsia" w:ascii="宋体" w:hAnsi="宋体" w:eastAsia="宋体" w:cs="宋体"/>
          <w:sz w:val="36"/>
          <w:szCs w:val="36"/>
          <w:highlight w:val="none"/>
          <w:lang w:val="zh-CN"/>
        </w:rPr>
        <w:outlineLvl w:val="0"/>
      </w:pPr>
      <w:r>
        <w:rPr>
          <w:rFonts w:hint="eastAsia" w:ascii="宋体" w:hAnsi="宋体" w:eastAsia="宋体" w:cs="宋体"/>
          <w:sz w:val="36"/>
          <w:szCs w:val="36"/>
          <w:highlight w:val="none"/>
          <w:lang w:val="zh-CN"/>
        </w:rPr>
      </w:r>
      <w:r/>
    </w:p>
    <w:p>
      <w:pPr>
        <w:jc w:val="center"/>
        <w:spacing w:line="360" w:lineRule="auto"/>
        <w:rPr>
          <w:rFonts w:hint="eastAsia" w:ascii="宋体" w:hAnsi="宋体" w:eastAsia="宋体" w:cs="宋体"/>
          <w:sz w:val="36"/>
          <w:szCs w:val="36"/>
          <w:highlight w:val="none"/>
          <w:lang w:val="zh-CN"/>
        </w:rPr>
        <w:sectPr>
          <w:footnotePr/>
          <w:endnotePr/>
          <w:type w:val="nextPage"/>
          <w:pgSz w:w="16838" w:h="11911" w:orient="landscape"/>
          <w:pgMar w:top="1531" w:right="1417" w:bottom="1531" w:left="1417" w:header="879" w:footer="1196" w:gutter="0"/>
          <w:cols w:num="1" w:sep="0" w:space="720" w:equalWidth="1"/>
          <w:docGrid w:linePitch="360"/>
        </w:sectPr>
        <w:outlineLvl w:val="0"/>
      </w:pPr>
      <w:r>
        <w:rPr>
          <w:rFonts w:hint="eastAsia" w:ascii="宋体" w:hAnsi="宋体" w:eastAsia="宋体" w:cs="宋体"/>
          <w:sz w:val="36"/>
          <w:szCs w:val="36"/>
          <w:highlight w:val="none"/>
          <w:lang w:val="zh-CN"/>
        </w:rPr>
      </w:r>
      <w:r/>
    </w:p>
    <w:p>
      <w:pPr>
        <w:rPr>
          <w:rFonts w:hint="eastAsia"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r>
      <w:r/>
    </w:p>
    <w:p>
      <w:pPr>
        <w:ind w:firstLine="420"/>
        <w:rPr>
          <w:rFonts w:ascii="宋体" w:hAnsi="宋体"/>
          <w:b/>
          <w:color w:val="000000" w:themeColor="text1"/>
          <w:sz w:val="24"/>
          <w:highlight w:val="none"/>
          <w:lang w:eastAsia="zh-CN"/>
          <w14:textFill>
            <w14:solidFill>
              <w14:schemeClr w14:val="tx1"/>
            </w14:solidFill>
          </w14:textFill>
        </w:rPr>
      </w:pPr>
      <w:r>
        <w:rPr>
          <w:rFonts w:hint="eastAsia" w:ascii="宋体" w:hAnsi="宋体"/>
          <w:b/>
          <w:color w:val="000000" w:themeColor="text1"/>
          <w:sz w:val="24"/>
          <w:highlight w:val="none"/>
          <w:lang w:eastAsia="zh-CN"/>
          <w14:textFill>
            <w14:solidFill>
              <w14:schemeClr w14:val="tx1"/>
            </w14:solidFill>
          </w14:textFill>
        </w:rPr>
        <w:t xml:space="preserve">四、</w:t>
      </w:r>
      <w:bookmarkEnd w:id="160"/>
      <w:r/>
      <w:bookmarkEnd w:id="161"/>
      <w:r/>
      <w:bookmarkEnd w:id="162"/>
      <w:r>
        <w:rPr>
          <w:rFonts w:hint="eastAsia" w:ascii="宋体" w:hAnsi="宋体" w:cs="黑体"/>
          <w:b/>
          <w:bCs/>
          <w:color w:val="000000" w:themeColor="text1"/>
          <w:sz w:val="24"/>
          <w:szCs w:val="21"/>
          <w:highlight w:val="none"/>
          <w:lang w:val="zh-CN" w:eastAsia="zh-CN"/>
          <w14:textFill>
            <w14:solidFill>
              <w14:schemeClr w14:val="tx1"/>
            </w14:solidFill>
          </w14:textFill>
        </w:rPr>
        <w:t xml:space="preserve">资格证明文件</w:t>
      </w:r>
      <w:bookmarkEnd w:id="163"/>
      <w:r/>
      <w:r/>
    </w:p>
    <w:p>
      <w:pPr>
        <w:jc w:val="center"/>
        <w:rPr>
          <w:b/>
          <w:color w:val="000000" w:themeColor="text1"/>
          <w:sz w:val="30"/>
          <w:szCs w:val="30"/>
          <w:highlight w:val="none"/>
          <w:lang w:val="zh-CN" w:eastAsia="zh-CN"/>
          <w14:textFill>
            <w14:solidFill>
              <w14:schemeClr w14:val="tx1"/>
            </w14:solidFill>
          </w14:textFill>
        </w:rPr>
      </w:pPr>
      <w:r/>
      <w:bookmarkStart w:id="164" w:name="_Toc2864"/>
      <w:r/>
      <w:bookmarkStart w:id="165" w:name="_Toc13890"/>
      <w:r/>
      <w:bookmarkStart w:id="166" w:name="_Toc2759"/>
      <w:r/>
      <w:bookmarkStart w:id="167" w:name="_Toc506199229"/>
      <w:r>
        <w:rPr>
          <w:rFonts w:hint="eastAsia"/>
          <w:b/>
          <w:color w:val="000000" w:themeColor="text1"/>
          <w:sz w:val="30"/>
          <w:szCs w:val="30"/>
          <w:highlight w:val="none"/>
          <w:lang w:val="zh-CN" w:eastAsia="zh-CN"/>
          <w14:textFill>
            <w14:solidFill>
              <w14:schemeClr w14:val="tx1"/>
            </w14:solidFill>
          </w14:textFill>
        </w:rPr>
        <w:t xml:space="preserve">资格证明文件（参考）</w:t>
      </w:r>
      <w:bookmarkEnd w:id="164"/>
      <w:r/>
      <w:bookmarkEnd w:id="165"/>
      <w:r/>
      <w:bookmarkEnd w:id="166"/>
      <w:r/>
      <w:bookmarkEnd w:id="167"/>
      <w:r/>
      <w:r/>
    </w:p>
    <w:p>
      <w:pPr>
        <w:spacing w:line="500" w:lineRule="exact"/>
        <w:rPr>
          <w:rFonts w:ascii="宋体" w:cs="宋体"/>
          <w:color w:val="000000" w:themeColor="text1"/>
          <w:sz w:val="24"/>
          <w:szCs w:val="21"/>
          <w:highlight w:val="none"/>
          <w:lang w:val="zh-CN" w:eastAsia="zh-CN"/>
          <w14:textFill>
            <w14:solidFill>
              <w14:schemeClr w14:val="tx1"/>
            </w14:solidFill>
          </w14:textFill>
        </w:rPr>
      </w:pPr>
      <w:r>
        <w:rPr>
          <w:rFonts w:ascii="宋体" w:cs="宋体"/>
          <w:color w:val="000000" w:themeColor="text1"/>
          <w:sz w:val="24"/>
          <w:szCs w:val="21"/>
          <w:highlight w:val="none"/>
          <w:lang w:val="zh-CN" w:eastAsia="zh-CN"/>
          <w14:textFill>
            <w14:solidFill>
              <w14:schemeClr w14:val="tx1"/>
            </w14:solidFill>
          </w14:textFill>
        </w:rPr>
        <w:t xml:space="preserve">1.</w:t>
      </w:r>
      <w:r>
        <w:rPr>
          <w:rFonts w:hint="eastAsia" w:ascii="宋体" w:hAnsi="宋体" w:cs="宋体"/>
          <w:b/>
          <w:bCs/>
          <w:color w:val="000000" w:themeColor="text1"/>
          <w:sz w:val="24"/>
          <w:highlight w:val="none"/>
          <w:lang w:eastAsia="zh-CN"/>
          <w14:textFill>
            <w14:solidFill>
              <w14:schemeClr w14:val="tx1"/>
            </w14:solidFill>
          </w14:textFill>
        </w:rPr>
        <w:t xml:space="preserve"> 磋商公告2.1 参加政府采购活动的供应商应当具备政府采购法第二十二条第一款规定的条件证明材料</w:t>
      </w:r>
      <w:r/>
    </w:p>
    <w:p>
      <w:pPr>
        <w:spacing w:line="500" w:lineRule="exact"/>
        <w:rPr>
          <w:rFonts w:ascii="宋体" w:cs="宋体"/>
          <w:color w:val="000000" w:themeColor="text1"/>
          <w:sz w:val="24"/>
          <w:szCs w:val="21"/>
          <w:highlight w:val="none"/>
          <w:lang w:val="zh-CN" w:eastAsia="zh-CN"/>
          <w14:textFill>
            <w14:solidFill>
              <w14:schemeClr w14:val="tx1"/>
            </w14:solidFill>
          </w14:textFill>
        </w:rPr>
      </w:pPr>
      <w:r>
        <w:rPr>
          <w:rFonts w:hint="eastAsia" w:ascii="宋体" w:cs="宋体"/>
          <w:color w:val="000000" w:themeColor="text1"/>
          <w:sz w:val="24"/>
          <w:szCs w:val="21"/>
          <w:highlight w:val="none"/>
          <w:lang w:val="zh-CN" w:eastAsia="zh-CN"/>
          <w14:textFill>
            <w14:solidFill>
              <w14:schemeClr w14:val="tx1"/>
            </w14:solidFill>
          </w14:textFill>
        </w:rPr>
        <w:t xml:space="preserve">2</w:t>
      </w:r>
      <w:r>
        <w:rPr>
          <w:rFonts w:ascii="宋体" w:cs="宋体"/>
          <w:color w:val="000000" w:themeColor="text1"/>
          <w:sz w:val="24"/>
          <w:szCs w:val="21"/>
          <w:highlight w:val="none"/>
          <w:lang w:val="zh-CN" w:eastAsia="zh-CN"/>
          <w14:textFill>
            <w14:solidFill>
              <w14:schemeClr w14:val="tx1"/>
            </w14:solidFill>
          </w14:textFill>
        </w:rPr>
        <w:t xml:space="preserve">.</w:t>
      </w:r>
      <w:r>
        <w:rPr>
          <w:rFonts w:ascii="宋体" w:hAnsi="宋体" w:cs="宋体"/>
          <w:b/>
          <w:bCs/>
          <w:color w:val="000000" w:themeColor="text1"/>
          <w:sz w:val="24"/>
          <w:highlight w:val="none"/>
          <w:lang w:eastAsia="zh-CN"/>
          <w14:textFill>
            <w14:solidFill>
              <w14:schemeClr w14:val="tx1"/>
            </w14:solidFill>
          </w14:textFill>
        </w:rPr>
        <w:t xml:space="preserve">磋商公告</w:t>
      </w:r>
      <w:r>
        <w:rPr>
          <w:rFonts w:hint="eastAsia" w:ascii="宋体" w:hAnsi="宋体" w:cs="宋体"/>
          <w:b/>
          <w:bCs/>
          <w:color w:val="000000" w:themeColor="text1"/>
          <w:sz w:val="24"/>
          <w:highlight w:val="none"/>
          <w:lang w:eastAsia="zh-CN"/>
          <w14:textFill>
            <w14:solidFill>
              <w14:schemeClr w14:val="tx1"/>
            </w14:solidFill>
          </w14:textFill>
        </w:rPr>
        <w:t xml:space="preserve"> 2.2 采购人根据采购项目的特殊要求规定的特定条件证明材料</w:t>
      </w:r>
      <w:r/>
    </w:p>
    <w:p>
      <w:pPr>
        <w:spacing w:line="500" w:lineRule="exact"/>
        <w:rPr>
          <w:rFonts w:ascii="宋体" w:cs="宋体"/>
          <w:color w:val="000000" w:themeColor="text1"/>
          <w:sz w:val="24"/>
          <w:szCs w:val="21"/>
          <w:highlight w:val="none"/>
          <w:lang w:val="zh-CN" w:eastAsia="zh-CN"/>
          <w14:textFill>
            <w14:solidFill>
              <w14:schemeClr w14:val="tx1"/>
            </w14:solidFill>
          </w14:textFill>
        </w:rPr>
      </w:pPr>
      <w:r>
        <w:rPr>
          <w:rFonts w:hint="eastAsia" w:ascii="宋体" w:cs="宋体"/>
          <w:color w:val="000000" w:themeColor="text1"/>
          <w:sz w:val="24"/>
          <w:szCs w:val="21"/>
          <w:highlight w:val="none"/>
          <w:lang w:eastAsia="zh-CN"/>
          <w14:textFill>
            <w14:solidFill>
              <w14:schemeClr w14:val="tx1"/>
            </w14:solidFill>
          </w14:textFill>
        </w:rPr>
        <w:t xml:space="preserve">3</w:t>
      </w:r>
      <w:r>
        <w:rPr>
          <w:rFonts w:hint="eastAsia" w:ascii="宋体" w:cs="宋体"/>
          <w:color w:val="000000" w:themeColor="text1"/>
          <w:sz w:val="24"/>
          <w:szCs w:val="21"/>
          <w:highlight w:val="none"/>
          <w:lang w:val="zh-CN" w:eastAsia="zh-CN"/>
          <w14:textFill>
            <w14:solidFill>
              <w14:schemeClr w14:val="tx1"/>
            </w14:solidFill>
          </w14:textFill>
        </w:rPr>
        <w:t xml:space="preserve">.南京市政府采购供应商信用记录表暨信用承诺书</w:t>
      </w:r>
      <w:r/>
    </w:p>
    <w:p>
      <w:pPr>
        <w:spacing w:line="500" w:lineRule="exact"/>
        <w:rPr>
          <w:rFonts w:ascii="宋体" w:cs="宋体"/>
          <w:color w:val="000000" w:themeColor="text1"/>
          <w:sz w:val="24"/>
          <w:szCs w:val="21"/>
          <w:highlight w:val="none"/>
          <w:lang w:val="zh-CN" w:eastAsia="zh-CN"/>
          <w14:textFill>
            <w14:solidFill>
              <w14:schemeClr w14:val="tx1"/>
            </w14:solidFill>
          </w14:textFill>
        </w:rPr>
      </w:pPr>
      <w:r>
        <w:rPr>
          <w:rFonts w:hint="eastAsia" w:ascii="宋体" w:cs="宋体"/>
          <w:color w:val="000000" w:themeColor="text1"/>
          <w:sz w:val="24"/>
          <w:szCs w:val="21"/>
          <w:highlight w:val="none"/>
          <w:lang w:eastAsia="zh-CN"/>
          <w14:textFill>
            <w14:solidFill>
              <w14:schemeClr w14:val="tx1"/>
            </w14:solidFill>
          </w14:textFill>
        </w:rPr>
        <w:t xml:space="preserve">4.</w:t>
      </w:r>
      <w:r>
        <w:rPr>
          <w:rFonts w:hint="eastAsia" w:ascii="宋体" w:cs="宋体"/>
          <w:color w:val="000000" w:themeColor="text1"/>
          <w:sz w:val="24"/>
          <w:szCs w:val="21"/>
          <w:highlight w:val="none"/>
          <w:lang w:val="zh-CN" w:eastAsia="zh-CN"/>
          <w14:textFill>
            <w14:solidFill>
              <w14:schemeClr w14:val="tx1"/>
            </w14:solidFill>
          </w14:textFill>
        </w:rPr>
        <w:t xml:space="preserve">投标供应商认为有必要有其他证明文件</w:t>
      </w:r>
      <w:r/>
    </w:p>
    <w:p>
      <w:pPr>
        <w:spacing w:line="440" w:lineRule="exact"/>
        <w:rPr>
          <w:rFonts w:ascii="宋体" w:hAns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r>
      <w:r/>
    </w:p>
    <w:p>
      <w:pPr>
        <w:ind w:right="480" w:firstLine="6480"/>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供应商</w:t>
      </w:r>
      <w:r>
        <w:rPr>
          <w:rFonts w:hint="eastAsia" w:ascii="宋体" w:hAnsi="宋体"/>
          <w:color w:val="000000" w:themeColor="text1"/>
          <w:sz w:val="24"/>
          <w:szCs w:val="21"/>
          <w:highlight w:val="none"/>
          <w:lang w:eastAsia="zh-CN"/>
          <w14:textFill>
            <w14:solidFill>
              <w14:schemeClr w14:val="tx1"/>
            </w14:solidFill>
          </w14:textFill>
        </w:rPr>
        <w:t xml:space="preserve">（盖章）：            </w:t>
      </w:r>
      <w:r/>
    </w:p>
    <w:p>
      <w:pPr>
        <w:ind w:right="240"/>
        <w:jc w:val="right"/>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日  期：     年  月  日</w:t>
      </w:r>
      <w:r/>
    </w:p>
    <w:p>
      <w:pPr>
        <w:ind w:firstLine="960"/>
        <w:rPr>
          <w:rFonts w:ascii="宋体" w:hAnsi="宋体"/>
          <w:b/>
          <w:color w:val="000000" w:themeColor="text1"/>
          <w:sz w:val="24"/>
          <w:szCs w:val="21"/>
          <w:highlight w:val="none"/>
          <w:lang w:eastAsia="zh-CN"/>
          <w14:textFill>
            <w14:solidFill>
              <w14:schemeClr w14:val="tx1"/>
            </w14:solidFill>
          </w14:textFill>
        </w:rPr>
        <w:outlineLvl w:val="1"/>
      </w:pPr>
      <w:r>
        <w:rPr>
          <w:rFonts w:ascii="宋体" w:hAnsi="宋体"/>
          <w:b/>
          <w:color w:val="000000" w:themeColor="text1"/>
          <w:sz w:val="24"/>
          <w:szCs w:val="21"/>
          <w:highlight w:val="none"/>
          <w:lang w:eastAsia="zh-CN"/>
          <w14:textFill>
            <w14:solidFill>
              <w14:schemeClr w14:val="tx1"/>
            </w14:solidFill>
          </w14:textFill>
        </w:rPr>
      </w:r>
      <w:r/>
    </w:p>
    <w:p>
      <w:pPr>
        <w:rPr>
          <w:rFonts w:ascii="宋体" w:hAnsi="宋体"/>
          <w:b/>
          <w:color w:val="000000" w:themeColor="text1"/>
          <w:sz w:val="24"/>
          <w:szCs w:val="21"/>
          <w:highlight w:val="none"/>
          <w:lang w:eastAsia="zh-CN"/>
          <w14:textFill>
            <w14:solidFill>
              <w14:schemeClr w14:val="tx1"/>
            </w14:solidFill>
          </w14:textFill>
        </w:rPr>
        <w:outlineLvl w:val="1"/>
      </w:pPr>
      <w:r>
        <w:rPr>
          <w:rFonts w:ascii="宋体" w:hAnsi="宋体"/>
          <w:b/>
          <w:color w:val="000000" w:themeColor="text1"/>
          <w:sz w:val="24"/>
          <w:szCs w:val="21"/>
          <w:highlight w:val="none"/>
          <w:lang w:eastAsia="zh-CN"/>
          <w14:textFill>
            <w14:solidFill>
              <w14:schemeClr w14:val="tx1"/>
            </w14:solidFill>
          </w14:textFill>
        </w:rPr>
      </w:r>
      <w:r/>
    </w:p>
    <w:p>
      <w:pPr>
        <w:rPr>
          <w:rFonts w:ascii="宋体" w:hAnsi="宋体"/>
          <w:b/>
          <w:color w:val="000000" w:themeColor="text1"/>
          <w:sz w:val="24"/>
          <w:szCs w:val="21"/>
          <w:highlight w:val="none"/>
          <w:lang w:eastAsia="zh-CN"/>
          <w14:textFill>
            <w14:solidFill>
              <w14:schemeClr w14:val="tx1"/>
            </w14:solidFill>
          </w14:textFill>
        </w:rPr>
        <w:outlineLvl w:val="1"/>
      </w:pPr>
      <w:r>
        <w:rPr>
          <w:rFonts w:ascii="宋体" w:hAnsi="宋体"/>
          <w:b/>
          <w:color w:val="000000" w:themeColor="text1"/>
          <w:sz w:val="24"/>
          <w:szCs w:val="21"/>
          <w:highlight w:val="none"/>
          <w:lang w:eastAsia="zh-CN"/>
          <w14:textFill>
            <w14:solidFill>
              <w14:schemeClr w14:val="tx1"/>
            </w14:solidFill>
          </w14:textFill>
        </w:rPr>
      </w:r>
      <w:r/>
    </w:p>
    <w:p>
      <w:pPr>
        <w:ind w:firstLine="960"/>
        <w:rPr>
          <w:rFonts w:ascii="宋体" w:hAnsi="宋体"/>
          <w:b/>
          <w:color w:val="000000" w:themeColor="text1"/>
          <w:sz w:val="24"/>
          <w:szCs w:val="21"/>
          <w:highlight w:val="none"/>
          <w:lang w:eastAsia="zh-CN"/>
          <w14:textFill>
            <w14:solidFill>
              <w14:schemeClr w14:val="tx1"/>
            </w14:solidFill>
          </w14:textFill>
        </w:rPr>
        <w:outlineLvl w:val="1"/>
      </w:pPr>
      <w:r>
        <w:rPr>
          <w:rFonts w:ascii="宋体" w:hAnsi="宋体"/>
          <w:b/>
          <w:color w:val="000000" w:themeColor="text1"/>
          <w:sz w:val="24"/>
          <w:szCs w:val="21"/>
          <w:highlight w:val="none"/>
          <w:lang w:eastAsia="zh-CN"/>
          <w14:textFill>
            <w14:solidFill>
              <w14:schemeClr w14:val="tx1"/>
            </w14:solidFill>
          </w14:textFill>
        </w:rPr>
      </w:r>
      <w:r/>
    </w:p>
    <w:p>
      <w:pPr>
        <w:ind w:firstLine="960"/>
        <w:rPr>
          <w:rFonts w:ascii="宋体" w:hAnsi="宋体"/>
          <w:b/>
          <w:color w:val="000000" w:themeColor="text1"/>
          <w:sz w:val="24"/>
          <w:szCs w:val="21"/>
          <w:highlight w:val="none"/>
          <w:lang w:eastAsia="zh-CN"/>
          <w14:textFill>
            <w14:solidFill>
              <w14:schemeClr w14:val="tx1"/>
            </w14:solidFill>
          </w14:textFill>
        </w:rPr>
        <w:outlineLvl w:val="1"/>
      </w:pPr>
      <w:r>
        <w:rPr>
          <w:rFonts w:ascii="宋体" w:hAnsi="宋体"/>
          <w:b/>
          <w:color w:val="000000" w:themeColor="text1"/>
          <w:sz w:val="24"/>
          <w:szCs w:val="21"/>
          <w:highlight w:val="none"/>
          <w:lang w:eastAsia="zh-CN"/>
          <w14:textFill>
            <w14:solidFill>
              <w14:schemeClr w14:val="tx1"/>
            </w14:solidFill>
          </w14:textFill>
        </w:rPr>
      </w:r>
      <w:r/>
    </w:p>
    <w:p>
      <w:pPr>
        <w:rPr>
          <w:rFonts w:ascii="宋体" w:hAnsi="宋体"/>
          <w:b/>
          <w:color w:val="000000" w:themeColor="text1"/>
          <w:sz w:val="24"/>
          <w:szCs w:val="21"/>
          <w:highlight w:val="none"/>
          <w:lang w:eastAsia="zh-CN"/>
          <w14:textFill>
            <w14:solidFill>
              <w14:schemeClr w14:val="tx1"/>
            </w14:solidFill>
          </w14:textFill>
        </w:rPr>
        <w:outlineLvl w:val="1"/>
      </w:pPr>
      <w:r/>
      <w:bookmarkStart w:id="168" w:name="_Toc9482"/>
      <w:r/>
      <w:bookmarkStart w:id="169" w:name="_Toc29395"/>
      <w:r/>
      <w:bookmarkStart w:id="170" w:name="_Toc175663955"/>
      <w:r/>
      <w:r/>
    </w:p>
    <w:p>
      <w:pPr>
        <w:rPr>
          <w:rFonts w:ascii="宋体" w:hAnsi="宋体"/>
          <w:b/>
          <w:color w:val="000000" w:themeColor="text1"/>
          <w:sz w:val="24"/>
          <w:szCs w:val="21"/>
          <w:highlight w:val="none"/>
          <w:lang w:eastAsia="zh-CN"/>
          <w14:textFill>
            <w14:solidFill>
              <w14:schemeClr w14:val="tx1"/>
            </w14:solidFill>
          </w14:textFill>
        </w:rPr>
        <w:outlineLvl w:val="1"/>
      </w:pPr>
      <w:r>
        <w:rPr>
          <w:rFonts w:ascii="宋体" w:hAnsi="宋体"/>
          <w:b/>
          <w:color w:val="000000" w:themeColor="text1"/>
          <w:sz w:val="24"/>
          <w:szCs w:val="21"/>
          <w:highlight w:val="none"/>
          <w:lang w:eastAsia="zh-CN"/>
          <w14:textFill>
            <w14:solidFill>
              <w14:schemeClr w14:val="tx1"/>
            </w14:solidFill>
          </w14:textFill>
        </w:rPr>
      </w:r>
      <w:r/>
    </w:p>
    <w:p>
      <w:pPr>
        <w:rPr>
          <w:rFonts w:ascii="宋体" w:hAnsi="宋体"/>
          <w:b/>
          <w:color w:val="000000" w:themeColor="text1"/>
          <w:sz w:val="24"/>
          <w:szCs w:val="21"/>
          <w:highlight w:val="none"/>
          <w:lang w:eastAsia="zh-CN"/>
          <w14:textFill>
            <w14:solidFill>
              <w14:schemeClr w14:val="tx1"/>
            </w14:solidFill>
          </w14:textFill>
        </w:rPr>
        <w:outlineLvl w:val="1"/>
      </w:pPr>
      <w:r>
        <w:rPr>
          <w:rFonts w:ascii="宋体" w:hAnsi="宋体"/>
          <w:b/>
          <w:color w:val="000000" w:themeColor="text1"/>
          <w:sz w:val="24"/>
          <w:szCs w:val="21"/>
          <w:highlight w:val="none"/>
          <w:lang w:eastAsia="zh-CN"/>
          <w14:textFill>
            <w14:solidFill>
              <w14:schemeClr w14:val="tx1"/>
            </w14:solidFill>
          </w14:textFill>
        </w:rPr>
      </w:r>
      <w:r/>
    </w:p>
    <w:p>
      <w:pPr>
        <w:rPr>
          <w:rFonts w:ascii="宋体" w:hAnsi="宋体"/>
          <w:b/>
          <w:color w:val="000000" w:themeColor="text1"/>
          <w:sz w:val="24"/>
          <w:szCs w:val="21"/>
          <w:highlight w:val="none"/>
          <w:lang w:eastAsia="zh-CN"/>
          <w14:textFill>
            <w14:solidFill>
              <w14:schemeClr w14:val="tx1"/>
            </w14:solidFill>
          </w14:textFill>
        </w:rPr>
        <w:outlineLvl w:val="1"/>
      </w:pPr>
      <w:r>
        <w:rPr>
          <w:rFonts w:ascii="宋体" w:hAnsi="宋体"/>
          <w:b/>
          <w:color w:val="000000" w:themeColor="text1"/>
          <w:sz w:val="24"/>
          <w:szCs w:val="21"/>
          <w:highlight w:val="none"/>
          <w:lang w:eastAsia="zh-CN"/>
          <w14:textFill>
            <w14:solidFill>
              <w14:schemeClr w14:val="tx1"/>
            </w14:solidFill>
          </w14:textFill>
        </w:rPr>
      </w:r>
      <w:r/>
    </w:p>
    <w:p>
      <w:pPr>
        <w:rPr>
          <w:rFonts w:ascii="宋体" w:hAnsi="宋体"/>
          <w:b/>
          <w:color w:val="000000" w:themeColor="text1"/>
          <w:sz w:val="24"/>
          <w:szCs w:val="21"/>
          <w:highlight w:val="none"/>
          <w:lang w:eastAsia="zh-CN"/>
          <w14:textFill>
            <w14:solidFill>
              <w14:schemeClr w14:val="tx1"/>
            </w14:solidFill>
          </w14:textFill>
        </w:rPr>
        <w:outlineLvl w:val="1"/>
      </w:pPr>
      <w:r>
        <w:rPr>
          <w:rFonts w:hint="eastAsia" w:ascii="宋体" w:hAnsi="宋体"/>
          <w:b/>
          <w:color w:val="000000" w:themeColor="text1"/>
          <w:sz w:val="24"/>
          <w:szCs w:val="21"/>
          <w:highlight w:val="none"/>
          <w:lang w:val="en-US" w:eastAsia="zh-CN"/>
          <w14:textFill>
            <w14:solidFill>
              <w14:schemeClr w14:val="tx1"/>
            </w14:solidFill>
          </w14:textFill>
        </w:rPr>
        <w:t xml:space="preserve">五</w:t>
      </w:r>
      <w:r>
        <w:rPr>
          <w:rFonts w:hint="eastAsia" w:ascii="宋体" w:hAnsi="宋体"/>
          <w:b/>
          <w:color w:val="000000" w:themeColor="text1"/>
          <w:sz w:val="24"/>
          <w:szCs w:val="21"/>
          <w:highlight w:val="none"/>
          <w:lang w:eastAsia="zh-CN"/>
          <w14:textFill>
            <w14:solidFill>
              <w14:schemeClr w14:val="tx1"/>
            </w14:solidFill>
          </w14:textFill>
        </w:rPr>
        <w:t xml:space="preserve">、</w:t>
      </w:r>
      <w:bookmarkEnd w:id="158"/>
      <w:r/>
      <w:bookmarkEnd w:id="168"/>
      <w:r/>
      <w:bookmarkEnd w:id="169"/>
      <w:r>
        <w:rPr>
          <w:rFonts w:hint="eastAsia" w:ascii="宋体" w:hAnsi="宋体"/>
          <w:b/>
          <w:color w:val="000000" w:themeColor="text1"/>
          <w:sz w:val="24"/>
          <w:szCs w:val="21"/>
          <w:highlight w:val="none"/>
          <w:lang w:eastAsia="zh-CN"/>
          <w14:textFill>
            <w14:solidFill>
              <w14:schemeClr w14:val="tx1"/>
            </w14:solidFill>
          </w14:textFill>
        </w:rPr>
        <w:t xml:space="preserve">技术要求</w:t>
      </w:r>
      <w:bookmarkEnd w:id="170"/>
      <w:r/>
      <w:bookmarkEnd w:id="159"/>
      <w:r/>
    </w:p>
    <w:p>
      <w:pPr>
        <w:rPr>
          <w:rFonts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服务</w:t>
      </w:r>
      <w:r>
        <w:rPr>
          <w:rFonts w:hint="eastAsia" w:ascii="宋体" w:hAnsi="宋体"/>
          <w:color w:val="000000" w:themeColor="text1"/>
          <w:sz w:val="24"/>
          <w:highlight w:val="none"/>
          <w:lang w:eastAsia="zh-CN"/>
          <w14:textFill>
            <w14:solidFill>
              <w14:schemeClr w14:val="tx1"/>
            </w14:solidFill>
          </w14:textFill>
        </w:rPr>
        <w:t xml:space="preserve">方案</w:t>
      </w:r>
      <w:r>
        <w:rPr>
          <w:rFonts w:hint="eastAsia" w:ascii="宋体" w:cs="宋体"/>
          <w:color w:val="000000" w:themeColor="text1"/>
          <w:sz w:val="24"/>
          <w:szCs w:val="21"/>
          <w:highlight w:val="none"/>
          <w:lang w:val="zh-CN" w:eastAsia="zh-CN"/>
          <w14:textFill>
            <w14:solidFill>
              <w14:schemeClr w14:val="tx1"/>
            </w14:solidFill>
          </w14:textFill>
        </w:rPr>
        <w:t xml:space="preserve">（格式自拟）</w:t>
      </w:r>
      <w:r/>
    </w:p>
    <w:p>
      <w:pPr>
        <w:rPr>
          <w:rFonts w:ascii="宋体" w:hAnsi="宋体" w:cs="宋体"/>
          <w:b/>
          <w:bCs/>
          <w:color w:val="000000" w:themeColor="text1"/>
          <w:sz w:val="24"/>
          <w:szCs w:val="21"/>
          <w:highlight w:val="none"/>
          <w:lang w:eastAsia="zh-CN"/>
          <w14:textFill>
            <w14:solidFill>
              <w14:schemeClr w14:val="tx1"/>
            </w14:solidFill>
          </w14:textFill>
        </w:rPr>
      </w:pPr>
      <w:r>
        <w:rPr>
          <w:rFonts w:ascii="宋体" w:hAnsi="宋体" w:cs="宋体"/>
          <w:b/>
          <w:bCs/>
          <w:color w:val="000000" w:themeColor="text1"/>
          <w:sz w:val="24"/>
          <w:szCs w:val="21"/>
          <w:highlight w:val="none"/>
          <w:lang w:eastAsia="zh-CN"/>
          <w14:textFill>
            <w14:solidFill>
              <w14:schemeClr w14:val="tx1"/>
            </w14:solidFill>
          </w14:textFill>
        </w:rPr>
      </w:r>
      <w:r/>
    </w:p>
    <w:p>
      <w:pPr>
        <w:rPr>
          <w:rFonts w:ascii="宋体" w:hAnsi="宋体" w:cs="宋体"/>
          <w:b/>
          <w:bCs/>
          <w:color w:val="000000" w:themeColor="text1"/>
          <w:sz w:val="24"/>
          <w:szCs w:val="21"/>
          <w:highlight w:val="none"/>
          <w:lang w:val="zh-CN" w:eastAsia="zh-CN"/>
          <w14:textFill>
            <w14:solidFill>
              <w14:schemeClr w14:val="tx1"/>
            </w14:solidFill>
          </w14:textFill>
        </w:rPr>
      </w:pPr>
      <w:r>
        <w:rPr>
          <w:rFonts w:ascii="宋体" w:hAnsi="宋体" w:cs="宋体"/>
          <w:b/>
          <w:bCs/>
          <w:color w:val="000000" w:themeColor="text1"/>
          <w:sz w:val="24"/>
          <w:szCs w:val="21"/>
          <w:highlight w:val="none"/>
          <w:lang w:val="zh-CN" w:eastAsia="zh-CN"/>
          <w14:textFill>
            <w14:solidFill>
              <w14:schemeClr w14:val="tx1"/>
            </w14:solidFill>
          </w14:textFill>
        </w:rPr>
      </w:r>
      <w:r/>
    </w:p>
    <w:p>
      <w:pPr>
        <w:rPr>
          <w:rFonts w:ascii="宋体" w:hAnsi="宋体" w:cs="宋体"/>
          <w:b/>
          <w:bCs/>
          <w:color w:val="000000" w:themeColor="text1"/>
          <w:sz w:val="24"/>
          <w:szCs w:val="21"/>
          <w:highlight w:val="none"/>
          <w:lang w:val="zh-CN" w:eastAsia="zh-CN"/>
          <w14:textFill>
            <w14:solidFill>
              <w14:schemeClr w14:val="tx1"/>
            </w14:solidFill>
          </w14:textFill>
        </w:rPr>
      </w:pPr>
      <w:r>
        <w:rPr>
          <w:rFonts w:ascii="宋体" w:hAnsi="宋体" w:cs="宋体"/>
          <w:b/>
          <w:bCs/>
          <w:color w:val="000000" w:themeColor="text1"/>
          <w:sz w:val="24"/>
          <w:szCs w:val="21"/>
          <w:highlight w:val="none"/>
          <w:lang w:val="zh-CN" w:eastAsia="zh-CN"/>
          <w14:textFill>
            <w14:solidFill>
              <w14:schemeClr w14:val="tx1"/>
            </w14:solidFill>
          </w14:textFill>
        </w:rPr>
      </w:r>
      <w:r/>
    </w:p>
    <w:p>
      <w:pPr>
        <w:rPr>
          <w:rFonts w:ascii="宋体" w:hAnsi="宋体" w:cs="宋体"/>
          <w:b/>
          <w:bCs/>
          <w:color w:val="000000" w:themeColor="text1"/>
          <w:sz w:val="24"/>
          <w:szCs w:val="21"/>
          <w:highlight w:val="none"/>
          <w:lang w:val="zh-CN" w:eastAsia="zh-CN"/>
          <w14:textFill>
            <w14:solidFill>
              <w14:schemeClr w14:val="tx1"/>
            </w14:solidFill>
          </w14:textFill>
        </w:rPr>
      </w:pPr>
      <w:r>
        <w:rPr>
          <w:rFonts w:ascii="宋体" w:hAnsi="宋体" w:cs="宋体"/>
          <w:b/>
          <w:bCs/>
          <w:color w:val="000000" w:themeColor="text1"/>
          <w:sz w:val="24"/>
          <w:szCs w:val="21"/>
          <w:highlight w:val="none"/>
          <w:lang w:val="zh-CN" w:eastAsia="zh-CN"/>
          <w14:textFill>
            <w14:solidFill>
              <w14:schemeClr w14:val="tx1"/>
            </w14:solidFill>
          </w14:textFill>
        </w:rPr>
      </w:r>
      <w:r/>
    </w:p>
    <w:p>
      <w:pPr>
        <w:rPr>
          <w:rFonts w:ascii="宋体" w:hAnsi="宋体" w:cs="宋体"/>
          <w:b/>
          <w:bCs/>
          <w:color w:val="000000" w:themeColor="text1"/>
          <w:sz w:val="24"/>
          <w:szCs w:val="21"/>
          <w:highlight w:val="none"/>
          <w:lang w:val="zh-CN" w:eastAsia="zh-CN"/>
          <w14:textFill>
            <w14:solidFill>
              <w14:schemeClr w14:val="tx1"/>
            </w14:solidFill>
          </w14:textFill>
        </w:rPr>
      </w:pPr>
      <w:r>
        <w:rPr>
          <w:rFonts w:ascii="宋体" w:hAnsi="宋体" w:cs="宋体"/>
          <w:b/>
          <w:bCs/>
          <w:color w:val="000000" w:themeColor="text1"/>
          <w:sz w:val="24"/>
          <w:szCs w:val="21"/>
          <w:highlight w:val="none"/>
          <w:lang w:val="zh-CN" w:eastAsia="zh-CN"/>
          <w14:textFill>
            <w14:solidFill>
              <w14:schemeClr w14:val="tx1"/>
            </w14:solidFill>
          </w14:textFill>
        </w:rPr>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供应商</w:t>
      </w:r>
      <w:r>
        <w:rPr>
          <w:rFonts w:hint="eastAsia" w:ascii="宋体" w:hAnsi="宋体"/>
          <w:color w:val="000000" w:themeColor="text1"/>
          <w:sz w:val="24"/>
          <w:szCs w:val="21"/>
          <w:highlight w:val="none"/>
          <w:lang w:eastAsia="zh-CN"/>
          <w14:textFill>
            <w14:solidFill>
              <w14:schemeClr w14:val="tx1"/>
            </w14:solidFill>
          </w14:textFill>
        </w:rPr>
        <w:t xml:space="preserve">（盖章）：            </w:t>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日期：   年   月  日</w:t>
      </w:r>
      <w:r/>
    </w:p>
    <w:p>
      <w:pPr>
        <w:rPr>
          <w:rFonts w:ascii="宋体" w:hAnsi="宋体" w:cs="宋体"/>
          <w:b/>
          <w:bCs/>
          <w:color w:val="000000" w:themeColor="text1"/>
          <w:sz w:val="24"/>
          <w:szCs w:val="21"/>
          <w:highlight w:val="none"/>
          <w:lang w:val="zh-CN" w:eastAsia="zh-CN"/>
          <w14:textFill>
            <w14:solidFill>
              <w14:schemeClr w14:val="tx1"/>
            </w14:solidFill>
          </w14:textFill>
        </w:rPr>
      </w:pPr>
      <w:r>
        <w:rPr>
          <w:rFonts w:ascii="宋体" w:hAnsi="宋体" w:cs="宋体"/>
          <w:b/>
          <w:bCs/>
          <w:color w:val="000000" w:themeColor="text1"/>
          <w:sz w:val="24"/>
          <w:szCs w:val="21"/>
          <w:highlight w:val="none"/>
          <w:lang w:val="zh-CN" w:eastAsia="zh-CN"/>
          <w14:textFill>
            <w14:solidFill>
              <w14:schemeClr w14:val="tx1"/>
            </w14:solidFill>
          </w14:textFill>
        </w:rPr>
      </w:r>
      <w:r/>
    </w:p>
    <w:p>
      <w:pPr>
        <w:rPr>
          <w:rFonts w:ascii="宋体" w:hAnsi="宋体" w:eastAsiaTheme="minorEastAsia"/>
          <w:b/>
          <w:color w:val="000000" w:themeColor="text1"/>
          <w:sz w:val="24"/>
          <w:szCs w:val="21"/>
          <w:highlight w:val="none"/>
          <w:lang w:eastAsia="zh-CN"/>
          <w14:textFill>
            <w14:solidFill>
              <w14:schemeClr w14:val="tx1"/>
            </w14:solidFill>
          </w14:textFill>
        </w:rPr>
      </w:pPr>
      <w:r/>
      <w:bookmarkStart w:id="171" w:name="_Toc354594120"/>
      <w:r>
        <w:rPr>
          <w:rFonts w:ascii="宋体" w:hAnsi="宋体" w:eastAsiaTheme="minorEastAsia"/>
          <w:b/>
          <w:color w:val="000000" w:themeColor="text1"/>
          <w:sz w:val="24"/>
          <w:szCs w:val="21"/>
          <w:highlight w:val="none"/>
          <w:lang w:eastAsia="zh-CN"/>
          <w14:textFill>
            <w14:solidFill>
              <w14:schemeClr w14:val="tx1"/>
            </w14:solidFill>
          </w14:textFill>
        </w:rPr>
        <w:br w:type="page" w:clear="all"/>
      </w:r>
      <w:r/>
    </w:p>
    <w:p>
      <w:pPr>
        <w:rPr>
          <w:rFonts w:ascii="宋体" w:hAnsi="宋体"/>
          <w:b/>
          <w:color w:val="000000" w:themeColor="text1"/>
          <w:sz w:val="24"/>
          <w:szCs w:val="21"/>
          <w:highlight w:val="none"/>
          <w:lang w:eastAsia="zh-CN"/>
          <w14:textFill>
            <w14:solidFill>
              <w14:schemeClr w14:val="tx1"/>
            </w14:solidFill>
          </w14:textFill>
        </w:rPr>
        <w:outlineLvl w:val="1"/>
      </w:pPr>
      <w:r/>
      <w:bookmarkStart w:id="172" w:name="_Toc5649"/>
      <w:r/>
      <w:bookmarkStart w:id="173" w:name="_Toc28031"/>
      <w:r/>
      <w:bookmarkStart w:id="174" w:name="_Toc175663956"/>
      <w:r>
        <w:rPr>
          <w:rFonts w:hint="eastAsia" w:ascii="宋体" w:hAnsi="宋体"/>
          <w:b/>
          <w:color w:val="000000" w:themeColor="text1"/>
          <w:sz w:val="24"/>
          <w:szCs w:val="21"/>
          <w:highlight w:val="none"/>
          <w:lang w:val="en-US" w:eastAsia="zh-CN"/>
          <w14:textFill>
            <w14:solidFill>
              <w14:schemeClr w14:val="tx1"/>
            </w14:solidFill>
          </w14:textFill>
        </w:rPr>
        <w:t xml:space="preserve">六</w:t>
      </w:r>
      <w:r>
        <w:rPr>
          <w:rFonts w:hint="eastAsia" w:ascii="宋体" w:hAnsi="宋体"/>
          <w:b/>
          <w:color w:val="000000" w:themeColor="text1"/>
          <w:sz w:val="24"/>
          <w:szCs w:val="21"/>
          <w:highlight w:val="none"/>
          <w:lang w:eastAsia="zh-CN"/>
          <w14:textFill>
            <w14:solidFill>
              <w14:schemeClr w14:val="tx1"/>
            </w14:solidFill>
          </w14:textFill>
        </w:rPr>
        <w:t xml:space="preserve">、项目组成员一览表</w:t>
      </w:r>
      <w:bookmarkEnd w:id="171"/>
      <w:r/>
      <w:bookmarkEnd w:id="172"/>
      <w:r/>
      <w:bookmarkEnd w:id="173"/>
      <w:r/>
      <w:bookmarkEnd w:id="174"/>
      <w:r/>
      <w:r/>
    </w:p>
    <w:p>
      <w:pPr>
        <w:jc w:val="center"/>
        <w:spacing w:line="460" w:lineRule="exact"/>
        <w:rPr>
          <w:rFonts w:ascii="黑体" w:eastAsia="黑体" w:cs="黑体"/>
          <w:b/>
          <w:bCs/>
          <w:color w:val="000000" w:themeColor="text1"/>
          <w:sz w:val="36"/>
          <w:szCs w:val="28"/>
          <w:highlight w:val="none"/>
          <w:lang w:val="zh-CN" w:eastAsia="zh-CN"/>
          <w14:textFill>
            <w14:solidFill>
              <w14:schemeClr w14:val="tx1"/>
            </w14:solidFill>
          </w14:textFill>
        </w:rPr>
      </w:pPr>
      <w:r/>
      <w:bookmarkStart w:id="175" w:name="_Toc341184788"/>
      <w:r>
        <w:rPr>
          <w:rFonts w:hint="eastAsia" w:ascii="黑体" w:eastAsia="黑体" w:cs="黑体"/>
          <w:b/>
          <w:bCs/>
          <w:color w:val="000000" w:themeColor="text1"/>
          <w:sz w:val="36"/>
          <w:szCs w:val="28"/>
          <w:highlight w:val="none"/>
          <w:lang w:val="zh-CN" w:eastAsia="zh-CN"/>
          <w14:textFill>
            <w14:solidFill>
              <w14:schemeClr w14:val="tx1"/>
            </w14:solidFill>
          </w14:textFill>
        </w:rPr>
        <w:t xml:space="preserve">项目组成员一览表</w:t>
      </w:r>
      <w:bookmarkEnd w:id="175"/>
      <w:r/>
      <w:r/>
    </w:p>
    <w:p>
      <w:pPr>
        <w:ind w:firstLine="420"/>
        <w:rPr>
          <w:rFonts w:ascii="宋体" w:hAnsi="宋体"/>
          <w:color w:val="000000" w:themeColor="text1"/>
          <w:sz w:val="24"/>
          <w:szCs w:val="21"/>
          <w:highlight w:val="none"/>
          <w:lang w:val="zh-CN" w:eastAsia="zh-CN"/>
          <w14:textFill>
            <w14:solidFill>
              <w14:schemeClr w14:val="tx1"/>
            </w14:solidFill>
          </w14:textFill>
        </w:rPr>
      </w:pPr>
      <w:r>
        <w:rPr>
          <w:rFonts w:ascii="宋体" w:hAnsi="宋体"/>
          <w:color w:val="000000" w:themeColor="text1"/>
          <w:sz w:val="24"/>
          <w:szCs w:val="21"/>
          <w:highlight w:val="none"/>
          <w:lang w:val="zh-CN" w:eastAsia="zh-CN"/>
          <w14:textFill>
            <w14:solidFill>
              <w14:schemeClr w14:val="tx1"/>
            </w14:solidFill>
          </w14:textFill>
        </w:rPr>
      </w:r>
      <w:r/>
    </w:p>
    <w:tbl>
      <w:tblPr>
        <w:tblStyle w:val="727"/>
        <w:tblW w:w="91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993"/>
        <w:gridCol w:w="992"/>
        <w:gridCol w:w="2126"/>
        <w:gridCol w:w="1559"/>
        <w:gridCol w:w="1560"/>
        <w:gridCol w:w="1276"/>
      </w:tblGrid>
      <w:tr>
        <w:trPr/>
        <w:tc>
          <w:tcPr>
            <w:gridSpan w:val="4"/>
            <w:tcW w:w="4786" w:type="dxa"/>
            <w:vAlign w:val="center"/>
            <w:textDirection w:val="lrTb"/>
            <w:noWrap/>
          </w:tcPr>
          <w:p>
            <w:pPr>
              <w:spacing w:line="240" w:lineRule="auto"/>
              <w:rPr>
                <w:rFonts w:ascii="宋体" w:hAnsi="宋体"/>
                <w:bCs/>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项目名称：</w:t>
            </w:r>
            <w:r>
              <w:rPr>
                <w:rFonts w:hint="eastAsia" w:ascii="宋体" w:hAnsi="宋体" w:eastAsia="宋体" w:cs="宋体"/>
                <w:color w:val="000000" w:themeColor="text1"/>
                <w:sz w:val="24"/>
                <w:highlight w:val="none"/>
                <w:lang w:eastAsia="zh-CN"/>
                <w14:textFill>
                  <w14:solidFill>
                    <w14:schemeClr w14:val="tx1"/>
                  </w14:solidFill>
                </w14:textFill>
              </w:rPr>
              <w:t xml:space="preserve">原铜井化工园退役场地风险评估项目</w:t>
            </w:r>
            <w:r/>
          </w:p>
        </w:tc>
        <w:tc>
          <w:tcPr>
            <w:gridSpan w:val="3"/>
            <w:tcW w:w="4395" w:type="dxa"/>
            <w:textDirection w:val="lrTb"/>
            <w:noWrap w:val="false"/>
          </w:tcPr>
          <w:p>
            <w:pPr>
              <w:spacing w:line="240" w:lineRule="auto"/>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项目编号：JSZC-320115-NJMT-C2026-0003 </w:t>
            </w:r>
            <w:r/>
          </w:p>
        </w:tc>
      </w:tr>
      <w:tr>
        <w:trPr>
          <w:trHeight w:val="527"/>
        </w:trPr>
        <w:tc>
          <w:tcPr>
            <w:tcW w:w="675" w:type="dxa"/>
            <w:vAlign w:val="center"/>
            <w:textDirection w:val="lrTb"/>
            <w:noWrap/>
          </w:tcPr>
          <w:p>
            <w:pPr>
              <w:jc w:val="center"/>
              <w:rPr>
                <w:rFonts w:ascii="宋体"/>
                <w:b/>
                <w:color w:val="000000" w:themeColor="text1"/>
                <w:sz w:val="24"/>
                <w:szCs w:val="21"/>
                <w:highlight w:val="none"/>
                <w:lang w:val="zh-CN"/>
                <w14:textFill>
                  <w14:solidFill>
                    <w14:schemeClr w14:val="tx1"/>
                  </w14:solidFill>
                </w14:textFill>
              </w:rPr>
            </w:pPr>
            <w:r>
              <w:rPr>
                <w:rFonts w:hint="eastAsia" w:ascii="宋体"/>
                <w:b/>
                <w:color w:val="000000" w:themeColor="text1"/>
                <w:sz w:val="24"/>
                <w:szCs w:val="21"/>
                <w:highlight w:val="none"/>
                <w:lang w:val="zh-CN"/>
                <w14:textFill>
                  <w14:solidFill>
                    <w14:schemeClr w14:val="tx1"/>
                  </w14:solidFill>
                </w14:textFill>
              </w:rPr>
              <w:t xml:space="preserve">序号</w:t>
            </w:r>
            <w:r/>
          </w:p>
        </w:tc>
        <w:tc>
          <w:tcPr>
            <w:tcW w:w="993" w:type="dxa"/>
            <w:vAlign w:val="center"/>
            <w:textDirection w:val="lrTb"/>
            <w:noWrap/>
          </w:tcPr>
          <w:p>
            <w:pPr>
              <w:jc w:val="center"/>
              <w:rPr>
                <w:rFonts w:ascii="宋体"/>
                <w:b/>
                <w:color w:val="000000" w:themeColor="text1"/>
                <w:sz w:val="24"/>
                <w:szCs w:val="21"/>
                <w:highlight w:val="none"/>
                <w:lang w:val="zh-CN"/>
                <w14:textFill>
                  <w14:solidFill>
                    <w14:schemeClr w14:val="tx1"/>
                  </w14:solidFill>
                </w14:textFill>
              </w:rPr>
            </w:pPr>
            <w:r>
              <w:rPr>
                <w:rFonts w:hint="eastAsia" w:ascii="宋体"/>
                <w:b/>
                <w:color w:val="000000" w:themeColor="text1"/>
                <w:sz w:val="24"/>
                <w:szCs w:val="21"/>
                <w:highlight w:val="none"/>
                <w:lang w:val="zh-CN"/>
                <w14:textFill>
                  <w14:solidFill>
                    <w14:schemeClr w14:val="tx1"/>
                  </w14:solidFill>
                </w14:textFill>
              </w:rPr>
              <w:t xml:space="preserve">姓名</w:t>
            </w:r>
            <w:r/>
          </w:p>
        </w:tc>
        <w:tc>
          <w:tcPr>
            <w:tcW w:w="992" w:type="dxa"/>
            <w:vAlign w:val="center"/>
            <w:textDirection w:val="lrTb"/>
            <w:noWrap/>
          </w:tcPr>
          <w:p>
            <w:pPr>
              <w:jc w:val="center"/>
              <w:rPr>
                <w:rFonts w:ascii="宋体"/>
                <w:b/>
                <w:color w:val="000000" w:themeColor="text1"/>
                <w:sz w:val="24"/>
                <w:szCs w:val="21"/>
                <w:highlight w:val="none"/>
                <w:lang w:val="zh-CN"/>
                <w14:textFill>
                  <w14:solidFill>
                    <w14:schemeClr w14:val="tx1"/>
                  </w14:solidFill>
                </w14:textFill>
              </w:rPr>
            </w:pPr>
            <w:r>
              <w:rPr>
                <w:rFonts w:hint="eastAsia" w:ascii="宋体"/>
                <w:b/>
                <w:color w:val="000000" w:themeColor="text1"/>
                <w:sz w:val="24"/>
                <w:szCs w:val="21"/>
                <w:highlight w:val="none"/>
                <w:lang w:val="zh-CN"/>
                <w14:textFill>
                  <w14:solidFill>
                    <w14:schemeClr w14:val="tx1"/>
                  </w14:solidFill>
                </w14:textFill>
              </w:rPr>
              <w:t xml:space="preserve">性别</w:t>
            </w:r>
            <w:r/>
          </w:p>
        </w:tc>
        <w:tc>
          <w:tcPr>
            <w:tcW w:w="2126" w:type="dxa"/>
            <w:vAlign w:val="center"/>
            <w:textDirection w:val="lrTb"/>
            <w:noWrap/>
          </w:tcPr>
          <w:p>
            <w:pPr>
              <w:jc w:val="center"/>
              <w:rPr>
                <w:rFonts w:ascii="宋体"/>
                <w:b/>
                <w:color w:val="000000" w:themeColor="text1"/>
                <w:sz w:val="24"/>
                <w:szCs w:val="21"/>
                <w:highlight w:val="none"/>
                <w:lang w:val="zh-CN"/>
                <w14:textFill>
                  <w14:solidFill>
                    <w14:schemeClr w14:val="tx1"/>
                  </w14:solidFill>
                </w14:textFill>
              </w:rPr>
            </w:pPr>
            <w:r>
              <w:rPr>
                <w:rFonts w:hint="eastAsia" w:ascii="宋体"/>
                <w:b/>
                <w:color w:val="000000" w:themeColor="text1"/>
                <w:sz w:val="24"/>
                <w:szCs w:val="21"/>
                <w:highlight w:val="none"/>
                <w:lang w:val="zh-CN"/>
                <w14:textFill>
                  <w14:solidFill>
                    <w14:schemeClr w14:val="tx1"/>
                  </w14:solidFill>
                </w14:textFill>
              </w:rPr>
              <w:t xml:space="preserve">岗位</w:t>
            </w:r>
            <w:r/>
          </w:p>
        </w:tc>
        <w:tc>
          <w:tcPr>
            <w:tcW w:w="1559" w:type="dxa"/>
            <w:vAlign w:val="center"/>
            <w:textDirection w:val="lrTb"/>
            <w:noWrap w:val="false"/>
          </w:tcPr>
          <w:p>
            <w:pPr>
              <w:jc w:val="center"/>
              <w:rPr>
                <w:rFonts w:asciiTheme="minorEastAsia" w:hAnsiTheme="minorEastAsia" w:eastAsiaTheme="minorEastAsia"/>
                <w:b/>
                <w:color w:val="000000" w:themeColor="text1"/>
                <w:sz w:val="24"/>
                <w:szCs w:val="21"/>
                <w:highlight w:val="none"/>
                <w:lang w:val="zh-CN" w:eastAsia="zh-CN"/>
                <w14:textFill>
                  <w14:solidFill>
                    <w14:schemeClr w14:val="tx1"/>
                  </w14:solidFill>
                </w14:textFill>
              </w:rPr>
            </w:pPr>
            <w:r>
              <w:rPr>
                <w:rFonts w:hint="eastAsia" w:asciiTheme="minorEastAsia" w:hAnsiTheme="minorEastAsia" w:eastAsiaTheme="minorEastAsia"/>
                <w:b/>
                <w:color w:val="000000" w:themeColor="text1"/>
                <w:sz w:val="24"/>
                <w:szCs w:val="21"/>
                <w:highlight w:val="none"/>
                <w:lang w:val="zh-CN" w:eastAsia="zh-CN"/>
                <w14:textFill>
                  <w14:solidFill>
                    <w14:schemeClr w14:val="tx1"/>
                  </w14:solidFill>
                </w14:textFill>
              </w:rPr>
              <w:t xml:space="preserve">证书</w:t>
            </w:r>
            <w:r>
              <w:rPr>
                <w:rFonts w:hint="eastAsia" w:ascii="宋体"/>
                <w:b/>
                <w:color w:val="000000" w:themeColor="text1"/>
                <w:sz w:val="24"/>
                <w:szCs w:val="21"/>
                <w:highlight w:val="none"/>
                <w:lang w:val="zh-CN"/>
                <w14:textFill>
                  <w14:solidFill>
                    <w14:schemeClr w14:val="tx1"/>
                  </w14:solidFill>
                </w14:textFill>
              </w:rPr>
              <w:t xml:space="preserve">类型</w:t>
            </w:r>
            <w:r/>
          </w:p>
        </w:tc>
        <w:tc>
          <w:tcPr>
            <w:tcW w:w="1560" w:type="dxa"/>
            <w:vAlign w:val="center"/>
            <w:textDirection w:val="lrTb"/>
            <w:noWrap/>
          </w:tcPr>
          <w:p>
            <w:pPr>
              <w:jc w:val="center"/>
              <w:rPr>
                <w:rFonts w:ascii="宋体"/>
                <w:b/>
                <w:color w:val="000000" w:themeColor="text1"/>
                <w:sz w:val="24"/>
                <w:szCs w:val="21"/>
                <w:highlight w:val="none"/>
                <w:lang w:val="zh-CN"/>
                <w14:textFill>
                  <w14:solidFill>
                    <w14:schemeClr w14:val="tx1"/>
                  </w14:solidFill>
                </w14:textFill>
              </w:rPr>
            </w:pPr>
            <w:r>
              <w:rPr>
                <w:rFonts w:ascii="宋体"/>
                <w:b/>
                <w:color w:val="000000" w:themeColor="text1"/>
                <w:sz w:val="24"/>
                <w:szCs w:val="21"/>
                <w:highlight w:val="none"/>
                <w:lang w:val="zh-CN"/>
                <w14:textFill>
                  <w14:solidFill>
                    <w14:schemeClr w14:val="tx1"/>
                  </w14:solidFill>
                </w14:textFill>
              </w:rPr>
              <w:t xml:space="preserve">证书号</w:t>
            </w:r>
            <w:r/>
          </w:p>
        </w:tc>
        <w:tc>
          <w:tcPr>
            <w:tcW w:w="1276" w:type="dxa"/>
            <w:vAlign w:val="center"/>
            <w:textDirection w:val="lrTb"/>
            <w:noWrap/>
          </w:tcPr>
          <w:p>
            <w:pPr>
              <w:jc w:val="center"/>
              <w:rPr>
                <w:rFonts w:ascii="宋体"/>
                <w:b/>
                <w:color w:val="000000" w:themeColor="text1"/>
                <w:sz w:val="24"/>
                <w:szCs w:val="21"/>
                <w:highlight w:val="none"/>
                <w:lang w:val="zh-CN"/>
                <w14:textFill>
                  <w14:solidFill>
                    <w14:schemeClr w14:val="tx1"/>
                  </w14:solidFill>
                </w14:textFill>
              </w:rPr>
            </w:pPr>
            <w:r>
              <w:rPr>
                <w:rFonts w:hint="eastAsia" w:ascii="宋体"/>
                <w:b/>
                <w:color w:val="000000" w:themeColor="text1"/>
                <w:sz w:val="24"/>
                <w:szCs w:val="21"/>
                <w:highlight w:val="none"/>
                <w:lang w:val="zh-CN"/>
                <w14:textFill>
                  <w14:solidFill>
                    <w14:schemeClr w14:val="tx1"/>
                  </w14:solidFill>
                </w14:textFill>
              </w:rPr>
              <w:t xml:space="preserve">备    注</w:t>
            </w:r>
            <w:r/>
          </w:p>
        </w:tc>
      </w:tr>
      <w:tr>
        <w:trPr/>
        <w:tc>
          <w:tcPr>
            <w:tcW w:w="675"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3"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2"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212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59" w:type="dxa"/>
            <w:textDirection w:val="lrTb"/>
            <w:noWrap w:val="false"/>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60"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27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r>
      <w:tr>
        <w:trPr/>
        <w:tc>
          <w:tcPr>
            <w:tcW w:w="675"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3"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2"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212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59" w:type="dxa"/>
            <w:textDirection w:val="lrTb"/>
            <w:noWrap w:val="false"/>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60"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27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r>
      <w:tr>
        <w:trPr/>
        <w:tc>
          <w:tcPr>
            <w:tcW w:w="675"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3"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2"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212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59" w:type="dxa"/>
            <w:textDirection w:val="lrTb"/>
            <w:noWrap w:val="false"/>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60"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27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r>
      <w:tr>
        <w:trPr/>
        <w:tc>
          <w:tcPr>
            <w:tcW w:w="675"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3"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2"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212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59" w:type="dxa"/>
            <w:textDirection w:val="lrTb"/>
            <w:noWrap w:val="false"/>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60"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27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r>
      <w:tr>
        <w:trPr/>
        <w:tc>
          <w:tcPr>
            <w:tcW w:w="675"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3"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2"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212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59" w:type="dxa"/>
            <w:textDirection w:val="lrTb"/>
            <w:noWrap w:val="false"/>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60"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27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r>
      <w:tr>
        <w:trPr/>
        <w:tc>
          <w:tcPr>
            <w:tcW w:w="675"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3"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2"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212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59" w:type="dxa"/>
            <w:textDirection w:val="lrTb"/>
            <w:noWrap w:val="false"/>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60"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27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r>
      <w:tr>
        <w:trPr/>
        <w:tc>
          <w:tcPr>
            <w:tcW w:w="675"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3"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2"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212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59" w:type="dxa"/>
            <w:textDirection w:val="lrTb"/>
            <w:noWrap w:val="false"/>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60"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27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r>
      <w:tr>
        <w:trPr/>
        <w:tc>
          <w:tcPr>
            <w:tcW w:w="675"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3"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2"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212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59" w:type="dxa"/>
            <w:textDirection w:val="lrTb"/>
            <w:noWrap w:val="false"/>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60"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27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r>
      <w:tr>
        <w:trPr/>
        <w:tc>
          <w:tcPr>
            <w:tcW w:w="675"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3"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2"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212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59" w:type="dxa"/>
            <w:textDirection w:val="lrTb"/>
            <w:noWrap w:val="false"/>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60"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27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r>
    </w:tbl>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供应商</w:t>
      </w:r>
      <w:r>
        <w:rPr>
          <w:rFonts w:hint="eastAsia" w:ascii="宋体" w:hAnsi="宋体"/>
          <w:color w:val="000000" w:themeColor="text1"/>
          <w:sz w:val="24"/>
          <w:szCs w:val="21"/>
          <w:highlight w:val="none"/>
          <w:lang w:eastAsia="zh-CN"/>
          <w14:textFill>
            <w14:solidFill>
              <w14:schemeClr w14:val="tx1"/>
            </w14:solidFill>
          </w14:textFill>
        </w:rPr>
        <w:t xml:space="preserve">（盖章）：            </w:t>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日期：   年   月   日</w:t>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rPr>
          <w:rFonts w:ascii="宋体"/>
          <w:color w:val="000000" w:themeColor="text1"/>
          <w:sz w:val="24"/>
          <w:szCs w:val="21"/>
          <w:highlight w:val="none"/>
          <w:lang w:val="zh-CN" w:eastAsia="zh-CN"/>
          <w14:textFill>
            <w14:solidFill>
              <w14:schemeClr w14:val="tx1"/>
            </w14:solidFill>
          </w14:textFill>
        </w:rPr>
      </w:pPr>
      <w:r>
        <w:rPr>
          <w:rFonts w:hint="eastAsia" w:ascii="宋体"/>
          <w:color w:val="000000" w:themeColor="text1"/>
          <w:sz w:val="24"/>
          <w:szCs w:val="21"/>
          <w:highlight w:val="none"/>
          <w:lang w:val="zh-CN" w:eastAsia="zh-CN"/>
          <w14:textFill>
            <w14:solidFill>
              <w14:schemeClr w14:val="tx1"/>
            </w14:solidFill>
          </w14:textFill>
        </w:rPr>
        <w:t xml:space="preserve">备注栏，可填写该人员擅长的工种，附相关证件加盖公章。</w:t>
      </w:r>
      <w:r/>
    </w:p>
    <w:p>
      <w:pPr>
        <w:rPr>
          <w:rFonts w:ascii="宋体"/>
          <w:color w:val="000000" w:themeColor="text1"/>
          <w:sz w:val="24"/>
          <w:szCs w:val="21"/>
          <w:highlight w:val="none"/>
          <w:lang w:val="zh-CN" w:eastAsia="zh-CN"/>
          <w14:textFill>
            <w14:solidFill>
              <w14:schemeClr w14:val="tx1"/>
            </w14:solidFill>
          </w14:textFill>
        </w:rPr>
      </w:pPr>
      <w:r>
        <w:rPr>
          <w:rFonts w:ascii="宋体"/>
          <w:color w:val="000000" w:themeColor="text1"/>
          <w:sz w:val="24"/>
          <w:szCs w:val="21"/>
          <w:highlight w:val="none"/>
          <w:lang w:val="zh-CN" w:eastAsia="zh-CN"/>
          <w14:textFill>
            <w14:solidFill>
              <w14:schemeClr w14:val="tx1"/>
            </w14:solidFill>
          </w14:textFill>
        </w:rPr>
      </w:r>
      <w:r/>
    </w:p>
    <w:p>
      <w:pPr>
        <w:rPr>
          <w:rFonts w:ascii="宋体"/>
          <w:color w:val="000000" w:themeColor="text1"/>
          <w:sz w:val="24"/>
          <w:szCs w:val="21"/>
          <w:highlight w:val="none"/>
          <w:lang w:val="zh-CN" w:eastAsia="zh-CN"/>
          <w14:textFill>
            <w14:solidFill>
              <w14:schemeClr w14:val="tx1"/>
            </w14:solidFill>
          </w14:textFill>
        </w:rPr>
      </w:pPr>
      <w:r>
        <w:rPr>
          <w:rFonts w:ascii="宋体"/>
          <w:color w:val="000000" w:themeColor="text1"/>
          <w:sz w:val="24"/>
          <w:szCs w:val="21"/>
          <w:highlight w:val="none"/>
          <w:lang w:val="zh-CN" w:eastAsia="zh-CN"/>
          <w14:textFill>
            <w14:solidFill>
              <w14:schemeClr w14:val="tx1"/>
            </w14:solidFill>
          </w14:textFill>
        </w:rPr>
      </w:r>
      <w:r/>
    </w:p>
    <w:p>
      <w:pPr>
        <w:rPr>
          <w:rFonts w:ascii="宋体"/>
          <w:color w:val="000000" w:themeColor="text1"/>
          <w:sz w:val="24"/>
          <w:szCs w:val="21"/>
          <w:highlight w:val="none"/>
          <w:lang w:val="zh-CN" w:eastAsia="zh-CN"/>
          <w14:textFill>
            <w14:solidFill>
              <w14:schemeClr w14:val="tx1"/>
            </w14:solidFill>
          </w14:textFill>
        </w:rPr>
      </w:pPr>
      <w:r>
        <w:rPr>
          <w:rFonts w:ascii="宋体"/>
          <w:color w:val="000000" w:themeColor="text1"/>
          <w:sz w:val="24"/>
          <w:szCs w:val="21"/>
          <w:highlight w:val="none"/>
          <w:lang w:val="zh-CN" w:eastAsia="zh-CN"/>
          <w14:textFill>
            <w14:solidFill>
              <w14:schemeClr w14:val="tx1"/>
            </w14:solidFill>
          </w14:textFill>
        </w:rPr>
      </w:r>
      <w:r/>
    </w:p>
    <w:p>
      <w:pPr>
        <w:rPr>
          <w:rFonts w:ascii="宋体" w:eastAsiaTheme="minorEastAsia"/>
          <w:color w:val="000000" w:themeColor="text1"/>
          <w:sz w:val="24"/>
          <w:szCs w:val="21"/>
          <w:highlight w:val="none"/>
          <w:lang w:val="zh-CN" w:eastAsia="zh-CN"/>
          <w14:textFill>
            <w14:solidFill>
              <w14:schemeClr w14:val="tx1"/>
            </w14:solidFill>
          </w14:textFill>
        </w:rPr>
      </w:pPr>
      <w:r>
        <w:rPr>
          <w:rFonts w:ascii="宋体" w:eastAsiaTheme="minorEastAsia"/>
          <w:color w:val="000000" w:themeColor="text1"/>
          <w:sz w:val="24"/>
          <w:szCs w:val="21"/>
          <w:highlight w:val="none"/>
          <w:lang w:val="zh-CN" w:eastAsia="zh-CN"/>
          <w14:textFill>
            <w14:solidFill>
              <w14:schemeClr w14:val="tx1"/>
            </w14:solidFill>
          </w14:textFill>
        </w:rPr>
      </w:r>
      <w:r/>
    </w:p>
    <w:p>
      <w:pPr>
        <w:pStyle w:val="781"/>
        <w:rPr>
          <w:color w:val="000000" w:themeColor="text1"/>
          <w:highlight w:val="none"/>
          <w:lang w:val="zh-CN" w:eastAsia="zh-CN"/>
          <w14:textFill>
            <w14:solidFill>
              <w14:schemeClr w14:val="tx1"/>
            </w14:solidFill>
          </w14:textFill>
        </w:rPr>
      </w:pPr>
      <w:r>
        <w:rPr>
          <w:color w:val="000000" w:themeColor="text1"/>
          <w:highlight w:val="none"/>
          <w:lang w:val="zh-CN" w:eastAsia="zh-CN"/>
          <w14:textFill>
            <w14:solidFill>
              <w14:schemeClr w14:val="tx1"/>
            </w14:solidFill>
          </w14:textFill>
        </w:rPr>
      </w:r>
      <w:r/>
    </w:p>
    <w:p>
      <w:pPr>
        <w:rPr>
          <w:rFonts w:eastAsiaTheme="minorEastAsia"/>
          <w:color w:val="000000" w:themeColor="text1"/>
          <w:highlight w:val="none"/>
          <w:lang w:val="zh-CN" w:eastAsia="zh-CN"/>
          <w14:textFill>
            <w14:solidFill>
              <w14:schemeClr w14:val="tx1"/>
            </w14:solidFill>
          </w14:textFill>
        </w:rPr>
      </w:pPr>
      <w:r>
        <w:rPr>
          <w:rFonts w:eastAsiaTheme="minorEastAsia"/>
          <w:color w:val="000000" w:themeColor="text1"/>
          <w:highlight w:val="none"/>
          <w:lang w:val="zh-CN" w:eastAsia="zh-CN"/>
          <w14:textFill>
            <w14:solidFill>
              <w14:schemeClr w14:val="tx1"/>
            </w14:solidFill>
          </w14:textFill>
        </w:rPr>
        <w:br w:type="page" w:clear="all"/>
      </w:r>
      <w:r/>
    </w:p>
    <w:p>
      <w:pPr>
        <w:spacing w:line="240" w:lineRule="atLeast"/>
        <w:widowControl/>
        <w:rPr>
          <w:b/>
          <w:color w:val="000000" w:themeColor="text1"/>
          <w:sz w:val="24"/>
          <w:highlight w:val="none"/>
          <w:lang w:eastAsia="zh-CN"/>
          <w14:textFill>
            <w14:solidFill>
              <w14:schemeClr w14:val="tx1"/>
            </w14:solidFill>
          </w14:textFill>
        </w:rPr>
        <w:outlineLvl w:val="1"/>
      </w:pPr>
      <w:r/>
      <w:bookmarkStart w:id="176" w:name="_Toc14286"/>
      <w:r/>
      <w:bookmarkStart w:id="177" w:name="_Toc11058"/>
      <w:r/>
      <w:bookmarkStart w:id="178" w:name="_Toc175663957"/>
      <w:r/>
      <w:bookmarkStart w:id="179" w:name="_Toc459109600"/>
      <w:r/>
      <w:bookmarkStart w:id="180" w:name="_Toc354594121"/>
      <w:r>
        <w:rPr>
          <w:rFonts w:hint="eastAsia"/>
          <w:b/>
          <w:color w:val="000000" w:themeColor="text1"/>
          <w:sz w:val="24"/>
          <w:highlight w:val="none"/>
          <w:lang w:val="en-US" w:eastAsia="zh-CN"/>
          <w14:textFill>
            <w14:solidFill>
              <w14:schemeClr w14:val="tx1"/>
            </w14:solidFill>
          </w14:textFill>
        </w:rPr>
        <w:t xml:space="preserve">七</w:t>
      </w:r>
      <w:r>
        <w:rPr>
          <w:rFonts w:hint="eastAsia"/>
          <w:b/>
          <w:color w:val="000000" w:themeColor="text1"/>
          <w:sz w:val="24"/>
          <w:highlight w:val="none"/>
          <w:lang w:eastAsia="zh-CN"/>
          <w14:textFill>
            <w14:solidFill>
              <w14:schemeClr w14:val="tx1"/>
            </w14:solidFill>
          </w14:textFill>
        </w:rPr>
        <w:t xml:space="preserve">、无重大违法记录声明格式</w:t>
      </w:r>
      <w:bookmarkEnd w:id="176"/>
      <w:r/>
      <w:bookmarkEnd w:id="177"/>
      <w:r/>
      <w:bookmarkEnd w:id="178"/>
      <w:r/>
      <w:bookmarkEnd w:id="179"/>
      <w:r/>
      <w:r/>
    </w:p>
    <w:p>
      <w:pPr>
        <w:jc w:val="center"/>
        <w:rPr>
          <w:rFonts w:ascii="黑体" w:eastAsia="黑体"/>
          <w:color w:val="000000" w:themeColor="text1"/>
          <w:sz w:val="44"/>
          <w:szCs w:val="36"/>
          <w:highlight w:val="none"/>
          <w:lang w:eastAsia="zh-CN"/>
          <w14:textFill>
            <w14:solidFill>
              <w14:schemeClr w14:val="tx1"/>
            </w14:solidFill>
          </w14:textFill>
        </w:rPr>
      </w:pPr>
      <w:r>
        <w:rPr>
          <w:rFonts w:hint="eastAsia" w:ascii="宋体" w:hAnsi="宋体" w:cs="黑体"/>
          <w:b/>
          <w:bCs/>
          <w:color w:val="000000" w:themeColor="text1"/>
          <w:sz w:val="36"/>
          <w:szCs w:val="28"/>
          <w:highlight w:val="none"/>
          <w:lang w:val="zh-CN" w:eastAsia="zh-CN"/>
          <w14:textFill>
            <w14:solidFill>
              <w14:schemeClr w14:val="tx1"/>
            </w14:solidFill>
          </w14:textFill>
        </w:rPr>
        <w:t xml:space="preserve">无重大违法记录声明</w:t>
      </w:r>
      <w:r/>
    </w:p>
    <w:p>
      <w:pPr>
        <w:spacing w:line="360" w:lineRule="auto"/>
        <w:rPr>
          <w:rFonts w:ascii="宋体" w:hAnsi="宋体" w:cs="仿宋_GB2312"/>
          <w:color w:val="000000" w:themeColor="text1"/>
          <w:spacing w:val="6"/>
          <w:sz w:val="24"/>
          <w:szCs w:val="21"/>
          <w:highlight w:val="none"/>
          <w:lang w:eastAsia="zh-CN"/>
          <w14:textFill>
            <w14:solidFill>
              <w14:schemeClr w14:val="tx1"/>
            </w14:solidFill>
          </w14:textFill>
        </w:rPr>
      </w:pPr>
      <w:r>
        <w:rPr>
          <w:rFonts w:hint="eastAsia" w:ascii="宋体" w:hAnsi="宋体" w:eastAsia="宋体" w:cs="宋体"/>
          <w:color w:val="000000" w:themeColor="text1"/>
          <w:spacing w:val="6"/>
          <w:sz w:val="24"/>
          <w:szCs w:val="21"/>
          <w:highlight w:val="none"/>
          <w:lang w:eastAsia="zh-CN"/>
          <w14:textFill>
            <w14:solidFill>
              <w14:schemeClr w14:val="tx1"/>
            </w14:solidFill>
          </w14:textFill>
        </w:rPr>
        <w:t xml:space="preserve">南京江宁滨江经济开发区管理委员会</w:t>
      </w:r>
      <w:r>
        <w:rPr>
          <w:rFonts w:hint="eastAsia" w:ascii="宋体" w:hAnsi="宋体" w:cs="仿宋_GB2312"/>
          <w:color w:val="000000" w:themeColor="text1"/>
          <w:spacing w:val="6"/>
          <w:sz w:val="24"/>
          <w:szCs w:val="21"/>
          <w:highlight w:val="none"/>
          <w:lang w:eastAsia="zh-CN"/>
          <w14:textFill>
            <w14:solidFill>
              <w14:schemeClr w14:val="tx1"/>
            </w14:solidFill>
          </w14:textFill>
        </w:rPr>
        <w:t xml:space="preserve"> ：</w:t>
      </w:r>
      <w:r/>
    </w:p>
    <w:p>
      <w:pPr>
        <w:spacing w:line="360" w:lineRule="auto"/>
        <w:rPr>
          <w:rFonts w:ascii="宋体" w:hAnsi="宋体" w:cs="仿宋_GB2312"/>
          <w:color w:val="000000" w:themeColor="text1"/>
          <w:spacing w:val="6"/>
          <w:sz w:val="24"/>
          <w:szCs w:val="21"/>
          <w:highlight w:val="none"/>
          <w:lang w:eastAsia="zh-CN"/>
          <w14:textFill>
            <w14:solidFill>
              <w14:schemeClr w14:val="tx1"/>
            </w14:solidFill>
          </w14:textFill>
        </w:rPr>
      </w:pPr>
      <w:r>
        <w:rPr>
          <w:rFonts w:hint="eastAsia" w:ascii="宋体" w:hAnsi="宋体" w:cs="仿宋_GB2312"/>
          <w:color w:val="000000" w:themeColor="text1"/>
          <w:spacing w:val="6"/>
          <w:sz w:val="24"/>
          <w:szCs w:val="21"/>
          <w:highlight w:val="none"/>
          <w:lang w:eastAsia="zh-CN"/>
          <w14:textFill>
            <w14:solidFill>
              <w14:schemeClr w14:val="tx1"/>
            </w14:solidFill>
          </w14:textFill>
        </w:rPr>
        <w:t xml:space="preserve">    我单位</w:t>
      </w:r>
      <w:r>
        <w:rPr>
          <w:rFonts w:hint="eastAsia" w:ascii="宋体" w:hAnsi="宋体" w:cs="仿宋_GB2312"/>
          <w:color w:val="000000" w:themeColor="text1"/>
          <w:spacing w:val="6"/>
          <w:sz w:val="24"/>
          <w:szCs w:val="21"/>
          <w:highlight w:val="none"/>
          <w:u w:val="single"/>
          <w:lang w:eastAsia="zh-CN"/>
          <w14:textFill>
            <w14:solidFill>
              <w14:schemeClr w14:val="tx1"/>
            </w14:solidFill>
          </w14:textFill>
        </w:rPr>
        <w:t xml:space="preserve">       </w:t>
      </w:r>
      <w:r>
        <w:rPr>
          <w:rFonts w:hint="eastAsia" w:ascii="宋体" w:hAnsi="宋体" w:cs="仿宋_GB2312"/>
          <w:color w:val="000000" w:themeColor="text1"/>
          <w:spacing w:val="6"/>
          <w:sz w:val="24"/>
          <w:szCs w:val="21"/>
          <w:highlight w:val="none"/>
          <w:lang w:eastAsia="zh-CN"/>
          <w14:textFill>
            <w14:solidFill>
              <w14:schemeClr w14:val="tx1"/>
            </w14:solidFill>
          </w14:textFill>
        </w:rPr>
        <w:t xml:space="preserve">（供应商名称）郑重声明：</w:t>
      </w:r>
      <w:r/>
    </w:p>
    <w:p>
      <w:pPr>
        <w:spacing w:line="360" w:lineRule="auto"/>
        <w:rPr>
          <w:rFonts w:ascii="宋体" w:hAnsi="宋体" w:cs="仿宋_GB2312"/>
          <w:color w:val="000000" w:themeColor="text1"/>
          <w:spacing w:val="6"/>
          <w:sz w:val="24"/>
          <w:szCs w:val="21"/>
          <w:highlight w:val="none"/>
          <w:lang w:eastAsia="zh-CN"/>
          <w14:textFill>
            <w14:solidFill>
              <w14:schemeClr w14:val="tx1"/>
            </w14:solidFill>
          </w14:textFill>
        </w:rPr>
      </w:pPr>
      <w:r>
        <w:rPr>
          <w:rFonts w:hint="eastAsia" w:ascii="宋体" w:hAnsi="宋体" w:cs="仿宋_GB2312"/>
          <w:color w:val="000000" w:themeColor="text1"/>
          <w:spacing w:val="6"/>
          <w:sz w:val="24"/>
          <w:szCs w:val="21"/>
          <w:highlight w:val="none"/>
          <w:lang w:eastAsia="zh-CN"/>
          <w14:textFill>
            <w14:solidFill>
              <w14:schemeClr w14:val="tx1"/>
            </w14:solidFill>
          </w14:textFill>
        </w:rPr>
        <w:t xml:space="preserve">    参加政府采购活动前3年内在经营活动中</w:t>
      </w:r>
      <w:r>
        <w:rPr>
          <w:rFonts w:hint="eastAsia" w:ascii="宋体" w:hAnsi="宋体" w:cs="仿宋_GB2312"/>
          <w:color w:val="000000" w:themeColor="text1"/>
          <w:spacing w:val="6"/>
          <w:sz w:val="24"/>
          <w:szCs w:val="21"/>
          <w:highlight w:val="none"/>
          <w:u w:val="single"/>
          <w:lang w:eastAsia="zh-CN"/>
          <w14:textFill>
            <w14:solidFill>
              <w14:schemeClr w14:val="tx1"/>
            </w14:solidFill>
          </w14:textFill>
        </w:rPr>
        <w:t xml:space="preserve">         </w:t>
      </w:r>
      <w:r>
        <w:rPr>
          <w:rFonts w:hint="eastAsia" w:ascii="宋体" w:hAnsi="宋体" w:cs="仿宋_GB2312"/>
          <w:color w:val="000000" w:themeColor="text1"/>
          <w:spacing w:val="6"/>
          <w:sz w:val="24"/>
          <w:szCs w:val="21"/>
          <w:highlight w:val="none"/>
          <w:lang w:eastAsia="zh-CN"/>
          <w14:textFill>
            <w14:solidFill>
              <w14:schemeClr w14:val="tx1"/>
            </w14:solidFill>
          </w14:textFill>
        </w:rPr>
        <w:t xml:space="preserve">（在下划线上如实填写：有或没有）重大违法记录。</w:t>
      </w:r>
      <w:r/>
    </w:p>
    <w:p>
      <w:pPr>
        <w:spacing w:line="600" w:lineRule="exact"/>
        <w:rPr>
          <w:rFonts w:ascii="宋体" w:hAnsi="宋体" w:cs="仿宋_GB2312"/>
          <w:color w:val="000000" w:themeColor="text1"/>
          <w:spacing w:val="6"/>
          <w:sz w:val="24"/>
          <w:szCs w:val="21"/>
          <w:highlight w:val="none"/>
          <w:lang w:eastAsia="zh-CN"/>
          <w14:textFill>
            <w14:solidFill>
              <w14:schemeClr w14:val="tx1"/>
            </w14:solidFill>
          </w14:textFill>
        </w:rPr>
      </w:pPr>
      <w:r>
        <w:rPr>
          <w:rFonts w:hint="eastAsia" w:ascii="宋体" w:hAnsi="宋体" w:cs="仿宋_GB2312"/>
          <w:color w:val="000000" w:themeColor="text1"/>
          <w:spacing w:val="6"/>
          <w:sz w:val="24"/>
          <w:szCs w:val="21"/>
          <w:highlight w:val="none"/>
          <w:lang w:eastAsia="zh-CN"/>
          <w14:textFill>
            <w14:solidFill>
              <w14:schemeClr w14:val="tx1"/>
            </w14:solidFill>
          </w14:textFill>
        </w:rPr>
        <w:t xml:space="preserve">    （说明：政府采购法第二十二条第一款第五项所称重大违法记录，是指供应商因违法经营受到刑事处罚或者责令停产停业、吊销许可证或者执照、较大数额罚款等行政处罚。）</w:t>
      </w:r>
      <w:r/>
    </w:p>
    <w:p>
      <w:pPr>
        <w:ind w:right="924"/>
        <w:jc w:val="right"/>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供应商</w:t>
      </w:r>
      <w:r>
        <w:rPr>
          <w:rFonts w:hint="eastAsia" w:ascii="宋体" w:hAnsi="宋体"/>
          <w:color w:val="000000" w:themeColor="text1"/>
          <w:sz w:val="24"/>
          <w:szCs w:val="21"/>
          <w:highlight w:val="none"/>
          <w:lang w:eastAsia="zh-CN"/>
          <w14:textFill>
            <w14:solidFill>
              <w14:schemeClr w14:val="tx1"/>
            </w14:solidFill>
          </w14:textFill>
        </w:rPr>
        <w:t xml:space="preserve">（盖章）：            </w:t>
      </w:r>
      <w:r/>
    </w:p>
    <w:p>
      <w:pPr>
        <w:jc w:val="right"/>
        <w:spacing w:line="600" w:lineRule="exact"/>
        <w:rPr>
          <w:rFonts w:ascii="宋体" w:hAnsi="宋体"/>
          <w:b/>
          <w:color w:val="000000" w:themeColor="text1"/>
          <w:sz w:val="24"/>
          <w:szCs w:val="21"/>
          <w:highlight w:val="none"/>
          <w:lang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日  期：    年   月   日</w:t>
      </w:r>
      <w:r/>
    </w:p>
    <w:p>
      <w:pPr>
        <w:spacing w:line="600" w:lineRule="exact"/>
        <w:rPr>
          <w:rFonts w:ascii="宋体" w:hAnsi="宋体" w:cs="黑体"/>
          <w:b/>
          <w:bCs/>
          <w:color w:val="000000" w:themeColor="text1"/>
          <w:sz w:val="24"/>
          <w:szCs w:val="21"/>
          <w:highlight w:val="none"/>
          <w:lang w:eastAsia="zh-CN"/>
          <w14:textFill>
            <w14:solidFill>
              <w14:schemeClr w14:val="tx1"/>
            </w14:solidFill>
          </w14:textFill>
        </w:rPr>
        <w:outlineLvl w:val="1"/>
      </w:pPr>
      <w:r/>
      <w:bookmarkStart w:id="181" w:name="_Toc506199234"/>
      <w:r/>
      <w:bookmarkStart w:id="182" w:name="_Toc504126844"/>
      <w:r/>
      <w:r/>
    </w:p>
    <w:p>
      <w:pPr>
        <w:spacing w:line="460" w:lineRule="exact"/>
        <w:rPr>
          <w:rFonts w:ascii="宋体" w:hAnsi="宋体" w:cs="黑体"/>
          <w:b/>
          <w:bCs/>
          <w:color w:val="000000" w:themeColor="text1"/>
          <w:sz w:val="24"/>
          <w:szCs w:val="21"/>
          <w:highlight w:val="none"/>
          <w:lang w:eastAsia="zh-CN"/>
          <w14:textFill>
            <w14:solidFill>
              <w14:schemeClr w14:val="tx1"/>
            </w14:solidFill>
          </w14:textFill>
        </w:rPr>
        <w:outlineLvl w:val="1"/>
      </w:pPr>
      <w:r>
        <w:rPr>
          <w:rFonts w:ascii="宋体" w:hAnsi="宋体" w:cs="黑体"/>
          <w:b/>
          <w:bCs/>
          <w:color w:val="000000" w:themeColor="text1"/>
          <w:sz w:val="24"/>
          <w:szCs w:val="21"/>
          <w:highlight w:val="none"/>
          <w:lang w:eastAsia="zh-CN"/>
          <w14:textFill>
            <w14:solidFill>
              <w14:schemeClr w14:val="tx1"/>
            </w14:solidFill>
          </w14:textFill>
        </w:rPr>
      </w:r>
      <w:r/>
    </w:p>
    <w:p>
      <w:pPr>
        <w:spacing w:line="460" w:lineRule="exact"/>
        <w:rPr>
          <w:rFonts w:ascii="宋体" w:hAnsi="宋体" w:cs="黑体"/>
          <w:b/>
          <w:bCs/>
          <w:color w:val="000000" w:themeColor="text1"/>
          <w:sz w:val="24"/>
          <w:szCs w:val="21"/>
          <w:highlight w:val="none"/>
          <w:lang w:eastAsia="zh-CN"/>
          <w14:textFill>
            <w14:solidFill>
              <w14:schemeClr w14:val="tx1"/>
            </w14:solidFill>
          </w14:textFill>
        </w:rPr>
        <w:outlineLvl w:val="1"/>
      </w:pPr>
      <w:r>
        <w:rPr>
          <w:rFonts w:ascii="宋体" w:hAnsi="宋体" w:cs="黑体"/>
          <w:b/>
          <w:bCs/>
          <w:color w:val="000000" w:themeColor="text1"/>
          <w:sz w:val="24"/>
          <w:szCs w:val="21"/>
          <w:highlight w:val="none"/>
          <w:lang w:eastAsia="zh-CN"/>
          <w14:textFill>
            <w14:solidFill>
              <w14:schemeClr w14:val="tx1"/>
            </w14:solidFill>
          </w14:textFill>
        </w:rPr>
      </w:r>
      <w:r/>
    </w:p>
    <w:p>
      <w:pPr>
        <w:spacing w:line="460" w:lineRule="exact"/>
        <w:rPr>
          <w:rFonts w:ascii="宋体" w:hAnsi="宋体" w:cs="黑体"/>
          <w:b/>
          <w:bCs/>
          <w:color w:val="000000" w:themeColor="text1"/>
          <w:sz w:val="24"/>
          <w:szCs w:val="21"/>
          <w:highlight w:val="none"/>
          <w:lang w:eastAsia="zh-CN"/>
          <w14:textFill>
            <w14:solidFill>
              <w14:schemeClr w14:val="tx1"/>
            </w14:solidFill>
          </w14:textFill>
        </w:rPr>
        <w:outlineLvl w:val="1"/>
      </w:pPr>
      <w:r>
        <w:rPr>
          <w:rFonts w:ascii="宋体" w:hAnsi="宋体" w:cs="黑体"/>
          <w:b/>
          <w:bCs/>
          <w:color w:val="000000" w:themeColor="text1"/>
          <w:sz w:val="24"/>
          <w:szCs w:val="21"/>
          <w:highlight w:val="none"/>
          <w:lang w:eastAsia="zh-CN"/>
          <w14:textFill>
            <w14:solidFill>
              <w14:schemeClr w14:val="tx1"/>
            </w14:solidFill>
          </w14:textFill>
        </w:rPr>
      </w:r>
      <w:r/>
    </w:p>
    <w:p>
      <w:pPr>
        <w:spacing w:line="460" w:lineRule="exact"/>
        <w:rPr>
          <w:rFonts w:ascii="宋体" w:hAnsi="宋体" w:cs="黑体"/>
          <w:b/>
          <w:bCs/>
          <w:color w:val="000000" w:themeColor="text1"/>
          <w:sz w:val="24"/>
          <w:szCs w:val="21"/>
          <w:highlight w:val="none"/>
          <w:lang w:val="zh-CN" w:eastAsia="zh-CN"/>
          <w14:textFill>
            <w14:solidFill>
              <w14:schemeClr w14:val="tx1"/>
            </w14:solidFill>
          </w14:textFill>
        </w:rPr>
        <w:outlineLvl w:val="1"/>
      </w:pPr>
      <w:r/>
      <w:bookmarkStart w:id="183" w:name="_Toc175663958"/>
      <w:r/>
      <w:bookmarkStart w:id="184" w:name="_Toc27923"/>
      <w:r/>
      <w:bookmarkStart w:id="185" w:name="_Toc11616"/>
      <w:r>
        <w:rPr>
          <w:rFonts w:hint="eastAsia" w:ascii="宋体" w:hAnsi="宋体" w:cs="黑体"/>
          <w:b/>
          <w:bCs/>
          <w:color w:val="000000" w:themeColor="text1"/>
          <w:sz w:val="24"/>
          <w:szCs w:val="21"/>
          <w:highlight w:val="none"/>
          <w:lang w:val="en-US" w:eastAsia="zh-CN"/>
          <w14:textFill>
            <w14:solidFill>
              <w14:schemeClr w14:val="tx1"/>
            </w14:solidFill>
          </w14:textFill>
        </w:rPr>
        <w:t xml:space="preserve">八</w:t>
      </w:r>
      <w:r>
        <w:rPr>
          <w:rFonts w:hint="eastAsia" w:ascii="宋体" w:hAnsi="宋体" w:cs="黑体"/>
          <w:b/>
          <w:bCs/>
          <w:color w:val="000000" w:themeColor="text1"/>
          <w:sz w:val="24"/>
          <w:szCs w:val="21"/>
          <w:highlight w:val="none"/>
          <w:lang w:val="zh-CN" w:eastAsia="zh-CN"/>
          <w14:textFill>
            <w14:solidFill>
              <w14:schemeClr w14:val="tx1"/>
            </w14:solidFill>
          </w14:textFill>
        </w:rPr>
        <w:t xml:space="preserve">、具备履行合同所必需的设备和专业技术能力的书面声明</w:t>
      </w:r>
      <w:bookmarkEnd w:id="181"/>
      <w:r/>
      <w:bookmarkEnd w:id="182"/>
      <w:r/>
      <w:bookmarkEnd w:id="183"/>
      <w:r/>
      <w:bookmarkEnd w:id="184"/>
      <w:r/>
      <w:bookmarkEnd w:id="185"/>
      <w:r/>
      <w:r/>
    </w:p>
    <w:p>
      <w:pPr>
        <w:ind w:firstLine="504"/>
        <w:spacing w:line="360" w:lineRule="auto"/>
        <w:rPr>
          <w:color w:val="000000" w:themeColor="text1"/>
          <w:spacing w:val="6"/>
          <w:sz w:val="24"/>
          <w:szCs w:val="21"/>
          <w:highlight w:val="none"/>
          <w:lang w:eastAsia="zh-CN"/>
          <w14:textFill>
            <w14:solidFill>
              <w14:schemeClr w14:val="tx1"/>
            </w14:solidFill>
          </w14:textFill>
        </w:rPr>
      </w:pPr>
      <w:r>
        <w:rPr>
          <w:color w:val="000000" w:themeColor="text1"/>
          <w:spacing w:val="6"/>
          <w:sz w:val="24"/>
          <w:szCs w:val="21"/>
          <w:highlight w:val="none"/>
          <w:lang w:eastAsia="zh-CN"/>
          <w14:textFill>
            <w14:solidFill>
              <w14:schemeClr w14:val="tx1"/>
            </w14:solidFill>
          </w14:textFill>
        </w:rPr>
      </w:r>
      <w:r/>
    </w:p>
    <w:p>
      <w:pPr>
        <w:spacing w:line="5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    我单位郑重声明：我单位具备履行本项采购合同所必需的设备和专业技术能力，为履行本项采购合同我公司具备如下主要设备和主要专业技术能力：</w:t>
      </w:r>
      <w:r/>
    </w:p>
    <w:p>
      <w:pPr>
        <w:spacing w:line="5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    主要设备有：</w:t>
      </w:r>
      <w:r>
        <w:rPr>
          <w:rFonts w:hint="eastAsia" w:ascii="宋体" w:hAnsi="宋体" w:cs="宋体"/>
          <w:color w:val="000000" w:themeColor="text1"/>
          <w:sz w:val="24"/>
          <w:szCs w:val="21"/>
          <w:highlight w:val="none"/>
          <w:u w:val="single"/>
          <w:lang w:val="zh-CN" w:eastAsia="zh-CN"/>
          <w14:textFill>
            <w14:solidFill>
              <w14:schemeClr w14:val="tx1"/>
            </w14:solidFill>
          </w14:textFill>
        </w:rPr>
        <w:t xml:space="preserve">             </w:t>
      </w:r>
      <w:r>
        <w:rPr>
          <w:rFonts w:hint="eastAsia" w:ascii="宋体" w:hAnsi="宋体" w:cs="宋体"/>
          <w:color w:val="000000" w:themeColor="text1"/>
          <w:sz w:val="24"/>
          <w:szCs w:val="21"/>
          <w:highlight w:val="none"/>
          <w:lang w:val="zh-CN" w:eastAsia="zh-CN"/>
          <w14:textFill>
            <w14:solidFill>
              <w14:schemeClr w14:val="tx1"/>
            </w14:solidFill>
          </w14:textFill>
        </w:rPr>
        <w:t xml:space="preserve">。</w:t>
      </w:r>
      <w:r/>
    </w:p>
    <w:p>
      <w:pPr>
        <w:spacing w:line="5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    主要专业技术能力有：</w:t>
      </w:r>
      <w:r>
        <w:rPr>
          <w:rFonts w:hint="eastAsia" w:ascii="宋体" w:hAnsi="宋体" w:cs="宋体"/>
          <w:color w:val="000000" w:themeColor="text1"/>
          <w:sz w:val="24"/>
          <w:szCs w:val="21"/>
          <w:highlight w:val="none"/>
          <w:u w:val="single"/>
          <w:lang w:val="zh-CN" w:eastAsia="zh-CN"/>
          <w14:textFill>
            <w14:solidFill>
              <w14:schemeClr w14:val="tx1"/>
            </w14:solidFill>
          </w14:textFill>
        </w:rPr>
        <w:t xml:space="preserve">           </w:t>
      </w:r>
      <w:r>
        <w:rPr>
          <w:rFonts w:hint="eastAsia" w:ascii="宋体" w:hAnsi="宋体" w:cs="宋体"/>
          <w:color w:val="000000" w:themeColor="text1"/>
          <w:sz w:val="24"/>
          <w:szCs w:val="21"/>
          <w:highlight w:val="none"/>
          <w:lang w:val="zh-CN" w:eastAsia="zh-CN"/>
          <w14:textFill>
            <w14:solidFill>
              <w14:schemeClr w14:val="tx1"/>
            </w14:solidFill>
          </w14:textFill>
        </w:rPr>
        <w:t xml:space="preserve">。</w:t>
      </w:r>
      <w:r/>
    </w:p>
    <w:p>
      <w:pPr>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ind w:right="840"/>
        <w:spacing w:line="600" w:lineRule="exact"/>
        <w:rPr>
          <w:color w:val="000000" w:themeColor="text1"/>
          <w:sz w:val="24"/>
          <w:szCs w:val="21"/>
          <w:highlight w:val="none"/>
          <w:lang w:val="zh-CN" w:eastAsia="zh-CN"/>
          <w14:textFill>
            <w14:solidFill>
              <w14:schemeClr w14:val="tx1"/>
            </w14:solidFill>
          </w14:textFill>
        </w:rPr>
      </w:pPr>
      <w:r>
        <w:rPr>
          <w:color w:val="000000" w:themeColor="text1"/>
          <w:sz w:val="24"/>
          <w:szCs w:val="21"/>
          <w:highlight w:val="none"/>
          <w:lang w:val="zh-CN" w:eastAsia="zh-CN"/>
          <w14:textFill>
            <w14:solidFill>
              <w14:schemeClr w14:val="tx1"/>
            </w14:solidFill>
          </w14:textFill>
        </w:rPr>
        <w:t xml:space="preserve">供应商</w:t>
      </w:r>
      <w:r>
        <w:rPr>
          <w:color w:val="000000" w:themeColor="text1"/>
          <w:sz w:val="24"/>
          <w:szCs w:val="21"/>
          <w:highlight w:val="none"/>
          <w:lang w:eastAsia="zh-CN"/>
          <w14:textFill>
            <w14:solidFill>
              <w14:schemeClr w14:val="tx1"/>
            </w14:solidFill>
          </w14:textFill>
        </w:rPr>
        <w:t xml:space="preserve">（盖章）：           </w:t>
      </w:r>
      <w:r/>
    </w:p>
    <w:p>
      <w:pPr>
        <w:spacing w:line="600" w:lineRule="exact"/>
        <w:rPr>
          <w:color w:val="000000" w:themeColor="text1"/>
          <w:sz w:val="24"/>
          <w:szCs w:val="21"/>
          <w:highlight w:val="none"/>
          <w:lang w:val="zh-CN" w:eastAsia="zh-CN"/>
          <w14:textFill>
            <w14:solidFill>
              <w14:schemeClr w14:val="tx1"/>
            </w14:solidFill>
          </w14:textFill>
        </w:rPr>
      </w:pPr>
      <w:r>
        <w:rPr>
          <w:color w:val="000000" w:themeColor="text1"/>
          <w:sz w:val="24"/>
          <w:szCs w:val="21"/>
          <w:highlight w:val="none"/>
          <w:lang w:val="zh-CN" w:eastAsia="zh-CN"/>
          <w14:textFill>
            <w14:solidFill>
              <w14:schemeClr w14:val="tx1"/>
            </w14:solidFill>
          </w14:textFill>
        </w:rPr>
        <w:t xml:space="preserve">日    期：    年    月   日</w:t>
      </w:r>
      <w:r/>
    </w:p>
    <w:p>
      <w:pPr>
        <w:spacing w:line="600" w:lineRule="exact"/>
        <w:rPr>
          <w:color w:val="000000" w:themeColor="text1"/>
          <w:sz w:val="24"/>
          <w:szCs w:val="21"/>
          <w:highlight w:val="none"/>
          <w:lang w:val="zh-CN" w:eastAsia="zh-CN"/>
          <w14:textFill>
            <w14:solidFill>
              <w14:schemeClr w14:val="tx1"/>
            </w14:solidFill>
          </w14:textFill>
        </w:rPr>
      </w:pPr>
      <w:r>
        <w:rPr>
          <w:color w:val="000000" w:themeColor="text1"/>
          <w:sz w:val="24"/>
          <w:szCs w:val="21"/>
          <w:highlight w:val="none"/>
          <w:lang w:val="zh-CN" w:eastAsia="zh-CN"/>
          <w14:textFill>
            <w14:solidFill>
              <w14:schemeClr w14:val="tx1"/>
            </w14:solidFill>
          </w14:textFill>
        </w:rPr>
      </w:r>
      <w:r/>
    </w:p>
    <w:p>
      <w:pPr>
        <w:spacing w:line="600" w:lineRule="exact"/>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ind w:right="444"/>
        <w:rPr>
          <w:rFonts w:ascii="宋体" w:hAnsi="宋体"/>
          <w:b/>
          <w:color w:val="000000" w:themeColor="text1"/>
          <w:sz w:val="24"/>
          <w:szCs w:val="21"/>
          <w:highlight w:val="none"/>
          <w:lang w:eastAsia="zh-CN"/>
          <w14:textFill>
            <w14:solidFill>
              <w14:schemeClr w14:val="tx1"/>
            </w14:solidFill>
          </w14:textFill>
        </w:rPr>
      </w:pPr>
      <w:r>
        <w:rPr>
          <w:rFonts w:ascii="宋体" w:hAnsi="宋体"/>
          <w:b/>
          <w:color w:val="000000" w:themeColor="text1"/>
          <w:sz w:val="24"/>
          <w:szCs w:val="21"/>
          <w:highlight w:val="none"/>
          <w:lang w:eastAsia="zh-CN"/>
          <w14:textFill>
            <w14:solidFill>
              <w14:schemeClr w14:val="tx1"/>
            </w14:solidFill>
          </w14:textFill>
        </w:rPr>
      </w:r>
      <w:r/>
    </w:p>
    <w:p>
      <w:pPr>
        <w:ind w:right="444"/>
        <w:rPr>
          <w:rFonts w:ascii="宋体" w:hAnsi="宋体"/>
          <w:b/>
          <w:color w:val="000000" w:themeColor="text1"/>
          <w:sz w:val="24"/>
          <w:szCs w:val="21"/>
          <w:highlight w:val="none"/>
          <w:lang w:eastAsia="zh-CN"/>
          <w14:textFill>
            <w14:solidFill>
              <w14:schemeClr w14:val="tx1"/>
            </w14:solidFill>
          </w14:textFill>
        </w:rPr>
      </w:pPr>
      <w:r>
        <w:rPr>
          <w:rFonts w:ascii="宋体" w:hAnsi="宋体"/>
          <w:b/>
          <w:color w:val="000000" w:themeColor="text1"/>
          <w:sz w:val="24"/>
          <w:szCs w:val="21"/>
          <w:highlight w:val="none"/>
          <w:lang w:eastAsia="zh-CN"/>
          <w14:textFill>
            <w14:solidFill>
              <w14:schemeClr w14:val="tx1"/>
            </w14:solidFill>
          </w14:textFill>
        </w:rPr>
      </w:r>
      <w:r/>
    </w:p>
    <w:p>
      <w:pPr>
        <w:rPr>
          <w:rFonts w:ascii="宋体" w:hAnsi="宋体"/>
          <w:b/>
          <w:color w:val="000000" w:themeColor="text1"/>
          <w:sz w:val="24"/>
          <w:szCs w:val="21"/>
          <w:highlight w:val="none"/>
          <w:lang w:eastAsia="zh-CN"/>
          <w14:textFill>
            <w14:solidFill>
              <w14:schemeClr w14:val="tx1"/>
            </w14:solidFill>
          </w14:textFill>
        </w:rPr>
        <w:outlineLvl w:val="1"/>
      </w:pPr>
      <w:r/>
      <w:bookmarkStart w:id="186" w:name="_Toc13813"/>
      <w:r/>
      <w:bookmarkStart w:id="187" w:name="_Toc28457"/>
      <w:r/>
      <w:bookmarkStart w:id="188" w:name="_Toc175663959"/>
      <w:r>
        <w:rPr>
          <w:rFonts w:hint="eastAsia" w:ascii="宋体" w:hAnsi="宋体"/>
          <w:b/>
          <w:color w:val="000000" w:themeColor="text1"/>
          <w:sz w:val="24"/>
          <w:szCs w:val="21"/>
          <w:highlight w:val="none"/>
          <w:lang w:val="en-US" w:eastAsia="zh-CN"/>
          <w14:textFill>
            <w14:solidFill>
              <w14:schemeClr w14:val="tx1"/>
            </w14:solidFill>
          </w14:textFill>
        </w:rPr>
        <w:t xml:space="preserve">九</w:t>
      </w:r>
      <w:r>
        <w:rPr>
          <w:rFonts w:hint="eastAsia" w:ascii="宋体" w:hAnsi="宋体"/>
          <w:b/>
          <w:color w:val="000000" w:themeColor="text1"/>
          <w:sz w:val="24"/>
          <w:szCs w:val="21"/>
          <w:highlight w:val="none"/>
          <w:lang w:eastAsia="zh-CN"/>
          <w14:textFill>
            <w14:solidFill>
              <w14:schemeClr w14:val="tx1"/>
            </w14:solidFill>
          </w14:textFill>
        </w:rPr>
        <w:t xml:space="preserve">、</w:t>
      </w:r>
      <w:bookmarkEnd w:id="180"/>
      <w:r/>
      <w:bookmarkEnd w:id="186"/>
      <w:r/>
      <w:bookmarkEnd w:id="187"/>
      <w:r>
        <w:rPr>
          <w:rFonts w:hint="eastAsia" w:ascii="宋体" w:hAnsi="宋体"/>
          <w:b/>
          <w:color w:val="000000" w:themeColor="text1"/>
          <w:sz w:val="24"/>
          <w:szCs w:val="21"/>
          <w:highlight w:val="none"/>
          <w:lang w:eastAsia="zh-CN"/>
          <w14:textFill>
            <w14:solidFill>
              <w14:schemeClr w14:val="tx1"/>
            </w14:solidFill>
          </w14:textFill>
        </w:rPr>
        <w:t xml:space="preserve">服务承诺书</w:t>
      </w:r>
      <w:bookmarkEnd w:id="188"/>
      <w:r/>
      <w:r/>
    </w:p>
    <w:p>
      <w:pPr>
        <w:jc w:val="center"/>
        <w:spacing w:line="460" w:lineRule="exact"/>
        <w:rPr>
          <w:rFonts w:ascii="黑体" w:eastAsia="黑体" w:cs="黑体"/>
          <w:b/>
          <w:bCs/>
          <w:color w:val="000000" w:themeColor="text1"/>
          <w:sz w:val="36"/>
          <w:szCs w:val="28"/>
          <w:highlight w:val="none"/>
          <w:lang w:val="zh-CN" w:eastAsia="zh-CN"/>
          <w14:textFill>
            <w14:solidFill>
              <w14:schemeClr w14:val="tx1"/>
            </w14:solidFill>
          </w14:textFill>
        </w:rPr>
      </w:pPr>
      <w:r>
        <w:rPr>
          <w:rFonts w:hint="eastAsia" w:ascii="黑体" w:eastAsia="黑体" w:cs="黑体"/>
          <w:b/>
          <w:bCs/>
          <w:color w:val="000000" w:themeColor="text1"/>
          <w:sz w:val="36"/>
          <w:szCs w:val="28"/>
          <w:highlight w:val="none"/>
          <w:lang w:val="zh-CN" w:eastAsia="zh-CN"/>
          <w14:textFill>
            <w14:solidFill>
              <w14:schemeClr w14:val="tx1"/>
            </w14:solidFill>
          </w14:textFill>
        </w:rPr>
        <w:t xml:space="preserve">服务承诺书</w:t>
      </w:r>
      <w:r/>
    </w:p>
    <w:p>
      <w:pPr>
        <w:rPr>
          <w:rFonts w:eastAsia="黑体"/>
          <w:color w:val="000000" w:themeColor="text1"/>
          <w:sz w:val="24"/>
          <w:szCs w:val="21"/>
          <w:highlight w:val="none"/>
          <w:lang w:eastAsia="zh-CN"/>
          <w14:textFill>
            <w14:solidFill>
              <w14:schemeClr w14:val="tx1"/>
            </w14:solidFill>
          </w14:textFill>
        </w:rPr>
      </w:pPr>
      <w:r>
        <w:rPr>
          <w:rFonts w:eastAsia="黑体"/>
          <w:color w:val="000000" w:themeColor="text1"/>
          <w:sz w:val="24"/>
          <w:szCs w:val="21"/>
          <w:highlight w:val="none"/>
          <w:lang w:eastAsia="zh-CN"/>
          <w14:textFill>
            <w14:solidFill>
              <w14:schemeClr w14:val="tx1"/>
            </w14:solidFill>
          </w14:textFill>
        </w:rPr>
      </w:r>
      <w:r/>
    </w:p>
    <w:p>
      <w:pPr>
        <w:spacing w:line="360" w:lineRule="auto"/>
        <w:rPr>
          <w:rFonts w:ascii="宋体" w:hAnsi="宋体"/>
          <w:bCs/>
          <w:color w:val="000000" w:themeColor="text1"/>
          <w:sz w:val="24"/>
          <w:szCs w:val="21"/>
          <w:highlight w:val="none"/>
          <w:lang w:eastAsia="zh-CN"/>
          <w14:textFill>
            <w14:solidFill>
              <w14:schemeClr w14:val="tx1"/>
            </w14:solidFill>
          </w14:textFill>
        </w:rPr>
      </w:pPr>
      <w:r>
        <w:rPr>
          <w:rFonts w:hint="eastAsia" w:ascii="宋体" w:cs="宋体"/>
          <w:color w:val="000000" w:themeColor="text1"/>
          <w:sz w:val="24"/>
          <w:szCs w:val="21"/>
          <w:highlight w:val="none"/>
          <w:lang w:val="zh-CN" w:eastAsia="zh-CN"/>
          <w14:textFill>
            <w14:solidFill>
              <w14:schemeClr w14:val="tx1"/>
            </w14:solidFill>
          </w14:textFill>
        </w:rPr>
        <w:tab/>
      </w:r>
      <w:r>
        <w:rPr>
          <w:rFonts w:hint="eastAsia" w:ascii="宋体" w:cs="宋体"/>
          <w:color w:val="000000" w:themeColor="text1"/>
          <w:sz w:val="24"/>
          <w:szCs w:val="21"/>
          <w:highlight w:val="none"/>
          <w:lang w:val="zh-CN" w:eastAsia="zh-CN"/>
          <w14:textFill>
            <w14:solidFill>
              <w14:schemeClr w14:val="tx1"/>
            </w14:solidFill>
          </w14:textFill>
        </w:rPr>
        <w:t xml:space="preserve">我公司就项目编号为“JSZC-320115-NJMT-C2026-0003”的</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原铜井化工园退役场地风险评估项目</w:t>
      </w:r>
      <w:r>
        <w:rPr>
          <w:rFonts w:hint="eastAsia" w:ascii="宋体" w:cs="宋体"/>
          <w:color w:val="000000" w:themeColor="text1"/>
          <w:sz w:val="24"/>
          <w:szCs w:val="21"/>
          <w:highlight w:val="none"/>
          <w:u w:val="single"/>
          <w:lang w:val="zh-CN" w:eastAsia="zh-CN"/>
          <w14:textFill>
            <w14:solidFill>
              <w14:schemeClr w14:val="tx1"/>
            </w14:solidFill>
          </w14:textFill>
        </w:rPr>
        <w:t xml:space="preserve"> </w:t>
      </w:r>
      <w:r>
        <w:rPr>
          <w:rFonts w:hint="eastAsia" w:ascii="宋体" w:cs="宋体"/>
          <w:color w:val="000000" w:themeColor="text1"/>
          <w:sz w:val="24"/>
          <w:szCs w:val="21"/>
          <w:highlight w:val="none"/>
          <w:lang w:val="zh-CN" w:eastAsia="zh-CN"/>
          <w14:textFill>
            <w14:solidFill>
              <w14:schemeClr w14:val="tx1"/>
            </w14:solidFill>
          </w14:textFill>
        </w:rPr>
        <w:t xml:space="preserve">质量保证及服务承诺如下：</w:t>
      </w:r>
      <w:r/>
    </w:p>
    <w:p>
      <w:pPr>
        <w:ind w:firstLine="360"/>
        <w:spacing w:line="500" w:lineRule="exact"/>
        <w:rPr>
          <w:rFonts w:ascii="宋体" w:cs="宋体"/>
          <w:color w:val="000000" w:themeColor="text1"/>
          <w:sz w:val="24"/>
          <w:szCs w:val="21"/>
          <w:highlight w:val="none"/>
          <w:lang w:val="zh-CN" w:eastAsia="zh-CN"/>
          <w14:textFill>
            <w14:solidFill>
              <w14:schemeClr w14:val="tx1"/>
            </w14:solidFill>
          </w14:textFill>
        </w:rPr>
      </w:pPr>
      <w:r>
        <w:rPr>
          <w:rFonts w:ascii="宋体" w:cs="宋体"/>
          <w:color w:val="000000" w:themeColor="text1"/>
          <w:sz w:val="24"/>
          <w:szCs w:val="21"/>
          <w:highlight w:val="none"/>
          <w:lang w:val="zh-CN" w:eastAsia="zh-CN"/>
          <w14:textFill>
            <w14:solidFill>
              <w14:schemeClr w14:val="tx1"/>
            </w14:solidFill>
          </w14:textFill>
        </w:rPr>
      </w:r>
      <w:r/>
    </w:p>
    <w:p>
      <w:pPr>
        <w:ind w:firstLine="360"/>
        <w:spacing w:line="500" w:lineRule="exact"/>
        <w:rPr>
          <w:rFonts w:ascii="宋体" w:cs="宋体"/>
          <w:color w:val="000000" w:themeColor="text1"/>
          <w:sz w:val="24"/>
          <w:szCs w:val="21"/>
          <w:highlight w:val="none"/>
          <w:lang w:val="zh-CN" w:eastAsia="zh-CN"/>
          <w14:textFill>
            <w14:solidFill>
              <w14:schemeClr w14:val="tx1"/>
            </w14:solidFill>
          </w14:textFill>
        </w:rPr>
      </w:pPr>
      <w:r>
        <w:rPr>
          <w:rFonts w:hint="eastAsia" w:ascii="宋体" w:cs="宋体"/>
          <w:color w:val="000000" w:themeColor="text1"/>
          <w:sz w:val="24"/>
          <w:szCs w:val="21"/>
          <w:highlight w:val="none"/>
          <w:lang w:val="zh-CN" w:eastAsia="zh-CN"/>
          <w14:textFill>
            <w14:solidFill>
              <w14:schemeClr w14:val="tx1"/>
            </w14:solidFill>
          </w14:textFill>
        </w:rPr>
        <w:t xml:space="preserve">（其他服务承诺供应商自拟）</w:t>
      </w:r>
      <w:r/>
    </w:p>
    <w:p>
      <w:pPr>
        <w:ind w:firstLine="360"/>
        <w:rPr>
          <w:rFonts w:ascii="宋体" w:cs="宋体"/>
          <w:color w:val="000000" w:themeColor="text1"/>
          <w:sz w:val="24"/>
          <w:szCs w:val="21"/>
          <w:highlight w:val="none"/>
          <w:lang w:val="zh-CN" w:eastAsia="zh-CN"/>
          <w14:textFill>
            <w14:solidFill>
              <w14:schemeClr w14:val="tx1"/>
            </w14:solidFill>
          </w14:textFill>
        </w:rPr>
      </w:pPr>
      <w:r>
        <w:rPr>
          <w:rFonts w:ascii="宋体" w:cs="宋体"/>
          <w:color w:val="000000" w:themeColor="text1"/>
          <w:sz w:val="24"/>
          <w:szCs w:val="21"/>
          <w:highlight w:val="none"/>
          <w:lang w:val="zh-CN" w:eastAsia="zh-CN"/>
          <w14:textFill>
            <w14:solidFill>
              <w14:schemeClr w14:val="tx1"/>
            </w14:solidFill>
          </w14:textFill>
        </w:rPr>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供应商</w:t>
      </w:r>
      <w:r>
        <w:rPr>
          <w:rFonts w:hint="eastAsia" w:ascii="宋体" w:hAnsi="宋体"/>
          <w:color w:val="000000" w:themeColor="text1"/>
          <w:sz w:val="24"/>
          <w:szCs w:val="21"/>
          <w:highlight w:val="none"/>
          <w:lang w:eastAsia="zh-CN"/>
          <w14:textFill>
            <w14:solidFill>
              <w14:schemeClr w14:val="tx1"/>
            </w14:solidFill>
          </w14:textFill>
        </w:rPr>
        <w:t xml:space="preserve">（盖章）：            </w:t>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日  期：    年   月  日</w:t>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rPr>
          <w:rFonts w:ascii="宋体" w:hAnsi="宋体"/>
          <w:b/>
          <w:color w:val="000000" w:themeColor="text1"/>
          <w:sz w:val="24"/>
          <w:szCs w:val="21"/>
          <w:highlight w:val="none"/>
          <w:lang w:eastAsia="zh-CN"/>
          <w14:textFill>
            <w14:solidFill>
              <w14:schemeClr w14:val="tx1"/>
            </w14:solidFill>
          </w14:textFill>
        </w:rPr>
        <w:outlineLvl w:val="1"/>
      </w:pPr>
      <w:r/>
      <w:bookmarkStart w:id="189" w:name="_Toc20990"/>
      <w:r/>
      <w:bookmarkStart w:id="190" w:name="_Toc29039"/>
      <w:r/>
      <w:bookmarkStart w:id="191" w:name="_Toc175663960"/>
      <w:r>
        <w:rPr>
          <w:rFonts w:hint="eastAsia" w:ascii="宋体" w:hAnsi="宋体"/>
          <w:b/>
          <w:color w:val="000000" w:themeColor="text1"/>
          <w:sz w:val="24"/>
          <w:szCs w:val="21"/>
          <w:highlight w:val="none"/>
          <w:lang w:eastAsia="zh-CN"/>
          <w14:textFill>
            <w14:solidFill>
              <w14:schemeClr w14:val="tx1"/>
            </w14:solidFill>
          </w14:textFill>
        </w:rPr>
        <w:t xml:space="preserve">十、</w:t>
      </w:r>
      <w:bookmarkStart w:id="192" w:name="_Toc354594122"/>
      <w:r>
        <w:rPr>
          <w:rFonts w:hint="eastAsia" w:ascii="宋体" w:hAnsi="宋体"/>
          <w:b/>
          <w:color w:val="000000" w:themeColor="text1"/>
          <w:sz w:val="24"/>
          <w:szCs w:val="21"/>
          <w:highlight w:val="none"/>
          <w:lang w:eastAsia="zh-CN"/>
          <w14:textFill>
            <w14:solidFill>
              <w14:schemeClr w14:val="tx1"/>
            </w14:solidFill>
          </w14:textFill>
        </w:rPr>
        <w:t xml:space="preserve">中小企业声明函</w:t>
      </w:r>
      <w:bookmarkEnd w:id="189"/>
      <w:r/>
      <w:bookmarkEnd w:id="190"/>
      <w:r/>
      <w:bookmarkEnd w:id="191"/>
      <w:r/>
      <w:bookmarkEnd w:id="192"/>
      <w:r/>
      <w:r/>
    </w:p>
    <w:p>
      <w:pPr>
        <w:jc w:val="center"/>
        <w:spacing w:line="460" w:lineRule="exact"/>
        <w:rPr>
          <w:rFonts w:ascii="黑体" w:eastAsia="黑体" w:cs="黑体"/>
          <w:b/>
          <w:bCs/>
          <w:color w:val="000000" w:themeColor="text1"/>
          <w:sz w:val="36"/>
          <w:szCs w:val="28"/>
          <w:highlight w:val="none"/>
          <w:lang w:val="zh-CN" w:eastAsia="zh-CN"/>
          <w14:textFill>
            <w14:solidFill>
              <w14:schemeClr w14:val="tx1"/>
            </w14:solidFill>
          </w14:textFill>
        </w:rPr>
      </w:pPr>
      <w:r/>
      <w:bookmarkStart w:id="193" w:name="_Toc341184790"/>
      <w:r>
        <w:rPr>
          <w:rFonts w:hint="eastAsia" w:ascii="黑体" w:eastAsia="黑体" w:cs="黑体"/>
          <w:b/>
          <w:bCs/>
          <w:color w:val="000000" w:themeColor="text1"/>
          <w:sz w:val="36"/>
          <w:szCs w:val="28"/>
          <w:highlight w:val="none"/>
          <w:lang w:val="zh-CN" w:eastAsia="zh-CN"/>
          <w14:textFill>
            <w14:solidFill>
              <w14:schemeClr w14:val="tx1"/>
            </w14:solidFill>
          </w14:textFill>
        </w:rPr>
        <w:t xml:space="preserve">中小企业声明函</w:t>
      </w:r>
      <w:bookmarkEnd w:id="193"/>
      <w:r/>
      <w:r/>
    </w:p>
    <w:p>
      <w:pPr>
        <w:rPr>
          <w:rFonts w:ascii="宋体" w:hAnsi="宋体"/>
          <w:b/>
          <w:color w:val="000000" w:themeColor="text1"/>
          <w:sz w:val="24"/>
          <w:szCs w:val="21"/>
          <w:highlight w:val="none"/>
          <w:lang w:eastAsia="zh-CN"/>
          <w14:textFill>
            <w14:solidFill>
              <w14:schemeClr w14:val="tx1"/>
            </w14:solidFill>
          </w14:textFill>
        </w:rPr>
      </w:pPr>
      <w:r>
        <w:rPr>
          <w:rFonts w:ascii="宋体" w:hAnsi="宋体"/>
          <w:b/>
          <w:color w:val="000000" w:themeColor="text1"/>
          <w:sz w:val="24"/>
          <w:szCs w:val="21"/>
          <w:highlight w:val="none"/>
          <w:lang w:eastAsia="zh-CN"/>
          <w14:textFill>
            <w14:solidFill>
              <w14:schemeClr w14:val="tx1"/>
            </w14:solidFill>
          </w14:textFill>
        </w:rPr>
      </w:r>
      <w:r/>
    </w:p>
    <w:p>
      <w:pPr>
        <w:ind w:firstLine="420"/>
        <w:jc w:val="left"/>
        <w:spacing w:before="100" w:beforeAutospacing="1" w:after="100" w:afterAutospacing="1" w:line="435" w:lineRule="exact"/>
        <w:shd w:val="clear" w:color="auto"/>
        <w:widowControl/>
        <w:rPr>
          <w:rFonts w:hint="eastAsia" w:ascii="宋体" w:hAnsi="宋体" w:eastAsia="宋体" w:cs="宋体"/>
          <w:color w:val="000000" w:themeColor="text1"/>
          <w:szCs w:val="20"/>
          <w:highlight w:val="none"/>
          <w14:textFill>
            <w14:solidFill>
              <w14:schemeClr w14:val="tx1"/>
            </w14:solidFill>
          </w14:textFill>
        </w:rPr>
      </w:pPr>
      <w:r>
        <w:rPr>
          <w:rFonts w:hint="eastAsia" w:ascii="宋体" w:hAnsi="宋体" w:eastAsia="宋体" w:cs="宋体"/>
          <w:color w:val="000000" w:themeColor="text1"/>
          <w:szCs w:val="20"/>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eastAsia="宋体" w:cs="宋体"/>
          <w:color w:val="000000" w:themeColor="text1"/>
          <w:szCs w:val="20"/>
          <w:highlight w:val="none"/>
          <w:u w:val="single"/>
          <w14:textFill>
            <w14:solidFill>
              <w14:schemeClr w14:val="tx1"/>
            </w14:solidFill>
          </w14:textFill>
        </w:rPr>
        <w:t xml:space="preserve">    （单位名称）</w:t>
      </w:r>
      <w:r>
        <w:rPr>
          <w:rFonts w:hint="eastAsia" w:ascii="宋体" w:hAnsi="宋体" w:eastAsia="宋体" w:cs="宋体"/>
          <w:color w:val="000000" w:themeColor="text1"/>
          <w:highlight w:val="none"/>
          <w:lang w:bidi="ar"/>
          <w14:textFill>
            <w14:solidFill>
              <w14:schemeClr w14:val="tx1"/>
            </w14:solidFill>
          </w14:textFill>
        </w:rPr>
        <w:t xml:space="preserve">的</w:t>
      </w:r>
      <w:r>
        <w:rPr>
          <w:rFonts w:hint="eastAsia" w:ascii="宋体" w:hAnsi="宋体" w:eastAsia="宋体" w:cs="宋体"/>
          <w:color w:val="000000" w:themeColor="text1"/>
          <w:highlight w:val="none"/>
          <w:u w:val="single"/>
          <w:lang w:bidi="ar"/>
          <w14:textFill>
            <w14:solidFill>
              <w14:schemeClr w14:val="tx1"/>
            </w14:solidFill>
          </w14:textFill>
        </w:rPr>
        <w:t xml:space="preserve"> </w:t>
      </w:r>
      <w:r>
        <w:rPr>
          <w:rFonts w:hint="eastAsia" w:ascii="宋体" w:hAnsi="宋体" w:eastAsia="宋体" w:cs="宋体"/>
          <w:color w:val="000000" w:themeColor="text1"/>
          <w:szCs w:val="20"/>
          <w:highlight w:val="none"/>
          <w:u w:val="single"/>
          <w14:textFill>
            <w14:solidFill>
              <w14:schemeClr w14:val="tx1"/>
            </w14:solidFill>
          </w14:textFill>
        </w:rPr>
        <w:t xml:space="preserve">   （项目名称）采</w:t>
      </w:r>
      <w:r>
        <w:rPr>
          <w:rFonts w:hint="eastAsia" w:ascii="宋体" w:hAnsi="宋体" w:eastAsia="宋体" w:cs="宋体"/>
          <w:color w:val="000000" w:themeColor="text1"/>
          <w:szCs w:val="20"/>
          <w:highlight w:val="none"/>
          <w14:textFill>
            <w14:solidFill>
              <w14:schemeClr w14:val="tx1"/>
            </w14:solidFill>
          </w14:textFill>
        </w:rPr>
        <w:t xml:space="preserve">购活动，提供的货物全部由符合政策要求的中小企业制造。相关企业（含联合体中的中小企业、签订分包意向协议的中小企业）的具体情况如下：</w:t>
      </w:r>
      <w:r/>
    </w:p>
    <w:p>
      <w:pPr>
        <w:ind w:firstLine="420"/>
        <w:jc w:val="left"/>
        <w:spacing w:before="100" w:beforeAutospacing="1" w:after="100" w:afterAutospacing="1" w:line="435" w:lineRule="exact"/>
        <w:shd w:val="clear" w:color="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bidi="ar"/>
          <w14:textFill>
            <w14:solidFill>
              <w14:schemeClr w14:val="tx1"/>
            </w14:solidFill>
          </w14:textFill>
        </w:rPr>
        <w:t xml:space="preserve">1</w:t>
      </w:r>
      <w:r>
        <w:rPr>
          <w:rFonts w:hint="eastAsia" w:ascii="宋体" w:hAnsi="宋体" w:eastAsia="宋体" w:cs="宋体"/>
          <w:color w:val="000000" w:themeColor="text1"/>
          <w:szCs w:val="20"/>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bidi="ar"/>
          <w14:textFill>
            <w14:solidFill>
              <w14:schemeClr w14:val="tx1"/>
            </w14:solidFill>
          </w14:textFill>
        </w:rPr>
        <w:t xml:space="preserve">（</w:t>
      </w:r>
      <w:r>
        <w:rPr>
          <w:rFonts w:hint="eastAsia" w:ascii="宋体" w:hAnsi="宋体" w:eastAsia="宋体" w:cs="宋体"/>
          <w:color w:val="000000" w:themeColor="text1"/>
          <w:szCs w:val="20"/>
          <w:highlight w:val="none"/>
          <w:u w:val="single"/>
          <w14:textFill>
            <w14:solidFill>
              <w14:schemeClr w14:val="tx1"/>
            </w14:solidFill>
          </w14:textFill>
        </w:rPr>
        <w:t xml:space="preserve">标的名称）</w:t>
      </w:r>
      <w:r>
        <w:rPr>
          <w:rFonts w:hint="eastAsia" w:ascii="宋体" w:hAnsi="宋体" w:eastAsia="宋体" w:cs="宋体"/>
          <w:color w:val="000000" w:themeColor="text1"/>
          <w:highlight w:val="none"/>
          <w:lang w:bidi="ar"/>
          <w14:textFill>
            <w14:solidFill>
              <w14:schemeClr w14:val="tx1"/>
            </w14:solidFill>
          </w14:textFill>
        </w:rPr>
        <w:t xml:space="preserve">，属于</w:t>
      </w:r>
      <w:r>
        <w:rPr>
          <w:rFonts w:hint="eastAsia" w:ascii="宋体" w:hAnsi="宋体" w:eastAsia="宋体" w:cs="宋体"/>
          <w:color w:val="000000" w:themeColor="text1"/>
          <w:szCs w:val="20"/>
          <w:highlight w:val="none"/>
          <w:u w:val="single"/>
          <w:lang w:val="en-US" w:eastAsia="zh-CN"/>
          <w14:textFill>
            <w14:solidFill>
              <w14:schemeClr w14:val="tx1"/>
            </w14:solidFill>
          </w14:textFill>
        </w:rPr>
        <w:t xml:space="preserve">其他未列明</w:t>
      </w:r>
      <w:r>
        <w:rPr>
          <w:rFonts w:hint="eastAsia" w:ascii="宋体" w:hAnsi="宋体" w:eastAsia="宋体" w:cs="宋体"/>
          <w:color w:val="000000" w:themeColor="text1"/>
          <w:highlight w:val="none"/>
          <w:lang w:bidi="ar"/>
          <w14:textFill>
            <w14:solidFill>
              <w14:schemeClr w14:val="tx1"/>
            </w14:solidFill>
          </w14:textFill>
        </w:rPr>
        <w:t xml:space="preserve">行业；</w:t>
      </w:r>
      <w:r>
        <w:rPr>
          <w:rFonts w:hint="eastAsia" w:ascii="宋体" w:hAnsi="宋体" w:eastAsia="宋体" w:cs="宋体"/>
          <w:color w:val="000000" w:themeColor="text1"/>
          <w:szCs w:val="20"/>
          <w:highlight w:val="none"/>
          <w14:textFill>
            <w14:solidFill>
              <w14:schemeClr w14:val="tx1"/>
            </w14:solidFill>
          </w14:textFill>
        </w:rPr>
        <w:t xml:space="preserve">制造商为 </w:t>
      </w:r>
      <w:r>
        <w:rPr>
          <w:rFonts w:hint="eastAsia" w:ascii="宋体" w:hAnsi="宋体" w:eastAsia="宋体" w:cs="宋体"/>
          <w:color w:val="000000" w:themeColor="text1"/>
          <w:szCs w:val="20"/>
          <w:highlight w:val="none"/>
          <w:u w:val="single"/>
          <w14:textFill>
            <w14:solidFill>
              <w14:schemeClr w14:val="tx1"/>
            </w14:solidFill>
          </w14:textFill>
        </w:rPr>
        <w:t xml:space="preserve">         （企业名称）</w:t>
      </w:r>
      <w:r>
        <w:rPr>
          <w:rFonts w:hint="eastAsia" w:ascii="宋体" w:hAnsi="宋体" w:eastAsia="宋体" w:cs="宋体"/>
          <w:color w:val="000000" w:themeColor="text1"/>
          <w:highlight w:val="none"/>
          <w:lang w:bidi="ar"/>
          <w14:textFill>
            <w14:solidFill>
              <w14:schemeClr w14:val="tx1"/>
            </w14:solidFill>
          </w14:textFill>
        </w:rPr>
        <w:t xml:space="preserve">，</w:t>
      </w:r>
      <w:r>
        <w:rPr>
          <w:rFonts w:hint="eastAsia" w:ascii="宋体" w:hAnsi="宋体" w:eastAsia="宋体" w:cs="宋体"/>
          <w:color w:val="000000" w:themeColor="text1"/>
          <w:szCs w:val="20"/>
          <w:highlight w:val="none"/>
          <w14:textFill>
            <w14:solidFill>
              <w14:schemeClr w14:val="tx1"/>
            </w14:solidFill>
          </w14:textFill>
        </w:rPr>
        <w:t xml:space="preserve">从业人员</w:t>
      </w:r>
      <w:r>
        <w:rPr>
          <w:rFonts w:hint="eastAsia" w:ascii="宋体" w:hAnsi="宋体" w:eastAsia="宋体" w:cs="宋体"/>
          <w:color w:val="000000" w:themeColor="text1"/>
          <w:highlight w:val="none"/>
          <w:u w:val="single"/>
          <w:lang w:bidi="ar"/>
          <w14:textFill>
            <w14:solidFill>
              <w14:schemeClr w14:val="tx1"/>
            </w14:solidFill>
          </w14:textFill>
        </w:rPr>
        <w:t xml:space="preserve">    </w:t>
      </w:r>
      <w:r>
        <w:rPr>
          <w:rFonts w:hint="eastAsia" w:ascii="宋体" w:hAnsi="宋体" w:eastAsia="宋体" w:cs="宋体"/>
          <w:color w:val="000000" w:themeColor="text1"/>
          <w:highlight w:val="none"/>
          <w:lang w:bidi="ar"/>
          <w14:textFill>
            <w14:solidFill>
              <w14:schemeClr w14:val="tx1"/>
            </w14:solidFill>
          </w14:textFill>
        </w:rPr>
        <w:t xml:space="preserve">人，</w:t>
      </w:r>
      <w:r>
        <w:rPr>
          <w:rFonts w:hint="eastAsia" w:ascii="宋体" w:hAnsi="宋体" w:eastAsia="宋体" w:cs="宋体"/>
          <w:color w:val="000000" w:themeColor="text1"/>
          <w:szCs w:val="20"/>
          <w:highlight w:val="none"/>
          <w14:textFill>
            <w14:solidFill>
              <w14:schemeClr w14:val="tx1"/>
            </w14:solidFill>
          </w14:textFill>
        </w:rPr>
        <w:t xml:space="preserve">营业收入为</w:t>
      </w:r>
      <w:r>
        <w:rPr>
          <w:rFonts w:hint="eastAsia" w:ascii="宋体" w:hAnsi="宋体" w:eastAsia="宋体" w:cs="宋体"/>
          <w:color w:val="000000" w:themeColor="text1"/>
          <w:highlight w:val="none"/>
          <w:u w:val="single"/>
          <w:lang w:bidi="ar"/>
          <w14:textFill>
            <w14:solidFill>
              <w14:schemeClr w14:val="tx1"/>
            </w14:solidFill>
          </w14:textFill>
        </w:rPr>
        <w:t xml:space="preserve">    </w:t>
      </w:r>
      <w:r>
        <w:rPr>
          <w:rFonts w:hint="eastAsia" w:ascii="宋体" w:hAnsi="宋体" w:eastAsia="宋体" w:cs="宋体"/>
          <w:color w:val="000000" w:themeColor="text1"/>
          <w:highlight w:val="none"/>
          <w:lang w:bidi="ar"/>
          <w14:textFill>
            <w14:solidFill>
              <w14:schemeClr w14:val="tx1"/>
            </w14:solidFill>
          </w14:textFill>
        </w:rPr>
        <w:t xml:space="preserve">万元，</w:t>
      </w:r>
      <w:r>
        <w:rPr>
          <w:rFonts w:hint="eastAsia" w:ascii="宋体" w:hAnsi="宋体" w:eastAsia="宋体" w:cs="宋体"/>
          <w:color w:val="000000" w:themeColor="text1"/>
          <w:szCs w:val="20"/>
          <w:highlight w:val="none"/>
          <w14:textFill>
            <w14:solidFill>
              <w14:schemeClr w14:val="tx1"/>
            </w14:solidFill>
          </w14:textFill>
        </w:rPr>
        <w:t xml:space="preserve">资产总额为</w:t>
      </w:r>
      <w:r>
        <w:rPr>
          <w:rFonts w:hint="eastAsia" w:ascii="宋体" w:hAnsi="宋体" w:eastAsia="宋体" w:cs="宋体"/>
          <w:color w:val="000000" w:themeColor="text1"/>
          <w:highlight w:val="none"/>
          <w:u w:val="single"/>
          <w:lang w:bidi="ar"/>
          <w14:textFill>
            <w14:solidFill>
              <w14:schemeClr w14:val="tx1"/>
            </w14:solidFill>
          </w14:textFill>
        </w:rPr>
        <w:t xml:space="preserve">   </w:t>
      </w:r>
      <w:r>
        <w:rPr>
          <w:rFonts w:hint="eastAsia" w:ascii="宋体" w:hAnsi="宋体" w:eastAsia="宋体" w:cs="宋体"/>
          <w:color w:val="000000" w:themeColor="text1"/>
          <w:highlight w:val="none"/>
          <w:lang w:bidi="ar"/>
          <w14:textFill>
            <w14:solidFill>
              <w14:schemeClr w14:val="tx1"/>
            </w14:solidFill>
          </w14:textFill>
        </w:rPr>
        <w:t xml:space="preserve">万</w:t>
      </w:r>
      <w:r>
        <w:rPr>
          <w:rFonts w:hint="eastAsia" w:ascii="宋体" w:hAnsi="宋体" w:eastAsia="宋体" w:cs="宋体"/>
          <w:color w:val="000000" w:themeColor="text1"/>
          <w:szCs w:val="20"/>
          <w:highlight w:val="none"/>
          <w14:textFill>
            <w14:solidFill>
              <w14:schemeClr w14:val="tx1"/>
            </w14:solidFill>
          </w14:textFill>
        </w:rPr>
        <w:t xml:space="preserve">元，属于</w:t>
      </w:r>
      <w:r>
        <w:rPr>
          <w:rFonts w:hint="eastAsia" w:ascii="宋体" w:hAnsi="宋体" w:eastAsia="宋体" w:cs="宋体"/>
          <w:color w:val="000000" w:themeColor="text1"/>
          <w:szCs w:val="20"/>
          <w:highlight w:val="none"/>
          <w:u w:val="single"/>
          <w14:textFill>
            <w14:solidFill>
              <w14:schemeClr w14:val="tx1"/>
            </w14:solidFill>
          </w14:textFill>
        </w:rPr>
        <w:t xml:space="preserve">     （中型企业、小型企业、微型企业）</w:t>
      </w:r>
      <w:r>
        <w:rPr>
          <w:rFonts w:hint="eastAsia" w:ascii="宋体" w:hAnsi="宋体" w:eastAsia="宋体" w:cs="宋体"/>
          <w:color w:val="000000" w:themeColor="text1"/>
          <w:highlight w:val="none"/>
          <w:lang w:bidi="ar"/>
          <w14:textFill>
            <w14:solidFill>
              <w14:schemeClr w14:val="tx1"/>
            </w14:solidFill>
          </w14:textFill>
        </w:rPr>
        <w:t xml:space="preserve">；</w:t>
      </w:r>
      <w:r/>
    </w:p>
    <w:p>
      <w:pPr>
        <w:ind w:firstLine="420"/>
        <w:jc w:val="left"/>
        <w:spacing w:before="100" w:beforeAutospacing="1" w:after="100" w:afterAutospacing="1" w:line="435" w:lineRule="exact"/>
        <w:shd w:val="clear" w:color="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bidi="ar"/>
          <w14:textFill>
            <w14:solidFill>
              <w14:schemeClr w14:val="tx1"/>
            </w14:solidFill>
          </w14:textFill>
        </w:rPr>
        <w:t xml:space="preserve">2</w:t>
      </w:r>
      <w:r>
        <w:rPr>
          <w:rFonts w:hint="eastAsia" w:ascii="宋体" w:hAnsi="宋体" w:eastAsia="宋体" w:cs="宋体"/>
          <w:color w:val="000000" w:themeColor="text1"/>
          <w:szCs w:val="20"/>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bidi="ar"/>
          <w14:textFill>
            <w14:solidFill>
              <w14:schemeClr w14:val="tx1"/>
            </w14:solidFill>
          </w14:textFill>
        </w:rPr>
        <w:t xml:space="preserve">（</w:t>
      </w:r>
      <w:r>
        <w:rPr>
          <w:rFonts w:hint="eastAsia" w:ascii="宋体" w:hAnsi="宋体" w:eastAsia="宋体" w:cs="宋体"/>
          <w:color w:val="000000" w:themeColor="text1"/>
          <w:szCs w:val="20"/>
          <w:highlight w:val="none"/>
          <w:u w:val="single"/>
          <w14:textFill>
            <w14:solidFill>
              <w14:schemeClr w14:val="tx1"/>
            </w14:solidFill>
          </w14:textFill>
        </w:rPr>
        <w:t xml:space="preserve">标的名称）</w:t>
      </w:r>
      <w:r>
        <w:rPr>
          <w:rFonts w:hint="eastAsia" w:ascii="宋体" w:hAnsi="宋体" w:eastAsia="宋体" w:cs="宋体"/>
          <w:color w:val="000000" w:themeColor="text1"/>
          <w:highlight w:val="none"/>
          <w:lang w:bidi="ar"/>
          <w14:textFill>
            <w14:solidFill>
              <w14:schemeClr w14:val="tx1"/>
            </w14:solidFill>
          </w14:textFill>
        </w:rPr>
        <w:t xml:space="preserve">，属于</w:t>
      </w:r>
      <w:r>
        <w:rPr>
          <w:rFonts w:hint="eastAsia" w:ascii="宋体" w:hAnsi="宋体" w:eastAsia="宋体" w:cs="宋体"/>
          <w:color w:val="000000" w:themeColor="text1"/>
          <w:szCs w:val="20"/>
          <w:highlight w:val="none"/>
          <w:u w:val="single"/>
          <w14:textFill>
            <w14:solidFill>
              <w14:schemeClr w14:val="tx1"/>
            </w14:solidFill>
          </w14:textFill>
        </w:rPr>
        <w:t xml:space="preserve">     （采购文件中明确的所属行业）</w:t>
      </w:r>
      <w:r>
        <w:rPr>
          <w:rFonts w:hint="eastAsia" w:ascii="宋体" w:hAnsi="宋体" w:eastAsia="宋体" w:cs="宋体"/>
          <w:color w:val="000000" w:themeColor="text1"/>
          <w:highlight w:val="none"/>
          <w:lang w:bidi="ar"/>
          <w14:textFill>
            <w14:solidFill>
              <w14:schemeClr w14:val="tx1"/>
            </w14:solidFill>
          </w14:textFill>
        </w:rPr>
        <w:t xml:space="preserve">行业；</w:t>
      </w:r>
      <w:r>
        <w:rPr>
          <w:rFonts w:hint="eastAsia" w:ascii="宋体" w:hAnsi="宋体" w:eastAsia="宋体" w:cs="宋体"/>
          <w:color w:val="000000" w:themeColor="text1"/>
          <w:szCs w:val="20"/>
          <w:highlight w:val="none"/>
          <w14:textFill>
            <w14:solidFill>
              <w14:schemeClr w14:val="tx1"/>
            </w14:solidFill>
          </w14:textFill>
        </w:rPr>
        <w:t xml:space="preserve">制造商为 </w:t>
      </w:r>
      <w:r>
        <w:rPr>
          <w:rFonts w:hint="eastAsia" w:ascii="宋体" w:hAnsi="宋体" w:eastAsia="宋体" w:cs="宋体"/>
          <w:color w:val="000000" w:themeColor="text1"/>
          <w:szCs w:val="20"/>
          <w:highlight w:val="none"/>
          <w:u w:val="single"/>
          <w14:textFill>
            <w14:solidFill>
              <w14:schemeClr w14:val="tx1"/>
            </w14:solidFill>
          </w14:textFill>
        </w:rPr>
        <w:t xml:space="preserve">         （企业名称）</w:t>
      </w:r>
      <w:r>
        <w:rPr>
          <w:rFonts w:hint="eastAsia" w:ascii="宋体" w:hAnsi="宋体" w:eastAsia="宋体" w:cs="宋体"/>
          <w:color w:val="000000" w:themeColor="text1"/>
          <w:highlight w:val="none"/>
          <w:lang w:bidi="ar"/>
          <w14:textFill>
            <w14:solidFill>
              <w14:schemeClr w14:val="tx1"/>
            </w14:solidFill>
          </w14:textFill>
        </w:rPr>
        <w:t xml:space="preserve">，</w:t>
      </w:r>
      <w:r>
        <w:rPr>
          <w:rFonts w:hint="eastAsia" w:ascii="宋体" w:hAnsi="宋体" w:eastAsia="宋体" w:cs="宋体"/>
          <w:color w:val="000000" w:themeColor="text1"/>
          <w:szCs w:val="20"/>
          <w:highlight w:val="none"/>
          <w14:textFill>
            <w14:solidFill>
              <w14:schemeClr w14:val="tx1"/>
            </w14:solidFill>
          </w14:textFill>
        </w:rPr>
        <w:t xml:space="preserve">从业人员</w:t>
      </w:r>
      <w:r>
        <w:rPr>
          <w:rFonts w:hint="eastAsia" w:ascii="宋体" w:hAnsi="宋体" w:eastAsia="宋体" w:cs="宋体"/>
          <w:color w:val="000000" w:themeColor="text1"/>
          <w:highlight w:val="none"/>
          <w:u w:val="single"/>
          <w:lang w:bidi="ar"/>
          <w14:textFill>
            <w14:solidFill>
              <w14:schemeClr w14:val="tx1"/>
            </w14:solidFill>
          </w14:textFill>
        </w:rPr>
        <w:t xml:space="preserve">    </w:t>
      </w:r>
      <w:r>
        <w:rPr>
          <w:rFonts w:hint="eastAsia" w:ascii="宋体" w:hAnsi="宋体" w:eastAsia="宋体" w:cs="宋体"/>
          <w:color w:val="000000" w:themeColor="text1"/>
          <w:highlight w:val="none"/>
          <w:lang w:bidi="ar"/>
          <w14:textFill>
            <w14:solidFill>
              <w14:schemeClr w14:val="tx1"/>
            </w14:solidFill>
          </w14:textFill>
        </w:rPr>
        <w:t xml:space="preserve">人，</w:t>
      </w:r>
      <w:r>
        <w:rPr>
          <w:rFonts w:hint="eastAsia" w:ascii="宋体" w:hAnsi="宋体" w:eastAsia="宋体" w:cs="宋体"/>
          <w:color w:val="000000" w:themeColor="text1"/>
          <w:szCs w:val="20"/>
          <w:highlight w:val="none"/>
          <w14:textFill>
            <w14:solidFill>
              <w14:schemeClr w14:val="tx1"/>
            </w14:solidFill>
          </w14:textFill>
        </w:rPr>
        <w:t xml:space="preserve">营业收入为</w:t>
      </w:r>
      <w:r>
        <w:rPr>
          <w:rFonts w:hint="eastAsia" w:ascii="宋体" w:hAnsi="宋体" w:eastAsia="宋体" w:cs="宋体"/>
          <w:color w:val="000000" w:themeColor="text1"/>
          <w:highlight w:val="none"/>
          <w:u w:val="single"/>
          <w:lang w:bidi="ar"/>
          <w14:textFill>
            <w14:solidFill>
              <w14:schemeClr w14:val="tx1"/>
            </w14:solidFill>
          </w14:textFill>
        </w:rPr>
        <w:t xml:space="preserve">    </w:t>
      </w:r>
      <w:r>
        <w:rPr>
          <w:rFonts w:hint="eastAsia" w:ascii="宋体" w:hAnsi="宋体" w:eastAsia="宋体" w:cs="宋体"/>
          <w:color w:val="000000" w:themeColor="text1"/>
          <w:highlight w:val="none"/>
          <w:lang w:bidi="ar"/>
          <w14:textFill>
            <w14:solidFill>
              <w14:schemeClr w14:val="tx1"/>
            </w14:solidFill>
          </w14:textFill>
        </w:rPr>
        <w:t xml:space="preserve">万元，</w:t>
      </w:r>
      <w:r>
        <w:rPr>
          <w:rFonts w:hint="eastAsia" w:ascii="宋体" w:hAnsi="宋体" w:eastAsia="宋体" w:cs="宋体"/>
          <w:color w:val="000000" w:themeColor="text1"/>
          <w:szCs w:val="20"/>
          <w:highlight w:val="none"/>
          <w14:textFill>
            <w14:solidFill>
              <w14:schemeClr w14:val="tx1"/>
            </w14:solidFill>
          </w14:textFill>
        </w:rPr>
        <w:t xml:space="preserve">资产总额为</w:t>
      </w:r>
      <w:r>
        <w:rPr>
          <w:rFonts w:hint="eastAsia" w:ascii="宋体" w:hAnsi="宋体" w:eastAsia="宋体" w:cs="宋体"/>
          <w:color w:val="000000" w:themeColor="text1"/>
          <w:highlight w:val="none"/>
          <w:u w:val="single"/>
          <w:lang w:bidi="ar"/>
          <w14:textFill>
            <w14:solidFill>
              <w14:schemeClr w14:val="tx1"/>
            </w14:solidFill>
          </w14:textFill>
        </w:rPr>
        <w:t xml:space="preserve">   </w:t>
      </w:r>
      <w:r>
        <w:rPr>
          <w:rFonts w:hint="eastAsia" w:ascii="宋体" w:hAnsi="宋体" w:eastAsia="宋体" w:cs="宋体"/>
          <w:color w:val="000000" w:themeColor="text1"/>
          <w:highlight w:val="none"/>
          <w:lang w:bidi="ar"/>
          <w14:textFill>
            <w14:solidFill>
              <w14:schemeClr w14:val="tx1"/>
            </w14:solidFill>
          </w14:textFill>
        </w:rPr>
        <w:t xml:space="preserve">万</w:t>
      </w:r>
      <w:r>
        <w:rPr>
          <w:rFonts w:hint="eastAsia" w:ascii="宋体" w:hAnsi="宋体" w:eastAsia="宋体" w:cs="宋体"/>
          <w:color w:val="000000" w:themeColor="text1"/>
          <w:szCs w:val="20"/>
          <w:highlight w:val="none"/>
          <w14:textFill>
            <w14:solidFill>
              <w14:schemeClr w14:val="tx1"/>
            </w14:solidFill>
          </w14:textFill>
        </w:rPr>
        <w:t xml:space="preserve">元，属于</w:t>
      </w:r>
      <w:r>
        <w:rPr>
          <w:rFonts w:hint="eastAsia" w:ascii="宋体" w:hAnsi="宋体" w:eastAsia="宋体" w:cs="宋体"/>
          <w:color w:val="000000" w:themeColor="text1"/>
          <w:szCs w:val="20"/>
          <w:highlight w:val="none"/>
          <w:u w:val="single"/>
          <w14:textFill>
            <w14:solidFill>
              <w14:schemeClr w14:val="tx1"/>
            </w14:solidFill>
          </w14:textFill>
        </w:rPr>
        <w:t xml:space="preserve">     （中型企业、小型企业、微型企业）</w:t>
      </w:r>
      <w:r>
        <w:rPr>
          <w:rFonts w:hint="eastAsia" w:ascii="宋体" w:hAnsi="宋体" w:eastAsia="宋体" w:cs="宋体"/>
          <w:color w:val="000000" w:themeColor="text1"/>
          <w:highlight w:val="none"/>
          <w:lang w:bidi="ar"/>
          <w14:textFill>
            <w14:solidFill>
              <w14:schemeClr w14:val="tx1"/>
            </w14:solidFill>
          </w14:textFill>
        </w:rPr>
        <w:t xml:space="preserve">；</w:t>
      </w:r>
      <w:r/>
    </w:p>
    <w:p>
      <w:pPr>
        <w:ind w:firstLine="420"/>
        <w:jc w:val="left"/>
        <w:spacing w:before="100" w:beforeAutospacing="1" w:after="100" w:afterAutospacing="1" w:line="435" w:lineRule="exact"/>
        <w:shd w:val="clear" w:color="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bidi="ar"/>
          <w14:textFill>
            <w14:solidFill>
              <w14:schemeClr w14:val="tx1"/>
            </w14:solidFill>
          </w14:textFill>
        </w:rPr>
        <w:t xml:space="preserve">……</w:t>
      </w:r>
      <w:r/>
    </w:p>
    <w:p>
      <w:pPr>
        <w:ind w:firstLine="420"/>
        <w:jc w:val="left"/>
        <w:spacing w:before="100" w:beforeAutospacing="1" w:after="100" w:afterAutospacing="1" w:line="435" w:lineRule="exact"/>
        <w:shd w:val="clear" w:color="auto"/>
        <w:widowControl/>
        <w:rPr>
          <w:rFonts w:hint="eastAsia" w:ascii="宋体" w:hAnsi="宋体" w:eastAsia="宋体" w:cs="宋体"/>
          <w:color w:val="000000" w:themeColor="text1"/>
          <w:szCs w:val="20"/>
          <w:highlight w:val="none"/>
          <w14:textFill>
            <w14:solidFill>
              <w14:schemeClr w14:val="tx1"/>
            </w14:solidFill>
          </w14:textFill>
        </w:rPr>
      </w:pPr>
      <w:r>
        <w:rPr>
          <w:rFonts w:hint="eastAsia" w:ascii="宋体" w:hAnsi="宋体" w:eastAsia="宋体" w:cs="宋体"/>
          <w:color w:val="000000" w:themeColor="text1"/>
          <w:szCs w:val="20"/>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before="100" w:beforeAutospacing="1" w:after="100" w:afterAutospacing="1" w:line="435" w:lineRule="exact"/>
        <w:shd w:val="clear" w:color="auto"/>
        <w:widowControl/>
        <w:rPr>
          <w:rFonts w:hint="eastAsia" w:ascii="宋体" w:hAnsi="宋体" w:eastAsia="宋体" w:cs="宋体"/>
          <w:color w:val="000000" w:themeColor="text1"/>
          <w:szCs w:val="20"/>
          <w:highlight w:val="none"/>
          <w14:textFill>
            <w14:solidFill>
              <w14:schemeClr w14:val="tx1"/>
            </w14:solidFill>
          </w14:textFill>
        </w:rPr>
      </w:pPr>
      <w:r>
        <w:rPr>
          <w:rFonts w:hint="eastAsia" w:ascii="宋体" w:hAnsi="宋体" w:eastAsia="宋体" w:cs="宋体"/>
          <w:color w:val="000000" w:themeColor="text1"/>
          <w:szCs w:val="20"/>
          <w:highlight w:val="none"/>
          <w14:textFill>
            <w14:solidFill>
              <w14:schemeClr w14:val="tx1"/>
            </w14:solidFill>
          </w14:textFill>
        </w:rPr>
        <w:t xml:space="preserve">本企业对上述声明内容的真实性负责。如有虚假，将依法承担相应责任。</w:t>
      </w:r>
      <w:r/>
    </w:p>
    <w:p>
      <w:pPr>
        <w:ind w:firstLine="420"/>
        <w:jc w:val="center"/>
        <w:spacing w:before="100" w:beforeAutospacing="1" w:after="100" w:afterAutospacing="1" w:line="435" w:lineRule="exact"/>
        <w:shd w:val="clear" w:color="auto"/>
        <w:widowControl/>
        <w:rPr>
          <w:rFonts w:hint="eastAsia" w:ascii="宋体" w:hAnsi="宋体" w:eastAsia="宋体" w:cs="宋体"/>
          <w:color w:val="000000" w:themeColor="text1"/>
          <w:szCs w:val="20"/>
          <w:highlight w:val="none"/>
          <w:lang w:val="en-US" w:eastAsia="zh-CN"/>
          <w14:textFill>
            <w14:solidFill>
              <w14:schemeClr w14:val="tx1"/>
            </w14:solidFill>
          </w14:textFill>
        </w:rPr>
      </w:pPr>
      <w:r>
        <w:rPr>
          <w:rFonts w:hint="eastAsia" w:ascii="宋体" w:hAnsi="宋体" w:eastAsia="宋体" w:cs="宋体"/>
          <w:color w:val="000000" w:themeColor="text1"/>
          <w:szCs w:val="20"/>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0"/>
          <w:highlight w:val="none"/>
          <w14:textFill>
            <w14:solidFill>
              <w14:schemeClr w14:val="tx1"/>
            </w14:solidFill>
          </w14:textFill>
        </w:rPr>
        <w:t xml:space="preserve">企业名称（</w:t>
      </w:r>
      <w:r>
        <w:rPr>
          <w:rFonts w:hint="eastAsia" w:ascii="宋体" w:hAnsi="宋体" w:eastAsia="宋体" w:cs="宋体"/>
          <w:color w:val="000000" w:themeColor="text1"/>
          <w:szCs w:val="20"/>
          <w:highlight w:val="none"/>
          <w:lang w:val="en-US" w:eastAsia="zh-CN"/>
          <w14:textFill>
            <w14:solidFill>
              <w14:schemeClr w14:val="tx1"/>
            </w14:solidFill>
          </w14:textFill>
        </w:rPr>
        <w:t xml:space="preserve">加盖公章</w:t>
      </w:r>
      <w:r>
        <w:rPr>
          <w:rFonts w:hint="eastAsia" w:ascii="宋体" w:hAnsi="宋体" w:eastAsia="宋体" w:cs="宋体"/>
          <w:color w:val="000000" w:themeColor="text1"/>
          <w:szCs w:val="20"/>
          <w:highlight w:val="none"/>
          <w14:textFill>
            <w14:solidFill>
              <w14:schemeClr w14:val="tx1"/>
            </w14:solidFill>
          </w14:textFill>
        </w:rPr>
        <w:t xml:space="preserve">）：</w:t>
      </w:r>
      <w:r>
        <w:rPr>
          <w:rFonts w:hint="eastAsia" w:ascii="宋体" w:hAnsi="宋体" w:eastAsia="宋体" w:cs="宋体"/>
          <w:color w:val="000000" w:themeColor="text1"/>
          <w:szCs w:val="20"/>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Cs w:val="20"/>
          <w:highlight w:val="none"/>
          <w:lang w:val="en-US" w:eastAsia="zh-CN"/>
          <w14:textFill>
            <w14:solidFill>
              <w14:schemeClr w14:val="tx1"/>
            </w14:solidFill>
          </w14:textFill>
        </w:rPr>
        <w:t xml:space="preserve">          </w:t>
      </w:r>
      <w:r/>
    </w:p>
    <w:p>
      <w:pPr>
        <w:ind w:firstLine="420"/>
        <w:jc w:val="center"/>
        <w:spacing w:before="100" w:beforeAutospacing="1" w:after="100" w:afterAutospacing="1" w:line="435" w:lineRule="exact"/>
        <w:shd w:val="clear" w:color="auto"/>
        <w:widowControl/>
        <w:rPr>
          <w:rFonts w:hint="eastAsia" w:ascii="宋体" w:hAnsi="宋体" w:eastAsia="宋体" w:cs="宋体"/>
          <w:color w:val="000000" w:themeColor="text1"/>
          <w:szCs w:val="20"/>
          <w:highlight w:val="none"/>
          <w14:textFill>
            <w14:solidFill>
              <w14:schemeClr w14:val="tx1"/>
            </w14:solidFill>
          </w14:textFill>
        </w:rPr>
      </w:pPr>
      <w:r>
        <w:rPr>
          <w:rFonts w:hint="eastAsia" w:ascii="宋体" w:hAnsi="宋体" w:eastAsia="宋体" w:cs="宋体"/>
          <w:color w:val="000000" w:themeColor="text1"/>
          <w:szCs w:val="20"/>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0"/>
          <w:highlight w:val="none"/>
          <w14:textFill>
            <w14:solidFill>
              <w14:schemeClr w14:val="tx1"/>
            </w14:solidFill>
          </w14:textFill>
        </w:rPr>
        <w:t xml:space="preserve">日 期：</w:t>
      </w:r>
      <w:r/>
    </w:p>
    <w:p>
      <w:pPr>
        <w:ind w:firstLine="422"/>
        <w:jc w:val="left"/>
        <w:spacing w:line="420" w:lineRule="auto"/>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vertAlign w:val="superscript"/>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从业人员、营业收入、资产总额填报上一年度数据，无上一年度数据的新成立企业可不填报。</w:t>
      </w:r>
      <w:r/>
    </w:p>
    <w:p>
      <w:pPr>
        <w:ind w:firstLine="422"/>
        <w:jc w:val="left"/>
        <w:shd w:val="clear" w:color="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备注：</w:t>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如供应商所投货物的制造商均为中小企业的，须由供应商在响应文件中提供加盖本单位公章的</w:t>
      </w:r>
      <w:r>
        <w:rPr>
          <w:rFonts w:hint="eastAsia" w:ascii="宋体" w:hAnsi="宋体" w:eastAsia="宋体" w:cs="宋体"/>
          <w:b/>
          <w:color w:val="000000" w:themeColor="text1"/>
          <w:sz w:val="21"/>
          <w:szCs w:val="21"/>
          <w:highlight w:val="none"/>
          <w14:textFill>
            <w14:solidFill>
              <w14:schemeClr w14:val="tx1"/>
            </w14:solidFill>
          </w14:textFill>
        </w:rPr>
        <w:t xml:space="preserve">声明</w:t>
      </w:r>
      <w:r>
        <w:rPr>
          <w:rFonts w:hint="eastAsia" w:ascii="宋体" w:hAnsi="宋体" w:eastAsia="宋体" w:cs="宋体"/>
          <w:b/>
          <w:bCs/>
          <w:color w:val="000000" w:themeColor="text1"/>
          <w:sz w:val="21"/>
          <w:szCs w:val="21"/>
          <w:highlight w:val="none"/>
          <w14:textFill>
            <w14:solidFill>
              <w14:schemeClr w14:val="tx1"/>
            </w14:solidFill>
          </w14:textFill>
        </w:rPr>
        <w:t xml:space="preserve">函，供应商应从制造商处获得充分、准确的信息，并对其出具的《中小企业声明函》真实性负责。</w:t>
      </w:r>
      <w:r/>
    </w:p>
    <w:p>
      <w:pPr>
        <w:rPr>
          <w:rFonts w:hint="eastAsia" w:ascii="宋体" w:hAnsi="宋体"/>
          <w:b/>
          <w:color w:val="000000" w:themeColor="text1"/>
          <w:sz w:val="24"/>
          <w:szCs w:val="21"/>
          <w:highlight w:val="none"/>
          <w:lang w:eastAsia="zh-CN"/>
          <w14:textFill>
            <w14:solidFill>
              <w14:schemeClr w14:val="tx1"/>
            </w14:solidFill>
          </w14:textFill>
        </w:rPr>
        <w:outlineLvl w:val="1"/>
      </w:pPr>
      <w:r/>
      <w:bookmarkStart w:id="194" w:name="_Toc16865"/>
      <w:r/>
      <w:bookmarkStart w:id="195" w:name="_Toc175663961"/>
      <w:r/>
      <w:bookmarkStart w:id="196" w:name="_Toc30604"/>
      <w:r/>
      <w:bookmarkStart w:id="197" w:name="_Toc5281"/>
      <w:r/>
      <w:r/>
    </w:p>
    <w:p>
      <w:pPr>
        <w:rPr>
          <w:rFonts w:hint="eastAsia" w:ascii="宋体" w:hAnsi="宋体"/>
          <w:b/>
          <w:color w:val="000000" w:themeColor="text1"/>
          <w:sz w:val="24"/>
          <w:szCs w:val="21"/>
          <w:highlight w:val="none"/>
          <w:lang w:eastAsia="zh-CN"/>
          <w14:textFill>
            <w14:solidFill>
              <w14:schemeClr w14:val="tx1"/>
            </w14:solidFill>
          </w14:textFill>
        </w:rPr>
        <w:outlineLvl w:val="1"/>
      </w:pPr>
      <w:r>
        <w:rPr>
          <w:rFonts w:hint="eastAsia" w:ascii="宋体" w:hAnsi="宋体"/>
          <w:b/>
          <w:color w:val="000000" w:themeColor="text1"/>
          <w:sz w:val="24"/>
          <w:szCs w:val="21"/>
          <w:highlight w:val="none"/>
          <w:lang w:eastAsia="zh-CN"/>
          <w14:textFill>
            <w14:solidFill>
              <w14:schemeClr w14:val="tx1"/>
            </w14:solidFill>
          </w14:textFill>
        </w:rPr>
      </w:r>
      <w:r/>
    </w:p>
    <w:p>
      <w:pPr>
        <w:rPr>
          <w:rFonts w:hint="eastAsia" w:ascii="宋体" w:hAnsi="宋体"/>
          <w:b/>
          <w:color w:val="000000" w:themeColor="text1"/>
          <w:sz w:val="24"/>
          <w:szCs w:val="21"/>
          <w:highlight w:val="none"/>
          <w:lang w:eastAsia="zh-CN"/>
          <w14:textFill>
            <w14:solidFill>
              <w14:schemeClr w14:val="tx1"/>
            </w14:solidFill>
          </w14:textFill>
        </w:rPr>
        <w:outlineLvl w:val="1"/>
      </w:pPr>
      <w:r>
        <w:rPr>
          <w:rFonts w:hint="eastAsia" w:ascii="宋体" w:hAnsi="宋体"/>
          <w:b/>
          <w:color w:val="000000" w:themeColor="text1"/>
          <w:sz w:val="24"/>
          <w:szCs w:val="21"/>
          <w:highlight w:val="none"/>
          <w:lang w:eastAsia="zh-CN"/>
          <w14:textFill>
            <w14:solidFill>
              <w14:schemeClr w14:val="tx1"/>
            </w14:solidFill>
          </w14:textFill>
        </w:rPr>
      </w:r>
      <w:r/>
    </w:p>
    <w:p>
      <w:pPr>
        <w:rPr>
          <w:rFonts w:hint="eastAsia" w:ascii="宋体" w:hAnsi="宋体"/>
          <w:b/>
          <w:color w:val="000000" w:themeColor="text1"/>
          <w:sz w:val="24"/>
          <w:szCs w:val="21"/>
          <w:highlight w:val="none"/>
          <w:lang w:eastAsia="zh-CN"/>
          <w14:textFill>
            <w14:solidFill>
              <w14:schemeClr w14:val="tx1"/>
            </w14:solidFill>
          </w14:textFill>
        </w:rPr>
        <w:outlineLvl w:val="1"/>
      </w:pPr>
      <w:r>
        <w:rPr>
          <w:rFonts w:hint="eastAsia" w:ascii="宋体" w:hAnsi="宋体"/>
          <w:b/>
          <w:color w:val="000000" w:themeColor="text1"/>
          <w:sz w:val="24"/>
          <w:szCs w:val="21"/>
          <w:highlight w:val="none"/>
          <w:lang w:eastAsia="zh-CN"/>
          <w14:textFill>
            <w14:solidFill>
              <w14:schemeClr w14:val="tx1"/>
            </w14:solidFill>
          </w14:textFill>
        </w:rPr>
      </w:r>
      <w:r/>
    </w:p>
    <w:p>
      <w:pPr>
        <w:rPr>
          <w:rFonts w:hint="eastAsia" w:ascii="宋体" w:hAnsi="宋体"/>
          <w:b/>
          <w:color w:val="000000" w:themeColor="text1"/>
          <w:sz w:val="24"/>
          <w:szCs w:val="21"/>
          <w:highlight w:val="none"/>
          <w:lang w:eastAsia="zh-CN"/>
          <w14:textFill>
            <w14:solidFill>
              <w14:schemeClr w14:val="tx1"/>
            </w14:solidFill>
          </w14:textFill>
        </w:rPr>
      </w:pPr>
      <w:r>
        <w:rPr>
          <w:rFonts w:hint="eastAsia" w:ascii="宋体" w:hAnsi="宋体"/>
          <w:b/>
          <w:color w:val="000000" w:themeColor="text1"/>
          <w:sz w:val="24"/>
          <w:szCs w:val="21"/>
          <w:highlight w:val="none"/>
          <w:lang w:eastAsia="zh-CN"/>
          <w14:textFill>
            <w14:solidFill>
              <w14:schemeClr w14:val="tx1"/>
            </w14:solidFill>
          </w14:textFill>
        </w:rPr>
        <w:br w:type="page" w:clear="all"/>
      </w:r>
      <w:r/>
    </w:p>
    <w:p>
      <w:pPr>
        <w:rPr>
          <w:rFonts w:ascii="宋体" w:hAnsi="宋体"/>
          <w:b/>
          <w:color w:val="000000" w:themeColor="text1"/>
          <w:sz w:val="24"/>
          <w:szCs w:val="21"/>
          <w:highlight w:val="none"/>
          <w:lang w:eastAsia="zh-CN"/>
          <w14:textFill>
            <w14:solidFill>
              <w14:schemeClr w14:val="tx1"/>
            </w14:solidFill>
          </w14:textFill>
        </w:rPr>
        <w:outlineLvl w:val="1"/>
      </w:pPr>
      <w:r>
        <w:rPr>
          <w:rFonts w:hint="eastAsia" w:ascii="宋体" w:hAnsi="宋体"/>
          <w:b/>
          <w:color w:val="000000" w:themeColor="text1"/>
          <w:sz w:val="24"/>
          <w:szCs w:val="21"/>
          <w:highlight w:val="none"/>
          <w:lang w:eastAsia="zh-CN"/>
          <w14:textFill>
            <w14:solidFill>
              <w14:schemeClr w14:val="tx1"/>
            </w14:solidFill>
          </w14:textFill>
        </w:rPr>
        <w:t xml:space="preserve">十</w:t>
      </w:r>
      <w:r>
        <w:rPr>
          <w:rFonts w:hint="eastAsia" w:ascii="宋体" w:hAnsi="宋体"/>
          <w:b/>
          <w:color w:val="000000" w:themeColor="text1"/>
          <w:sz w:val="24"/>
          <w:szCs w:val="21"/>
          <w:highlight w:val="none"/>
          <w:lang w:val="en-US" w:eastAsia="zh-CN"/>
          <w14:textFill>
            <w14:solidFill>
              <w14:schemeClr w14:val="tx1"/>
            </w14:solidFill>
          </w14:textFill>
        </w:rPr>
        <w:t xml:space="preserve">一</w:t>
      </w:r>
      <w:r>
        <w:rPr>
          <w:rFonts w:hint="eastAsia" w:ascii="宋体" w:hAnsi="宋体"/>
          <w:b/>
          <w:color w:val="000000" w:themeColor="text1"/>
          <w:sz w:val="24"/>
          <w:szCs w:val="21"/>
          <w:highlight w:val="none"/>
          <w:lang w:eastAsia="zh-CN"/>
          <w14:textFill>
            <w14:solidFill>
              <w14:schemeClr w14:val="tx1"/>
            </w14:solidFill>
          </w14:textFill>
        </w:rPr>
        <w:t xml:space="preserve">、残疾人福利性单位声明函</w:t>
      </w:r>
      <w:bookmarkEnd w:id="194"/>
      <w:r/>
      <w:bookmarkEnd w:id="195"/>
      <w:r/>
      <w:bookmarkEnd w:id="196"/>
      <w:r/>
      <w:bookmarkEnd w:id="197"/>
      <w:r/>
      <w:r/>
    </w:p>
    <w:p>
      <w:pPr>
        <w:ind w:firstLine="723"/>
        <w:jc w:val="center"/>
        <w:widowControl/>
        <w:rPr>
          <w:color w:val="000000" w:themeColor="text1"/>
          <w:sz w:val="24"/>
          <w:highlight w:val="none"/>
          <w:lang w:eastAsia="zh-CN"/>
          <w14:textFill>
            <w14:solidFill>
              <w14:schemeClr w14:val="tx1"/>
            </w14:solidFill>
          </w14:textFill>
        </w:rPr>
      </w:pPr>
      <w:r>
        <w:rPr>
          <w:rFonts w:eastAsia="黑体"/>
          <w:b/>
          <w:bCs/>
          <w:color w:val="000000" w:themeColor="text1"/>
          <w:sz w:val="36"/>
          <w:szCs w:val="28"/>
          <w:highlight w:val="none"/>
          <w:lang w:eastAsia="zh-CN"/>
          <w14:textFill>
            <w14:solidFill>
              <w14:schemeClr w14:val="tx1"/>
            </w14:solidFill>
          </w14:textFill>
        </w:rPr>
        <w:t xml:space="preserve">残疾人福利性单位声明函</w:t>
      </w:r>
      <w:r/>
    </w:p>
    <w:p>
      <w:pPr>
        <w:ind w:firstLine="504"/>
        <w:spacing w:line="500" w:lineRule="exact"/>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本单位郑重声明，根据《财政部民政部中国残疾人联合会关于促进残疾人就业政府采购政策的通知》（财库〔2017〕 141号）的规定，本单位为</w:t>
      </w:r>
      <w:r>
        <w:rPr>
          <w:rFonts w:hint="eastAsia"/>
          <w:color w:val="000000" w:themeColor="text1"/>
          <w:spacing w:val="6"/>
          <w:sz w:val="24"/>
          <w:szCs w:val="21"/>
          <w:highlight w:val="none"/>
          <w:u w:val="single"/>
          <w:lang w:val="zh-CN" w:eastAsia="zh-CN"/>
          <w14:textFill>
            <w14:solidFill>
              <w14:schemeClr w14:val="tx1"/>
            </w14:solidFill>
          </w14:textFill>
        </w:rPr>
        <w:t xml:space="preserve">        </w:t>
      </w:r>
      <w:r>
        <w:rPr>
          <w:rFonts w:hint="eastAsia"/>
          <w:color w:val="000000" w:themeColor="text1"/>
          <w:spacing w:val="6"/>
          <w:sz w:val="24"/>
          <w:szCs w:val="21"/>
          <w:highlight w:val="none"/>
          <w:lang w:val="zh-CN" w:eastAsia="zh-CN"/>
          <w14:textFill>
            <w14:solidFill>
              <w14:schemeClr w14:val="tx1"/>
            </w14:solidFill>
          </w14:textFill>
        </w:rPr>
        <w:t xml:space="preserve">（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500" w:lineRule="exact"/>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本单位对上述声明的真实性负责。如有虚假，将依法承担相应责任。</w:t>
      </w:r>
      <w:r/>
    </w:p>
    <w:p>
      <w:pPr>
        <w:spacing w:line="600" w:lineRule="exact"/>
        <w:rPr>
          <w:color w:val="000000" w:themeColor="text1"/>
          <w:sz w:val="24"/>
          <w:szCs w:val="21"/>
          <w:highlight w:val="none"/>
          <w:lang w:val="zh-CN" w:eastAsia="zh-CN"/>
          <w14:textFill>
            <w14:solidFill>
              <w14:schemeClr w14:val="tx1"/>
            </w14:solidFill>
          </w14:textFill>
        </w:rPr>
      </w:pPr>
      <w:r>
        <w:rPr>
          <w:color w:val="000000" w:themeColor="text1"/>
          <w:sz w:val="24"/>
          <w:szCs w:val="21"/>
          <w:highlight w:val="none"/>
          <w:lang w:val="zh-CN" w:eastAsia="zh-CN"/>
          <w14:textFill>
            <w14:solidFill>
              <w14:schemeClr w14:val="tx1"/>
            </w14:solidFill>
          </w14:textFill>
        </w:rPr>
      </w:r>
      <w:r/>
    </w:p>
    <w:p>
      <w:pPr>
        <w:spacing w:line="600" w:lineRule="exact"/>
        <w:rPr>
          <w:color w:val="000000" w:themeColor="text1"/>
          <w:sz w:val="24"/>
          <w:szCs w:val="21"/>
          <w:highlight w:val="none"/>
          <w:lang w:val="zh-CN" w:eastAsia="zh-CN"/>
          <w14:textFill>
            <w14:solidFill>
              <w14:schemeClr w14:val="tx1"/>
            </w14:solidFill>
          </w14:textFill>
        </w:rPr>
      </w:pPr>
      <w:r>
        <w:rPr>
          <w:color w:val="000000" w:themeColor="text1"/>
          <w:sz w:val="24"/>
          <w:szCs w:val="21"/>
          <w:highlight w:val="none"/>
          <w:lang w:val="zh-CN" w:eastAsia="zh-CN"/>
          <w14:textFill>
            <w14:solidFill>
              <w14:schemeClr w14:val="tx1"/>
            </w14:solidFill>
          </w14:textFill>
        </w:rPr>
        <w:t xml:space="preserve">供应商</w:t>
      </w:r>
      <w:r>
        <w:rPr>
          <w:color w:val="000000" w:themeColor="text1"/>
          <w:sz w:val="24"/>
          <w:szCs w:val="21"/>
          <w:highlight w:val="none"/>
          <w:lang w:eastAsia="zh-CN"/>
          <w14:textFill>
            <w14:solidFill>
              <w14:schemeClr w14:val="tx1"/>
            </w14:solidFill>
          </w14:textFill>
        </w:rPr>
        <w:t xml:space="preserve">（盖章）：            </w:t>
      </w:r>
      <w:r/>
    </w:p>
    <w:p>
      <w:pPr>
        <w:spacing w:line="600" w:lineRule="exact"/>
        <w:rPr>
          <w:color w:val="000000" w:themeColor="text1"/>
          <w:sz w:val="24"/>
          <w:szCs w:val="21"/>
          <w:highlight w:val="none"/>
          <w:lang w:val="zh-CN" w:eastAsia="zh-CN"/>
          <w14:textFill>
            <w14:solidFill>
              <w14:schemeClr w14:val="tx1"/>
            </w14:solidFill>
          </w14:textFill>
        </w:rPr>
      </w:pPr>
      <w:r>
        <w:rPr>
          <w:color w:val="000000" w:themeColor="text1"/>
          <w:sz w:val="24"/>
          <w:szCs w:val="21"/>
          <w:highlight w:val="none"/>
          <w:lang w:val="zh-CN" w:eastAsia="zh-CN"/>
          <w14:textFill>
            <w14:solidFill>
              <w14:schemeClr w14:val="tx1"/>
            </w14:solidFill>
          </w14:textFill>
        </w:rPr>
        <w:t xml:space="preserve">日    期：    年    月   日</w:t>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bookmarkStart w:id="198" w:name="_Toc5074"/>
      <w:r/>
      <w:bookmarkStart w:id="199" w:name="_Toc24113"/>
      <w:r/>
      <w:bookmarkStart w:id="200" w:name="_Toc27059"/>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rPr>
          <w:rFonts w:ascii="宋体" w:hAnsi="宋体" w:cs="黑体"/>
          <w:b/>
          <w:bCs/>
          <w:color w:val="000000" w:themeColor="text1"/>
          <w:sz w:val="24"/>
          <w:szCs w:val="21"/>
          <w:highlight w:val="none"/>
          <w:lang w:eastAsia="zh-CN"/>
          <w14:textFill>
            <w14:solidFill>
              <w14:schemeClr w14:val="tx1"/>
            </w14:solidFill>
          </w14:textFill>
        </w:rPr>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rPr>
          <w:rFonts w:ascii="宋体" w:hAnsi="宋体" w:cs="黑体"/>
          <w:b/>
          <w:bCs/>
          <w:color w:val="000000" w:themeColor="text1"/>
          <w:sz w:val="24"/>
          <w:szCs w:val="21"/>
          <w:highlight w:val="none"/>
          <w:lang w:eastAsia="zh-CN"/>
          <w14:textFill>
            <w14:solidFill>
              <w14:schemeClr w14:val="tx1"/>
            </w14:solidFill>
          </w14:textFill>
        </w:rPr>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rPr>
          <w:rFonts w:ascii="宋体" w:hAnsi="宋体" w:cs="黑体"/>
          <w:b/>
          <w:bCs/>
          <w:color w:val="000000" w:themeColor="text1"/>
          <w:sz w:val="24"/>
          <w:szCs w:val="21"/>
          <w:highlight w:val="none"/>
          <w:lang w:eastAsia="zh-CN"/>
          <w14:textFill>
            <w14:solidFill>
              <w14:schemeClr w14:val="tx1"/>
            </w14:solidFill>
          </w14:textFill>
        </w:rPr>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rPr>
          <w:rFonts w:ascii="宋体" w:hAnsi="宋体" w:cs="黑体"/>
          <w:b/>
          <w:bCs/>
          <w:color w:val="000000" w:themeColor="text1"/>
          <w:sz w:val="24"/>
          <w:szCs w:val="21"/>
          <w:highlight w:val="none"/>
          <w:lang w:eastAsia="zh-CN"/>
          <w14:textFill>
            <w14:solidFill>
              <w14:schemeClr w14:val="tx1"/>
            </w14:solidFill>
          </w14:textFill>
        </w:rPr>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rPr>
          <w:rFonts w:ascii="宋体" w:hAnsi="宋体" w:cs="黑体"/>
          <w:b/>
          <w:bCs/>
          <w:color w:val="000000" w:themeColor="text1"/>
          <w:sz w:val="24"/>
          <w:szCs w:val="21"/>
          <w:highlight w:val="none"/>
          <w:lang w:eastAsia="zh-CN"/>
          <w14:textFill>
            <w14:solidFill>
              <w14:schemeClr w14:val="tx1"/>
            </w14:solidFill>
          </w14:textFill>
        </w:rPr>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rPr>
          <w:rFonts w:ascii="宋体" w:hAnsi="宋体" w:cs="黑体"/>
          <w:b/>
          <w:bCs/>
          <w:color w:val="000000" w:themeColor="text1"/>
          <w:sz w:val="24"/>
          <w:szCs w:val="21"/>
          <w:highlight w:val="none"/>
          <w:lang w:eastAsia="zh-CN"/>
          <w14:textFill>
            <w14:solidFill>
              <w14:schemeClr w14:val="tx1"/>
            </w14:solidFill>
          </w14:textFill>
        </w:rPr>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rPr>
          <w:rFonts w:ascii="宋体" w:hAnsi="宋体" w:cs="黑体"/>
          <w:b/>
          <w:bCs/>
          <w:color w:val="000000" w:themeColor="text1"/>
          <w:sz w:val="24"/>
          <w:szCs w:val="21"/>
          <w:highlight w:val="none"/>
          <w:lang w:eastAsia="zh-CN"/>
          <w14:textFill>
            <w14:solidFill>
              <w14:schemeClr w14:val="tx1"/>
            </w14:solidFill>
          </w14:textFill>
        </w:rPr>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rPr>
          <w:rFonts w:ascii="宋体" w:hAnsi="宋体" w:cs="黑体"/>
          <w:b/>
          <w:bCs/>
          <w:color w:val="000000" w:themeColor="text1"/>
          <w:sz w:val="24"/>
          <w:szCs w:val="21"/>
          <w:highlight w:val="none"/>
          <w:lang w:eastAsia="zh-CN"/>
          <w14:textFill>
            <w14:solidFill>
              <w14:schemeClr w14:val="tx1"/>
            </w14:solidFill>
          </w14:textFill>
        </w:rPr>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rPr>
          <w:rFonts w:ascii="宋体" w:hAnsi="宋体" w:cs="黑体"/>
          <w:b/>
          <w:bCs/>
          <w:color w:val="000000" w:themeColor="text1"/>
          <w:sz w:val="24"/>
          <w:szCs w:val="21"/>
          <w:highlight w:val="none"/>
          <w:lang w:eastAsia="zh-CN"/>
          <w14:textFill>
            <w14:solidFill>
              <w14:schemeClr w14:val="tx1"/>
            </w14:solidFill>
          </w14:textFill>
        </w:rPr>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rPr>
          <w:rFonts w:ascii="宋体" w:hAnsi="宋体" w:cs="黑体"/>
          <w:b/>
          <w:bCs/>
          <w:color w:val="000000" w:themeColor="text1"/>
          <w:sz w:val="24"/>
          <w:szCs w:val="21"/>
          <w:highlight w:val="none"/>
          <w:lang w:eastAsia="zh-CN"/>
          <w14:textFill>
            <w14:solidFill>
              <w14:schemeClr w14:val="tx1"/>
            </w14:solidFill>
          </w14:textFill>
        </w:rPr>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rPr>
          <w:rFonts w:ascii="宋体" w:hAnsi="宋体" w:cs="黑体"/>
          <w:b/>
          <w:bCs/>
          <w:color w:val="000000" w:themeColor="text1"/>
          <w:sz w:val="24"/>
          <w:szCs w:val="21"/>
          <w:highlight w:val="none"/>
          <w:lang w:eastAsia="zh-CN"/>
          <w14:textFill>
            <w14:solidFill>
              <w14:schemeClr w14:val="tx1"/>
            </w14:solidFill>
          </w14:textFill>
        </w:rPr>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rPr>
          <w:rFonts w:ascii="宋体" w:hAnsi="宋体" w:cs="黑体"/>
          <w:b/>
          <w:bCs/>
          <w:color w:val="000000" w:themeColor="text1"/>
          <w:sz w:val="24"/>
          <w:szCs w:val="21"/>
          <w:highlight w:val="none"/>
          <w:lang w:eastAsia="zh-CN"/>
          <w14:textFill>
            <w14:solidFill>
              <w14:schemeClr w14:val="tx1"/>
            </w14:solidFill>
          </w14:textFill>
        </w:rPr>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rPr>
          <w:rFonts w:ascii="宋体" w:hAnsi="宋体" w:cs="黑体"/>
          <w:b/>
          <w:bCs/>
          <w:color w:val="000000" w:themeColor="text1"/>
          <w:sz w:val="24"/>
          <w:szCs w:val="21"/>
          <w:highlight w:val="none"/>
          <w:lang w:eastAsia="zh-CN"/>
          <w14:textFill>
            <w14:solidFill>
              <w14:schemeClr w14:val="tx1"/>
            </w14:solidFill>
          </w14:textFill>
        </w:rPr>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rPr>
          <w:rFonts w:ascii="宋体" w:hAnsi="宋体" w:cs="黑体"/>
          <w:b/>
          <w:bCs/>
          <w:color w:val="000000" w:themeColor="text1"/>
          <w:sz w:val="24"/>
          <w:szCs w:val="21"/>
          <w:highlight w:val="none"/>
          <w:lang w:eastAsia="zh-CN"/>
          <w14:textFill>
            <w14:solidFill>
              <w14:schemeClr w14:val="tx1"/>
            </w14:solidFill>
          </w14:textFill>
        </w:rPr>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rPr>
          <w:rFonts w:ascii="宋体" w:hAnsi="宋体" w:cs="黑体"/>
          <w:b/>
          <w:bCs/>
          <w:color w:val="000000" w:themeColor="text1"/>
          <w:sz w:val="24"/>
          <w:szCs w:val="21"/>
          <w:highlight w:val="none"/>
          <w:lang w:eastAsia="zh-CN"/>
          <w14:textFill>
            <w14:solidFill>
              <w14:schemeClr w14:val="tx1"/>
            </w14:solidFill>
          </w14:textFill>
        </w:rPr>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rPr>
          <w:rFonts w:ascii="宋体" w:hAnsi="宋体" w:cs="黑体"/>
          <w:b/>
          <w:bCs/>
          <w:color w:val="000000" w:themeColor="text1"/>
          <w:sz w:val="24"/>
          <w:szCs w:val="21"/>
          <w:highlight w:val="none"/>
          <w:lang w:eastAsia="zh-CN"/>
          <w14:textFill>
            <w14:solidFill>
              <w14:schemeClr w14:val="tx1"/>
            </w14:solidFill>
          </w14:textFill>
        </w:rPr>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rPr>
          <w:rFonts w:ascii="宋体" w:hAnsi="宋体" w:cs="黑体"/>
          <w:b/>
          <w:bCs/>
          <w:color w:val="000000" w:themeColor="text1"/>
          <w:sz w:val="24"/>
          <w:szCs w:val="21"/>
          <w:highlight w:val="none"/>
          <w:lang w:eastAsia="zh-CN"/>
          <w14:textFill>
            <w14:solidFill>
              <w14:schemeClr w14:val="tx1"/>
            </w14:solidFill>
          </w14:textFill>
        </w:rPr>
      </w:r>
      <w:r/>
    </w:p>
    <w:p>
      <w:pPr>
        <w:spacing w:line="360" w:lineRule="auto"/>
        <w:widowControl/>
        <w:rPr>
          <w:rFonts w:ascii="宋体" w:hAnsi="宋体"/>
          <w:b/>
          <w:color w:val="000000" w:themeColor="text1"/>
          <w:sz w:val="24"/>
          <w:szCs w:val="21"/>
          <w:highlight w:val="none"/>
          <w:lang w:eastAsia="zh-CN"/>
          <w14:textFill>
            <w14:solidFill>
              <w14:schemeClr w14:val="tx1"/>
            </w14:solidFill>
          </w14:textFill>
        </w:rPr>
        <w:outlineLvl w:val="1"/>
      </w:pPr>
      <w:r/>
      <w:bookmarkStart w:id="201" w:name="_Toc175663962"/>
      <w:r>
        <w:rPr>
          <w:rFonts w:hint="eastAsia" w:ascii="宋体" w:hAnsi="宋体"/>
          <w:b/>
          <w:color w:val="000000" w:themeColor="text1"/>
          <w:sz w:val="24"/>
          <w:szCs w:val="21"/>
          <w:highlight w:val="none"/>
          <w:lang w:eastAsia="zh-CN"/>
          <w14:textFill>
            <w14:solidFill>
              <w14:schemeClr w14:val="tx1"/>
            </w14:solidFill>
          </w14:textFill>
        </w:rPr>
        <w:t xml:space="preserve">十</w:t>
      </w:r>
      <w:r>
        <w:rPr>
          <w:rFonts w:hint="eastAsia" w:ascii="宋体" w:hAnsi="宋体"/>
          <w:b/>
          <w:color w:val="000000" w:themeColor="text1"/>
          <w:sz w:val="24"/>
          <w:szCs w:val="21"/>
          <w:highlight w:val="none"/>
          <w:lang w:val="en-US" w:eastAsia="zh-CN"/>
          <w14:textFill>
            <w14:solidFill>
              <w14:schemeClr w14:val="tx1"/>
            </w14:solidFill>
          </w14:textFill>
        </w:rPr>
        <w:t xml:space="preserve">二</w:t>
      </w:r>
      <w:r>
        <w:rPr>
          <w:rFonts w:hint="eastAsia" w:ascii="宋体" w:hAnsi="宋体"/>
          <w:b/>
          <w:color w:val="000000" w:themeColor="text1"/>
          <w:sz w:val="24"/>
          <w:szCs w:val="21"/>
          <w:highlight w:val="none"/>
          <w:lang w:eastAsia="zh-CN"/>
          <w14:textFill>
            <w14:solidFill>
              <w14:schemeClr w14:val="tx1"/>
            </w14:solidFill>
          </w14:textFill>
        </w:rPr>
        <w:t xml:space="preserve">：技术条款偏离表格式</w:t>
      </w:r>
      <w:bookmarkEnd w:id="201"/>
      <w:r/>
      <w:r/>
    </w:p>
    <w:p>
      <w:pPr>
        <w:ind w:firstLine="723"/>
        <w:jc w:val="center"/>
        <w:widowControl/>
        <w:rPr>
          <w:rFonts w:eastAsia="黑体"/>
          <w:b/>
          <w:bCs/>
          <w:color w:val="000000" w:themeColor="text1"/>
          <w:sz w:val="36"/>
          <w:szCs w:val="28"/>
          <w:highlight w:val="none"/>
          <w14:textFill>
            <w14:solidFill>
              <w14:schemeClr w14:val="tx1"/>
            </w14:solidFill>
          </w14:textFill>
        </w:rPr>
      </w:pPr>
      <w:r>
        <w:rPr>
          <w:rFonts w:hint="eastAsia" w:eastAsia="黑体"/>
          <w:b/>
          <w:bCs/>
          <w:color w:val="000000" w:themeColor="text1"/>
          <w:sz w:val="36"/>
          <w:szCs w:val="28"/>
          <w:highlight w:val="none"/>
          <w14:textFill>
            <w14:solidFill>
              <w14:schemeClr w14:val="tx1"/>
            </w14:solidFill>
          </w14:textFill>
        </w:rPr>
        <w:t xml:space="preserve">技术条款偏离表</w:t>
      </w:r>
      <w:r/>
    </w:p>
    <w:tbl>
      <w:tblPr>
        <w:tblStyle w:val="727"/>
        <w:tblW w:w="94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65"/>
        <w:gridCol w:w="2338"/>
        <w:gridCol w:w="2693"/>
        <w:gridCol w:w="2410"/>
        <w:gridCol w:w="1229"/>
      </w:tblGrid>
      <w:tr>
        <w:trPr>
          <w:jc w:val="center"/>
          <w:trHeight w:val="747"/>
        </w:trPr>
        <w:tc>
          <w:tcPr>
            <w:gridSpan w:val="5"/>
            <w:tcBorders>
              <w:top w:val="none" w:color="000000" w:sz="4" w:space="0"/>
              <w:left w:val="none" w:color="000000" w:sz="4" w:space="0"/>
              <w:bottom w:val="single" w:color="auto" w:sz="4" w:space="0"/>
              <w:right w:val="none" w:color="000000" w:sz="4" w:space="0"/>
            </w:tcBorders>
            <w:tcW w:w="9435" w:type="dxa"/>
            <w:vAlign w:val="center"/>
            <w:textDirection w:val="lrTb"/>
            <w:noWrap/>
          </w:tcPr>
          <w:p>
            <w:pPr>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项目编号：</w:t>
            </w:r>
            <w:r>
              <w:rPr>
                <w:rFonts w:hint="eastAsia" w:ascii="宋体" w:hAnsi="宋体"/>
                <w:bCs/>
                <w:color w:val="000000" w:themeColor="text1"/>
                <w:sz w:val="24"/>
                <w:szCs w:val="21"/>
                <w:highlight w:val="none"/>
                <w:lang w:eastAsia="zh-CN"/>
                <w14:textFill>
                  <w14:solidFill>
                    <w14:schemeClr w14:val="tx1"/>
                  </w14:solidFill>
                </w14:textFill>
              </w:rPr>
              <w:t xml:space="preserve">JSZC-320115-NJMT-C2026-0003</w:t>
            </w:r>
            <w:r/>
          </w:p>
          <w:p>
            <w:pPr>
              <w:spacing w:line="360" w:lineRule="auto"/>
              <w:rPr>
                <w:rFonts w:ascii="宋体" w:hAnsi="宋体"/>
                <w:bCs/>
                <w:color w:val="000000" w:themeColor="text1"/>
                <w:sz w:val="24"/>
                <w:szCs w:val="21"/>
                <w:highlight w:val="none"/>
                <w:lang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项目名称：</w:t>
            </w:r>
            <w:r>
              <w:rPr>
                <w:rFonts w:hint="eastAsia" w:ascii="宋体" w:hAnsi="宋体" w:eastAsia="宋体" w:cs="宋体"/>
                <w:bCs/>
                <w:color w:val="000000" w:themeColor="text1"/>
                <w:sz w:val="24"/>
                <w:szCs w:val="21"/>
                <w:highlight w:val="none"/>
                <w:u w:val="single"/>
                <w:lang w:eastAsia="zh-CN"/>
                <w14:textFill>
                  <w14:solidFill>
                    <w14:schemeClr w14:val="tx1"/>
                  </w14:solidFill>
                </w14:textFill>
              </w:rPr>
              <w:t xml:space="preserve">原铜井化工园退役场地风险评估项目</w:t>
            </w:r>
            <w:r/>
          </w:p>
        </w:tc>
      </w:tr>
      <w:tr>
        <w:trPr>
          <w:jc w:val="center"/>
          <w:trHeight w:val="284"/>
        </w:trPr>
        <w:tc>
          <w:tcPr>
            <w:tcBorders>
              <w:top w:val="single" w:color="auto" w:sz="4" w:space="0"/>
            </w:tcBorders>
            <w:tcW w:w="765" w:type="dxa"/>
            <w:vAlign w:val="center"/>
            <w:textDirection w:val="lrTb"/>
            <w:noWrap/>
          </w:tcPr>
          <w:p>
            <w:pPr>
              <w:jc w:val="center"/>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 xml:space="preserve">序号</w:t>
            </w:r>
            <w:r/>
          </w:p>
        </w:tc>
        <w:tc>
          <w:tcPr>
            <w:tcBorders>
              <w:top w:val="single" w:color="auto" w:sz="4" w:space="0"/>
            </w:tcBorders>
            <w:tcW w:w="2338" w:type="dxa"/>
            <w:vAlign w:val="center"/>
            <w:textDirection w:val="lrTb"/>
            <w:noWrap/>
          </w:tcPr>
          <w:p>
            <w:pPr>
              <w:jc w:val="center"/>
              <w:spacing w:line="360" w:lineRule="auto"/>
              <w:widowControl/>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采购文件的技术条款</w:t>
            </w:r>
            <w:r/>
          </w:p>
        </w:tc>
        <w:tc>
          <w:tcPr>
            <w:tcBorders>
              <w:top w:val="single" w:color="auto" w:sz="4" w:space="0"/>
            </w:tcBorders>
            <w:tcW w:w="2693" w:type="dxa"/>
            <w:vAlign w:val="center"/>
            <w:textDirection w:val="lrTb"/>
            <w:noWrap/>
          </w:tcPr>
          <w:p>
            <w:pPr>
              <w:jc w:val="center"/>
              <w:spacing w:line="360" w:lineRule="auto"/>
              <w:widowControl/>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 xml:space="preserve">响应文件中响应条款</w:t>
            </w:r>
            <w:r/>
          </w:p>
        </w:tc>
        <w:tc>
          <w:tcPr>
            <w:tcBorders>
              <w:top w:val="single" w:color="auto" w:sz="4" w:space="0"/>
            </w:tcBorders>
            <w:tcW w:w="2410" w:type="dxa"/>
            <w:vAlign w:val="center"/>
            <w:textDirection w:val="lrTb"/>
            <w:noWrap/>
          </w:tcPr>
          <w:p>
            <w:pPr>
              <w:jc w:val="center"/>
              <w:spacing w:line="360" w:lineRule="auto"/>
              <w:widowControl/>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 xml:space="preserve">符合/正偏离/负偏离</w:t>
            </w:r>
            <w:r/>
          </w:p>
        </w:tc>
        <w:tc>
          <w:tcPr>
            <w:tcBorders>
              <w:top w:val="single" w:color="auto" w:sz="4" w:space="0"/>
            </w:tcBorders>
            <w:tcW w:w="1229" w:type="dxa"/>
            <w:vAlign w:val="center"/>
            <w:textDirection w:val="lrTb"/>
            <w:noWrap/>
          </w:tcPr>
          <w:p>
            <w:pPr>
              <w:jc w:val="center"/>
              <w:spacing w:line="360" w:lineRule="auto"/>
              <w:widowControl/>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 xml:space="preserve">备注</w:t>
            </w:r>
            <w:r/>
          </w:p>
        </w:tc>
      </w:tr>
      <w:tr>
        <w:trPr>
          <w:jc w:val="center"/>
          <w:trHeight w:val="284"/>
        </w:trPr>
        <w:tc>
          <w:tcPr>
            <w:tcW w:w="765" w:type="dxa"/>
            <w:vAlign w:val="center"/>
            <w:textDirection w:val="lrTb"/>
            <w:noWrap/>
          </w:tcPr>
          <w:p>
            <w:pPr>
              <w:jc w:val="center"/>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 xml:space="preserve">1</w:t>
            </w:r>
            <w:r/>
          </w:p>
        </w:tc>
        <w:tc>
          <w:tcPr>
            <w:tcW w:w="2338" w:type="dxa"/>
            <w:vAlign w:val="center"/>
            <w:textDirection w:val="lrTb"/>
            <w:noWrap/>
          </w:tcPr>
          <w:p>
            <w:pPr>
              <w:ind w:firstLine="424"/>
              <w:jc w:val="center"/>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c>
          <w:tcPr>
            <w:tcW w:w="2693" w:type="dxa"/>
            <w:vAlign w:val="center"/>
            <w:textDirection w:val="lrTb"/>
            <w:noWrap/>
          </w:tcPr>
          <w:p>
            <w:pPr>
              <w:ind w:firstLine="424"/>
              <w:jc w:val="center"/>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c>
          <w:tcPr>
            <w:tcW w:w="2410" w:type="dxa"/>
            <w:vAlign w:val="center"/>
            <w:textDirection w:val="lrTb"/>
            <w:noWrap/>
          </w:tcPr>
          <w:p>
            <w:pPr>
              <w:ind w:firstLine="424"/>
              <w:jc w:val="center"/>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c>
          <w:tcPr>
            <w:tcW w:w="1229" w:type="dxa"/>
            <w:vAlign w:val="center"/>
            <w:textDirection w:val="lrTb"/>
            <w:noWrap/>
          </w:tcPr>
          <w:p>
            <w:pPr>
              <w:ind w:firstLine="424"/>
              <w:jc w:val="center"/>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r>
      <w:tr>
        <w:trPr>
          <w:jc w:val="center"/>
          <w:trHeight w:val="284"/>
        </w:trPr>
        <w:tc>
          <w:tcPr>
            <w:tcW w:w="765" w:type="dxa"/>
            <w:vAlign w:val="center"/>
            <w:textDirection w:val="lrTb"/>
            <w:noWrap/>
          </w:tcPr>
          <w:p>
            <w:pPr>
              <w:jc w:val="center"/>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 xml:space="preserve">2</w:t>
            </w:r>
            <w:r/>
          </w:p>
        </w:tc>
        <w:tc>
          <w:tcPr>
            <w:tcW w:w="2338" w:type="dxa"/>
            <w:vAlign w:val="center"/>
            <w:textDirection w:val="lrTb"/>
            <w:noWrap/>
          </w:tcPr>
          <w:p>
            <w:pPr>
              <w:ind w:firstLine="424"/>
              <w:jc w:val="center"/>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c>
          <w:tcPr>
            <w:tcW w:w="2693" w:type="dxa"/>
            <w:vAlign w:val="center"/>
            <w:textDirection w:val="lrTb"/>
            <w:noWrap/>
          </w:tcPr>
          <w:p>
            <w:pPr>
              <w:ind w:firstLine="424"/>
              <w:jc w:val="center"/>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c>
          <w:tcPr>
            <w:tcW w:w="2410" w:type="dxa"/>
            <w:vAlign w:val="center"/>
            <w:textDirection w:val="lrTb"/>
            <w:noWrap/>
          </w:tcPr>
          <w:p>
            <w:pPr>
              <w:ind w:firstLine="424"/>
              <w:jc w:val="center"/>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c>
          <w:tcPr>
            <w:tcW w:w="1229" w:type="dxa"/>
            <w:vAlign w:val="center"/>
            <w:textDirection w:val="lrTb"/>
            <w:noWrap/>
          </w:tcPr>
          <w:p>
            <w:pPr>
              <w:ind w:firstLine="424"/>
              <w:jc w:val="center"/>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r>
      <w:tr>
        <w:trPr>
          <w:jc w:val="center"/>
          <w:trHeight w:val="295"/>
        </w:trPr>
        <w:tc>
          <w:tcPr>
            <w:tcW w:w="765" w:type="dxa"/>
            <w:vAlign w:val="center"/>
            <w:textDirection w:val="lrTb"/>
            <w:noWrap/>
          </w:tcPr>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3</w:t>
            </w:r>
            <w:r/>
          </w:p>
        </w:tc>
        <w:tc>
          <w:tcPr>
            <w:tcW w:w="2338" w:type="dxa"/>
            <w:vAlign w:val="center"/>
            <w:textDirection w:val="lrTb"/>
            <w:noWrap/>
          </w:tcPr>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tc>
        <w:tc>
          <w:tcPr>
            <w:tcW w:w="2693" w:type="dxa"/>
            <w:vAlign w:val="center"/>
            <w:textDirection w:val="lrTb"/>
            <w:noWrap/>
          </w:tcPr>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tc>
        <w:tc>
          <w:tcPr>
            <w:tcW w:w="2410" w:type="dxa"/>
            <w:vAlign w:val="center"/>
            <w:textDirection w:val="lrTb"/>
            <w:noWrap/>
          </w:tcPr>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tc>
        <w:tc>
          <w:tcPr>
            <w:tcW w:w="1229" w:type="dxa"/>
            <w:vAlign w:val="center"/>
            <w:textDirection w:val="lrTb"/>
            <w:noWrap/>
          </w:tcPr>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tc>
      </w:tr>
      <w:tr>
        <w:trPr>
          <w:jc w:val="center"/>
          <w:trHeight w:val="373"/>
        </w:trPr>
        <w:tc>
          <w:tcPr>
            <w:tcW w:w="765" w:type="dxa"/>
            <w:vAlign w:val="center"/>
            <w:textDirection w:val="lrTb"/>
            <w:noWrap/>
          </w:tcPr>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4</w:t>
            </w:r>
            <w:r/>
          </w:p>
        </w:tc>
        <w:tc>
          <w:tcPr>
            <w:tcW w:w="2338" w:type="dxa"/>
            <w:vAlign w:val="center"/>
            <w:textDirection w:val="lrTb"/>
            <w:noWrap/>
          </w:tcPr>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tc>
        <w:tc>
          <w:tcPr>
            <w:tcW w:w="2693" w:type="dxa"/>
            <w:vAlign w:val="center"/>
            <w:textDirection w:val="lrTb"/>
            <w:noWrap/>
          </w:tcPr>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tc>
        <w:tc>
          <w:tcPr>
            <w:tcW w:w="2410" w:type="dxa"/>
            <w:vAlign w:val="center"/>
            <w:textDirection w:val="lrTb"/>
            <w:noWrap/>
          </w:tcPr>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tc>
        <w:tc>
          <w:tcPr>
            <w:tcW w:w="1229" w:type="dxa"/>
            <w:vAlign w:val="center"/>
            <w:textDirection w:val="lrTb"/>
            <w:noWrap/>
          </w:tcPr>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tc>
      </w:tr>
    </w:tbl>
    <w:p>
      <w:pPr>
        <w:spacing w:line="360" w:lineRule="auto"/>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 我方承诺，除上表所列内容外，我方完全响应本次招标文件技术条款要求。</w:t>
      </w:r>
      <w:r/>
    </w:p>
    <w:p>
      <w:pPr>
        <w:spacing w:line="360" w:lineRule="auto"/>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auto"/>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供应商名称：（盖章）</w:t>
      </w:r>
      <w:r/>
    </w:p>
    <w:p>
      <w:pPr>
        <w:spacing w:line="360" w:lineRule="auto"/>
        <w:rPr>
          <w:color w:val="000000" w:themeColor="text1"/>
          <w:spacing w:val="6"/>
          <w:sz w:val="24"/>
          <w:szCs w:val="21"/>
          <w:highlight w:val="none"/>
          <w:lang w:val="zh-CN" w:eastAsia="zh-CN"/>
          <w14:textFill>
            <w14:solidFill>
              <w14:schemeClr w14:val="tx1"/>
            </w14:solidFill>
          </w14:textFill>
        </w:rPr>
      </w:pPr>
      <w:r>
        <w:rPr>
          <w:color w:val="000000" w:themeColor="text1"/>
          <w:sz w:val="24"/>
          <w:szCs w:val="21"/>
          <w:highlight w:val="none"/>
          <w:lang w:val="zh-CN" w:eastAsia="zh-CN"/>
          <w14:textFill>
            <w14:solidFill>
              <w14:schemeClr w14:val="tx1"/>
            </w14:solidFill>
          </w14:textFill>
        </w:rPr>
        <w:t xml:space="preserve">日    期：    年    月   日</w:t>
      </w:r>
      <w:r/>
    </w:p>
    <w:p>
      <w:pPr>
        <w:spacing w:line="360" w:lineRule="auto"/>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说明：如果行数不够，请自行增加。</w:t>
      </w:r>
      <w:bookmarkStart w:id="202" w:name="_Toc26433"/>
      <w:r/>
      <w:bookmarkStart w:id="203" w:name="_Toc11155"/>
      <w:r/>
      <w:bookmarkStart w:id="204" w:name="_Toc23139"/>
      <w:r/>
      <w:r/>
    </w:p>
    <w:p>
      <w:pPr>
        <w:spacing w:line="360" w:lineRule="auto"/>
        <w:widowControl/>
        <w:rPr>
          <w:rFonts w:ascii="宋体" w:cs="宋体"/>
          <w:b/>
          <w:color w:val="000000" w:themeColor="text1"/>
          <w:szCs w:val="21"/>
          <w:highlight w:val="none"/>
          <w:lang w:val="zh-CN" w:eastAsia="zh-CN"/>
          <w14:textFill>
            <w14:solidFill>
              <w14:schemeClr w14:val="tx1"/>
            </w14:solidFill>
          </w14:textFill>
        </w:rPr>
        <w:outlineLvl w:val="1"/>
      </w:pPr>
      <w:r>
        <w:rPr>
          <w:rFonts w:ascii="宋体" w:cs="宋体"/>
          <w:b/>
          <w:color w:val="000000" w:themeColor="text1"/>
          <w:szCs w:val="21"/>
          <w:highlight w:val="none"/>
          <w:lang w:val="zh-CN" w:eastAsia="zh-CN"/>
          <w14:textFill>
            <w14:solidFill>
              <w14:schemeClr w14:val="tx1"/>
            </w14:solidFill>
          </w14:textFill>
        </w:rPr>
      </w:r>
      <w:r/>
    </w:p>
    <w:p>
      <w:pPr>
        <w:spacing w:line="360" w:lineRule="auto"/>
        <w:widowControl/>
        <w:rPr>
          <w:rFonts w:ascii="宋体" w:cs="宋体"/>
          <w:b/>
          <w:color w:val="000000" w:themeColor="text1"/>
          <w:szCs w:val="21"/>
          <w:highlight w:val="none"/>
          <w:lang w:val="zh-CN" w:eastAsia="zh-CN"/>
          <w14:textFill>
            <w14:solidFill>
              <w14:schemeClr w14:val="tx1"/>
            </w14:solidFill>
          </w14:textFill>
        </w:rPr>
        <w:outlineLvl w:val="1"/>
      </w:pPr>
      <w:r>
        <w:rPr>
          <w:rFonts w:ascii="宋体" w:cs="宋体"/>
          <w:b/>
          <w:color w:val="000000" w:themeColor="text1"/>
          <w:szCs w:val="21"/>
          <w:highlight w:val="none"/>
          <w:lang w:val="zh-CN" w:eastAsia="zh-CN"/>
          <w14:textFill>
            <w14:solidFill>
              <w14:schemeClr w14:val="tx1"/>
            </w14:solidFill>
          </w14:textFill>
        </w:rPr>
      </w:r>
      <w:r/>
    </w:p>
    <w:p>
      <w:pPr>
        <w:spacing w:line="360" w:lineRule="auto"/>
        <w:widowControl/>
        <w:rPr>
          <w:rFonts w:ascii="宋体" w:cs="宋体"/>
          <w:b/>
          <w:color w:val="000000" w:themeColor="text1"/>
          <w:szCs w:val="21"/>
          <w:highlight w:val="none"/>
          <w:lang w:val="zh-CN" w:eastAsia="zh-CN"/>
          <w14:textFill>
            <w14:solidFill>
              <w14:schemeClr w14:val="tx1"/>
            </w14:solidFill>
          </w14:textFill>
        </w:rPr>
        <w:outlineLvl w:val="1"/>
      </w:pPr>
      <w:r>
        <w:rPr>
          <w:rFonts w:ascii="宋体" w:cs="宋体"/>
          <w:b/>
          <w:color w:val="000000" w:themeColor="text1"/>
          <w:szCs w:val="21"/>
          <w:highlight w:val="none"/>
          <w:lang w:val="zh-CN" w:eastAsia="zh-CN"/>
          <w14:textFill>
            <w14:solidFill>
              <w14:schemeClr w14:val="tx1"/>
            </w14:solidFill>
          </w14:textFill>
        </w:rPr>
      </w:r>
      <w:r/>
    </w:p>
    <w:p>
      <w:pPr>
        <w:spacing w:line="360" w:lineRule="auto"/>
        <w:widowControl/>
        <w:rPr>
          <w:rFonts w:ascii="宋体" w:cs="宋体"/>
          <w:b/>
          <w:color w:val="000000" w:themeColor="text1"/>
          <w:szCs w:val="21"/>
          <w:highlight w:val="none"/>
          <w:lang w:val="zh-CN" w:eastAsia="zh-CN"/>
          <w14:textFill>
            <w14:solidFill>
              <w14:schemeClr w14:val="tx1"/>
            </w14:solidFill>
          </w14:textFill>
        </w:rPr>
        <w:outlineLvl w:val="1"/>
      </w:pPr>
      <w:r>
        <w:rPr>
          <w:rFonts w:ascii="宋体" w:cs="宋体"/>
          <w:b/>
          <w:color w:val="000000" w:themeColor="text1"/>
          <w:szCs w:val="21"/>
          <w:highlight w:val="none"/>
          <w:lang w:val="zh-CN" w:eastAsia="zh-CN"/>
          <w14:textFill>
            <w14:solidFill>
              <w14:schemeClr w14:val="tx1"/>
            </w14:solidFill>
          </w14:textFill>
        </w:rPr>
      </w:r>
      <w:r/>
    </w:p>
    <w:p>
      <w:pPr>
        <w:spacing w:line="360" w:lineRule="auto"/>
        <w:widowControl/>
        <w:rPr>
          <w:rFonts w:ascii="宋体" w:cs="宋体"/>
          <w:b/>
          <w:color w:val="000000" w:themeColor="text1"/>
          <w:szCs w:val="21"/>
          <w:highlight w:val="none"/>
          <w:lang w:val="zh-CN" w:eastAsia="zh-CN"/>
          <w14:textFill>
            <w14:solidFill>
              <w14:schemeClr w14:val="tx1"/>
            </w14:solidFill>
          </w14:textFill>
        </w:rPr>
        <w:outlineLvl w:val="1"/>
      </w:pPr>
      <w:r>
        <w:rPr>
          <w:rFonts w:ascii="宋体" w:cs="宋体"/>
          <w:b/>
          <w:color w:val="000000" w:themeColor="text1"/>
          <w:szCs w:val="21"/>
          <w:highlight w:val="none"/>
          <w:lang w:val="zh-CN" w:eastAsia="zh-CN"/>
          <w14:textFill>
            <w14:solidFill>
              <w14:schemeClr w14:val="tx1"/>
            </w14:solidFill>
          </w14:textFill>
        </w:rPr>
      </w:r>
      <w:r/>
    </w:p>
    <w:p>
      <w:pPr>
        <w:spacing w:line="360" w:lineRule="auto"/>
        <w:widowControl/>
        <w:rPr>
          <w:rFonts w:ascii="宋体" w:cs="宋体"/>
          <w:b/>
          <w:color w:val="000000" w:themeColor="text1"/>
          <w:szCs w:val="21"/>
          <w:highlight w:val="none"/>
          <w:lang w:val="zh-CN" w:eastAsia="zh-CN"/>
          <w14:textFill>
            <w14:solidFill>
              <w14:schemeClr w14:val="tx1"/>
            </w14:solidFill>
          </w14:textFill>
        </w:rPr>
        <w:outlineLvl w:val="1"/>
      </w:pPr>
      <w:r>
        <w:rPr>
          <w:rFonts w:ascii="宋体" w:cs="宋体"/>
          <w:b/>
          <w:color w:val="000000" w:themeColor="text1"/>
          <w:szCs w:val="21"/>
          <w:highlight w:val="none"/>
          <w:lang w:val="zh-CN" w:eastAsia="zh-CN"/>
          <w14:textFill>
            <w14:solidFill>
              <w14:schemeClr w14:val="tx1"/>
            </w14:solidFill>
          </w14:textFill>
        </w:rPr>
      </w:r>
      <w:r/>
    </w:p>
    <w:p>
      <w:pPr>
        <w:spacing w:line="360" w:lineRule="auto"/>
        <w:widowControl/>
        <w:rPr>
          <w:rFonts w:ascii="宋体" w:cs="宋体"/>
          <w:b/>
          <w:color w:val="000000" w:themeColor="text1"/>
          <w:szCs w:val="21"/>
          <w:highlight w:val="none"/>
          <w:lang w:val="zh-CN" w:eastAsia="zh-CN"/>
          <w14:textFill>
            <w14:solidFill>
              <w14:schemeClr w14:val="tx1"/>
            </w14:solidFill>
          </w14:textFill>
        </w:rPr>
        <w:outlineLvl w:val="1"/>
      </w:pPr>
      <w:r>
        <w:rPr>
          <w:rFonts w:ascii="宋体" w:cs="宋体"/>
          <w:b/>
          <w:color w:val="000000" w:themeColor="text1"/>
          <w:szCs w:val="21"/>
          <w:highlight w:val="none"/>
          <w:lang w:val="zh-CN" w:eastAsia="zh-CN"/>
          <w14:textFill>
            <w14:solidFill>
              <w14:schemeClr w14:val="tx1"/>
            </w14:solidFill>
          </w14:textFill>
        </w:rPr>
      </w:r>
      <w:r/>
    </w:p>
    <w:p>
      <w:pPr>
        <w:spacing w:line="360" w:lineRule="auto"/>
        <w:widowControl/>
        <w:rPr>
          <w:rFonts w:ascii="宋体" w:cs="宋体"/>
          <w:b/>
          <w:color w:val="000000" w:themeColor="text1"/>
          <w:szCs w:val="21"/>
          <w:highlight w:val="none"/>
          <w:lang w:val="zh-CN" w:eastAsia="zh-CN"/>
          <w14:textFill>
            <w14:solidFill>
              <w14:schemeClr w14:val="tx1"/>
            </w14:solidFill>
          </w14:textFill>
        </w:rPr>
        <w:outlineLvl w:val="1"/>
      </w:pPr>
      <w:r>
        <w:rPr>
          <w:rFonts w:ascii="宋体" w:cs="宋体"/>
          <w:b/>
          <w:color w:val="000000" w:themeColor="text1"/>
          <w:szCs w:val="21"/>
          <w:highlight w:val="none"/>
          <w:lang w:val="zh-CN" w:eastAsia="zh-CN"/>
          <w14:textFill>
            <w14:solidFill>
              <w14:schemeClr w14:val="tx1"/>
            </w14:solidFill>
          </w14:textFill>
        </w:rPr>
      </w:r>
      <w:r/>
    </w:p>
    <w:p>
      <w:pPr>
        <w:spacing w:line="360" w:lineRule="auto"/>
        <w:widowControl/>
        <w:rPr>
          <w:rFonts w:ascii="宋体" w:cs="宋体"/>
          <w:b/>
          <w:color w:val="000000" w:themeColor="text1"/>
          <w:szCs w:val="21"/>
          <w:highlight w:val="none"/>
          <w:lang w:val="zh-CN" w:eastAsia="zh-CN"/>
          <w14:textFill>
            <w14:solidFill>
              <w14:schemeClr w14:val="tx1"/>
            </w14:solidFill>
          </w14:textFill>
        </w:rPr>
        <w:outlineLvl w:val="1"/>
      </w:pPr>
      <w:r>
        <w:rPr>
          <w:rFonts w:ascii="宋体" w:cs="宋体"/>
          <w:b/>
          <w:color w:val="000000" w:themeColor="text1"/>
          <w:szCs w:val="21"/>
          <w:highlight w:val="none"/>
          <w:lang w:val="zh-CN" w:eastAsia="zh-CN"/>
          <w14:textFill>
            <w14:solidFill>
              <w14:schemeClr w14:val="tx1"/>
            </w14:solidFill>
          </w14:textFill>
        </w:rPr>
      </w:r>
      <w:r/>
    </w:p>
    <w:p>
      <w:pPr>
        <w:spacing w:line="360" w:lineRule="auto"/>
        <w:widowControl/>
        <w:rPr>
          <w:rFonts w:ascii="宋体" w:cs="宋体"/>
          <w:b/>
          <w:color w:val="000000" w:themeColor="text1"/>
          <w:szCs w:val="21"/>
          <w:highlight w:val="none"/>
          <w:lang w:val="zh-CN" w:eastAsia="zh-CN"/>
          <w14:textFill>
            <w14:solidFill>
              <w14:schemeClr w14:val="tx1"/>
            </w14:solidFill>
          </w14:textFill>
        </w:rPr>
        <w:outlineLvl w:val="1"/>
      </w:pPr>
      <w:r>
        <w:rPr>
          <w:rFonts w:ascii="宋体" w:cs="宋体"/>
          <w:b/>
          <w:color w:val="000000" w:themeColor="text1"/>
          <w:szCs w:val="21"/>
          <w:highlight w:val="none"/>
          <w:lang w:val="zh-CN" w:eastAsia="zh-CN"/>
          <w14:textFill>
            <w14:solidFill>
              <w14:schemeClr w14:val="tx1"/>
            </w14:solidFill>
          </w14:textFill>
        </w:rPr>
      </w:r>
      <w:r/>
    </w:p>
    <w:p>
      <w:pPr>
        <w:spacing w:line="360" w:lineRule="auto"/>
        <w:widowControl/>
        <w:rPr>
          <w:rFonts w:ascii="宋体" w:cs="宋体"/>
          <w:b/>
          <w:color w:val="000000" w:themeColor="text1"/>
          <w:szCs w:val="21"/>
          <w:highlight w:val="none"/>
          <w:lang w:val="zh-CN" w:eastAsia="zh-CN"/>
          <w14:textFill>
            <w14:solidFill>
              <w14:schemeClr w14:val="tx1"/>
            </w14:solidFill>
          </w14:textFill>
        </w:rPr>
        <w:outlineLvl w:val="1"/>
      </w:pPr>
      <w:r>
        <w:rPr>
          <w:rFonts w:ascii="宋体" w:cs="宋体"/>
          <w:b/>
          <w:color w:val="000000" w:themeColor="text1"/>
          <w:szCs w:val="21"/>
          <w:highlight w:val="none"/>
          <w:lang w:val="zh-CN" w:eastAsia="zh-CN"/>
          <w14:textFill>
            <w14:solidFill>
              <w14:schemeClr w14:val="tx1"/>
            </w14:solidFill>
          </w14:textFill>
        </w:rPr>
      </w:r>
      <w:r/>
    </w:p>
    <w:p>
      <w:pPr>
        <w:spacing w:line="360" w:lineRule="auto"/>
        <w:widowControl/>
        <w:rPr>
          <w:rFonts w:ascii="宋体" w:cs="宋体"/>
          <w:b/>
          <w:color w:val="000000" w:themeColor="text1"/>
          <w:szCs w:val="21"/>
          <w:highlight w:val="none"/>
          <w:lang w:val="zh-CN" w:eastAsia="zh-CN"/>
          <w14:textFill>
            <w14:solidFill>
              <w14:schemeClr w14:val="tx1"/>
            </w14:solidFill>
          </w14:textFill>
        </w:rPr>
        <w:outlineLvl w:val="1"/>
      </w:pPr>
      <w:r>
        <w:rPr>
          <w:rFonts w:ascii="宋体" w:cs="宋体"/>
          <w:b/>
          <w:color w:val="000000" w:themeColor="text1"/>
          <w:szCs w:val="21"/>
          <w:highlight w:val="none"/>
          <w:lang w:val="zh-CN" w:eastAsia="zh-CN"/>
          <w14:textFill>
            <w14:solidFill>
              <w14:schemeClr w14:val="tx1"/>
            </w14:solidFill>
          </w14:textFill>
        </w:rPr>
      </w:r>
      <w:r/>
    </w:p>
    <w:p>
      <w:pPr>
        <w:spacing w:line="360" w:lineRule="auto"/>
        <w:widowControl/>
        <w:rPr>
          <w:rFonts w:ascii="宋体" w:cs="宋体" w:eastAsiaTheme="minorEastAsia"/>
          <w:b/>
          <w:color w:val="000000" w:themeColor="text1"/>
          <w:szCs w:val="21"/>
          <w:highlight w:val="none"/>
          <w:lang w:val="zh-CN" w:eastAsia="zh-CN"/>
          <w14:textFill>
            <w14:solidFill>
              <w14:schemeClr w14:val="tx1"/>
            </w14:solidFill>
          </w14:textFill>
        </w:rPr>
        <w:outlineLvl w:val="1"/>
      </w:pPr>
      <w:r>
        <w:rPr>
          <w:rFonts w:ascii="宋体" w:cs="宋体" w:eastAsiaTheme="minorEastAsia"/>
          <w:b/>
          <w:color w:val="000000" w:themeColor="text1"/>
          <w:szCs w:val="21"/>
          <w:highlight w:val="none"/>
          <w:lang w:val="zh-CN" w:eastAsia="zh-CN"/>
          <w14:textFill>
            <w14:solidFill>
              <w14:schemeClr w14:val="tx1"/>
            </w14:solidFill>
          </w14:textFill>
        </w:rPr>
      </w:r>
      <w:r/>
    </w:p>
    <w:p>
      <w:pPr>
        <w:pStyle w:val="781"/>
        <w:rPr>
          <w:rFonts w:eastAsiaTheme="minorEastAsia"/>
          <w:color w:val="000000" w:themeColor="text1"/>
          <w:highlight w:val="none"/>
          <w:lang w:val="zh-CN" w:eastAsia="zh-CN"/>
          <w14:textFill>
            <w14:solidFill>
              <w14:schemeClr w14:val="tx1"/>
            </w14:solidFill>
          </w14:textFill>
        </w:rPr>
      </w:pPr>
      <w:r>
        <w:rPr>
          <w:rFonts w:eastAsiaTheme="minorEastAsia"/>
          <w:color w:val="000000" w:themeColor="text1"/>
          <w:highlight w:val="none"/>
          <w:lang w:val="zh-CN" w:eastAsia="zh-CN"/>
          <w14:textFill>
            <w14:solidFill>
              <w14:schemeClr w14:val="tx1"/>
            </w14:solidFill>
          </w14:textFill>
        </w:rPr>
      </w:r>
      <w:r/>
    </w:p>
    <w:p>
      <w:pPr>
        <w:pStyle w:val="781"/>
        <w:rPr>
          <w:rFonts w:eastAsiaTheme="minorEastAsia"/>
          <w:color w:val="000000" w:themeColor="text1"/>
          <w:highlight w:val="none"/>
          <w:lang w:val="zh-CN" w:eastAsia="zh-CN"/>
          <w14:textFill>
            <w14:solidFill>
              <w14:schemeClr w14:val="tx1"/>
            </w14:solidFill>
          </w14:textFill>
        </w:rPr>
      </w:pPr>
      <w:r>
        <w:rPr>
          <w:rFonts w:eastAsiaTheme="minorEastAsia"/>
          <w:color w:val="000000" w:themeColor="text1"/>
          <w:highlight w:val="none"/>
          <w:lang w:val="zh-CN" w:eastAsia="zh-CN"/>
          <w14:textFill>
            <w14:solidFill>
              <w14:schemeClr w14:val="tx1"/>
            </w14:solidFill>
          </w14:textFill>
        </w:rPr>
      </w:r>
      <w:r/>
    </w:p>
    <w:p>
      <w:pPr>
        <w:spacing w:line="360" w:lineRule="auto"/>
        <w:widowControl/>
        <w:rPr>
          <w:rFonts w:ascii="宋体" w:cs="宋体"/>
          <w:b/>
          <w:color w:val="000000" w:themeColor="text1"/>
          <w:szCs w:val="21"/>
          <w:highlight w:val="none"/>
          <w:lang w:val="zh-CN" w:eastAsia="zh-CN"/>
          <w14:textFill>
            <w14:solidFill>
              <w14:schemeClr w14:val="tx1"/>
            </w14:solidFill>
          </w14:textFill>
        </w:rPr>
        <w:outlineLvl w:val="1"/>
      </w:pPr>
      <w:r>
        <w:rPr>
          <w:rFonts w:ascii="宋体" w:cs="宋体"/>
          <w:b/>
          <w:color w:val="000000" w:themeColor="text1"/>
          <w:szCs w:val="21"/>
          <w:highlight w:val="none"/>
          <w:lang w:val="zh-CN" w:eastAsia="zh-CN"/>
          <w14:textFill>
            <w14:solidFill>
              <w14:schemeClr w14:val="tx1"/>
            </w14:solidFill>
          </w14:textFill>
        </w:rPr>
      </w:r>
      <w:r/>
    </w:p>
    <w:p>
      <w:pPr>
        <w:spacing w:line="360" w:lineRule="auto"/>
        <w:widowControl/>
        <w:rPr>
          <w:rFonts w:ascii="宋体" w:cs="宋体"/>
          <w:b/>
          <w:color w:val="000000" w:themeColor="text1"/>
          <w:szCs w:val="21"/>
          <w:highlight w:val="none"/>
          <w:lang w:val="zh-CN" w:eastAsia="zh-CN"/>
          <w14:textFill>
            <w14:solidFill>
              <w14:schemeClr w14:val="tx1"/>
            </w14:solidFill>
          </w14:textFill>
        </w:rPr>
        <w:outlineLvl w:val="1"/>
      </w:pPr>
      <w:r>
        <w:rPr>
          <w:rFonts w:ascii="宋体" w:cs="宋体"/>
          <w:b/>
          <w:color w:val="000000" w:themeColor="text1"/>
          <w:szCs w:val="21"/>
          <w:highlight w:val="none"/>
          <w:lang w:val="zh-CN" w:eastAsia="zh-CN"/>
          <w14:textFill>
            <w14:solidFill>
              <w14:schemeClr w14:val="tx1"/>
            </w14:solidFill>
          </w14:textFill>
        </w:rPr>
      </w:r>
      <w:r/>
    </w:p>
    <w:p>
      <w:pPr>
        <w:spacing w:line="360" w:lineRule="auto"/>
        <w:widowControl/>
        <w:rPr>
          <w:rFonts w:ascii="宋体" w:hAnsi="宋体"/>
          <w:b/>
          <w:color w:val="000000" w:themeColor="text1"/>
          <w:sz w:val="24"/>
          <w:szCs w:val="21"/>
          <w:highlight w:val="none"/>
          <w:lang w:eastAsia="zh-CN"/>
          <w14:textFill>
            <w14:solidFill>
              <w14:schemeClr w14:val="tx1"/>
            </w14:solidFill>
          </w14:textFill>
        </w:rPr>
        <w:outlineLvl w:val="1"/>
      </w:pPr>
      <w:r/>
      <w:bookmarkStart w:id="205" w:name="_Toc175663963"/>
      <w:r>
        <w:rPr>
          <w:rFonts w:hint="eastAsia" w:ascii="宋体" w:hAnsi="宋体"/>
          <w:b/>
          <w:color w:val="000000" w:themeColor="text1"/>
          <w:sz w:val="24"/>
          <w:szCs w:val="21"/>
          <w:highlight w:val="none"/>
          <w:lang w:eastAsia="zh-CN"/>
          <w14:textFill>
            <w14:solidFill>
              <w14:schemeClr w14:val="tx1"/>
            </w14:solidFill>
          </w14:textFill>
        </w:rPr>
        <w:t xml:space="preserve">十</w:t>
      </w:r>
      <w:r>
        <w:rPr>
          <w:rFonts w:hint="eastAsia" w:ascii="宋体" w:hAnsi="宋体"/>
          <w:b/>
          <w:color w:val="000000" w:themeColor="text1"/>
          <w:sz w:val="24"/>
          <w:szCs w:val="21"/>
          <w:highlight w:val="none"/>
          <w:lang w:val="en-US" w:eastAsia="zh-CN"/>
          <w14:textFill>
            <w14:solidFill>
              <w14:schemeClr w14:val="tx1"/>
            </w14:solidFill>
          </w14:textFill>
        </w:rPr>
        <w:t xml:space="preserve">三</w:t>
      </w:r>
      <w:r>
        <w:rPr>
          <w:rFonts w:hint="eastAsia" w:ascii="宋体" w:hAnsi="宋体"/>
          <w:b/>
          <w:color w:val="000000" w:themeColor="text1"/>
          <w:sz w:val="24"/>
          <w:szCs w:val="21"/>
          <w:highlight w:val="none"/>
          <w:lang w:eastAsia="zh-CN"/>
          <w14:textFill>
            <w14:solidFill>
              <w14:schemeClr w14:val="tx1"/>
            </w14:solidFill>
          </w14:textFill>
        </w:rPr>
        <w:t xml:space="preserve">：商务条款偏离表格式</w:t>
      </w:r>
      <w:bookmarkEnd w:id="202"/>
      <w:r/>
      <w:bookmarkEnd w:id="203"/>
      <w:r/>
      <w:bookmarkEnd w:id="204"/>
      <w:r/>
      <w:bookmarkEnd w:id="205"/>
      <w:r/>
      <w:r/>
    </w:p>
    <w:p>
      <w:pPr>
        <w:ind w:firstLine="723"/>
        <w:jc w:val="center"/>
        <w:spacing w:line="360" w:lineRule="auto"/>
        <w:widowControl/>
        <w:rPr>
          <w:rFonts w:eastAsia="黑体"/>
          <w:b/>
          <w:bCs/>
          <w:color w:val="000000" w:themeColor="text1"/>
          <w:sz w:val="36"/>
          <w:szCs w:val="28"/>
          <w:highlight w:val="none"/>
          <w14:textFill>
            <w14:solidFill>
              <w14:schemeClr w14:val="tx1"/>
            </w14:solidFill>
          </w14:textFill>
        </w:rPr>
      </w:pPr>
      <w:r>
        <w:rPr>
          <w:rFonts w:hint="eastAsia" w:eastAsia="黑体"/>
          <w:b/>
          <w:bCs/>
          <w:color w:val="000000" w:themeColor="text1"/>
          <w:sz w:val="36"/>
          <w:szCs w:val="28"/>
          <w:highlight w:val="none"/>
          <w14:textFill>
            <w14:solidFill>
              <w14:schemeClr w14:val="tx1"/>
            </w14:solidFill>
          </w14:textFill>
        </w:rPr>
        <w:t xml:space="preserve">商务条款偏离表</w:t>
      </w:r>
      <w:r/>
    </w:p>
    <w:tbl>
      <w:tblPr>
        <w:tblStyle w:val="727"/>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77"/>
        <w:gridCol w:w="2342"/>
        <w:gridCol w:w="2835"/>
        <w:gridCol w:w="2368"/>
        <w:gridCol w:w="1020"/>
      </w:tblGrid>
      <w:tr>
        <w:trPr>
          <w:jc w:val="center"/>
          <w:trHeight w:val="284"/>
          <w:tblHeader/>
        </w:trPr>
        <w:tc>
          <w:tcPr>
            <w:gridSpan w:val="5"/>
            <w:tcBorders>
              <w:top w:val="none" w:color="000000" w:sz="4" w:space="0"/>
              <w:left w:val="none" w:color="000000" w:sz="4" w:space="0"/>
              <w:right w:val="none" w:color="000000" w:sz="4" w:space="0"/>
            </w:tcBorders>
            <w:tcW w:w="9342" w:type="dxa"/>
            <w:vAlign w:val="center"/>
            <w:textDirection w:val="lrTb"/>
            <w:noWrap/>
          </w:tcPr>
          <w:p>
            <w:pPr>
              <w:spacing w:line="360" w:lineRule="auto"/>
              <w:widowControl/>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项目编号：</w:t>
            </w:r>
            <w:r>
              <w:rPr>
                <w:rFonts w:hint="eastAsia" w:ascii="宋体" w:hAnsi="宋体"/>
                <w:bCs/>
                <w:color w:val="000000" w:themeColor="text1"/>
                <w:sz w:val="24"/>
                <w:szCs w:val="21"/>
                <w:highlight w:val="none"/>
                <w:lang w:eastAsia="zh-CN"/>
                <w14:textFill>
                  <w14:solidFill>
                    <w14:schemeClr w14:val="tx1"/>
                  </w14:solidFill>
                </w14:textFill>
              </w:rPr>
              <w:t xml:space="preserve">JSZC-320115-NJMT-C2026-0003</w:t>
            </w:r>
            <w:r/>
          </w:p>
          <w:p>
            <w:pPr>
              <w:spacing w:line="360" w:lineRule="auto"/>
              <w:widowControl/>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项目名称：</w:t>
            </w:r>
            <w:r>
              <w:rPr>
                <w:rFonts w:hint="eastAsia" w:ascii="宋体" w:hAnsi="宋体" w:eastAsia="宋体" w:cs="宋体"/>
                <w:color w:val="000000" w:themeColor="text1"/>
                <w:spacing w:val="6"/>
                <w:sz w:val="24"/>
                <w:szCs w:val="21"/>
                <w:highlight w:val="none"/>
                <w:u w:val="single"/>
                <w:lang w:val="zh-CN" w:eastAsia="zh-CN"/>
                <w14:textFill>
                  <w14:solidFill>
                    <w14:schemeClr w14:val="tx1"/>
                  </w14:solidFill>
                </w14:textFill>
              </w:rPr>
              <w:t xml:space="preserve">原铜井化工园退役场地风险评估项目</w:t>
            </w:r>
            <w:r/>
          </w:p>
        </w:tc>
      </w:tr>
      <w:tr>
        <w:trPr>
          <w:jc w:val="center"/>
          <w:trHeight w:val="774"/>
        </w:trPr>
        <w:tc>
          <w:tcPr>
            <w:tcW w:w="777" w:type="dxa"/>
            <w:vAlign w:val="center"/>
            <w:textDirection w:val="lrTb"/>
            <w:noWrap/>
          </w:tcPr>
          <w:p>
            <w:pPr>
              <w:jc w:val="center"/>
              <w:spacing w:line="360" w:lineRule="auto"/>
              <w:widowControl/>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 xml:space="preserve">序号</w:t>
            </w:r>
            <w:r/>
          </w:p>
        </w:tc>
        <w:tc>
          <w:tcPr>
            <w:tcW w:w="2342" w:type="dxa"/>
            <w:vAlign w:val="center"/>
            <w:textDirection w:val="lrTb"/>
            <w:noWrap/>
          </w:tcPr>
          <w:p>
            <w:pPr>
              <w:jc w:val="center"/>
              <w:spacing w:line="360" w:lineRule="auto"/>
              <w:widowControl/>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采购文件的商务条款</w:t>
            </w:r>
            <w:r/>
          </w:p>
        </w:tc>
        <w:tc>
          <w:tcPr>
            <w:tcW w:w="2835" w:type="dxa"/>
            <w:vAlign w:val="center"/>
            <w:textDirection w:val="lrTb"/>
            <w:noWrap/>
          </w:tcPr>
          <w:p>
            <w:pPr>
              <w:jc w:val="center"/>
              <w:spacing w:line="360" w:lineRule="auto"/>
              <w:widowControl/>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 xml:space="preserve">响应文件中响应条款</w:t>
            </w:r>
            <w:r/>
          </w:p>
        </w:tc>
        <w:tc>
          <w:tcPr>
            <w:tcW w:w="2368" w:type="dxa"/>
            <w:vAlign w:val="center"/>
            <w:textDirection w:val="lrTb"/>
            <w:noWrap/>
          </w:tcPr>
          <w:p>
            <w:pPr>
              <w:jc w:val="center"/>
              <w:spacing w:line="360" w:lineRule="auto"/>
              <w:widowControl/>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 xml:space="preserve">符合/正偏离/负偏离</w:t>
            </w:r>
            <w:r/>
          </w:p>
        </w:tc>
        <w:tc>
          <w:tcPr>
            <w:tcW w:w="1020" w:type="dxa"/>
            <w:vAlign w:val="center"/>
            <w:textDirection w:val="lrTb"/>
            <w:noWrap/>
          </w:tcPr>
          <w:p>
            <w:pPr>
              <w:jc w:val="center"/>
              <w:spacing w:line="360" w:lineRule="auto"/>
              <w:widowControl/>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 xml:space="preserve">备注</w:t>
            </w:r>
            <w:r/>
          </w:p>
        </w:tc>
      </w:tr>
      <w:tr>
        <w:trPr>
          <w:jc w:val="center"/>
          <w:trHeight w:val="284"/>
        </w:trPr>
        <w:tc>
          <w:tcPr>
            <w:tcW w:w="777" w:type="dxa"/>
            <w:vAlign w:val="center"/>
            <w:textDirection w:val="lrTb"/>
            <w:noWrap/>
          </w:tcPr>
          <w:p>
            <w:pPr>
              <w:jc w:val="center"/>
              <w:spacing w:line="360" w:lineRule="auto"/>
              <w:widowControl/>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 xml:space="preserve">1</w:t>
            </w:r>
            <w:r/>
          </w:p>
        </w:tc>
        <w:tc>
          <w:tcPr>
            <w:tcW w:w="2342" w:type="dxa"/>
            <w:vAlign w:val="center"/>
            <w:textDirection w:val="lrTb"/>
            <w:noWrap/>
          </w:tcPr>
          <w:p>
            <w:pPr>
              <w:jc w:val="center"/>
              <w:spacing w:line="360" w:lineRule="auto"/>
              <w:widowControl/>
              <w:rPr>
                <w:rFonts w:ascii="宋体" w:hAnsi="宋体"/>
                <w:color w:val="000000" w:themeColor="text1"/>
                <w:sz w:val="20"/>
                <w:szCs w:val="20"/>
                <w:highlight w:val="none"/>
                <w14:textFill>
                  <w14:solidFill>
                    <w14:schemeClr w14:val="tx1"/>
                  </w14:solidFill>
                </w14:textFill>
              </w:rPr>
            </w:pPr>
            <w:r>
              <w:rPr>
                <w:rFonts w:hint="eastAsia" w:ascii="宋体" w:hAnsi="宋体"/>
                <w:bCs/>
                <w:color w:val="000000" w:themeColor="text1"/>
                <w:sz w:val="20"/>
                <w:szCs w:val="20"/>
                <w:highlight w:val="none"/>
                <w14:textFill>
                  <w14:solidFill>
                    <w14:schemeClr w14:val="tx1"/>
                  </w14:solidFill>
                </w14:textFill>
              </w:rPr>
              <w:t xml:space="preserve">磋商申请及声明</w:t>
            </w:r>
            <w:r/>
          </w:p>
        </w:tc>
        <w:tc>
          <w:tcPr>
            <w:tcW w:w="2835" w:type="dxa"/>
            <w:vAlign w:val="center"/>
            <w:textDirection w:val="lrTb"/>
            <w:noWrap/>
          </w:tcPr>
          <w:p>
            <w:pPr>
              <w:ind w:firstLine="424"/>
              <w:jc w:val="center"/>
              <w:spacing w:line="360" w:lineRule="auto"/>
              <w:widowControl/>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c>
          <w:tcPr>
            <w:tcW w:w="2368" w:type="dxa"/>
            <w:vAlign w:val="center"/>
            <w:textDirection w:val="lrTb"/>
            <w:noWrap/>
          </w:tcPr>
          <w:p>
            <w:pPr>
              <w:ind w:firstLine="424"/>
              <w:jc w:val="center"/>
              <w:spacing w:line="360" w:lineRule="auto"/>
              <w:widowControl/>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c>
          <w:tcPr>
            <w:tcW w:w="1020" w:type="dxa"/>
            <w:vAlign w:val="center"/>
            <w:textDirection w:val="lrTb"/>
            <w:noWrap/>
          </w:tcPr>
          <w:p>
            <w:pPr>
              <w:ind w:firstLine="424"/>
              <w:jc w:val="center"/>
              <w:spacing w:line="360" w:lineRule="auto"/>
              <w:widowControl/>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r>
      <w:tr>
        <w:trPr>
          <w:jc w:val="center"/>
          <w:trHeight w:val="284"/>
        </w:trPr>
        <w:tc>
          <w:tcPr>
            <w:tcW w:w="777" w:type="dxa"/>
            <w:vAlign w:val="center"/>
            <w:textDirection w:val="lrTb"/>
            <w:noWrap/>
          </w:tcPr>
          <w:p>
            <w:pPr>
              <w:jc w:val="center"/>
              <w:spacing w:line="360" w:lineRule="auto"/>
              <w:widowControl/>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 xml:space="preserve">2</w:t>
            </w:r>
            <w:r/>
          </w:p>
        </w:tc>
        <w:tc>
          <w:tcPr>
            <w:tcW w:w="2342" w:type="dxa"/>
            <w:vAlign w:val="center"/>
            <w:textDirection w:val="lrTb"/>
            <w:noWrap/>
          </w:tcPr>
          <w:p>
            <w:pPr>
              <w:jc w:val="center"/>
              <w:spacing w:line="360" w:lineRule="auto"/>
              <w:widowControl/>
              <w:rPr>
                <w:rFonts w:ascii="宋体" w:hAnsi="宋体"/>
                <w:bCs/>
                <w:color w:val="000000" w:themeColor="text1"/>
                <w:sz w:val="20"/>
                <w:szCs w:val="20"/>
                <w:highlight w:val="none"/>
                <w:lang w:eastAsia="zh-CN"/>
                <w14:textFill>
                  <w14:solidFill>
                    <w14:schemeClr w14:val="tx1"/>
                  </w14:solidFill>
                </w14:textFill>
              </w:rPr>
            </w:pPr>
            <w:r>
              <w:rPr>
                <w:rFonts w:hint="eastAsia" w:ascii="宋体" w:hAnsi="宋体"/>
                <w:bCs/>
                <w:color w:val="000000" w:themeColor="text1"/>
                <w:sz w:val="20"/>
                <w:szCs w:val="20"/>
                <w:highlight w:val="none"/>
                <w:lang w:eastAsia="zh-CN"/>
                <w14:textFill>
                  <w14:solidFill>
                    <w14:schemeClr w14:val="tx1"/>
                  </w14:solidFill>
                </w14:textFill>
              </w:rPr>
              <w:t xml:space="preserve">法定代表人授权委托书</w:t>
            </w:r>
            <w:r/>
          </w:p>
        </w:tc>
        <w:tc>
          <w:tcPr>
            <w:tcW w:w="2835" w:type="dxa"/>
            <w:vAlign w:val="center"/>
            <w:textDirection w:val="lrTb"/>
            <w:noWrap/>
          </w:tcPr>
          <w:p>
            <w:pPr>
              <w:ind w:firstLine="424"/>
              <w:jc w:val="center"/>
              <w:spacing w:line="360" w:lineRule="auto"/>
              <w:widowControl/>
              <w:rPr>
                <w:color w:val="000000" w:themeColor="text1"/>
                <w:spacing w:val="6"/>
                <w:sz w:val="20"/>
                <w:szCs w:val="20"/>
                <w:highlight w:val="none"/>
                <w:lang w:val="zh-CN" w:eastAsia="zh-CN"/>
                <w14:textFill>
                  <w14:solidFill>
                    <w14:schemeClr w14:val="tx1"/>
                  </w14:solidFill>
                </w14:textFill>
              </w:rPr>
            </w:pPr>
            <w:r>
              <w:rPr>
                <w:color w:val="000000" w:themeColor="text1"/>
                <w:spacing w:val="6"/>
                <w:sz w:val="20"/>
                <w:szCs w:val="20"/>
                <w:highlight w:val="none"/>
                <w:lang w:val="zh-CN" w:eastAsia="zh-CN"/>
                <w14:textFill>
                  <w14:solidFill>
                    <w14:schemeClr w14:val="tx1"/>
                  </w14:solidFill>
                </w14:textFill>
              </w:rPr>
            </w:r>
            <w:r/>
          </w:p>
        </w:tc>
        <w:tc>
          <w:tcPr>
            <w:tcW w:w="2368" w:type="dxa"/>
            <w:vAlign w:val="center"/>
            <w:textDirection w:val="lrTb"/>
            <w:noWrap/>
          </w:tcPr>
          <w:p>
            <w:pPr>
              <w:ind w:firstLine="424"/>
              <w:jc w:val="center"/>
              <w:spacing w:line="360" w:lineRule="auto"/>
              <w:widowControl/>
              <w:rPr>
                <w:color w:val="000000" w:themeColor="text1"/>
                <w:spacing w:val="6"/>
                <w:sz w:val="20"/>
                <w:szCs w:val="20"/>
                <w:highlight w:val="none"/>
                <w:lang w:val="zh-CN" w:eastAsia="zh-CN"/>
                <w14:textFill>
                  <w14:solidFill>
                    <w14:schemeClr w14:val="tx1"/>
                  </w14:solidFill>
                </w14:textFill>
              </w:rPr>
            </w:pPr>
            <w:r>
              <w:rPr>
                <w:color w:val="000000" w:themeColor="text1"/>
                <w:spacing w:val="6"/>
                <w:sz w:val="20"/>
                <w:szCs w:val="20"/>
                <w:highlight w:val="none"/>
                <w:lang w:val="zh-CN" w:eastAsia="zh-CN"/>
                <w14:textFill>
                  <w14:solidFill>
                    <w14:schemeClr w14:val="tx1"/>
                  </w14:solidFill>
                </w14:textFill>
              </w:rPr>
            </w:r>
            <w:r/>
          </w:p>
        </w:tc>
        <w:tc>
          <w:tcPr>
            <w:tcW w:w="1020" w:type="dxa"/>
            <w:vAlign w:val="center"/>
            <w:textDirection w:val="lrTb"/>
            <w:noWrap/>
          </w:tcPr>
          <w:p>
            <w:pPr>
              <w:ind w:firstLine="424"/>
              <w:jc w:val="center"/>
              <w:spacing w:line="360" w:lineRule="auto"/>
              <w:widowControl/>
              <w:rPr>
                <w:color w:val="000000" w:themeColor="text1"/>
                <w:spacing w:val="6"/>
                <w:sz w:val="20"/>
                <w:szCs w:val="20"/>
                <w:highlight w:val="none"/>
                <w:lang w:val="zh-CN" w:eastAsia="zh-CN"/>
                <w14:textFill>
                  <w14:solidFill>
                    <w14:schemeClr w14:val="tx1"/>
                  </w14:solidFill>
                </w14:textFill>
              </w:rPr>
            </w:pPr>
            <w:r>
              <w:rPr>
                <w:color w:val="000000" w:themeColor="text1"/>
                <w:spacing w:val="6"/>
                <w:sz w:val="20"/>
                <w:szCs w:val="20"/>
                <w:highlight w:val="none"/>
                <w:lang w:val="zh-CN" w:eastAsia="zh-CN"/>
                <w14:textFill>
                  <w14:solidFill>
                    <w14:schemeClr w14:val="tx1"/>
                  </w14:solidFill>
                </w14:textFill>
              </w:rPr>
            </w:r>
            <w:r/>
          </w:p>
        </w:tc>
      </w:tr>
      <w:tr>
        <w:trPr>
          <w:jc w:val="center"/>
          <w:trHeight w:val="284"/>
        </w:trPr>
        <w:tc>
          <w:tcPr>
            <w:tcW w:w="777" w:type="dxa"/>
            <w:vAlign w:val="center"/>
            <w:textDirection w:val="lrTb"/>
            <w:noWrap/>
          </w:tcPr>
          <w:p>
            <w:pPr>
              <w:jc w:val="center"/>
              <w:spacing w:line="360" w:lineRule="auto"/>
              <w:widowControl/>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 xml:space="preserve">3</w:t>
            </w:r>
            <w:r/>
          </w:p>
        </w:tc>
        <w:tc>
          <w:tcPr>
            <w:tcW w:w="2342" w:type="dxa"/>
            <w:vAlign w:val="center"/>
            <w:textDirection w:val="lrTb"/>
            <w:noWrap/>
          </w:tcPr>
          <w:p>
            <w:pPr>
              <w:jc w:val="center"/>
              <w:spacing w:line="360" w:lineRule="auto"/>
              <w:widowControl/>
              <w:rPr>
                <w:rFonts w:ascii="宋体" w:hAnsi="宋体"/>
                <w:bCs/>
                <w:color w:val="000000" w:themeColor="text1"/>
                <w:sz w:val="20"/>
                <w:szCs w:val="20"/>
                <w:highlight w:val="none"/>
                <w14:textFill>
                  <w14:solidFill>
                    <w14:schemeClr w14:val="tx1"/>
                  </w14:solidFill>
                </w14:textFill>
              </w:rPr>
            </w:pPr>
            <w:r>
              <w:rPr>
                <w:rFonts w:hint="eastAsia" w:ascii="宋体" w:hAnsi="宋体"/>
                <w:bCs/>
                <w:color w:val="000000" w:themeColor="text1"/>
                <w:sz w:val="20"/>
                <w:szCs w:val="20"/>
                <w:highlight w:val="none"/>
                <w14:textFill>
                  <w14:solidFill>
                    <w14:schemeClr w14:val="tx1"/>
                  </w14:solidFill>
                </w14:textFill>
              </w:rPr>
              <w:t xml:space="preserve">磋商报价汇总表</w:t>
            </w:r>
            <w:r/>
          </w:p>
        </w:tc>
        <w:tc>
          <w:tcPr>
            <w:tcW w:w="2835" w:type="dxa"/>
            <w:vAlign w:val="center"/>
            <w:textDirection w:val="lrTb"/>
            <w:noWrap/>
          </w:tcPr>
          <w:p>
            <w:pPr>
              <w:ind w:firstLine="424"/>
              <w:jc w:val="center"/>
              <w:spacing w:line="360" w:lineRule="auto"/>
              <w:widowControl/>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c>
          <w:tcPr>
            <w:tcW w:w="2368" w:type="dxa"/>
            <w:vAlign w:val="center"/>
            <w:textDirection w:val="lrTb"/>
            <w:noWrap/>
          </w:tcPr>
          <w:p>
            <w:pPr>
              <w:ind w:firstLine="424"/>
              <w:jc w:val="center"/>
              <w:spacing w:line="360" w:lineRule="auto"/>
              <w:widowControl/>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c>
          <w:tcPr>
            <w:tcW w:w="1020" w:type="dxa"/>
            <w:vAlign w:val="center"/>
            <w:textDirection w:val="lrTb"/>
            <w:noWrap/>
          </w:tcPr>
          <w:p>
            <w:pPr>
              <w:ind w:firstLine="424"/>
              <w:jc w:val="center"/>
              <w:spacing w:line="360" w:lineRule="auto"/>
              <w:widowControl/>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r>
      <w:tr>
        <w:trPr>
          <w:jc w:val="center"/>
          <w:trHeight w:val="284"/>
        </w:trPr>
        <w:tc>
          <w:tcPr>
            <w:tcW w:w="777" w:type="dxa"/>
            <w:vAlign w:val="center"/>
            <w:textDirection w:val="lrTb"/>
            <w:noWrap/>
          </w:tcPr>
          <w:p>
            <w:pPr>
              <w:jc w:val="center"/>
              <w:spacing w:line="360" w:lineRule="auto"/>
              <w:widowControl/>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 xml:space="preserve">4</w:t>
            </w:r>
            <w:r/>
          </w:p>
        </w:tc>
        <w:tc>
          <w:tcPr>
            <w:tcW w:w="2342" w:type="dxa"/>
            <w:vAlign w:val="center"/>
            <w:textDirection w:val="lrTb"/>
            <w:noWrap/>
          </w:tcPr>
          <w:p>
            <w:pPr>
              <w:ind w:firstLine="400"/>
              <w:jc w:val="center"/>
              <w:spacing w:line="360" w:lineRule="auto"/>
              <w:widowControl/>
              <w:rPr>
                <w:rFonts w:hint="default" w:ascii="黑体" w:hAnsi="黑体" w:eastAsia="黑体" w:cs="黑体"/>
                <w:color w:val="000000" w:themeColor="text1"/>
                <w:sz w:val="20"/>
                <w:szCs w:val="20"/>
                <w:highlight w:val="none"/>
                <w:lang w:val="en-US" w:eastAsia="zh-CN"/>
                <w14:textFill>
                  <w14:solidFill>
                    <w14:schemeClr w14:val="tx1"/>
                  </w14:solidFill>
                </w14:textFill>
              </w:rPr>
            </w:pPr>
            <w:r>
              <w:rPr>
                <w:rFonts w:hint="eastAsia" w:ascii="黑体" w:hAnsi="黑体" w:eastAsia="黑体" w:cs="黑体"/>
                <w:color w:val="000000" w:themeColor="text1"/>
                <w:sz w:val="20"/>
                <w:szCs w:val="20"/>
                <w:highlight w:val="none"/>
                <w:lang w:val="en-US" w:eastAsia="zh-CN"/>
                <w14:textFill>
                  <w14:solidFill>
                    <w14:schemeClr w14:val="tx1"/>
                  </w14:solidFill>
                </w14:textFill>
              </w:rPr>
              <w:t xml:space="preserve">........</w:t>
            </w:r>
            <w:r/>
          </w:p>
        </w:tc>
        <w:tc>
          <w:tcPr>
            <w:tcW w:w="2835" w:type="dxa"/>
            <w:vAlign w:val="center"/>
            <w:textDirection w:val="lrTb"/>
            <w:noWrap/>
          </w:tcPr>
          <w:p>
            <w:pPr>
              <w:ind w:firstLine="424"/>
              <w:jc w:val="center"/>
              <w:spacing w:line="360" w:lineRule="auto"/>
              <w:widowControl/>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c>
          <w:tcPr>
            <w:tcW w:w="2368" w:type="dxa"/>
            <w:vAlign w:val="center"/>
            <w:textDirection w:val="lrTb"/>
            <w:noWrap/>
          </w:tcPr>
          <w:p>
            <w:pPr>
              <w:ind w:firstLine="424"/>
              <w:jc w:val="center"/>
              <w:spacing w:line="360" w:lineRule="auto"/>
              <w:widowControl/>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c>
          <w:tcPr>
            <w:tcW w:w="1020" w:type="dxa"/>
            <w:vAlign w:val="center"/>
            <w:textDirection w:val="lrTb"/>
            <w:noWrap/>
          </w:tcPr>
          <w:p>
            <w:pPr>
              <w:ind w:firstLine="424"/>
              <w:jc w:val="center"/>
              <w:spacing w:line="360" w:lineRule="auto"/>
              <w:widowControl/>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r>
    </w:tbl>
    <w:p>
      <w:pPr>
        <w:spacing w:line="360" w:lineRule="auto"/>
        <w:widowControl/>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我方承诺，除上表所列内容外，我方完全响应招标文件商务条款要求。</w:t>
      </w:r>
      <w:r/>
    </w:p>
    <w:p>
      <w:pPr>
        <w:spacing w:line="360" w:lineRule="auto"/>
        <w:widowControl/>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auto"/>
        <w:widowControl/>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供应商名称：（盖章）</w:t>
      </w:r>
      <w:r/>
    </w:p>
    <w:p>
      <w:pPr>
        <w:spacing w:line="360" w:lineRule="auto"/>
        <w:widowControl/>
        <w:rPr>
          <w:color w:val="000000" w:themeColor="text1"/>
          <w:spacing w:val="6"/>
          <w:sz w:val="24"/>
          <w:szCs w:val="21"/>
          <w:highlight w:val="none"/>
          <w:lang w:val="zh-CN" w:eastAsia="zh-CN"/>
          <w14:textFill>
            <w14:solidFill>
              <w14:schemeClr w14:val="tx1"/>
            </w14:solidFill>
          </w14:textFill>
        </w:rPr>
      </w:pPr>
      <w:r>
        <w:rPr>
          <w:color w:val="000000" w:themeColor="text1"/>
          <w:sz w:val="24"/>
          <w:szCs w:val="21"/>
          <w:highlight w:val="none"/>
          <w:lang w:val="zh-CN" w:eastAsia="zh-CN"/>
          <w14:textFill>
            <w14:solidFill>
              <w14:schemeClr w14:val="tx1"/>
            </w14:solidFill>
          </w14:textFill>
        </w:rPr>
        <w:t xml:space="preserve">日    期：    年    月   日</w:t>
      </w:r>
      <w:r/>
    </w:p>
    <w:p>
      <w:pPr>
        <w:spacing w:line="360" w:lineRule="exact"/>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说明：如果行数不够，请自行增加。</w:t>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rFonts w:eastAsiaTheme="minorEastAsia"/>
          <w:color w:val="000000" w:themeColor="text1"/>
          <w:spacing w:val="6"/>
          <w:sz w:val="24"/>
          <w:szCs w:val="21"/>
          <w:highlight w:val="none"/>
          <w:lang w:val="zh-CN" w:eastAsia="zh-CN"/>
          <w14:textFill>
            <w14:solidFill>
              <w14:schemeClr w14:val="tx1"/>
            </w14:solidFill>
          </w14:textFill>
        </w:rPr>
      </w:pPr>
      <w:r>
        <w:rPr>
          <w:rFonts w:eastAsiaTheme="minorEastAsia"/>
          <w:color w:val="000000" w:themeColor="text1"/>
          <w:spacing w:val="6"/>
          <w:sz w:val="24"/>
          <w:szCs w:val="21"/>
          <w:highlight w:val="none"/>
          <w:lang w:val="zh-CN" w:eastAsia="zh-CN"/>
          <w14:textFill>
            <w14:solidFill>
              <w14:schemeClr w14:val="tx1"/>
            </w14:solidFill>
          </w14:textFill>
        </w:rPr>
      </w:r>
      <w:r/>
    </w:p>
    <w:p>
      <w:pPr>
        <w:pStyle w:val="781"/>
        <w:rPr>
          <w:rFonts w:eastAsiaTheme="minorEastAsia"/>
          <w:color w:val="000000" w:themeColor="text1"/>
          <w:highlight w:val="none"/>
          <w:lang w:val="zh-CN" w:eastAsia="zh-CN"/>
          <w14:textFill>
            <w14:solidFill>
              <w14:schemeClr w14:val="tx1"/>
            </w14:solidFill>
          </w14:textFill>
        </w:rPr>
      </w:pPr>
      <w:r>
        <w:rPr>
          <w:rFonts w:eastAsiaTheme="minorEastAsia"/>
          <w:color w:val="000000" w:themeColor="text1"/>
          <w:highlight w:val="none"/>
          <w:lang w:val="zh-CN" w:eastAsia="zh-CN"/>
          <w14:textFill>
            <w14:solidFill>
              <w14:schemeClr w14:val="tx1"/>
            </w14:solidFill>
          </w14:textFill>
        </w:rPr>
      </w:r>
      <w:r/>
    </w:p>
    <w:p>
      <w:pPr>
        <w:pStyle w:val="781"/>
        <w:rPr>
          <w:rFonts w:eastAsiaTheme="minorEastAsia"/>
          <w:color w:val="000000" w:themeColor="text1"/>
          <w:highlight w:val="none"/>
          <w:lang w:val="zh-CN" w:eastAsia="zh-CN"/>
          <w14:textFill>
            <w14:solidFill>
              <w14:schemeClr w14:val="tx1"/>
            </w14:solidFill>
          </w14:textFill>
        </w:rPr>
      </w:pPr>
      <w:r>
        <w:rPr>
          <w:rFonts w:eastAsiaTheme="minorEastAsia"/>
          <w:color w:val="000000" w:themeColor="text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rFonts w:eastAsiaTheme="minorEastAsia"/>
          <w:color w:val="000000" w:themeColor="text1"/>
          <w:spacing w:val="6"/>
          <w:sz w:val="24"/>
          <w:szCs w:val="21"/>
          <w:highlight w:val="none"/>
          <w:lang w:val="zh-CN" w:eastAsia="zh-CN"/>
          <w14:textFill>
            <w14:solidFill>
              <w14:schemeClr w14:val="tx1"/>
            </w14:solidFill>
          </w14:textFill>
        </w:rPr>
      </w:pPr>
      <w:r>
        <w:rPr>
          <w:rFonts w:eastAsiaTheme="minorEastAsia"/>
          <w:color w:val="000000" w:themeColor="text1"/>
          <w:spacing w:val="6"/>
          <w:sz w:val="24"/>
          <w:szCs w:val="21"/>
          <w:highlight w:val="none"/>
          <w:lang w:val="zh-CN" w:eastAsia="zh-CN"/>
          <w14:textFill>
            <w14:solidFill>
              <w14:schemeClr w14:val="tx1"/>
            </w14:solidFill>
          </w14:textFill>
        </w:rPr>
      </w:r>
      <w:r/>
    </w:p>
    <w:p>
      <w:pPr>
        <w:pStyle w:val="781"/>
        <w:rPr>
          <w:rFonts w:eastAsiaTheme="minorEastAsia"/>
          <w:color w:val="000000" w:themeColor="text1"/>
          <w:highlight w:val="none"/>
          <w:lang w:val="zh-CN" w:eastAsia="zh-CN"/>
          <w14:textFill>
            <w14:solidFill>
              <w14:schemeClr w14:val="tx1"/>
            </w14:solidFill>
          </w14:textFill>
        </w:rPr>
      </w:pPr>
      <w:r>
        <w:rPr>
          <w:rFonts w:eastAsiaTheme="minorEastAsia"/>
          <w:color w:val="000000" w:themeColor="text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bookmarkStart w:id="206" w:name="_Toc175663964"/>
      <w:r>
        <w:rPr>
          <w:rFonts w:hint="eastAsia" w:ascii="宋体" w:hAnsi="宋体" w:cs="黑体"/>
          <w:b/>
          <w:bCs/>
          <w:color w:val="000000" w:themeColor="text1"/>
          <w:sz w:val="24"/>
          <w:szCs w:val="21"/>
          <w:highlight w:val="none"/>
          <w:lang w:eastAsia="zh-CN"/>
          <w14:textFill>
            <w14:solidFill>
              <w14:schemeClr w14:val="tx1"/>
            </w14:solidFill>
          </w14:textFill>
        </w:rPr>
        <w:t xml:space="preserve">十</w:t>
      </w:r>
      <w:r>
        <w:rPr>
          <w:rFonts w:hint="eastAsia" w:ascii="宋体" w:hAnsi="宋体" w:cs="黑体"/>
          <w:b/>
          <w:bCs/>
          <w:color w:val="000000" w:themeColor="text1"/>
          <w:sz w:val="24"/>
          <w:szCs w:val="21"/>
          <w:highlight w:val="none"/>
          <w:lang w:val="en-US" w:eastAsia="zh-CN"/>
          <w14:textFill>
            <w14:solidFill>
              <w14:schemeClr w14:val="tx1"/>
            </w14:solidFill>
          </w14:textFill>
        </w:rPr>
        <w:t xml:space="preserve">四</w:t>
      </w:r>
      <w:r>
        <w:rPr>
          <w:rFonts w:hint="eastAsia" w:ascii="宋体" w:hAnsi="宋体" w:cs="黑体"/>
          <w:b/>
          <w:bCs/>
          <w:color w:val="000000" w:themeColor="text1"/>
          <w:sz w:val="24"/>
          <w:szCs w:val="21"/>
          <w:highlight w:val="none"/>
          <w:lang w:eastAsia="zh-CN"/>
          <w14:textFill>
            <w14:solidFill>
              <w14:schemeClr w14:val="tx1"/>
            </w14:solidFill>
          </w14:textFill>
        </w:rPr>
        <w:t xml:space="preserve">、南京市政府采购供应商信用记录表暨信用承诺书</w:t>
      </w:r>
      <w:bookmarkEnd w:id="198"/>
      <w:r/>
      <w:bookmarkEnd w:id="199"/>
      <w:r/>
      <w:bookmarkEnd w:id="200"/>
      <w:r>
        <w:rPr>
          <w:rFonts w:hint="eastAsia" w:ascii="宋体" w:hAnsi="宋体" w:cs="黑体"/>
          <w:b/>
          <w:bCs/>
          <w:color w:val="000000" w:themeColor="text1"/>
          <w:sz w:val="24"/>
          <w:szCs w:val="21"/>
          <w:highlight w:val="none"/>
          <w:lang w:eastAsia="zh-CN"/>
          <w14:textFill>
            <w14:solidFill>
              <w14:schemeClr w14:val="tx1"/>
            </w14:solidFill>
          </w14:textFill>
        </w:rPr>
        <w:t xml:space="preserve">（附件）</w:t>
      </w:r>
      <w:bookmarkEnd w:id="206"/>
      <w:r/>
      <w:r/>
    </w:p>
    <w:tbl>
      <w:tblPr>
        <w:tblStyle w:val="727"/>
        <w:tblW w:w="9654" w:type="dxa"/>
        <w:tblInd w:w="0" w:type="dxa"/>
        <w:tblLayout w:type="fixed"/>
        <w:tblCellMar>
          <w:left w:w="15" w:type="dxa"/>
          <w:top w:w="15" w:type="dxa"/>
          <w:right w:w="15" w:type="dxa"/>
          <w:bottom w:w="15" w:type="dxa"/>
        </w:tblCellMar>
        <w:tblLook w:val="04A0" w:firstRow="1" w:lastRow="0" w:firstColumn="1" w:lastColumn="0" w:noHBand="0" w:noVBand="1"/>
      </w:tblPr>
      <w:tblGrid>
        <w:gridCol w:w="2000"/>
        <w:gridCol w:w="2693"/>
        <w:gridCol w:w="2552"/>
        <w:gridCol w:w="2409"/>
      </w:tblGrid>
      <w:tr>
        <w:trPr>
          <w:trHeight w:val="600"/>
        </w:trPr>
        <w:tc>
          <w:tcPr>
            <w:gridSpan w:val="4"/>
            <w:tcW w:w="9654" w:type="dxa"/>
            <w:vAlign w:val="center"/>
            <w:textDirection w:val="lrTb"/>
            <w:noWrap/>
          </w:tcPr>
          <w:p>
            <w:pPr>
              <w:jc w:val="center"/>
              <w:widowControl/>
              <w:rPr>
                <w:rFonts w:ascii="黑体" w:hAnsi="宋体" w:eastAsia="黑体" w:cs="黑体"/>
                <w:color w:val="000000" w:themeColor="text1"/>
                <w:sz w:val="36"/>
                <w:szCs w:val="36"/>
                <w:highlight w:val="none"/>
                <w:lang w:eastAsia="zh-CN"/>
                <w14:textFill>
                  <w14:solidFill>
                    <w14:schemeClr w14:val="tx1"/>
                  </w14:solidFill>
                </w14:textFill>
              </w:rPr>
            </w:pPr>
            <w:r>
              <w:rPr>
                <w:rFonts w:hint="eastAsia" w:ascii="黑体" w:hAnsi="宋体" w:eastAsia="黑体" w:cs="黑体"/>
                <w:color w:val="000000" w:themeColor="text1"/>
                <w:sz w:val="36"/>
                <w:szCs w:val="36"/>
                <w:highlight w:val="none"/>
                <w:lang w:eastAsia="zh-CN"/>
                <w14:textFill>
                  <w14:solidFill>
                    <w14:schemeClr w14:val="tx1"/>
                  </w14:solidFill>
                </w14:textFill>
              </w:rPr>
              <w:t xml:space="preserve">南京市政府采购供应商信用记录表暨信用承诺书（附件）</w:t>
            </w:r>
            <w:r/>
          </w:p>
        </w:tc>
      </w:tr>
      <w:tr>
        <w:trPr>
          <w:trHeight w:val="570"/>
        </w:trPr>
        <w:tc>
          <w:tcPr>
            <w:gridSpan w:val="4"/>
            <w:tcW w:w="9654" w:type="dxa"/>
            <w:vAlign w:val="center"/>
            <w:textDirection w:val="lrTb"/>
            <w:noWrap/>
          </w:tcPr>
          <w:p>
            <w:pPr>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b/>
                <w:bCs/>
                <w:color w:val="000000" w:themeColor="text1"/>
                <w:szCs w:val="21"/>
                <w:highlight w:val="none"/>
                <w:lang w:eastAsia="zh-CN"/>
                <w14:textFill>
                  <w14:solidFill>
                    <w14:schemeClr w14:val="tx1"/>
                  </w14:solidFill>
                </w14:textFill>
              </w:rPr>
              <w:t xml:space="preserve">（仅为示范格式，直接填写无效，需至“南京政府采购供应商诚信档案管理系统”在线打印）</w:t>
            </w:r>
            <w:r/>
          </w:p>
        </w:tc>
      </w:tr>
      <w:tr>
        <w:trPr>
          <w:trHeight w:val="624"/>
        </w:trPr>
        <w:tc>
          <w:tcPr>
            <w:tcBorders>
              <w:top w:val="single" w:color="000000" w:sz="18" w:space="0"/>
              <w:left w:val="single" w:color="000000" w:sz="18" w:space="0"/>
              <w:bottom w:val="single" w:color="000000" w:sz="4" w:space="0"/>
              <w:right w:val="single" w:color="000000" w:sz="4" w:space="0"/>
            </w:tcBorders>
            <w:tcW w:w="2000" w:type="dxa"/>
            <w:vAlign w:val="center"/>
            <w:textDirection w:val="lrTb"/>
            <w:noWrap/>
          </w:tcPr>
          <w:p>
            <w:pPr>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单位名称</w:t>
            </w:r>
            <w:r/>
          </w:p>
        </w:tc>
        <w:tc>
          <w:tcPr>
            <w:tcBorders>
              <w:top w:val="single" w:color="000000" w:sz="18" w:space="0"/>
              <w:left w:val="single" w:color="000000" w:sz="4" w:space="0"/>
              <w:bottom w:val="single" w:color="000000" w:sz="4" w:space="0"/>
              <w:right w:val="single" w:color="000000" w:sz="4" w:space="0"/>
            </w:tcBorders>
            <w:tcW w:w="2693"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18" w:space="0"/>
              <w:left w:val="single" w:color="000000" w:sz="4" w:space="0"/>
              <w:bottom w:val="single" w:color="000000" w:sz="4" w:space="0"/>
              <w:right w:val="single" w:color="000000" w:sz="4" w:space="0"/>
            </w:tcBorders>
            <w:tcW w:w="2552" w:type="dxa"/>
            <w:vAlign w:val="center"/>
            <w:textDirection w:val="lrTb"/>
            <w:noWrap/>
          </w:tcPr>
          <w:p>
            <w:pPr>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2409"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585"/>
        </w:trPr>
        <w:tc>
          <w:tcPr>
            <w:tcBorders>
              <w:top w:val="single" w:color="000000" w:sz="4" w:space="0"/>
              <w:left w:val="single" w:color="000000" w:sz="18" w:space="0"/>
              <w:bottom w:val="single" w:color="000000" w:sz="4" w:space="0"/>
              <w:right w:val="single" w:color="000000" w:sz="4" w:space="0"/>
            </w:tcBorders>
            <w:tcW w:w="2000" w:type="dxa"/>
            <w:vAlign w:val="center"/>
            <w:textDirection w:val="lrTb"/>
            <w:noWrap/>
          </w:tcPr>
          <w:p>
            <w:pPr>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法定代表人</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联系人</w:t>
            </w:r>
            <w:r/>
          </w:p>
        </w:tc>
        <w:tc>
          <w:tcPr>
            <w:tcBorders>
              <w:top w:val="single" w:color="000000" w:sz="4" w:space="0"/>
              <w:left w:val="single" w:color="000000" w:sz="4" w:space="0"/>
              <w:bottom w:val="single" w:color="000000" w:sz="4" w:space="0"/>
              <w:right w:val="single" w:color="000000" w:sz="18" w:space="0"/>
            </w:tcBorders>
            <w:tcW w:w="2409"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20"/>
        </w:trPr>
        <w:tc>
          <w:tcPr>
            <w:tcBorders>
              <w:top w:val="single" w:color="000000" w:sz="4" w:space="0"/>
              <w:left w:val="single" w:color="000000" w:sz="18" w:space="0"/>
              <w:bottom w:val="single" w:color="000000" w:sz="4" w:space="0"/>
              <w:right w:val="single" w:color="000000" w:sz="4" w:space="0"/>
            </w:tcBorders>
            <w:tcW w:w="2000" w:type="dxa"/>
            <w:vAlign w:val="center"/>
            <w:textDirection w:val="lrTb"/>
            <w:noWrap/>
          </w:tcPr>
          <w:p>
            <w:pPr>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联系地址</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联系电话</w:t>
            </w:r>
            <w:r/>
          </w:p>
        </w:tc>
        <w:tc>
          <w:tcPr>
            <w:tcBorders>
              <w:top w:val="single" w:color="000000" w:sz="4" w:space="0"/>
              <w:left w:val="single" w:color="000000" w:sz="4" w:space="0"/>
              <w:bottom w:val="single" w:color="000000" w:sz="4" w:space="0"/>
              <w:right w:val="single" w:color="000000" w:sz="18" w:space="0"/>
            </w:tcBorders>
            <w:tcW w:w="2409"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953"/>
        </w:trPr>
        <w:tc>
          <w:tcPr>
            <w:tcBorders>
              <w:top w:val="single" w:color="000000" w:sz="4" w:space="0"/>
              <w:left w:val="single" w:color="000000" w:sz="18" w:space="0"/>
              <w:bottom w:val="single" w:color="000000" w:sz="4" w:space="0"/>
              <w:right w:val="single" w:color="000000" w:sz="4" w:space="0"/>
            </w:tcBorders>
            <w:tcW w:w="2000" w:type="dxa"/>
            <w:vAlign w:val="center"/>
            <w:textDirection w:val="lrTb"/>
            <w:noWrap/>
          </w:tcPr>
          <w:p>
            <w:pPr>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7654"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3512"/>
        </w:trPr>
        <w:tc>
          <w:tcPr>
            <w:tcBorders>
              <w:top w:val="single" w:color="000000" w:sz="4" w:space="0"/>
              <w:left w:val="single" w:color="000000" w:sz="18" w:space="0"/>
              <w:bottom w:val="single" w:color="000000" w:sz="18" w:space="0"/>
              <w:right w:val="single" w:color="000000" w:sz="4" w:space="0"/>
            </w:tcBorders>
            <w:tcW w:w="2000" w:type="dxa"/>
            <w:vAlign w:val="center"/>
            <w:textDirection w:val="lrTb"/>
            <w:noWrap/>
          </w:tcPr>
          <w:p>
            <w:pPr>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7654" w:type="dxa"/>
            <w:vAlign w:val="center"/>
            <w:textDirection w:val="lrTb"/>
            <w:noWrap/>
          </w:tcPr>
          <w:p>
            <w:pPr>
              <w:spacing w:line="400" w:lineRule="exact"/>
              <w:widowControl/>
              <w:rPr>
                <w:rFonts w:ascii="宋体" w:hAnsi="宋体" w:cs="宋体"/>
                <w:b/>
                <w:color w:val="000000" w:themeColor="text1"/>
                <w:sz w:val="24"/>
                <w:highlight w:val="none"/>
                <w:lang w:eastAsia="zh-CN"/>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 xml:space="preserve">信用承诺：</w:t>
            </w:r>
            <w:r/>
          </w:p>
          <w:p>
            <w:pPr>
              <w:ind w:firstLine="240"/>
              <w:spacing w:line="400" w:lineRule="exact"/>
              <w:widowControl/>
              <w:rPr>
                <w:rFonts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我公司自愿参加贵中心（公司）组织的本次采购活动，严格遵守《中华人民共和国政府采购法》及相关法律法规，坚</w:t>
            </w:r>
            <w:r>
              <w:rPr>
                <w:rFonts w:hint="eastAsia" w:ascii="宋体" w:hAnsi="宋体" w:cs="宋体"/>
                <w:color w:val="000000" w:themeColor="text1"/>
                <w:sz w:val="24"/>
                <w:highlight w:val="none"/>
                <w:lang w:eastAsia="zh-CN"/>
                <w14:textFill>
                  <w14:solidFill>
                    <w14:schemeClr w14:val="tx1"/>
                  </w14:solidFill>
                </w14:textFill>
              </w:rPr>
              <w:t xml:space="preserve">守公开、公平、公正和诚实信用的原则，依法诚信经营，无条件遵守本次政府采购活动的各项规定。我们郑重承诺，本公司符合《政府采购法》第二十二条规定的条件，包括：①具有独立承担民事责任的能力；②具有良好的商业信誉和健全的财务会计制度；③有履行合同所必需的设备和专业技术能力；④有依法缴纳税收和社会保障资金的良好记录；⑤参加政府采购活动前三年内，在经营活动中没有重大违法记录；⑥符合法律、行政法规和采购文件规定的其他条件。如有弄虚作假或其他违法违规行为，愿承担一切法律责任，接受各级政府采购监管部门和有权机关的审查和处罚。</w:t>
            </w:r>
            <w:r/>
          </w:p>
          <w:p>
            <w:pPr>
              <w:ind w:firstLine="240"/>
              <w:spacing w:line="400" w:lineRule="exact"/>
              <w:widowControl/>
              <w:rPr>
                <w:rFonts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                      供应商名称（盖章）：</w:t>
            </w:r>
            <w:r/>
          </w:p>
          <w:p>
            <w:pPr>
              <w:ind w:firstLine="240"/>
              <w:spacing w:line="400" w:lineRule="exact"/>
              <w:widowControl/>
              <w:rPr>
                <w:rFonts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                      法定代表人（签字）：</w:t>
            </w:r>
            <w:r/>
          </w:p>
          <w:p>
            <w:pPr>
              <w:ind w:firstLine="240"/>
              <w:spacing w:line="40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二〇    年  月    日</w:t>
            </w:r>
            <w:r/>
          </w:p>
        </w:tc>
      </w:tr>
    </w:tbl>
    <w:p>
      <w:pPr>
        <w:rPr>
          <w:rFonts w:ascii="宋体" w:hAnsi="宋体" w:cs="宋体"/>
          <w:b/>
          <w:color w:val="000000" w:themeColor="text1"/>
          <w:sz w:val="24"/>
          <w:szCs w:val="21"/>
          <w:highlight w:val="none"/>
          <w:lang w:val="zh-CN" w:eastAsia="zh-CN"/>
          <w14:textFill>
            <w14:solidFill>
              <w14:schemeClr w14:val="tx1"/>
            </w14:solidFill>
          </w14:textFill>
        </w:rPr>
      </w:pPr>
      <w:r>
        <w:rPr>
          <w:rFonts w:hint="eastAsia" w:ascii="宋体" w:hAnsi="宋体" w:cs="宋体"/>
          <w:b/>
          <w:color w:val="000000" w:themeColor="text1"/>
          <w:sz w:val="24"/>
          <w:szCs w:val="21"/>
          <w:highlight w:val="none"/>
          <w:lang w:val="zh-CN" w:eastAsia="zh-CN"/>
          <w14:textFill>
            <w14:solidFill>
              <w14:schemeClr w14:val="tx1"/>
            </w14:solidFill>
          </w14:textFill>
        </w:rPr>
        <w:t xml:space="preserve">注：1、供应商在中标（成交）后，应按采购文件要求，将上述由信用承诺书替代的证明材料提交采购人或采购代理机构核验。经核验无误后，由采购人或采购代理机构发出中标（成交）通知书。</w:t>
      </w:r>
      <w:r/>
    </w:p>
    <w:p>
      <w:pPr>
        <w:rPr>
          <w:rFonts w:ascii="宋体" w:hAnsi="宋体" w:cs="宋体"/>
          <w:b/>
          <w:color w:val="000000" w:themeColor="text1"/>
          <w:sz w:val="24"/>
          <w:szCs w:val="21"/>
          <w:highlight w:val="none"/>
          <w:lang w:val="zh-CN" w:eastAsia="zh-CN"/>
          <w14:textFill>
            <w14:solidFill>
              <w14:schemeClr w14:val="tx1"/>
            </w14:solidFill>
          </w14:textFill>
        </w:rPr>
      </w:pPr>
      <w:r>
        <w:rPr>
          <w:rFonts w:hint="eastAsia" w:ascii="宋体" w:hAnsi="宋体" w:cs="宋体"/>
          <w:b/>
          <w:color w:val="000000" w:themeColor="text1"/>
          <w:sz w:val="24"/>
          <w:szCs w:val="21"/>
          <w:highlight w:val="none"/>
          <w:lang w:val="zh-CN" w:eastAsia="zh-CN"/>
          <w14:textFill>
            <w14:solidFill>
              <w14:schemeClr w14:val="tx1"/>
            </w14:solidFill>
          </w14:textFill>
        </w:rPr>
        <w:t xml:space="preserve">    2、供应商对信用承诺内容真实性、合法性、有效性负责。如做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firstLine="480"/>
        <w:rPr>
          <w:rFonts w:ascii="宋体" w:hAnsi="宋体" w:cs="宋体"/>
          <w:b/>
          <w:color w:val="000000" w:themeColor="text1"/>
          <w:sz w:val="24"/>
          <w:szCs w:val="21"/>
          <w:highlight w:val="none"/>
          <w:lang w:val="zh-CN" w:eastAsia="zh-CN"/>
          <w14:textFill>
            <w14:solidFill>
              <w14:schemeClr w14:val="tx1"/>
            </w14:solidFill>
          </w14:textFill>
        </w:rPr>
      </w:pPr>
      <w:r>
        <w:rPr>
          <w:rFonts w:hint="eastAsia" w:ascii="宋体" w:hAnsi="宋体" w:cs="宋体"/>
          <w:b/>
          <w:color w:val="000000" w:themeColor="text1"/>
          <w:sz w:val="24"/>
          <w:szCs w:val="21"/>
          <w:highlight w:val="none"/>
          <w:lang w:val="zh-CN" w:eastAsia="zh-CN"/>
          <w14:textFill>
            <w14:solidFill>
              <w14:schemeClr w14:val="tx1"/>
            </w14:solidFill>
          </w14:textFill>
        </w:rPr>
        <w:t xml:space="preserve">★3、本承诺书打印时间须在本项目招标公告发布至投标截止时间内。</w:t>
      </w:r>
      <w:r/>
    </w:p>
    <w:p>
      <w:pPr>
        <w:rPr>
          <w:rFonts w:ascii="宋体" w:hAnsi="宋体" w:cs="宋体"/>
          <w:b/>
          <w:color w:val="000000" w:themeColor="text1"/>
          <w:sz w:val="24"/>
          <w:szCs w:val="21"/>
          <w:highlight w:val="none"/>
          <w:lang w:val="zh-CN" w:eastAsia="zh-CN"/>
          <w14:textFill>
            <w14:solidFill>
              <w14:schemeClr w14:val="tx1"/>
            </w14:solidFill>
          </w14:textFill>
        </w:rPr>
      </w:pPr>
      <w:r>
        <w:rPr>
          <w:rFonts w:ascii="宋体" w:hAnsi="宋体" w:cs="宋体"/>
          <w:b/>
          <w:color w:val="000000" w:themeColor="text1"/>
          <w:sz w:val="24"/>
          <w:szCs w:val="21"/>
          <w:highlight w:val="none"/>
          <w:lang w:val="zh-CN" w:eastAsia="zh-CN"/>
          <w14:textFill>
            <w14:solidFill>
              <w14:schemeClr w14:val="tx1"/>
            </w14:solidFill>
          </w14:textFill>
        </w:rPr>
      </w:r>
      <w:r/>
    </w:p>
    <w:p>
      <w:pPr>
        <w:rPr>
          <w:rFonts w:ascii="宋体" w:hAnsi="宋体" w:cs="宋体"/>
          <w:b/>
          <w:color w:val="000000" w:themeColor="text1"/>
          <w:sz w:val="24"/>
          <w:szCs w:val="21"/>
          <w:highlight w:val="none"/>
          <w:lang w:val="zh-CN" w:eastAsia="zh-CN"/>
          <w14:textFill>
            <w14:solidFill>
              <w14:schemeClr w14:val="tx1"/>
            </w14:solidFill>
          </w14:textFill>
        </w:rPr>
      </w:pPr>
      <w:r>
        <w:rPr>
          <w:rFonts w:ascii="宋体" w:hAnsi="宋体" w:cs="宋体"/>
          <w:b/>
          <w:color w:val="000000" w:themeColor="text1"/>
          <w:sz w:val="24"/>
          <w:szCs w:val="21"/>
          <w:highlight w:val="none"/>
          <w:lang w:val="zh-CN" w:eastAsia="zh-CN"/>
          <w14:textFill>
            <w14:solidFill>
              <w14:schemeClr w14:val="tx1"/>
            </w14:solidFill>
          </w14:textFill>
        </w:rPr>
      </w:r>
      <w:r/>
    </w:p>
    <w:p>
      <w:pPr>
        <w:spacing w:line="360" w:lineRule="auto"/>
        <w:rPr>
          <w:rFonts w:ascii="宋体" w:hAnsi="宋体" w:cs="黑体" w:eastAsiaTheme="minorEastAsia"/>
          <w:b/>
          <w:bCs/>
          <w:color w:val="000000" w:themeColor="text1"/>
          <w:sz w:val="24"/>
          <w:szCs w:val="21"/>
          <w:highlight w:val="none"/>
          <w:lang w:eastAsia="zh-CN"/>
          <w14:textFill>
            <w14:solidFill>
              <w14:schemeClr w14:val="tx1"/>
            </w14:solidFill>
          </w14:textFill>
        </w:rPr>
        <w:outlineLvl w:val="1"/>
      </w:pPr>
      <w:r/>
      <w:bookmarkStart w:id="207" w:name="_Toc175663965"/>
      <w:r>
        <w:rPr>
          <w:rFonts w:hint="eastAsia" w:ascii="宋体" w:hAnsi="宋体" w:cs="黑体"/>
          <w:b/>
          <w:bCs/>
          <w:color w:val="000000" w:themeColor="text1"/>
          <w:sz w:val="24"/>
          <w:szCs w:val="21"/>
          <w:highlight w:val="none"/>
          <w:lang w:eastAsia="zh-CN"/>
          <w14:textFill>
            <w14:solidFill>
              <w14:schemeClr w14:val="tx1"/>
            </w14:solidFill>
          </w14:textFill>
        </w:rPr>
        <w:t xml:space="preserve">十</w:t>
      </w:r>
      <w:r>
        <w:rPr>
          <w:rFonts w:hint="eastAsia" w:ascii="宋体" w:hAnsi="宋体" w:cs="黑体"/>
          <w:b/>
          <w:bCs/>
          <w:color w:val="000000" w:themeColor="text1"/>
          <w:sz w:val="24"/>
          <w:szCs w:val="21"/>
          <w:highlight w:val="none"/>
          <w:lang w:val="en-US" w:eastAsia="zh-CN"/>
          <w14:textFill>
            <w14:solidFill>
              <w14:schemeClr w14:val="tx1"/>
            </w14:solidFill>
          </w14:textFill>
        </w:rPr>
        <w:t xml:space="preserve">五</w:t>
      </w:r>
      <w:r>
        <w:rPr>
          <w:rFonts w:hint="eastAsia" w:ascii="宋体" w:hAnsi="宋体" w:cs="黑体"/>
          <w:b/>
          <w:bCs/>
          <w:color w:val="000000" w:themeColor="text1"/>
          <w:sz w:val="24"/>
          <w:szCs w:val="21"/>
          <w:highlight w:val="none"/>
          <w:lang w:eastAsia="zh-CN"/>
          <w14:textFill>
            <w14:solidFill>
              <w14:schemeClr w14:val="tx1"/>
            </w14:solidFill>
          </w14:textFill>
        </w:rPr>
        <w:t xml:space="preserve">、其他（格式自拟）</w:t>
      </w:r>
      <w:bookmarkEnd w:id="207"/>
      <w:r/>
      <w:r/>
    </w:p>
    <w:p>
      <w:pPr>
        <w:pStyle w:val="735"/>
        <w:ind w:left="112" w:right="233"/>
        <w:jc w:val="center"/>
        <w:spacing w:before="26"/>
        <w:rPr>
          <w:color w:val="000000" w:themeColor="text1"/>
          <w:sz w:val="21"/>
          <w:szCs w:val="21"/>
          <w:highlight w:val="none"/>
          <w:lang w:eastAsia="zh-CN"/>
          <w14:textFill>
            <w14:solidFill>
              <w14:schemeClr w14:val="tx1"/>
            </w14:solidFill>
          </w14:textFill>
        </w:rPr>
      </w:pPr>
      <w:r>
        <w:rPr>
          <w:color w:val="000000" w:themeColor="text1"/>
          <w:sz w:val="21"/>
          <w:szCs w:val="21"/>
          <w:highlight w:val="none"/>
          <w:lang w:eastAsia="zh-CN"/>
          <w14:textFill>
            <w14:solidFill>
              <w14:schemeClr w14:val="tx1"/>
            </w14:solidFill>
          </w14:textFill>
        </w:rPr>
      </w:r>
      <w:r/>
    </w:p>
    <w:sectPr>
      <w:headerReference w:type="default" r:id="rId11"/>
      <w:footerReference w:type="default" r:id="rId14"/>
      <w:footnotePr/>
      <w:endnotePr/>
      <w:type w:val="nextPage"/>
      <w:pgSz w:w="11906" w:h="16838" w:orient="portrait"/>
      <w:pgMar w:top="1418" w:right="1134" w:bottom="1247" w:left="130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方正仿宋简体">
    <w:panose1 w:val="020B0503020202020204"/>
  </w:font>
  <w:font w:name="Tahoma">
    <w:panose1 w:val="020B0604030504040204"/>
  </w:font>
  <w:font w:name="KNLe">
    <w:panose1 w:val="020B0503020202020204"/>
  </w:font>
  <w:font w:name="Courier New">
    <w:panose1 w:val="02070309020205020404"/>
  </w:font>
  <w:font w:name="金山简魏碑">
    <w:panose1 w:val="020B0503020202020204"/>
  </w:font>
  <w:font w:name="华文细黑">
    <w:panose1 w:val="02010600040101010101"/>
  </w:font>
  <w:font w:name=":ZLe">
    <w:panose1 w:val="020B0503020202020204"/>
  </w:font>
  <w:font w:name="仿宋">
    <w:panose1 w:val="02010609060101010101"/>
  </w:font>
  <w:font w:name="楷体_GB2312">
    <w:panose1 w:val="02010609060101010101"/>
  </w:font>
  <w:font w:name="Consolas">
    <w:panose1 w:val="020B0609020204030204"/>
  </w:font>
  <w:font w:name="Cambria">
    <w:panose1 w:val="02040503050406030204"/>
  </w:font>
  <w:font w:name="Arial">
    <w:panose1 w:val="020B060402020202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7"/>
                          </w:pPr>
                          <w:r>
                            <w:fldChar w:fldCharType="begin"/>
                          </w:r>
                          <w:r>
                            <w:instrText xml:space="preserve"> PAGE  \* MERGEFORMAT </w:instrText>
                          </w:r>
                          <w:r>
                            <w:fldChar w:fldCharType="separate"/>
                          </w:r>
                          <w:r>
                            <w:t xml:space="preserve">62</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7"/>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7"/>
                          </w:pPr>
                          <w:r>
                            <w:fldChar w:fldCharType="begin"/>
                          </w:r>
                          <w:r>
                            <w:instrText xml:space="preserve"> PAGE  \* MERGEFORMAT </w:instrText>
                          </w:r>
                          <w:r>
                            <w:fldChar w:fldCharType="separate"/>
                          </w:r>
                          <w:r>
                            <w:t xml:space="preserve">62</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7"/>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center"/>
      <w:rPr>
        <w:rFonts w:eastAsiaTheme="minorEastAsia"/>
        <w:lang w:eastAsia="zh-CN"/>
      </w:rPr>
    </w:pPr>
    <w:r>
      <w:rPr>
        <w:lang w:val="en-US"/>
      </w:rPr>
      <w:fldChar w:fldCharType="begin"/>
    </w:r>
    <w:r>
      <w:instrText xml:space="preserve"> PAGE   \* MERGEFORMAT </w:instrText>
    </w:r>
    <w:r>
      <w:rPr>
        <w:lang w:val="en-US"/>
      </w:rPr>
      <w:fldChar w:fldCharType="separate"/>
    </w:r>
    <w:r>
      <w:rPr>
        <w:lang w:val="zh-CN"/>
      </w:rPr>
      <w:t xml:space="preserve">45</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726"/>
    <w:link w:val="753"/>
    <w:uiPriority w:val="11"/>
    <w:rPr>
      <w:sz w:val="24"/>
      <w:szCs w:val="24"/>
    </w:rPr>
  </w:style>
  <w:style w:type="character" w:styleId="38">
    <w:name w:val="Quote Char"/>
    <w:link w:val="803"/>
    <w:uiPriority w:val="29"/>
    <w:rPr>
      <w:i/>
    </w:rPr>
  </w:style>
  <w:style w:type="character" w:styleId="40">
    <w:name w:val="Intense Quote Char"/>
    <w:link w:val="805"/>
    <w:uiPriority w:val="30"/>
    <w:rPr>
      <w:i/>
    </w:rPr>
  </w:style>
  <w:style w:type="character" w:styleId="175">
    <w:name w:val="Footnote Text Char"/>
    <w:link w:val="755"/>
    <w:uiPriority w:val="99"/>
    <w:rPr>
      <w:sz w:val="18"/>
    </w:rPr>
  </w:style>
  <w:style w:type="character" w:styleId="178">
    <w:name w:val="Endnote Text Char"/>
    <w:link w:val="745"/>
    <w:uiPriority w:val="99"/>
    <w:rPr>
      <w:sz w:val="20"/>
    </w:rPr>
  </w:style>
  <w:style w:type="paragraph" w:styleId="189">
    <w:name w:val="TOC Heading"/>
    <w:uiPriority w:val="39"/>
    <w:unhideWhenUsed/>
  </w:style>
  <w:style w:type="paragraph" w:styleId="716" w:default="1">
    <w:name w:val="Normal"/>
    <w:uiPriority w:val="1"/>
    <w:qFormat/>
    <w:pPr>
      <w:widowControl w:val="off"/>
    </w:pPr>
    <w:rPr>
      <w:rFonts w:ascii="Calibri" w:hAnsi="Calibri" w:eastAsia="Calibri" w:cs="Times New Roman"/>
      <w:sz w:val="22"/>
      <w:szCs w:val="22"/>
      <w:lang w:val="en-US" w:eastAsia="en-US" w:bidi="ar-SA"/>
    </w:rPr>
  </w:style>
  <w:style w:type="paragraph" w:styleId="717">
    <w:name w:val="Heading 1"/>
    <w:basedOn w:val="716"/>
    <w:next w:val="716"/>
    <w:link w:val="941"/>
    <w:uiPriority w:val="0"/>
    <w:qFormat/>
    <w:pPr>
      <w:outlineLvl w:val="0"/>
    </w:pPr>
    <w:rPr>
      <w:rFonts w:ascii="黑体" w:hAnsi="黑体" w:eastAsia="黑体"/>
      <w:sz w:val="72"/>
      <w:szCs w:val="72"/>
    </w:rPr>
  </w:style>
  <w:style w:type="paragraph" w:styleId="718">
    <w:name w:val="Heading 2"/>
    <w:basedOn w:val="716"/>
    <w:next w:val="716"/>
    <w:link w:val="942"/>
    <w:uiPriority w:val="0"/>
    <w:qFormat/>
    <w:pPr>
      <w:ind w:left="1558"/>
      <w:outlineLvl w:val="1"/>
    </w:pPr>
    <w:rPr>
      <w:rFonts w:ascii="黑体" w:hAnsi="黑体" w:eastAsia="黑体"/>
      <w:b/>
      <w:bCs/>
      <w:sz w:val="36"/>
      <w:szCs w:val="36"/>
    </w:rPr>
  </w:style>
  <w:style w:type="paragraph" w:styleId="719">
    <w:name w:val="Heading 3"/>
    <w:basedOn w:val="716"/>
    <w:next w:val="716"/>
    <w:link w:val="943"/>
    <w:uiPriority w:val="0"/>
    <w:qFormat/>
    <w:pPr>
      <w:outlineLvl w:val="2"/>
    </w:pPr>
    <w:rPr>
      <w:rFonts w:ascii="黑体" w:hAnsi="黑体" w:eastAsia="黑体"/>
      <w:sz w:val="32"/>
      <w:szCs w:val="32"/>
    </w:rPr>
  </w:style>
  <w:style w:type="paragraph" w:styleId="720">
    <w:name w:val="Heading 4"/>
    <w:basedOn w:val="716"/>
    <w:next w:val="716"/>
    <w:link w:val="944"/>
    <w:uiPriority w:val="0"/>
    <w:qFormat/>
    <w:pPr>
      <w:ind w:left="358"/>
      <w:spacing w:before="34"/>
      <w:outlineLvl w:val="3"/>
    </w:pPr>
    <w:rPr>
      <w:rFonts w:ascii="宋体" w:hAnsi="宋体" w:eastAsia="宋体"/>
      <w:b/>
      <w:bCs/>
      <w:sz w:val="24"/>
      <w:szCs w:val="24"/>
    </w:rPr>
  </w:style>
  <w:style w:type="paragraph" w:styleId="721">
    <w:name w:val="Heading 5"/>
    <w:basedOn w:val="716"/>
    <w:next w:val="716"/>
    <w:link w:val="1001"/>
    <w:uiPriority w:val="0"/>
    <w:qFormat/>
    <w:pPr>
      <w:jc w:val="both"/>
      <w:keepLines/>
      <w:keepNext/>
      <w:spacing w:before="280" w:after="290" w:line="372" w:lineRule="auto"/>
      <w:outlineLvl w:val="4"/>
    </w:pPr>
    <w:rPr>
      <w:rFonts w:ascii="Times New Roman" w:hAnsi="Times New Roman" w:eastAsia="宋体"/>
      <w:b/>
      <w:bCs/>
      <w:sz w:val="28"/>
      <w:szCs w:val="28"/>
      <w:lang w:eastAsia="zh-CN"/>
    </w:rPr>
  </w:style>
  <w:style w:type="paragraph" w:styleId="722">
    <w:name w:val="Heading 6"/>
    <w:basedOn w:val="716"/>
    <w:next w:val="716"/>
    <w:link w:val="945"/>
    <w:uiPriority w:val="0"/>
    <w:qFormat/>
    <w:pPr>
      <w:ind w:left="1152" w:hanging="1152"/>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723">
    <w:name w:val="Heading 7"/>
    <w:basedOn w:val="716"/>
    <w:next w:val="716"/>
    <w:link w:val="946"/>
    <w:uiPriority w:val="0"/>
    <w:qFormat/>
    <w:pPr>
      <w:ind w:left="1296" w:hanging="1296"/>
      <w:keepLines/>
      <w:keepNext/>
      <w:spacing w:before="240" w:after="64" w:line="317" w:lineRule="auto"/>
      <w:widowControl/>
      <w:tabs>
        <w:tab w:val="left" w:pos="2520" w:leader="none"/>
      </w:tabs>
      <w:outlineLvl w:val="6"/>
    </w:pPr>
    <w:rPr>
      <w:rFonts w:eastAsia="宋体"/>
      <w:b/>
      <w:sz w:val="24"/>
      <w:szCs w:val="20"/>
    </w:rPr>
  </w:style>
  <w:style w:type="paragraph" w:styleId="724">
    <w:name w:val="Heading 8"/>
    <w:basedOn w:val="716"/>
    <w:next w:val="716"/>
    <w:link w:val="947"/>
    <w:uiPriority w:val="0"/>
    <w:qFormat/>
    <w:pPr>
      <w:ind w:left="1440" w:hanging="1440"/>
      <w:keepLines/>
      <w:keepNext/>
      <w:spacing w:before="240" w:after="64" w:line="317" w:lineRule="auto"/>
      <w:widowControl/>
      <w:tabs>
        <w:tab w:val="left" w:pos="1440" w:leader="none"/>
      </w:tabs>
      <w:outlineLvl w:val="7"/>
    </w:pPr>
    <w:rPr>
      <w:rFonts w:ascii="Arial" w:hAnsi="Arial" w:eastAsia="黑体"/>
      <w:sz w:val="24"/>
      <w:szCs w:val="20"/>
    </w:rPr>
  </w:style>
  <w:style w:type="paragraph" w:styleId="725">
    <w:name w:val="Heading 9"/>
    <w:basedOn w:val="716"/>
    <w:next w:val="716"/>
    <w:link w:val="948"/>
    <w:uiPriority w:val="0"/>
    <w:qFormat/>
    <w:pPr>
      <w:ind w:left="1584" w:hanging="1584"/>
      <w:keepLines/>
      <w:keepNext/>
      <w:spacing w:before="240" w:after="64" w:line="317" w:lineRule="auto"/>
      <w:widowControl/>
      <w:tabs>
        <w:tab w:val="left" w:pos="1584" w:leader="none"/>
      </w:tabs>
      <w:outlineLvl w:val="8"/>
    </w:pPr>
    <w:rPr>
      <w:rFonts w:ascii="Arial" w:hAnsi="Arial" w:eastAsia="黑体"/>
      <w:sz w:val="21"/>
      <w:szCs w:val="20"/>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toc 7"/>
    <w:basedOn w:val="716"/>
    <w:next w:val="716"/>
    <w:uiPriority w:val="0"/>
    <w:unhideWhenUsed/>
    <w:qFormat/>
    <w:pPr>
      <w:ind w:left="2520"/>
      <w:jc w:val="both"/>
    </w:pPr>
    <w:rPr>
      <w:rFonts w:eastAsia="宋体"/>
      <w:sz w:val="21"/>
      <w:lang w:eastAsia="zh-CN"/>
    </w:rPr>
  </w:style>
  <w:style w:type="paragraph" w:styleId="729">
    <w:name w:val="Normal Indent"/>
    <w:basedOn w:val="716"/>
    <w:uiPriority w:val="0"/>
    <w:qFormat/>
    <w:pPr>
      <w:ind w:firstLine="420"/>
    </w:pPr>
  </w:style>
  <w:style w:type="paragraph" w:styleId="730">
    <w:name w:val="Caption"/>
    <w:basedOn w:val="716"/>
    <w:next w:val="716"/>
    <w:uiPriority w:val="0"/>
    <w:qFormat/>
    <w:pPr>
      <w:jc w:val="both"/>
    </w:pPr>
    <w:rPr>
      <w:rFonts w:ascii="Cambria" w:hAnsi="Cambria" w:eastAsia="黑体"/>
      <w:sz w:val="20"/>
      <w:szCs w:val="20"/>
      <w:lang w:eastAsia="zh-CN"/>
    </w:rPr>
  </w:style>
  <w:style w:type="paragraph" w:styleId="731">
    <w:name w:val="Document Map"/>
    <w:basedOn w:val="716"/>
    <w:link w:val="949"/>
    <w:uiPriority w:val="0"/>
    <w:qFormat/>
    <w:rPr>
      <w:rFonts w:ascii="宋体" w:eastAsia="宋体"/>
      <w:sz w:val="18"/>
      <w:szCs w:val="18"/>
    </w:rPr>
  </w:style>
  <w:style w:type="paragraph" w:styleId="732">
    <w:name w:val="annotation text"/>
    <w:basedOn w:val="716"/>
    <w:link w:val="950"/>
    <w:uiPriority w:val="0"/>
    <w:qFormat/>
    <w:rPr>
      <w:sz w:val="20"/>
    </w:rPr>
  </w:style>
  <w:style w:type="paragraph" w:styleId="733">
    <w:name w:val="Salutation"/>
    <w:basedOn w:val="716"/>
    <w:next w:val="716"/>
    <w:link w:val="1102"/>
    <w:uiPriority w:val="99"/>
    <w:qFormat/>
    <w:pPr>
      <w:jc w:val="both"/>
    </w:pPr>
    <w:rPr>
      <w:rFonts w:ascii="楷体_GB2312" w:eastAsia="楷体_GB2312"/>
      <w:sz w:val="28"/>
      <w:szCs w:val="20"/>
      <w:lang w:eastAsia="zh-CN"/>
    </w:rPr>
  </w:style>
  <w:style w:type="paragraph" w:styleId="734">
    <w:name w:val="Body Text 3"/>
    <w:basedOn w:val="716"/>
    <w:link w:val="951"/>
    <w:uiPriority w:val="0"/>
    <w:qFormat/>
    <w:pPr>
      <w:jc w:val="both"/>
    </w:pPr>
    <w:rPr>
      <w:rFonts w:ascii="宋体" w:eastAsia="宋体"/>
      <w:sz w:val="24"/>
      <w:szCs w:val="20"/>
    </w:rPr>
  </w:style>
  <w:style w:type="paragraph" w:styleId="735">
    <w:name w:val="Body Text"/>
    <w:basedOn w:val="716"/>
    <w:link w:val="952"/>
    <w:uiPriority w:val="0"/>
    <w:qFormat/>
    <w:pPr>
      <w:ind w:left="118"/>
      <w:spacing w:before="34"/>
    </w:pPr>
    <w:rPr>
      <w:rFonts w:ascii="宋体" w:hAnsi="宋体" w:eastAsia="宋体"/>
      <w:sz w:val="24"/>
      <w:szCs w:val="24"/>
    </w:rPr>
  </w:style>
  <w:style w:type="paragraph" w:styleId="736">
    <w:name w:val="Body Text Indent"/>
    <w:basedOn w:val="716"/>
    <w:next w:val="737"/>
    <w:link w:val="953"/>
    <w:uiPriority w:val="99"/>
    <w:qFormat/>
    <w:pPr>
      <w:ind w:left="420"/>
      <w:jc w:val="both"/>
      <w:spacing w:after="120"/>
    </w:pPr>
    <w:rPr>
      <w:rFonts w:eastAsia="宋体"/>
      <w:sz w:val="21"/>
      <w:szCs w:val="20"/>
    </w:rPr>
  </w:style>
  <w:style w:type="paragraph" w:styleId="737">
    <w:name w:val="envelope return"/>
    <w:basedOn w:val="716"/>
    <w:uiPriority w:val="99"/>
    <w:unhideWhenUsed/>
    <w:qFormat/>
    <w:rPr>
      <w:rFonts w:ascii="Arial" w:hAnsi="Arial" w:cs="Arial"/>
    </w:rPr>
  </w:style>
  <w:style w:type="paragraph" w:styleId="738">
    <w:name w:val="index 4"/>
    <w:basedOn w:val="716"/>
    <w:next w:val="716"/>
    <w:uiPriority w:val="0"/>
    <w:unhideWhenUsed/>
    <w:qFormat/>
    <w:pPr>
      <w:ind w:left="600"/>
    </w:pPr>
  </w:style>
  <w:style w:type="paragraph" w:styleId="739">
    <w:name w:val="toc 5"/>
    <w:basedOn w:val="716"/>
    <w:next w:val="716"/>
    <w:uiPriority w:val="0"/>
    <w:unhideWhenUsed/>
    <w:qFormat/>
    <w:pPr>
      <w:ind w:left="1680"/>
      <w:jc w:val="both"/>
    </w:pPr>
    <w:rPr>
      <w:rFonts w:eastAsia="宋体"/>
      <w:sz w:val="21"/>
      <w:lang w:eastAsia="zh-CN"/>
    </w:rPr>
  </w:style>
  <w:style w:type="paragraph" w:styleId="740">
    <w:name w:val="toc 3"/>
    <w:basedOn w:val="716"/>
    <w:next w:val="716"/>
    <w:uiPriority w:val="39"/>
    <w:qFormat/>
    <w:pPr>
      <w:ind w:left="840"/>
      <w:jc w:val="both"/>
    </w:pPr>
    <w:rPr>
      <w:rFonts w:eastAsia="宋体"/>
      <w:sz w:val="21"/>
      <w:szCs w:val="20"/>
      <w:lang w:eastAsia="zh-CN"/>
    </w:rPr>
  </w:style>
  <w:style w:type="paragraph" w:styleId="741">
    <w:name w:val="Plain Text"/>
    <w:basedOn w:val="716"/>
    <w:link w:val="954"/>
    <w:uiPriority w:val="0"/>
    <w:qFormat/>
    <w:pPr>
      <w:jc w:val="both"/>
    </w:pPr>
    <w:rPr>
      <w:rFonts w:ascii="Ari" w:eastAsia="宋体"/>
      <w:sz w:val="21"/>
      <w:szCs w:val="24"/>
    </w:rPr>
  </w:style>
  <w:style w:type="paragraph" w:styleId="742">
    <w:name w:val="toc 8"/>
    <w:basedOn w:val="716"/>
    <w:next w:val="716"/>
    <w:uiPriority w:val="0"/>
    <w:unhideWhenUsed/>
    <w:qFormat/>
    <w:pPr>
      <w:ind w:left="2940"/>
      <w:jc w:val="both"/>
    </w:pPr>
    <w:rPr>
      <w:rFonts w:eastAsia="宋体"/>
      <w:sz w:val="21"/>
      <w:lang w:eastAsia="zh-CN"/>
    </w:rPr>
  </w:style>
  <w:style w:type="paragraph" w:styleId="743">
    <w:name w:val="Date"/>
    <w:basedOn w:val="716"/>
    <w:next w:val="716"/>
    <w:link w:val="955"/>
    <w:uiPriority w:val="0"/>
    <w:qFormat/>
    <w:pPr>
      <w:jc w:val="both"/>
    </w:pPr>
    <w:rPr>
      <w:rFonts w:eastAsia="宋体"/>
      <w:sz w:val="24"/>
      <w:szCs w:val="20"/>
    </w:rPr>
  </w:style>
  <w:style w:type="paragraph" w:styleId="744">
    <w:name w:val="Body Text Indent 2"/>
    <w:basedOn w:val="716"/>
    <w:link w:val="1000"/>
    <w:uiPriority w:val="0"/>
    <w:unhideWhenUsed/>
    <w:qFormat/>
    <w:pPr>
      <w:ind w:left="420"/>
      <w:spacing w:after="120" w:line="480" w:lineRule="auto"/>
    </w:pPr>
  </w:style>
  <w:style w:type="paragraph" w:styleId="745">
    <w:name w:val="endnote text"/>
    <w:basedOn w:val="716"/>
    <w:link w:val="939"/>
    <w:uiPriority w:val="99"/>
    <w:semiHidden/>
    <w:unhideWhenUsed/>
    <w:qFormat/>
    <w:rPr>
      <w:rFonts w:eastAsia="宋体"/>
      <w:sz w:val="20"/>
      <w:szCs w:val="20"/>
    </w:rPr>
  </w:style>
  <w:style w:type="paragraph" w:styleId="746">
    <w:name w:val="Balloon Text"/>
    <w:basedOn w:val="716"/>
    <w:link w:val="956"/>
    <w:uiPriority w:val="0"/>
    <w:qFormat/>
    <w:rPr>
      <w:sz w:val="18"/>
      <w:szCs w:val="18"/>
    </w:rPr>
  </w:style>
  <w:style w:type="paragraph" w:styleId="747">
    <w:name w:val="Footer"/>
    <w:basedOn w:val="716"/>
    <w:link w:val="957"/>
    <w:uiPriority w:val="0"/>
    <w:qFormat/>
    <w:pPr>
      <w:tabs>
        <w:tab w:val="center" w:pos="4153" w:leader="none"/>
        <w:tab w:val="right" w:pos="8306" w:leader="none"/>
      </w:tabs>
    </w:pPr>
    <w:rPr>
      <w:sz w:val="18"/>
    </w:rPr>
  </w:style>
  <w:style w:type="paragraph" w:styleId="748">
    <w:name w:val="Header"/>
    <w:basedOn w:val="716"/>
    <w:link w:val="958"/>
    <w:uiPriority w:val="99"/>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749">
    <w:name w:val="toc 1"/>
    <w:basedOn w:val="716"/>
    <w:next w:val="716"/>
    <w:uiPriority w:val="39"/>
    <w:qFormat/>
    <w:pPr>
      <w:spacing w:before="271"/>
    </w:pPr>
    <w:rPr>
      <w:rFonts w:ascii="宋体" w:hAnsi="宋体" w:eastAsia="宋体"/>
      <w:b/>
      <w:bCs/>
      <w:sz w:val="24"/>
      <w:szCs w:val="24"/>
    </w:rPr>
  </w:style>
  <w:style w:type="paragraph" w:styleId="750">
    <w:name w:val="toc 4"/>
    <w:basedOn w:val="716"/>
    <w:next w:val="716"/>
    <w:uiPriority w:val="0"/>
    <w:unhideWhenUsed/>
    <w:qFormat/>
    <w:pPr>
      <w:ind w:left="1260"/>
      <w:jc w:val="both"/>
    </w:pPr>
    <w:rPr>
      <w:rFonts w:eastAsia="宋体"/>
      <w:sz w:val="21"/>
      <w:lang w:eastAsia="zh-CN"/>
    </w:rPr>
  </w:style>
  <w:style w:type="paragraph" w:styleId="751">
    <w:name w:val="index heading"/>
    <w:basedOn w:val="716"/>
    <w:next w:val="752"/>
    <w:uiPriority w:val="0"/>
    <w:qFormat/>
    <w:pPr>
      <w:jc w:val="both"/>
    </w:pPr>
    <w:rPr>
      <w:rFonts w:ascii="Times New Roman" w:hAnsi="Times New Roman" w:eastAsia="宋体"/>
      <w:sz w:val="21"/>
      <w:szCs w:val="20"/>
      <w:lang w:eastAsia="zh-CN"/>
    </w:rPr>
  </w:style>
  <w:style w:type="paragraph" w:styleId="752">
    <w:name w:val="index 1"/>
    <w:basedOn w:val="716"/>
    <w:next w:val="716"/>
    <w:uiPriority w:val="0"/>
    <w:qFormat/>
    <w:pPr>
      <w:jc w:val="center"/>
      <w:spacing w:line="220" w:lineRule="exact"/>
    </w:pPr>
    <w:rPr>
      <w:rFonts w:ascii="仿宋_GB2312" w:eastAsia="仿宋_GB2312"/>
      <w:sz w:val="21"/>
      <w:szCs w:val="20"/>
      <w:lang w:eastAsia="zh-CN"/>
    </w:rPr>
  </w:style>
  <w:style w:type="paragraph" w:styleId="753">
    <w:name w:val="Subtitle"/>
    <w:basedOn w:val="716"/>
    <w:next w:val="716"/>
    <w:link w:val="802"/>
    <w:uiPriority w:val="0"/>
    <w:qFormat/>
    <w:pPr>
      <w:spacing w:before="200" w:after="200"/>
    </w:pPr>
    <w:rPr>
      <w:rFonts w:eastAsia="宋体"/>
      <w:sz w:val="24"/>
      <w:szCs w:val="24"/>
    </w:rPr>
  </w:style>
  <w:style w:type="paragraph" w:styleId="754">
    <w:name w:val="List"/>
    <w:basedOn w:val="716"/>
    <w:uiPriority w:val="0"/>
    <w:qFormat/>
    <w:pPr>
      <w:contextualSpacing/>
      <w:ind w:left="200" w:hanging="200"/>
    </w:pPr>
    <w:rPr>
      <w:rFonts w:ascii="Times New Roman" w:hAnsi="Times New Roman"/>
    </w:rPr>
  </w:style>
  <w:style w:type="paragraph" w:styleId="755">
    <w:name w:val="footnote text"/>
    <w:basedOn w:val="716"/>
    <w:link w:val="938"/>
    <w:uiPriority w:val="99"/>
    <w:semiHidden/>
    <w:unhideWhenUsed/>
    <w:qFormat/>
    <w:pPr>
      <w:spacing w:after="40"/>
    </w:pPr>
    <w:rPr>
      <w:rFonts w:eastAsia="宋体"/>
      <w:sz w:val="18"/>
      <w:szCs w:val="20"/>
    </w:rPr>
  </w:style>
  <w:style w:type="paragraph" w:styleId="756">
    <w:name w:val="toc 6"/>
    <w:basedOn w:val="716"/>
    <w:next w:val="716"/>
    <w:uiPriority w:val="0"/>
    <w:unhideWhenUsed/>
    <w:qFormat/>
    <w:pPr>
      <w:ind w:left="2100"/>
      <w:jc w:val="both"/>
    </w:pPr>
    <w:rPr>
      <w:rFonts w:eastAsia="宋体"/>
      <w:sz w:val="21"/>
      <w:lang w:eastAsia="zh-CN"/>
    </w:rPr>
  </w:style>
  <w:style w:type="paragraph" w:styleId="757">
    <w:name w:val="Body Text Indent 3"/>
    <w:basedOn w:val="716"/>
    <w:link w:val="959"/>
    <w:uiPriority w:val="0"/>
    <w:qFormat/>
    <w:pPr>
      <w:ind w:left="420"/>
      <w:jc w:val="both"/>
      <w:spacing w:after="120"/>
    </w:pPr>
    <w:rPr>
      <w:rFonts w:eastAsia="宋体"/>
      <w:sz w:val="16"/>
      <w:szCs w:val="20"/>
    </w:rPr>
  </w:style>
  <w:style w:type="paragraph" w:styleId="758">
    <w:name w:val="table of figures"/>
    <w:basedOn w:val="716"/>
    <w:next w:val="716"/>
    <w:uiPriority w:val="99"/>
    <w:unhideWhenUsed/>
    <w:qFormat/>
  </w:style>
  <w:style w:type="paragraph" w:styleId="759">
    <w:name w:val="toc 2"/>
    <w:basedOn w:val="716"/>
    <w:next w:val="716"/>
    <w:uiPriority w:val="39"/>
    <w:qFormat/>
    <w:pPr>
      <w:ind w:left="327"/>
      <w:spacing w:before="151"/>
    </w:pPr>
    <w:rPr>
      <w:rFonts w:ascii="宋体" w:hAnsi="宋体" w:eastAsia="宋体"/>
      <w:sz w:val="24"/>
      <w:szCs w:val="24"/>
    </w:rPr>
  </w:style>
  <w:style w:type="paragraph" w:styleId="760">
    <w:name w:val="toc 9"/>
    <w:basedOn w:val="716"/>
    <w:next w:val="716"/>
    <w:uiPriority w:val="0"/>
    <w:unhideWhenUsed/>
    <w:qFormat/>
    <w:pPr>
      <w:ind w:left="3360"/>
      <w:jc w:val="both"/>
    </w:pPr>
    <w:rPr>
      <w:rFonts w:eastAsia="宋体"/>
      <w:sz w:val="21"/>
      <w:lang w:eastAsia="zh-CN"/>
    </w:rPr>
  </w:style>
  <w:style w:type="paragraph" w:styleId="761">
    <w:name w:val="Body Text 2"/>
    <w:basedOn w:val="716"/>
    <w:link w:val="1103"/>
    <w:uiPriority w:val="99"/>
    <w:qFormat/>
    <w:pPr>
      <w:jc w:val="both"/>
    </w:pPr>
    <w:rPr>
      <w:rFonts w:ascii="宋体" w:eastAsia="宋体"/>
      <w:b/>
      <w:bCs/>
      <w:sz w:val="24"/>
      <w:szCs w:val="24"/>
      <w:lang w:eastAsia="zh-CN"/>
    </w:rPr>
  </w:style>
  <w:style w:type="paragraph" w:styleId="762">
    <w:name w:val="HTML Preformatted"/>
    <w:basedOn w:val="716"/>
    <w:link w:val="1003"/>
    <w:uiPriority w:val="99"/>
    <w:unhideWhenUsed/>
    <w:qFormat/>
    <w:pPr>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sz w:val="11"/>
      <w:szCs w:val="11"/>
      <w:lang w:eastAsia="zh-CN"/>
    </w:rPr>
  </w:style>
  <w:style w:type="paragraph" w:styleId="763">
    <w:name w:val="Normal (Web)"/>
    <w:basedOn w:val="716"/>
    <w:uiPriority w:val="0"/>
    <w:unhideWhenUsed/>
    <w:qFormat/>
    <w:pPr>
      <w:spacing w:before="100" w:beforeAutospacing="1" w:after="100" w:afterAutospacing="1"/>
      <w:widowControl/>
    </w:pPr>
    <w:rPr>
      <w:rFonts w:ascii="宋体" w:hAnsi="宋体" w:eastAsia="宋体" w:cs="宋体"/>
      <w:sz w:val="24"/>
      <w:szCs w:val="24"/>
      <w:lang w:eastAsia="zh-CN"/>
    </w:rPr>
  </w:style>
  <w:style w:type="paragraph" w:styleId="764">
    <w:name w:val="Title"/>
    <w:basedOn w:val="716"/>
    <w:link w:val="960"/>
    <w:uiPriority w:val="0"/>
    <w:qFormat/>
    <w:pPr>
      <w:jc w:val="center"/>
      <w:spacing w:before="240" w:after="60" w:line="420" w:lineRule="atLeast"/>
      <w:outlineLvl w:val="0"/>
    </w:pPr>
    <w:rPr>
      <w:rFonts w:ascii="Arial" w:hAnsi="Arial" w:eastAsia="宋体"/>
      <w:b/>
      <w:sz w:val="32"/>
      <w:szCs w:val="20"/>
    </w:rPr>
  </w:style>
  <w:style w:type="paragraph" w:styleId="765">
    <w:name w:val="annotation subject"/>
    <w:basedOn w:val="732"/>
    <w:next w:val="732"/>
    <w:link w:val="961"/>
    <w:uiPriority w:val="0"/>
    <w:qFormat/>
    <w:rPr>
      <w:rFonts w:eastAsia="宋体"/>
      <w:szCs w:val="20"/>
    </w:rPr>
  </w:style>
  <w:style w:type="paragraph" w:styleId="766">
    <w:name w:val="Body Text First Indent"/>
    <w:basedOn w:val="735"/>
    <w:link w:val="962"/>
    <w:uiPriority w:val="0"/>
    <w:qFormat/>
    <w:pPr>
      <w:ind w:firstLine="200"/>
      <w:tabs>
        <w:tab w:val="left" w:pos="562" w:leader="none"/>
        <w:tab w:val="left" w:pos="3372" w:leader="none"/>
        <w:tab w:val="left" w:pos="3653" w:leader="none"/>
      </w:tabs>
    </w:pPr>
  </w:style>
  <w:style w:type="paragraph" w:styleId="767">
    <w:name w:val="Body Text First Indent 2"/>
    <w:basedOn w:val="736"/>
    <w:next w:val="716"/>
    <w:link w:val="1104"/>
    <w:uiPriority w:val="0"/>
    <w:qFormat/>
    <w:pPr>
      <w:ind w:firstLine="420"/>
    </w:pPr>
  </w:style>
  <w:style w:type="table" w:styleId="768">
    <w:name w:val="Table Grid"/>
    <w:basedOn w:val="727"/>
    <w:uiPriority w:val="0"/>
    <w:qFormat/>
    <w:tblPr>
      <w:tblCellMar>
        <w:left w:w="108" w:type="dxa"/>
        <w:top w:w="0" w:type="dxa"/>
        <w:right w:w="108" w:type="dxa"/>
        <w:bottom w:w="0" w:type="dxa"/>
      </w:tblCellMar>
    </w:tblPr>
  </w:style>
  <w:style w:type="character" w:styleId="769">
    <w:name w:val="Strong"/>
    <w:uiPriority w:val="0"/>
    <w:qFormat/>
    <w:rPr>
      <w:b/>
      <w:bCs/>
    </w:rPr>
  </w:style>
  <w:style w:type="character" w:styleId="770">
    <w:name w:val="endnote reference"/>
    <w:uiPriority w:val="99"/>
    <w:semiHidden/>
    <w:unhideWhenUsed/>
    <w:qFormat/>
    <w:rPr>
      <w:vertAlign w:val="superscript"/>
    </w:rPr>
  </w:style>
  <w:style w:type="character" w:styleId="771">
    <w:name w:val="page number"/>
    <w:uiPriority w:val="0"/>
    <w:qFormat/>
  </w:style>
  <w:style w:type="character" w:styleId="772">
    <w:name w:val="FollowedHyperlink"/>
    <w:uiPriority w:val="99"/>
    <w:unhideWhenUsed/>
    <w:qFormat/>
    <w:rPr>
      <w:color w:val="800080"/>
      <w:u w:val="single"/>
    </w:rPr>
  </w:style>
  <w:style w:type="character" w:styleId="773">
    <w:name w:val="Emphasis"/>
    <w:uiPriority w:val="0"/>
    <w:qFormat/>
    <w:rPr>
      <w:i/>
      <w:iCs/>
    </w:rPr>
  </w:style>
  <w:style w:type="character" w:styleId="774">
    <w:name w:val="HTML Definition"/>
    <w:uiPriority w:val="0"/>
    <w:qFormat/>
    <w:rPr>
      <w:i/>
    </w:rPr>
  </w:style>
  <w:style w:type="character" w:styleId="775">
    <w:name w:val="Hyperlink"/>
    <w:uiPriority w:val="99"/>
    <w:qFormat/>
    <w:rPr>
      <w:color w:val="0000ff"/>
      <w:u w:val="single"/>
    </w:rPr>
  </w:style>
  <w:style w:type="character" w:styleId="776">
    <w:name w:val="HTML Code"/>
    <w:uiPriority w:val="0"/>
    <w:qFormat/>
    <w:rPr>
      <w:rFonts w:ascii="Consolas" w:hAnsi="Consolas" w:eastAsia="Consolas" w:cs="Consolas"/>
      <w:color w:val="ca4440"/>
      <w:sz w:val="21"/>
      <w:szCs w:val="21"/>
      <w:shd w:val="clear" w:color="auto" w:fill="f9f2f4"/>
    </w:rPr>
  </w:style>
  <w:style w:type="character" w:styleId="777">
    <w:name w:val="annotation reference"/>
    <w:uiPriority w:val="0"/>
    <w:qFormat/>
    <w:rPr>
      <w:sz w:val="21"/>
      <w:szCs w:val="21"/>
    </w:rPr>
  </w:style>
  <w:style w:type="character" w:styleId="778">
    <w:name w:val="footnote reference"/>
    <w:uiPriority w:val="99"/>
    <w:unhideWhenUsed/>
    <w:qFormat/>
    <w:rPr>
      <w:vertAlign w:val="superscript"/>
    </w:rPr>
  </w:style>
  <w:style w:type="character" w:styleId="779">
    <w:name w:val="HTML Keyboard"/>
    <w:uiPriority w:val="0"/>
    <w:qFormat/>
    <w:rPr>
      <w:rFonts w:hint="default" w:ascii="Consolas" w:hAnsi="Consolas" w:eastAsia="Consolas" w:cs="Consolas"/>
      <w:color w:val="ffffff"/>
      <w:sz w:val="21"/>
      <w:szCs w:val="21"/>
      <w:shd w:val="clear" w:color="auto" w:fill="333333"/>
    </w:rPr>
  </w:style>
  <w:style w:type="character" w:styleId="780">
    <w:name w:val="HTML Sample"/>
    <w:uiPriority w:val="0"/>
    <w:qFormat/>
    <w:rPr>
      <w:rFonts w:hint="default" w:ascii="Consolas" w:hAnsi="Consolas" w:eastAsia="Consolas" w:cs="Consolas"/>
      <w:sz w:val="21"/>
      <w:szCs w:val="21"/>
    </w:rPr>
  </w:style>
  <w:style w:type="paragraph" w:styleId="781">
    <w:name w:val="List Paragraph"/>
    <w:basedOn w:val="716"/>
    <w:uiPriority w:val="34"/>
    <w:qFormat/>
  </w:style>
  <w:style w:type="paragraph" w:styleId="782" w:customStyle="1">
    <w:name w:val="Heading 1"/>
    <w:basedOn w:val="716"/>
    <w:next w:val="716"/>
    <w:link w:val="783"/>
    <w:uiPriority w:val="9"/>
    <w:qFormat/>
    <w:pPr>
      <w:keepLines/>
      <w:keepNext/>
      <w:spacing w:before="480" w:after="200"/>
      <w:outlineLvl w:val="0"/>
    </w:pPr>
    <w:rPr>
      <w:rFonts w:ascii="Arial" w:hAnsi="Arial" w:eastAsia="Arial"/>
      <w:sz w:val="40"/>
      <w:szCs w:val="40"/>
    </w:rPr>
  </w:style>
  <w:style w:type="character" w:styleId="783" w:customStyle="1">
    <w:name w:val="Heading 1 Char"/>
    <w:link w:val="782"/>
    <w:uiPriority w:val="9"/>
    <w:qFormat/>
    <w:rPr>
      <w:rFonts w:ascii="Arial" w:hAnsi="Arial" w:eastAsia="Arial" w:cs="Arial"/>
      <w:sz w:val="40"/>
      <w:szCs w:val="40"/>
    </w:rPr>
  </w:style>
  <w:style w:type="character" w:styleId="784" w:customStyle="1">
    <w:name w:val="Heading 2 Char"/>
    <w:link w:val="785"/>
    <w:uiPriority w:val="9"/>
    <w:qFormat/>
    <w:rPr>
      <w:rFonts w:ascii="Arial" w:hAnsi="Arial" w:eastAsia="Arial" w:cs="Arial"/>
      <w:sz w:val="34"/>
    </w:rPr>
  </w:style>
  <w:style w:type="paragraph" w:styleId="785" w:customStyle="1">
    <w:name w:val="Heading 2"/>
    <w:basedOn w:val="716"/>
    <w:link w:val="784"/>
    <w:uiPriority w:val="9"/>
    <w:qFormat/>
    <w:pPr>
      <w:ind w:left="157"/>
      <w:spacing w:before="169"/>
      <w:outlineLvl w:val="2"/>
    </w:pPr>
    <w:rPr>
      <w:rFonts w:ascii="Arial" w:hAnsi="Arial" w:eastAsia="Arial"/>
      <w:sz w:val="34"/>
      <w:szCs w:val="20"/>
    </w:rPr>
  </w:style>
  <w:style w:type="paragraph" w:styleId="786" w:customStyle="1">
    <w:name w:val="Heading 3"/>
    <w:basedOn w:val="716"/>
    <w:next w:val="716"/>
    <w:link w:val="787"/>
    <w:uiPriority w:val="9"/>
    <w:unhideWhenUsed/>
    <w:qFormat/>
    <w:pPr>
      <w:keepLines/>
      <w:keepNext/>
      <w:spacing w:before="320" w:after="200"/>
      <w:outlineLvl w:val="2"/>
    </w:pPr>
    <w:rPr>
      <w:rFonts w:ascii="Arial" w:hAnsi="Arial" w:eastAsia="Arial"/>
      <w:sz w:val="30"/>
      <w:szCs w:val="30"/>
    </w:rPr>
  </w:style>
  <w:style w:type="character" w:styleId="787" w:customStyle="1">
    <w:name w:val="Heading 3 Char"/>
    <w:link w:val="786"/>
    <w:uiPriority w:val="9"/>
    <w:qFormat/>
    <w:rPr>
      <w:rFonts w:ascii="Arial" w:hAnsi="Arial" w:eastAsia="Arial" w:cs="Arial"/>
      <w:sz w:val="30"/>
      <w:szCs w:val="30"/>
    </w:rPr>
  </w:style>
  <w:style w:type="paragraph" w:styleId="788" w:customStyle="1">
    <w:name w:val="Heading 4"/>
    <w:basedOn w:val="716"/>
    <w:next w:val="716"/>
    <w:link w:val="789"/>
    <w:uiPriority w:val="9"/>
    <w:unhideWhenUsed/>
    <w:qFormat/>
    <w:pPr>
      <w:keepLines/>
      <w:keepNext/>
      <w:spacing w:before="320" w:after="200"/>
      <w:outlineLvl w:val="3"/>
    </w:pPr>
    <w:rPr>
      <w:rFonts w:ascii="Arial" w:hAnsi="Arial" w:eastAsia="Arial"/>
      <w:b/>
      <w:bCs/>
      <w:sz w:val="26"/>
      <w:szCs w:val="26"/>
    </w:rPr>
  </w:style>
  <w:style w:type="character" w:styleId="789" w:customStyle="1">
    <w:name w:val="Heading 4 Char"/>
    <w:link w:val="788"/>
    <w:uiPriority w:val="9"/>
    <w:qFormat/>
    <w:rPr>
      <w:rFonts w:ascii="Arial" w:hAnsi="Arial" w:eastAsia="Arial" w:cs="Arial"/>
      <w:b/>
      <w:bCs/>
      <w:sz w:val="26"/>
      <w:szCs w:val="26"/>
    </w:rPr>
  </w:style>
  <w:style w:type="paragraph" w:styleId="790" w:customStyle="1">
    <w:name w:val="Heading 5"/>
    <w:basedOn w:val="716"/>
    <w:next w:val="716"/>
    <w:link w:val="791"/>
    <w:uiPriority w:val="9"/>
    <w:unhideWhenUsed/>
    <w:qFormat/>
    <w:pPr>
      <w:keepLines/>
      <w:keepNext/>
      <w:spacing w:before="320" w:after="200"/>
      <w:outlineLvl w:val="4"/>
    </w:pPr>
    <w:rPr>
      <w:rFonts w:ascii="Arial" w:hAnsi="Arial" w:eastAsia="Arial"/>
      <w:b/>
      <w:bCs/>
      <w:sz w:val="24"/>
      <w:szCs w:val="24"/>
    </w:rPr>
  </w:style>
  <w:style w:type="character" w:styleId="791" w:customStyle="1">
    <w:name w:val="Heading 5 Char"/>
    <w:link w:val="790"/>
    <w:uiPriority w:val="9"/>
    <w:qFormat/>
    <w:rPr>
      <w:rFonts w:ascii="Arial" w:hAnsi="Arial" w:eastAsia="Arial" w:cs="Arial"/>
      <w:b/>
      <w:bCs/>
      <w:sz w:val="24"/>
      <w:szCs w:val="24"/>
    </w:rPr>
  </w:style>
  <w:style w:type="paragraph" w:styleId="792" w:customStyle="1">
    <w:name w:val="Heading 6"/>
    <w:basedOn w:val="716"/>
    <w:next w:val="716"/>
    <w:link w:val="793"/>
    <w:uiPriority w:val="9"/>
    <w:unhideWhenUsed/>
    <w:qFormat/>
    <w:pPr>
      <w:keepLines/>
      <w:keepNext/>
      <w:spacing w:before="320" w:after="200"/>
      <w:outlineLvl w:val="5"/>
    </w:pPr>
    <w:rPr>
      <w:rFonts w:ascii="Arial" w:hAnsi="Arial" w:eastAsia="Arial"/>
      <w:b/>
      <w:bCs/>
    </w:rPr>
  </w:style>
  <w:style w:type="character" w:styleId="793" w:customStyle="1">
    <w:name w:val="Heading 6 Char"/>
    <w:link w:val="792"/>
    <w:uiPriority w:val="9"/>
    <w:qFormat/>
    <w:rPr>
      <w:rFonts w:ascii="Arial" w:hAnsi="Arial" w:eastAsia="Arial" w:cs="Arial"/>
      <w:b/>
      <w:bCs/>
      <w:sz w:val="22"/>
      <w:szCs w:val="22"/>
    </w:rPr>
  </w:style>
  <w:style w:type="paragraph" w:styleId="794" w:customStyle="1">
    <w:name w:val="Heading 7"/>
    <w:basedOn w:val="716"/>
    <w:next w:val="716"/>
    <w:link w:val="795"/>
    <w:uiPriority w:val="9"/>
    <w:unhideWhenUsed/>
    <w:qFormat/>
    <w:pPr>
      <w:keepLines/>
      <w:keepNext/>
      <w:spacing w:before="320" w:after="200"/>
      <w:outlineLvl w:val="6"/>
    </w:pPr>
    <w:rPr>
      <w:rFonts w:ascii="Arial" w:hAnsi="Arial" w:eastAsia="Arial"/>
      <w:b/>
      <w:bCs/>
      <w:i/>
      <w:iCs/>
    </w:rPr>
  </w:style>
  <w:style w:type="character" w:styleId="795" w:customStyle="1">
    <w:name w:val="Heading 7 Char"/>
    <w:link w:val="794"/>
    <w:uiPriority w:val="9"/>
    <w:qFormat/>
    <w:rPr>
      <w:rFonts w:ascii="Arial" w:hAnsi="Arial" w:eastAsia="Arial" w:cs="Arial"/>
      <w:b/>
      <w:bCs/>
      <w:i/>
      <w:iCs/>
      <w:sz w:val="22"/>
      <w:szCs w:val="22"/>
    </w:rPr>
  </w:style>
  <w:style w:type="paragraph" w:styleId="796" w:customStyle="1">
    <w:name w:val="Heading 8"/>
    <w:basedOn w:val="716"/>
    <w:next w:val="716"/>
    <w:link w:val="797"/>
    <w:uiPriority w:val="9"/>
    <w:unhideWhenUsed/>
    <w:qFormat/>
    <w:pPr>
      <w:keepLines/>
      <w:keepNext/>
      <w:spacing w:before="320" w:after="200"/>
      <w:outlineLvl w:val="7"/>
    </w:pPr>
    <w:rPr>
      <w:rFonts w:ascii="Arial" w:hAnsi="Arial" w:eastAsia="Arial"/>
      <w:i/>
      <w:iCs/>
    </w:rPr>
  </w:style>
  <w:style w:type="character" w:styleId="797" w:customStyle="1">
    <w:name w:val="Heading 8 Char"/>
    <w:link w:val="796"/>
    <w:uiPriority w:val="9"/>
    <w:qFormat/>
    <w:rPr>
      <w:rFonts w:ascii="Arial" w:hAnsi="Arial" w:eastAsia="Arial" w:cs="Arial"/>
      <w:i/>
      <w:iCs/>
      <w:sz w:val="22"/>
      <w:szCs w:val="22"/>
    </w:rPr>
  </w:style>
  <w:style w:type="paragraph" w:styleId="798" w:customStyle="1">
    <w:name w:val="Heading 9"/>
    <w:basedOn w:val="716"/>
    <w:next w:val="716"/>
    <w:link w:val="799"/>
    <w:uiPriority w:val="9"/>
    <w:unhideWhenUsed/>
    <w:qFormat/>
    <w:pPr>
      <w:keepLines/>
      <w:keepNext/>
      <w:spacing w:before="320" w:after="200"/>
      <w:outlineLvl w:val="8"/>
    </w:pPr>
    <w:rPr>
      <w:rFonts w:ascii="Arial" w:hAnsi="Arial" w:eastAsia="Arial"/>
      <w:i/>
      <w:iCs/>
      <w:sz w:val="21"/>
      <w:szCs w:val="21"/>
    </w:rPr>
  </w:style>
  <w:style w:type="character" w:styleId="799" w:customStyle="1">
    <w:name w:val="Heading 9 Char"/>
    <w:link w:val="798"/>
    <w:uiPriority w:val="9"/>
    <w:qFormat/>
    <w:rPr>
      <w:rFonts w:ascii="Arial" w:hAnsi="Arial" w:eastAsia="Arial" w:cs="Arial"/>
      <w:i/>
      <w:iCs/>
      <w:sz w:val="21"/>
      <w:szCs w:val="21"/>
    </w:rPr>
  </w:style>
  <w:style w:type="paragraph" w:styleId="800">
    <w:name w:val="No Spacing"/>
    <w:link w:val="1045"/>
    <w:uiPriority w:val="1"/>
    <w:qFormat/>
    <w:rPr>
      <w:rFonts w:ascii="Calibri" w:hAnsi="Calibri" w:eastAsia="宋体" w:cs="Times New Roman"/>
      <w:lang w:val="en-US" w:eastAsia="zh-CN" w:bidi="ar-SA"/>
    </w:rPr>
  </w:style>
  <w:style w:type="character" w:styleId="801" w:customStyle="1">
    <w:name w:val="Title Char"/>
    <w:uiPriority w:val="10"/>
    <w:qFormat/>
    <w:rPr>
      <w:sz w:val="48"/>
      <w:szCs w:val="48"/>
    </w:rPr>
  </w:style>
  <w:style w:type="character" w:styleId="802" w:customStyle="1">
    <w:name w:val="副标题 Char"/>
    <w:link w:val="753"/>
    <w:uiPriority w:val="0"/>
    <w:qFormat/>
    <w:rPr>
      <w:sz w:val="24"/>
      <w:szCs w:val="24"/>
    </w:rPr>
  </w:style>
  <w:style w:type="paragraph" w:styleId="803">
    <w:name w:val="Quote"/>
    <w:basedOn w:val="716"/>
    <w:next w:val="716"/>
    <w:link w:val="804"/>
    <w:uiPriority w:val="0"/>
    <w:qFormat/>
    <w:pPr>
      <w:ind w:left="720" w:right="720"/>
    </w:pPr>
    <w:rPr>
      <w:rFonts w:eastAsia="宋体"/>
      <w:i/>
      <w:sz w:val="20"/>
      <w:szCs w:val="20"/>
    </w:rPr>
  </w:style>
  <w:style w:type="character" w:styleId="804" w:customStyle="1">
    <w:name w:val="引用 Char"/>
    <w:link w:val="803"/>
    <w:uiPriority w:val="0"/>
    <w:qFormat/>
    <w:rPr>
      <w:i/>
    </w:rPr>
  </w:style>
  <w:style w:type="paragraph" w:styleId="805">
    <w:name w:val="Intense Quote"/>
    <w:basedOn w:val="716"/>
    <w:next w:val="716"/>
    <w:link w:val="806"/>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szCs w:val="20"/>
    </w:rPr>
  </w:style>
  <w:style w:type="character" w:styleId="806" w:customStyle="1">
    <w:name w:val="明显引用 Char"/>
    <w:link w:val="805"/>
    <w:uiPriority w:val="0"/>
    <w:qFormat/>
    <w:rPr>
      <w:i/>
    </w:rPr>
  </w:style>
  <w:style w:type="paragraph" w:styleId="807" w:customStyle="1">
    <w:name w:val="Header"/>
    <w:basedOn w:val="716"/>
    <w:link w:val="808"/>
    <w:uiPriority w:val="99"/>
    <w:unhideWhenUsed/>
    <w:qFormat/>
    <w:pPr>
      <w:tabs>
        <w:tab w:val="center" w:pos="7143" w:leader="none"/>
        <w:tab w:val="right" w:pos="14287" w:leader="none"/>
      </w:tabs>
    </w:pPr>
  </w:style>
  <w:style w:type="character" w:styleId="808" w:customStyle="1">
    <w:name w:val="Header Char"/>
    <w:link w:val="807"/>
    <w:uiPriority w:val="99"/>
    <w:qFormat/>
  </w:style>
  <w:style w:type="paragraph" w:styleId="809" w:customStyle="1">
    <w:name w:val="Footer"/>
    <w:basedOn w:val="716"/>
    <w:link w:val="812"/>
    <w:uiPriority w:val="99"/>
    <w:unhideWhenUsed/>
    <w:qFormat/>
    <w:pPr>
      <w:tabs>
        <w:tab w:val="center" w:pos="7143" w:leader="none"/>
        <w:tab w:val="right" w:pos="14287" w:leader="none"/>
      </w:tabs>
    </w:pPr>
  </w:style>
  <w:style w:type="character" w:styleId="810" w:customStyle="1">
    <w:name w:val="Footer Char"/>
    <w:uiPriority w:val="99"/>
    <w:qFormat/>
  </w:style>
  <w:style w:type="paragraph" w:styleId="811" w:customStyle="1">
    <w:name w:val="Caption"/>
    <w:basedOn w:val="716"/>
    <w:next w:val="716"/>
    <w:uiPriority w:val="35"/>
    <w:semiHidden/>
    <w:unhideWhenUsed/>
    <w:qFormat/>
    <w:pPr>
      <w:spacing w:line="276" w:lineRule="auto"/>
    </w:pPr>
    <w:rPr>
      <w:b/>
      <w:bCs/>
      <w:color w:val="4f81bd"/>
      <w:sz w:val="18"/>
      <w:szCs w:val="18"/>
    </w:rPr>
  </w:style>
  <w:style w:type="character" w:styleId="812" w:customStyle="1">
    <w:name w:val="Caption Char"/>
    <w:link w:val="809"/>
    <w:uiPriority w:val="99"/>
    <w:qFormat/>
  </w:style>
  <w:style w:type="table" w:styleId="81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4"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5"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16" w:customStyle="1">
    <w:name w:val="Plain Table 3"/>
    <w:uiPriority w:val="99"/>
    <w:qFormat/>
    <w:tblPr>
      <w:tblCellMar>
        <w:left w:w="0" w:type="dxa"/>
        <w:top w:w="0" w:type="dxa"/>
        <w:right w:w="0" w:type="dxa"/>
        <w:bottom w:w="0" w:type="dxa"/>
      </w:tblCellMar>
    </w:tblPr>
  </w:style>
  <w:style w:type="table" w:styleId="817" w:customStyle="1">
    <w:name w:val="Plain Table 4"/>
    <w:uiPriority w:val="99"/>
    <w:qFormat/>
    <w:tblPr>
      <w:tblCellMar>
        <w:left w:w="0" w:type="dxa"/>
        <w:top w:w="0" w:type="dxa"/>
        <w:right w:w="0" w:type="dxa"/>
        <w:bottom w:w="0" w:type="dxa"/>
      </w:tblCellMar>
    </w:tblPr>
  </w:style>
  <w:style w:type="table" w:styleId="818" w:customStyle="1">
    <w:name w:val="Plain Table 5"/>
    <w:uiPriority w:val="99"/>
    <w:qFormat/>
    <w:tblPr>
      <w:tblCellMar>
        <w:left w:w="0" w:type="dxa"/>
        <w:top w:w="0" w:type="dxa"/>
        <w:right w:w="0" w:type="dxa"/>
        <w:bottom w:w="0" w:type="dxa"/>
      </w:tblCellMar>
    </w:tblPr>
  </w:style>
  <w:style w:type="table" w:styleId="819"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2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26"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3"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0"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4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7"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1"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8" w:customStyle="1">
    <w:name w:val="List Table 1 Light"/>
    <w:uiPriority w:val="99"/>
    <w:qFormat/>
    <w:tblPr>
      <w:tblCellMar>
        <w:left w:w="0" w:type="dxa"/>
        <w:top w:w="0" w:type="dxa"/>
        <w:right w:w="0" w:type="dxa"/>
        <w:bottom w:w="0" w:type="dxa"/>
      </w:tblCellMar>
    </w:tblPr>
  </w:style>
  <w:style w:type="table" w:styleId="869" w:customStyle="1">
    <w:name w:val="List Table 1 Light - Accent 1"/>
    <w:uiPriority w:val="99"/>
    <w:qFormat/>
    <w:tblPr>
      <w:tblCellMar>
        <w:left w:w="0" w:type="dxa"/>
        <w:top w:w="0" w:type="dxa"/>
        <w:right w:w="0" w:type="dxa"/>
        <w:bottom w:w="0" w:type="dxa"/>
      </w:tblCellMar>
    </w:tblPr>
  </w:style>
  <w:style w:type="table" w:styleId="870" w:customStyle="1">
    <w:name w:val="List Table 1 Light - Accent 2"/>
    <w:uiPriority w:val="99"/>
    <w:qFormat/>
    <w:tblPr>
      <w:tblCellMar>
        <w:left w:w="0" w:type="dxa"/>
        <w:top w:w="0" w:type="dxa"/>
        <w:right w:w="0" w:type="dxa"/>
        <w:bottom w:w="0" w:type="dxa"/>
      </w:tblCellMar>
    </w:tblPr>
  </w:style>
  <w:style w:type="table" w:styleId="871" w:customStyle="1">
    <w:name w:val="List Table 1 Light - Accent 3"/>
    <w:uiPriority w:val="99"/>
    <w:qFormat/>
    <w:tblPr>
      <w:tblCellMar>
        <w:left w:w="0" w:type="dxa"/>
        <w:top w:w="0" w:type="dxa"/>
        <w:right w:w="0" w:type="dxa"/>
        <w:bottom w:w="0" w:type="dxa"/>
      </w:tblCellMar>
    </w:tblPr>
  </w:style>
  <w:style w:type="table" w:styleId="872" w:customStyle="1">
    <w:name w:val="List Table 1 Light - Accent 4"/>
    <w:uiPriority w:val="99"/>
    <w:qFormat/>
    <w:tblPr>
      <w:tblCellMar>
        <w:left w:w="0" w:type="dxa"/>
        <w:top w:w="0" w:type="dxa"/>
        <w:right w:w="0" w:type="dxa"/>
        <w:bottom w:w="0" w:type="dxa"/>
      </w:tblCellMar>
    </w:tblPr>
  </w:style>
  <w:style w:type="table" w:styleId="873" w:customStyle="1">
    <w:name w:val="List Table 1 Light - Accent 5"/>
    <w:uiPriority w:val="99"/>
    <w:qFormat/>
    <w:tblPr>
      <w:tblCellMar>
        <w:left w:w="0" w:type="dxa"/>
        <w:top w:w="0" w:type="dxa"/>
        <w:right w:w="0" w:type="dxa"/>
        <w:bottom w:w="0" w:type="dxa"/>
      </w:tblCellMar>
    </w:tblPr>
  </w:style>
  <w:style w:type="table" w:styleId="874" w:customStyle="1">
    <w:name w:val="List Table 1 Light - Accent 6"/>
    <w:uiPriority w:val="99"/>
    <w:qFormat/>
    <w:tblPr>
      <w:tblCellMar>
        <w:left w:w="0" w:type="dxa"/>
        <w:top w:w="0" w:type="dxa"/>
        <w:right w:w="0" w:type="dxa"/>
        <w:bottom w:w="0" w:type="dxa"/>
      </w:tblCellMar>
    </w:tblPr>
  </w:style>
  <w:style w:type="table" w:styleId="875"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7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2"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8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9"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9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6"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9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3"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0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0"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91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1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7" w:customStyle="1">
    <w:name w:val="Lined - Accent"/>
    <w:uiPriority w:val="99"/>
    <w:qFormat/>
    <w:rPr>
      <w:color w:val="404040"/>
    </w:rPr>
    <w:tblPr>
      <w:tblCellMar>
        <w:left w:w="0" w:type="dxa"/>
        <w:top w:w="0" w:type="dxa"/>
        <w:right w:w="0" w:type="dxa"/>
        <w:bottom w:w="0" w:type="dxa"/>
      </w:tblCellMar>
    </w:tblPr>
  </w:style>
  <w:style w:type="table" w:styleId="918" w:customStyle="1">
    <w:name w:val="Lined - Accent 1"/>
    <w:uiPriority w:val="99"/>
    <w:qFormat/>
    <w:rPr>
      <w:color w:val="404040"/>
    </w:rPr>
    <w:tblPr>
      <w:tblCellMar>
        <w:left w:w="0" w:type="dxa"/>
        <w:top w:w="0" w:type="dxa"/>
        <w:right w:w="0" w:type="dxa"/>
        <w:bottom w:w="0" w:type="dxa"/>
      </w:tblCellMar>
    </w:tblPr>
  </w:style>
  <w:style w:type="table" w:styleId="919" w:customStyle="1">
    <w:name w:val="Lined - Accent 2"/>
    <w:uiPriority w:val="99"/>
    <w:qFormat/>
    <w:rPr>
      <w:color w:val="404040"/>
    </w:rPr>
    <w:tblPr>
      <w:tblCellMar>
        <w:left w:w="0" w:type="dxa"/>
        <w:top w:w="0" w:type="dxa"/>
        <w:right w:w="0" w:type="dxa"/>
        <w:bottom w:w="0" w:type="dxa"/>
      </w:tblCellMar>
    </w:tblPr>
  </w:style>
  <w:style w:type="table" w:styleId="920" w:customStyle="1">
    <w:name w:val="Lined - Accent 3"/>
    <w:uiPriority w:val="99"/>
    <w:qFormat/>
    <w:rPr>
      <w:color w:val="404040"/>
    </w:rPr>
    <w:tblPr>
      <w:tblCellMar>
        <w:left w:w="0" w:type="dxa"/>
        <w:top w:w="0" w:type="dxa"/>
        <w:right w:w="0" w:type="dxa"/>
        <w:bottom w:w="0" w:type="dxa"/>
      </w:tblCellMar>
    </w:tblPr>
  </w:style>
  <w:style w:type="table" w:styleId="921" w:customStyle="1">
    <w:name w:val="Lined - Accent 4"/>
    <w:uiPriority w:val="99"/>
    <w:qFormat/>
    <w:rPr>
      <w:color w:val="404040"/>
    </w:rPr>
    <w:tblPr>
      <w:tblCellMar>
        <w:left w:w="0" w:type="dxa"/>
        <w:top w:w="0" w:type="dxa"/>
        <w:right w:w="0" w:type="dxa"/>
        <w:bottom w:w="0" w:type="dxa"/>
      </w:tblCellMar>
    </w:tblPr>
  </w:style>
  <w:style w:type="table" w:styleId="922" w:customStyle="1">
    <w:name w:val="Lined - Accent 5"/>
    <w:uiPriority w:val="99"/>
    <w:qFormat/>
    <w:rPr>
      <w:color w:val="404040"/>
    </w:rPr>
    <w:tblPr>
      <w:tblCellMar>
        <w:left w:w="0" w:type="dxa"/>
        <w:top w:w="0" w:type="dxa"/>
        <w:right w:w="0" w:type="dxa"/>
        <w:bottom w:w="0" w:type="dxa"/>
      </w:tblCellMar>
    </w:tblPr>
  </w:style>
  <w:style w:type="table" w:styleId="923" w:customStyle="1">
    <w:name w:val="Lined - Accent 6"/>
    <w:uiPriority w:val="99"/>
    <w:qFormat/>
    <w:rPr>
      <w:color w:val="404040"/>
    </w:rPr>
    <w:tblPr>
      <w:tblCellMar>
        <w:left w:w="0" w:type="dxa"/>
        <w:top w:w="0" w:type="dxa"/>
        <w:right w:w="0" w:type="dxa"/>
        <w:bottom w:w="0" w:type="dxa"/>
      </w:tblCellMar>
    </w:tblPr>
  </w:style>
  <w:style w:type="table" w:styleId="92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3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3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8" w:customStyle="1">
    <w:name w:val="脚注文本 Char"/>
    <w:link w:val="755"/>
    <w:uiPriority w:val="99"/>
    <w:qFormat/>
    <w:rPr>
      <w:sz w:val="18"/>
    </w:rPr>
  </w:style>
  <w:style w:type="character" w:styleId="939" w:customStyle="1">
    <w:name w:val="尾注文本 Char"/>
    <w:link w:val="745"/>
    <w:uiPriority w:val="99"/>
    <w:qFormat/>
    <w:rPr>
      <w:sz w:val="20"/>
    </w:rPr>
  </w:style>
  <w:style w:type="paragraph" w:styleId="940" w:customStyle="1">
    <w:name w:val="TOC 标题1"/>
    <w:uiPriority w:val="39"/>
    <w:unhideWhenUsed/>
    <w:qFormat/>
    <w:rPr>
      <w:rFonts w:ascii="Calibri" w:hAnsi="Calibri" w:eastAsia="宋体" w:cs="Times New Roman"/>
      <w:lang w:val="en-US" w:eastAsia="zh-CN" w:bidi="ar-SA"/>
    </w:rPr>
  </w:style>
  <w:style w:type="character" w:styleId="941" w:customStyle="1">
    <w:name w:val="标题 1 Char1"/>
    <w:basedOn w:val="726"/>
    <w:link w:val="717"/>
    <w:uiPriority w:val="0"/>
    <w:qFormat/>
    <w:rPr>
      <w:rFonts w:ascii="黑体" w:hAnsi="Times New Roman" w:eastAsia="仿宋" w:cs="Times New Roman"/>
      <w:b/>
      <w:sz w:val="24"/>
      <w:szCs w:val="28"/>
    </w:rPr>
  </w:style>
  <w:style w:type="character" w:styleId="942" w:customStyle="1">
    <w:name w:val="标题 2 Char"/>
    <w:link w:val="718"/>
    <w:uiPriority w:val="0"/>
    <w:qFormat/>
    <w:rPr>
      <w:rFonts w:ascii="黑体" w:hAnsi="黑体" w:eastAsia="黑体"/>
      <w:b/>
      <w:bCs/>
      <w:sz w:val="36"/>
      <w:szCs w:val="36"/>
      <w:lang w:eastAsia="en-US"/>
    </w:rPr>
  </w:style>
  <w:style w:type="character" w:styleId="943" w:customStyle="1">
    <w:name w:val="标题 3 Char"/>
    <w:link w:val="719"/>
    <w:uiPriority w:val="0"/>
    <w:qFormat/>
    <w:rPr>
      <w:rFonts w:ascii="黑体" w:hAnsi="黑体" w:eastAsia="黑体"/>
      <w:sz w:val="32"/>
      <w:szCs w:val="32"/>
      <w:lang w:eastAsia="en-US"/>
    </w:rPr>
  </w:style>
  <w:style w:type="character" w:styleId="944" w:customStyle="1">
    <w:name w:val="标题 4 Char"/>
    <w:link w:val="720"/>
    <w:uiPriority w:val="0"/>
    <w:qFormat/>
    <w:rPr>
      <w:rFonts w:ascii="宋体" w:hAnsi="宋体"/>
      <w:b/>
      <w:bCs/>
      <w:sz w:val="24"/>
      <w:szCs w:val="24"/>
      <w:lang w:eastAsia="en-US"/>
    </w:rPr>
  </w:style>
  <w:style w:type="character" w:styleId="945" w:customStyle="1">
    <w:name w:val="标题 6 Char"/>
    <w:link w:val="722"/>
    <w:uiPriority w:val="0"/>
    <w:qFormat/>
    <w:rPr>
      <w:rFonts w:ascii="Arial" w:hAnsi="Arial" w:eastAsia="黑体"/>
      <w:b/>
      <w:sz w:val="24"/>
    </w:rPr>
  </w:style>
  <w:style w:type="character" w:styleId="946" w:customStyle="1">
    <w:name w:val="标题 7 Char"/>
    <w:link w:val="723"/>
    <w:uiPriority w:val="0"/>
    <w:qFormat/>
    <w:rPr>
      <w:b/>
      <w:sz w:val="24"/>
    </w:rPr>
  </w:style>
  <w:style w:type="character" w:styleId="947" w:customStyle="1">
    <w:name w:val="标题 8 Char"/>
    <w:link w:val="724"/>
    <w:uiPriority w:val="0"/>
    <w:qFormat/>
    <w:rPr>
      <w:rFonts w:ascii="Arial" w:hAnsi="Arial" w:eastAsia="黑体"/>
      <w:sz w:val="24"/>
    </w:rPr>
  </w:style>
  <w:style w:type="character" w:styleId="948" w:customStyle="1">
    <w:name w:val="标题 9 Char"/>
    <w:link w:val="725"/>
    <w:uiPriority w:val="0"/>
    <w:qFormat/>
    <w:rPr>
      <w:rFonts w:ascii="Arial" w:hAnsi="Arial" w:eastAsia="黑体"/>
      <w:sz w:val="21"/>
    </w:rPr>
  </w:style>
  <w:style w:type="character" w:styleId="949" w:customStyle="1">
    <w:name w:val="文档结构图 Char"/>
    <w:link w:val="731"/>
    <w:uiPriority w:val="0"/>
    <w:qFormat/>
    <w:rPr>
      <w:rFonts w:ascii="宋体"/>
      <w:sz w:val="18"/>
      <w:szCs w:val="18"/>
      <w:lang w:eastAsia="en-US"/>
    </w:rPr>
  </w:style>
  <w:style w:type="character" w:styleId="950" w:customStyle="1">
    <w:name w:val="批注文字 Char"/>
    <w:link w:val="732"/>
    <w:uiPriority w:val="0"/>
    <w:qFormat/>
    <w:rPr>
      <w:rFonts w:eastAsia="Calibri"/>
      <w:szCs w:val="22"/>
      <w:lang w:eastAsia="en-US"/>
    </w:rPr>
  </w:style>
  <w:style w:type="character" w:styleId="951" w:customStyle="1">
    <w:name w:val="正文文本 3 Char"/>
    <w:link w:val="734"/>
    <w:uiPriority w:val="0"/>
    <w:qFormat/>
    <w:rPr>
      <w:rFonts w:ascii="宋体"/>
      <w:sz w:val="24"/>
    </w:rPr>
  </w:style>
  <w:style w:type="character" w:styleId="952" w:customStyle="1">
    <w:name w:val="正文文本 Char"/>
    <w:link w:val="735"/>
    <w:uiPriority w:val="0"/>
    <w:qFormat/>
    <w:rPr>
      <w:rFonts w:ascii="宋体" w:hAnsi="宋体"/>
      <w:sz w:val="24"/>
      <w:szCs w:val="24"/>
      <w:lang w:eastAsia="en-US"/>
    </w:rPr>
  </w:style>
  <w:style w:type="character" w:styleId="953" w:customStyle="1">
    <w:name w:val="正文文本缩进 Char"/>
    <w:link w:val="736"/>
    <w:uiPriority w:val="99"/>
    <w:qFormat/>
    <w:rPr>
      <w:sz w:val="21"/>
    </w:rPr>
  </w:style>
  <w:style w:type="character" w:styleId="954" w:customStyle="1">
    <w:name w:val="纯文本 Char"/>
    <w:link w:val="741"/>
    <w:uiPriority w:val="0"/>
    <w:qFormat/>
    <w:rPr>
      <w:rFonts w:ascii="Ari"/>
      <w:sz w:val="21"/>
      <w:szCs w:val="24"/>
    </w:rPr>
  </w:style>
  <w:style w:type="character" w:styleId="955" w:customStyle="1">
    <w:name w:val="日期 Char"/>
    <w:link w:val="743"/>
    <w:uiPriority w:val="0"/>
    <w:qFormat/>
    <w:rPr>
      <w:sz w:val="24"/>
    </w:rPr>
  </w:style>
  <w:style w:type="character" w:styleId="956" w:customStyle="1">
    <w:name w:val="批注框文本 Char"/>
    <w:link w:val="746"/>
    <w:uiPriority w:val="0"/>
    <w:qFormat/>
    <w:rPr>
      <w:rFonts w:eastAsia="Calibri"/>
      <w:sz w:val="18"/>
      <w:szCs w:val="18"/>
      <w:lang w:eastAsia="en-US"/>
    </w:rPr>
  </w:style>
  <w:style w:type="character" w:styleId="957" w:customStyle="1">
    <w:name w:val="页脚 Char"/>
    <w:link w:val="747"/>
    <w:uiPriority w:val="0"/>
    <w:qFormat/>
    <w:rPr>
      <w:rFonts w:eastAsia="Calibri"/>
      <w:sz w:val="18"/>
      <w:szCs w:val="22"/>
      <w:lang w:eastAsia="en-US"/>
    </w:rPr>
  </w:style>
  <w:style w:type="character" w:styleId="958" w:customStyle="1">
    <w:name w:val="页眉 Char"/>
    <w:link w:val="748"/>
    <w:uiPriority w:val="99"/>
    <w:qFormat/>
    <w:rPr>
      <w:rFonts w:eastAsia="Calibri"/>
      <w:sz w:val="18"/>
      <w:szCs w:val="22"/>
      <w:lang w:eastAsia="en-US"/>
    </w:rPr>
  </w:style>
  <w:style w:type="character" w:styleId="959" w:customStyle="1">
    <w:name w:val="正文文本缩进 3 Char"/>
    <w:link w:val="757"/>
    <w:uiPriority w:val="0"/>
    <w:qFormat/>
    <w:rPr>
      <w:sz w:val="16"/>
    </w:rPr>
  </w:style>
  <w:style w:type="character" w:styleId="960" w:customStyle="1">
    <w:name w:val="标题 Char"/>
    <w:link w:val="764"/>
    <w:uiPriority w:val="0"/>
    <w:qFormat/>
    <w:rPr>
      <w:rFonts w:ascii="Arial" w:hAnsi="Arial"/>
      <w:b/>
      <w:sz w:val="32"/>
    </w:rPr>
  </w:style>
  <w:style w:type="character" w:styleId="961" w:customStyle="1">
    <w:name w:val="批注主题 Char"/>
    <w:link w:val="765"/>
    <w:uiPriority w:val="0"/>
    <w:qFormat/>
    <w:rPr>
      <w:lang w:eastAsia="en-US"/>
    </w:rPr>
  </w:style>
  <w:style w:type="character" w:styleId="962" w:customStyle="1">
    <w:name w:val="正文首行缩进 Char"/>
    <w:link w:val="766"/>
    <w:uiPriority w:val="0"/>
    <w:qFormat/>
    <w:rPr>
      <w:rFonts w:ascii="宋体" w:hAnsi="宋体" w:cs="宋体"/>
      <w:sz w:val="24"/>
      <w:szCs w:val="24"/>
      <w:lang w:eastAsia="en-US"/>
    </w:rPr>
  </w:style>
  <w:style w:type="character" w:styleId="963" w:customStyle="1">
    <w:name w:val="标题 1 Char"/>
    <w:uiPriority w:val="0"/>
    <w:qFormat/>
    <w:rPr>
      <w:rFonts w:ascii="黑体" w:hAnsi="黑体" w:eastAsia="黑体"/>
      <w:sz w:val="72"/>
      <w:szCs w:val="72"/>
      <w:lang w:eastAsia="en-US"/>
    </w:rPr>
  </w:style>
  <w:style w:type="character" w:styleId="964" w:customStyle="1">
    <w:name w:val="Char Char25"/>
    <w:uiPriority w:val="0"/>
    <w:qFormat/>
    <w:rPr>
      <w:rFonts w:ascii="Arial" w:hAnsi="Arial" w:eastAsia="黑体"/>
      <w:b/>
      <w:sz w:val="28"/>
    </w:rPr>
  </w:style>
  <w:style w:type="character" w:styleId="965" w:customStyle="1">
    <w:name w:val="未处理的提及"/>
    <w:uiPriority w:val="99"/>
    <w:unhideWhenUsed/>
    <w:qFormat/>
    <w:rPr>
      <w:color w:val="605e5c"/>
      <w:shd w:val="clear" w:color="auto" w:fill="e1dfdd"/>
    </w:rPr>
  </w:style>
  <w:style w:type="character" w:styleId="966" w:customStyle="1">
    <w:name w:val="bookmark"/>
    <w:uiPriority w:val="0"/>
    <w:qFormat/>
  </w:style>
  <w:style w:type="character" w:styleId="967" w:customStyle="1">
    <w:name w:val="NormalCharacter1"/>
    <w:uiPriority w:val="0"/>
    <w:qFormat/>
  </w:style>
  <w:style w:type="character" w:styleId="968" w:customStyle="1">
    <w:name w:val="font161"/>
    <w:uiPriority w:val="0"/>
    <w:qFormat/>
    <w:rPr>
      <w:b/>
      <w:sz w:val="32"/>
    </w:rPr>
  </w:style>
  <w:style w:type="character" w:styleId="969" w:customStyle="1">
    <w:name w:val="已访问的超链接11"/>
    <w:uiPriority w:val="99"/>
    <w:qFormat/>
    <w:rPr>
      <w:rFonts w:eastAsia="Calibri"/>
      <w:sz w:val="22"/>
      <w:szCs w:val="22"/>
      <w:lang w:val="en-US" w:eastAsia="en-US" w:bidi="ar-SA"/>
    </w:rPr>
  </w:style>
  <w:style w:type="paragraph" w:styleId="970" w:customStyle="1">
    <w:name w:val="Table Paragraph"/>
    <w:basedOn w:val="716"/>
    <w:uiPriority w:val="99"/>
    <w:qFormat/>
  </w:style>
  <w:style w:type="paragraph" w:styleId="971" w:customStyle="1">
    <w:name w:val="首行缩进"/>
    <w:basedOn w:val="716"/>
    <w:uiPriority w:val="99"/>
    <w:qFormat/>
    <w:pPr>
      <w:ind w:firstLine="480"/>
      <w:spacing w:line="360" w:lineRule="auto"/>
    </w:pPr>
    <w:rPr>
      <w:rFonts w:ascii="宋体" w:hAnsi="宋体"/>
      <w:sz w:val="24"/>
      <w:szCs w:val="24"/>
    </w:rPr>
  </w:style>
  <w:style w:type="paragraph" w:styleId="972" w:customStyle="1">
    <w:name w:val="样式 标题 2 + Times New Roman 四号 非加粗 段前: 5 磅 段后: 0 磅 行距: 固定值 20..."/>
    <w:basedOn w:val="718"/>
    <w:uiPriority w:val="0"/>
    <w:qFormat/>
    <w:pPr>
      <w:ind w:left="0"/>
      <w:jc w:val="both"/>
      <w:keepLines/>
      <w:keepNext/>
      <w:spacing w:before="100" w:line="400" w:lineRule="exact"/>
    </w:pPr>
    <w:rPr>
      <w:rFonts w:ascii="Times New Roman" w:hAnsi="Times New Roman"/>
      <w:b w:val="0"/>
      <w:bCs w:val="0"/>
      <w:sz w:val="28"/>
      <w:szCs w:val="20"/>
      <w:lang w:eastAsia="zh-CN"/>
    </w:rPr>
  </w:style>
  <w:style w:type="paragraph" w:styleId="973" w:customStyle="1">
    <w:name w:val="Heading21"/>
    <w:basedOn w:val="716"/>
    <w:next w:val="716"/>
    <w:uiPriority w:val="0"/>
    <w:qFormat/>
    <w:pPr>
      <w:keepLines/>
      <w:keepNext/>
    </w:pPr>
    <w:rPr>
      <w:rFonts w:ascii="Arial" w:hAnsi="Arial"/>
      <w:sz w:val="28"/>
      <w:szCs w:val="24"/>
    </w:rPr>
  </w:style>
  <w:style w:type="paragraph" w:styleId="974" w:customStyle="1">
    <w:name w:val="6'"/>
    <w:basedOn w:val="716"/>
    <w:uiPriority w:val="0"/>
    <w:qFormat/>
    <w:pPr>
      <w:jc w:val="center"/>
      <w:spacing w:line="320" w:lineRule="exact"/>
    </w:pPr>
    <w:rPr>
      <w:rFonts w:eastAsia="宋体"/>
      <w:spacing w:val="20"/>
      <w:sz w:val="21"/>
      <w:szCs w:val="20"/>
      <w:lang w:eastAsia="zh-CN"/>
    </w:rPr>
  </w:style>
  <w:style w:type="paragraph" w:styleId="975" w:customStyle="1">
    <w:name w:val="正文_1_0_0_0_0"/>
    <w:uiPriority w:val="0"/>
    <w:qFormat/>
    <w:pPr>
      <w:jc w:val="both"/>
      <w:widowControl w:val="off"/>
    </w:pPr>
    <w:rPr>
      <w:rFonts w:ascii="Times New Roman" w:hAnsi="Times New Roman" w:eastAsia="宋体" w:cs="Times New Roman"/>
      <w:szCs w:val="24"/>
      <w:lang w:val="en-US" w:eastAsia="zh-CN" w:bidi="ar-SA"/>
    </w:rPr>
  </w:style>
  <w:style w:type="paragraph" w:styleId="976" w:customStyle="1">
    <w:name w:val="样式 标题 3 + (中文) 黑体 小四 非加粗 段前: 7.8 磅 段后: 0 磅 行距: 固定值 20 磅"/>
    <w:basedOn w:val="719"/>
    <w:uiPriority w:val="0"/>
    <w:qFormat/>
    <w:pPr>
      <w:jc w:val="both"/>
      <w:keepLines/>
      <w:keepNext/>
      <w:spacing w:line="400" w:lineRule="exact"/>
    </w:pPr>
    <w:rPr>
      <w:rFonts w:ascii="Times New Roman" w:hAnsi="Times New Roman"/>
      <w:sz w:val="24"/>
      <w:szCs w:val="20"/>
      <w:lang w:eastAsia="zh-CN"/>
    </w:rPr>
  </w:style>
  <w:style w:type="paragraph" w:styleId="977" w:customStyle="1">
    <w:name w:val="Heading 3_0_0_0"/>
    <w:basedOn w:val="978"/>
    <w:next w:val="978"/>
    <w:uiPriority w:val="0"/>
    <w:qFormat/>
    <w:pPr>
      <w:keepLines/>
      <w:keepNext/>
      <w:spacing w:line="400" w:lineRule="exact"/>
      <w:outlineLvl w:val="2"/>
    </w:pPr>
    <w:rPr>
      <w:rFonts w:ascii="黑体" w:hAnsi="黑体" w:eastAsia="黑体"/>
      <w:bCs/>
      <w:color w:val="ff0000"/>
      <w:szCs w:val="21"/>
    </w:rPr>
  </w:style>
  <w:style w:type="paragraph" w:styleId="978" w:customStyle="1">
    <w:name w:val="Normal_0_0"/>
    <w:uiPriority w:val="0"/>
    <w:qFormat/>
    <w:pPr>
      <w:jc w:val="both"/>
      <w:widowControl w:val="off"/>
    </w:pPr>
    <w:rPr>
      <w:rFonts w:ascii="Times New Roman" w:hAnsi="Times New Roman" w:eastAsia="宋体" w:cs="Times New Roman"/>
      <w:szCs w:val="24"/>
      <w:lang w:val="en-US" w:eastAsia="zh-CN" w:bidi="ar-SA"/>
    </w:rPr>
  </w:style>
  <w:style w:type="paragraph" w:styleId="979" w:customStyle="1">
    <w:name w:val="正文_1_0"/>
    <w:uiPriority w:val="0"/>
    <w:qFormat/>
    <w:pPr>
      <w:jc w:val="both"/>
      <w:widowControl w:val="off"/>
    </w:pPr>
    <w:rPr>
      <w:rFonts w:ascii="Times New Roman" w:hAnsi="Times New Roman" w:eastAsia="宋体" w:cs="Times New Roman"/>
      <w:szCs w:val="24"/>
      <w:lang w:val="en-US" w:eastAsia="zh-CN" w:bidi="ar-SA"/>
    </w:rPr>
  </w:style>
  <w:style w:type="paragraph" w:styleId="980" w:customStyle="1">
    <w:name w:val="表格文字"/>
    <w:basedOn w:val="716"/>
    <w:uiPriority w:val="0"/>
    <w:qFormat/>
    <w:pPr>
      <w:spacing w:line="420" w:lineRule="atLeast"/>
    </w:pPr>
    <w:rPr>
      <w:rFonts w:eastAsia="宋体"/>
      <w:sz w:val="21"/>
      <w:szCs w:val="20"/>
      <w:lang w:eastAsia="zh-CN"/>
    </w:rPr>
  </w:style>
  <w:style w:type="paragraph" w:styleId="981" w:customStyle="1">
    <w:name w:val="1"/>
    <w:basedOn w:val="716"/>
    <w:next w:val="716"/>
    <w:uiPriority w:val="0"/>
    <w:qFormat/>
    <w:pPr>
      <w:jc w:val="both"/>
    </w:pPr>
    <w:rPr>
      <w:rFonts w:eastAsia="宋体"/>
      <w:sz w:val="21"/>
      <w:szCs w:val="20"/>
      <w:lang w:eastAsia="zh-CN"/>
    </w:rPr>
  </w:style>
  <w:style w:type="paragraph" w:styleId="982" w:customStyle="1">
    <w:name w:val="WPSOffice手动目录 1"/>
    <w:uiPriority w:val="0"/>
    <w:qFormat/>
    <w:rPr>
      <w:rFonts w:ascii="Calibri" w:hAnsi="Calibri" w:eastAsia="宋体" w:cs="Times New Roman"/>
      <w:lang w:val="en-US" w:eastAsia="zh-CN" w:bidi="ar-SA"/>
    </w:rPr>
  </w:style>
  <w:style w:type="paragraph" w:styleId="983" w:customStyle="1">
    <w:name w:val="段"/>
    <w:next w:val="716"/>
    <w:uiPriority w:val="0"/>
    <w:qFormat/>
    <w:pPr>
      <w:ind w:firstLine="200"/>
      <w:jc w:val="both"/>
    </w:pPr>
    <w:rPr>
      <w:rFonts w:ascii="宋体" w:hAnsi="Calibri" w:eastAsia="宋体" w:cs="Times New Roman"/>
      <w:sz w:val="21"/>
      <w:lang w:val="en-US" w:eastAsia="zh-CN" w:bidi="ar-SA"/>
    </w:rPr>
  </w:style>
  <w:style w:type="paragraph" w:styleId="984"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985" w:customStyle="1">
    <w:name w:val="正文_1_0_0"/>
    <w:uiPriority w:val="0"/>
    <w:qFormat/>
    <w:pPr>
      <w:jc w:val="both"/>
      <w:widowControl w:val="off"/>
    </w:pPr>
    <w:rPr>
      <w:rFonts w:ascii="Times New Roman" w:hAnsi="Times New Roman" w:eastAsia="宋体" w:cs="Times New Roman"/>
      <w:lang w:val="en-US" w:eastAsia="zh-CN" w:bidi="ar-SA"/>
    </w:rPr>
  </w:style>
  <w:style w:type="paragraph" w:styleId="986" w:customStyle="1">
    <w:name w:val="正文_2"/>
    <w:uiPriority w:val="0"/>
    <w:qFormat/>
    <w:pPr>
      <w:spacing w:after="200" w:line="276" w:lineRule="auto"/>
      <w:widowControl w:val="off"/>
    </w:pPr>
    <w:rPr>
      <w:rFonts w:ascii="Calibri" w:hAnsi="Calibri" w:eastAsia="宋体" w:cs="Times New Roman"/>
      <w:lang w:val="en-US" w:eastAsia="zh-CN" w:bidi="ar-SA"/>
    </w:rPr>
  </w:style>
  <w:style w:type="paragraph" w:styleId="987" w:customStyle="1">
    <w:name w:val="表格"/>
    <w:basedOn w:val="716"/>
    <w:uiPriority w:val="0"/>
    <w:qFormat/>
    <w:pPr>
      <w:jc w:val="center"/>
    </w:pPr>
    <w:rPr>
      <w:rFonts w:ascii="华文细黑" w:hAnsi="华文细黑" w:eastAsia="宋体"/>
      <w:sz w:val="21"/>
      <w:szCs w:val="20"/>
      <w:lang w:eastAsia="zh-CN"/>
    </w:rPr>
  </w:style>
  <w:style w:type="paragraph" w:styleId="988" w:customStyle="1">
    <w:name w:val="正文_1_1"/>
    <w:uiPriority w:val="99"/>
    <w:qFormat/>
    <w:pPr>
      <w:jc w:val="both"/>
      <w:widowControl w:val="off"/>
    </w:pPr>
    <w:rPr>
      <w:rFonts w:ascii="Times New Roman" w:hAnsi="Times New Roman" w:eastAsia="宋体" w:cs="Times New Roman"/>
      <w:szCs w:val="24"/>
      <w:lang w:val="en-US" w:eastAsia="zh-CN" w:bidi="ar-SA"/>
    </w:rPr>
  </w:style>
  <w:style w:type="paragraph" w:styleId="989" w:customStyle="1">
    <w:name w:val="正文_1_0_0_0_0_0"/>
    <w:uiPriority w:val="0"/>
    <w:qFormat/>
    <w:pPr>
      <w:jc w:val="both"/>
      <w:widowControl w:val="off"/>
    </w:pPr>
    <w:rPr>
      <w:rFonts w:ascii="Times New Roman" w:hAnsi="Times New Roman" w:eastAsia="宋体" w:cs="Times New Roman"/>
      <w:szCs w:val="24"/>
      <w:lang w:val="en-US" w:eastAsia="zh-CN" w:bidi="ar-SA"/>
    </w:rPr>
  </w:style>
  <w:style w:type="paragraph" w:styleId="990" w:customStyle="1">
    <w:name w:val="正文_0_0_0"/>
    <w:uiPriority w:val="99"/>
    <w:qFormat/>
    <w:pPr>
      <w:jc w:val="both"/>
      <w:widowControl w:val="off"/>
    </w:pPr>
    <w:rPr>
      <w:rFonts w:ascii="Times New Roman" w:hAnsi="Times New Roman" w:eastAsia="宋体" w:cs="Times New Roman"/>
      <w:szCs w:val="24"/>
      <w:lang w:val="en-US" w:eastAsia="zh-CN" w:bidi="ar-SA"/>
    </w:rPr>
  </w:style>
  <w:style w:type="paragraph" w:styleId="991" w:customStyle="1">
    <w:name w:val="列出段落1"/>
    <w:basedOn w:val="716"/>
    <w:uiPriority w:val="0"/>
    <w:qFormat/>
    <w:pPr>
      <w:contextualSpacing/>
      <w:ind w:left="720"/>
      <w:widowControl/>
    </w:pPr>
    <w:rPr>
      <w:rFonts w:ascii="Arial" w:hAnsi="Arial" w:eastAsia="黑体"/>
      <w:sz w:val="24"/>
      <w:szCs w:val="24"/>
    </w:rPr>
  </w:style>
  <w:style w:type="paragraph" w:styleId="992" w:customStyle="1">
    <w:name w:val="正文_1_0_0_0"/>
    <w:uiPriority w:val="0"/>
    <w:qFormat/>
    <w:pPr>
      <w:jc w:val="both"/>
      <w:widowControl w:val="off"/>
    </w:pPr>
    <w:rPr>
      <w:rFonts w:ascii="Times New Roman" w:hAnsi="Times New Roman" w:eastAsia="宋体" w:cs="Times New Roman"/>
      <w:szCs w:val="24"/>
      <w:lang w:val="en-US" w:eastAsia="zh-CN" w:bidi="ar-SA"/>
    </w:rPr>
  </w:style>
  <w:style w:type="paragraph" w:styleId="993" w:customStyle="1">
    <w:name w:val="Normal_0_1"/>
    <w:uiPriority w:val="0"/>
    <w:qFormat/>
    <w:pPr>
      <w:jc w:val="both"/>
      <w:widowControl w:val="off"/>
    </w:pPr>
    <w:rPr>
      <w:rFonts w:ascii="Times New Roman" w:hAnsi="Times New Roman" w:eastAsia="宋体" w:cs="Times New Roman"/>
      <w:lang w:val="en-US" w:eastAsia="zh-CN" w:bidi="ar-SA"/>
    </w:rPr>
  </w:style>
  <w:style w:type="paragraph" w:styleId="994" w:customStyle="1">
    <w:name w:val="正文文本缩进1"/>
    <w:basedOn w:val="979"/>
    <w:uiPriority w:val="0"/>
    <w:qFormat/>
    <w:pPr>
      <w:ind w:left="420"/>
      <w:spacing w:after="120"/>
    </w:pPr>
    <w:rPr>
      <w:rFonts w:ascii="Calibri" w:hAnsi="Calibri" w:eastAsia="微软雅黑"/>
    </w:rPr>
  </w:style>
  <w:style w:type="paragraph" w:styleId="995" w:customStyle="1">
    <w:name w:val="样式 标题 1 + 黑体 三号 非加粗 居中 段前: 6 磅 段后: 6 磅 行距: 固定值 20 磅"/>
    <w:basedOn w:val="717"/>
    <w:uiPriority w:val="0"/>
    <w:qFormat/>
    <w:pPr>
      <w:jc w:val="center"/>
      <w:keepLines/>
      <w:keepNext/>
      <w:spacing w:before="120" w:after="120" w:line="400" w:lineRule="exact"/>
    </w:pPr>
    <w:rPr>
      <w:sz w:val="32"/>
      <w:szCs w:val="20"/>
      <w:lang w:eastAsia="zh-CN"/>
    </w:rPr>
  </w:style>
  <w:style w:type="paragraph" w:styleId="996" w:customStyle="1">
    <w:name w:val="Blockquote"/>
    <w:basedOn w:val="716"/>
    <w:uiPriority w:val="99"/>
    <w:qFormat/>
    <w:pPr>
      <w:ind w:left="360" w:right="360"/>
      <w:spacing w:before="100" w:after="100"/>
    </w:pPr>
    <w:rPr>
      <w:rFonts w:eastAsia="宋体"/>
      <w:sz w:val="24"/>
      <w:szCs w:val="20"/>
      <w:lang w:eastAsia="zh-CN"/>
    </w:rPr>
  </w:style>
  <w:style w:type="paragraph" w:styleId="997" w:customStyle="1">
    <w:name w:val="_Style 19"/>
    <w:uiPriority w:val="0"/>
    <w:qFormat/>
    <w:pPr>
      <w:jc w:val="both"/>
      <w:widowControl w:val="off"/>
    </w:pPr>
    <w:rPr>
      <w:rFonts w:ascii="Calibri" w:hAnsi="Calibri" w:eastAsia="宋体" w:cs="Times New Roman"/>
      <w:sz w:val="21"/>
      <w:szCs w:val="22"/>
      <w:lang w:val="en-US" w:eastAsia="zh-CN" w:bidi="ar-SA"/>
    </w:rPr>
  </w:style>
  <w:style w:type="table" w:styleId="998" w:customStyle="1">
    <w:name w:val="Table Normal"/>
    <w:uiPriority w:val="2"/>
    <w:unhideWhenUsed/>
    <w:qFormat/>
    <w:tblPr>
      <w:tblCellMar>
        <w:left w:w="0" w:type="dxa"/>
        <w:top w:w="0" w:type="dxa"/>
        <w:right w:w="0" w:type="dxa"/>
        <w:bottom w:w="0" w:type="dxa"/>
      </w:tblCellMar>
    </w:tblPr>
  </w:style>
  <w:style w:type="table" w:styleId="999" w:customStyle="1">
    <w:name w:val="网格型1"/>
    <w:basedOn w:val="727"/>
    <w:uiPriority w:val="59"/>
    <w:qFormat/>
    <w:tblPr>
      <w:tblCellMar>
        <w:left w:w="108" w:type="dxa"/>
        <w:top w:w="0" w:type="dxa"/>
        <w:right w:w="108" w:type="dxa"/>
        <w:bottom w:w="0" w:type="dxa"/>
      </w:tblCellMar>
    </w:tblPr>
  </w:style>
  <w:style w:type="character" w:styleId="1000" w:customStyle="1">
    <w:name w:val="正文文本缩进 2 Char"/>
    <w:basedOn w:val="726"/>
    <w:link w:val="744"/>
    <w:uiPriority w:val="0"/>
    <w:qFormat/>
    <w:rPr>
      <w:rFonts w:eastAsia="Calibri"/>
      <w:sz w:val="22"/>
      <w:szCs w:val="22"/>
      <w:lang w:eastAsia="en-US"/>
    </w:rPr>
  </w:style>
  <w:style w:type="character" w:styleId="1001" w:customStyle="1">
    <w:name w:val="标题 5 Char"/>
    <w:basedOn w:val="726"/>
    <w:link w:val="721"/>
    <w:uiPriority w:val="0"/>
    <w:qFormat/>
    <w:rPr>
      <w:rFonts w:ascii="Times New Roman" w:hAnsi="Times New Roman"/>
      <w:b/>
      <w:bCs/>
      <w:sz w:val="28"/>
      <w:szCs w:val="28"/>
    </w:rPr>
  </w:style>
  <w:style w:type="character" w:styleId="1002" w:customStyle="1">
    <w:name w:val="纯文本 Char1"/>
    <w:uiPriority w:val="0"/>
    <w:qFormat/>
    <w:rPr>
      <w:rFonts w:ascii="宋体" w:hAnsi="Courier New" w:cs="金山简魏碑"/>
      <w:sz w:val="21"/>
      <w:szCs w:val="21"/>
    </w:rPr>
  </w:style>
  <w:style w:type="character" w:styleId="1003" w:customStyle="1">
    <w:name w:val="HTML 预设格式 Char"/>
    <w:basedOn w:val="726"/>
    <w:link w:val="762"/>
    <w:uiPriority w:val="99"/>
    <w:qFormat/>
    <w:rPr>
      <w:rFonts w:ascii="Arial" w:hAnsi="Arial"/>
      <w:sz w:val="11"/>
      <w:szCs w:val="11"/>
    </w:rPr>
  </w:style>
  <w:style w:type="character" w:styleId="1004" w:customStyle="1">
    <w:name w:val="明显引用 Char1"/>
    <w:uiPriority w:val="99"/>
    <w:qFormat/>
    <w:rPr>
      <w:b/>
      <w:bCs/>
      <w:i/>
      <w:iCs/>
      <w:color w:val="4f81bd"/>
      <w:sz w:val="21"/>
      <w:szCs w:val="24"/>
    </w:rPr>
  </w:style>
  <w:style w:type="character" w:styleId="1005" w:customStyle="1">
    <w:name w:val="rvts13"/>
    <w:uiPriority w:val="0"/>
    <w:qFormat/>
    <w:rPr>
      <w:rFonts w:hint="default" w:ascii="KNLe" w:hAnsi="KNLe"/>
      <w:color w:val="000000"/>
    </w:rPr>
  </w:style>
  <w:style w:type="character" w:styleId="1006" w:customStyle="1">
    <w:name w:val="文档结构图 Char1"/>
    <w:uiPriority w:val="0"/>
    <w:qFormat/>
    <w:rPr>
      <w:rFonts w:ascii="宋体"/>
      <w:sz w:val="18"/>
      <w:szCs w:val="18"/>
    </w:rPr>
  </w:style>
  <w:style w:type="character" w:styleId="1007" w:customStyle="1">
    <w:name w:val="标题 Char1"/>
    <w:uiPriority w:val="10"/>
    <w:qFormat/>
    <w:rPr>
      <w:rFonts w:ascii="Cambria" w:hAnsi="Cambria" w:eastAsia="宋体" w:cs="Times New Roman"/>
      <w:b/>
      <w:bCs/>
      <w:sz w:val="32"/>
      <w:szCs w:val="32"/>
    </w:rPr>
  </w:style>
  <w:style w:type="character" w:styleId="1008" w:customStyle="1">
    <w:name w:val="标题 3 Char1"/>
    <w:uiPriority w:val="0"/>
    <w:qFormat/>
    <w:rPr>
      <w:b/>
      <w:bCs/>
      <w:sz w:val="32"/>
      <w:szCs w:val="32"/>
    </w:rPr>
  </w:style>
  <w:style w:type="character" w:styleId="1009" w:customStyle="1">
    <w:name w:val="font21"/>
    <w:uiPriority w:val="0"/>
    <w:qFormat/>
    <w:rPr>
      <w:rFonts w:hint="eastAsia" w:ascii="微软雅黑" w:hAnsi="微软雅黑" w:eastAsia="微软雅黑" w:cs="微软雅黑"/>
      <w:color w:val="000000"/>
      <w:sz w:val="24"/>
      <w:szCs w:val="24"/>
      <w:u w:val="none"/>
    </w:rPr>
  </w:style>
  <w:style w:type="character" w:styleId="1010" w:customStyle="1">
    <w:name w:val="标题 4 Char1"/>
    <w:uiPriority w:val="0"/>
    <w:qFormat/>
    <w:rPr>
      <w:rFonts w:ascii="Cambria" w:hAnsi="Cambria" w:eastAsia="宋体" w:cs="Times New Roman"/>
      <w:b/>
      <w:bCs/>
      <w:sz w:val="28"/>
      <w:szCs w:val="28"/>
    </w:rPr>
  </w:style>
  <w:style w:type="character" w:styleId="1011" w:customStyle="1">
    <w:name w:val="标题4 Char Char"/>
    <w:link w:val="1012"/>
    <w:uiPriority w:val="0"/>
    <w:qFormat/>
    <w:rPr>
      <w:rFonts w:ascii="Arial" w:hAnsi="Arial"/>
      <w:b/>
      <w:bCs/>
      <w:sz w:val="24"/>
      <w:szCs w:val="32"/>
    </w:rPr>
  </w:style>
  <w:style w:type="paragraph" w:styleId="1012" w:customStyle="1">
    <w:name w:val="标题4"/>
    <w:basedOn w:val="718"/>
    <w:next w:val="738"/>
    <w:link w:val="1011"/>
    <w:uiPriority w:val="0"/>
    <w:qFormat/>
    <w:pPr>
      <w:ind w:left="0"/>
      <w:jc w:val="both"/>
      <w:keepLines/>
      <w:keepNext/>
      <w:spacing w:before="260" w:after="260" w:line="413" w:lineRule="auto"/>
    </w:pPr>
    <w:rPr>
      <w:rFonts w:ascii="Arial" w:hAnsi="Arial" w:eastAsia="宋体"/>
      <w:sz w:val="24"/>
      <w:szCs w:val="32"/>
    </w:rPr>
  </w:style>
  <w:style w:type="character" w:styleId="1013" w:customStyle="1">
    <w:name w:val="批注框文本 Char1"/>
    <w:uiPriority w:val="0"/>
    <w:qFormat/>
    <w:rPr>
      <w:sz w:val="18"/>
      <w:szCs w:val="18"/>
    </w:rPr>
  </w:style>
  <w:style w:type="character" w:styleId="1014" w:customStyle="1">
    <w:name w:val="_Style 78"/>
    <w:uiPriority w:val="0"/>
    <w:qFormat/>
    <w:rPr>
      <w:b/>
      <w:bCs/>
      <w:smallCaps/>
      <w:spacing w:val="5"/>
    </w:rPr>
  </w:style>
  <w:style w:type="character" w:styleId="1015" w:customStyle="1">
    <w:name w:val="副标题 Char1"/>
    <w:uiPriority w:val="0"/>
    <w:qFormat/>
    <w:rPr>
      <w:rFonts w:ascii="Cambria" w:hAnsi="Cambria" w:cs="Times New Roman"/>
      <w:b/>
      <w:bCs/>
      <w:sz w:val="32"/>
      <w:szCs w:val="32"/>
    </w:rPr>
  </w:style>
  <w:style w:type="character" w:styleId="1016" w:customStyle="1">
    <w:name w:val="批注文字 Char Char"/>
    <w:uiPriority w:val="0"/>
    <w:qFormat/>
    <w:rPr>
      <w:rFonts w:ascii="宋体" w:hAnsi="Times New Roman" w:eastAsia="宋体" w:cs="Times New Roman"/>
      <w:sz w:val="28"/>
      <w:szCs w:val="20"/>
    </w:rPr>
  </w:style>
  <w:style w:type="character" w:styleId="1017" w:customStyle="1">
    <w:name w:val="批注主题 Char1"/>
    <w:uiPriority w:val="0"/>
    <w:qFormat/>
    <w:rPr>
      <w:b/>
      <w:bCs/>
      <w:sz w:val="21"/>
      <w:szCs w:val="22"/>
    </w:rPr>
  </w:style>
  <w:style w:type="character" w:styleId="1018" w:customStyle="1">
    <w:name w:val="_Style 82"/>
    <w:uiPriority w:val="0"/>
    <w:qFormat/>
    <w:rPr>
      <w:b/>
      <w:bCs/>
      <w:smallCaps/>
      <w:color w:val="c0504d"/>
      <w:spacing w:val="5"/>
      <w:u w:val="single"/>
    </w:rPr>
  </w:style>
  <w:style w:type="character" w:styleId="1019" w:customStyle="1">
    <w:name w:val="rvts10"/>
    <w:uiPriority w:val="0"/>
    <w:qFormat/>
    <w:rPr>
      <w:rFonts w:hint="default" w:ascii="KNLe" w:hAnsi="KNLe"/>
      <w:b/>
      <w:bCs/>
    </w:rPr>
  </w:style>
  <w:style w:type="character" w:styleId="1020" w:customStyle="1">
    <w:name w:val="font11"/>
    <w:uiPriority w:val="0"/>
    <w:qFormat/>
    <w:rPr>
      <w:rFonts w:hint="eastAsia" w:ascii="微软雅黑" w:hAnsi="微软雅黑" w:eastAsia="微软雅黑" w:cs="微软雅黑"/>
      <w:color w:val="000000"/>
      <w:sz w:val="24"/>
      <w:szCs w:val="24"/>
      <w:u w:val="none"/>
      <w:vertAlign w:val="superscript"/>
    </w:rPr>
  </w:style>
  <w:style w:type="character" w:styleId="1021" w:customStyle="1">
    <w:name w:val="引用 Char1"/>
    <w:uiPriority w:val="99"/>
    <w:qFormat/>
    <w:rPr>
      <w:i/>
      <w:iCs/>
      <w:color w:val="000000"/>
      <w:sz w:val="21"/>
      <w:szCs w:val="24"/>
    </w:rPr>
  </w:style>
  <w:style w:type="character" w:styleId="1022" w:customStyle="1">
    <w:name w:val="日期 Char1"/>
    <w:uiPriority w:val="0"/>
    <w:qFormat/>
    <w:rPr>
      <w:sz w:val="21"/>
      <w:szCs w:val="22"/>
    </w:rPr>
  </w:style>
  <w:style w:type="character" w:styleId="1023" w:customStyle="1">
    <w:name w:val="NormalCharacter"/>
    <w:uiPriority w:val="0"/>
    <w:qFormat/>
  </w:style>
  <w:style w:type="character" w:styleId="1024" w:customStyle="1">
    <w:name w:val="批注主题 Char2"/>
    <w:uiPriority w:val="0"/>
    <w:qFormat/>
    <w:rPr>
      <w:b/>
      <w:bCs/>
      <w:sz w:val="21"/>
      <w:szCs w:val="24"/>
    </w:rPr>
  </w:style>
  <w:style w:type="character" w:styleId="1025" w:customStyle="1">
    <w:name w:val="批注文字 字符"/>
    <w:uiPriority w:val="0"/>
    <w:semiHidden/>
    <w:qFormat/>
    <w:rPr>
      <w:sz w:val="21"/>
    </w:rPr>
  </w:style>
  <w:style w:type="character" w:styleId="1026" w:customStyle="1">
    <w:name w:val="_Style 91"/>
    <w:uiPriority w:val="0"/>
    <w:qFormat/>
    <w:rPr>
      <w:smallCaps/>
      <w:color w:val="c0504d"/>
      <w:u w:val="single"/>
    </w:rPr>
  </w:style>
  <w:style w:type="character" w:styleId="1027" w:customStyle="1">
    <w:name w:val="_Style 92"/>
    <w:uiPriority w:val="0"/>
    <w:qFormat/>
    <w:rPr>
      <w:i/>
      <w:iCs/>
      <w:color w:val="808080"/>
    </w:rPr>
  </w:style>
  <w:style w:type="character" w:styleId="1028" w:customStyle="1">
    <w:name w:val="rvts11"/>
    <w:uiPriority w:val="0"/>
    <w:qFormat/>
    <w:rPr>
      <w:rFonts w:hint="default" w:ascii="KNLe" w:hAnsi="KNLe"/>
      <w:u w:val="single"/>
    </w:rPr>
  </w:style>
  <w:style w:type="character" w:styleId="1029" w:customStyle="1">
    <w:name w:val="标题3 Char"/>
    <w:link w:val="1030"/>
    <w:uiPriority w:val="0"/>
    <w:qFormat/>
    <w:rPr>
      <w:rFonts w:ascii="黑体" w:hAnsi="黑体" w:eastAsia="黑体"/>
      <w:b/>
      <w:sz w:val="32"/>
      <w:szCs w:val="32"/>
    </w:rPr>
  </w:style>
  <w:style w:type="paragraph" w:styleId="1030" w:customStyle="1">
    <w:name w:val="标题3"/>
    <w:basedOn w:val="716"/>
    <w:link w:val="1029"/>
    <w:uiPriority w:val="0"/>
    <w:qFormat/>
    <w:pPr>
      <w:jc w:val="center"/>
      <w:pageBreakBefore/>
      <w:outlineLvl w:val="2"/>
    </w:pPr>
    <w:rPr>
      <w:rFonts w:ascii="黑体" w:hAnsi="黑体" w:eastAsia="黑体"/>
      <w:b/>
      <w:sz w:val="32"/>
      <w:szCs w:val="32"/>
    </w:rPr>
  </w:style>
  <w:style w:type="character" w:styleId="1031" w:customStyle="1">
    <w:name w:val="_Style 96"/>
    <w:uiPriority w:val="0"/>
    <w:qFormat/>
    <w:rPr>
      <w:b/>
      <w:bCs/>
      <w:i/>
      <w:iCs/>
      <w:color w:val="4f81bd"/>
    </w:rPr>
  </w:style>
  <w:style w:type="character" w:styleId="1032" w:customStyle="1">
    <w:name w:val="正文文本 Char1"/>
    <w:uiPriority w:val="0"/>
    <w:qFormat/>
    <w:rPr>
      <w:sz w:val="21"/>
      <w:szCs w:val="22"/>
    </w:rPr>
  </w:style>
  <w:style w:type="character" w:styleId="1033" w:customStyle="1">
    <w:name w:val="textcontents"/>
    <w:uiPriority w:val="0"/>
    <w:qFormat/>
    <w:rPr>
      <w:rFonts w:cs="Times New Roman"/>
    </w:rPr>
  </w:style>
  <w:style w:type="character" w:styleId="1034" w:customStyle="1">
    <w:name w:val="p21"/>
    <w:uiPriority w:val="0"/>
    <w:qFormat/>
    <w:rPr>
      <w:sz w:val="9"/>
      <w:szCs w:val="9"/>
    </w:rPr>
  </w:style>
  <w:style w:type="character" w:styleId="1035" w:customStyle="1">
    <w:name w:val="标题5 Char Char"/>
    <w:link w:val="1036"/>
    <w:uiPriority w:val="0"/>
    <w:qFormat/>
    <w:rPr>
      <w:rFonts w:ascii="Arial" w:hAnsi="Arial"/>
      <w:b/>
      <w:bCs/>
      <w:sz w:val="24"/>
      <w:szCs w:val="32"/>
    </w:rPr>
  </w:style>
  <w:style w:type="paragraph" w:styleId="1036" w:customStyle="1">
    <w:name w:val="标题5"/>
    <w:basedOn w:val="719"/>
    <w:link w:val="1035"/>
    <w:uiPriority w:val="0"/>
    <w:qFormat/>
    <w:pPr>
      <w:jc w:val="both"/>
      <w:keepLines/>
      <w:keepNext/>
      <w:spacing w:before="260" w:after="260" w:line="413" w:lineRule="auto"/>
      <w:tabs>
        <w:tab w:val="left" w:pos="432" w:leader="none"/>
      </w:tabs>
    </w:pPr>
    <w:rPr>
      <w:rFonts w:ascii="Arial" w:hAnsi="Arial" w:eastAsia="宋体"/>
      <w:b/>
      <w:bCs/>
      <w:sz w:val="24"/>
    </w:rPr>
  </w:style>
  <w:style w:type="character" w:styleId="1037" w:customStyle="1">
    <w:name w:val="标题 2 Char_0"/>
    <w:link w:val="1038"/>
    <w:uiPriority w:val="0"/>
    <w:qFormat/>
    <w:rPr>
      <w:rFonts w:ascii="Cambria" w:hAnsi="Cambria" w:eastAsia="黑体"/>
      <w:b/>
      <w:bCs/>
      <w:sz w:val="32"/>
      <w:szCs w:val="32"/>
    </w:rPr>
  </w:style>
  <w:style w:type="paragraph" w:styleId="1038" w:customStyle="1">
    <w:name w:val="标题 21"/>
    <w:basedOn w:val="1039"/>
    <w:next w:val="1039"/>
    <w:link w:val="1037"/>
    <w:uiPriority w:val="0"/>
    <w:qFormat/>
    <w:rPr>
      <w:rFonts w:ascii="Cambria" w:hAnsi="Cambria" w:eastAsia="黑体"/>
      <w:b/>
      <w:bCs/>
      <w:sz w:val="32"/>
      <w:szCs w:val="32"/>
    </w:rPr>
  </w:style>
  <w:style w:type="paragraph" w:styleId="1039" w:customStyle="1">
    <w:name w:val="Normal_0"/>
    <w:uiPriority w:val="0"/>
    <w:qFormat/>
    <w:pPr>
      <w:widowControl w:val="off"/>
    </w:pPr>
    <w:rPr>
      <w:rFonts w:ascii="Times New Roman" w:hAnsi="Times New Roman" w:eastAsia="宋体" w:cs="Times New Roman"/>
      <w:lang w:val="en-US" w:eastAsia="zh-CN" w:bidi="ar-SA"/>
    </w:rPr>
  </w:style>
  <w:style w:type="character" w:styleId="1040" w:customStyle="1">
    <w:name w:val="rvts9"/>
    <w:uiPriority w:val="0"/>
    <w:qFormat/>
    <w:rPr>
      <w:rFonts w:hint="default" w:ascii="KNLe" w:hAnsi="KNLe"/>
    </w:rPr>
  </w:style>
  <w:style w:type="paragraph" w:styleId="1041" w:customStyle="1">
    <w:name w:val="Char7"/>
    <w:basedOn w:val="731"/>
    <w:uiPriority w:val="0"/>
    <w:qFormat/>
    <w:pPr>
      <w:jc w:val="both"/>
      <w:spacing w:line="360" w:lineRule="auto"/>
      <w:shd w:val="clear" w:color="auto" w:fill="000080"/>
    </w:pPr>
    <w:rPr>
      <w:rFonts w:ascii="Tahoma" w:hAnsi="Tahoma"/>
      <w:sz w:val="24"/>
      <w:szCs w:val="24"/>
      <w:lang w:eastAsia="zh-CN"/>
    </w:rPr>
  </w:style>
  <w:style w:type="paragraph" w:styleId="1042" w:customStyle="1">
    <w:name w:val="列出段落2"/>
    <w:basedOn w:val="716"/>
    <w:uiPriority w:val="0"/>
    <w:qFormat/>
    <w:pPr>
      <w:ind w:firstLine="420"/>
      <w:jc w:val="both"/>
    </w:pPr>
    <w:rPr>
      <w:rFonts w:eastAsia="宋体"/>
      <w:sz w:val="21"/>
      <w:lang w:eastAsia="zh-CN"/>
    </w:rPr>
  </w:style>
  <w:style w:type="paragraph" w:styleId="1043" w:customStyle="1">
    <w:name w:val="Char Char Char Char Char Char Char Char Char Char Char Char Char Char Char Char"/>
    <w:basedOn w:val="716"/>
    <w:uiPriority w:val="0"/>
    <w:qFormat/>
    <w:pPr>
      <w:ind w:left="482" w:firstLine="200"/>
      <w:jc w:val="both"/>
      <w:spacing w:line="360" w:lineRule="auto"/>
      <w:tabs>
        <w:tab w:val="left" w:pos="360" w:leader="none"/>
      </w:tabs>
    </w:pPr>
    <w:rPr>
      <w:rFonts w:ascii="宋体" w:hAnsi="Times New Roman" w:eastAsia="宋体"/>
      <w:sz w:val="24"/>
      <w:szCs w:val="24"/>
      <w:lang w:eastAsia="zh-CN"/>
    </w:rPr>
  </w:style>
  <w:style w:type="paragraph" w:styleId="1044" w:customStyle="1">
    <w:name w:val="t_black_12_b"/>
    <w:basedOn w:val="716"/>
    <w:uiPriority w:val="0"/>
    <w:qFormat/>
    <w:pPr>
      <w:widowControl/>
    </w:pPr>
    <w:rPr>
      <w:rFonts w:ascii="宋体" w:hAnsi="宋体" w:eastAsia="宋体" w:cs="宋体"/>
      <w:b/>
      <w:bCs/>
      <w:color w:val="212121"/>
      <w:sz w:val="9"/>
      <w:szCs w:val="9"/>
      <w:lang w:eastAsia="zh-CN"/>
    </w:rPr>
  </w:style>
  <w:style w:type="character" w:styleId="1045" w:customStyle="1">
    <w:name w:val="无间隔 Char"/>
    <w:link w:val="800"/>
    <w:uiPriority w:val="1"/>
    <w:qFormat/>
    <w:rPr>
      <w:lang w:val="en-US" w:eastAsia="zh-CN" w:bidi="ar-SA"/>
    </w:rPr>
  </w:style>
  <w:style w:type="paragraph" w:styleId="1046" w:customStyle="1">
    <w:name w:val="pa-2"/>
    <w:basedOn w:val="716"/>
    <w:uiPriority w:val="0"/>
    <w:qFormat/>
    <w:pPr>
      <w:ind w:firstLine="700"/>
      <w:jc w:val="both"/>
      <w:spacing w:line="320" w:lineRule="atLeast"/>
      <w:widowControl/>
    </w:pPr>
    <w:rPr>
      <w:rFonts w:ascii="宋体" w:hAnsi="宋体" w:eastAsia="宋体" w:cs="宋体"/>
      <w:sz w:val="24"/>
      <w:szCs w:val="24"/>
      <w:lang w:eastAsia="zh-CN"/>
    </w:rPr>
  </w:style>
  <w:style w:type="paragraph" w:styleId="1047" w:customStyle="1">
    <w:name w:val="Char Char Char Char Char Char Char1 Char"/>
    <w:basedOn w:val="716"/>
    <w:uiPriority w:val="0"/>
    <w:qFormat/>
    <w:pPr>
      <w:jc w:val="both"/>
    </w:pPr>
    <w:rPr>
      <w:rFonts w:ascii="Tahoma" w:hAnsi="Tahoma" w:eastAsia="宋体" w:cs="Tahoma"/>
      <w:sz w:val="24"/>
      <w:szCs w:val="24"/>
      <w:lang w:eastAsia="zh-CN"/>
    </w:rPr>
  </w:style>
  <w:style w:type="paragraph" w:styleId="1048" w:customStyle="1">
    <w:name w:val="Char1"/>
    <w:basedOn w:val="716"/>
    <w:uiPriority w:val="0"/>
    <w:qFormat/>
    <w:pPr>
      <w:spacing w:after="160" w:line="240" w:lineRule="exact"/>
      <w:widowControl/>
    </w:pPr>
    <w:rPr>
      <w:rFonts w:ascii="Verdana" w:hAnsi="Verdana" w:eastAsia="仿宋_GB2312"/>
      <w:sz w:val="24"/>
      <w:szCs w:val="20"/>
    </w:rPr>
  </w:style>
  <w:style w:type="paragraph" w:styleId="1049"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050" w:customStyle="1">
    <w:name w:val="样式 小四 段前: 5 磅 段后: 5 磅 首行缩进:  2 字符"/>
    <w:basedOn w:val="716"/>
    <w:uiPriority w:val="0"/>
    <w:qFormat/>
    <w:pPr>
      <w:jc w:val="both"/>
      <w:spacing w:line="360" w:lineRule="auto"/>
    </w:pPr>
    <w:rPr>
      <w:rFonts w:ascii="宋体" w:hAnsi="宋体" w:eastAsia="宋体"/>
      <w:sz w:val="21"/>
      <w:szCs w:val="21"/>
      <w:lang w:eastAsia="zh-CN"/>
    </w:rPr>
  </w:style>
  <w:style w:type="paragraph" w:styleId="1051" w:customStyle="1">
    <w:name w:val="Char"/>
    <w:basedOn w:val="716"/>
    <w:uiPriority w:val="0"/>
    <w:qFormat/>
    <w:pPr>
      <w:spacing w:after="160" w:line="240" w:lineRule="exact"/>
      <w:widowControl/>
    </w:pPr>
    <w:rPr>
      <w:rFonts w:ascii="Verdana" w:hAnsi="Verdana" w:eastAsia="仿宋_GB2312"/>
      <w:sz w:val="24"/>
      <w:szCs w:val="20"/>
    </w:rPr>
  </w:style>
  <w:style w:type="paragraph" w:styleId="1052" w:customStyle="1">
    <w:name w:val="_Style 122"/>
    <w:basedOn w:val="717"/>
    <w:next w:val="716"/>
    <w:uiPriority w:val="39"/>
    <w:qFormat/>
    <w:pPr>
      <w:jc w:val="both"/>
      <w:keepLines/>
      <w:keepNext/>
      <w:spacing w:before="340" w:after="330" w:line="578" w:lineRule="auto"/>
      <w:tabs>
        <w:tab w:val="left" w:pos="432" w:leader="none"/>
      </w:tabs>
      <w:outlineLvl w:val="9"/>
    </w:pPr>
    <w:rPr>
      <w:rFonts w:ascii="Calibri" w:hAnsi="Times New Roman" w:eastAsia="宋体"/>
      <w:b/>
      <w:bCs/>
      <w:sz w:val="44"/>
      <w:szCs w:val="44"/>
      <w:lang w:eastAsia="zh-CN"/>
    </w:rPr>
  </w:style>
  <w:style w:type="paragraph" w:styleId="1053" w:customStyle="1">
    <w:name w:val="正文2"/>
    <w:uiPriority w:val="0"/>
    <w:qFormat/>
    <w:pPr>
      <w:jc w:val="both"/>
      <w:widowControl w:val="off"/>
    </w:pPr>
    <w:rPr>
      <w:rFonts w:ascii="Times New Roman" w:hAnsi="Times New Roman" w:eastAsia="Times New Roman" w:cs="Times New Roman"/>
      <w:lang w:val="en-US" w:eastAsia="zh-CN" w:bidi="ar-SA"/>
    </w:rPr>
  </w:style>
  <w:style w:type="paragraph" w:styleId="1054" w:customStyle="1">
    <w:name w:val="正文1"/>
    <w:uiPriority w:val="0"/>
    <w:qFormat/>
    <w:pPr>
      <w:widowControl w:val="off"/>
    </w:pPr>
    <w:rPr>
      <w:rFonts w:ascii="Times New Roman" w:hAnsi="Times New Roman" w:eastAsia="Times New Roman" w:cs="Times New Roman"/>
      <w:lang w:val="en-US" w:eastAsia="zh-CN" w:bidi="ar-SA"/>
    </w:rPr>
  </w:style>
  <w:style w:type="paragraph" w:styleId="1055" w:customStyle="1">
    <w:name w:val="TOC 标题11"/>
    <w:basedOn w:val="717"/>
    <w:next w:val="716"/>
    <w:uiPriority w:val="0"/>
    <w:qFormat/>
    <w:pPr>
      <w:ind w:left="8"/>
      <w:jc w:val="center"/>
      <w:outlineLvl w:val="9"/>
    </w:pPr>
    <w:rPr>
      <w:rFonts w:cs="黑体"/>
      <w:sz w:val="30"/>
      <w:szCs w:val="30"/>
      <w:lang w:val="zh-CN" w:eastAsia="zh-CN" w:bidi="zh-CN"/>
    </w:rPr>
  </w:style>
  <w:style w:type="paragraph" w:styleId="1056" w:customStyle="1">
    <w:name w:val="正文_0"/>
    <w:uiPriority w:val="0"/>
    <w:qFormat/>
    <w:pPr>
      <w:widowControl w:val="off"/>
    </w:pPr>
    <w:rPr>
      <w:rFonts w:ascii="Times New Roman" w:hAnsi="Times New Roman" w:eastAsia="宋体" w:cs="Times New Roman"/>
      <w:szCs w:val="24"/>
      <w:lang w:val="en-US" w:eastAsia="zh-CN" w:bidi="ar-SA"/>
    </w:rPr>
  </w:style>
  <w:style w:type="paragraph" w:styleId="1057" w:customStyle="1">
    <w:name w:val="Char2"/>
    <w:basedOn w:val="716"/>
    <w:uiPriority w:val="0"/>
    <w:qFormat/>
    <w:pPr>
      <w:spacing w:after="160" w:line="240" w:lineRule="exact"/>
      <w:widowControl/>
    </w:pPr>
    <w:rPr>
      <w:rFonts w:ascii="Verdana" w:hAnsi="Verdana" w:eastAsia="仿宋_GB2312"/>
      <w:sz w:val="24"/>
      <w:szCs w:val="20"/>
    </w:rPr>
  </w:style>
  <w:style w:type="paragraph" w:styleId="1058" w:customStyle="1">
    <w:name w:val="Char711"/>
    <w:basedOn w:val="731"/>
    <w:uiPriority w:val="0"/>
    <w:qFormat/>
    <w:pPr>
      <w:jc w:val="both"/>
      <w:spacing w:line="360" w:lineRule="auto"/>
      <w:shd w:val="clear" w:color="auto" w:fill="000080"/>
    </w:pPr>
    <w:rPr>
      <w:rFonts w:ascii="Tahoma" w:hAnsi="Tahoma"/>
      <w:sz w:val="24"/>
      <w:szCs w:val="24"/>
      <w:lang w:eastAsia="zh-CN"/>
    </w:rPr>
  </w:style>
  <w:style w:type="paragraph" w:styleId="1059" w:customStyle="1">
    <w:name w:val="列出段落4"/>
    <w:basedOn w:val="716"/>
    <w:uiPriority w:val="0"/>
    <w:qFormat/>
    <w:pPr>
      <w:ind w:firstLine="420"/>
      <w:jc w:val="both"/>
    </w:pPr>
    <w:rPr>
      <w:rFonts w:ascii="Times New Roman" w:hAnsi="Times New Roman" w:eastAsia="宋体"/>
      <w:sz w:val="21"/>
      <w:szCs w:val="20"/>
      <w:lang w:eastAsia="zh-CN"/>
    </w:rPr>
  </w:style>
  <w:style w:type="paragraph" w:styleId="1060" w:customStyle="1">
    <w:name w:val="普通 (Web)"/>
    <w:basedOn w:val="716"/>
    <w:uiPriority w:val="0"/>
    <w:qFormat/>
    <w:pPr>
      <w:spacing w:before="100" w:beforeAutospacing="1" w:after="100" w:afterAutospacing="1"/>
      <w:widowControl/>
    </w:pPr>
    <w:rPr>
      <w:rFonts w:ascii="宋体" w:hAnsi="宋体" w:eastAsia="宋体"/>
      <w:sz w:val="24"/>
      <w:szCs w:val="24"/>
      <w:lang w:eastAsia="zh-CN"/>
    </w:rPr>
  </w:style>
  <w:style w:type="paragraph" w:styleId="1061" w:customStyle="1">
    <w:name w:val="纯文本1"/>
    <w:basedOn w:val="716"/>
    <w:uiPriority w:val="0"/>
    <w:qFormat/>
    <w:pPr>
      <w:jc w:val="both"/>
    </w:pPr>
    <w:rPr>
      <w:rFonts w:ascii="宋体" w:hAnsi="Courier New" w:eastAsia="楷体_GB2312"/>
      <w:sz w:val="26"/>
      <w:szCs w:val="20"/>
      <w:lang w:eastAsia="zh-CN"/>
    </w:rPr>
  </w:style>
  <w:style w:type="paragraph" w:styleId="1062" w:customStyle="1">
    <w:name w:val="列出段落3"/>
    <w:basedOn w:val="716"/>
    <w:uiPriority w:val="99"/>
    <w:qFormat/>
    <w:pPr>
      <w:contextualSpacing/>
      <w:ind w:left="720"/>
      <w:widowControl/>
    </w:pPr>
    <w:rPr>
      <w:rFonts w:ascii="Arial" w:hAnsi="Arial" w:eastAsia="黑体"/>
      <w:sz w:val="24"/>
      <w:szCs w:val="24"/>
    </w:rPr>
  </w:style>
  <w:style w:type="paragraph" w:styleId="1063" w:customStyle="1">
    <w:name w:val="列出段落11"/>
    <w:basedOn w:val="716"/>
    <w:uiPriority w:val="0"/>
    <w:qFormat/>
    <w:pPr>
      <w:ind w:firstLine="420"/>
      <w:jc w:val="both"/>
    </w:pPr>
    <w:rPr>
      <w:rFonts w:eastAsia="宋体"/>
      <w:sz w:val="21"/>
      <w:lang w:eastAsia="zh-CN"/>
    </w:rPr>
  </w:style>
  <w:style w:type="paragraph" w:styleId="1064" w:customStyle="1">
    <w:name w:val="正文_0_0"/>
    <w:uiPriority w:val="0"/>
    <w:qFormat/>
    <w:pPr>
      <w:widowControl w:val="off"/>
    </w:pPr>
    <w:rPr>
      <w:rFonts w:ascii="Times New Roman" w:hAnsi="Times New Roman" w:eastAsia="宋体" w:cs="Times New Roman"/>
      <w:szCs w:val="24"/>
      <w:lang w:val="en-US" w:eastAsia="zh-CN" w:bidi="ar-SA"/>
    </w:rPr>
  </w:style>
  <w:style w:type="paragraph" w:styleId="1065" w:customStyle="1">
    <w:name w:val="默认段落字体 Para Char Char Char Char Char Char Char"/>
    <w:basedOn w:val="716"/>
    <w:uiPriority w:val="0"/>
    <w:qFormat/>
    <w:pPr>
      <w:jc w:val="both"/>
    </w:pPr>
    <w:rPr>
      <w:rFonts w:ascii="Tahoma" w:hAnsi="Tahoma" w:eastAsia="宋体"/>
      <w:sz w:val="24"/>
      <w:szCs w:val="20"/>
      <w:lang w:eastAsia="zh-CN"/>
    </w:rPr>
  </w:style>
  <w:style w:type="paragraph" w:styleId="1066" w:customStyle="1">
    <w:name w:val="_Style 140"/>
    <w:uiPriority w:val="0"/>
    <w:qFormat/>
    <w:rPr>
      <w:rFonts w:ascii="Times New Roman" w:hAnsi="Times New Roman" w:eastAsia="宋体" w:cs="Times New Roman"/>
      <w:sz w:val="21"/>
      <w:szCs w:val="24"/>
      <w:lang w:val="en-US" w:eastAsia="zh-CN" w:bidi="ar-SA"/>
    </w:rPr>
  </w:style>
  <w:style w:type="paragraph" w:styleId="1067" w:customStyle="1">
    <w:name w:val="正文缩进4"/>
    <w:next w:val="716"/>
    <w:uiPriority w:val="99"/>
    <w:qFormat/>
    <w:pPr>
      <w:ind w:left="3400"/>
      <w:jc w:val="both"/>
    </w:pPr>
    <w:rPr>
      <w:rFonts w:ascii="Times New Roman" w:hAnsi="Times New Roman" w:eastAsia="宋体" w:cs="Times New Roman"/>
      <w:sz w:val="21"/>
      <w:lang w:val="en-US" w:eastAsia="zh-CN" w:bidi="ar-SA"/>
    </w:rPr>
  </w:style>
  <w:style w:type="paragraph" w:styleId="1068" w:customStyle="1">
    <w:name w:val="contentarticle"/>
    <w:basedOn w:val="716"/>
    <w:uiPriority w:val="0"/>
    <w:qFormat/>
    <w:pPr>
      <w:spacing w:before="100" w:beforeAutospacing="1" w:after="100" w:afterAutospacing="1"/>
      <w:widowControl/>
    </w:pPr>
    <w:rPr>
      <w:rFonts w:ascii="宋体" w:hAnsi="宋体" w:eastAsia="宋体" w:cs="宋体"/>
      <w:sz w:val="24"/>
      <w:lang w:eastAsia="zh-CN"/>
    </w:rPr>
  </w:style>
  <w:style w:type="paragraph" w:styleId="1069" w:customStyle="1">
    <w:name w:val="_Style 24"/>
    <w:uiPriority w:val="99"/>
    <w:unhideWhenUsed/>
    <w:qFormat/>
    <w:pPr>
      <w:jc w:val="both"/>
      <w:widowControl w:val="off"/>
    </w:pPr>
    <w:rPr>
      <w:rFonts w:ascii="Times New Roman" w:hAnsi="Times New Roman" w:eastAsia="宋体" w:cs="Times New Roman"/>
      <w:sz w:val="21"/>
      <w:szCs w:val="24"/>
      <w:lang w:val="en-US" w:eastAsia="zh-CN" w:bidi="ar-SA"/>
    </w:rPr>
  </w:style>
  <w:style w:type="paragraph" w:styleId="1070" w:customStyle="1">
    <w:name w:val="Char71"/>
    <w:basedOn w:val="731"/>
    <w:uiPriority w:val="0"/>
    <w:qFormat/>
    <w:pPr>
      <w:jc w:val="both"/>
      <w:spacing w:line="360" w:lineRule="auto"/>
      <w:shd w:val="clear" w:color="auto" w:fill="000080"/>
    </w:pPr>
    <w:rPr>
      <w:rFonts w:ascii="Tahoma" w:hAnsi="Tahoma"/>
      <w:sz w:val="24"/>
      <w:szCs w:val="24"/>
      <w:lang w:eastAsia="zh-CN"/>
    </w:rPr>
  </w:style>
  <w:style w:type="character" w:styleId="1071" w:customStyle="1">
    <w:name w:val="15"/>
    <w:basedOn w:val="726"/>
    <w:uiPriority w:val="0"/>
    <w:qFormat/>
    <w:rPr>
      <w:rFonts w:hint="default" w:ascii="Calibri" w:hAnsi="Calibri"/>
    </w:rPr>
  </w:style>
  <w:style w:type="paragraph" w:styleId="1072" w:customStyle="1">
    <w:name w:val="正文首缩两字"/>
    <w:basedOn w:val="716"/>
    <w:uiPriority w:val="0"/>
    <w:qFormat/>
    <w:pPr>
      <w:ind w:left="210" w:right="210" w:firstLine="480"/>
      <w:spacing w:line="360" w:lineRule="auto"/>
    </w:pPr>
    <w:rPr>
      <w:rFonts w:ascii="宋体" w:hAnsi="宋体" w:eastAsia="仿宋_GB2312"/>
      <w:sz w:val="24"/>
      <w:szCs w:val="24"/>
      <w:lang w:eastAsia="zh-CN"/>
    </w:rPr>
  </w:style>
  <w:style w:type="paragraph" w:styleId="1073" w:customStyle="1">
    <w:name w:val="列出段落5"/>
    <w:basedOn w:val="716"/>
    <w:uiPriority w:val="0"/>
    <w:qFormat/>
    <w:pPr>
      <w:ind w:firstLine="420"/>
      <w:jc w:val="both"/>
    </w:pPr>
    <w:rPr>
      <w:rFonts w:eastAsia="宋体"/>
      <w:sz w:val="21"/>
      <w:lang w:eastAsia="zh-CN"/>
    </w:rPr>
  </w:style>
  <w:style w:type="character" w:styleId="1074" w:customStyle="1">
    <w:name w:val="font121"/>
    <w:uiPriority w:val="0"/>
    <w:qFormat/>
    <w:rPr>
      <w:rFonts w:hint="eastAsia" w:ascii="宋体" w:hAnsi="宋体" w:eastAsia="宋体" w:cs="宋体"/>
      <w:color w:val="ff0000"/>
      <w:sz w:val="24"/>
      <w:szCs w:val="24"/>
      <w:u w:val="none"/>
    </w:rPr>
  </w:style>
  <w:style w:type="character" w:styleId="1075" w:customStyle="1">
    <w:name w:val="font101"/>
    <w:uiPriority w:val="0"/>
    <w:qFormat/>
    <w:rPr>
      <w:rFonts w:hint="eastAsia" w:ascii="宋体" w:hAnsi="宋体" w:eastAsia="宋体" w:cs="宋体"/>
      <w:color w:val="000000"/>
      <w:sz w:val="22"/>
      <w:szCs w:val="22"/>
      <w:u w:val="none"/>
    </w:rPr>
  </w:style>
  <w:style w:type="character" w:styleId="1076" w:customStyle="1">
    <w:name w:val="font131"/>
    <w:uiPriority w:val="0"/>
    <w:qFormat/>
    <w:rPr>
      <w:rFonts w:hint="eastAsia" w:ascii="宋体" w:hAnsi="宋体" w:eastAsia="宋体" w:cs="宋体"/>
      <w:color w:val="000000"/>
      <w:sz w:val="22"/>
      <w:szCs w:val="22"/>
      <w:u w:val="none"/>
    </w:rPr>
  </w:style>
  <w:style w:type="paragraph" w:styleId="1077" w:customStyle="1">
    <w:name w:val="Index4"/>
    <w:basedOn w:val="716"/>
    <w:next w:val="716"/>
    <w:uiPriority w:val="0"/>
    <w:semiHidden/>
    <w:qFormat/>
    <w:pPr>
      <w:ind w:left="1260"/>
      <w:jc w:val="both"/>
      <w:widowControl/>
    </w:pPr>
    <w:rPr>
      <w:sz w:val="20"/>
      <w:szCs w:val="20"/>
      <w:lang w:val="zh-CN" w:eastAsia="zh-CN"/>
    </w:rPr>
  </w:style>
  <w:style w:type="paragraph" w:styleId="1078" w:customStyle="1">
    <w:name w:val="font5"/>
    <w:basedOn w:val="716"/>
    <w:uiPriority w:val="0"/>
    <w:qFormat/>
    <w:pPr>
      <w:spacing w:before="100" w:beforeAutospacing="1" w:after="100" w:afterAutospacing="1"/>
      <w:widowControl/>
    </w:pPr>
    <w:rPr>
      <w:rFonts w:ascii="宋体" w:hAnsi="宋体" w:eastAsia="宋体" w:cs="宋体"/>
      <w:sz w:val="18"/>
      <w:szCs w:val="18"/>
      <w:lang w:eastAsia="zh-CN"/>
    </w:rPr>
  </w:style>
  <w:style w:type="paragraph" w:styleId="1079" w:customStyle="1">
    <w:name w:val="xl65"/>
    <w:basedOn w:val="716"/>
    <w:uiPriority w:val="0"/>
    <w:qFormat/>
    <w:pPr>
      <w:jc w:val="center"/>
      <w:spacing w:before="100" w:beforeAutospacing="1" w:after="100" w:afterAutospacing="1"/>
      <w:widowControl/>
    </w:pPr>
    <w:rPr>
      <w:rFonts w:ascii="宋体" w:hAnsi="宋体" w:eastAsia="宋体" w:cs="宋体"/>
      <w:sz w:val="24"/>
      <w:szCs w:val="24"/>
      <w:lang w:eastAsia="zh-CN"/>
    </w:rPr>
  </w:style>
  <w:style w:type="paragraph" w:styleId="1080" w:customStyle="1">
    <w:name w:val="xl66"/>
    <w:basedOn w:val="716"/>
    <w:uiPriority w:val="0"/>
    <w:qFormat/>
    <w:pPr>
      <w:jc w:val="center"/>
      <w:spacing w:before="100" w:beforeAutospacing="1" w:after="100" w:afterAutospacing="1"/>
      <w:widowControl/>
    </w:pPr>
    <w:rPr>
      <w:rFonts w:ascii="宋体" w:hAnsi="宋体" w:eastAsia="宋体" w:cs="宋体"/>
      <w:sz w:val="18"/>
      <w:szCs w:val="18"/>
      <w:lang w:eastAsia="zh-CN"/>
    </w:rPr>
  </w:style>
  <w:style w:type="paragraph" w:styleId="1081" w:customStyle="1">
    <w:name w:val="xl67"/>
    <w:basedOn w:val="71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lang w:eastAsia="zh-CN"/>
    </w:rPr>
  </w:style>
  <w:style w:type="paragraph" w:styleId="1082" w:customStyle="1">
    <w:name w:val="xl68"/>
    <w:basedOn w:val="71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18"/>
      <w:szCs w:val="18"/>
      <w:lang w:eastAsia="zh-CN"/>
    </w:rPr>
  </w:style>
  <w:style w:type="paragraph" w:styleId="1083" w:customStyle="1">
    <w:name w:val="xl69"/>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lang w:eastAsia="zh-CN"/>
    </w:rPr>
  </w:style>
  <w:style w:type="paragraph" w:styleId="1084" w:customStyle="1">
    <w:name w:val="xl70"/>
    <w:basedOn w:val="71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lang w:eastAsia="zh-CN"/>
    </w:rPr>
  </w:style>
  <w:style w:type="paragraph" w:styleId="1085" w:customStyle="1">
    <w:name w:val="xl71"/>
    <w:basedOn w:val="71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7"/>
      <w:szCs w:val="17"/>
      <w:lang w:eastAsia="zh-CN"/>
    </w:rPr>
  </w:style>
  <w:style w:type="paragraph" w:styleId="1086" w:customStyle="1">
    <w:name w:val="xl72"/>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color w:val="000000"/>
      <w:sz w:val="18"/>
      <w:szCs w:val="18"/>
      <w:lang w:eastAsia="zh-CN"/>
    </w:rPr>
  </w:style>
  <w:style w:type="paragraph" w:styleId="1087" w:customStyle="1">
    <w:name w:val="xl73"/>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lang w:eastAsia="zh-CN"/>
    </w:rPr>
  </w:style>
  <w:style w:type="paragraph" w:styleId="1088" w:customStyle="1">
    <w:name w:val="xl74"/>
    <w:basedOn w:val="71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lang w:eastAsia="zh-CN"/>
    </w:rPr>
  </w:style>
  <w:style w:type="paragraph" w:styleId="1089" w:customStyle="1">
    <w:name w:val="xl75"/>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lang w:eastAsia="zh-CN"/>
    </w:rPr>
  </w:style>
  <w:style w:type="paragraph" w:styleId="1090" w:customStyle="1">
    <w:name w:val="xl76"/>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lang w:eastAsia="zh-CN"/>
    </w:rPr>
  </w:style>
  <w:style w:type="character" w:styleId="1091" w:customStyle="1">
    <w:name w:val="书籍标题1"/>
    <w:uiPriority w:val="0"/>
    <w:qFormat/>
    <w:rPr>
      <w:b/>
      <w:bCs/>
      <w:smallCaps/>
      <w:spacing w:val="5"/>
    </w:rPr>
  </w:style>
  <w:style w:type="character" w:styleId="1092" w:customStyle="1">
    <w:name w:val="明显参考1"/>
    <w:uiPriority w:val="0"/>
    <w:qFormat/>
    <w:rPr>
      <w:b/>
      <w:bCs/>
      <w:smallCaps/>
      <w:color w:val="c0504d"/>
      <w:spacing w:val="5"/>
      <w:u w:val="single"/>
    </w:rPr>
  </w:style>
  <w:style w:type="character" w:styleId="1093" w:customStyle="1">
    <w:name w:val="不明显参考1"/>
    <w:uiPriority w:val="0"/>
    <w:qFormat/>
    <w:rPr>
      <w:smallCaps/>
      <w:color w:val="c0504d"/>
      <w:u w:val="single"/>
    </w:rPr>
  </w:style>
  <w:style w:type="character" w:styleId="1094" w:customStyle="1">
    <w:name w:val="不明显强调1"/>
    <w:uiPriority w:val="0"/>
    <w:qFormat/>
    <w:rPr>
      <w:i/>
      <w:iCs/>
      <w:color w:val="808080"/>
    </w:rPr>
  </w:style>
  <w:style w:type="character" w:styleId="1095" w:customStyle="1">
    <w:name w:val="明显强调1"/>
    <w:uiPriority w:val="0"/>
    <w:qFormat/>
    <w:rPr>
      <w:b/>
      <w:bCs/>
      <w:i/>
      <w:iCs/>
      <w:color w:val="4f81bd"/>
    </w:rPr>
  </w:style>
  <w:style w:type="paragraph" w:styleId="1096" w:customStyle="1">
    <w:name w:val="标题 22"/>
    <w:basedOn w:val="1039"/>
    <w:next w:val="1039"/>
    <w:uiPriority w:val="0"/>
    <w:qFormat/>
  </w:style>
  <w:style w:type="paragraph" w:styleId="1097" w:customStyle="1">
    <w:name w:val="列出段落6"/>
    <w:basedOn w:val="716"/>
    <w:uiPriority w:val="0"/>
    <w:qFormat/>
    <w:pPr>
      <w:ind w:firstLine="420"/>
      <w:jc w:val="both"/>
    </w:pPr>
    <w:rPr>
      <w:rFonts w:ascii="Times New Roman" w:hAnsi="Times New Roman" w:eastAsia="宋体"/>
      <w:sz w:val="21"/>
      <w:szCs w:val="20"/>
      <w:lang w:eastAsia="zh-CN"/>
    </w:rPr>
  </w:style>
  <w:style w:type="paragraph" w:styleId="1098" w:customStyle="1">
    <w:name w:val="修订1"/>
    <w:uiPriority w:val="0"/>
    <w:qFormat/>
    <w:rPr>
      <w:rFonts w:ascii="Times New Roman" w:hAnsi="Times New Roman" w:eastAsia="宋体" w:cs="Times New Roman"/>
      <w:sz w:val="21"/>
      <w:szCs w:val="24"/>
      <w:lang w:val="en-US" w:eastAsia="zh-CN" w:bidi="ar-SA"/>
    </w:rPr>
  </w:style>
  <w:style w:type="character" w:styleId="1099" w:customStyle="1">
    <w:name w:val="纯文本 Char Char"/>
    <w:uiPriority w:val="99"/>
    <w:qFormat/>
    <w:rPr>
      <w:rFonts w:ascii="宋体" w:hAnsi="Courier New" w:eastAsia="宋体"/>
      <w:sz w:val="21"/>
      <w:szCs w:val="21"/>
      <w:lang w:val="en-US" w:eastAsia="zh-CN" w:bidi="ar-SA"/>
    </w:rPr>
  </w:style>
  <w:style w:type="paragraph" w:styleId="1100" w:customStyle="1">
    <w:name w:val="正文（首行缩进）"/>
    <w:uiPriority w:val="0"/>
    <w:qFormat/>
    <w:pPr>
      <w:ind w:firstLine="200"/>
      <w:jc w:val="both"/>
      <w:spacing w:line="360" w:lineRule="auto"/>
      <w:widowControl w:val="off"/>
    </w:pPr>
    <w:rPr>
      <w:rFonts w:ascii="Times New Roman" w:hAnsi="Times New Roman" w:eastAsia="宋体" w:cs="Times New Roman"/>
      <w:sz w:val="21"/>
      <w:szCs w:val="24"/>
      <w:lang w:val="en-US" w:eastAsia="zh-CN" w:bidi="ar-SA"/>
    </w:rPr>
  </w:style>
  <w:style w:type="paragraph" w:styleId="1101" w:customStyle="1">
    <w:name w:val="正文 A"/>
    <w:next w:val="716"/>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character" w:styleId="1102" w:customStyle="1">
    <w:name w:val="称呼 Char"/>
    <w:basedOn w:val="726"/>
    <w:link w:val="733"/>
    <w:uiPriority w:val="99"/>
    <w:qFormat/>
    <w:rPr>
      <w:rFonts w:ascii="楷体_GB2312" w:eastAsia="楷体_GB2312"/>
      <w:sz w:val="28"/>
    </w:rPr>
  </w:style>
  <w:style w:type="character" w:styleId="1103" w:customStyle="1">
    <w:name w:val="正文文本 2 Char"/>
    <w:basedOn w:val="726"/>
    <w:link w:val="761"/>
    <w:uiPriority w:val="99"/>
    <w:qFormat/>
    <w:rPr>
      <w:rFonts w:ascii="宋体"/>
      <w:b/>
      <w:bCs/>
      <w:sz w:val="24"/>
      <w:szCs w:val="24"/>
    </w:rPr>
  </w:style>
  <w:style w:type="character" w:styleId="1104" w:customStyle="1">
    <w:name w:val="正文首行缩进 2 Char"/>
    <w:basedOn w:val="953"/>
    <w:link w:val="767"/>
    <w:uiPriority w:val="0"/>
    <w:qFormat/>
    <w:rPr>
      <w:lang w:eastAsia="en-US"/>
    </w:rPr>
  </w:style>
  <w:style w:type="character" w:styleId="1105" w:customStyle="1">
    <w:name w:val="书籍标题11"/>
    <w:uiPriority w:val="0"/>
    <w:qFormat/>
    <w:rPr>
      <w:b/>
      <w:bCs/>
      <w:smallCaps/>
      <w:spacing w:val="5"/>
    </w:rPr>
  </w:style>
  <w:style w:type="character" w:styleId="1106" w:customStyle="1">
    <w:name w:val="明显参考11"/>
    <w:uiPriority w:val="0"/>
    <w:qFormat/>
    <w:rPr>
      <w:b/>
      <w:bCs/>
      <w:smallCaps/>
      <w:color w:val="c0504d"/>
      <w:spacing w:val="5"/>
      <w:u w:val="single"/>
    </w:rPr>
  </w:style>
  <w:style w:type="character" w:styleId="1107" w:customStyle="1">
    <w:name w:val="不明显参考11"/>
    <w:uiPriority w:val="0"/>
    <w:qFormat/>
    <w:rPr>
      <w:smallCaps/>
      <w:color w:val="c0504d"/>
      <w:u w:val="single"/>
    </w:rPr>
  </w:style>
  <w:style w:type="character" w:styleId="1108" w:customStyle="1">
    <w:name w:val="不明显强调11"/>
    <w:uiPriority w:val="0"/>
    <w:qFormat/>
    <w:rPr>
      <w:i/>
      <w:iCs/>
      <w:color w:val="808080"/>
    </w:rPr>
  </w:style>
  <w:style w:type="character" w:styleId="1109" w:customStyle="1">
    <w:name w:val="明显强调11"/>
    <w:uiPriority w:val="0"/>
    <w:qFormat/>
    <w:rPr>
      <w:b/>
      <w:bCs/>
      <w:i/>
      <w:iCs/>
      <w:color w:val="4f81bd"/>
    </w:rPr>
  </w:style>
  <w:style w:type="paragraph" w:styleId="1110" w:customStyle="1">
    <w:name w:val="列出段落111"/>
    <w:basedOn w:val="716"/>
    <w:uiPriority w:val="0"/>
    <w:qFormat/>
    <w:pPr>
      <w:ind w:firstLine="420"/>
      <w:jc w:val="both"/>
    </w:pPr>
    <w:rPr>
      <w:rFonts w:eastAsia="宋体"/>
      <w:sz w:val="21"/>
      <w:lang w:eastAsia="zh-CN"/>
    </w:rPr>
  </w:style>
  <w:style w:type="paragraph" w:styleId="1111" w:customStyle="1">
    <w:name w:val="修订11"/>
    <w:uiPriority w:val="0"/>
    <w:qFormat/>
    <w:rPr>
      <w:rFonts w:ascii="Times New Roman" w:hAnsi="Times New Roman" w:eastAsia="宋体" w:cs="Times New Roman"/>
      <w:sz w:val="21"/>
      <w:szCs w:val="24"/>
      <w:lang w:val="en-US" w:eastAsia="zh-CN" w:bidi="ar-SA"/>
    </w:rPr>
  </w:style>
  <w:style w:type="character" w:styleId="1112" w:customStyle="1">
    <w:name w:val="fontstyle01"/>
    <w:uiPriority w:val="0"/>
    <w:qFormat/>
    <w:rPr>
      <w:rFonts w:hint="eastAsia" w:ascii="仿宋_GB2312" w:eastAsia="仿宋_GB2312"/>
      <w:color w:val="000000"/>
      <w:sz w:val="32"/>
      <w:szCs w:val="32"/>
    </w:rPr>
  </w:style>
  <w:style w:type="character" w:styleId="1113" w:customStyle="1">
    <w:name w:val="fontstyle21"/>
    <w:uiPriority w:val="0"/>
    <w:qFormat/>
    <w:rPr>
      <w:rFonts w:hint="default" w:ascii="Times New Roman" w:hAnsi="Times New Roman" w:cs="Times New Roman"/>
      <w:color w:val="000000"/>
      <w:sz w:val="32"/>
      <w:szCs w:val="32"/>
    </w:rPr>
  </w:style>
  <w:style w:type="paragraph" w:styleId="1114" w:customStyle="1">
    <w:name w:val="正文文本1"/>
    <w:basedOn w:val="716"/>
    <w:uiPriority w:val="0"/>
    <w:qFormat/>
    <w:pPr>
      <w:ind w:firstLine="400"/>
      <w:spacing w:line="463" w:lineRule="auto"/>
    </w:pPr>
    <w:rPr>
      <w:rFonts w:ascii="宋体" w:hAnsi="宋体" w:eastAsia="宋体" w:cs="宋体"/>
      <w:sz w:val="40"/>
      <w:szCs w:val="40"/>
      <w:lang w:val="zh-CN" w:eastAsia="zh-CN" w:bidi="zh-CN"/>
    </w:rPr>
  </w:style>
  <w:style w:type="character" w:styleId="1115" w:customStyle="1">
    <w:name w:val="正文文本 字符"/>
    <w:basedOn w:val="726"/>
    <w:uiPriority w:val="0"/>
    <w:qFormat/>
    <w:rPr>
      <w:rFonts w:ascii="宋体" w:hAnsi="宋体" w:cs="宋体"/>
      <w:sz w:val="21"/>
      <w:szCs w:val="21"/>
      <w:lang w:val="zh-CN" w:bidi="zh-CN"/>
    </w:rPr>
  </w:style>
  <w:style w:type="character" w:styleId="1116" w:customStyle="1">
    <w:name w:val="页脚 字符"/>
    <w:basedOn w:val="726"/>
    <w:uiPriority w:val="0"/>
    <w:qFormat/>
    <w:rPr>
      <w:rFonts w:ascii="宋体" w:hAnsi="宋体" w:cs="宋体"/>
      <w:sz w:val="18"/>
      <w:szCs w:val="18"/>
      <w:lang w:val="zh-CN" w:bidi="zh-CN"/>
    </w:rPr>
  </w:style>
  <w:style w:type="character" w:styleId="1117" w:customStyle="1">
    <w:name w:val="批注文字 Char1"/>
    <w:basedOn w:val="726"/>
    <w:uiPriority w:val="0"/>
    <w:qFormat/>
    <w:rPr>
      <w:rFonts w:ascii="宋体" w:hAnsi="宋体" w:cs="宋体"/>
      <w:sz w:val="22"/>
      <w:szCs w:val="22"/>
      <w:lang w:val="zh-CN" w:bidi="zh-CN"/>
    </w:rPr>
  </w:style>
  <w:style w:type="character" w:styleId="1118" w:customStyle="1">
    <w:name w:val="正文文本缩进 2 Char1"/>
    <w:basedOn w:val="726"/>
    <w:uiPriority w:val="0"/>
    <w:qFormat/>
    <w:rPr>
      <w:rFonts w:ascii="宋体" w:hAnsi="宋体" w:cs="宋体"/>
      <w:sz w:val="22"/>
      <w:szCs w:val="22"/>
      <w:lang w:val="zh-CN" w:bidi="zh-CN"/>
    </w:rPr>
  </w:style>
  <w:style w:type="character" w:styleId="1119" w:customStyle="1">
    <w:name w:val="Char Char9"/>
    <w:uiPriority w:val="0"/>
    <w:qFormat/>
    <w:rPr>
      <w:rFonts w:ascii="Calibri" w:hAnsi="Calibri" w:eastAsia="宋体" w:cs="Times New Roman"/>
      <w:sz w:val="21"/>
      <w:szCs w:val="24"/>
    </w:rPr>
  </w:style>
  <w:style w:type="character" w:styleId="1120" w:customStyle="1">
    <w:name w:val="标题 字符1"/>
    <w:basedOn w:val="726"/>
    <w:uiPriority w:val="10"/>
    <w:qFormat/>
    <w:rPr>
      <w:rFonts w:ascii="Arial" w:hAnsi="Arial" w:eastAsia="黑体" w:cs="Times New Roman"/>
      <w:b/>
      <w:bCs/>
      <w:sz w:val="32"/>
      <w:szCs w:val="32"/>
      <w:lang w:val="zh-CN" w:bidi="zh-CN"/>
    </w:rPr>
  </w:style>
  <w:style w:type="paragraph" w:styleId="1121" w:customStyle="1">
    <w:name w:val="_Style 2"/>
    <w:basedOn w:val="716"/>
    <w:uiPriority w:val="0"/>
    <w:qFormat/>
    <w:pPr>
      <w:ind w:firstLine="420"/>
      <w:widowControl/>
    </w:pPr>
    <w:rPr>
      <w:rFonts w:eastAsia="宋体"/>
      <w:sz w:val="21"/>
      <w:lang w:eastAsia="zh-CN"/>
    </w:rPr>
  </w:style>
  <w:style w:type="paragraph" w:styleId="1122" w:customStyle="1">
    <w:name w:val="表格无间距"/>
    <w:basedOn w:val="716"/>
    <w:uiPriority w:val="0"/>
    <w:qFormat/>
    <w:pPr>
      <w:jc w:val="center"/>
      <w:spacing w:line="240" w:lineRule="atLeast"/>
      <w:widowControl/>
    </w:pPr>
    <w:rPr>
      <w:rFonts w:ascii="宋体" w:hAnsi="宋体" w:eastAsia="宋体" w:cs="宋体"/>
      <w:bCs/>
      <w:sz w:val="18"/>
      <w:szCs w:val="18"/>
      <w:lang w:eastAsia="zh-CN"/>
    </w:rPr>
  </w:style>
  <w:style w:type="character" w:styleId="1123" w:customStyle="1">
    <w:name w:val="rvts14"/>
    <w:uiPriority w:val="0"/>
    <w:qFormat/>
    <w:rPr>
      <w:rFonts w:hint="default" w:ascii="KNLe" w:hAnsi="KNLe" w:eastAsia="宋体" w:cs="Times New Roman"/>
      <w:color w:val="000000"/>
      <w:u w:val="single"/>
    </w:rPr>
  </w:style>
  <w:style w:type="character" w:styleId="1124" w:customStyle="1">
    <w:name w:val="rvts19"/>
    <w:uiPriority w:val="0"/>
    <w:qFormat/>
    <w:rPr>
      <w:rFonts w:hint="default" w:ascii="KNLe" w:hAnsi="KNLe" w:eastAsia="宋体" w:cs="Times New Roman"/>
      <w:sz w:val="24"/>
      <w:szCs w:val="24"/>
    </w:rPr>
  </w:style>
  <w:style w:type="character" w:styleId="1125" w:customStyle="1">
    <w:name w:val="rvts7"/>
    <w:uiPriority w:val="0"/>
    <w:qFormat/>
    <w:rPr>
      <w:rFonts w:hint="default" w:ascii=":ZLe" w:hAnsi=":ZLe" w:eastAsia="宋体" w:cs="Times New Roman"/>
      <w:sz w:val="32"/>
      <w:szCs w:val="32"/>
    </w:rPr>
  </w:style>
  <w:style w:type="character" w:styleId="1126" w:customStyle="1">
    <w:name w:val="rvts12"/>
    <w:uiPriority w:val="0"/>
    <w:qFormat/>
    <w:rPr>
      <w:rFonts w:hint="default" w:ascii="KNLe" w:hAnsi="KNLe" w:eastAsia="宋体" w:cs="Times New Roman"/>
      <w:b/>
      <w:bCs/>
      <w:u w:val="single"/>
    </w:rPr>
  </w:style>
  <w:style w:type="character" w:styleId="1127" w:customStyle="1">
    <w:name w:val="正文文本 3 Char1"/>
    <w:basedOn w:val="726"/>
    <w:uiPriority w:val="99"/>
    <w:qFormat/>
    <w:rPr>
      <w:rFonts w:ascii="宋体" w:hAnsi="宋体" w:cs="宋体"/>
      <w:sz w:val="16"/>
      <w:szCs w:val="16"/>
      <w:lang w:val="zh-CN" w:bidi="zh-CN"/>
    </w:rPr>
  </w:style>
  <w:style w:type="paragraph" w:styleId="1128" w:customStyle="1">
    <w:name w:val="rvps1"/>
    <w:basedOn w:val="716"/>
    <w:uiPriority w:val="99"/>
    <w:qFormat/>
    <w:pPr>
      <w:jc w:val="center"/>
      <w:widowControl/>
    </w:pPr>
    <w:rPr>
      <w:rFonts w:ascii="Times New Roman" w:hAnsi="Times New Roman" w:eastAsia="宋体"/>
      <w:sz w:val="24"/>
      <w:szCs w:val="24"/>
      <w:lang w:eastAsia="zh-CN"/>
    </w:rPr>
  </w:style>
  <w:style w:type="paragraph" w:styleId="1129" w:customStyle="1">
    <w:name w:val="rvps2"/>
    <w:basedOn w:val="716"/>
    <w:uiPriority w:val="0"/>
    <w:qFormat/>
    <w:pPr>
      <w:jc w:val="both"/>
      <w:widowControl/>
    </w:pPr>
    <w:rPr>
      <w:rFonts w:ascii="宋体" w:hAnsi="宋体" w:eastAsia="宋体" w:cs="宋体"/>
      <w:sz w:val="24"/>
      <w:szCs w:val="24"/>
      <w:lang w:eastAsia="zh-CN"/>
    </w:rPr>
  </w:style>
  <w:style w:type="character" w:styleId="1130" w:customStyle="1">
    <w:name w:val="普通文字 Char Char1"/>
    <w:uiPriority w:val="0"/>
    <w:qFormat/>
    <w:rPr>
      <w:rFonts w:ascii="宋体" w:hAnsi="Courier New" w:eastAsia="宋体" w:cs="Times New Roman"/>
      <w:sz w:val="21"/>
      <w:szCs w:val="21"/>
      <w:lang w:val="en-US" w:eastAsia="zh-CN" w:bidi="ar-SA"/>
    </w:rPr>
  </w:style>
  <w:style w:type="character" w:styleId="1131" w:customStyle="1">
    <w:name w:val="称呼 Char1"/>
    <w:basedOn w:val="726"/>
    <w:uiPriority w:val="99"/>
    <w:qFormat/>
    <w:rPr>
      <w:rFonts w:ascii="宋体" w:hAnsi="宋体" w:cs="宋体"/>
      <w:sz w:val="22"/>
      <w:szCs w:val="22"/>
      <w:lang w:val="zh-CN" w:bidi="zh-CN"/>
    </w:rPr>
  </w:style>
  <w:style w:type="character" w:styleId="1132" w:customStyle="1">
    <w:name w:val="正文文本 2 Char1"/>
    <w:basedOn w:val="726"/>
    <w:uiPriority w:val="99"/>
    <w:qFormat/>
    <w:rPr>
      <w:rFonts w:ascii="宋体" w:hAnsi="宋体" w:cs="宋体"/>
      <w:sz w:val="22"/>
      <w:szCs w:val="22"/>
      <w:lang w:val="zh-CN" w:bidi="zh-CN"/>
    </w:rPr>
  </w:style>
  <w:style w:type="paragraph" w:styleId="1133" w:customStyle="1">
    <w:name w:val="目录文字"/>
    <w:basedOn w:val="716"/>
    <w:uiPriority w:val="0"/>
    <w:qFormat/>
    <w:pPr>
      <w:spacing w:line="480" w:lineRule="auto"/>
      <w:widowControl/>
    </w:pPr>
    <w:rPr>
      <w:rFonts w:ascii="宋体" w:hAnsi="宋体" w:eastAsia="宋体"/>
      <w:sz w:val="24"/>
      <w:szCs w:val="20"/>
      <w:lang w:eastAsia="zh-CN"/>
    </w:rPr>
  </w:style>
  <w:style w:type="paragraph" w:styleId="1134" w:customStyle="1">
    <w:name w:val="Char Char Char Char"/>
    <w:basedOn w:val="716"/>
    <w:uiPriority w:val="0"/>
    <w:qFormat/>
    <w:pPr>
      <w:jc w:val="both"/>
      <w:spacing w:line="360" w:lineRule="atLeast"/>
    </w:pPr>
    <w:rPr>
      <w:rFonts w:ascii="Tahoma" w:hAnsi="Tahoma" w:eastAsia="宋体"/>
      <w:sz w:val="24"/>
      <w:szCs w:val="20"/>
      <w:lang w:eastAsia="zh-CN"/>
    </w:rPr>
  </w:style>
  <w:style w:type="paragraph" w:styleId="1135" w:customStyle="1">
    <w:name w:val="p0"/>
    <w:basedOn w:val="716"/>
    <w:uiPriority w:val="99"/>
    <w:qFormat/>
    <w:pPr>
      <w:spacing w:before="100" w:beforeAutospacing="1" w:after="100" w:afterAutospacing="1"/>
      <w:widowControl/>
    </w:pPr>
    <w:rPr>
      <w:rFonts w:ascii="宋体" w:hAnsi="宋体" w:eastAsia="宋体" w:cs="宋体"/>
      <w:sz w:val="24"/>
      <w:szCs w:val="24"/>
      <w:lang w:eastAsia="zh-CN"/>
    </w:rPr>
  </w:style>
  <w:style w:type="paragraph" w:styleId="1136" w:customStyle="1">
    <w:name w:val="Char Char Char Char Char Char"/>
    <w:basedOn w:val="716"/>
    <w:uiPriority w:val="0"/>
    <w:qFormat/>
    <w:pPr>
      <w:spacing w:after="160" w:line="240" w:lineRule="exact"/>
      <w:widowControl/>
    </w:pPr>
    <w:rPr>
      <w:rFonts w:ascii="Arial" w:hAnsi="Arial" w:eastAsia="Times New Roman" w:cs="Verdana"/>
      <w:b/>
      <w:sz w:val="21"/>
      <w:szCs w:val="20"/>
    </w:rPr>
  </w:style>
  <w:style w:type="character" w:styleId="1137" w:customStyle="1">
    <w:name w:val="label11"/>
    <w:basedOn w:val="726"/>
    <w:uiPriority w:val="0"/>
    <w:qFormat/>
    <w:rPr>
      <w:rFonts w:ascii="Calibri" w:hAnsi="Calibri" w:eastAsia="宋体" w:cs="Times New Roman"/>
    </w:rPr>
  </w:style>
  <w:style w:type="character" w:styleId="1138" w:customStyle="1">
    <w:name w:val="rvts15"/>
    <w:uiPriority w:val="0"/>
    <w:qFormat/>
    <w:rPr>
      <w:rFonts w:hint="default" w:ascii="KNLe" w:hAnsi="KNLe"/>
      <w:color w:val="0000ff"/>
      <w:u w:val="single"/>
    </w:rPr>
  </w:style>
  <w:style w:type="character" w:styleId="1139" w:customStyle="1">
    <w:name w:val="明显引用 字符1"/>
    <w:basedOn w:val="726"/>
    <w:uiPriority w:val="30"/>
    <w:qFormat/>
    <w:rPr>
      <w:rFonts w:ascii="宋体" w:hAnsi="宋体" w:cs="宋体"/>
      <w:i/>
      <w:iCs/>
      <w:color w:val="4f81bd"/>
      <w:sz w:val="22"/>
      <w:szCs w:val="22"/>
      <w:lang w:val="zh-CN" w:bidi="zh-CN"/>
    </w:rPr>
  </w:style>
  <w:style w:type="character" w:styleId="1140" w:customStyle="1">
    <w:name w:val="label12"/>
    <w:basedOn w:val="726"/>
    <w:uiPriority w:val="0"/>
    <w:qFormat/>
    <w:rPr>
      <w:rFonts w:ascii="Calibri" w:hAnsi="Calibri" w:eastAsia="宋体" w:cs="Times New Roman"/>
    </w:rPr>
  </w:style>
  <w:style w:type="character" w:styleId="1141" w:customStyle="1">
    <w:name w:val="first-child"/>
    <w:basedOn w:val="726"/>
    <w:uiPriority w:val="0"/>
    <w:qFormat/>
    <w:rPr>
      <w:rFonts w:ascii="Calibri" w:hAnsi="Calibri" w:eastAsia="宋体" w:cs="Times New Roman"/>
    </w:rPr>
  </w:style>
  <w:style w:type="character" w:styleId="1142" w:customStyle="1">
    <w:name w:val="label10"/>
    <w:uiPriority w:val="0"/>
    <w:qFormat/>
    <w:rPr>
      <w:color w:val="1cc09f"/>
      <w:shd w:val="clear" w:color="auto" w:fill="ffffff"/>
    </w:rPr>
  </w:style>
  <w:style w:type="character" w:styleId="1143" w:customStyle="1">
    <w:name w:val="cdropright"/>
    <w:basedOn w:val="726"/>
    <w:uiPriority w:val="0"/>
    <w:qFormat/>
    <w:rPr>
      <w:rFonts w:ascii="Calibri" w:hAnsi="Calibri" w:eastAsia="宋体" w:cs="Times New Roman"/>
    </w:rPr>
  </w:style>
  <w:style w:type="character" w:styleId="1144" w:customStyle="1">
    <w:name w:val="1page sec3 Char2"/>
    <w:uiPriority w:val="0"/>
    <w:qFormat/>
    <w:rPr>
      <w:rFonts w:eastAsia="宋体"/>
      <w:sz w:val="18"/>
      <w:szCs w:val="18"/>
      <w:lang w:val="en-US" w:eastAsia="zh-CN" w:bidi="ar-SA"/>
    </w:rPr>
  </w:style>
  <w:style w:type="character" w:styleId="1145" w:customStyle="1">
    <w:name w:val="layui-this"/>
    <w:uiPriority w:val="0"/>
    <w:qFormat/>
    <w:rPr>
      <w:shd w:val="clear" w:color="auto" w:fill="ffffff"/>
    </w:rPr>
  </w:style>
  <w:style w:type="character" w:styleId="1146" w:customStyle="1">
    <w:name w:val="button"/>
    <w:basedOn w:val="726"/>
    <w:uiPriority w:val="0"/>
    <w:qFormat/>
    <w:rPr>
      <w:rFonts w:ascii="Calibri" w:hAnsi="Calibri" w:eastAsia="宋体" w:cs="Times New Roman"/>
    </w:rPr>
  </w:style>
  <w:style w:type="character" w:styleId="1147" w:customStyle="1">
    <w:name w:val="tmpztreemove_arrow"/>
    <w:basedOn w:val="726"/>
    <w:uiPriority w:val="0"/>
    <w:qFormat/>
    <w:rPr>
      <w:rFonts w:ascii="Calibri" w:hAnsi="Calibri" w:eastAsia="宋体" w:cs="Times New Roman"/>
    </w:rPr>
  </w:style>
  <w:style w:type="character" w:styleId="1148" w:customStyle="1">
    <w:name w:val="label9"/>
    <w:uiPriority w:val="0"/>
    <w:qFormat/>
    <w:rPr>
      <w:color w:val="1ab394"/>
      <w:shd w:val="clear" w:color="auto" w:fill="ffffff"/>
    </w:rPr>
  </w:style>
  <w:style w:type="character" w:styleId="1149" w:customStyle="1">
    <w:name w:val="引用 字符1"/>
    <w:basedOn w:val="726"/>
    <w:uiPriority w:val="29"/>
    <w:qFormat/>
    <w:rPr>
      <w:rFonts w:ascii="宋体" w:hAnsi="宋体" w:cs="宋体"/>
      <w:i/>
      <w:iCs/>
      <w:color w:val="404040"/>
      <w:sz w:val="22"/>
      <w:szCs w:val="22"/>
      <w:lang w:val="zh-CN" w:bidi="zh-CN"/>
    </w:rPr>
  </w:style>
  <w:style w:type="character" w:styleId="1150" w:customStyle="1">
    <w:name w:val="引用 Char2"/>
    <w:basedOn w:val="726"/>
    <w:uiPriority w:val="99"/>
    <w:qFormat/>
    <w:rPr>
      <w:rFonts w:ascii="宋体" w:hAnsi="宋体" w:cs="宋体"/>
      <w:i/>
      <w:iCs/>
      <w:color w:val="000000"/>
      <w:sz w:val="22"/>
      <w:szCs w:val="22"/>
      <w:lang w:val="zh-CN" w:bidi="zh-CN"/>
    </w:rPr>
  </w:style>
  <w:style w:type="character" w:styleId="1151" w:customStyle="1">
    <w:name w:val="cdropleft"/>
    <w:basedOn w:val="726"/>
    <w:uiPriority w:val="0"/>
    <w:qFormat/>
    <w:rPr>
      <w:rFonts w:ascii="Calibri" w:hAnsi="Calibri" w:eastAsia="宋体" w:cs="Times New Roman"/>
    </w:rPr>
  </w:style>
  <w:style w:type="paragraph" w:styleId="1152" w:customStyle="1">
    <w:name w:val="空半行"/>
    <w:basedOn w:val="716"/>
    <w:uiPriority w:val="0"/>
    <w:qFormat/>
    <w:pPr>
      <w:jc w:val="both"/>
      <w:spacing w:line="120" w:lineRule="exact"/>
    </w:pPr>
    <w:rPr>
      <w:rFonts w:ascii="Times New Roman" w:hAnsi="Times New Roman" w:eastAsia="仿宋_GB2312"/>
      <w:color w:val="ffffff"/>
      <w:sz w:val="30"/>
      <w:szCs w:val="20"/>
      <w:lang w:eastAsia="zh-CN"/>
    </w:rPr>
  </w:style>
  <w:style w:type="paragraph" w:styleId="1153" w:customStyle="1">
    <w:name w:val="aspnumfaautoadjustrightr"/>
    <w:uiPriority w:val="0"/>
    <w:unhideWhenUsed/>
    <w:qFormat/>
    <w:pPr>
      <w:ind w:firstLine="720"/>
      <w:jc w:val="both"/>
      <w:widowControl w:val="off"/>
    </w:pPr>
    <w:rPr>
      <w:rFonts w:hint="eastAsia" w:ascii="Times New Roman" w:hAnsi="Times New Roman" w:eastAsia="宋体" w:cs="Times New Roman"/>
      <w:sz w:val="21"/>
      <w:szCs w:val="22"/>
      <w:lang w:val="en-US" w:eastAsia="zh-CN" w:bidi="ar-SA"/>
    </w:rPr>
  </w:style>
  <w:style w:type="paragraph" w:styleId="1154" w:customStyle="1">
    <w:name w:val="flNote"/>
    <w:basedOn w:val="716"/>
    <w:uiPriority w:val="0"/>
    <w:qFormat/>
    <w:pPr>
      <w:jc w:val="center"/>
      <w:spacing w:before="320" w:after="160" w:line="360" w:lineRule="atLeast"/>
    </w:pPr>
    <w:rPr>
      <w:rFonts w:ascii="Arial" w:hAnsi="Times New Roman" w:eastAsia="黑体"/>
      <w:sz w:val="30"/>
      <w:szCs w:val="20"/>
      <w:lang w:eastAsia="zh-CN"/>
    </w:rPr>
  </w:style>
  <w:style w:type="paragraph" w:styleId="1155" w:customStyle="1">
    <w:name w:val="投标文件二级标题"/>
    <w:basedOn w:val="718"/>
    <w:uiPriority w:val="0"/>
    <w:qFormat/>
    <w:pPr>
      <w:ind w:left="223"/>
      <w:jc w:val="both"/>
      <w:keepLines/>
      <w:keepNext/>
      <w:spacing w:before="480" w:after="120" w:line="400" w:lineRule="exact"/>
      <w:tabs>
        <w:tab w:val="left" w:pos="576" w:leader="none"/>
      </w:tabs>
    </w:pPr>
    <w:rPr>
      <w:rFonts w:ascii="Cambria" w:hAnsi="Cambria" w:eastAsia="宋体"/>
      <w:sz w:val="32"/>
      <w:szCs w:val="28"/>
      <w:lang w:val="zh-CN" w:eastAsia="zh-CN"/>
    </w:rPr>
  </w:style>
  <w:style w:type="paragraph" w:styleId="1156" w:customStyle="1">
    <w:name w:val="xl31"/>
    <w:basedOn w:val="716"/>
    <w:uiPriority w:val="0"/>
    <w:qFormat/>
    <w:pPr>
      <w:jc w:val="center"/>
      <w:spacing w:before="100" w:beforeAutospacing="1" w:after="100" w:afterAutospacing="1"/>
      <w:widowControl/>
      <w:pBdr>
        <w:left w:val="single" w:color="auto" w:sz="4" w:space="0"/>
        <w:bottom w:val="single" w:color="auto" w:sz="4" w:space="0"/>
      </w:pBdr>
    </w:pPr>
    <w:rPr>
      <w:rFonts w:ascii="宋体" w:hAnsi="宋体" w:eastAsia="宋体"/>
      <w:sz w:val="24"/>
      <w:szCs w:val="24"/>
      <w:lang w:eastAsia="zh-CN"/>
    </w:rPr>
  </w:style>
  <w:style w:type="paragraph" w:styleId="1157" w:customStyle="1">
    <w:name w:val="标题3_0"/>
    <w:basedOn w:val="988"/>
    <w:uiPriority w:val="0"/>
    <w:qFormat/>
    <w:pPr>
      <w:jc w:val="center"/>
      <w:outlineLvl w:val="2"/>
    </w:pPr>
    <w:rPr>
      <w:rFonts w:ascii="黑体" w:hAnsi="黑体" w:eastAsia="黑体"/>
      <w:b/>
      <w:sz w:val="32"/>
      <w:szCs w:val="32"/>
    </w:rPr>
  </w:style>
  <w:style w:type="paragraph" w:styleId="1158" w:customStyle="1">
    <w:name w:val="正文_0_0_0_0"/>
    <w:uiPriority w:val="99"/>
    <w:qFormat/>
    <w:pPr>
      <w:jc w:val="both"/>
      <w:widowControl w:val="off"/>
    </w:pPr>
    <w:rPr>
      <w:rFonts w:ascii="Times New Roman" w:hAnsi="Times New Roman" w:eastAsia="宋体" w:cs="Times New Roman"/>
      <w:lang w:val="en-US" w:eastAsia="zh-CN" w:bidi="ar-SA"/>
    </w:rPr>
  </w:style>
  <w:style w:type="paragraph" w:styleId="1159" w:customStyle="1">
    <w:name w:val="Normal_0_2_0"/>
    <w:uiPriority w:val="0"/>
    <w:qFormat/>
    <w:pPr>
      <w:jc w:val="both"/>
      <w:widowControl w:val="off"/>
    </w:pPr>
    <w:rPr>
      <w:rFonts w:ascii="Calibri" w:hAnsi="Calibri" w:eastAsia="宋体" w:cs="Times New Roman"/>
      <w:lang w:val="en-US" w:eastAsia="zh-CN" w:bidi="ar-SA"/>
    </w:rPr>
  </w:style>
  <w:style w:type="paragraph" w:styleId="1160" w:customStyle="1">
    <w:name w:val="Normal_0_2"/>
    <w:uiPriority w:val="0"/>
    <w:qFormat/>
    <w:pPr>
      <w:jc w:val="both"/>
      <w:widowControl w:val="off"/>
    </w:pPr>
    <w:rPr>
      <w:rFonts w:ascii="Calibri" w:hAnsi="Calibri" w:eastAsia="宋体" w:cs="Times New Roman"/>
      <w:lang w:val="en-US" w:eastAsia="zh-CN" w:bidi="ar-SA"/>
    </w:rPr>
  </w:style>
  <w:style w:type="paragraph" w:styleId="1161" w:customStyle="1">
    <w:name w:val="Normal_4"/>
    <w:uiPriority w:val="0"/>
    <w:qFormat/>
    <w:pPr>
      <w:jc w:val="both"/>
      <w:widowControl w:val="off"/>
    </w:pPr>
    <w:rPr>
      <w:rFonts w:ascii="Times New Roman" w:hAnsi="Times New Roman" w:eastAsia="宋体" w:cs="Times New Roman"/>
      <w:lang w:val="en-US" w:eastAsia="zh-CN" w:bidi="ar-SA"/>
    </w:rPr>
  </w:style>
  <w:style w:type="paragraph" w:styleId="1162" w:customStyle="1">
    <w:name w:val="正文_3_0"/>
    <w:uiPriority w:val="99"/>
    <w:qFormat/>
    <w:pPr>
      <w:jc w:val="both"/>
      <w:widowControl w:val="off"/>
    </w:pPr>
    <w:rPr>
      <w:rFonts w:ascii="Calibri" w:hAnsi="Calibri" w:eastAsia="宋体" w:cs="Times New Roman"/>
      <w:lang w:val="en-US" w:eastAsia="zh-CN" w:bidi="ar-SA"/>
    </w:rPr>
  </w:style>
  <w:style w:type="paragraph" w:styleId="1163" w:customStyle="1">
    <w:name w:val="正文_5_1"/>
    <w:uiPriority w:val="0"/>
    <w:qFormat/>
    <w:pPr>
      <w:jc w:val="both"/>
      <w:widowControl w:val="off"/>
    </w:pPr>
    <w:rPr>
      <w:rFonts w:ascii="Calibri" w:hAnsi="Calibri" w:eastAsia="宋体" w:cs="Times New Roman"/>
      <w:sz w:val="21"/>
      <w:szCs w:val="22"/>
      <w:lang w:val="en-US" w:eastAsia="zh-CN" w:bidi="ar-SA"/>
    </w:rPr>
  </w:style>
  <w:style w:type="character" w:styleId="1164" w:customStyle="1">
    <w:name w:val="ca-10_0"/>
    <w:uiPriority w:val="0"/>
    <w:qFormat/>
    <w:rPr>
      <w:rFonts w:ascii="Calibri" w:hAnsi="Calibri" w:eastAsia="Times New Roman"/>
      <w:lang w:val="en-US" w:eastAsia="zh-CN" w:bidi="ar-SA"/>
    </w:rPr>
  </w:style>
  <w:style w:type="paragraph" w:styleId="1165" w:customStyle="1">
    <w:name w:val="pa-13_0"/>
    <w:basedOn w:val="985"/>
    <w:uiPriority w:val="0"/>
    <w:qFormat/>
    <w:pPr>
      <w:jc w:val="left"/>
      <w:spacing w:before="100" w:beforeAutospacing="1" w:after="100" w:afterAutospacing="1"/>
      <w:widowControl/>
    </w:pPr>
    <w:rPr>
      <w:rFonts w:ascii="宋体" w:hAnsi="宋体" w:eastAsia="Times New Roman"/>
      <w:sz w:val="24"/>
      <w:szCs w:val="24"/>
    </w:rPr>
  </w:style>
  <w:style w:type="character" w:styleId="1166" w:customStyle="1">
    <w:name w:val="ca-2_0"/>
    <w:uiPriority w:val="0"/>
    <w:qFormat/>
    <w:rPr>
      <w:rFonts w:ascii="Calibri" w:hAnsi="Calibri" w:eastAsia="Times New Roman"/>
      <w:lang w:val="en-US" w:eastAsia="zh-CN" w:bidi="ar-SA"/>
    </w:rPr>
  </w:style>
  <w:style w:type="paragraph" w:styleId="1167" w:customStyle="1">
    <w:name w:val="pa-15_1"/>
    <w:basedOn w:val="985"/>
    <w:uiPriority w:val="0"/>
    <w:qFormat/>
    <w:pPr>
      <w:jc w:val="left"/>
      <w:spacing w:before="100" w:beforeAutospacing="1" w:after="100" w:afterAutospacing="1"/>
      <w:widowControl/>
    </w:pPr>
    <w:rPr>
      <w:rFonts w:ascii="宋体" w:hAnsi="宋体" w:eastAsia="Times New Roman"/>
      <w:sz w:val="24"/>
      <w:szCs w:val="24"/>
    </w:rPr>
  </w:style>
  <w:style w:type="character" w:styleId="1168" w:customStyle="1">
    <w:name w:val="apple-converted-space_0"/>
    <w:uiPriority w:val="0"/>
    <w:qFormat/>
    <w:rPr>
      <w:rFonts w:ascii="Calibri" w:hAnsi="Calibri" w:eastAsia="Times New Roman"/>
      <w:lang w:val="en-US" w:eastAsia="zh-CN" w:bidi="ar-SA"/>
    </w:rPr>
  </w:style>
  <w:style w:type="paragraph" w:styleId="1169" w:customStyle="1">
    <w:name w:val="pa-16_0"/>
    <w:basedOn w:val="985"/>
    <w:uiPriority w:val="0"/>
    <w:qFormat/>
    <w:pPr>
      <w:jc w:val="left"/>
      <w:spacing w:before="100" w:beforeAutospacing="1" w:after="100" w:afterAutospacing="1"/>
      <w:widowControl/>
    </w:pPr>
    <w:rPr>
      <w:rFonts w:ascii="宋体" w:hAnsi="宋体" w:eastAsia="Times New Roman"/>
      <w:sz w:val="24"/>
      <w:szCs w:val="24"/>
    </w:rPr>
  </w:style>
  <w:style w:type="paragraph" w:styleId="1170" w:customStyle="1">
    <w:name w:val="xl77"/>
    <w:basedOn w:val="716"/>
    <w:uiPriority w:val="0"/>
    <w:qFormat/>
    <w:pPr>
      <w:jc w:val="center"/>
      <w:spacing w:before="100" w:beforeAutospacing="1" w:after="100" w:afterAutospacing="1"/>
      <w:widowControl/>
      <w:pBdr>
        <w:top w:val="single" w:color="000000" w:sz="8" w:space="0"/>
        <w:right w:val="single" w:color="000000" w:sz="4" w:space="0"/>
      </w:pBdr>
    </w:pPr>
    <w:rPr>
      <w:rFonts w:ascii="宋体" w:hAnsi="宋体" w:eastAsia="宋体" w:cs="宋体"/>
      <w:b/>
      <w:bCs/>
      <w:sz w:val="24"/>
      <w:szCs w:val="24"/>
      <w:lang w:eastAsia="zh-CN"/>
    </w:rPr>
  </w:style>
  <w:style w:type="paragraph" w:styleId="1171" w:customStyle="1">
    <w:name w:val="xl78"/>
    <w:basedOn w:val="716"/>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4"/>
      <w:szCs w:val="24"/>
      <w:lang w:eastAsia="zh-CN"/>
    </w:rPr>
  </w:style>
  <w:style w:type="paragraph" w:styleId="1172" w:customStyle="1">
    <w:name w:val="xl79"/>
    <w:basedOn w:val="716"/>
    <w:uiPriority w:val="0"/>
    <w:qFormat/>
    <w:pPr>
      <w:jc w:val="center"/>
      <w:spacing w:before="100" w:beforeAutospacing="1" w:after="100" w:afterAutospacing="1"/>
      <w:widowControl/>
      <w:pBdr>
        <w:bottom w:val="single" w:color="000000" w:sz="4" w:space="0"/>
        <w:right w:val="single" w:color="000000" w:sz="4" w:space="0"/>
      </w:pBdr>
    </w:pPr>
    <w:rPr>
      <w:rFonts w:ascii="宋体" w:hAnsi="宋体" w:eastAsia="宋体" w:cs="宋体"/>
      <w:b/>
      <w:bCs/>
      <w:sz w:val="24"/>
      <w:szCs w:val="24"/>
      <w:lang w:eastAsia="zh-CN"/>
    </w:rPr>
  </w:style>
  <w:style w:type="paragraph" w:styleId="1173" w:customStyle="1">
    <w:name w:val="xl80"/>
    <w:basedOn w:val="716"/>
    <w:uiPriority w:val="0"/>
    <w:qFormat/>
    <w:pPr>
      <w:jc w:val="center"/>
      <w:spacing w:before="100" w:beforeAutospacing="1" w:after="100" w:afterAutospacing="1"/>
      <w:widowControl/>
    </w:pPr>
    <w:rPr>
      <w:rFonts w:ascii="宋体" w:hAnsi="宋体" w:eastAsia="宋体" w:cs="宋体"/>
      <w:sz w:val="24"/>
      <w:szCs w:val="24"/>
      <w:lang w:eastAsia="zh-CN"/>
    </w:rPr>
  </w:style>
  <w:style w:type="paragraph" w:styleId="1174" w:customStyle="1">
    <w:name w:val="xl81"/>
    <w:basedOn w:val="716"/>
    <w:uiPriority w:val="0"/>
    <w:qFormat/>
    <w:pPr>
      <w:spacing w:before="100" w:beforeAutospacing="1" w:after="100" w:afterAutospacing="1"/>
      <w:widowControl/>
    </w:pPr>
    <w:rPr>
      <w:rFonts w:ascii="宋体" w:hAnsi="宋体" w:eastAsia="宋体" w:cs="宋体"/>
      <w:sz w:val="24"/>
      <w:szCs w:val="24"/>
      <w:lang w:eastAsia="zh-CN"/>
    </w:rPr>
  </w:style>
  <w:style w:type="paragraph" w:styleId="1175" w:customStyle="1">
    <w:name w:val="xl82"/>
    <w:basedOn w:val="716"/>
    <w:uiPriority w:val="0"/>
    <w:qFormat/>
    <w:pPr>
      <w:jc w:val="center"/>
      <w:spacing w:before="100" w:beforeAutospacing="1" w:after="100" w:afterAutospacing="1"/>
      <w:widowControl/>
      <w:pBdr>
        <w:top w:val="single" w:color="000000" w:sz="4" w:space="0"/>
        <w:left w:val="single" w:color="000000" w:sz="8" w:space="0"/>
        <w:right w:val="single" w:color="000000" w:sz="4" w:space="0"/>
      </w:pBdr>
    </w:pPr>
    <w:rPr>
      <w:rFonts w:ascii="宋体" w:hAnsi="宋体" w:eastAsia="宋体" w:cs="宋体"/>
      <w:sz w:val="24"/>
      <w:szCs w:val="24"/>
      <w:lang w:eastAsia="zh-CN"/>
    </w:rPr>
  </w:style>
  <w:style w:type="paragraph" w:styleId="1176" w:customStyle="1">
    <w:name w:val="xl83"/>
    <w:basedOn w:val="71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lang w:eastAsia="zh-CN"/>
    </w:rPr>
  </w:style>
  <w:style w:type="paragraph" w:styleId="1177" w:customStyle="1">
    <w:name w:val="xl84"/>
    <w:basedOn w:val="716"/>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lang w:eastAsia="zh-CN"/>
    </w:rPr>
  </w:style>
  <w:style w:type="paragraph" w:styleId="1178" w:customStyle="1">
    <w:name w:val="xl85"/>
    <w:basedOn w:val="716"/>
    <w:uiPriority w:val="0"/>
    <w:qFormat/>
    <w:pPr>
      <w:jc w:val="center"/>
      <w:spacing w:before="100" w:beforeAutospacing="1" w:after="100" w:afterAutospacing="1"/>
      <w:widowControl/>
      <w:pBdr>
        <w:top w:val="single" w:color="000000" w:sz="4" w:space="0"/>
        <w:right w:val="single" w:color="000000" w:sz="4" w:space="0"/>
      </w:pBdr>
    </w:pPr>
    <w:rPr>
      <w:rFonts w:ascii="宋体" w:hAnsi="宋体" w:eastAsia="宋体" w:cs="宋体"/>
      <w:sz w:val="24"/>
      <w:szCs w:val="24"/>
      <w:lang w:eastAsia="zh-CN"/>
    </w:rPr>
  </w:style>
  <w:style w:type="paragraph" w:styleId="1179" w:customStyle="1">
    <w:name w:val="xl86"/>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lang w:eastAsia="zh-CN"/>
    </w:rPr>
  </w:style>
  <w:style w:type="paragraph" w:styleId="1180" w:customStyle="1">
    <w:name w:val="xl87"/>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lang w:eastAsia="zh-CN"/>
    </w:rPr>
  </w:style>
  <w:style w:type="paragraph" w:styleId="1181" w:customStyle="1">
    <w:name w:val="xl88"/>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lang w:eastAsia="zh-CN"/>
    </w:rPr>
  </w:style>
  <w:style w:type="paragraph" w:styleId="1182" w:customStyle="1">
    <w:name w:val="xl89"/>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lang w:eastAsia="zh-CN"/>
    </w:rPr>
  </w:style>
  <w:style w:type="paragraph" w:styleId="1183" w:customStyle="1">
    <w:name w:val="xl90"/>
    <w:basedOn w:val="716"/>
    <w:uiPriority w:val="0"/>
    <w:qFormat/>
    <w:pPr>
      <w:jc w:val="center"/>
      <w:spacing w:before="100" w:beforeAutospacing="1" w:after="100" w:afterAutospacing="1"/>
      <w:widowControl/>
      <w:pBdr>
        <w:top w:val="single" w:color="000000" w:sz="4" w:space="0"/>
        <w:left w:val="single" w:color="000000" w:sz="4" w:space="0"/>
        <w:bottom w:val="single" w:color="auto" w:sz="4" w:space="0"/>
      </w:pBdr>
    </w:pPr>
    <w:rPr>
      <w:rFonts w:ascii="宋体" w:hAnsi="宋体" w:eastAsia="宋体" w:cs="宋体"/>
      <w:sz w:val="24"/>
      <w:szCs w:val="24"/>
      <w:lang w:eastAsia="zh-CN"/>
    </w:rPr>
  </w:style>
  <w:style w:type="paragraph" w:styleId="1184" w:customStyle="1">
    <w:name w:val="xl91"/>
    <w:basedOn w:val="716"/>
    <w:uiPriority w:val="0"/>
    <w:qFormat/>
    <w:pPr>
      <w:jc w:val="center"/>
      <w:spacing w:before="100" w:beforeAutospacing="1" w:after="100" w:afterAutospacing="1"/>
      <w:widowControl/>
      <w:pBdr>
        <w:top w:val="single" w:color="000000" w:sz="4" w:space="0"/>
        <w:bottom w:val="single" w:color="auto" w:sz="4" w:space="0"/>
        <w:right w:val="single" w:color="000000" w:sz="4" w:space="0"/>
      </w:pBdr>
    </w:pPr>
    <w:rPr>
      <w:rFonts w:ascii="宋体" w:hAnsi="宋体" w:eastAsia="宋体" w:cs="宋体"/>
      <w:sz w:val="24"/>
      <w:szCs w:val="24"/>
      <w:lang w:eastAsia="zh-CN"/>
    </w:rPr>
  </w:style>
  <w:style w:type="paragraph" w:styleId="1185" w:customStyle="1">
    <w:name w:val="xl92"/>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sz w:val="24"/>
      <w:szCs w:val="24"/>
      <w:lang w:eastAsia="zh-CN"/>
    </w:rPr>
  </w:style>
  <w:style w:type="paragraph" w:styleId="1186" w:customStyle="1">
    <w:name w:val="xl93"/>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18"/>
      <w:szCs w:val="18"/>
      <w:lang w:eastAsia="zh-CN"/>
    </w:rPr>
  </w:style>
  <w:style w:type="paragraph" w:styleId="1187" w:customStyle="1">
    <w:name w:val="xl94"/>
    <w:basedOn w:val="716"/>
    <w:uiPriority w:val="0"/>
    <w:qFormat/>
    <w:pPr>
      <w:jc w:val="center"/>
      <w:spacing w:before="100" w:beforeAutospacing="1" w:after="100" w:afterAutospacing="1"/>
      <w:widowControl/>
      <w:pBdr>
        <w:top w:val="single" w:color="000000" w:sz="8" w:space="0"/>
        <w:left w:val="single" w:color="000000" w:sz="4" w:space="0"/>
        <w:bottom w:val="single" w:color="000000" w:sz="4" w:space="0"/>
      </w:pBdr>
    </w:pPr>
    <w:rPr>
      <w:rFonts w:ascii="宋体" w:hAnsi="宋体" w:eastAsia="宋体" w:cs="宋体"/>
      <w:sz w:val="24"/>
      <w:szCs w:val="24"/>
      <w:lang w:eastAsia="zh-CN"/>
    </w:rPr>
  </w:style>
  <w:style w:type="paragraph" w:styleId="1188" w:customStyle="1">
    <w:name w:val="xl95"/>
    <w:basedOn w:val="716"/>
    <w:uiPriority w:val="0"/>
    <w:qFormat/>
    <w:pPr>
      <w:jc w:val="center"/>
      <w:spacing w:before="100" w:beforeAutospacing="1" w:after="100" w:afterAutospacing="1"/>
      <w:widowControl/>
      <w:pBdr>
        <w:top w:val="single" w:color="000000" w:sz="8" w:space="0"/>
        <w:bottom w:val="single" w:color="000000" w:sz="4" w:space="0"/>
        <w:right w:val="single" w:color="000000" w:sz="4" w:space="0"/>
      </w:pBdr>
    </w:pPr>
    <w:rPr>
      <w:rFonts w:ascii="宋体" w:hAnsi="宋体" w:eastAsia="宋体" w:cs="宋体"/>
      <w:sz w:val="24"/>
      <w:szCs w:val="24"/>
      <w:lang w:eastAsia="zh-CN"/>
    </w:rPr>
  </w:style>
  <w:style w:type="paragraph" w:styleId="1189" w:customStyle="1">
    <w:name w:val="xl96"/>
    <w:basedOn w:val="716"/>
    <w:uiPriority w:val="0"/>
    <w:qFormat/>
    <w:pPr>
      <w:jc w:val="center"/>
      <w:spacing w:before="100" w:beforeAutospacing="1" w:after="100" w:afterAutospacing="1"/>
      <w:widowControl/>
      <w:pBdr>
        <w:top w:val="single" w:color="000000" w:sz="4" w:space="0"/>
        <w:left w:val="single" w:color="000000" w:sz="8" w:space="0"/>
        <w:bottom w:val="single" w:color="000000" w:sz="4" w:space="0"/>
      </w:pBdr>
    </w:pPr>
    <w:rPr>
      <w:rFonts w:ascii="宋体" w:hAnsi="宋体" w:eastAsia="宋体" w:cs="宋体"/>
      <w:b/>
      <w:bCs/>
      <w:sz w:val="18"/>
      <w:szCs w:val="18"/>
      <w:lang w:eastAsia="zh-CN"/>
    </w:rPr>
  </w:style>
  <w:style w:type="paragraph" w:styleId="1190" w:customStyle="1">
    <w:name w:val="xl97"/>
    <w:basedOn w:val="716"/>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18"/>
      <w:szCs w:val="18"/>
      <w:lang w:eastAsia="zh-CN"/>
    </w:rPr>
  </w:style>
  <w:style w:type="paragraph" w:styleId="1191" w:customStyle="1">
    <w:name w:val="xl98"/>
    <w:basedOn w:val="716"/>
    <w:uiPriority w:val="0"/>
    <w:qFormat/>
    <w:pPr>
      <w:jc w:val="center"/>
      <w:spacing w:before="100" w:beforeAutospacing="1" w:after="100" w:afterAutospacing="1"/>
      <w:widowControl/>
      <w:pBdr>
        <w:top w:val="single" w:color="000000" w:sz="8" w:space="0"/>
        <w:left w:val="single" w:color="000000" w:sz="4" w:space="0"/>
        <w:right w:val="single" w:color="000000" w:sz="4" w:space="0"/>
      </w:pBdr>
    </w:pPr>
    <w:rPr>
      <w:rFonts w:ascii="宋体" w:hAnsi="宋体" w:eastAsia="宋体" w:cs="宋体"/>
      <w:b/>
      <w:bCs/>
      <w:sz w:val="24"/>
      <w:szCs w:val="24"/>
      <w:lang w:eastAsia="zh-CN"/>
    </w:rPr>
  </w:style>
  <w:style w:type="paragraph" w:styleId="1192" w:customStyle="1">
    <w:name w:val="xl99"/>
    <w:basedOn w:val="716"/>
    <w:uiPriority w:val="0"/>
    <w:qFormat/>
    <w:pPr>
      <w:jc w:val="center"/>
      <w:spacing w:before="100" w:beforeAutospacing="1" w:after="100" w:afterAutospacing="1"/>
      <w:widowControl/>
    </w:pPr>
    <w:rPr>
      <w:rFonts w:ascii="宋体" w:hAnsi="宋体" w:eastAsia="宋体" w:cs="宋体"/>
      <w:b/>
      <w:bCs/>
      <w:sz w:val="24"/>
      <w:szCs w:val="24"/>
      <w:lang w:eastAsia="zh-CN"/>
    </w:rPr>
  </w:style>
  <w:style w:type="paragraph" w:styleId="1193" w:customStyle="1">
    <w:name w:val="xl100"/>
    <w:basedOn w:val="716"/>
    <w:uiPriority w:val="0"/>
    <w:qFormat/>
    <w:pPr>
      <w:jc w:val="center"/>
      <w:spacing w:before="100" w:beforeAutospacing="1" w:after="100" w:afterAutospacing="1"/>
      <w:widowControl/>
      <w:pBdr>
        <w:left w:val="single" w:color="000000" w:sz="8" w:space="0"/>
      </w:pBdr>
    </w:pPr>
    <w:rPr>
      <w:rFonts w:ascii="宋体" w:hAnsi="宋体" w:eastAsia="宋体" w:cs="宋体"/>
      <w:b/>
      <w:bCs/>
      <w:sz w:val="18"/>
      <w:szCs w:val="18"/>
      <w:lang w:eastAsia="zh-CN"/>
    </w:rPr>
  </w:style>
  <w:style w:type="paragraph" w:styleId="1194" w:customStyle="1">
    <w:name w:val="xl101"/>
    <w:basedOn w:val="716"/>
    <w:uiPriority w:val="0"/>
    <w:qFormat/>
    <w:pPr>
      <w:jc w:val="center"/>
      <w:spacing w:before="100" w:beforeAutospacing="1" w:after="100" w:afterAutospacing="1"/>
      <w:widowControl/>
    </w:pPr>
    <w:rPr>
      <w:rFonts w:ascii="宋体" w:hAnsi="宋体" w:eastAsia="宋体" w:cs="宋体"/>
      <w:b/>
      <w:bCs/>
      <w:sz w:val="18"/>
      <w:szCs w:val="18"/>
      <w:lang w:eastAsia="zh-CN"/>
    </w:rPr>
  </w:style>
  <w:style w:type="paragraph" w:styleId="1195" w:customStyle="1">
    <w:name w:val="xl102"/>
    <w:basedOn w:val="716"/>
    <w:uiPriority w:val="0"/>
    <w:qFormat/>
    <w:pPr>
      <w:jc w:val="center"/>
      <w:spacing w:before="100" w:beforeAutospacing="1" w:after="100" w:afterAutospacing="1"/>
      <w:widowControl/>
      <w:pBdr>
        <w:right w:val="single" w:color="auto" w:sz="4" w:space="0"/>
      </w:pBdr>
    </w:pPr>
    <w:rPr>
      <w:rFonts w:ascii="宋体" w:hAnsi="宋体" w:eastAsia="宋体" w:cs="宋体"/>
      <w:b/>
      <w:bCs/>
      <w:sz w:val="18"/>
      <w:szCs w:val="18"/>
      <w:lang w:eastAsia="zh-CN"/>
    </w:rPr>
  </w:style>
  <w:style w:type="paragraph" w:styleId="1196" w:customStyle="1">
    <w:name w:val="xl63"/>
    <w:basedOn w:val="716"/>
    <w:uiPriority w:val="0"/>
    <w:qFormat/>
    <w:pPr>
      <w:spacing w:before="100" w:beforeAutospacing="1" w:after="100" w:afterAutospacing="1"/>
      <w:widowControl/>
    </w:pPr>
    <w:rPr>
      <w:rFonts w:ascii="宋体" w:hAnsi="宋体" w:eastAsia="宋体" w:cs="宋体"/>
      <w:sz w:val="24"/>
      <w:szCs w:val="24"/>
      <w:lang w:eastAsia="zh-CN"/>
    </w:rPr>
  </w:style>
  <w:style w:type="paragraph" w:styleId="1197" w:customStyle="1">
    <w:name w:val="xl64"/>
    <w:basedOn w:val="716"/>
    <w:uiPriority w:val="0"/>
    <w:qFormat/>
    <w:pPr>
      <w:jc w:val="center"/>
      <w:spacing w:before="100" w:beforeAutospacing="1" w:after="100" w:afterAutospacing="1"/>
      <w:widowControl/>
    </w:pPr>
    <w:rPr>
      <w:rFonts w:ascii="宋体" w:hAnsi="宋体" w:eastAsia="宋体" w:cs="宋体"/>
      <w:sz w:val="24"/>
      <w:szCs w:val="24"/>
      <w:lang w:eastAsia="zh-CN"/>
    </w:rPr>
  </w:style>
  <w:style w:type="paragraph" w:styleId="1198" w:customStyle="1">
    <w:name w:val="正文样式"/>
    <w:basedOn w:val="716"/>
    <w:uiPriority w:val="0"/>
    <w:qFormat/>
    <w:pPr>
      <w:ind w:firstLine="560"/>
      <w:jc w:val="both"/>
      <w:spacing w:line="360" w:lineRule="auto"/>
    </w:pPr>
    <w:rPr>
      <w:rFonts w:ascii="仿宋_GB2312" w:hAnsi="仿宋_GB2312" w:eastAsia="仿宋_GB2312" w:cs="仿宋_GB2312"/>
      <w:sz w:val="28"/>
      <w:szCs w:val="28"/>
      <w:lang w:val="en-US" w:bidi="ar-SA"/>
    </w:rPr>
  </w:style>
  <w:style w:type="paragraph" w:styleId="1199" w:customStyle="1">
    <w:name w:val="五号表格正文"/>
    <w:basedOn w:val="1200"/>
    <w:uiPriority w:val="0"/>
    <w:qFormat/>
    <w:pPr>
      <w:ind w:firstLine="0"/>
      <w:spacing w:line="240" w:lineRule="auto"/>
    </w:pPr>
    <w:rPr>
      <w:sz w:val="21"/>
    </w:rPr>
  </w:style>
  <w:style w:type="paragraph" w:styleId="1200" w:customStyle="1">
    <w:name w:val="正文小四缩进"/>
    <w:basedOn w:val="716"/>
    <w:uiPriority w:val="0"/>
    <w:qFormat/>
    <w:pPr>
      <w:ind w:firstLine="200"/>
      <w:jc w:val="left"/>
      <w:spacing w:after="0" w:line="300" w:lineRule="auto"/>
    </w:pPr>
    <w:rPr>
      <w:sz w:val="24"/>
    </w:rPr>
  </w:style>
  <w:style w:type="paragraph" w:styleId="1201" w:customStyle="1">
    <w:name w:val="(标书)正文 Char Char"/>
    <w:basedOn w:val="716"/>
    <w:uiPriority w:val="0"/>
    <w:qFormat/>
    <w:pPr>
      <w:ind w:firstLine="200"/>
    </w:pPr>
    <w:rPr>
      <w:rFonts w:ascii="宋体" w:hAnsi="宋体" w:cs="Times New Roman"/>
      <w:spacing w:val="10"/>
      <w:szCs w:val="24"/>
    </w:rPr>
  </w:style>
  <w:style w:type="numbering" w:styleId="285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招标代</dc:creator>
  <cp:lastModifiedBy>李盼</cp:lastModifiedBy>
  <cp:revision>75</cp:revision>
  <dcterms:created xsi:type="dcterms:W3CDTF">2024-03-28T06:58:00Z</dcterms:created>
  <dcterms:modified xsi:type="dcterms:W3CDTF">2026-05-22T07:44:40Z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7760D839FF4A47348C84E313158F0665_13</vt:lpwstr>
  </property>
  <property fmtid="{D5CDD505-2E9C-101B-9397-08002B2CF9AE}" pid="4" name="KSOTemplateDocerSaveRecord">
    <vt:lpwstr>eyJoZGlkIjoiNmQ4MzQyZWVhMThiODFkZmVlZmEyYWI0MWFkN2M5MGEiLCJ1c2VySWQiOiIzMDI0MzIyNDMifQ==</vt:lpwstr>
  </property>
</Properties>
</file>