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adjustRightInd w:val="0"/>
        <w:snapToGrid w:val="0"/>
        <w:spacing w:line="276" w:lineRule="auto"/>
        <w:jc w:val="center"/>
        <w:rPr>
          <w:rFonts w:hint="eastAsia" w:ascii="仿宋" w:hAnsi="仿宋" w:eastAsia="仿宋" w:cs="仿宋"/>
          <w:sz w:val="32"/>
          <w:szCs w:val="32"/>
        </w:rPr>
      </w:pPr>
      <w:bookmarkStart w:id="0" w:name="OLE_LINK2"/>
      <w:bookmarkStart w:id="1" w:name="OLE_LINK1"/>
      <w:bookmarkStart w:id="2" w:name="OLE_LINK3"/>
      <w:r>
        <w:rPr>
          <w:rFonts w:hint="eastAsia" w:ascii="仿宋" w:hAnsi="仿宋" w:eastAsia="仿宋" w:cs="宋体"/>
          <w:b/>
          <w:bCs/>
          <w:spacing w:val="2"/>
          <w:sz w:val="32"/>
          <w:szCs w:val="32"/>
        </w:rPr>
        <w:t>海安市农业农村局2025年中央农业防灾减灾和水利救灾资金（防灾救灾第三批）-农作物重大病虫防控项目</w:t>
      </w:r>
      <w:r>
        <w:rPr>
          <w:rFonts w:hint="eastAsia" w:ascii="仿宋" w:hAnsi="仿宋" w:eastAsia="仿宋" w:cs="仿宋"/>
          <w:b/>
          <w:bCs/>
          <w:kern w:val="0"/>
          <w:sz w:val="32"/>
          <w:szCs w:val="32"/>
        </w:rPr>
        <w:t>询价公告</w:t>
      </w:r>
    </w:p>
    <w:p w14:paraId="0EDBCF04">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海安市农业农村局2025年中央农业防灾减灾和水利救灾资金（防灾救灾第三批）-农作物重大病虫防控项目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lang w:val="en-US" w:eastAsia="zh-CN"/>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5</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19</w:t>
      </w:r>
      <w:r>
        <w:rPr>
          <w:rFonts w:hint="eastAsia" w:ascii="仿宋" w:hAnsi="仿宋" w:eastAsia="仿宋"/>
          <w:bCs/>
          <w:sz w:val="28"/>
          <w:szCs w:val="28"/>
          <w:u w:val="single"/>
        </w:rPr>
        <w:t>日09时00分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pPr>
    </w:p>
    <w:p w14:paraId="39450069">
      <w:pPr>
        <w:widowControl/>
        <w:shd w:val="clear" w:color="auto" w:fill="FFFFFF"/>
        <w:spacing w:line="500" w:lineRule="exact"/>
        <w:jc w:val="left"/>
        <w:rPr>
          <w:rFonts w:hint="eastAsia" w:ascii="仿宋" w:hAnsi="仿宋" w:eastAsia="仿宋" w:cs="宋体"/>
          <w:kern w:val="0"/>
          <w:sz w:val="28"/>
          <w:szCs w:val="28"/>
        </w:rPr>
      </w:pPr>
      <w:r>
        <w:rPr>
          <w:rFonts w:hint="eastAsia" w:ascii="仿宋" w:hAnsi="SourceHanSansCN-Regular" w:eastAsia="仿宋" w:cs="宋体"/>
          <w:kern w:val="0"/>
          <w:sz w:val="28"/>
          <w:szCs w:val="28"/>
        </w:rPr>
        <w:t> </w:t>
      </w:r>
      <w:r>
        <w:rPr>
          <w:rFonts w:hint="eastAsia" w:ascii="仿宋" w:hAnsi="仿宋" w:eastAsia="仿宋" w:cs="宋体"/>
          <w:kern w:val="0"/>
          <w:sz w:val="28"/>
          <w:szCs w:val="28"/>
        </w:rPr>
        <w:t>一、项目基本情况</w:t>
      </w:r>
    </w:p>
    <w:p w14:paraId="272D81E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w:t>
      </w:r>
      <w:bookmarkStart w:id="7" w:name="_GoBack"/>
      <w:bookmarkEnd w:id="7"/>
      <w:r>
        <w:rPr>
          <w:rFonts w:hint="eastAsia" w:ascii="仿宋" w:hAnsi="仿宋" w:eastAsia="仿宋" w:cs="宋体"/>
          <w:kern w:val="0"/>
          <w:sz w:val="28"/>
          <w:szCs w:val="28"/>
        </w:rPr>
        <w:t>2025年中央农业防灾减灾和水利救灾资金（防灾救灾第三批）-农作物重大病虫防控项目</w:t>
      </w:r>
    </w:p>
    <w:p w14:paraId="1862B9DE">
      <w:pPr>
        <w:widowControl/>
        <w:shd w:val="clear" w:color="auto" w:fill="FFFFFF"/>
        <w:spacing w:line="500" w:lineRule="exact"/>
        <w:ind w:firstLine="640"/>
        <w:jc w:val="left"/>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项目编号：JSZC-320685-HAZX-X2026-0011</w:t>
      </w:r>
      <w:r>
        <w:rPr>
          <w:rFonts w:hint="eastAsia" w:ascii="仿宋" w:hAnsi="仿宋" w:eastAsia="仿宋" w:cs="宋体"/>
          <w:kern w:val="0"/>
          <w:sz w:val="28"/>
          <w:szCs w:val="28"/>
          <w:lang w:val="en-US" w:eastAsia="zh-CN"/>
        </w:rPr>
        <w:t xml:space="preserve"> </w:t>
      </w:r>
    </w:p>
    <w:p w14:paraId="21A7810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所属行业：制造业</w:t>
      </w:r>
    </w:p>
    <w:p w14:paraId="3EEED460">
      <w:pPr>
        <w:widowControl/>
        <w:shd w:val="clear" w:color="auto" w:fill="FFFFFF"/>
        <w:spacing w:line="500" w:lineRule="exact"/>
        <w:ind w:firstLine="640"/>
        <w:jc w:val="left"/>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预算金额：</w:t>
      </w:r>
      <w:r>
        <w:rPr>
          <w:rFonts w:hint="eastAsia" w:ascii="仿宋" w:hAnsi="仿宋" w:eastAsia="仿宋" w:cs="宋体"/>
          <w:kern w:val="0"/>
          <w:sz w:val="28"/>
          <w:szCs w:val="28"/>
          <w:lang w:val="en-US" w:eastAsia="zh-CN"/>
        </w:rPr>
        <w:t>10</w:t>
      </w:r>
      <w:r>
        <w:rPr>
          <w:rFonts w:hint="eastAsia" w:ascii="仿宋" w:hAnsi="仿宋" w:eastAsia="仿宋" w:cs="宋体"/>
          <w:kern w:val="0"/>
          <w:sz w:val="28"/>
          <w:szCs w:val="28"/>
        </w:rPr>
        <w:t>0.00万元。</w:t>
      </w:r>
      <w:r>
        <w:rPr>
          <w:rFonts w:hint="eastAsia" w:ascii="仿宋" w:hAnsi="仿宋" w:eastAsia="仿宋" w:cs="仿宋"/>
          <w:kern w:val="0"/>
          <w:sz w:val="28"/>
          <w:szCs w:val="28"/>
        </w:rPr>
        <w:t>标包</w:t>
      </w:r>
      <w:r>
        <w:rPr>
          <w:rFonts w:hint="eastAsia" w:ascii="仿宋" w:hAnsi="仿宋" w:eastAsia="仿宋" w:cs="仿宋"/>
          <w:kern w:val="0"/>
          <w:sz w:val="28"/>
          <w:szCs w:val="28"/>
          <w:lang w:val="en-US" w:eastAsia="zh-CN"/>
        </w:rPr>
        <w:t>1</w:t>
      </w:r>
      <w:r>
        <w:rPr>
          <w:rFonts w:hint="eastAsia" w:ascii="仿宋" w:hAnsi="仿宋" w:eastAsia="仿宋" w:cs="仿宋"/>
          <w:kern w:val="0"/>
          <w:sz w:val="28"/>
          <w:szCs w:val="28"/>
        </w:rPr>
        <w:t>：阿维•甲虫肼，最高限价50万元，最高限单价</w:t>
      </w:r>
      <w:r>
        <w:rPr>
          <w:rFonts w:hint="eastAsia" w:ascii="仿宋" w:hAnsi="仿宋" w:eastAsia="仿宋" w:cs="仿宋"/>
          <w:kern w:val="0"/>
          <w:sz w:val="28"/>
          <w:szCs w:val="28"/>
          <w:u w:val="single"/>
        </w:rPr>
        <w:t>12.00</w:t>
      </w:r>
      <w:r>
        <w:rPr>
          <w:rFonts w:hint="eastAsia" w:ascii="仿宋" w:hAnsi="仿宋" w:eastAsia="仿宋" w:cs="仿宋"/>
          <w:kern w:val="0"/>
          <w:sz w:val="28"/>
          <w:szCs w:val="28"/>
        </w:rPr>
        <w:t>万元/吨;标包</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：氟啶虫酰胺，最高限价50万元，最高限单价</w:t>
      </w:r>
      <w:r>
        <w:rPr>
          <w:rFonts w:hint="eastAsia" w:ascii="仿宋" w:hAnsi="仿宋" w:eastAsia="仿宋" w:cs="仿宋"/>
          <w:kern w:val="0"/>
          <w:sz w:val="28"/>
          <w:szCs w:val="28"/>
          <w:u w:val="single"/>
        </w:rPr>
        <w:t>48.00</w:t>
      </w:r>
      <w:r>
        <w:rPr>
          <w:rFonts w:hint="eastAsia" w:ascii="仿宋" w:hAnsi="仿宋" w:eastAsia="仿宋" w:cs="仿宋"/>
          <w:kern w:val="0"/>
          <w:sz w:val="28"/>
          <w:szCs w:val="28"/>
        </w:rPr>
        <w:t>万元/吨</w:t>
      </w:r>
      <w:r>
        <w:rPr>
          <w:rFonts w:hint="eastAsia" w:ascii="仿宋" w:hAnsi="仿宋" w:eastAsia="仿宋" w:cs="仿宋"/>
          <w:kern w:val="0"/>
          <w:sz w:val="28"/>
          <w:szCs w:val="28"/>
          <w:lang w:val="en-US" w:eastAsia="zh-CN"/>
        </w:rPr>
        <w:t>。</w:t>
      </w:r>
    </w:p>
    <w:p w14:paraId="6B564475">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widowControl/>
        <w:shd w:val="clear" w:color="auto" w:fill="FFFFFF"/>
        <w:spacing w:line="500" w:lineRule="exact"/>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spacing w:line="85" w:lineRule="atLeast"/>
        <w:ind w:firstLine="448"/>
        <w:rPr>
          <w:rFonts w:hint="eastAsia" w:ascii="仿宋" w:hAnsi="仿宋" w:eastAsia="仿宋" w:cs="Calibri"/>
          <w:smallCaps/>
          <w:color w:val="auto"/>
          <w:sz w:val="28"/>
          <w:szCs w:val="28"/>
        </w:rPr>
      </w:pPr>
      <w:bookmarkStart w:id="3" w:name="_Hlk205282768"/>
      <w:r>
        <w:rPr>
          <w:rFonts w:hint="eastAsia" w:ascii="仿宋" w:hAnsi="仿宋" w:eastAsia="仿宋" w:cs="Calibri"/>
          <w:smallCaps/>
          <w:color w:val="auto"/>
          <w:sz w:val="28"/>
          <w:szCs w:val="28"/>
        </w:rPr>
        <w:t>（1）投标供应商具有有效的农药经营许可证；</w:t>
      </w:r>
    </w:p>
    <w:p w14:paraId="56BDC713">
      <w:pPr>
        <w:spacing w:line="85" w:lineRule="atLeast"/>
        <w:ind w:firstLine="448"/>
        <w:rPr>
          <w:rFonts w:ascii="仿宋" w:hAnsi="仿宋" w:eastAsia="仿宋" w:cs="Calibri"/>
          <w:smallCaps/>
          <w:color w:val="auto"/>
          <w:sz w:val="28"/>
          <w:szCs w:val="28"/>
        </w:rPr>
      </w:pPr>
      <w:r>
        <w:rPr>
          <w:rFonts w:hint="eastAsia" w:ascii="仿宋" w:hAnsi="仿宋" w:eastAsia="仿宋" w:cs="Calibri"/>
          <w:smallCaps/>
          <w:color w:val="auto"/>
          <w:sz w:val="28"/>
          <w:szCs w:val="28"/>
        </w:rPr>
        <w:t>（2）所投农药产品具有有效的农业农村部颁发的农药登记证，且登记作物包含水稻；</w:t>
      </w:r>
    </w:p>
    <w:p w14:paraId="5753D977">
      <w:pPr>
        <w:pStyle w:val="29"/>
        <w:ind w:firstLine="444" w:firstLineChars="0"/>
        <w:rPr>
          <w:rFonts w:ascii="仿宋" w:hAnsi="仿宋" w:eastAsia="仿宋" w:cs="Calibri"/>
          <w:smallCaps/>
          <w:color w:val="auto"/>
          <w:sz w:val="28"/>
          <w:szCs w:val="28"/>
        </w:rPr>
      </w:pPr>
      <w:r>
        <w:rPr>
          <w:rFonts w:hint="eastAsia" w:ascii="仿宋" w:hAnsi="仿宋" w:eastAsia="仿宋" w:cs="Calibri"/>
          <w:smallCaps/>
          <w:color w:val="auto"/>
          <w:sz w:val="28"/>
          <w:szCs w:val="28"/>
        </w:rPr>
        <w:t>（3）所投农药产品生产企业具有有效的农药生产许可证；</w:t>
      </w:r>
    </w:p>
    <w:p w14:paraId="3071517A">
      <w:pPr>
        <w:pStyle w:val="29"/>
        <w:ind w:firstLineChars="150"/>
        <w:rPr>
          <w:rFonts w:ascii="仿宋" w:hAnsi="仿宋" w:eastAsia="仿宋" w:cs="Calibri"/>
          <w:smallCaps/>
          <w:color w:val="auto"/>
          <w:sz w:val="28"/>
          <w:szCs w:val="28"/>
        </w:rPr>
      </w:pPr>
      <w:r>
        <w:rPr>
          <w:rFonts w:hint="eastAsia" w:ascii="仿宋" w:hAnsi="仿宋" w:eastAsia="仿宋" w:cs="Calibri"/>
          <w:smallCaps/>
          <w:color w:val="auto"/>
          <w:sz w:val="28"/>
          <w:szCs w:val="28"/>
        </w:rPr>
        <w:t>（4）所投农药产品具有</w:t>
      </w:r>
      <w:r>
        <w:rPr>
          <w:rFonts w:ascii="仿宋" w:hAnsi="仿宋" w:eastAsia="仿宋" w:cs="Calibri"/>
          <w:smallCaps/>
          <w:color w:val="auto"/>
          <w:sz w:val="28"/>
          <w:szCs w:val="28"/>
        </w:rPr>
        <w:t>产品质量标准号</w:t>
      </w:r>
      <w:r>
        <w:rPr>
          <w:rFonts w:hint="eastAsia" w:ascii="仿宋" w:hAnsi="仿宋" w:eastAsia="仿宋" w:cs="Calibri"/>
          <w:smallCaps/>
          <w:color w:val="auto"/>
          <w:sz w:val="28"/>
          <w:szCs w:val="28"/>
        </w:rPr>
        <w:t>。</w:t>
      </w:r>
    </w:p>
    <w:p w14:paraId="5BCD4556">
      <w:pPr>
        <w:pStyle w:val="29"/>
        <w:ind w:firstLine="560"/>
        <w:rPr>
          <w:color w:val="auto"/>
        </w:rPr>
      </w:pPr>
      <w:r>
        <w:rPr>
          <w:rFonts w:hint="eastAsia" w:ascii="仿宋" w:hAnsi="仿宋" w:eastAsia="仿宋" w:cs="Calibri"/>
          <w:smallCaps/>
          <w:color w:val="auto"/>
          <w:sz w:val="28"/>
          <w:szCs w:val="28"/>
        </w:rPr>
        <w:t>上述“农药三证”和农药经营许可证须提供复印件并加盖公章。</w:t>
      </w:r>
    </w:p>
    <w:bookmarkEnd w:id="3"/>
    <w:p w14:paraId="4FD7A5B7">
      <w:pPr>
        <w:widowControl/>
        <w:shd w:val="clear" w:color="auto" w:fill="FFFFFF"/>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w:t>
      </w:r>
      <w:r>
        <w:rPr>
          <w:rFonts w:hint="eastAsia" w:ascii="仿宋" w:hAnsi="仿宋" w:eastAsia="仿宋" w:cs="仿宋"/>
          <w:kern w:val="0"/>
          <w:sz w:val="28"/>
          <w:szCs w:val="28"/>
          <w:lang w:val="en-US" w:eastAsia="zh-CN"/>
        </w:rPr>
        <w:t>6</w:t>
      </w:r>
      <w:r>
        <w:rPr>
          <w:rFonts w:hint="eastAsia" w:ascii="仿宋" w:hAnsi="仿宋" w:eastAsia="仿宋" w:cs="仿宋"/>
          <w:kern w:val="0"/>
          <w:sz w:val="28"/>
          <w:szCs w:val="28"/>
        </w:rPr>
        <w:t>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12</w:t>
      </w:r>
      <w:r>
        <w:rPr>
          <w:rFonts w:hint="eastAsia" w:ascii="仿宋" w:hAnsi="仿宋" w:eastAsia="仿宋" w:cs="仿宋"/>
          <w:kern w:val="0"/>
          <w:sz w:val="28"/>
          <w:szCs w:val="28"/>
        </w:rPr>
        <w:t>日至202</w:t>
      </w:r>
      <w:r>
        <w:rPr>
          <w:rFonts w:hint="eastAsia" w:ascii="仿宋" w:hAnsi="仿宋" w:eastAsia="仿宋" w:cs="仿宋"/>
          <w:kern w:val="0"/>
          <w:sz w:val="28"/>
          <w:szCs w:val="28"/>
          <w:lang w:val="en-US" w:eastAsia="zh-CN"/>
        </w:rPr>
        <w:t>6</w:t>
      </w:r>
      <w:r>
        <w:rPr>
          <w:rFonts w:hint="eastAsia" w:ascii="仿宋" w:hAnsi="仿宋" w:eastAsia="仿宋" w:cs="仿宋"/>
          <w:kern w:val="0"/>
          <w:sz w:val="28"/>
          <w:szCs w:val="28"/>
        </w:rPr>
        <w:t>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19</w:t>
      </w:r>
      <w:r>
        <w:rPr>
          <w:rFonts w:hint="eastAsia" w:ascii="仿宋" w:hAnsi="仿宋" w:eastAsia="仿宋" w:cs="仿宋"/>
          <w:kern w:val="0"/>
          <w:sz w:val="28"/>
          <w:szCs w:val="28"/>
        </w:rPr>
        <w:t>日</w:t>
      </w:r>
    </w:p>
    <w:p w14:paraId="76DDACD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5AEA419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widowControl/>
        <w:shd w:val="clear" w:color="auto" w:fill="FFFFFF"/>
        <w:spacing w:line="500" w:lineRule="exact"/>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w:t>
      </w:r>
      <w:r>
        <w:rPr>
          <w:rFonts w:hint="eastAsia" w:ascii="仿宋" w:hAnsi="仿宋" w:eastAsia="仿宋" w:cs="仿宋"/>
          <w:kern w:val="0"/>
          <w:sz w:val="28"/>
          <w:szCs w:val="28"/>
          <w:lang w:val="en-US" w:eastAsia="zh-CN"/>
        </w:rPr>
        <w:t>6</w:t>
      </w:r>
      <w:r>
        <w:rPr>
          <w:rFonts w:hint="eastAsia" w:ascii="仿宋" w:hAnsi="仿宋" w:eastAsia="仿宋" w:cs="仿宋"/>
          <w:kern w:val="0"/>
          <w:sz w:val="28"/>
          <w:szCs w:val="28"/>
        </w:rPr>
        <w:t>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19</w:t>
      </w:r>
      <w:r>
        <w:rPr>
          <w:rFonts w:hint="eastAsia" w:ascii="仿宋" w:hAnsi="仿宋" w:eastAsia="仿宋" w:cs="仿宋"/>
          <w:kern w:val="0"/>
          <w:sz w:val="28"/>
          <w:szCs w:val="28"/>
        </w:rPr>
        <w:t>日09时00分（北京时间），逾时，交易系统将拒绝接受上传响应文件电子文档。线上开标地点：“苏采云”系统（网址：http://jszfcg.jsczt.cn/）“开标大厅”。</w:t>
      </w:r>
    </w:p>
    <w:p w14:paraId="267C9E16">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widowControl/>
        <w:shd w:val="clear" w:color="auto" w:fill="FFFFFF"/>
        <w:spacing w:line="500" w:lineRule="exact"/>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26ED5D2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7B1A7BC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王磊13218430608</w:t>
      </w:r>
    </w:p>
    <w:p w14:paraId="420C45E2">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6BE1C3D8">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4F23200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11901EAF">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60F5E242">
      <w:pPr>
        <w:pStyle w:val="29"/>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adjustRightInd w:val="0"/>
        <w:snapToGrid w:val="0"/>
        <w:spacing w:line="440" w:lineRule="exact"/>
        <w:ind w:firstLine="422" w:firstLineChars="200"/>
        <w:rPr>
          <w:rFonts w:hint="eastAsia" w:ascii="宋体" w:hAnsi="宋体"/>
          <w:b/>
          <w:szCs w:val="21"/>
        </w:rPr>
      </w:pPr>
      <w:r>
        <w:rPr>
          <w:rFonts w:ascii="宋体" w:hAnsi="宋体"/>
          <w:b/>
          <w:szCs w:val="21"/>
        </w:rPr>
        <w:t>附件:</w:t>
      </w:r>
    </w:p>
    <w:p w14:paraId="1D30D2E3">
      <w:pPr>
        <w:adjustRightInd w:val="0"/>
        <w:snapToGrid w:val="0"/>
        <w:spacing w:line="440" w:lineRule="exact"/>
        <w:ind w:firstLine="422" w:firstLineChars="200"/>
        <w:rPr>
          <w:rFonts w:hint="eastAsia" w:ascii="宋体" w:hAnsi="宋体"/>
          <w:b/>
          <w:szCs w:val="21"/>
        </w:rPr>
      </w:pPr>
      <w:r>
        <w:rPr>
          <w:rFonts w:ascii="宋体" w:hAnsi="宋体"/>
          <w:b/>
          <w:szCs w:val="21"/>
        </w:rPr>
        <w:t>1</w:t>
      </w:r>
      <w:r>
        <w:rPr>
          <w:rFonts w:hint="eastAsia" w:ascii="宋体" w:hAnsi="宋体"/>
          <w:b/>
          <w:szCs w:val="21"/>
        </w:rPr>
        <w:t>.询价</w:t>
      </w:r>
      <w:r>
        <w:rPr>
          <w:rFonts w:ascii="宋体" w:hAnsi="宋体"/>
          <w:b/>
          <w:szCs w:val="21"/>
        </w:rPr>
        <w:t>文件</w:t>
      </w:r>
    </w:p>
    <w:p w14:paraId="75171C03">
      <w:pPr>
        <w:spacing w:line="440" w:lineRule="exact"/>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129A9F38">
      <w:pPr>
        <w:spacing w:line="440" w:lineRule="exact"/>
        <w:ind w:firstLine="422" w:firstLineChars="200"/>
        <w:rPr>
          <w:rFonts w:hint="eastAsia" w:ascii="宋体" w:hAnsi="宋体"/>
          <w:b/>
          <w:szCs w:val="21"/>
        </w:rPr>
      </w:pPr>
      <w:r>
        <w:rPr>
          <w:rFonts w:hint="eastAsia" w:ascii="宋体" w:hAnsi="宋体"/>
          <w:b/>
          <w:szCs w:val="21"/>
        </w:rPr>
        <w:t>3.“苏采云”系统供应商操作手册</w:t>
      </w:r>
    </w:p>
    <w:p w14:paraId="50DAF232">
      <w:pPr>
        <w:snapToGrid w:val="0"/>
        <w:spacing w:line="360" w:lineRule="auto"/>
        <w:jc w:val="center"/>
        <w:rPr>
          <w:rFonts w:hint="eastAsia" w:ascii="仿宋" w:hAnsi="仿宋" w:eastAsia="仿宋"/>
          <w:b/>
          <w:sz w:val="36"/>
          <w:szCs w:val="36"/>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海安市农业农村局2025年中央农业防灾减灾和水利救灾资金（防灾救灾第三批）-农作物重大病虫防控项目</w:t>
      </w:r>
      <w:r>
        <w:rPr>
          <w:rFonts w:hint="eastAsia" w:ascii="仿宋" w:hAnsi="仿宋" w:eastAsia="仿宋"/>
          <w:b/>
          <w:sz w:val="36"/>
          <w:szCs w:val="36"/>
        </w:rPr>
        <w:t>采购询价文件</w:t>
      </w:r>
    </w:p>
    <w:bookmarkEnd w:id="0"/>
    <w:p w14:paraId="7A8A539C">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snapToGrid w:val="0"/>
        <w:spacing w:line="520" w:lineRule="exact"/>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snapToGrid w:val="0"/>
        <w:spacing w:line="520" w:lineRule="exact"/>
        <w:ind w:firstLine="555"/>
        <w:rPr>
          <w:rFonts w:hint="eastAsia" w:ascii="仿宋" w:hAnsi="仿宋" w:eastAsia="仿宋"/>
          <w:sz w:val="28"/>
          <w:szCs w:val="28"/>
          <w:highlight w:val="yellow"/>
          <w:u w:val="single"/>
        </w:rPr>
      </w:pPr>
      <w:r>
        <w:rPr>
          <w:rFonts w:hint="eastAsia" w:ascii="仿宋" w:hAnsi="仿宋" w:eastAsia="仿宋"/>
          <w:sz w:val="28"/>
          <w:szCs w:val="28"/>
        </w:rPr>
        <w:t>询价结束时间：</w:t>
      </w:r>
      <w:r>
        <w:rPr>
          <w:rFonts w:hint="eastAsia" w:ascii="仿宋" w:hAnsi="仿宋" w:eastAsia="仿宋"/>
          <w:sz w:val="28"/>
          <w:szCs w:val="28"/>
          <w:u w:val="single"/>
        </w:rPr>
        <w:t>202</w:t>
      </w:r>
      <w:r>
        <w:rPr>
          <w:rFonts w:hint="eastAsia" w:ascii="仿宋" w:hAnsi="仿宋" w:eastAsia="仿宋"/>
          <w:sz w:val="28"/>
          <w:szCs w:val="28"/>
          <w:u w:val="single"/>
          <w:lang w:val="en-US" w:eastAsia="zh-CN"/>
        </w:rPr>
        <w:t>6</w:t>
      </w:r>
      <w:r>
        <w:rPr>
          <w:rFonts w:hint="eastAsia" w:ascii="仿宋" w:hAnsi="仿宋" w:eastAsia="仿宋"/>
          <w:sz w:val="28"/>
          <w:szCs w:val="28"/>
          <w:u w:val="single"/>
        </w:rPr>
        <w:t>年</w:t>
      </w:r>
      <w:r>
        <w:rPr>
          <w:rFonts w:hint="eastAsia" w:ascii="仿宋" w:hAnsi="仿宋" w:eastAsia="仿宋"/>
          <w:sz w:val="28"/>
          <w:szCs w:val="28"/>
          <w:u w:val="single"/>
          <w:lang w:val="en-US" w:eastAsia="zh-CN"/>
        </w:rPr>
        <w:t>5</w:t>
      </w:r>
      <w:r>
        <w:rPr>
          <w:rFonts w:hint="eastAsia" w:ascii="仿宋" w:hAnsi="仿宋" w:eastAsia="仿宋"/>
          <w:sz w:val="28"/>
          <w:szCs w:val="28"/>
          <w:u w:val="single"/>
        </w:rPr>
        <w:t>月</w:t>
      </w:r>
      <w:r>
        <w:rPr>
          <w:rFonts w:hint="eastAsia" w:ascii="仿宋" w:hAnsi="仿宋" w:eastAsia="仿宋"/>
          <w:sz w:val="28"/>
          <w:szCs w:val="28"/>
          <w:u w:val="single"/>
          <w:lang w:val="en-US" w:eastAsia="zh-CN"/>
        </w:rPr>
        <w:t>19</w:t>
      </w:r>
      <w:r>
        <w:rPr>
          <w:rFonts w:hint="eastAsia" w:ascii="仿宋" w:hAnsi="仿宋" w:eastAsia="仿宋"/>
          <w:sz w:val="28"/>
          <w:szCs w:val="28"/>
          <w:u w:val="single"/>
        </w:rPr>
        <w:t>日09:00</w:t>
      </w:r>
    </w:p>
    <w:bookmarkEnd w:id="4"/>
    <w:p w14:paraId="3854CD24">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snapToGrid w:val="0"/>
        <w:spacing w:line="520" w:lineRule="exact"/>
        <w:ind w:firstLine="555"/>
        <w:rPr>
          <w:rFonts w:hint="eastAsia" w:ascii="仿宋" w:hAnsi="仿宋" w:eastAsia="仿宋"/>
          <w:sz w:val="28"/>
          <w:szCs w:val="28"/>
          <w:u w:val="single"/>
        </w:rPr>
      </w:pPr>
      <w:r>
        <w:rPr>
          <w:rFonts w:hint="eastAsia" w:ascii="仿宋" w:hAnsi="仿宋" w:eastAsia="仿宋"/>
          <w:sz w:val="28"/>
          <w:szCs w:val="28"/>
        </w:rPr>
        <w:t>项目名称：海安市农业农村局2025年中央农业防灾减灾和水利救灾资金（防灾救灾第三批）-农作物重大病虫防控项目。</w:t>
      </w:r>
    </w:p>
    <w:p w14:paraId="4A702944">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r>
        <w:rPr>
          <w:rFonts w:hint="eastAsia" w:ascii="仿宋" w:hAnsi="仿宋" w:eastAsia="仿宋"/>
          <w:sz w:val="28"/>
          <w:szCs w:val="28"/>
          <w:lang w:val="en-US" w:eastAsia="zh-CN"/>
        </w:rPr>
        <w:t>10</w:t>
      </w:r>
      <w:r>
        <w:rPr>
          <w:rFonts w:hint="eastAsia" w:ascii="仿宋" w:hAnsi="仿宋" w:eastAsia="仿宋"/>
          <w:sz w:val="28"/>
          <w:szCs w:val="28"/>
        </w:rPr>
        <w:t>0.00万元。</w:t>
      </w:r>
    </w:p>
    <w:p w14:paraId="226DE088">
      <w:pPr>
        <w:snapToGrid w:val="0"/>
        <w:spacing w:line="520" w:lineRule="exact"/>
        <w:ind w:firstLine="560" w:firstLineChars="200"/>
        <w:contextualSpacing/>
        <w:rPr>
          <w:rFonts w:hint="eastAsia" w:ascii="仿宋" w:hAnsi="仿宋" w:eastAsia="仿宋" w:cs="宋体"/>
          <w:kern w:val="0"/>
          <w:sz w:val="28"/>
          <w:szCs w:val="28"/>
        </w:rPr>
      </w:pPr>
      <w:r>
        <w:rPr>
          <w:rFonts w:hint="eastAsia" w:ascii="仿宋" w:hAnsi="仿宋" w:eastAsia="仿宋" w:cs="宋体"/>
          <w:kern w:val="0"/>
          <w:sz w:val="28"/>
          <w:szCs w:val="28"/>
        </w:rPr>
        <w:t>标包</w:t>
      </w: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仿宋"/>
          <w:kern w:val="0"/>
          <w:sz w:val="28"/>
          <w:szCs w:val="28"/>
        </w:rPr>
        <w:t>阿维•甲虫肼，最高限价50万元，最高限单价</w:t>
      </w:r>
      <w:r>
        <w:rPr>
          <w:rFonts w:hint="eastAsia" w:ascii="仿宋" w:hAnsi="仿宋" w:eastAsia="仿宋" w:cs="仿宋"/>
          <w:kern w:val="0"/>
          <w:sz w:val="28"/>
          <w:szCs w:val="28"/>
          <w:u w:val="single"/>
        </w:rPr>
        <w:t>12.00</w:t>
      </w:r>
      <w:r>
        <w:rPr>
          <w:rFonts w:hint="eastAsia" w:ascii="仿宋" w:hAnsi="仿宋" w:eastAsia="仿宋" w:cs="仿宋"/>
          <w:kern w:val="0"/>
          <w:sz w:val="28"/>
          <w:szCs w:val="28"/>
        </w:rPr>
        <w:t>万元/吨;标包</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：氟啶虫酰胺，最高限价50万元，最高限单价</w:t>
      </w:r>
      <w:r>
        <w:rPr>
          <w:rFonts w:hint="eastAsia" w:ascii="仿宋" w:hAnsi="仿宋" w:eastAsia="仿宋" w:cs="仿宋"/>
          <w:kern w:val="0"/>
          <w:sz w:val="28"/>
          <w:szCs w:val="28"/>
          <w:u w:val="single"/>
        </w:rPr>
        <w:t>48.00</w:t>
      </w:r>
      <w:r>
        <w:rPr>
          <w:rFonts w:hint="eastAsia" w:ascii="仿宋" w:hAnsi="仿宋" w:eastAsia="仿宋" w:cs="仿宋"/>
          <w:kern w:val="0"/>
          <w:sz w:val="28"/>
          <w:szCs w:val="28"/>
        </w:rPr>
        <w:t>万元/吨</w:t>
      </w:r>
      <w:r>
        <w:rPr>
          <w:rFonts w:hint="eastAsia" w:ascii="仿宋" w:hAnsi="仿宋" w:eastAsia="仿宋" w:cs="宋体"/>
          <w:kern w:val="0"/>
          <w:sz w:val="28"/>
          <w:szCs w:val="28"/>
        </w:rPr>
        <w:t>。</w:t>
      </w:r>
    </w:p>
    <w:p w14:paraId="12268603">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成交原则：</w:t>
      </w:r>
    </w:p>
    <w:p w14:paraId="1066B19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snapToGrid w:val="0"/>
        <w:spacing w:line="520" w:lineRule="exact"/>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widowControl/>
        <w:spacing w:line="58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年</w:t>
      </w:r>
      <w:r>
        <w:rPr>
          <w:rFonts w:hint="eastAsia" w:ascii="仿宋" w:hAnsi="仿宋" w:eastAsia="仿宋" w:cs="仿宋"/>
          <w:b/>
          <w:bCs/>
          <w:sz w:val="28"/>
          <w:szCs w:val="28"/>
          <w:lang w:val="en-US" w:eastAsia="zh-CN"/>
        </w:rPr>
        <w:t>5</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19</w:t>
      </w:r>
      <w:r>
        <w:rPr>
          <w:rFonts w:hint="eastAsia" w:ascii="仿宋" w:hAnsi="仿宋" w:eastAsia="仿宋" w:cs="仿宋"/>
          <w:b/>
          <w:bCs/>
          <w:sz w:val="28"/>
          <w:szCs w:val="28"/>
        </w:rPr>
        <w:t>日09:00前，</w:t>
      </w:r>
      <w:r>
        <w:rPr>
          <w:rFonts w:hint="eastAsia" w:ascii="仿宋" w:hAnsi="仿宋" w:eastAsia="仿宋" w:cs="仿宋"/>
          <w:sz w:val="28"/>
          <w:szCs w:val="28"/>
        </w:rPr>
        <w:t>按报价文件组成及要求编制报价文件。</w:t>
      </w:r>
    </w:p>
    <w:p w14:paraId="2E9EBCA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补充说明：</w:t>
      </w:r>
    </w:p>
    <w:p w14:paraId="1AB7C2B6">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snapToGrid w:val="0"/>
        <w:spacing w:line="520" w:lineRule="exact"/>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71EFBD2A">
      <w:pPr>
        <w:pStyle w:val="29"/>
        <w:ind w:firstLine="564" w:firstLineChars="0"/>
        <w:rPr>
          <w:rFonts w:hint="eastAsia" w:ascii="仿宋" w:hAnsi="仿宋" w:eastAsia="仿宋"/>
          <w:sz w:val="28"/>
          <w:szCs w:val="28"/>
        </w:rPr>
      </w:pPr>
      <w:r>
        <w:rPr>
          <w:rFonts w:hint="eastAsia" w:ascii="仿宋" w:hAnsi="仿宋" w:eastAsia="仿宋"/>
          <w:sz w:val="28"/>
          <w:szCs w:val="28"/>
        </w:rPr>
        <w:t>（1）响应报价低于采购项目最高限价45%的，即响应报价&lt;采购项目最高限价×45%；</w:t>
      </w:r>
    </w:p>
    <w:p w14:paraId="1538F909">
      <w:pPr>
        <w:pStyle w:val="29"/>
        <w:ind w:firstLine="564" w:firstLineChars="0"/>
        <w:rPr>
          <w:rFonts w:hint="eastAsia" w:ascii="仿宋" w:hAnsi="仿宋" w:eastAsia="仿宋"/>
          <w:sz w:val="28"/>
          <w:szCs w:val="28"/>
        </w:rPr>
      </w:pPr>
      <w:r>
        <w:rPr>
          <w:rFonts w:hint="eastAsia" w:ascii="仿宋" w:hAnsi="仿宋" w:eastAsia="仿宋"/>
          <w:sz w:val="28"/>
          <w:szCs w:val="28"/>
        </w:rPr>
        <w:t>（2）谈判小组认定的供应商报价过低、有可能影响产品质量或者不能诚信履约的其他情形。</w:t>
      </w:r>
    </w:p>
    <w:p w14:paraId="45B67CA6">
      <w:pPr>
        <w:pStyle w:val="29"/>
        <w:ind w:firstLine="564" w:firstLineChars="0"/>
        <w:rPr>
          <w:rFonts w:hint="eastAsia" w:ascii="仿宋" w:hAnsi="仿宋" w:eastAsia="仿宋"/>
          <w:sz w:val="28"/>
          <w:szCs w:val="28"/>
        </w:rPr>
      </w:pPr>
      <w:r>
        <w:rPr>
          <w:rFonts w:hint="eastAsia" w:ascii="仿宋" w:hAnsi="仿宋" w:eastAsia="仿宋"/>
          <w:sz w:val="28"/>
          <w:szCs w:val="28"/>
        </w:rPr>
        <w:t>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p>
    <w:p w14:paraId="04D8D6DB">
      <w:pPr>
        <w:pStyle w:val="29"/>
        <w:ind w:firstLine="564" w:firstLineChars="0"/>
        <w:rPr>
          <w:rFonts w:hint="eastAsia" w:ascii="仿宋" w:hAnsi="仿宋" w:eastAsia="仿宋"/>
          <w:sz w:val="28"/>
          <w:szCs w:val="28"/>
        </w:rPr>
      </w:pPr>
      <w:r>
        <w:rPr>
          <w:rFonts w:hint="eastAsia" w:ascii="仿宋" w:hAnsi="仿宋" w:eastAsia="仿宋"/>
          <w:sz w:val="28"/>
          <w:szCs w:val="28"/>
        </w:rPr>
        <w:t>响应供应商不提供书面说明、证明材料，或者提供的书面说明、证明材料不能证明其报价合理性的，谈判小组应当将其作为无效响应处理。审查相关情况应当在评审报告中进行记录。</w:t>
      </w:r>
    </w:p>
    <w:p w14:paraId="0DB74E47">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四、合同签订与见证</w:t>
      </w:r>
    </w:p>
    <w:p w14:paraId="4C42AE8B">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供应商和采购单位在接到《成交通知书》后三日内及时签订合同。所签合同不得对采购文件作实质性修改。采购单位不得向供应商提出不合理的要求作为签订合同的条件，不得与供应商私下订立背离采购文件实质性内容的协议。</w:t>
      </w:r>
    </w:p>
    <w:p w14:paraId="352EDF8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五、验收</w:t>
      </w:r>
    </w:p>
    <w:p w14:paraId="6242913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ind w:firstLine="560"/>
        <w:rPr>
          <w:rFonts w:hint="eastAsia" w:ascii="仿宋" w:hAnsi="仿宋" w:eastAsia="仿宋"/>
          <w:sz w:val="28"/>
          <w:szCs w:val="28"/>
        </w:rPr>
      </w:pPr>
      <w:r>
        <w:rPr>
          <w:rFonts w:hint="eastAsia" w:ascii="仿宋" w:hAnsi="仿宋" w:eastAsia="仿宋"/>
          <w:sz w:val="28"/>
          <w:szCs w:val="28"/>
        </w:rPr>
        <w:t>3、本项目招标代理服务费标包</w:t>
      </w:r>
      <w:r>
        <w:rPr>
          <w:rFonts w:hint="eastAsia" w:ascii="仿宋" w:hAnsi="仿宋" w:eastAsia="仿宋"/>
          <w:sz w:val="28"/>
          <w:szCs w:val="28"/>
          <w:lang w:val="en-US" w:eastAsia="zh-CN"/>
        </w:rPr>
        <w:t>1</w:t>
      </w:r>
      <w:r>
        <w:rPr>
          <w:rFonts w:hint="eastAsia" w:ascii="仿宋" w:hAnsi="仿宋" w:eastAsia="仿宋"/>
          <w:sz w:val="28"/>
          <w:szCs w:val="28"/>
        </w:rPr>
        <w:t>按3000元收取、标包</w:t>
      </w:r>
      <w:r>
        <w:rPr>
          <w:rFonts w:hint="eastAsia" w:ascii="仿宋" w:hAnsi="仿宋" w:eastAsia="仿宋"/>
          <w:sz w:val="28"/>
          <w:szCs w:val="28"/>
          <w:lang w:val="en-US" w:eastAsia="zh-CN"/>
        </w:rPr>
        <w:t>2</w:t>
      </w:r>
      <w:r>
        <w:rPr>
          <w:rFonts w:hint="eastAsia" w:ascii="仿宋" w:hAnsi="仿宋" w:eastAsia="仿宋"/>
          <w:sz w:val="28"/>
          <w:szCs w:val="28"/>
        </w:rPr>
        <w:t>按3000元收取，由成交供应商在签订合同前一次性支付给招标代理机构，此费用由供应商综合考虑在投标报价中。</w:t>
      </w:r>
    </w:p>
    <w:p w14:paraId="5A6B2AC2">
      <w:pPr>
        <w:pStyle w:val="29"/>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7AAD57A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7.根据《江苏省政府采购信用管理暂行办法》的规定，对有失信行为的供应商将根据信用评价结果按规定予以扣分或价格加成。</w:t>
      </w:r>
    </w:p>
    <w:p w14:paraId="6709B7B4">
      <w:pPr>
        <w:pStyle w:val="29"/>
        <w:ind w:firstLine="560"/>
        <w:rPr>
          <w:rFonts w:hint="eastAsia" w:ascii="仿宋" w:hAnsi="仿宋" w:eastAsia="仿宋" w:cs="仿宋"/>
          <w:sz w:val="28"/>
          <w:szCs w:val="28"/>
        </w:rPr>
      </w:pPr>
      <w:r>
        <w:rPr>
          <w:rFonts w:hint="eastAsia" w:ascii="仿宋" w:hAnsi="仿宋" w:eastAsia="仿宋" w:cs="仿宋"/>
          <w:sz w:val="28"/>
          <w:szCs w:val="28"/>
        </w:rPr>
        <w:t>8.政府采购履约保证资金、合同信用融资扶持政策</w:t>
      </w:r>
    </w:p>
    <w:p w14:paraId="7AD95A37">
      <w:pPr>
        <w:pStyle w:val="29"/>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snapToGrid w:val="0"/>
        <w:spacing w:line="520" w:lineRule="exact"/>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0EA13E21">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5AD92265">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王磊13218430608　 </w:t>
      </w:r>
    </w:p>
    <w:p w14:paraId="5709758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20EF7B8A">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1E63246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5C77E033">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7DE0F67D">
      <w:pPr>
        <w:snapToGrid w:val="0"/>
        <w:spacing w:line="360" w:lineRule="auto"/>
        <w:ind w:left="527" w:leftChars="50" w:hanging="422" w:hangingChars="150"/>
        <w:rPr>
          <w:rFonts w:hint="eastAsia" w:ascii="仿宋" w:hAnsi="仿宋" w:eastAsia="仿宋"/>
          <w:b/>
          <w:sz w:val="28"/>
          <w:szCs w:val="28"/>
        </w:rPr>
      </w:pPr>
    </w:p>
    <w:p w14:paraId="3A5D242E">
      <w:pPr>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spacing w:line="85" w:lineRule="atLeast"/>
        <w:rPr>
          <w:rFonts w:ascii="仿宋" w:hAnsi="仿宋" w:eastAsia="仿宋" w:cs="Calibri"/>
          <w:smallCaps/>
          <w:color w:val="auto"/>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color w:val="auto"/>
          <w:sz w:val="28"/>
          <w:szCs w:val="28"/>
        </w:rPr>
        <w:t>（1）投标供应商具有有效的农药经营许可证；</w:t>
      </w:r>
    </w:p>
    <w:p w14:paraId="5AEB191A">
      <w:pPr>
        <w:pStyle w:val="29"/>
        <w:ind w:firstLine="444" w:firstLineChars="0"/>
        <w:rPr>
          <w:rFonts w:ascii="仿宋" w:hAnsi="仿宋" w:eastAsia="仿宋" w:cs="Calibri"/>
          <w:smallCaps/>
          <w:color w:val="auto"/>
          <w:sz w:val="28"/>
          <w:szCs w:val="28"/>
        </w:rPr>
      </w:pPr>
      <w:r>
        <w:rPr>
          <w:rFonts w:hint="eastAsia" w:ascii="仿宋" w:hAnsi="仿宋" w:eastAsia="仿宋" w:cs="Calibri"/>
          <w:smallCaps/>
          <w:color w:val="auto"/>
          <w:sz w:val="28"/>
          <w:szCs w:val="28"/>
        </w:rPr>
        <w:t>（2）所投农药产品具有有效的农业农村部颁发的农药登记证，且登记作物包含水稻；</w:t>
      </w:r>
    </w:p>
    <w:p w14:paraId="082ED0FE">
      <w:pPr>
        <w:pStyle w:val="29"/>
        <w:ind w:firstLine="444" w:firstLineChars="0"/>
        <w:rPr>
          <w:rFonts w:ascii="仿宋" w:hAnsi="仿宋" w:eastAsia="仿宋" w:cs="Calibri"/>
          <w:smallCaps/>
          <w:color w:val="auto"/>
          <w:sz w:val="28"/>
          <w:szCs w:val="28"/>
        </w:rPr>
      </w:pPr>
      <w:r>
        <w:rPr>
          <w:rFonts w:hint="eastAsia" w:ascii="仿宋" w:hAnsi="仿宋" w:eastAsia="仿宋" w:cs="Calibri"/>
          <w:smallCaps/>
          <w:color w:val="auto"/>
          <w:sz w:val="28"/>
          <w:szCs w:val="28"/>
        </w:rPr>
        <w:t>（3）所投农药产品生产企业具有有效的农药生产许可证；</w:t>
      </w:r>
    </w:p>
    <w:p w14:paraId="07144BE3">
      <w:pPr>
        <w:pStyle w:val="29"/>
        <w:ind w:firstLineChars="150"/>
        <w:rPr>
          <w:rFonts w:ascii="仿宋" w:hAnsi="仿宋" w:eastAsia="仿宋" w:cs="Calibri"/>
          <w:smallCaps/>
          <w:color w:val="auto"/>
          <w:sz w:val="28"/>
          <w:szCs w:val="28"/>
        </w:rPr>
      </w:pPr>
      <w:r>
        <w:rPr>
          <w:rFonts w:hint="eastAsia" w:ascii="仿宋" w:hAnsi="仿宋" w:eastAsia="仿宋" w:cs="Calibri"/>
          <w:smallCaps/>
          <w:color w:val="auto"/>
          <w:sz w:val="28"/>
          <w:szCs w:val="28"/>
        </w:rPr>
        <w:t>（4）所投农药产品具有</w:t>
      </w:r>
      <w:r>
        <w:rPr>
          <w:rFonts w:ascii="仿宋" w:hAnsi="仿宋" w:eastAsia="仿宋" w:cs="Calibri"/>
          <w:smallCaps/>
          <w:color w:val="auto"/>
          <w:sz w:val="28"/>
          <w:szCs w:val="28"/>
        </w:rPr>
        <w:t>产品质量标准号</w:t>
      </w:r>
      <w:r>
        <w:rPr>
          <w:rFonts w:hint="eastAsia" w:ascii="仿宋" w:hAnsi="仿宋" w:eastAsia="仿宋" w:cs="Calibri"/>
          <w:smallCaps/>
          <w:color w:val="auto"/>
          <w:sz w:val="28"/>
          <w:szCs w:val="28"/>
        </w:rPr>
        <w:t>。</w:t>
      </w:r>
    </w:p>
    <w:p w14:paraId="30AFEC01">
      <w:pPr>
        <w:pStyle w:val="29"/>
        <w:ind w:firstLine="560"/>
        <w:rPr>
          <w:color w:val="auto"/>
        </w:rPr>
      </w:pPr>
      <w:r>
        <w:rPr>
          <w:rFonts w:hint="eastAsia" w:ascii="仿宋" w:hAnsi="仿宋" w:eastAsia="仿宋" w:cs="Calibri"/>
          <w:smallCaps/>
          <w:color w:val="auto"/>
          <w:sz w:val="28"/>
          <w:szCs w:val="28"/>
        </w:rPr>
        <w:t>上述“农药三证”和农药经营许可证须提供复印件并加盖公章。</w:t>
      </w:r>
    </w:p>
    <w:p w14:paraId="2B8BFFEB">
      <w:pPr>
        <w:tabs>
          <w:tab w:val="left" w:pos="5325"/>
        </w:tabs>
        <w:autoSpaceDE w:val="0"/>
        <w:autoSpaceDN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tabs>
          <w:tab w:val="left" w:pos="5325"/>
        </w:tabs>
        <w:autoSpaceDE w:val="0"/>
        <w:autoSpaceDN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仿宋_GB2312"/>
          <w:b/>
          <w:sz w:val="28"/>
          <w:szCs w:val="28"/>
        </w:rPr>
        <w:t>三、</w:t>
      </w:r>
      <w:r>
        <w:rPr>
          <w:rFonts w:hint="eastAsia" w:ascii="仿宋" w:hAnsi="仿宋" w:eastAsia="仿宋"/>
          <w:b/>
          <w:sz w:val="28"/>
          <w:szCs w:val="28"/>
        </w:rPr>
        <w:t>本项目不接受进口产品参与。</w:t>
      </w:r>
    </w:p>
    <w:p w14:paraId="6AC3B2D9">
      <w:pPr>
        <w:tabs>
          <w:tab w:val="left" w:pos="5325"/>
        </w:tabs>
        <w:autoSpaceDE w:val="0"/>
        <w:autoSpaceDN w:val="0"/>
        <w:adjustRightInd w:val="0"/>
        <w:snapToGrid w:val="0"/>
        <w:spacing w:line="360" w:lineRule="auto"/>
        <w:ind w:firstLine="141" w:firstLineChars="50"/>
        <w:contextualSpacing/>
        <w:rPr>
          <w:rFonts w:hint="eastAsia" w:ascii="仿宋" w:hAnsi="仿宋" w:eastAsia="仿宋" w:cs="仿宋_GB2312"/>
          <w:b/>
          <w:sz w:val="28"/>
          <w:szCs w:val="28"/>
        </w:rPr>
      </w:pPr>
      <w:r>
        <w:rPr>
          <w:rFonts w:hint="eastAsia" w:ascii="仿宋" w:hAnsi="仿宋" w:eastAsia="仿宋" w:cs="仿宋_GB2312"/>
          <w:b/>
          <w:sz w:val="28"/>
          <w:szCs w:val="28"/>
        </w:rPr>
        <w:t>四、项目具体需求说明</w:t>
      </w:r>
    </w:p>
    <w:p w14:paraId="70B11FF9">
      <w:pPr>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1．货物名称及数量：</w:t>
      </w:r>
    </w:p>
    <w:p w14:paraId="5019FBFE">
      <w:pPr>
        <w:pStyle w:val="29"/>
        <w:ind w:firstLine="560"/>
        <w:rPr>
          <w:rFonts w:hint="eastAsia"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lang w:val="en-US" w:eastAsia="zh-CN"/>
        </w:rPr>
        <w:t>1</w:t>
      </w:r>
      <w:r>
        <w:rPr>
          <w:rFonts w:hint="eastAsia" w:ascii="仿宋" w:hAnsi="仿宋" w:eastAsia="仿宋"/>
          <w:bCs/>
          <w:sz w:val="28"/>
          <w:szCs w:val="28"/>
          <w:lang w:val="zh-CN"/>
        </w:rPr>
        <w:t>：阿维•甲虫肼。</w:t>
      </w:r>
    </w:p>
    <w:p w14:paraId="0FE515E5">
      <w:pPr>
        <w:pStyle w:val="29"/>
        <w:ind w:firstLine="560"/>
        <w:rPr>
          <w:rFonts w:hint="eastAsia"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lang w:val="en-US" w:eastAsia="zh-CN"/>
        </w:rPr>
        <w:t>2</w:t>
      </w:r>
      <w:r>
        <w:rPr>
          <w:rFonts w:hint="eastAsia" w:ascii="仿宋_GB2312" w:hAnsi="宋体" w:eastAsia="仿宋_GB2312" w:cs="仿宋_GB2312"/>
          <w:sz w:val="32"/>
          <w:szCs w:val="32"/>
          <w:lang w:val="zh-CN"/>
        </w:rPr>
        <w:t>：</w:t>
      </w:r>
      <w:r>
        <w:rPr>
          <w:rFonts w:hint="eastAsia" w:ascii="仿宋" w:hAnsi="仿宋" w:eastAsia="仿宋" w:cs="Calibri"/>
          <w:smallCaps/>
          <w:sz w:val="28"/>
          <w:szCs w:val="28"/>
        </w:rPr>
        <w:t>氟啶虫酰胺</w:t>
      </w:r>
      <w:r>
        <w:rPr>
          <w:rFonts w:hint="eastAsia" w:ascii="仿宋" w:hAnsi="仿宋" w:eastAsia="仿宋"/>
          <w:bCs/>
          <w:sz w:val="28"/>
          <w:szCs w:val="28"/>
          <w:lang w:val="zh-CN"/>
        </w:rPr>
        <w:t>。</w:t>
      </w:r>
    </w:p>
    <w:p w14:paraId="225AE873">
      <w:pPr>
        <w:pStyle w:val="29"/>
        <w:ind w:firstLine="560"/>
        <w:rPr>
          <w:rFonts w:hint="eastAsia" w:ascii="仿宋" w:hAnsi="仿宋" w:eastAsia="仿宋"/>
          <w:bCs/>
          <w:sz w:val="28"/>
          <w:szCs w:val="28"/>
          <w:lang w:val="zh-CN"/>
        </w:rPr>
      </w:pPr>
      <w:r>
        <w:rPr>
          <w:rFonts w:hint="eastAsia" w:ascii="仿宋" w:hAnsi="仿宋" w:eastAsia="仿宋"/>
          <w:bCs/>
          <w:sz w:val="28"/>
          <w:szCs w:val="28"/>
          <w:lang w:val="zh-CN"/>
        </w:rPr>
        <w:t>本项目各标包数量为暂定，最终按成交单价按实结算，足额采购。</w:t>
      </w:r>
    </w:p>
    <w:p w14:paraId="14944D82">
      <w:pPr>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2．相关规格、制作及配置要求：</w:t>
      </w:r>
    </w:p>
    <w:p w14:paraId="592EC56F">
      <w:pPr>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lang w:val="en-US" w:eastAsia="zh-CN"/>
        </w:rPr>
        <w:t>1</w:t>
      </w:r>
      <w:r>
        <w:rPr>
          <w:rFonts w:hint="eastAsia" w:ascii="仿宋" w:hAnsi="仿宋" w:eastAsia="仿宋"/>
          <w:bCs/>
          <w:sz w:val="28"/>
          <w:szCs w:val="28"/>
          <w:lang w:val="zh-CN"/>
        </w:rPr>
        <w:t>：阿维•甲虫肼。总有效成分含量：10%；剂型：悬浮剂；</w:t>
      </w:r>
      <w:r>
        <w:rPr>
          <w:rFonts w:hint="eastAsia" w:ascii="仿宋" w:hAnsi="仿宋" w:eastAsia="仿宋"/>
          <w:sz w:val="28"/>
          <w:szCs w:val="28"/>
        </w:rPr>
        <w:t>登记作物/场所:水稻；</w:t>
      </w:r>
      <w:r>
        <w:rPr>
          <w:rFonts w:ascii="仿宋" w:hAnsi="仿宋" w:eastAsia="仿宋"/>
          <w:bCs/>
          <w:sz w:val="28"/>
          <w:szCs w:val="28"/>
          <w:lang w:val="zh-CN"/>
        </w:rPr>
        <w:t>防治对象：二化螟</w:t>
      </w:r>
      <w:r>
        <w:rPr>
          <w:rFonts w:hint="eastAsia" w:ascii="仿宋" w:hAnsi="仿宋" w:eastAsia="仿宋"/>
          <w:bCs/>
          <w:sz w:val="28"/>
          <w:szCs w:val="28"/>
          <w:lang w:val="zh-CN"/>
        </w:rPr>
        <w:t>和</w:t>
      </w:r>
      <w:r>
        <w:rPr>
          <w:rFonts w:ascii="仿宋" w:hAnsi="仿宋" w:eastAsia="仿宋"/>
          <w:bCs/>
          <w:sz w:val="28"/>
          <w:szCs w:val="28"/>
          <w:lang w:val="zh-CN"/>
        </w:rPr>
        <w:t>稻纵卷叶螟</w:t>
      </w:r>
      <w:r>
        <w:rPr>
          <w:rFonts w:hint="eastAsia" w:ascii="仿宋" w:hAnsi="仿宋" w:eastAsia="仿宋"/>
          <w:bCs/>
          <w:sz w:val="28"/>
          <w:szCs w:val="28"/>
          <w:lang w:val="zh-CN"/>
        </w:rPr>
        <w:t>。</w:t>
      </w:r>
      <w:bookmarkStart w:id="5" w:name="_Hlk204209365"/>
      <w:r>
        <w:rPr>
          <w:rFonts w:hint="eastAsia" w:ascii="仿宋" w:hAnsi="仿宋" w:eastAsia="仿宋"/>
          <w:bCs/>
          <w:sz w:val="28"/>
          <w:szCs w:val="28"/>
          <w:lang w:val="zh-CN"/>
        </w:rPr>
        <w:t>规格：</w:t>
      </w:r>
      <w:bookmarkEnd w:id="5"/>
      <w:r>
        <w:rPr>
          <w:rFonts w:hint="eastAsia" w:ascii="仿宋" w:hAnsi="仿宋" w:eastAsia="仿宋"/>
          <w:bCs/>
          <w:sz w:val="28"/>
          <w:szCs w:val="28"/>
          <w:u w:val="single"/>
        </w:rPr>
        <w:t>500</w:t>
      </w:r>
      <w:r>
        <w:rPr>
          <w:rFonts w:hint="eastAsia" w:ascii="仿宋" w:hAnsi="仿宋" w:eastAsia="仿宋"/>
          <w:bCs/>
          <w:sz w:val="28"/>
          <w:szCs w:val="28"/>
          <w:lang w:val="zh-CN"/>
        </w:rPr>
        <w:t>g</w:t>
      </w:r>
      <w:r>
        <w:rPr>
          <w:rFonts w:hint="eastAsia" w:ascii="仿宋" w:hAnsi="仿宋" w:eastAsia="仿宋"/>
          <w:sz w:val="28"/>
          <w:szCs w:val="28"/>
        </w:rPr>
        <w:t>/瓶；</w:t>
      </w:r>
      <w:r>
        <w:rPr>
          <w:rFonts w:hint="eastAsia" w:ascii="仿宋" w:hAnsi="仿宋" w:eastAsia="仿宋"/>
          <w:bCs/>
          <w:sz w:val="28"/>
          <w:szCs w:val="28"/>
          <w:lang w:val="zh-CN"/>
        </w:rPr>
        <w:t>生产（分装）日期：在202</w:t>
      </w:r>
      <w:r>
        <w:rPr>
          <w:rFonts w:hint="eastAsia" w:ascii="仿宋" w:hAnsi="仿宋" w:eastAsia="仿宋"/>
          <w:bCs/>
          <w:sz w:val="28"/>
          <w:szCs w:val="28"/>
          <w:lang w:val="en-US" w:eastAsia="zh-CN"/>
        </w:rPr>
        <w:t>6</w:t>
      </w:r>
      <w:r>
        <w:rPr>
          <w:rFonts w:hint="eastAsia" w:ascii="仿宋" w:hAnsi="仿宋" w:eastAsia="仿宋"/>
          <w:bCs/>
          <w:sz w:val="28"/>
          <w:szCs w:val="28"/>
          <w:lang w:val="zh-CN"/>
        </w:rPr>
        <w:t>年</w:t>
      </w:r>
      <w:r>
        <w:rPr>
          <w:rFonts w:hint="eastAsia" w:ascii="仿宋" w:hAnsi="仿宋" w:eastAsia="仿宋"/>
          <w:bCs/>
          <w:sz w:val="28"/>
          <w:szCs w:val="28"/>
          <w:lang w:val="en-US" w:eastAsia="zh-CN"/>
        </w:rPr>
        <w:t>1</w:t>
      </w:r>
      <w:r>
        <w:rPr>
          <w:rFonts w:hint="eastAsia" w:ascii="仿宋" w:hAnsi="仿宋" w:eastAsia="仿宋"/>
          <w:bCs/>
          <w:sz w:val="28"/>
          <w:szCs w:val="28"/>
          <w:lang w:val="zh-CN"/>
        </w:rPr>
        <w:t>月1日之后</w:t>
      </w:r>
      <w:r>
        <w:rPr>
          <w:rFonts w:hint="eastAsia" w:ascii="仿宋" w:hAnsi="仿宋" w:eastAsia="仿宋"/>
          <w:b/>
          <w:bCs/>
          <w:sz w:val="28"/>
          <w:szCs w:val="28"/>
          <w:lang w:val="zh-CN"/>
        </w:rPr>
        <w:t>。</w:t>
      </w:r>
    </w:p>
    <w:p w14:paraId="72592417">
      <w:pPr>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lang w:val="en-US" w:eastAsia="zh-CN"/>
        </w:rPr>
        <w:t>2</w:t>
      </w:r>
      <w:r>
        <w:rPr>
          <w:rFonts w:hint="eastAsia" w:ascii="仿宋" w:hAnsi="仿宋" w:eastAsia="仿宋"/>
          <w:bCs/>
          <w:sz w:val="28"/>
          <w:szCs w:val="28"/>
          <w:lang w:val="zh-CN"/>
        </w:rPr>
        <w:t>：氟啶虫酰胺。总有效成分含量：50%；剂型：</w:t>
      </w:r>
      <w:r>
        <w:rPr>
          <w:rFonts w:ascii="仿宋" w:hAnsi="仿宋" w:eastAsia="仿宋"/>
          <w:bCs/>
          <w:sz w:val="28"/>
          <w:szCs w:val="28"/>
          <w:lang w:val="zh-CN"/>
        </w:rPr>
        <w:t>水分散粒剂</w:t>
      </w:r>
      <w:r>
        <w:rPr>
          <w:rFonts w:hint="eastAsia" w:ascii="仿宋" w:hAnsi="仿宋" w:eastAsia="仿宋"/>
          <w:bCs/>
          <w:sz w:val="28"/>
          <w:szCs w:val="28"/>
          <w:lang w:val="zh-CN"/>
        </w:rPr>
        <w:t>；</w:t>
      </w:r>
      <w:r>
        <w:rPr>
          <w:rFonts w:hint="eastAsia" w:ascii="仿宋" w:hAnsi="仿宋" w:eastAsia="仿宋"/>
          <w:sz w:val="28"/>
          <w:szCs w:val="28"/>
        </w:rPr>
        <w:t>登记作物/场所:水稻；</w:t>
      </w:r>
      <w:r>
        <w:rPr>
          <w:rFonts w:ascii="仿宋" w:hAnsi="仿宋" w:eastAsia="仿宋"/>
          <w:bCs/>
          <w:sz w:val="28"/>
          <w:szCs w:val="28"/>
          <w:lang w:val="zh-CN"/>
        </w:rPr>
        <w:t>防治对象：稻飞虱</w:t>
      </w:r>
      <w:r>
        <w:rPr>
          <w:rFonts w:hint="eastAsia" w:ascii="仿宋" w:hAnsi="仿宋" w:eastAsia="仿宋"/>
          <w:bCs/>
          <w:sz w:val="28"/>
          <w:szCs w:val="28"/>
          <w:lang w:val="zh-CN"/>
        </w:rPr>
        <w:t>。规格：</w:t>
      </w:r>
      <w:r>
        <w:rPr>
          <w:rFonts w:hint="eastAsia" w:ascii="仿宋" w:hAnsi="仿宋" w:eastAsia="仿宋"/>
          <w:bCs/>
          <w:sz w:val="28"/>
          <w:szCs w:val="28"/>
          <w:u w:val="single"/>
        </w:rPr>
        <w:t>100</w:t>
      </w:r>
      <w:r>
        <w:rPr>
          <w:rFonts w:hint="eastAsia" w:ascii="仿宋" w:hAnsi="仿宋" w:eastAsia="仿宋"/>
          <w:bCs/>
          <w:sz w:val="28"/>
          <w:szCs w:val="28"/>
          <w:lang w:val="zh-CN"/>
        </w:rPr>
        <w:t>g</w:t>
      </w:r>
      <w:r>
        <w:rPr>
          <w:rFonts w:hint="eastAsia" w:ascii="仿宋" w:hAnsi="仿宋" w:eastAsia="仿宋"/>
          <w:sz w:val="28"/>
          <w:szCs w:val="28"/>
        </w:rPr>
        <w:t>/瓶。</w:t>
      </w:r>
      <w:r>
        <w:rPr>
          <w:rFonts w:hint="eastAsia" w:ascii="仿宋" w:hAnsi="仿宋" w:eastAsia="仿宋"/>
          <w:bCs/>
          <w:sz w:val="28"/>
          <w:szCs w:val="28"/>
          <w:lang w:val="zh-CN"/>
        </w:rPr>
        <w:t>生产（分装）日期：在202</w:t>
      </w:r>
      <w:r>
        <w:rPr>
          <w:rFonts w:hint="eastAsia" w:ascii="仿宋" w:hAnsi="仿宋" w:eastAsia="仿宋"/>
          <w:bCs/>
          <w:sz w:val="28"/>
          <w:szCs w:val="28"/>
          <w:lang w:val="en-US" w:eastAsia="zh-CN"/>
        </w:rPr>
        <w:t>6</w:t>
      </w:r>
      <w:r>
        <w:rPr>
          <w:rFonts w:hint="eastAsia" w:ascii="仿宋" w:hAnsi="仿宋" w:eastAsia="仿宋"/>
          <w:bCs/>
          <w:sz w:val="28"/>
          <w:szCs w:val="28"/>
          <w:lang w:val="zh-CN"/>
        </w:rPr>
        <w:t>年</w:t>
      </w:r>
      <w:r>
        <w:rPr>
          <w:rFonts w:hint="eastAsia" w:ascii="仿宋" w:hAnsi="仿宋" w:eastAsia="仿宋"/>
          <w:bCs/>
          <w:sz w:val="28"/>
          <w:szCs w:val="28"/>
          <w:lang w:val="en-US" w:eastAsia="zh-CN"/>
        </w:rPr>
        <w:t>1</w:t>
      </w:r>
      <w:r>
        <w:rPr>
          <w:rFonts w:hint="eastAsia" w:ascii="仿宋" w:hAnsi="仿宋" w:eastAsia="仿宋"/>
          <w:bCs/>
          <w:sz w:val="28"/>
          <w:szCs w:val="28"/>
          <w:lang w:val="zh-CN"/>
        </w:rPr>
        <w:t>月1日之后</w:t>
      </w:r>
      <w:r>
        <w:rPr>
          <w:rFonts w:hint="eastAsia" w:ascii="仿宋" w:hAnsi="仿宋" w:eastAsia="仿宋"/>
          <w:b/>
          <w:bCs/>
          <w:sz w:val="28"/>
          <w:szCs w:val="28"/>
          <w:lang w:val="zh-CN"/>
        </w:rPr>
        <w:t>。</w:t>
      </w:r>
    </w:p>
    <w:p w14:paraId="67092B77">
      <w:pPr>
        <w:ind w:firstLine="562" w:firstLineChars="200"/>
        <w:rPr>
          <w:rFonts w:hint="eastAsia" w:ascii="仿宋" w:hAnsi="仿宋" w:eastAsia="仿宋"/>
          <w:b/>
          <w:bCs/>
          <w:sz w:val="28"/>
          <w:szCs w:val="28"/>
        </w:rPr>
      </w:pPr>
      <w:r>
        <w:rPr>
          <w:rFonts w:hint="eastAsia" w:ascii="仿宋" w:hAnsi="仿宋" w:eastAsia="仿宋"/>
          <w:b/>
          <w:bCs/>
          <w:sz w:val="28"/>
          <w:szCs w:val="28"/>
        </w:rPr>
        <w:t>以上</w:t>
      </w:r>
      <w:r>
        <w:rPr>
          <w:rFonts w:hint="eastAsia" w:ascii="仿宋" w:hAnsi="仿宋" w:eastAsia="仿宋"/>
          <w:b/>
          <w:bCs/>
          <w:color w:val="auto"/>
          <w:sz w:val="28"/>
          <w:szCs w:val="28"/>
        </w:rPr>
        <w:t>所有农药产品必</w:t>
      </w:r>
      <w:r>
        <w:rPr>
          <w:rFonts w:hint="eastAsia" w:ascii="仿宋" w:hAnsi="仿宋" w:eastAsia="仿宋"/>
          <w:b/>
          <w:bCs/>
          <w:sz w:val="28"/>
          <w:szCs w:val="28"/>
        </w:rPr>
        <w:t>须是微毒或低毒产品。</w:t>
      </w:r>
    </w:p>
    <w:p w14:paraId="65D562E6">
      <w:pPr>
        <w:spacing w:line="360" w:lineRule="auto"/>
        <w:ind w:firstLine="281" w:firstLineChars="100"/>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合同签订后5天内供货完毕。</w:t>
      </w:r>
    </w:p>
    <w:p w14:paraId="1ED7209D">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送货至采购人指定地点（到村）。发放给</w:t>
      </w:r>
      <w:r>
        <w:rPr>
          <w:rFonts w:hint="eastAsia" w:ascii="仿宋" w:hAnsi="仿宋" w:eastAsia="仿宋"/>
          <w:sz w:val="28"/>
          <w:szCs w:val="28"/>
        </w:rPr>
        <w:t>全市2025年200亩（含）以上水稻规模种植主体</w:t>
      </w:r>
      <w:r>
        <w:rPr>
          <w:rFonts w:hint="eastAsia" w:ascii="仿宋" w:hAnsi="仿宋" w:eastAsia="仿宋"/>
          <w:bCs/>
          <w:sz w:val="28"/>
          <w:szCs w:val="28"/>
        </w:rPr>
        <w:t>。</w:t>
      </w:r>
    </w:p>
    <w:p w14:paraId="268D69F1">
      <w:pPr>
        <w:ind w:firstLine="562" w:firstLineChars="200"/>
        <w:rPr>
          <w:rFonts w:hint="eastAsia" w:ascii="仿宋" w:hAnsi="仿宋" w:eastAsia="仿宋"/>
          <w:sz w:val="28"/>
          <w:szCs w:val="28"/>
        </w:rPr>
      </w:pPr>
      <w:r>
        <w:rPr>
          <w:rFonts w:hint="eastAsia" w:ascii="仿宋" w:hAnsi="仿宋" w:eastAsia="仿宋"/>
          <w:b/>
          <w:sz w:val="28"/>
          <w:szCs w:val="28"/>
        </w:rPr>
        <w:t>3. 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5F6327E5">
      <w:pPr>
        <w:ind w:firstLine="560" w:firstLineChars="200"/>
        <w:rPr>
          <w:rFonts w:hint="eastAsia" w:ascii="仿宋" w:hAnsi="仿宋" w:eastAsia="仿宋"/>
          <w:sz w:val="28"/>
          <w:szCs w:val="28"/>
        </w:rPr>
      </w:pPr>
      <w:r>
        <w:rPr>
          <w:rFonts w:ascii="仿宋" w:hAnsi="仿宋" w:eastAsia="仿宋"/>
          <w:sz w:val="28"/>
          <w:szCs w:val="28"/>
        </w:rPr>
        <w:t>特别说明：所有产品供货至采购人当地仓库后，采购人将对货物进行随机抽样并送至专业检测机构检测，如检测不合格，造成的损失和后果由供应商负全责。采购人有权将供应商质量问题报送质量监管等部门。</w:t>
      </w:r>
      <w:r>
        <w:rPr>
          <w:rFonts w:hint="eastAsia" w:ascii="仿宋" w:hAnsi="仿宋" w:eastAsia="仿宋"/>
          <w:sz w:val="28"/>
          <w:szCs w:val="28"/>
        </w:rPr>
        <w:t>如在农户使用过程中反映有质量问题，将进行复检，复检的费用由</w:t>
      </w:r>
      <w:bookmarkStart w:id="6" w:name="_Hlk204211762"/>
      <w:r>
        <w:rPr>
          <w:rFonts w:ascii="仿宋" w:hAnsi="仿宋" w:eastAsia="仿宋"/>
          <w:sz w:val="28"/>
          <w:szCs w:val="28"/>
        </w:rPr>
        <w:t>供应商</w:t>
      </w:r>
      <w:bookmarkEnd w:id="6"/>
      <w:r>
        <w:rPr>
          <w:rFonts w:hint="eastAsia" w:ascii="仿宋" w:hAnsi="仿宋" w:eastAsia="仿宋"/>
          <w:sz w:val="28"/>
          <w:szCs w:val="28"/>
        </w:rPr>
        <w:t>承担。对于发生的舆情和负面影响将由</w:t>
      </w:r>
      <w:r>
        <w:rPr>
          <w:rFonts w:ascii="仿宋" w:hAnsi="仿宋" w:eastAsia="仿宋"/>
          <w:sz w:val="28"/>
          <w:szCs w:val="28"/>
        </w:rPr>
        <w:t>供应商</w:t>
      </w:r>
      <w:r>
        <w:rPr>
          <w:rFonts w:hint="eastAsia" w:ascii="仿宋" w:hAnsi="仿宋" w:eastAsia="仿宋"/>
          <w:sz w:val="28"/>
          <w:szCs w:val="28"/>
        </w:rPr>
        <w:t>负责并尽快消除。</w:t>
      </w:r>
    </w:p>
    <w:p w14:paraId="191EE964">
      <w:pPr>
        <w:ind w:firstLine="560" w:firstLineChars="200"/>
        <w:rPr>
          <w:rFonts w:hint="eastAsia" w:ascii="仿宋" w:hAnsi="仿宋" w:eastAsia="仿宋"/>
          <w:sz w:val="28"/>
          <w:szCs w:val="28"/>
        </w:rPr>
      </w:pPr>
      <w:r>
        <w:rPr>
          <w:rFonts w:ascii="仿宋" w:hAnsi="仿宋" w:eastAsia="仿宋"/>
          <w:sz w:val="28"/>
          <w:szCs w:val="28"/>
        </w:rPr>
        <w:t>供应商应根据采购人项目实施进度安排，负责送货发放等后续工作，所有费用由中标供应商承担，报价时请综合考虑。</w:t>
      </w:r>
    </w:p>
    <w:p w14:paraId="43CC29F9">
      <w:pPr>
        <w:tabs>
          <w:tab w:val="left" w:pos="5325"/>
        </w:tabs>
        <w:snapToGrid w:val="0"/>
        <w:spacing w:line="360" w:lineRule="auto"/>
        <w:contextualSpacing/>
        <w:rPr>
          <w:rFonts w:hint="eastAsia" w:ascii="仿宋" w:hAnsi="仿宋" w:eastAsia="仿宋"/>
          <w:b/>
          <w:sz w:val="28"/>
          <w:szCs w:val="28"/>
        </w:rPr>
      </w:pPr>
      <w:r>
        <w:rPr>
          <w:rFonts w:hint="eastAsia" w:ascii="仿宋" w:hAnsi="仿宋" w:eastAsia="仿宋"/>
          <w:b/>
          <w:sz w:val="28"/>
          <w:szCs w:val="28"/>
        </w:rPr>
        <w:t>六、付款时间和条件</w:t>
      </w:r>
    </w:p>
    <w:p w14:paraId="0A731BAA">
      <w:pPr>
        <w:pStyle w:val="3"/>
        <w:kinsoku w:val="0"/>
        <w:topLinePunct/>
        <w:autoSpaceDE w:val="0"/>
        <w:autoSpaceDN w:val="0"/>
        <w:snapToGrid w:val="0"/>
        <w:spacing w:line="360" w:lineRule="auto"/>
        <w:ind w:firstLine="453" w:firstLineChars="162"/>
        <w:contextualSpacing/>
        <w:rPr>
          <w:rFonts w:hint="eastAsia" w:ascii="仿宋" w:hAnsi="仿宋" w:eastAsia="仿宋"/>
          <w:sz w:val="28"/>
          <w:szCs w:val="28"/>
          <w:lang w:val="zh-CN"/>
        </w:rPr>
      </w:pPr>
      <w:r>
        <w:rPr>
          <w:rFonts w:hint="eastAsia" w:ascii="仿宋" w:hAnsi="仿宋" w:eastAsia="仿宋"/>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sz w:val="28"/>
          <w:szCs w:val="28"/>
        </w:rPr>
        <w:t>202</w:t>
      </w:r>
      <w:r>
        <w:rPr>
          <w:rFonts w:hint="eastAsia" w:ascii="仿宋" w:hAnsi="仿宋" w:eastAsia="仿宋"/>
          <w:b/>
          <w:bCs/>
          <w:sz w:val="28"/>
          <w:szCs w:val="28"/>
          <w:lang w:val="en-US" w:eastAsia="zh-CN"/>
        </w:rPr>
        <w:t>6</w:t>
      </w:r>
      <w:r>
        <w:rPr>
          <w:rFonts w:hint="eastAsia" w:ascii="仿宋" w:hAnsi="仿宋" w:eastAsia="仿宋"/>
          <w:b/>
          <w:bCs/>
          <w:sz w:val="28"/>
          <w:szCs w:val="28"/>
        </w:rPr>
        <w:t>年12月31日前，</w:t>
      </w:r>
      <w:r>
        <w:rPr>
          <w:rFonts w:hint="eastAsia" w:ascii="仿宋" w:hAnsi="仿宋" w:eastAsia="仿宋"/>
          <w:sz w:val="28"/>
          <w:szCs w:val="28"/>
        </w:rPr>
        <w:t>由项目实施单位主管部门一次性结清全部货款。</w:t>
      </w:r>
    </w:p>
    <w:p w14:paraId="7CF8F2F0">
      <w:pPr>
        <w:snapToGrid w:val="0"/>
        <w:spacing w:line="30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snapToGrid w:val="0"/>
        <w:spacing w:line="30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adjustRightInd w:val="0"/>
        <w:spacing w:line="440" w:lineRule="exact"/>
        <w:ind w:firstLine="482"/>
        <w:jc w:val="center"/>
        <w:rPr>
          <w:rFonts w:hint="eastAsia" w:ascii="仿宋" w:hAnsi="仿宋" w:eastAsia="仿宋"/>
          <w:b/>
          <w:sz w:val="32"/>
          <w:szCs w:val="32"/>
        </w:rPr>
      </w:pPr>
      <w:r>
        <w:rPr>
          <w:rFonts w:hint="eastAsia" w:ascii="仿宋" w:hAnsi="仿宋" w:eastAsia="仿宋"/>
          <w:b/>
          <w:sz w:val="32"/>
          <w:szCs w:val="32"/>
        </w:rPr>
        <w:t xml:space="preserve"> XXXXX项目</w:t>
      </w:r>
    </w:p>
    <w:p w14:paraId="689BEF71">
      <w:pPr>
        <w:adjustRightInd w:val="0"/>
        <w:spacing w:line="440" w:lineRule="exact"/>
        <w:ind w:firstLine="482"/>
        <w:jc w:val="center"/>
        <w:rPr>
          <w:rFonts w:hint="eastAsia" w:ascii="仿宋" w:hAnsi="仿宋" w:eastAsia="仿宋"/>
          <w:b/>
          <w:sz w:val="32"/>
          <w:szCs w:val="32"/>
        </w:rPr>
      </w:pPr>
    </w:p>
    <w:p w14:paraId="413DC194">
      <w:pPr>
        <w:spacing w:line="500" w:lineRule="exact"/>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snapToGrid w:val="0"/>
              <w:spacing w:line="30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snapToGrid w:val="0"/>
              <w:spacing w:line="30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snapToGrid w:val="0"/>
              <w:spacing w:line="30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snapToGrid w:val="0"/>
              <w:spacing w:line="30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snapToGrid w:val="0"/>
              <w:spacing w:line="300" w:lineRule="auto"/>
              <w:rPr>
                <w:rFonts w:hint="eastAsia" w:ascii="仿宋" w:hAnsi="仿宋" w:eastAsia="仿宋"/>
                <w:b/>
                <w:sz w:val="28"/>
                <w:szCs w:val="28"/>
              </w:rPr>
            </w:pPr>
          </w:p>
        </w:tc>
        <w:tc>
          <w:tcPr>
            <w:tcW w:w="1260" w:type="dxa"/>
            <w:noWrap/>
          </w:tcPr>
          <w:p w14:paraId="472584C8">
            <w:pPr>
              <w:snapToGrid w:val="0"/>
              <w:spacing w:line="300" w:lineRule="auto"/>
              <w:rPr>
                <w:rFonts w:hint="eastAsia" w:ascii="仿宋" w:hAnsi="仿宋" w:eastAsia="仿宋"/>
                <w:b/>
                <w:sz w:val="28"/>
                <w:szCs w:val="28"/>
              </w:rPr>
            </w:pPr>
          </w:p>
        </w:tc>
        <w:tc>
          <w:tcPr>
            <w:tcW w:w="1260" w:type="dxa"/>
            <w:noWrap/>
          </w:tcPr>
          <w:p w14:paraId="0563D975">
            <w:pPr>
              <w:snapToGrid w:val="0"/>
              <w:spacing w:line="300" w:lineRule="auto"/>
              <w:rPr>
                <w:rFonts w:hint="eastAsia" w:ascii="仿宋" w:hAnsi="仿宋" w:eastAsia="仿宋"/>
                <w:b/>
                <w:sz w:val="28"/>
                <w:szCs w:val="28"/>
              </w:rPr>
            </w:pPr>
          </w:p>
        </w:tc>
        <w:tc>
          <w:tcPr>
            <w:tcW w:w="1155" w:type="dxa"/>
            <w:noWrap/>
          </w:tcPr>
          <w:p w14:paraId="629A0716">
            <w:pPr>
              <w:snapToGrid w:val="0"/>
              <w:spacing w:line="300" w:lineRule="auto"/>
              <w:rPr>
                <w:rFonts w:hint="eastAsia" w:ascii="仿宋" w:hAnsi="仿宋" w:eastAsia="仿宋"/>
                <w:b/>
                <w:sz w:val="28"/>
                <w:szCs w:val="28"/>
              </w:rPr>
            </w:pPr>
          </w:p>
        </w:tc>
        <w:tc>
          <w:tcPr>
            <w:tcW w:w="1155" w:type="dxa"/>
            <w:noWrap/>
          </w:tcPr>
          <w:p w14:paraId="4A0ECFED">
            <w:pPr>
              <w:snapToGrid w:val="0"/>
              <w:spacing w:line="300" w:lineRule="auto"/>
              <w:rPr>
                <w:rFonts w:hint="eastAsia" w:ascii="仿宋" w:hAnsi="仿宋" w:eastAsia="仿宋"/>
                <w:b/>
                <w:sz w:val="28"/>
                <w:szCs w:val="28"/>
              </w:rPr>
            </w:pPr>
          </w:p>
        </w:tc>
        <w:tc>
          <w:tcPr>
            <w:tcW w:w="959" w:type="dxa"/>
            <w:noWrap/>
          </w:tcPr>
          <w:p w14:paraId="354B9762">
            <w:pPr>
              <w:snapToGrid w:val="0"/>
              <w:spacing w:line="30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snapToGrid w:val="0"/>
              <w:spacing w:line="300" w:lineRule="auto"/>
              <w:rPr>
                <w:rFonts w:hint="eastAsia" w:ascii="仿宋" w:hAnsi="仿宋" w:eastAsia="仿宋"/>
                <w:b/>
                <w:sz w:val="28"/>
                <w:szCs w:val="28"/>
              </w:rPr>
            </w:pPr>
          </w:p>
        </w:tc>
        <w:tc>
          <w:tcPr>
            <w:tcW w:w="1995" w:type="dxa"/>
            <w:noWrap/>
          </w:tcPr>
          <w:p w14:paraId="3B5581BA">
            <w:pPr>
              <w:snapToGrid w:val="0"/>
              <w:spacing w:line="300" w:lineRule="auto"/>
              <w:rPr>
                <w:rFonts w:hint="eastAsia" w:ascii="仿宋" w:hAnsi="仿宋" w:eastAsia="仿宋"/>
                <w:b/>
                <w:sz w:val="28"/>
                <w:szCs w:val="28"/>
              </w:rPr>
            </w:pPr>
          </w:p>
        </w:tc>
        <w:tc>
          <w:tcPr>
            <w:tcW w:w="1260" w:type="dxa"/>
            <w:noWrap/>
          </w:tcPr>
          <w:p w14:paraId="5A5E8C5E">
            <w:pPr>
              <w:snapToGrid w:val="0"/>
              <w:spacing w:line="300" w:lineRule="auto"/>
              <w:rPr>
                <w:rFonts w:hint="eastAsia" w:ascii="仿宋" w:hAnsi="仿宋" w:eastAsia="仿宋"/>
                <w:b/>
                <w:sz w:val="28"/>
                <w:szCs w:val="28"/>
              </w:rPr>
            </w:pPr>
          </w:p>
        </w:tc>
        <w:tc>
          <w:tcPr>
            <w:tcW w:w="1260" w:type="dxa"/>
            <w:noWrap/>
          </w:tcPr>
          <w:p w14:paraId="783BDD25">
            <w:pPr>
              <w:snapToGrid w:val="0"/>
              <w:spacing w:line="300" w:lineRule="auto"/>
              <w:rPr>
                <w:rFonts w:hint="eastAsia" w:ascii="仿宋" w:hAnsi="仿宋" w:eastAsia="仿宋"/>
                <w:b/>
                <w:sz w:val="28"/>
                <w:szCs w:val="28"/>
              </w:rPr>
            </w:pPr>
          </w:p>
        </w:tc>
        <w:tc>
          <w:tcPr>
            <w:tcW w:w="1155" w:type="dxa"/>
            <w:noWrap/>
          </w:tcPr>
          <w:p w14:paraId="2B9FBCF8">
            <w:pPr>
              <w:snapToGrid w:val="0"/>
              <w:spacing w:line="300" w:lineRule="auto"/>
              <w:rPr>
                <w:rFonts w:hint="eastAsia" w:ascii="仿宋" w:hAnsi="仿宋" w:eastAsia="仿宋"/>
                <w:b/>
                <w:sz w:val="28"/>
                <w:szCs w:val="28"/>
              </w:rPr>
            </w:pPr>
          </w:p>
        </w:tc>
        <w:tc>
          <w:tcPr>
            <w:tcW w:w="1155" w:type="dxa"/>
            <w:noWrap/>
          </w:tcPr>
          <w:p w14:paraId="2A21388F">
            <w:pPr>
              <w:snapToGrid w:val="0"/>
              <w:spacing w:line="300" w:lineRule="auto"/>
              <w:rPr>
                <w:rFonts w:hint="eastAsia" w:ascii="仿宋" w:hAnsi="仿宋" w:eastAsia="仿宋"/>
                <w:b/>
                <w:sz w:val="28"/>
                <w:szCs w:val="28"/>
              </w:rPr>
            </w:pPr>
          </w:p>
        </w:tc>
        <w:tc>
          <w:tcPr>
            <w:tcW w:w="959" w:type="dxa"/>
            <w:noWrap/>
          </w:tcPr>
          <w:p w14:paraId="57837DD8">
            <w:pPr>
              <w:snapToGrid w:val="0"/>
              <w:spacing w:line="30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snapToGrid w:val="0"/>
              <w:spacing w:line="300" w:lineRule="auto"/>
              <w:rPr>
                <w:rFonts w:hint="eastAsia" w:ascii="仿宋" w:hAnsi="仿宋" w:eastAsia="仿宋"/>
                <w:b/>
                <w:sz w:val="28"/>
                <w:szCs w:val="28"/>
              </w:rPr>
            </w:pPr>
          </w:p>
        </w:tc>
        <w:tc>
          <w:tcPr>
            <w:tcW w:w="1995" w:type="dxa"/>
            <w:noWrap/>
          </w:tcPr>
          <w:p w14:paraId="36093EB1">
            <w:pPr>
              <w:snapToGrid w:val="0"/>
              <w:spacing w:line="300" w:lineRule="auto"/>
              <w:rPr>
                <w:rFonts w:hint="eastAsia" w:ascii="仿宋" w:hAnsi="仿宋" w:eastAsia="仿宋"/>
                <w:b/>
                <w:sz w:val="28"/>
                <w:szCs w:val="28"/>
              </w:rPr>
            </w:pPr>
          </w:p>
        </w:tc>
        <w:tc>
          <w:tcPr>
            <w:tcW w:w="1260" w:type="dxa"/>
            <w:noWrap/>
          </w:tcPr>
          <w:p w14:paraId="1BB6EE76">
            <w:pPr>
              <w:snapToGrid w:val="0"/>
              <w:spacing w:line="300" w:lineRule="auto"/>
              <w:rPr>
                <w:rFonts w:hint="eastAsia" w:ascii="仿宋" w:hAnsi="仿宋" w:eastAsia="仿宋"/>
                <w:b/>
                <w:sz w:val="28"/>
                <w:szCs w:val="28"/>
              </w:rPr>
            </w:pPr>
          </w:p>
        </w:tc>
        <w:tc>
          <w:tcPr>
            <w:tcW w:w="1260" w:type="dxa"/>
            <w:noWrap/>
          </w:tcPr>
          <w:p w14:paraId="53E6D665">
            <w:pPr>
              <w:snapToGrid w:val="0"/>
              <w:spacing w:line="300" w:lineRule="auto"/>
              <w:rPr>
                <w:rFonts w:hint="eastAsia" w:ascii="仿宋" w:hAnsi="仿宋" w:eastAsia="仿宋"/>
                <w:b/>
                <w:sz w:val="28"/>
                <w:szCs w:val="28"/>
              </w:rPr>
            </w:pPr>
          </w:p>
        </w:tc>
        <w:tc>
          <w:tcPr>
            <w:tcW w:w="1155" w:type="dxa"/>
            <w:noWrap/>
          </w:tcPr>
          <w:p w14:paraId="59BBBD00">
            <w:pPr>
              <w:snapToGrid w:val="0"/>
              <w:spacing w:line="300" w:lineRule="auto"/>
              <w:rPr>
                <w:rFonts w:hint="eastAsia" w:ascii="仿宋" w:hAnsi="仿宋" w:eastAsia="仿宋"/>
                <w:b/>
                <w:sz w:val="28"/>
                <w:szCs w:val="28"/>
              </w:rPr>
            </w:pPr>
          </w:p>
        </w:tc>
        <w:tc>
          <w:tcPr>
            <w:tcW w:w="1155" w:type="dxa"/>
            <w:noWrap/>
          </w:tcPr>
          <w:p w14:paraId="124EA0D0">
            <w:pPr>
              <w:snapToGrid w:val="0"/>
              <w:spacing w:line="300" w:lineRule="auto"/>
              <w:rPr>
                <w:rFonts w:hint="eastAsia" w:ascii="仿宋" w:hAnsi="仿宋" w:eastAsia="仿宋"/>
                <w:b/>
                <w:sz w:val="28"/>
                <w:szCs w:val="28"/>
              </w:rPr>
            </w:pPr>
          </w:p>
        </w:tc>
        <w:tc>
          <w:tcPr>
            <w:tcW w:w="959" w:type="dxa"/>
            <w:noWrap/>
          </w:tcPr>
          <w:p w14:paraId="6D7C100B">
            <w:pPr>
              <w:snapToGrid w:val="0"/>
              <w:spacing w:line="30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snapToGrid w:val="0"/>
              <w:spacing w:line="300" w:lineRule="auto"/>
              <w:rPr>
                <w:rFonts w:hint="eastAsia" w:ascii="仿宋" w:hAnsi="仿宋" w:eastAsia="仿宋"/>
                <w:b/>
                <w:sz w:val="28"/>
                <w:szCs w:val="28"/>
              </w:rPr>
            </w:pPr>
          </w:p>
        </w:tc>
        <w:tc>
          <w:tcPr>
            <w:tcW w:w="1995" w:type="dxa"/>
            <w:noWrap/>
          </w:tcPr>
          <w:p w14:paraId="72C504B1">
            <w:pPr>
              <w:snapToGrid w:val="0"/>
              <w:spacing w:line="30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snapToGrid w:val="0"/>
              <w:spacing w:line="300" w:lineRule="auto"/>
              <w:rPr>
                <w:rFonts w:hint="eastAsia" w:ascii="仿宋" w:hAnsi="仿宋" w:eastAsia="仿宋"/>
                <w:b/>
                <w:sz w:val="28"/>
                <w:szCs w:val="28"/>
              </w:rPr>
            </w:pPr>
          </w:p>
        </w:tc>
        <w:tc>
          <w:tcPr>
            <w:tcW w:w="1260" w:type="dxa"/>
            <w:noWrap/>
          </w:tcPr>
          <w:p w14:paraId="61380D4D">
            <w:pPr>
              <w:snapToGrid w:val="0"/>
              <w:spacing w:line="300" w:lineRule="auto"/>
              <w:rPr>
                <w:rFonts w:hint="eastAsia" w:ascii="仿宋" w:hAnsi="仿宋" w:eastAsia="仿宋"/>
                <w:b/>
                <w:sz w:val="28"/>
                <w:szCs w:val="28"/>
              </w:rPr>
            </w:pPr>
          </w:p>
        </w:tc>
        <w:tc>
          <w:tcPr>
            <w:tcW w:w="1155" w:type="dxa"/>
            <w:noWrap/>
          </w:tcPr>
          <w:p w14:paraId="3E632A86">
            <w:pPr>
              <w:snapToGrid w:val="0"/>
              <w:spacing w:line="300" w:lineRule="auto"/>
              <w:rPr>
                <w:rFonts w:hint="eastAsia" w:ascii="仿宋" w:hAnsi="仿宋" w:eastAsia="仿宋"/>
                <w:b/>
                <w:sz w:val="28"/>
                <w:szCs w:val="28"/>
              </w:rPr>
            </w:pPr>
          </w:p>
        </w:tc>
        <w:tc>
          <w:tcPr>
            <w:tcW w:w="1155" w:type="dxa"/>
            <w:noWrap/>
          </w:tcPr>
          <w:p w14:paraId="7D633190">
            <w:pPr>
              <w:snapToGrid w:val="0"/>
              <w:spacing w:line="300" w:lineRule="auto"/>
              <w:rPr>
                <w:rFonts w:hint="eastAsia" w:ascii="仿宋" w:hAnsi="仿宋" w:eastAsia="仿宋"/>
                <w:b/>
                <w:sz w:val="28"/>
                <w:szCs w:val="28"/>
              </w:rPr>
            </w:pPr>
          </w:p>
        </w:tc>
        <w:tc>
          <w:tcPr>
            <w:tcW w:w="959" w:type="dxa"/>
            <w:noWrap/>
          </w:tcPr>
          <w:p w14:paraId="61716E2D">
            <w:pPr>
              <w:snapToGrid w:val="0"/>
              <w:spacing w:line="30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snapToGrid w:val="0"/>
              <w:spacing w:line="300" w:lineRule="auto"/>
              <w:rPr>
                <w:rFonts w:hint="eastAsia" w:ascii="仿宋" w:hAnsi="仿宋" w:eastAsia="仿宋"/>
                <w:b/>
                <w:sz w:val="28"/>
                <w:szCs w:val="28"/>
              </w:rPr>
            </w:pPr>
          </w:p>
        </w:tc>
        <w:tc>
          <w:tcPr>
            <w:tcW w:w="7784" w:type="dxa"/>
            <w:gridSpan w:val="6"/>
            <w:noWrap/>
          </w:tcPr>
          <w:p w14:paraId="0EC03573">
            <w:pPr>
              <w:snapToGrid w:val="0"/>
              <w:spacing w:line="30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snapToGrid w:val="0"/>
        <w:spacing w:line="300" w:lineRule="auto"/>
        <w:rPr>
          <w:rFonts w:hint="eastAsia" w:ascii="仿宋" w:hAnsi="仿宋" w:eastAsia="仿宋"/>
          <w:b/>
          <w:sz w:val="28"/>
          <w:szCs w:val="28"/>
        </w:rPr>
      </w:pPr>
    </w:p>
    <w:p w14:paraId="6967A850">
      <w:pPr>
        <w:snapToGrid w:val="0"/>
        <w:spacing w:line="30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snapToGrid w:val="0"/>
        <w:spacing w:line="30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snapToGrid w:val="0"/>
        <w:spacing w:line="300" w:lineRule="auto"/>
        <w:rPr>
          <w:rFonts w:hint="eastAsia" w:ascii="仿宋" w:hAnsi="仿宋" w:eastAsia="仿宋"/>
          <w:b/>
          <w:sz w:val="28"/>
          <w:szCs w:val="28"/>
        </w:rPr>
      </w:pPr>
    </w:p>
    <w:p w14:paraId="69BA0891">
      <w:pPr>
        <w:snapToGrid w:val="0"/>
        <w:spacing w:line="30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snapToGrid w:val="0"/>
        <w:spacing w:line="300" w:lineRule="auto"/>
        <w:rPr>
          <w:rFonts w:hint="eastAsia" w:ascii="仿宋" w:hAnsi="仿宋" w:eastAsia="仿宋"/>
          <w:sz w:val="28"/>
          <w:szCs w:val="28"/>
        </w:rPr>
      </w:pPr>
      <w:r>
        <w:rPr>
          <w:rFonts w:hint="eastAsia" w:ascii="仿宋" w:hAnsi="仿宋" w:eastAsia="仿宋"/>
          <w:sz w:val="28"/>
          <w:szCs w:val="28"/>
        </w:rPr>
        <w:t>报价人名称（公章）：</w:t>
      </w:r>
    </w:p>
    <w:p w14:paraId="6C168052">
      <w:pPr>
        <w:snapToGrid w:val="0"/>
        <w:spacing w:line="300" w:lineRule="auto"/>
        <w:rPr>
          <w:rFonts w:hint="eastAsia" w:ascii="仿宋" w:hAnsi="仿宋" w:eastAsia="仿宋"/>
          <w:sz w:val="28"/>
          <w:szCs w:val="28"/>
        </w:rPr>
      </w:pPr>
      <w:r>
        <w:rPr>
          <w:rFonts w:hint="eastAsia" w:ascii="仿宋" w:hAnsi="仿宋" w:eastAsia="仿宋"/>
          <w:sz w:val="28"/>
          <w:szCs w:val="28"/>
        </w:rPr>
        <w:t>报价人：</w:t>
      </w:r>
    </w:p>
    <w:p w14:paraId="3645BA08">
      <w:pPr>
        <w:snapToGrid w:val="0"/>
        <w:spacing w:line="300" w:lineRule="auto"/>
        <w:rPr>
          <w:rFonts w:hint="eastAsia" w:ascii="仿宋" w:hAnsi="仿宋" w:eastAsia="仿宋"/>
          <w:sz w:val="28"/>
          <w:szCs w:val="28"/>
        </w:rPr>
      </w:pPr>
      <w:r>
        <w:rPr>
          <w:rFonts w:hint="eastAsia" w:ascii="仿宋" w:hAnsi="仿宋" w:eastAsia="仿宋"/>
          <w:sz w:val="28"/>
          <w:szCs w:val="28"/>
        </w:rPr>
        <w:t>报价人联系电话：</w:t>
      </w:r>
    </w:p>
    <w:p w14:paraId="2BFEA2A5">
      <w:pPr>
        <w:snapToGrid w:val="0"/>
        <w:spacing w:line="300" w:lineRule="auto"/>
        <w:rPr>
          <w:rFonts w:hint="eastAsia" w:ascii="仿宋" w:hAnsi="仿宋" w:eastAsia="仿宋"/>
          <w:sz w:val="28"/>
          <w:szCs w:val="28"/>
        </w:rPr>
      </w:pPr>
      <w:r>
        <w:rPr>
          <w:rFonts w:hint="eastAsia" w:ascii="仿宋" w:hAnsi="仿宋" w:eastAsia="仿宋"/>
          <w:sz w:val="28"/>
          <w:szCs w:val="28"/>
        </w:rPr>
        <w:t>付款承诺：</w:t>
      </w:r>
    </w:p>
    <w:p w14:paraId="62B25055">
      <w:pPr>
        <w:snapToGrid w:val="0"/>
        <w:spacing w:line="300" w:lineRule="auto"/>
        <w:rPr>
          <w:rFonts w:hint="eastAsia" w:ascii="仿宋" w:hAnsi="仿宋" w:eastAsia="仿宋"/>
          <w:sz w:val="30"/>
          <w:szCs w:val="30"/>
        </w:rPr>
      </w:pPr>
      <w:r>
        <w:rPr>
          <w:rFonts w:hint="eastAsia" w:ascii="仿宋" w:hAnsi="仿宋" w:eastAsia="仿宋"/>
          <w:sz w:val="28"/>
          <w:szCs w:val="28"/>
        </w:rPr>
        <w:t>其它承诺：</w:t>
      </w:r>
    </w:p>
    <w:p w14:paraId="6DC0B627">
      <w:pPr>
        <w:snapToGrid w:val="0"/>
        <w:spacing w:line="300" w:lineRule="auto"/>
        <w:rPr>
          <w:rFonts w:hint="eastAsia" w:ascii="仿宋" w:hAnsi="仿宋" w:eastAsia="仿宋"/>
          <w:b/>
          <w:sz w:val="28"/>
          <w:szCs w:val="28"/>
        </w:rPr>
      </w:pPr>
    </w:p>
    <w:p w14:paraId="1518D7E1">
      <w:pPr>
        <w:snapToGrid w:val="0"/>
        <w:spacing w:line="300" w:lineRule="auto"/>
        <w:rPr>
          <w:rFonts w:hint="eastAsia" w:ascii="仿宋" w:hAnsi="仿宋" w:eastAsia="仿宋"/>
          <w:b/>
          <w:sz w:val="28"/>
          <w:szCs w:val="28"/>
        </w:rPr>
      </w:pPr>
    </w:p>
    <w:p w14:paraId="751E80D1">
      <w:pPr>
        <w:snapToGrid w:val="0"/>
        <w:spacing w:line="300" w:lineRule="auto"/>
        <w:rPr>
          <w:rFonts w:hint="eastAsia" w:ascii="仿宋" w:hAnsi="仿宋" w:eastAsia="仿宋"/>
          <w:b/>
          <w:sz w:val="28"/>
          <w:szCs w:val="28"/>
        </w:rPr>
      </w:pPr>
    </w:p>
    <w:p w14:paraId="2E40C6F7">
      <w:pPr>
        <w:snapToGrid w:val="0"/>
        <w:spacing w:line="300" w:lineRule="auto"/>
        <w:rPr>
          <w:rFonts w:hint="eastAsia" w:ascii="仿宋" w:hAnsi="仿宋" w:eastAsia="仿宋"/>
          <w:b/>
          <w:sz w:val="28"/>
          <w:szCs w:val="28"/>
        </w:rPr>
      </w:pPr>
    </w:p>
    <w:p w14:paraId="061DC115">
      <w:pPr>
        <w:snapToGrid w:val="0"/>
        <w:spacing w:line="300" w:lineRule="auto"/>
        <w:rPr>
          <w:rFonts w:hint="eastAsia" w:ascii="仿宋" w:hAnsi="仿宋" w:eastAsia="仿宋"/>
          <w:b/>
          <w:sz w:val="28"/>
          <w:szCs w:val="28"/>
        </w:rPr>
      </w:pPr>
    </w:p>
    <w:p w14:paraId="3E8503D1">
      <w:pPr>
        <w:snapToGrid w:val="0"/>
        <w:spacing w:line="300" w:lineRule="auto"/>
        <w:rPr>
          <w:rFonts w:hint="eastAsia" w:ascii="仿宋" w:hAnsi="仿宋" w:eastAsia="仿宋"/>
          <w:b/>
          <w:sz w:val="28"/>
          <w:szCs w:val="28"/>
        </w:rPr>
      </w:pPr>
    </w:p>
    <w:p w14:paraId="0FF043D1">
      <w:pPr>
        <w:pStyle w:val="29"/>
      </w:pPr>
    </w:p>
    <w:p w14:paraId="0F666911">
      <w:pPr>
        <w:snapToGrid w:val="0"/>
        <w:spacing w:line="30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jc w:val="center"/>
        <w:rPr>
          <w:rFonts w:hint="eastAsia" w:ascii="仿宋_GB2312" w:hAnsi="宋体" w:eastAsia="仿宋_GB2312"/>
          <w:sz w:val="24"/>
        </w:rPr>
      </w:pPr>
    </w:p>
    <w:p w14:paraId="3FC00C4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技术部分正负偏离表</w:t>
      </w:r>
    </w:p>
    <w:p w14:paraId="45A373E1">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spacing w:line="320" w:lineRule="exact"/>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spacing w:line="340" w:lineRule="exact"/>
              <w:jc w:val="center"/>
              <w:rPr>
                <w:rFonts w:hint="eastAsia" w:ascii="仿宋_GB2312" w:hAnsi="宋体" w:eastAsia="仿宋_GB2312"/>
                <w:szCs w:val="21"/>
              </w:rPr>
            </w:pPr>
          </w:p>
          <w:p w14:paraId="3662B81F">
            <w:pPr>
              <w:spacing w:line="340" w:lineRule="exact"/>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spacing w:line="340" w:lineRule="exact"/>
              <w:rPr>
                <w:rFonts w:hint="eastAsia" w:ascii="仿宋_GB2312" w:hAnsi="宋体" w:eastAsia="仿宋_GB2312"/>
                <w:sz w:val="24"/>
                <w:szCs w:val="24"/>
              </w:rPr>
            </w:pPr>
          </w:p>
        </w:tc>
        <w:tc>
          <w:tcPr>
            <w:tcW w:w="2706" w:type="dxa"/>
            <w:noWrap/>
            <w:vAlign w:val="center"/>
          </w:tcPr>
          <w:p w14:paraId="3B0150EA">
            <w:pPr>
              <w:spacing w:line="340" w:lineRule="exact"/>
              <w:jc w:val="center"/>
              <w:rPr>
                <w:rFonts w:hint="eastAsia" w:ascii="仿宋_GB2312" w:hAnsi="宋体" w:eastAsia="仿宋_GB2312"/>
                <w:szCs w:val="21"/>
              </w:rPr>
            </w:pPr>
          </w:p>
        </w:tc>
        <w:tc>
          <w:tcPr>
            <w:tcW w:w="2720" w:type="dxa"/>
            <w:noWrap/>
            <w:vAlign w:val="center"/>
          </w:tcPr>
          <w:p w14:paraId="3C89FD18">
            <w:pPr>
              <w:spacing w:line="340" w:lineRule="exact"/>
              <w:rPr>
                <w:rFonts w:ascii="仿宋_GB2312" w:eastAsia="仿宋_GB2312"/>
                <w:szCs w:val="21"/>
              </w:rPr>
            </w:pPr>
          </w:p>
        </w:tc>
        <w:tc>
          <w:tcPr>
            <w:tcW w:w="1417" w:type="dxa"/>
            <w:noWrap/>
          </w:tcPr>
          <w:p w14:paraId="14BF64A1">
            <w:pPr>
              <w:spacing w:line="340" w:lineRule="exact"/>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spacing w:line="340" w:lineRule="exact"/>
              <w:jc w:val="center"/>
              <w:rPr>
                <w:rFonts w:hint="eastAsia" w:ascii="仿宋_GB2312" w:hAnsi="宋体" w:eastAsia="仿宋_GB2312"/>
                <w:sz w:val="24"/>
                <w:szCs w:val="24"/>
              </w:rPr>
            </w:pPr>
          </w:p>
        </w:tc>
        <w:tc>
          <w:tcPr>
            <w:tcW w:w="2706" w:type="dxa"/>
            <w:noWrap/>
            <w:vAlign w:val="center"/>
          </w:tcPr>
          <w:p w14:paraId="51CA6317">
            <w:pPr>
              <w:spacing w:line="340" w:lineRule="exact"/>
              <w:jc w:val="center"/>
              <w:rPr>
                <w:rFonts w:hint="eastAsia" w:ascii="仿宋_GB2312" w:hAnsi="宋体" w:eastAsia="仿宋_GB2312"/>
                <w:sz w:val="24"/>
                <w:szCs w:val="24"/>
              </w:rPr>
            </w:pPr>
          </w:p>
        </w:tc>
        <w:tc>
          <w:tcPr>
            <w:tcW w:w="2720" w:type="dxa"/>
            <w:noWrap/>
            <w:vAlign w:val="center"/>
          </w:tcPr>
          <w:p w14:paraId="5C485C12">
            <w:pPr>
              <w:spacing w:line="340" w:lineRule="exact"/>
              <w:rPr>
                <w:rFonts w:ascii="仿宋_GB2312" w:eastAsia="仿宋_GB2312"/>
                <w:szCs w:val="21"/>
              </w:rPr>
            </w:pPr>
          </w:p>
        </w:tc>
        <w:tc>
          <w:tcPr>
            <w:tcW w:w="1417" w:type="dxa"/>
            <w:noWrap/>
          </w:tcPr>
          <w:p w14:paraId="5F00FBE6">
            <w:pPr>
              <w:spacing w:line="340" w:lineRule="exact"/>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spacing w:line="340" w:lineRule="exact"/>
              <w:rPr>
                <w:rFonts w:hint="eastAsia" w:ascii="仿宋_GB2312" w:hAnsi="宋体" w:eastAsia="仿宋_GB2312"/>
                <w:sz w:val="24"/>
                <w:szCs w:val="24"/>
              </w:rPr>
            </w:pPr>
          </w:p>
        </w:tc>
        <w:tc>
          <w:tcPr>
            <w:tcW w:w="2706" w:type="dxa"/>
            <w:noWrap/>
            <w:vAlign w:val="center"/>
          </w:tcPr>
          <w:p w14:paraId="2035A73C">
            <w:pPr>
              <w:spacing w:line="340" w:lineRule="exact"/>
              <w:ind w:firstLine="420" w:firstLineChars="200"/>
              <w:rPr>
                <w:rFonts w:ascii="仿宋_GB2312" w:eastAsia="仿宋_GB2312"/>
                <w:szCs w:val="21"/>
              </w:rPr>
            </w:pPr>
          </w:p>
        </w:tc>
        <w:tc>
          <w:tcPr>
            <w:tcW w:w="2720" w:type="dxa"/>
            <w:noWrap/>
            <w:vAlign w:val="center"/>
          </w:tcPr>
          <w:p w14:paraId="455D6B68">
            <w:pPr>
              <w:spacing w:line="340" w:lineRule="exact"/>
              <w:rPr>
                <w:rFonts w:ascii="仿宋_GB2312" w:eastAsia="仿宋_GB2312"/>
                <w:szCs w:val="21"/>
              </w:rPr>
            </w:pPr>
          </w:p>
        </w:tc>
        <w:tc>
          <w:tcPr>
            <w:tcW w:w="1417" w:type="dxa"/>
            <w:noWrap/>
          </w:tcPr>
          <w:p w14:paraId="2BEE60FB">
            <w:pPr>
              <w:spacing w:line="340" w:lineRule="exact"/>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spacing w:line="340" w:lineRule="exact"/>
              <w:jc w:val="center"/>
              <w:rPr>
                <w:rFonts w:hint="eastAsia" w:ascii="仿宋_GB2312" w:hAnsi="宋体" w:eastAsia="仿宋_GB2312"/>
                <w:sz w:val="24"/>
                <w:szCs w:val="24"/>
              </w:rPr>
            </w:pPr>
          </w:p>
        </w:tc>
        <w:tc>
          <w:tcPr>
            <w:tcW w:w="1263" w:type="dxa"/>
            <w:noWrap/>
            <w:vAlign w:val="center"/>
          </w:tcPr>
          <w:p w14:paraId="4856BE88">
            <w:pPr>
              <w:spacing w:line="340" w:lineRule="exact"/>
              <w:jc w:val="center"/>
              <w:rPr>
                <w:rFonts w:hint="eastAsia" w:ascii="仿宋_GB2312" w:hAnsi="宋体" w:eastAsia="仿宋_GB2312"/>
                <w:sz w:val="24"/>
                <w:szCs w:val="24"/>
              </w:rPr>
            </w:pPr>
          </w:p>
        </w:tc>
        <w:tc>
          <w:tcPr>
            <w:tcW w:w="2706" w:type="dxa"/>
            <w:noWrap/>
            <w:vAlign w:val="center"/>
          </w:tcPr>
          <w:p w14:paraId="42D854A7">
            <w:pPr>
              <w:spacing w:line="340" w:lineRule="exact"/>
              <w:rPr>
                <w:rFonts w:hint="eastAsia" w:ascii="仿宋_GB2312" w:hAnsi="宋体" w:eastAsia="仿宋_GB2312"/>
                <w:sz w:val="24"/>
                <w:szCs w:val="24"/>
              </w:rPr>
            </w:pPr>
          </w:p>
        </w:tc>
        <w:tc>
          <w:tcPr>
            <w:tcW w:w="2720" w:type="dxa"/>
            <w:noWrap/>
            <w:vAlign w:val="center"/>
          </w:tcPr>
          <w:p w14:paraId="00345E11">
            <w:pPr>
              <w:spacing w:line="340" w:lineRule="exact"/>
              <w:rPr>
                <w:rFonts w:ascii="仿宋_GB2312" w:eastAsia="仿宋_GB2312"/>
                <w:szCs w:val="21"/>
              </w:rPr>
            </w:pPr>
          </w:p>
        </w:tc>
        <w:tc>
          <w:tcPr>
            <w:tcW w:w="1417" w:type="dxa"/>
            <w:noWrap/>
          </w:tcPr>
          <w:p w14:paraId="74096C04">
            <w:pPr>
              <w:spacing w:line="340" w:lineRule="exact"/>
              <w:rPr>
                <w:rFonts w:ascii="仿宋_GB2312" w:eastAsia="仿宋_GB2312"/>
                <w:szCs w:val="21"/>
              </w:rPr>
            </w:pPr>
          </w:p>
        </w:tc>
      </w:tr>
    </w:tbl>
    <w:p w14:paraId="193BDF2A">
      <w:pPr>
        <w:spacing w:line="260" w:lineRule="exact"/>
        <w:rPr>
          <w:rFonts w:ascii="仿宋_GB2312" w:eastAsia="仿宋_GB2312"/>
          <w:sz w:val="24"/>
          <w:szCs w:val="24"/>
          <w:u w:val="single"/>
        </w:rPr>
      </w:pPr>
    </w:p>
    <w:p w14:paraId="28ED1824">
      <w:pPr>
        <w:rPr>
          <w:rFonts w:hint="eastAsia" w:ascii="仿宋_GB2312" w:hAnsi="宋体" w:eastAsia="仿宋_GB2312" w:cs="宋体"/>
          <w:szCs w:val="21"/>
        </w:rPr>
      </w:pPr>
    </w:p>
    <w:p w14:paraId="2AC3D44D">
      <w:pPr>
        <w:widowControl/>
        <w:spacing w:line="30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ind w:firstLine="5040" w:firstLineChars="2100"/>
        <w:rPr>
          <w:rFonts w:hint="eastAsia" w:ascii="仿宋_GB2312" w:hAnsi="宋体" w:eastAsia="仿宋_GB2312" w:cs="宋体"/>
          <w:sz w:val="24"/>
          <w:szCs w:val="24"/>
        </w:rPr>
      </w:pPr>
      <w:r>
        <w:rPr>
          <w:rFonts w:hint="eastAsia" w:ascii="仿宋_GB2312" w:hAnsi="宋体" w:eastAsia="仿宋_GB2312" w:cs="宋体"/>
          <w:sz w:val="24"/>
          <w:szCs w:val="24"/>
        </w:rPr>
        <w:t xml:space="preserve">日期： </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年</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月</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日</w:t>
      </w:r>
    </w:p>
    <w:p w14:paraId="4744C514">
      <w:pPr>
        <w:widowControl/>
        <w:wordWrap w:val="0"/>
        <w:jc w:val="left"/>
        <w:rPr>
          <w:rFonts w:hint="eastAsia" w:ascii="仿宋_GB2312" w:hAnsi="宋体" w:eastAsia="仿宋_GB2312" w:cs="宋体"/>
          <w:kern w:val="0"/>
          <w:szCs w:val="21"/>
          <w:shd w:val="clear" w:color="auto" w:fill="FFFFFF"/>
        </w:rPr>
      </w:pPr>
    </w:p>
    <w:p w14:paraId="344961CA">
      <w:pPr>
        <w:widowControl/>
        <w:wordWrap w:val="0"/>
        <w:jc w:val="left"/>
        <w:rPr>
          <w:rFonts w:hint="eastAsia" w:ascii="仿宋_GB2312" w:hAnsi="宋体" w:eastAsia="仿宋_GB2312" w:cs="宋体"/>
          <w:kern w:val="0"/>
          <w:szCs w:val="21"/>
          <w:shd w:val="clear" w:color="auto" w:fill="FFFFFF"/>
        </w:rPr>
      </w:pPr>
    </w:p>
    <w:p w14:paraId="7E394DD5">
      <w:pPr>
        <w:widowControl/>
        <w:wordWrap w:val="0"/>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widowControl/>
        <w:wordWrap w:val="0"/>
        <w:jc w:val="left"/>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widowControl/>
        <w:wordWrap w:val="0"/>
        <w:jc w:val="left"/>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snapToGrid w:val="0"/>
        <w:spacing w:line="300" w:lineRule="auto"/>
        <w:contextualSpacing/>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rPr>
          <w:rFonts w:hint="eastAsia" w:ascii="仿宋_GB2312" w:hAnsi="宋体" w:eastAsia="仿宋_GB2312"/>
          <w:sz w:val="24"/>
        </w:rPr>
      </w:pPr>
    </w:p>
    <w:p w14:paraId="281B1980">
      <w:pPr>
        <w:rPr>
          <w:rFonts w:hint="eastAsia" w:ascii="宋体" w:hAnsi="宋体"/>
          <w:sz w:val="28"/>
          <w:szCs w:val="28"/>
        </w:rPr>
      </w:pPr>
    </w:p>
    <w:p w14:paraId="32AE0750">
      <w:pPr>
        <w:pStyle w:val="29"/>
        <w:ind w:firstLine="560"/>
        <w:rPr>
          <w:rFonts w:hint="eastAsia" w:ascii="宋体" w:hAnsi="宋体"/>
          <w:sz w:val="28"/>
          <w:szCs w:val="28"/>
        </w:rPr>
      </w:pPr>
    </w:p>
    <w:p w14:paraId="595B4A4C">
      <w:pPr>
        <w:pStyle w:val="29"/>
        <w:ind w:firstLine="0" w:firstLineChars="0"/>
        <w:rPr>
          <w:rFonts w:hint="eastAsia" w:ascii="宋体" w:hAnsi="宋体"/>
          <w:sz w:val="28"/>
          <w:szCs w:val="28"/>
        </w:rPr>
      </w:pPr>
    </w:p>
    <w:p w14:paraId="1E3E3554">
      <w:pPr>
        <w:pStyle w:val="29"/>
        <w:ind w:firstLine="0" w:firstLineChars="0"/>
        <w:rPr>
          <w:rFonts w:hint="eastAsia" w:ascii="宋体" w:hAnsi="宋体"/>
          <w:sz w:val="28"/>
          <w:szCs w:val="28"/>
        </w:rPr>
      </w:pPr>
    </w:p>
    <w:p w14:paraId="5390AAAF">
      <w:pPr>
        <w:pStyle w:val="29"/>
        <w:ind w:firstLine="0" w:firstLineChars="0"/>
        <w:rPr>
          <w:rFonts w:hint="eastAsia" w:ascii="宋体" w:hAnsi="宋体"/>
          <w:sz w:val="28"/>
          <w:szCs w:val="28"/>
        </w:rPr>
      </w:pPr>
    </w:p>
    <w:p w14:paraId="6FF0ED3D">
      <w:pPr>
        <w:pStyle w:val="29"/>
        <w:ind w:firstLine="0" w:firstLineChars="0"/>
        <w:rPr>
          <w:rFonts w:hint="eastAsia" w:ascii="宋体" w:hAnsi="宋体"/>
          <w:sz w:val="28"/>
          <w:szCs w:val="28"/>
        </w:rPr>
      </w:pPr>
    </w:p>
    <w:p w14:paraId="08CA2C0F">
      <w:pPr>
        <w:widowControl/>
        <w:spacing w:line="560" w:lineRule="atLeast"/>
        <w:rPr>
          <w:rFonts w:hint="eastAsia" w:ascii="宋体" w:hAnsi="宋体"/>
          <w:b/>
          <w:bCs/>
          <w:sz w:val="28"/>
          <w:szCs w:val="28"/>
        </w:rPr>
      </w:pPr>
      <w:r>
        <w:rPr>
          <w:rFonts w:hint="eastAsia" w:ascii="仿宋" w:hAnsi="仿宋" w:eastAsia="仿宋"/>
          <w:b/>
          <w:sz w:val="28"/>
          <w:szCs w:val="28"/>
        </w:rPr>
        <w:t>附件4：</w:t>
      </w:r>
    </w:p>
    <w:p w14:paraId="4F08E855">
      <w:pPr>
        <w:widowControl/>
        <w:spacing w:line="560" w:lineRule="atLeast"/>
        <w:ind w:firstLine="2200" w:firstLineChars="500"/>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商务部分正负偏离表</w:t>
      </w:r>
    </w:p>
    <w:p w14:paraId="23C5D727">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序号</w:t>
            </w:r>
          </w:p>
        </w:tc>
        <w:tc>
          <w:tcPr>
            <w:tcW w:w="1263" w:type="dxa"/>
            <w:noWrap/>
            <w:vAlign w:val="center"/>
          </w:tcPr>
          <w:p w14:paraId="431E7C6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货物或服务名称</w:t>
            </w:r>
          </w:p>
        </w:tc>
        <w:tc>
          <w:tcPr>
            <w:tcW w:w="2706" w:type="dxa"/>
            <w:noWrap/>
            <w:vAlign w:val="center"/>
          </w:tcPr>
          <w:p w14:paraId="0396B0B8">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采购文件要求</w:t>
            </w:r>
          </w:p>
        </w:tc>
        <w:tc>
          <w:tcPr>
            <w:tcW w:w="2720" w:type="dxa"/>
            <w:noWrap/>
            <w:vAlign w:val="center"/>
          </w:tcPr>
          <w:p w14:paraId="470632A6">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响应文件响应情况</w:t>
            </w:r>
          </w:p>
        </w:tc>
        <w:tc>
          <w:tcPr>
            <w:tcW w:w="1417" w:type="dxa"/>
            <w:noWrap/>
          </w:tcPr>
          <w:p w14:paraId="53D1DFCC">
            <w:pPr>
              <w:spacing w:line="340" w:lineRule="exact"/>
              <w:jc w:val="center"/>
              <w:rPr>
                <w:rFonts w:hint="eastAsia" w:ascii="仿宋_GB2312" w:hAnsi="宋体" w:eastAsia="仿宋_GB2312"/>
                <w:sz w:val="28"/>
                <w:szCs w:val="28"/>
              </w:rPr>
            </w:pPr>
          </w:p>
          <w:p w14:paraId="3583789D">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1</w:t>
            </w:r>
          </w:p>
        </w:tc>
        <w:tc>
          <w:tcPr>
            <w:tcW w:w="1263" w:type="dxa"/>
            <w:noWrap/>
            <w:vAlign w:val="center"/>
          </w:tcPr>
          <w:p w14:paraId="1029A882">
            <w:pPr>
              <w:spacing w:line="340" w:lineRule="exact"/>
              <w:jc w:val="center"/>
              <w:rPr>
                <w:rFonts w:hint="eastAsia" w:ascii="仿宋_GB2312" w:hAnsi="宋体" w:eastAsia="仿宋_GB2312"/>
                <w:sz w:val="28"/>
                <w:szCs w:val="28"/>
              </w:rPr>
            </w:pPr>
          </w:p>
        </w:tc>
        <w:tc>
          <w:tcPr>
            <w:tcW w:w="2706" w:type="dxa"/>
            <w:noWrap/>
            <w:vAlign w:val="center"/>
          </w:tcPr>
          <w:p w14:paraId="29322EC3">
            <w:pPr>
              <w:spacing w:line="340" w:lineRule="exact"/>
              <w:jc w:val="center"/>
              <w:rPr>
                <w:rFonts w:hint="eastAsia" w:ascii="仿宋_GB2312" w:hAnsi="宋体" w:eastAsia="仿宋_GB2312"/>
                <w:sz w:val="28"/>
                <w:szCs w:val="28"/>
              </w:rPr>
            </w:pPr>
          </w:p>
        </w:tc>
        <w:tc>
          <w:tcPr>
            <w:tcW w:w="2720" w:type="dxa"/>
            <w:noWrap/>
            <w:vAlign w:val="center"/>
          </w:tcPr>
          <w:p w14:paraId="0538B6C6">
            <w:pPr>
              <w:spacing w:line="340" w:lineRule="exact"/>
              <w:rPr>
                <w:rFonts w:ascii="仿宋_GB2312" w:eastAsia="仿宋_GB2312"/>
                <w:sz w:val="28"/>
                <w:szCs w:val="28"/>
              </w:rPr>
            </w:pPr>
          </w:p>
        </w:tc>
        <w:tc>
          <w:tcPr>
            <w:tcW w:w="1417" w:type="dxa"/>
            <w:noWrap/>
          </w:tcPr>
          <w:p w14:paraId="6BC88BCA">
            <w:pPr>
              <w:spacing w:line="340" w:lineRule="exact"/>
              <w:rPr>
                <w:rFonts w:ascii="仿宋_GB2312" w:eastAsia="仿宋_GB2312"/>
                <w:sz w:val="28"/>
                <w:szCs w:val="28"/>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2</w:t>
            </w:r>
          </w:p>
        </w:tc>
        <w:tc>
          <w:tcPr>
            <w:tcW w:w="1263" w:type="dxa"/>
            <w:noWrap/>
            <w:vAlign w:val="center"/>
          </w:tcPr>
          <w:p w14:paraId="490AD54E">
            <w:pPr>
              <w:spacing w:line="340" w:lineRule="exact"/>
              <w:jc w:val="center"/>
              <w:rPr>
                <w:rFonts w:hint="eastAsia" w:ascii="仿宋_GB2312" w:hAnsi="宋体" w:eastAsia="仿宋_GB2312"/>
                <w:sz w:val="28"/>
                <w:szCs w:val="28"/>
              </w:rPr>
            </w:pPr>
          </w:p>
        </w:tc>
        <w:tc>
          <w:tcPr>
            <w:tcW w:w="2706" w:type="dxa"/>
            <w:noWrap/>
            <w:vAlign w:val="center"/>
          </w:tcPr>
          <w:p w14:paraId="3FA5E33C">
            <w:pPr>
              <w:spacing w:line="340" w:lineRule="exact"/>
              <w:jc w:val="center"/>
              <w:rPr>
                <w:rFonts w:hint="eastAsia" w:ascii="仿宋_GB2312" w:hAnsi="宋体" w:eastAsia="仿宋_GB2312"/>
                <w:sz w:val="28"/>
                <w:szCs w:val="28"/>
              </w:rPr>
            </w:pPr>
          </w:p>
        </w:tc>
        <w:tc>
          <w:tcPr>
            <w:tcW w:w="2720" w:type="dxa"/>
            <w:noWrap/>
            <w:vAlign w:val="center"/>
          </w:tcPr>
          <w:p w14:paraId="5A0B3CBA">
            <w:pPr>
              <w:spacing w:line="340" w:lineRule="exact"/>
              <w:rPr>
                <w:rFonts w:ascii="仿宋_GB2312" w:eastAsia="仿宋_GB2312"/>
                <w:sz w:val="28"/>
                <w:szCs w:val="28"/>
              </w:rPr>
            </w:pPr>
          </w:p>
        </w:tc>
        <w:tc>
          <w:tcPr>
            <w:tcW w:w="1417" w:type="dxa"/>
            <w:noWrap/>
          </w:tcPr>
          <w:p w14:paraId="7C2593CB">
            <w:pPr>
              <w:spacing w:line="340" w:lineRule="exact"/>
              <w:rPr>
                <w:rFonts w:ascii="仿宋_GB2312" w:eastAsia="仿宋_GB2312"/>
                <w:sz w:val="28"/>
                <w:szCs w:val="28"/>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1263" w:type="dxa"/>
            <w:noWrap/>
            <w:vAlign w:val="center"/>
          </w:tcPr>
          <w:p w14:paraId="6DEFC552">
            <w:pPr>
              <w:spacing w:line="340" w:lineRule="exact"/>
              <w:rPr>
                <w:rFonts w:hint="eastAsia" w:ascii="仿宋_GB2312" w:hAnsi="宋体" w:eastAsia="仿宋_GB2312"/>
                <w:sz w:val="28"/>
                <w:szCs w:val="28"/>
              </w:rPr>
            </w:pPr>
          </w:p>
        </w:tc>
        <w:tc>
          <w:tcPr>
            <w:tcW w:w="2706" w:type="dxa"/>
            <w:noWrap/>
            <w:vAlign w:val="center"/>
          </w:tcPr>
          <w:p w14:paraId="2271D30D">
            <w:pPr>
              <w:spacing w:line="340" w:lineRule="exact"/>
              <w:ind w:firstLine="560" w:firstLineChars="200"/>
              <w:rPr>
                <w:rFonts w:ascii="仿宋_GB2312" w:eastAsia="仿宋_GB2312"/>
                <w:sz w:val="28"/>
                <w:szCs w:val="28"/>
              </w:rPr>
            </w:pPr>
          </w:p>
        </w:tc>
        <w:tc>
          <w:tcPr>
            <w:tcW w:w="2720" w:type="dxa"/>
            <w:noWrap/>
            <w:vAlign w:val="center"/>
          </w:tcPr>
          <w:p w14:paraId="03BA61BC">
            <w:pPr>
              <w:spacing w:line="340" w:lineRule="exact"/>
              <w:rPr>
                <w:rFonts w:ascii="仿宋_GB2312" w:eastAsia="仿宋_GB2312"/>
                <w:sz w:val="28"/>
                <w:szCs w:val="28"/>
              </w:rPr>
            </w:pPr>
          </w:p>
        </w:tc>
        <w:tc>
          <w:tcPr>
            <w:tcW w:w="1417" w:type="dxa"/>
            <w:noWrap/>
          </w:tcPr>
          <w:p w14:paraId="20440BC4">
            <w:pPr>
              <w:spacing w:line="340" w:lineRule="exact"/>
              <w:rPr>
                <w:rFonts w:ascii="仿宋_GB2312" w:eastAsia="仿宋_GB2312"/>
                <w:sz w:val="28"/>
                <w:szCs w:val="28"/>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spacing w:line="340" w:lineRule="exact"/>
              <w:jc w:val="center"/>
              <w:rPr>
                <w:rFonts w:hint="eastAsia" w:ascii="仿宋_GB2312" w:hAnsi="宋体" w:eastAsia="仿宋_GB2312"/>
                <w:sz w:val="28"/>
                <w:szCs w:val="28"/>
              </w:rPr>
            </w:pPr>
          </w:p>
        </w:tc>
        <w:tc>
          <w:tcPr>
            <w:tcW w:w="1263" w:type="dxa"/>
            <w:noWrap/>
            <w:vAlign w:val="center"/>
          </w:tcPr>
          <w:p w14:paraId="40835D97">
            <w:pPr>
              <w:spacing w:line="340" w:lineRule="exact"/>
              <w:jc w:val="center"/>
              <w:rPr>
                <w:rFonts w:hint="eastAsia" w:ascii="仿宋_GB2312" w:hAnsi="宋体" w:eastAsia="仿宋_GB2312"/>
                <w:sz w:val="28"/>
                <w:szCs w:val="28"/>
              </w:rPr>
            </w:pPr>
          </w:p>
        </w:tc>
        <w:tc>
          <w:tcPr>
            <w:tcW w:w="2706" w:type="dxa"/>
            <w:noWrap/>
            <w:vAlign w:val="center"/>
          </w:tcPr>
          <w:p w14:paraId="0AAA3D55">
            <w:pPr>
              <w:spacing w:line="340" w:lineRule="exact"/>
              <w:rPr>
                <w:rFonts w:hint="eastAsia" w:ascii="仿宋_GB2312" w:hAnsi="宋体" w:eastAsia="仿宋_GB2312"/>
                <w:sz w:val="28"/>
                <w:szCs w:val="28"/>
              </w:rPr>
            </w:pPr>
          </w:p>
        </w:tc>
        <w:tc>
          <w:tcPr>
            <w:tcW w:w="2720" w:type="dxa"/>
            <w:noWrap/>
            <w:vAlign w:val="center"/>
          </w:tcPr>
          <w:p w14:paraId="3FFF9755">
            <w:pPr>
              <w:spacing w:line="340" w:lineRule="exact"/>
              <w:rPr>
                <w:rFonts w:ascii="仿宋_GB2312" w:eastAsia="仿宋_GB2312"/>
                <w:sz w:val="28"/>
                <w:szCs w:val="28"/>
              </w:rPr>
            </w:pPr>
          </w:p>
        </w:tc>
        <w:tc>
          <w:tcPr>
            <w:tcW w:w="1417" w:type="dxa"/>
            <w:noWrap/>
          </w:tcPr>
          <w:p w14:paraId="4B5D6D39">
            <w:pPr>
              <w:spacing w:line="340" w:lineRule="exact"/>
              <w:rPr>
                <w:rFonts w:ascii="仿宋_GB2312" w:eastAsia="仿宋_GB2312"/>
                <w:sz w:val="28"/>
                <w:szCs w:val="28"/>
              </w:rPr>
            </w:pPr>
          </w:p>
        </w:tc>
      </w:tr>
    </w:tbl>
    <w:p w14:paraId="16EEDCE8">
      <w:pPr>
        <w:snapToGrid w:val="0"/>
        <w:spacing w:line="300" w:lineRule="auto"/>
        <w:contextualSpacing/>
        <w:rPr>
          <w:rFonts w:hint="eastAsia" w:ascii="仿宋_GB2312" w:hAnsi="宋体" w:eastAsia="仿宋_GB2312"/>
          <w:b/>
          <w:sz w:val="24"/>
          <w:szCs w:val="24"/>
        </w:rPr>
      </w:pPr>
    </w:p>
    <w:p w14:paraId="649D6807">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05ACB3C8">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4D79ADF6">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501399F2">
      <w:pPr>
        <w:ind w:firstLine="5040" w:firstLineChars="1800"/>
        <w:rPr>
          <w:rFonts w:hint="eastAsia" w:ascii="仿宋_GB2312" w:hAnsi="宋体" w:eastAsia="仿宋_GB2312" w:cs="宋体"/>
          <w:sz w:val="24"/>
          <w:szCs w:val="24"/>
        </w:rPr>
      </w:pPr>
      <w:r>
        <w:rPr>
          <w:rFonts w:hint="eastAsia" w:ascii="仿宋_GB2312" w:hAnsi="宋体" w:eastAsia="仿宋_GB2312" w:cs="宋体"/>
          <w:sz w:val="28"/>
          <w:szCs w:val="28"/>
        </w:rPr>
        <w:t>日期： 年 月 日</w:t>
      </w:r>
    </w:p>
    <w:p w14:paraId="1B05C21E">
      <w:pPr>
        <w:widowControl/>
        <w:wordWrap w:val="0"/>
        <w:jc w:val="left"/>
        <w:rPr>
          <w:rFonts w:hint="eastAsia" w:ascii="仿宋_GB2312" w:hAnsi="宋体" w:eastAsia="仿宋_GB2312" w:cs="宋体"/>
          <w:kern w:val="0"/>
          <w:szCs w:val="21"/>
          <w:shd w:val="clear" w:color="auto" w:fill="FFFFFF"/>
        </w:rPr>
      </w:pPr>
    </w:p>
    <w:p w14:paraId="46F4AD46">
      <w:pPr>
        <w:widowControl/>
        <w:wordWrap w:val="0"/>
        <w:jc w:val="left"/>
        <w:rPr>
          <w:rFonts w:hint="eastAsia" w:ascii="仿宋_GB2312" w:hAnsi="宋体" w:eastAsia="仿宋_GB2312" w:cs="宋体"/>
          <w:kern w:val="0"/>
          <w:szCs w:val="21"/>
          <w:shd w:val="clear" w:color="auto" w:fill="FFFFFF"/>
        </w:rPr>
      </w:pPr>
    </w:p>
    <w:p w14:paraId="33A82EFF">
      <w:pPr>
        <w:widowControl/>
        <w:spacing w:line="30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1.填制正负偏离表，完全响应的，请以空白表列示。不完全响应的，必须在“偏离说明”列中列示“负偏离”；列示不全的，视同故意隐瞒。</w:t>
      </w:r>
    </w:p>
    <w:p w14:paraId="1A535BE9">
      <w:pPr>
        <w:widowControl/>
        <w:spacing w:line="300" w:lineRule="auto"/>
        <w:jc w:val="left"/>
        <w:rPr>
          <w:rFonts w:hint="eastAsia" w:ascii="仿宋_GB2312" w:hAnsi="宋体" w:eastAsia="仿宋_GB2312"/>
          <w:kern w:val="0"/>
          <w:sz w:val="28"/>
          <w:szCs w:val="28"/>
          <w:lang w:val="en-GB"/>
        </w:rPr>
      </w:pPr>
      <w:r>
        <w:rPr>
          <w:rFonts w:hint="eastAsia" w:ascii="仿宋_GB2312" w:hAnsi="宋体" w:eastAsia="仿宋_GB2312"/>
          <w:kern w:val="0"/>
          <w:sz w:val="28"/>
          <w:szCs w:val="28"/>
        </w:rPr>
        <w:t>2.商务正负偏离表必须加盖供应商单位公章。</w:t>
      </w:r>
    </w:p>
    <w:p w14:paraId="0AF9C181">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3.供应商若提供其他增值服务，可以在表中自行据实填写。</w:t>
      </w:r>
    </w:p>
    <w:p w14:paraId="2A812CC2">
      <w:pPr>
        <w:snapToGrid w:val="0"/>
        <w:spacing w:line="300" w:lineRule="auto"/>
        <w:contextualSpacing/>
        <w:rPr>
          <w:rFonts w:hint="eastAsia" w:ascii="仿宋_GB2312" w:hAnsi="宋体" w:eastAsia="仿宋_GB2312"/>
          <w:b/>
          <w:sz w:val="24"/>
          <w:szCs w:val="24"/>
        </w:rPr>
      </w:pPr>
    </w:p>
    <w:p w14:paraId="389EDF7A">
      <w:pPr>
        <w:pStyle w:val="29"/>
        <w:ind w:firstLine="0" w:firstLineChars="0"/>
        <w:rPr>
          <w:rFonts w:hint="eastAsia" w:ascii="仿宋" w:hAnsi="仿宋" w:eastAsia="仿宋"/>
          <w:sz w:val="28"/>
          <w:szCs w:val="28"/>
        </w:rPr>
      </w:pPr>
    </w:p>
    <w:p w14:paraId="41F00C5C">
      <w:pPr>
        <w:pStyle w:val="29"/>
        <w:ind w:firstLine="0" w:firstLineChars="0"/>
        <w:rPr>
          <w:rFonts w:hint="eastAsia" w:ascii="仿宋" w:hAnsi="仿宋" w:eastAsia="仿宋"/>
          <w:sz w:val="28"/>
          <w:szCs w:val="28"/>
        </w:rPr>
      </w:pPr>
    </w:p>
    <w:p w14:paraId="3116F260">
      <w:pPr>
        <w:widowControl/>
        <w:spacing w:line="560" w:lineRule="atLeast"/>
        <w:rPr>
          <w:rFonts w:hint="eastAsia" w:ascii="仿宋" w:hAnsi="仿宋" w:eastAsia="仿宋"/>
          <w:b/>
          <w:sz w:val="28"/>
          <w:szCs w:val="28"/>
        </w:rPr>
      </w:pPr>
      <w:r>
        <w:rPr>
          <w:rFonts w:hint="eastAsia" w:ascii="仿宋" w:hAnsi="仿宋" w:eastAsia="仿宋"/>
          <w:b/>
          <w:sz w:val="28"/>
          <w:szCs w:val="28"/>
        </w:rPr>
        <w:t>附件5：</w:t>
      </w:r>
    </w:p>
    <w:p w14:paraId="585D1541">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jc w:val="left"/>
        <w:rPr>
          <w:rFonts w:hint="eastAsia" w:ascii="仿宋_GB2312" w:hAnsi="宋体" w:eastAsia="仿宋_GB2312"/>
          <w:sz w:val="28"/>
          <w:szCs w:val="28"/>
        </w:rPr>
      </w:pPr>
    </w:p>
    <w:p w14:paraId="13FFAD09">
      <w:pPr>
        <w:spacing w:line="550" w:lineRule="exact"/>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snapToGrid w:val="0"/>
        <w:spacing w:line="360" w:lineRule="auto"/>
        <w:ind w:firstLine="450" w:firstLineChars="196"/>
        <w:textAlignment w:val="baseline"/>
        <w:rPr>
          <w:rFonts w:hint="eastAsia" w:ascii="仿宋_GB2312" w:hAnsi="宋体" w:eastAsia="仿宋_GB2312" w:cs="宋体"/>
          <w:sz w:val="23"/>
          <w:szCs w:val="23"/>
        </w:rPr>
      </w:pPr>
    </w:p>
    <w:p w14:paraId="10F08621">
      <w:pPr>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spacing w:line="440" w:lineRule="exact"/>
        <w:jc w:val="left"/>
        <w:rPr>
          <w:rFonts w:hint="eastAsia" w:ascii="仿宋_GB2312" w:hAnsi="宋体" w:eastAsia="仿宋_GB2312"/>
          <w:sz w:val="28"/>
          <w:szCs w:val="28"/>
        </w:rPr>
      </w:pPr>
    </w:p>
    <w:p w14:paraId="31C27056">
      <w:pPr>
        <w:spacing w:line="440" w:lineRule="exact"/>
        <w:jc w:val="left"/>
        <w:rPr>
          <w:rFonts w:hint="eastAsia" w:ascii="仿宋_GB2312" w:hAnsi="宋体" w:eastAsia="仿宋_GB2312"/>
          <w:sz w:val="28"/>
          <w:szCs w:val="28"/>
        </w:rPr>
      </w:pPr>
    </w:p>
    <w:p w14:paraId="0B5C5EA0">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pPr>
    </w:p>
    <w:p w14:paraId="2635EC81">
      <w:pPr>
        <w:spacing w:line="240" w:lineRule="atLeast"/>
        <w:rPr>
          <w:rFonts w:ascii="宋体" w:cs="宋体"/>
          <w:kern w:val="0"/>
          <w:szCs w:val="21"/>
          <w:lang w:val="zh-CN"/>
        </w:rPr>
      </w:pPr>
    </w:p>
    <w:p w14:paraId="7DBEE17C">
      <w:pPr>
        <w:spacing w:line="240" w:lineRule="atLeast"/>
        <w:rPr>
          <w:rFonts w:ascii="宋体" w:cs="宋体"/>
          <w:kern w:val="0"/>
          <w:szCs w:val="21"/>
          <w:lang w:val="zh-CN"/>
        </w:rPr>
      </w:pPr>
    </w:p>
    <w:p w14:paraId="1EDD3CF9">
      <w:pPr>
        <w:spacing w:line="240" w:lineRule="atLeast"/>
        <w:rPr>
          <w:rFonts w:ascii="宋体" w:cs="宋体"/>
          <w:kern w:val="0"/>
          <w:szCs w:val="21"/>
          <w:lang w:val="zh-CN"/>
        </w:rPr>
      </w:pPr>
    </w:p>
    <w:p w14:paraId="2878D7BA">
      <w:pPr>
        <w:spacing w:line="240" w:lineRule="atLeast"/>
        <w:rPr>
          <w:rFonts w:ascii="宋体" w:cs="宋体"/>
          <w:kern w:val="0"/>
          <w:szCs w:val="21"/>
          <w:lang w:val="zh-CN"/>
        </w:rPr>
      </w:pPr>
    </w:p>
    <w:p w14:paraId="3EF8C80C">
      <w:pPr>
        <w:spacing w:line="240" w:lineRule="atLeast"/>
        <w:rPr>
          <w:rFonts w:ascii="宋体" w:cs="宋体"/>
          <w:kern w:val="0"/>
          <w:szCs w:val="21"/>
          <w:lang w:val="zh-CN"/>
        </w:rPr>
      </w:pPr>
    </w:p>
    <w:p w14:paraId="691F4727">
      <w:pPr>
        <w:spacing w:line="240" w:lineRule="atLeast"/>
        <w:rPr>
          <w:rFonts w:ascii="宋体" w:cs="宋体"/>
          <w:kern w:val="0"/>
          <w:szCs w:val="21"/>
          <w:lang w:val="zh-CN"/>
        </w:rPr>
      </w:pPr>
    </w:p>
    <w:p w14:paraId="6FF9985A">
      <w:pPr>
        <w:pStyle w:val="29"/>
        <w:rPr>
          <w:rFonts w:ascii="宋体" w:cs="宋体"/>
          <w:kern w:val="0"/>
          <w:szCs w:val="21"/>
          <w:lang w:val="zh-CN"/>
        </w:rPr>
      </w:pPr>
    </w:p>
    <w:p w14:paraId="5556B832">
      <w:pPr>
        <w:pStyle w:val="29"/>
        <w:rPr>
          <w:rFonts w:ascii="宋体" w:cs="宋体"/>
          <w:kern w:val="0"/>
          <w:szCs w:val="21"/>
          <w:lang w:val="zh-CN"/>
        </w:rPr>
      </w:pPr>
    </w:p>
    <w:p w14:paraId="7AE5279C">
      <w:pPr>
        <w:pStyle w:val="29"/>
        <w:rPr>
          <w:rFonts w:ascii="宋体" w:cs="宋体"/>
          <w:kern w:val="0"/>
          <w:szCs w:val="21"/>
          <w:lang w:val="zh-CN"/>
        </w:rPr>
      </w:pPr>
    </w:p>
    <w:p w14:paraId="442D7685">
      <w:pPr>
        <w:spacing w:line="240" w:lineRule="atLeast"/>
        <w:rPr>
          <w:rFonts w:ascii="宋体" w:cs="宋体"/>
          <w:kern w:val="0"/>
          <w:szCs w:val="21"/>
          <w:lang w:val="zh-CN"/>
        </w:rPr>
      </w:pPr>
    </w:p>
    <w:p w14:paraId="1F28A70F">
      <w:pPr>
        <w:widowControl/>
        <w:adjustRightInd w:val="0"/>
        <w:spacing w:line="240" w:lineRule="atLeast"/>
        <w:rPr>
          <w:rFonts w:hint="eastAsia" w:ascii="仿宋" w:hAnsi="仿宋" w:eastAsia="仿宋"/>
          <w:b/>
          <w:sz w:val="28"/>
          <w:szCs w:val="28"/>
        </w:rPr>
      </w:pPr>
      <w:r>
        <w:rPr>
          <w:b/>
        </w:rPr>
        <w:br w:type="page"/>
      </w:r>
      <w:r>
        <w:rPr>
          <w:rFonts w:hint="eastAsia" w:ascii="仿宋" w:hAnsi="仿宋" w:eastAsia="仿宋"/>
          <w:b/>
          <w:sz w:val="28"/>
          <w:szCs w:val="28"/>
        </w:rPr>
        <w:t>附件6：</w:t>
      </w:r>
    </w:p>
    <w:p w14:paraId="759D9CA6">
      <w:pPr>
        <w:widowControl/>
        <w:spacing w:line="560" w:lineRule="atLeast"/>
        <w:jc w:val="center"/>
        <w:rPr>
          <w:rFonts w:hint="eastAsia" w:ascii="仿宋_GB2312" w:hAnsi="黑体" w:eastAsia="仿宋_GB2312" w:cs="黑体"/>
          <w:bCs/>
          <w:kern w:val="44"/>
          <w:sz w:val="44"/>
          <w:szCs w:val="24"/>
        </w:rPr>
      </w:pPr>
    </w:p>
    <w:p w14:paraId="3A8F80F8">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jc w:val="center"/>
        <w:rPr>
          <w:rFonts w:hint="eastAsia" w:ascii="仿宋_GB2312" w:hAnsi="宋体" w:eastAsia="仿宋_GB2312" w:cs="宋体"/>
          <w:b/>
          <w:bCs/>
          <w:sz w:val="36"/>
          <w:szCs w:val="36"/>
        </w:rPr>
      </w:pPr>
    </w:p>
    <w:p w14:paraId="7A44B4CD">
      <w:pPr>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spacing w:line="360" w:lineRule="auto"/>
        <w:ind w:firstLine="560"/>
        <w:jc w:val="left"/>
        <w:rPr>
          <w:rFonts w:hint="eastAsia" w:ascii="仿宋_GB2312" w:hAnsi="宋体" w:eastAsia="仿宋_GB2312" w:cs="宋体"/>
          <w:sz w:val="28"/>
          <w:szCs w:val="28"/>
        </w:rPr>
      </w:pPr>
    </w:p>
    <w:p w14:paraId="37466000">
      <w:pPr>
        <w:spacing w:line="360" w:lineRule="auto"/>
        <w:ind w:firstLine="560"/>
        <w:jc w:val="left"/>
        <w:rPr>
          <w:rFonts w:hint="eastAsia" w:ascii="仿宋_GB2312" w:hAnsi="宋体" w:eastAsia="仿宋_GB2312" w:cs="宋体"/>
          <w:sz w:val="28"/>
          <w:szCs w:val="28"/>
        </w:rPr>
      </w:pPr>
    </w:p>
    <w:p w14:paraId="21DDA263">
      <w:pPr>
        <w:spacing w:line="360" w:lineRule="auto"/>
        <w:ind w:firstLine="560"/>
        <w:jc w:val="left"/>
        <w:rPr>
          <w:rFonts w:hint="eastAsia" w:ascii="仿宋_GB2312" w:hAnsi="宋体" w:eastAsia="仿宋_GB2312" w:cs="宋体"/>
          <w:sz w:val="28"/>
          <w:szCs w:val="28"/>
        </w:rPr>
      </w:pPr>
    </w:p>
    <w:p w14:paraId="4EAB8741">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ind w:firstLine="0" w:firstLineChars="0"/>
      </w:pPr>
    </w:p>
    <w:p w14:paraId="05D2ADA4">
      <w:pPr>
        <w:pStyle w:val="29"/>
        <w:ind w:firstLine="0" w:firstLineChars="0"/>
      </w:pPr>
    </w:p>
    <w:p w14:paraId="7E5C2C0A">
      <w:pPr>
        <w:pStyle w:val="29"/>
        <w:ind w:firstLine="0" w:firstLineChars="0"/>
      </w:pPr>
    </w:p>
    <w:p w14:paraId="31127611">
      <w:pPr>
        <w:pStyle w:val="29"/>
        <w:ind w:firstLine="0" w:firstLineChars="0"/>
      </w:pPr>
    </w:p>
    <w:p w14:paraId="2C483C86">
      <w:pPr>
        <w:pStyle w:val="29"/>
        <w:ind w:firstLine="0" w:firstLineChars="0"/>
      </w:pPr>
    </w:p>
    <w:p w14:paraId="6A46AC0E">
      <w:pPr>
        <w:pStyle w:val="29"/>
        <w:ind w:firstLine="0" w:firstLineChars="0"/>
      </w:pPr>
    </w:p>
    <w:p w14:paraId="34438AF3">
      <w:pPr>
        <w:pStyle w:val="29"/>
        <w:ind w:firstLine="0" w:firstLineChars="0"/>
      </w:pPr>
    </w:p>
    <w:p w14:paraId="1E365B67">
      <w:pPr>
        <w:pStyle w:val="29"/>
        <w:ind w:firstLine="0" w:firstLineChars="0"/>
      </w:pPr>
    </w:p>
    <w:p w14:paraId="265D5111">
      <w:pPr>
        <w:pStyle w:val="29"/>
        <w:ind w:firstLine="0" w:firstLineChars="0"/>
      </w:pPr>
    </w:p>
    <w:p w14:paraId="64FBBA10">
      <w:pPr>
        <w:pStyle w:val="29"/>
        <w:ind w:firstLine="0" w:firstLineChars="0"/>
      </w:pPr>
    </w:p>
    <w:p w14:paraId="281DDD31">
      <w:pPr>
        <w:pStyle w:val="29"/>
        <w:ind w:firstLine="0" w:firstLineChars="0"/>
      </w:pPr>
    </w:p>
    <w:p w14:paraId="1CBB716D">
      <w:pPr>
        <w:pStyle w:val="29"/>
        <w:ind w:firstLine="0" w:firstLineChars="0"/>
      </w:pPr>
    </w:p>
    <w:p w14:paraId="5DFB2728">
      <w:pPr>
        <w:widowControl/>
        <w:adjustRightInd w:val="0"/>
        <w:spacing w:line="240" w:lineRule="atLeast"/>
        <w:rPr>
          <w:rFonts w:hint="eastAsia" w:ascii="仿宋" w:hAnsi="仿宋" w:eastAsia="仿宋"/>
          <w:b/>
          <w:sz w:val="28"/>
          <w:szCs w:val="28"/>
        </w:rPr>
      </w:pPr>
      <w:r>
        <w:rPr>
          <w:rFonts w:hint="eastAsia" w:ascii="仿宋" w:hAnsi="仿宋" w:eastAsia="仿宋"/>
          <w:b/>
          <w:sz w:val="28"/>
          <w:szCs w:val="28"/>
        </w:rPr>
        <w:t>附件7：</w:t>
      </w:r>
    </w:p>
    <w:p w14:paraId="071A0B17">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autoSpaceDE w:val="0"/>
        <w:autoSpaceDN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589986E6">
      <w:pPr>
        <w:autoSpaceDE w:val="0"/>
        <w:autoSpaceDN w:val="0"/>
        <w:adjustRightInd w:val="0"/>
        <w:spacing w:line="360" w:lineRule="auto"/>
        <w:ind w:firstLine="548" w:firstLineChars="196"/>
        <w:rPr>
          <w:rFonts w:ascii="Calibri" w:hAnsi="Calibri"/>
          <w:b/>
          <w:bCs/>
          <w:sz w:val="48"/>
          <w:szCs w:val="48"/>
        </w:rPr>
      </w:pPr>
      <w:r>
        <w:rPr>
          <w:rFonts w:hint="eastAsia" w:ascii="仿宋_GB2312" w:hAnsi="宋体" w:eastAsia="仿宋_GB2312" w:cs="宋体"/>
          <w:sz w:val="28"/>
          <w:szCs w:val="28"/>
        </w:rPr>
        <w:t>注：从业人员、营业收入、资产总额填报上一年度数据，无上一年度数据的新成立企业可不填报。</w:t>
      </w:r>
      <w:r>
        <w:rPr>
          <w:rFonts w:hint="eastAsia" w:ascii="Calibri" w:hAnsi="Calibri"/>
          <w:b/>
          <w:bCs/>
          <w:sz w:val="48"/>
          <w:szCs w:val="48"/>
        </w:rPr>
        <w:br w:type="page"/>
      </w:r>
    </w:p>
    <w:p w14:paraId="14D91354">
      <w:pPr>
        <w:autoSpaceDN w:val="0"/>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autoSpaceDN w:val="0"/>
        <w:rPr>
          <w:rFonts w:ascii="Calibri" w:hAnsi="Calibri"/>
          <w:sz w:val="32"/>
          <w:szCs w:val="32"/>
        </w:rPr>
      </w:pPr>
    </w:p>
    <w:p w14:paraId="0347AB18">
      <w:pPr>
        <w:autoSpaceDN w:val="0"/>
        <w:spacing w:line="360" w:lineRule="auto"/>
        <w:rPr>
          <w:rFonts w:hint="eastAsia" w:ascii="宋体" w:hAnsi="宋体"/>
          <w:sz w:val="32"/>
          <w:szCs w:val="32"/>
        </w:rPr>
      </w:pPr>
      <w:r>
        <w:rPr>
          <w:rFonts w:hint="eastAsia" w:ascii="宋体" w:hAnsi="宋体"/>
          <w:sz w:val="32"/>
          <w:szCs w:val="32"/>
        </w:rPr>
        <w:t>各供应商:</w:t>
      </w:r>
    </w:p>
    <w:p w14:paraId="6F7B7682">
      <w:pPr>
        <w:autoSpaceDN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autoSpaceDN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autoSpaceDN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SourceHanSansCN-Regular">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84E"/>
    <w:rsid w:val="001D223C"/>
    <w:rsid w:val="001D315B"/>
    <w:rsid w:val="001D4FE1"/>
    <w:rsid w:val="001E607B"/>
    <w:rsid w:val="001E7DBE"/>
    <w:rsid w:val="001F0AC2"/>
    <w:rsid w:val="00213EF5"/>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F6F66"/>
    <w:rsid w:val="00312ED4"/>
    <w:rsid w:val="00313991"/>
    <w:rsid w:val="00313D0C"/>
    <w:rsid w:val="00313EB6"/>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584"/>
    <w:rsid w:val="004B397E"/>
    <w:rsid w:val="004B501B"/>
    <w:rsid w:val="004B58E6"/>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74B5"/>
    <w:rsid w:val="006A79C1"/>
    <w:rsid w:val="006D5BE3"/>
    <w:rsid w:val="006E7133"/>
    <w:rsid w:val="006F2D56"/>
    <w:rsid w:val="00715281"/>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6503"/>
    <w:rsid w:val="008C49DF"/>
    <w:rsid w:val="008E105D"/>
    <w:rsid w:val="008E2CF5"/>
    <w:rsid w:val="008E63AE"/>
    <w:rsid w:val="00906A8E"/>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4913"/>
    <w:rsid w:val="00B04711"/>
    <w:rsid w:val="00B13EEC"/>
    <w:rsid w:val="00B157BA"/>
    <w:rsid w:val="00B16FF1"/>
    <w:rsid w:val="00B17971"/>
    <w:rsid w:val="00B21DFE"/>
    <w:rsid w:val="00B24FF8"/>
    <w:rsid w:val="00B25F39"/>
    <w:rsid w:val="00B361AD"/>
    <w:rsid w:val="00B41620"/>
    <w:rsid w:val="00B41A1F"/>
    <w:rsid w:val="00B64546"/>
    <w:rsid w:val="00B6673F"/>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48E6"/>
    <w:rsid w:val="00D11D6D"/>
    <w:rsid w:val="00D1551E"/>
    <w:rsid w:val="00D3399C"/>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59C1"/>
    <w:rsid w:val="00FB5CA9"/>
    <w:rsid w:val="00FC0D0A"/>
    <w:rsid w:val="00FC1237"/>
    <w:rsid w:val="00FD62F0"/>
    <w:rsid w:val="00FF4D6A"/>
    <w:rsid w:val="01033632"/>
    <w:rsid w:val="01A11492"/>
    <w:rsid w:val="01AD5116"/>
    <w:rsid w:val="01FF3555"/>
    <w:rsid w:val="02597D13"/>
    <w:rsid w:val="025B2DC4"/>
    <w:rsid w:val="025C7268"/>
    <w:rsid w:val="025F0B06"/>
    <w:rsid w:val="02702D13"/>
    <w:rsid w:val="029A38EC"/>
    <w:rsid w:val="030B6598"/>
    <w:rsid w:val="031E276F"/>
    <w:rsid w:val="032064E7"/>
    <w:rsid w:val="034B4BE6"/>
    <w:rsid w:val="03990047"/>
    <w:rsid w:val="042F06C2"/>
    <w:rsid w:val="043F474B"/>
    <w:rsid w:val="04700A93"/>
    <w:rsid w:val="047A5783"/>
    <w:rsid w:val="049A2808"/>
    <w:rsid w:val="049A7BD3"/>
    <w:rsid w:val="04A44EF6"/>
    <w:rsid w:val="05151F3B"/>
    <w:rsid w:val="052F2A11"/>
    <w:rsid w:val="05355B4E"/>
    <w:rsid w:val="054B3420"/>
    <w:rsid w:val="056A3A4A"/>
    <w:rsid w:val="05C96C16"/>
    <w:rsid w:val="05DB0E54"/>
    <w:rsid w:val="062A232B"/>
    <w:rsid w:val="064B6925"/>
    <w:rsid w:val="06585F98"/>
    <w:rsid w:val="06897EFF"/>
    <w:rsid w:val="068A3C77"/>
    <w:rsid w:val="06ED4932"/>
    <w:rsid w:val="07202E14"/>
    <w:rsid w:val="07577FFE"/>
    <w:rsid w:val="078C60A8"/>
    <w:rsid w:val="07A64AE1"/>
    <w:rsid w:val="07AA6CE1"/>
    <w:rsid w:val="07F2273E"/>
    <w:rsid w:val="08B508DE"/>
    <w:rsid w:val="08BF22FE"/>
    <w:rsid w:val="08C94F2B"/>
    <w:rsid w:val="08CA47FF"/>
    <w:rsid w:val="09421592"/>
    <w:rsid w:val="09B32F8E"/>
    <w:rsid w:val="09C474A0"/>
    <w:rsid w:val="09CD4338"/>
    <w:rsid w:val="09EF276F"/>
    <w:rsid w:val="0A487EE7"/>
    <w:rsid w:val="0A7E3F08"/>
    <w:rsid w:val="0A823190"/>
    <w:rsid w:val="0AAC0A57"/>
    <w:rsid w:val="0B291CB1"/>
    <w:rsid w:val="0B9C435E"/>
    <w:rsid w:val="0BE1433A"/>
    <w:rsid w:val="0C006EB6"/>
    <w:rsid w:val="0C4C3EA9"/>
    <w:rsid w:val="0C686809"/>
    <w:rsid w:val="0CB15BB1"/>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1034F1E"/>
    <w:rsid w:val="11380EA0"/>
    <w:rsid w:val="11810282"/>
    <w:rsid w:val="11904838"/>
    <w:rsid w:val="12094B58"/>
    <w:rsid w:val="12964B23"/>
    <w:rsid w:val="13441D7E"/>
    <w:rsid w:val="13540ACD"/>
    <w:rsid w:val="13942941"/>
    <w:rsid w:val="13960100"/>
    <w:rsid w:val="13D9640C"/>
    <w:rsid w:val="13E353AF"/>
    <w:rsid w:val="14045069"/>
    <w:rsid w:val="142B68B1"/>
    <w:rsid w:val="142C6D48"/>
    <w:rsid w:val="14A34882"/>
    <w:rsid w:val="14B720DC"/>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B770B"/>
    <w:rsid w:val="18561010"/>
    <w:rsid w:val="189A7C46"/>
    <w:rsid w:val="18B74DA0"/>
    <w:rsid w:val="18CE20EA"/>
    <w:rsid w:val="18E45A73"/>
    <w:rsid w:val="18EE62E8"/>
    <w:rsid w:val="193B385D"/>
    <w:rsid w:val="19662D25"/>
    <w:rsid w:val="198F64D2"/>
    <w:rsid w:val="19AB7233"/>
    <w:rsid w:val="19C668A8"/>
    <w:rsid w:val="1A1F5E45"/>
    <w:rsid w:val="1A851E09"/>
    <w:rsid w:val="1AC83294"/>
    <w:rsid w:val="1AD0039B"/>
    <w:rsid w:val="1B251A0C"/>
    <w:rsid w:val="1BEC17C7"/>
    <w:rsid w:val="1C2F4C4D"/>
    <w:rsid w:val="1C6E39C8"/>
    <w:rsid w:val="1C7D00AF"/>
    <w:rsid w:val="1C876788"/>
    <w:rsid w:val="1C9D42AD"/>
    <w:rsid w:val="1CA83500"/>
    <w:rsid w:val="1CAC08EE"/>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CE68BD"/>
    <w:rsid w:val="1FF14509"/>
    <w:rsid w:val="200307FA"/>
    <w:rsid w:val="2027701B"/>
    <w:rsid w:val="2047494B"/>
    <w:rsid w:val="20672C08"/>
    <w:rsid w:val="207D242B"/>
    <w:rsid w:val="2087570B"/>
    <w:rsid w:val="20C95670"/>
    <w:rsid w:val="20E437B2"/>
    <w:rsid w:val="20E453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3957A8C"/>
    <w:rsid w:val="23C86DFE"/>
    <w:rsid w:val="23D3561E"/>
    <w:rsid w:val="23FA3D93"/>
    <w:rsid w:val="24C148B0"/>
    <w:rsid w:val="24C91AFE"/>
    <w:rsid w:val="24F04AD6"/>
    <w:rsid w:val="24FF432C"/>
    <w:rsid w:val="25325062"/>
    <w:rsid w:val="25602D19"/>
    <w:rsid w:val="257C6868"/>
    <w:rsid w:val="25D36F91"/>
    <w:rsid w:val="260E0C5F"/>
    <w:rsid w:val="263E440B"/>
    <w:rsid w:val="26551754"/>
    <w:rsid w:val="26EB7044"/>
    <w:rsid w:val="2702368A"/>
    <w:rsid w:val="27240D17"/>
    <w:rsid w:val="27752D88"/>
    <w:rsid w:val="277E2BA4"/>
    <w:rsid w:val="27873B8F"/>
    <w:rsid w:val="27C776A9"/>
    <w:rsid w:val="27D019DA"/>
    <w:rsid w:val="28160732"/>
    <w:rsid w:val="282A7B6E"/>
    <w:rsid w:val="28414686"/>
    <w:rsid w:val="28607F56"/>
    <w:rsid w:val="289742A6"/>
    <w:rsid w:val="29312005"/>
    <w:rsid w:val="296769E0"/>
    <w:rsid w:val="29AC37CE"/>
    <w:rsid w:val="2A2F0BE4"/>
    <w:rsid w:val="2A3D08F2"/>
    <w:rsid w:val="2A6B1546"/>
    <w:rsid w:val="2A832D34"/>
    <w:rsid w:val="2A952A67"/>
    <w:rsid w:val="2A97233B"/>
    <w:rsid w:val="2AA8279A"/>
    <w:rsid w:val="2ADD71F1"/>
    <w:rsid w:val="2B230073"/>
    <w:rsid w:val="2B6F5066"/>
    <w:rsid w:val="2BC453B2"/>
    <w:rsid w:val="2C0C48F2"/>
    <w:rsid w:val="2C1B6234"/>
    <w:rsid w:val="2C574E9B"/>
    <w:rsid w:val="2C742F9A"/>
    <w:rsid w:val="2C752B50"/>
    <w:rsid w:val="2C7B5ECC"/>
    <w:rsid w:val="2C8B5ED0"/>
    <w:rsid w:val="2D281971"/>
    <w:rsid w:val="2D381796"/>
    <w:rsid w:val="2D3E73E6"/>
    <w:rsid w:val="2E150D41"/>
    <w:rsid w:val="2E422EFF"/>
    <w:rsid w:val="2E722D51"/>
    <w:rsid w:val="2EAA4DDB"/>
    <w:rsid w:val="2EBA484A"/>
    <w:rsid w:val="2F041F69"/>
    <w:rsid w:val="2FFE17BD"/>
    <w:rsid w:val="30400FF6"/>
    <w:rsid w:val="308B7402"/>
    <w:rsid w:val="30CC40ED"/>
    <w:rsid w:val="30D50061"/>
    <w:rsid w:val="30F009F7"/>
    <w:rsid w:val="314D4BF7"/>
    <w:rsid w:val="31732477"/>
    <w:rsid w:val="317A4765"/>
    <w:rsid w:val="31924750"/>
    <w:rsid w:val="3195334D"/>
    <w:rsid w:val="31C577BB"/>
    <w:rsid w:val="322D02FA"/>
    <w:rsid w:val="32317339"/>
    <w:rsid w:val="326C2300"/>
    <w:rsid w:val="32807B59"/>
    <w:rsid w:val="329C1496"/>
    <w:rsid w:val="32B96981"/>
    <w:rsid w:val="33016EEC"/>
    <w:rsid w:val="33037ED0"/>
    <w:rsid w:val="33400F78"/>
    <w:rsid w:val="336A2CE3"/>
    <w:rsid w:val="33DC34B5"/>
    <w:rsid w:val="33F86EF4"/>
    <w:rsid w:val="342401BA"/>
    <w:rsid w:val="343B467F"/>
    <w:rsid w:val="343D25EB"/>
    <w:rsid w:val="344C1FFF"/>
    <w:rsid w:val="345A4ADA"/>
    <w:rsid w:val="34C04B85"/>
    <w:rsid w:val="34FD7B87"/>
    <w:rsid w:val="358C2732"/>
    <w:rsid w:val="35B244CD"/>
    <w:rsid w:val="35F745D6"/>
    <w:rsid w:val="35F75A42"/>
    <w:rsid w:val="36455341"/>
    <w:rsid w:val="3679148F"/>
    <w:rsid w:val="36806379"/>
    <w:rsid w:val="37041975"/>
    <w:rsid w:val="3709636F"/>
    <w:rsid w:val="3779439A"/>
    <w:rsid w:val="379D2F5B"/>
    <w:rsid w:val="37DD15AA"/>
    <w:rsid w:val="3821593A"/>
    <w:rsid w:val="38482EC7"/>
    <w:rsid w:val="38FC2442"/>
    <w:rsid w:val="3908799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5E529B"/>
    <w:rsid w:val="3D615E48"/>
    <w:rsid w:val="3DBF4B29"/>
    <w:rsid w:val="3DC01751"/>
    <w:rsid w:val="3DCC3F6C"/>
    <w:rsid w:val="3DF1514C"/>
    <w:rsid w:val="3DF2406C"/>
    <w:rsid w:val="3E392025"/>
    <w:rsid w:val="3F45365B"/>
    <w:rsid w:val="3F5D7BA0"/>
    <w:rsid w:val="3F6F3F29"/>
    <w:rsid w:val="3F982986"/>
    <w:rsid w:val="3FEB3EC2"/>
    <w:rsid w:val="40051522"/>
    <w:rsid w:val="400E0E9A"/>
    <w:rsid w:val="40172984"/>
    <w:rsid w:val="40525DEA"/>
    <w:rsid w:val="406626FB"/>
    <w:rsid w:val="406E3469"/>
    <w:rsid w:val="40921B06"/>
    <w:rsid w:val="4093214E"/>
    <w:rsid w:val="409F1349"/>
    <w:rsid w:val="41036525"/>
    <w:rsid w:val="412115F2"/>
    <w:rsid w:val="414104C6"/>
    <w:rsid w:val="41853EEE"/>
    <w:rsid w:val="421A58D4"/>
    <w:rsid w:val="42411E51"/>
    <w:rsid w:val="425862BF"/>
    <w:rsid w:val="42AE3F41"/>
    <w:rsid w:val="42C102AA"/>
    <w:rsid w:val="42C81527"/>
    <w:rsid w:val="42D510DD"/>
    <w:rsid w:val="42FD4768"/>
    <w:rsid w:val="435B61A4"/>
    <w:rsid w:val="436C6603"/>
    <w:rsid w:val="43921630"/>
    <w:rsid w:val="43947908"/>
    <w:rsid w:val="43A318F9"/>
    <w:rsid w:val="43AA712C"/>
    <w:rsid w:val="43AC260D"/>
    <w:rsid w:val="43EF3E73"/>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70963EF"/>
    <w:rsid w:val="473867FC"/>
    <w:rsid w:val="4743767B"/>
    <w:rsid w:val="47571378"/>
    <w:rsid w:val="4782172E"/>
    <w:rsid w:val="47BA59BC"/>
    <w:rsid w:val="47E30E5E"/>
    <w:rsid w:val="47E7208E"/>
    <w:rsid w:val="48515DC8"/>
    <w:rsid w:val="490C7499"/>
    <w:rsid w:val="496D44A4"/>
    <w:rsid w:val="49FC1D63"/>
    <w:rsid w:val="4A0C644A"/>
    <w:rsid w:val="4A1E0583"/>
    <w:rsid w:val="4A2D4613"/>
    <w:rsid w:val="4A2F3EE7"/>
    <w:rsid w:val="4A4A3A61"/>
    <w:rsid w:val="4AEE78FE"/>
    <w:rsid w:val="4B5D6832"/>
    <w:rsid w:val="4B8003A0"/>
    <w:rsid w:val="4B9366F7"/>
    <w:rsid w:val="4C14506B"/>
    <w:rsid w:val="4C251A45"/>
    <w:rsid w:val="4C3D0545"/>
    <w:rsid w:val="4C5D11DF"/>
    <w:rsid w:val="4C876D68"/>
    <w:rsid w:val="4CBD57DA"/>
    <w:rsid w:val="4CF0601F"/>
    <w:rsid w:val="4D7A36CB"/>
    <w:rsid w:val="4D8E63CB"/>
    <w:rsid w:val="4DE05C7D"/>
    <w:rsid w:val="4E0062C6"/>
    <w:rsid w:val="4E277DA5"/>
    <w:rsid w:val="4EFF1E72"/>
    <w:rsid w:val="4F0F2539"/>
    <w:rsid w:val="4F53759E"/>
    <w:rsid w:val="4FAE2BBE"/>
    <w:rsid w:val="4FCE5C75"/>
    <w:rsid w:val="50416722"/>
    <w:rsid w:val="509B4084"/>
    <w:rsid w:val="50AA096A"/>
    <w:rsid w:val="50AD3DB7"/>
    <w:rsid w:val="50F725AE"/>
    <w:rsid w:val="513200B5"/>
    <w:rsid w:val="51450199"/>
    <w:rsid w:val="5167584B"/>
    <w:rsid w:val="52320A18"/>
    <w:rsid w:val="525C5A95"/>
    <w:rsid w:val="5272350A"/>
    <w:rsid w:val="52816E9E"/>
    <w:rsid w:val="52C7040F"/>
    <w:rsid w:val="52F7756C"/>
    <w:rsid w:val="5311687F"/>
    <w:rsid w:val="53241D5B"/>
    <w:rsid w:val="533A3F01"/>
    <w:rsid w:val="538D5927"/>
    <w:rsid w:val="53D578AD"/>
    <w:rsid w:val="54087E17"/>
    <w:rsid w:val="5443031F"/>
    <w:rsid w:val="54460ABE"/>
    <w:rsid w:val="54507E3D"/>
    <w:rsid w:val="545473CA"/>
    <w:rsid w:val="54564AA1"/>
    <w:rsid w:val="54C037D5"/>
    <w:rsid w:val="54EA2E1B"/>
    <w:rsid w:val="54FD12BF"/>
    <w:rsid w:val="55621614"/>
    <w:rsid w:val="558772CD"/>
    <w:rsid w:val="55B731A7"/>
    <w:rsid w:val="55BF679A"/>
    <w:rsid w:val="55F52488"/>
    <w:rsid w:val="56064695"/>
    <w:rsid w:val="560B3A5A"/>
    <w:rsid w:val="562E14F6"/>
    <w:rsid w:val="57003F8D"/>
    <w:rsid w:val="57601B83"/>
    <w:rsid w:val="57CF0AB7"/>
    <w:rsid w:val="58952AF8"/>
    <w:rsid w:val="589809A9"/>
    <w:rsid w:val="58CC1486"/>
    <w:rsid w:val="599B6EA3"/>
    <w:rsid w:val="59B77A55"/>
    <w:rsid w:val="59CC52AE"/>
    <w:rsid w:val="59FD33A5"/>
    <w:rsid w:val="5A64198B"/>
    <w:rsid w:val="5A6951F3"/>
    <w:rsid w:val="5A902780"/>
    <w:rsid w:val="5A99477D"/>
    <w:rsid w:val="5AAB580B"/>
    <w:rsid w:val="5AEA1D7F"/>
    <w:rsid w:val="5AFC6067"/>
    <w:rsid w:val="5B3C46B5"/>
    <w:rsid w:val="5B6257D4"/>
    <w:rsid w:val="5B6F3FE4"/>
    <w:rsid w:val="5BC8419B"/>
    <w:rsid w:val="5BDA0759"/>
    <w:rsid w:val="5BE34C42"/>
    <w:rsid w:val="5BEC60DC"/>
    <w:rsid w:val="5C9A78E6"/>
    <w:rsid w:val="5CFB1319"/>
    <w:rsid w:val="5D687169"/>
    <w:rsid w:val="5D740137"/>
    <w:rsid w:val="5D9E51B4"/>
    <w:rsid w:val="5DA327CA"/>
    <w:rsid w:val="5DC7295C"/>
    <w:rsid w:val="5E163F93"/>
    <w:rsid w:val="5F0B4ACB"/>
    <w:rsid w:val="5F716128"/>
    <w:rsid w:val="5FAD6F9A"/>
    <w:rsid w:val="5FAE3CE0"/>
    <w:rsid w:val="5FE107EC"/>
    <w:rsid w:val="5FFF08E5"/>
    <w:rsid w:val="608073E8"/>
    <w:rsid w:val="61977F9C"/>
    <w:rsid w:val="61B970E2"/>
    <w:rsid w:val="61C471B3"/>
    <w:rsid w:val="62037616"/>
    <w:rsid w:val="6221322A"/>
    <w:rsid w:val="6253287E"/>
    <w:rsid w:val="62BE28B7"/>
    <w:rsid w:val="63485568"/>
    <w:rsid w:val="638B442C"/>
    <w:rsid w:val="6417181C"/>
    <w:rsid w:val="64D34584"/>
    <w:rsid w:val="64E9765C"/>
    <w:rsid w:val="65171AA3"/>
    <w:rsid w:val="651E5637"/>
    <w:rsid w:val="65315456"/>
    <w:rsid w:val="654F59C5"/>
    <w:rsid w:val="655D7702"/>
    <w:rsid w:val="661029C7"/>
    <w:rsid w:val="66242DC0"/>
    <w:rsid w:val="66263F98"/>
    <w:rsid w:val="667D51B1"/>
    <w:rsid w:val="669453A6"/>
    <w:rsid w:val="66AF21DF"/>
    <w:rsid w:val="677567D9"/>
    <w:rsid w:val="67A35CE5"/>
    <w:rsid w:val="67EE6D37"/>
    <w:rsid w:val="681C0C30"/>
    <w:rsid w:val="68AD6A02"/>
    <w:rsid w:val="68E23AD6"/>
    <w:rsid w:val="690F6F65"/>
    <w:rsid w:val="69326925"/>
    <w:rsid w:val="69D41EA7"/>
    <w:rsid w:val="6A1567FD"/>
    <w:rsid w:val="6A276708"/>
    <w:rsid w:val="6A5F19C0"/>
    <w:rsid w:val="6A61079B"/>
    <w:rsid w:val="6A9A16D1"/>
    <w:rsid w:val="6AC63F9C"/>
    <w:rsid w:val="6B164C80"/>
    <w:rsid w:val="6B1B6075"/>
    <w:rsid w:val="6B517D09"/>
    <w:rsid w:val="6B952309"/>
    <w:rsid w:val="6B9E2034"/>
    <w:rsid w:val="6BA90263"/>
    <w:rsid w:val="6BC26511"/>
    <w:rsid w:val="6C4A7A4A"/>
    <w:rsid w:val="6C5E0930"/>
    <w:rsid w:val="6C6B6BA9"/>
    <w:rsid w:val="6C9760E9"/>
    <w:rsid w:val="6CA97260"/>
    <w:rsid w:val="6CB3453A"/>
    <w:rsid w:val="6D2A6A64"/>
    <w:rsid w:val="6DC048B6"/>
    <w:rsid w:val="6DF04363"/>
    <w:rsid w:val="6E0077C5"/>
    <w:rsid w:val="6E055E48"/>
    <w:rsid w:val="6E5157C4"/>
    <w:rsid w:val="6E83180C"/>
    <w:rsid w:val="6EA71E61"/>
    <w:rsid w:val="6EB81E4D"/>
    <w:rsid w:val="6EC627BC"/>
    <w:rsid w:val="6F6F6160"/>
    <w:rsid w:val="6F906303"/>
    <w:rsid w:val="6FAA3E8C"/>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F0598C"/>
    <w:rsid w:val="72E41463"/>
    <w:rsid w:val="72FD32CA"/>
    <w:rsid w:val="732C6966"/>
    <w:rsid w:val="733E5017"/>
    <w:rsid w:val="734D525A"/>
    <w:rsid w:val="737809DC"/>
    <w:rsid w:val="738467A2"/>
    <w:rsid w:val="73C71835"/>
    <w:rsid w:val="73CF3EC1"/>
    <w:rsid w:val="74013F3B"/>
    <w:rsid w:val="742657C2"/>
    <w:rsid w:val="743F4513"/>
    <w:rsid w:val="74572092"/>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756B2D"/>
    <w:rsid w:val="77BC29AE"/>
    <w:rsid w:val="77C74EAF"/>
    <w:rsid w:val="77EC79D8"/>
    <w:rsid w:val="77FE2FC7"/>
    <w:rsid w:val="7840538D"/>
    <w:rsid w:val="78A27DF6"/>
    <w:rsid w:val="78AA7010"/>
    <w:rsid w:val="78AD22F7"/>
    <w:rsid w:val="78B072FA"/>
    <w:rsid w:val="78DE5423"/>
    <w:rsid w:val="78F87A16"/>
    <w:rsid w:val="79687FC7"/>
    <w:rsid w:val="79C30A4D"/>
    <w:rsid w:val="79D46CCB"/>
    <w:rsid w:val="7A04063C"/>
    <w:rsid w:val="7A1F0FD2"/>
    <w:rsid w:val="7AE80FED"/>
    <w:rsid w:val="7AF1296F"/>
    <w:rsid w:val="7B767410"/>
    <w:rsid w:val="7BE86744"/>
    <w:rsid w:val="7C001B73"/>
    <w:rsid w:val="7C127041"/>
    <w:rsid w:val="7C224DAA"/>
    <w:rsid w:val="7CEC7892"/>
    <w:rsid w:val="7CFF2350"/>
    <w:rsid w:val="7D026961"/>
    <w:rsid w:val="7D2A2168"/>
    <w:rsid w:val="7D592A4D"/>
    <w:rsid w:val="7D876EB6"/>
    <w:rsid w:val="7DBB139E"/>
    <w:rsid w:val="7E2F61A5"/>
    <w:rsid w:val="7E5F22E5"/>
    <w:rsid w:val="7E664435"/>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monospace" w:hAnsi="monospace" w:eastAsia="monospace" w:cs="monospace"/>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monospace" w:hAnsi="monospace" w:eastAsia="monospace" w:cs="monospace"/>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monospace" w:hAnsi="monospace" w:eastAsia="monospace" w:cs="monospace"/>
      <w:sz w:val="20"/>
    </w:rPr>
  </w:style>
  <w:style w:type="character" w:styleId="28">
    <w:name w:val="HTML Sample"/>
    <w:unhideWhenUsed/>
    <w:qFormat/>
    <w:uiPriority w:val="99"/>
    <w:rPr>
      <w:rFonts w:hint="default" w:ascii="monospace" w:hAnsi="monospace" w:eastAsia="monospace" w:cs="monospace"/>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3561</Words>
  <Characters>3798</Characters>
  <Lines>330</Lines>
  <Paragraphs>284</Paragraphs>
  <TotalTime>1</TotalTime>
  <ScaleCrop>false</ScaleCrop>
  <LinksUpToDate>false</LinksUpToDate>
  <CharactersWithSpaces>3858</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2018-02-08T01:56:00Z</cp:lastPrinted>
  <dcterms:modified xsi:type="dcterms:W3CDTF">2026-05-12T03:51:46Z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F0E400964CF645718A944B53D9AD55A0_13</vt:lpwstr>
  </property>
  <property fmtid="{D5CDD505-2E9C-101B-9397-08002B2CF9AE}" pid="4" name="KSOTemplateDocerSaveRecord">
    <vt:lpwstr>eyJoZGlkIjoiYjA2NzRhNzNjNjFjMTU2ODJkZDA1ZjEyZWI2NjJlNjEiLCJ1c2VySWQiOiIzMTg5Mjg5MDgifQ==</vt:lpwstr>
  </property>
</Properties>
</file>