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09"/>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JSZC-320500-SZSD-G2026-0020</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检验科对外委托外送检测服务</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815"/>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68"/>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56</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7"/>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JSZC-320500-SZSD-G2026-0020</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检验科对外委托外送检测服务</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w:t>
            </w:r>
            <w:r/>
          </w:p>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联系人：王俊文         联系电话：0512-62362541</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69"/>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eastAsia="zh-CN"/>
              </w:rPr>
              <w:t xml:space="preserve">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¥45250.00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7"/>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0"/>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检验科对外委托外送检测服务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JSZC-320500-SZSD-G2026-0020</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eastAsia="zh-CN"/>
              </w:rPr>
              <w:t xml:space="preserve">13</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JSZC-320500-SZSD-G2026-0020</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检验科对外委托外送检测服务</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叁佰柒拾伍万元整（¥3750000.00）</w:t>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lang w:val="en-US" w:eastAsia="zh-CN"/>
        </w:rPr>
        <w:t xml:space="preserve">具有有效期内的《医疗机构执业许可证》</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1、时间：自公告发布之日起5个工作日，每天上午00:00-12:00，下午12:00-23:59（北京时间，法定节假日除外）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2026年6月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eastAsia="zh-CN"/>
        </w:rPr>
        <w:t xml:space="preserve">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王俊文/0512-62362541</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w:t>
      </w:r>
      <w:r>
        <w:rPr>
          <w:rFonts w:hint="eastAsia" w:ascii="宋体" w:hAnsi="宋体" w:cs="宋体"/>
          <w:color w:val="auto"/>
          <w:sz w:val="24"/>
          <w:szCs w:val="24"/>
          <w:highlight w:val="none"/>
          <w:lang w:val="en-US" w:eastAsia="zh-CN"/>
        </w:rPr>
        <w:t xml:space="preserve">具有有效期内的《医疗机构执业许可证》</w:t>
      </w:r>
      <w:r>
        <w:rPr>
          <w:rFonts w:hint="eastAsia" w:ascii="宋体" w:hAnsi="宋体" w:cs="宋体"/>
          <w:color w:val="auto"/>
          <w:sz w:val="24"/>
          <w:szCs w:val="24"/>
          <w:highlight w:val="none"/>
          <w:lang w:val="en-US" w:eastAsia="zh-CN"/>
        </w:rPr>
        <w:t xml:space="preserve">。</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71"/>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rPr>
        <w:t xml:space="preserve">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rPr>
          <w:rFonts w:hint="eastAsia" w:ascii="宋体" w:hAnsi="宋体" w:cs="宋体"/>
          <w:color w:val="auto"/>
          <w:sz w:val="24"/>
          <w:szCs w:val="24"/>
          <w:highlight w:val="none"/>
          <w:lang w:val="en-US" w:eastAsia="zh-CN"/>
        </w:rPr>
        <w:t xml:space="preserve">；</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13.4.5.8</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w:t>
      </w:r>
      <w:r>
        <w:rPr>
          <w:rFonts w:hint="eastAsia" w:ascii="宋体" w:hAnsi="宋体" w:cs="黑体"/>
          <w:bCs/>
          <w:color w:val="auto"/>
          <w:sz w:val="24"/>
          <w:highlight w:val="none"/>
          <w:shd w:val="clear" w:color="auto" w:fill="ffffff"/>
          <w:lang w:eastAsia="zh-CN"/>
        </w:rPr>
        <w:t xml:space="preserve">重大税收违法案件当事人名单、政府采购严重失信行为记录名单</w:t>
      </w:r>
      <w:r>
        <w:rPr>
          <w:rFonts w:hint="eastAsia" w:ascii="宋体" w:hAnsi="宋体" w:cs="黑体"/>
          <w:bCs/>
          <w:color w:val="auto"/>
          <w:sz w:val="24"/>
          <w:highlight w:val="none"/>
          <w:shd w:val="clear" w:color="auto" w:fill="ffffff"/>
          <w:lang w:eastAsia="zh-CN"/>
        </w:rPr>
        <w:t xml:space="preserve">；</w:t>
      </w:r>
      <w:r/>
    </w:p>
    <w:p>
      <w:pPr>
        <w:pStyle w:val="971"/>
        <w:ind w:left="0"/>
        <w:keepLines w:val="0"/>
        <w:keepNext w:val="0"/>
        <w:pageBreakBefore w:val="0"/>
        <w:spacing w:after="0" w:line="360" w:lineRule="auto"/>
        <w:widowControl w:val="off"/>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其他有关资格证明文件。</w:t>
      </w:r>
      <w:r/>
    </w:p>
    <w:p>
      <w:pPr>
        <w:pStyle w:val="971"/>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2通过二级或以上生物安全实验室备案证明</w:t>
      </w:r>
      <w:r>
        <w:rPr>
          <w:rFonts w:hint="eastAsia" w:ascii="宋体" w:hAnsi="宋体"/>
          <w:bCs/>
          <w:color w:val="auto"/>
          <w:sz w:val="24"/>
          <w:highlight w:val="none"/>
          <w:lang w:eastAsia="zh-CN"/>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3具有有效期内的临床基因扩增检验实验室技术验收合格证书；</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偏离表（格式见第三章）；</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其他有关符合性证明的文件。</w:t>
      </w:r>
      <w:r/>
    </w:p>
    <w:p>
      <w:pPr>
        <w:pStyle w:val="971"/>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09"/>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13.6.3</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1"/>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11"/>
      <w:r/>
      <w:bookmarkStart w:id="3" w:name="OLE_LINK25"/>
      <w:r/>
      <w:bookmarkStart w:id="4" w:name="OLE_LINK20"/>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6" w:name="OLE_LINK3"/>
      <w:r/>
      <w:bookmarkStart w:id="7"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10"/>
      <w:r/>
      <w:bookmarkStart w:id="9" w:name="OLE_LINK9"/>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bookmarkStart w:id="11" w:name="OLE_LINK7"/>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1"/>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bookmarkStart w:id="12" w:name="_Hlk193374841"/>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2"/>
        <w:rPr>
          <w:color w:val="auto"/>
          <w:highlight w:val="none"/>
        </w:rPr>
      </w:pPr>
      <w:r>
        <w:rPr>
          <w:color w:val="auto"/>
          <w:highlight w:val="none"/>
        </w:rPr>
      </w:r>
      <w:r/>
    </w:p>
    <w:p>
      <w:pPr>
        <w:pStyle w:val="972"/>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787"/>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采购内容</w:t>
            </w:r>
            <w:r/>
          </w:p>
        </w:tc>
        <w:tc>
          <w:tcPr>
            <w:tcW w:w="3485" w:type="dxa"/>
            <w:vAlign w:val="center"/>
            <w:textDirection w:val="lrTb"/>
            <w:noWrap w:val="false"/>
          </w:tcPr>
          <w:p>
            <w:pPr>
              <w:jc w:val="center"/>
              <w:spacing w:line="6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85"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auto"/>
                <w:highlight w:val="none"/>
                <w:lang w:eastAsia="zh-CN"/>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keepLines w:val="0"/>
        <w:keepNext w:val="0"/>
        <w:pageBreakBefore w:val="0"/>
        <w:spacing w:line="360" w:lineRule="auto"/>
        <w:widowControl w:val="off"/>
        <w:rPr>
          <w:rStyle w:val="986"/>
          <w:rFonts w:hint="eastAsia" w:ascii="宋体" w:hAnsi="宋体" w:cs="宋体"/>
          <w:i w:val="0"/>
          <w:iCs/>
          <w:color w:val="auto"/>
          <w:sz w:val="24"/>
          <w:szCs w:val="24"/>
          <w:highlight w:val="none"/>
          <w:lang w:eastAsia="zh-CN"/>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w:t>
      </w:r>
      <w:r>
        <w:rPr>
          <w:rFonts w:hint="eastAsia" w:ascii="宋体" w:hAnsi="宋体"/>
          <w:color w:val="auto"/>
          <w:sz w:val="24"/>
          <w:szCs w:val="24"/>
          <w:highlight w:val="none"/>
          <w:lang w:val="en-US" w:eastAsia="zh-CN"/>
        </w:rPr>
        <w:t xml:space="preserve">统一</w:t>
      </w:r>
      <w:r>
        <w:rPr>
          <w:rFonts w:hint="eastAsia" w:ascii="宋体" w:hAnsi="宋体"/>
          <w:color w:val="auto"/>
          <w:sz w:val="24"/>
          <w:szCs w:val="24"/>
          <w:highlight w:val="none"/>
          <w:lang w:val="zh-CN"/>
        </w:rPr>
        <w:t xml:space="preserve">优惠率，</w:t>
      </w:r>
      <w:r>
        <w:rPr>
          <w:rFonts w:hint="eastAsia" w:ascii="宋体" w:hAnsi="宋体"/>
          <w:color w:val="auto"/>
          <w:sz w:val="24"/>
          <w:szCs w:val="24"/>
          <w:highlight w:val="none"/>
          <w:lang w:val="en-US" w:eastAsia="zh-CN"/>
        </w:rPr>
        <w:t xml:space="preserve">不存在平均优惠率</w:t>
      </w:r>
      <w:r>
        <w:rPr>
          <w:rStyle w:val="986"/>
          <w:rFonts w:hint="eastAsia" w:ascii="宋体" w:hAnsi="宋体" w:cs="宋体"/>
          <w:i w:val="0"/>
          <w:i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color w:val="auto"/>
          <w:sz w:val="24"/>
          <w:szCs w:val="24"/>
          <w:highlight w:val="yellow"/>
          <w:lang w:val="zh-CN"/>
        </w:rPr>
      </w:pPr>
      <w:r>
        <w:rPr>
          <w:rStyle w:val="986"/>
          <w:rFonts w:hint="eastAsia" w:ascii="宋体" w:hAnsi="宋体" w:cs="宋体"/>
          <w:i w:val="0"/>
          <w:iCs/>
          <w:color w:val="auto"/>
          <w:sz w:val="24"/>
          <w:szCs w:val="24"/>
          <w:highlight w:val="yellow"/>
          <w:lang w:val="en-US" w:eastAsia="zh-CN"/>
        </w:rPr>
        <w:t xml:space="preserve">4.开标一览表中填写的</w:t>
      </w:r>
      <w:r>
        <w:rPr>
          <w:rStyle w:val="986"/>
          <w:rFonts w:hint="eastAsia" w:ascii="宋体" w:hAnsi="宋体" w:cs="宋体"/>
          <w:b/>
          <w:bCs/>
          <w:i w:val="0"/>
          <w:iCs/>
          <w:color w:val="auto"/>
          <w:sz w:val="24"/>
          <w:szCs w:val="24"/>
          <w:highlight w:val="yellow"/>
          <w:lang w:val="en-US" w:eastAsia="zh-CN"/>
        </w:rPr>
        <w:t xml:space="preserve">投标优惠率=普检项目优惠率+特殊优惠率</w:t>
      </w:r>
      <w:r>
        <w:rPr>
          <w:rStyle w:val="986"/>
          <w:rFonts w:hint="eastAsia" w:ascii="宋体" w:hAnsi="宋体" w:cs="宋体"/>
          <w:i w:val="0"/>
          <w:iCs/>
          <w:color w:val="auto"/>
          <w:sz w:val="24"/>
          <w:szCs w:val="24"/>
          <w:highlight w:val="yellow"/>
          <w:lang w:val="en-US" w:eastAsia="zh-CN"/>
        </w:rPr>
        <w:t xml:space="preserve">。</w:t>
      </w:r>
      <w:r/>
    </w:p>
    <w:p>
      <w:pPr>
        <w:jc w:val="left"/>
        <w:keepLines w:val="0"/>
        <w:keepNext w:val="0"/>
        <w:pageBreakBefore w:val="0"/>
        <w:spacing w:line="360" w:lineRule="auto"/>
        <w:widowControl w:val="off"/>
        <w:rPr>
          <w:rFonts w:hint="eastAsia" w:ascii="宋体" w:hAnsi="宋体" w:eastAsia="宋体"/>
          <w:b w:val="0"/>
          <w:bCs w:val="0"/>
          <w:color w:val="auto"/>
          <w:sz w:val="24"/>
          <w:highlight w:val="none"/>
          <w:lang w:eastAsia="zh-CN"/>
        </w:rPr>
      </w:pPr>
      <w:r>
        <w:rPr>
          <w:rFonts w:hint="eastAsia" w:ascii="宋体" w:hAnsi="宋体"/>
          <w:b/>
          <w:bCs/>
          <w:color w:val="auto"/>
          <w:sz w:val="24"/>
          <w:szCs w:val="24"/>
          <w:highlight w:val="yellow"/>
          <w:lang w:val="en-US" w:eastAsia="zh-CN"/>
        </w:rPr>
        <w:t xml:space="preserve">5.普检项目</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en-US" w:eastAsia="zh-CN"/>
        </w:rPr>
        <w:t xml:space="preserve">80</w:t>
      </w:r>
      <w:r>
        <w:rPr>
          <w:rFonts w:hint="eastAsia" w:ascii="宋体" w:hAnsi="宋体"/>
          <w:b/>
          <w:bCs/>
          <w:color w:val="auto"/>
          <w:sz w:val="24"/>
          <w:szCs w:val="24"/>
          <w:highlight w:val="yellow"/>
          <w:lang w:val="zh-CN" w:eastAsia="zh-CN"/>
        </w:rPr>
        <w:t xml:space="preserve">%（含）-100%（含）】</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en-US" w:eastAsia="zh-CN"/>
        </w:rPr>
        <w:t xml:space="preserve">特检项目：</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en-US" w:eastAsia="zh-CN"/>
        </w:rPr>
        <w:t xml:space="preserve">70</w:t>
      </w:r>
      <w:r>
        <w:rPr>
          <w:rFonts w:hint="eastAsia" w:ascii="宋体" w:hAnsi="宋体"/>
          <w:b/>
          <w:bCs/>
          <w:color w:val="auto"/>
          <w:sz w:val="24"/>
          <w:szCs w:val="24"/>
          <w:highlight w:val="yellow"/>
          <w:lang w:val="zh-CN" w:eastAsia="zh-CN"/>
        </w:rPr>
        <w:t xml:space="preserve">%（含）-100%（含）】</w:t>
      </w:r>
      <w:r>
        <w:rPr>
          <w:rFonts w:hint="eastAsia" w:ascii="宋体" w:hAnsi="宋体"/>
          <w:b/>
          <w:bCs/>
          <w:color w:val="auto"/>
          <w:sz w:val="24"/>
          <w:szCs w:val="24"/>
          <w:highlight w:val="yellow"/>
          <w:lang w:val="en-US" w:eastAsia="zh-CN"/>
        </w:rPr>
        <w:t xml:space="preserve">的</w:t>
      </w:r>
      <w:r>
        <w:rPr>
          <w:rFonts w:hint="eastAsia" w:ascii="宋体" w:hAnsi="宋体"/>
          <w:b/>
          <w:bCs/>
          <w:color w:val="auto"/>
          <w:sz w:val="24"/>
          <w:szCs w:val="24"/>
          <w:highlight w:val="yellow"/>
          <w:lang w:val="zh-CN" w:eastAsia="zh-CN"/>
        </w:rPr>
        <w:t xml:space="preserve">，为有效投标报价，超出此范围的报价为无效报价</w:t>
      </w:r>
      <w:r>
        <w:rPr>
          <w:rFonts w:hint="eastAsia" w:ascii="宋体" w:hAnsi="宋体"/>
          <w:b/>
          <w:bCs/>
          <w:color w:val="auto"/>
          <w:sz w:val="24"/>
          <w:highlight w:val="yellow"/>
          <w:lang w:eastAsia="zh-CN"/>
        </w:rPr>
        <w:t xml:space="preserve">。</w:t>
      </w:r>
      <w:r>
        <w:rPr>
          <w:rFonts w:hint="eastAsia" w:ascii="宋体" w:hAnsi="宋体"/>
          <w:b w:val="0"/>
          <w:bCs w:val="0"/>
          <w:color w:val="auto"/>
          <w:sz w:val="24"/>
          <w:highlight w:val="none"/>
          <w:lang w:eastAsia="zh-CN"/>
        </w:rPr>
        <w:t xml:space="preserve">【举例说明：如收费标准为100元，投标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0%，则最终结算价为：100*（1-</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w:t>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eastAsia="宋体" w:cs="宋体"/>
          <w:color w:val="auto"/>
          <w:sz w:val="28"/>
          <w:szCs w:val="28"/>
          <w:highlight w:val="none"/>
        </w:rPr>
        <w:t xml:space="preserve">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4870" w:type="pct"/>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805"/>
        <w:gridCol w:w="1950"/>
        <w:gridCol w:w="1651"/>
        <w:gridCol w:w="1996"/>
      </w:tblGrid>
      <w:tr>
        <w:trPr>
          <w:trHeight w:val="567"/>
        </w:trPr>
        <w:tc>
          <w:tcPr>
            <w:tcW w:w="53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br w:type="page" w:clear="all"/>
            </w:r>
            <w:r>
              <w:rPr>
                <w:rFonts w:hint="eastAsia" w:ascii="宋体" w:hAnsi="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1088"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w:t>
            </w:r>
            <w:r/>
          </w:p>
        </w:tc>
        <w:tc>
          <w:tcPr>
            <w:tcW w:w="1175"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率限价</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W w:w="99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率报价（%）</w:t>
            </w:r>
            <w:r/>
          </w:p>
        </w:tc>
        <w:tc>
          <w:tcPr>
            <w:tcW w:w="1202" w:type="pct"/>
            <w:vAlign w:val="center"/>
            <w:textDirection w:val="lrTb"/>
            <w:noWrap w:val="false"/>
          </w:tcPr>
          <w:p>
            <w:pPr>
              <w:pStyle w:val="989"/>
              <w:jc w:val="center"/>
              <w:spacing w:line="360" w:lineRule="auto"/>
              <w:rPr>
                <w:rFonts w:hint="eastAsia" w:ascii="宋体" w:hAnsi="宋体" w:eastAsia="宋体" w:cs="宋体"/>
                <w:color w:val="auto"/>
                <w:sz w:val="24"/>
                <w:szCs w:val="24"/>
                <w:highlight w:val="none"/>
              </w:rPr>
            </w:pPr>
            <w:r>
              <w:rPr>
                <w:rFonts w:hAnsi="宋体" w:eastAsia="宋体" w:cs="宋体"/>
                <w:color w:val="auto"/>
                <w:sz w:val="24"/>
                <w:szCs w:val="24"/>
                <w:highlight w:val="none"/>
                <w:lang w:val="zh-CN"/>
              </w:rPr>
              <w:t xml:space="preserve">服务期限</w:t>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088"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普检项目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995" w:type="pct"/>
            <w:vAlign w:val="center"/>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restart"/>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108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特检项目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99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continue"/>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67"/>
        </w:trPr>
        <w:tc>
          <w:tcPr>
            <w:gridSpan w:val="2"/>
            <w:tcW w:w="1626" w:type="pct"/>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合计优惠率</w:t>
            </w:r>
            <w:r/>
          </w:p>
        </w:tc>
        <w:tc>
          <w:tcPr>
            <w:gridSpan w:val="3"/>
            <w:tcW w:w="3373" w:type="pct"/>
            <w:vAlign w:val="center"/>
            <w:textDirection w:val="lrTb"/>
            <w:noWrap w:val="false"/>
          </w:tcPr>
          <w:p>
            <w:pPr>
              <w:jc w:val="both"/>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（大写）                 小写：</w:t>
            </w:r>
            <w:r/>
          </w:p>
        </w:tc>
      </w:tr>
    </w:tbl>
    <w:p>
      <w:pPr>
        <w:keepLines w:val="0"/>
        <w:keepNext w:val="0"/>
        <w:pageBreakBefore w:val="0"/>
        <w:spacing w:line="360" w:lineRule="auto"/>
        <w:widowControl w:val="off"/>
        <w:rPr>
          <w:rFonts w:ascii="宋体" w:hAnsi="宋体"/>
          <w:b w:val="0"/>
          <w:bCs w:val="0"/>
          <w:color w:val="auto"/>
          <w:sz w:val="24"/>
          <w:highlight w:val="none"/>
        </w:rPr>
      </w:pPr>
      <w:r>
        <w:rPr>
          <w:rFonts w:hint="eastAsia" w:ascii="宋体" w:hAnsi="宋体"/>
          <w:b w:val="0"/>
          <w:bCs w:val="0"/>
          <w:color w:val="auto"/>
          <w:sz w:val="24"/>
          <w:highlight w:val="none"/>
        </w:rPr>
        <w:t xml:space="preserve">注：</w:t>
      </w:r>
      <w:r>
        <w:rPr>
          <w:rFonts w:hint="eastAsia" w:ascii="宋体" w:hAnsi="宋体"/>
          <w:b w:val="0"/>
          <w:bCs w:val="0"/>
          <w:color w:val="auto"/>
          <w:sz w:val="24"/>
          <w:highlight w:val="none"/>
          <w:lang w:val="en-US" w:eastAsia="zh-CN"/>
        </w:rPr>
        <w:t xml:space="preserve">1）投标</w:t>
      </w:r>
      <w:r>
        <w:rPr>
          <w:rFonts w:hint="eastAsia" w:ascii="宋体" w:hAnsi="宋体"/>
          <w:b w:val="0"/>
          <w:bCs w:val="0"/>
          <w:color w:val="auto"/>
          <w:sz w:val="24"/>
          <w:highlight w:val="none"/>
        </w:rPr>
        <w:t xml:space="preserve">单位</w:t>
      </w:r>
      <w:r>
        <w:rPr>
          <w:rFonts w:hint="eastAsia" w:ascii="宋体" w:hAnsi="宋体"/>
          <w:b w:val="0"/>
          <w:bCs w:val="0"/>
          <w:color w:val="auto"/>
          <w:sz w:val="24"/>
          <w:highlight w:val="none"/>
          <w:lang w:val="en-US" w:eastAsia="zh-CN"/>
        </w:rPr>
        <w:t xml:space="preserve">按限价要求进行</w:t>
      </w:r>
      <w:r>
        <w:rPr>
          <w:rFonts w:hint="eastAsia" w:ascii="宋体" w:hAnsi="宋体"/>
          <w:b w:val="0"/>
          <w:bCs w:val="0"/>
          <w:color w:val="auto"/>
          <w:sz w:val="24"/>
          <w:highlight w:val="none"/>
        </w:rPr>
        <w:t xml:space="preserve">填报，</w:t>
      </w:r>
      <w:r>
        <w:rPr>
          <w:rFonts w:hint="eastAsia" w:ascii="宋体" w:hAnsi="宋体"/>
          <w:b w:val="0"/>
          <w:bCs w:val="0"/>
          <w:color w:val="auto"/>
          <w:sz w:val="24"/>
          <w:highlight w:val="none"/>
          <w:lang w:val="en-US" w:eastAsia="zh-CN"/>
        </w:rPr>
        <w:t xml:space="preserve">超出此范围的报价为无效响应报价，无效投标报价的投标文件不进行评审，也不得中标</w:t>
      </w:r>
      <w:r>
        <w:rPr>
          <w:rFonts w:hint="eastAsia" w:ascii="宋体" w:hAnsi="宋体"/>
          <w:b w:val="0"/>
          <w:bCs w:val="0"/>
          <w:color w:val="auto"/>
          <w:sz w:val="24"/>
          <w:highlight w:val="none"/>
        </w:rPr>
        <w:t xml:space="preserve">。</w:t>
      </w:r>
      <w:r/>
    </w:p>
    <w:p>
      <w:pPr>
        <w:pStyle w:val="979"/>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yellow"/>
          <w:lang w:val="en-US" w:eastAsia="zh-CN"/>
        </w:rPr>
        <w:t xml:space="preserve">2）</w:t>
      </w:r>
      <w:r>
        <w:rPr>
          <w:rFonts w:hint="eastAsia" w:ascii="宋体" w:hAnsi="宋体" w:eastAsia="宋体" w:cs="宋体"/>
          <w:b/>
          <w:bCs/>
          <w:color w:val="auto"/>
          <w:sz w:val="24"/>
          <w:szCs w:val="24"/>
          <w:highlight w:val="yellow"/>
          <w:lang w:val="en-US" w:eastAsia="zh-CN"/>
        </w:rPr>
        <w:t xml:space="preserve">普检项目：投标优惠率处于【80%（含）-100%（含）】、特检项目：投标优惠率处于【70%（含）-100%（含）】的，为有效投标报价，超出此范围的报价为无效报价。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举例说明：</w:t>
      </w:r>
      <w:r>
        <w:rPr>
          <w:rFonts w:hint="eastAsia" w:ascii="宋体" w:hAnsi="宋体" w:eastAsia="宋体" w:cs="宋体"/>
          <w:b w:val="0"/>
          <w:bCs w:val="0"/>
          <w:color w:val="auto"/>
          <w:sz w:val="24"/>
          <w:szCs w:val="24"/>
          <w:highlight w:val="none"/>
          <w:lang w:val="en-US" w:eastAsia="zh-CN"/>
        </w:rPr>
        <w:t xml:space="preserve">如收费标准为100元，投标单位优惠率为80%，则最终结算价为：100*（1-80%）】</w:t>
      </w:r>
      <w:r>
        <w:rPr>
          <w:rFonts w:hint="eastAsia"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68"/>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3"/>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7"/>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6"/>
      <w:r/>
      <w:bookmarkStart w:id="14" w:name="OLE_LINK24"/>
      <w:r/>
      <w:bookmarkStart w:id="15" w:name="OLE_LINK23"/>
      <w:r/>
      <w:bookmarkStart w:id="16" w:name="OLE_LINK21"/>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7"/>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2"/>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7"/>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4"/>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5"/>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6"/>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检验科对外委托外送检测服务</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5"/>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76"/>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976"/>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76"/>
        <w:ind w:firstLine="600"/>
        <w:keepLines w:val="0"/>
        <w:pageBreakBefore w:val="0"/>
        <w:spacing w:line="36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keepLines w:val="0"/>
        <w:keepNext w:val="0"/>
        <w:pageBreakBefore w:val="0"/>
        <w:spacing w:line="3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2"/>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2"/>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2"/>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7"/>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w:t>
      </w:r>
      <w:r>
        <w:rPr>
          <w:rFonts w:hint="eastAsia" w:ascii="宋体" w:hAnsi="宋体" w:cs="宋体"/>
          <w:color w:val="auto"/>
          <w:sz w:val="24"/>
          <w:szCs w:val="24"/>
          <w:highlight w:val="none"/>
          <w:lang w:val="en-US" w:eastAsia="zh-CN"/>
        </w:rPr>
        <w:t xml:space="preserve">检验科对外委托外送检测服务</w:t>
      </w:r>
      <w:r>
        <w:rPr>
          <w:rFonts w:hint="eastAsia" w:ascii="宋体" w:hAnsi="宋体" w:cs="宋体"/>
          <w:color w:val="auto"/>
          <w:sz w:val="24"/>
          <w:szCs w:val="24"/>
          <w:highlight w:val="none"/>
          <w:lang w:val="en-US" w:eastAsia="zh-CN"/>
        </w:rPr>
        <w:t xml:space="preserve">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JSZC-320500-SZSD-G2026-0020</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检验科对外委托外送检测服务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叁佰柒拾伍万元整（¥3750000.00）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四、采购内容及要求：</w:t>
      </w:r>
      <w:r/>
    </w:p>
    <w:p>
      <w:pPr>
        <w:numPr>
          <w:ilvl w:val="0"/>
          <w:numId w:val="0"/>
        </w:numP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（一）</w:t>
      </w:r>
      <w:r>
        <w:rPr>
          <w:rFonts w:hint="eastAsia" w:ascii="宋体" w:hAnsi="宋体"/>
          <w:bCs/>
          <w:color w:val="auto"/>
          <w:sz w:val="24"/>
          <w:highlight w:val="none"/>
          <w:lang w:eastAsia="zh-CN"/>
        </w:rPr>
        <w:t xml:space="preserve">项目概述</w:t>
      </w:r>
      <w:r>
        <w:rPr>
          <w:rFonts w:hint="eastAsia" w:ascii="宋体" w:hAnsi="宋体"/>
          <w:bCs/>
          <w:color w:val="auto"/>
          <w:sz w:val="24"/>
          <w:highlight w:val="none"/>
        </w:rPr>
        <w:t xml:space="preserve">：</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val="0"/>
          <w:bCs w:val="0"/>
          <w:color w:val="auto"/>
          <w:sz w:val="24"/>
          <w:szCs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lang w:eastAsia="zh-CN"/>
        </w:rPr>
        <w:t xml:space="preserve">检测内容</w:t>
      </w:r>
      <w:r>
        <w:rPr>
          <w:rFonts w:hint="eastAsia" w:ascii="宋体" w:hAnsi="宋体" w:cs="宋体"/>
          <w:b w:val="0"/>
          <w:bCs w:val="0"/>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1、普检项目</w:t>
      </w:r>
      <w:r/>
    </w:p>
    <w:tbl>
      <w:tblPr>
        <w:tblStyle w:val="787"/>
        <w:tblW w:w="5019"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3209"/>
        <w:gridCol w:w="1230"/>
        <w:gridCol w:w="1440"/>
        <w:gridCol w:w="1800"/>
      </w:tblGrid>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321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w:t>
            </w:r>
            <w:r/>
          </w:p>
        </w:tc>
        <w:tc>
          <w:tcPr>
            <w:tcW w:w="123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年检测量（次）</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收费标准</w:t>
            </w:r>
            <w:r/>
          </w:p>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（元/次）</w:t>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报告周期</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17﹣羟皮质类固醇</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17﹣酮类固醇</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百日咳杆菌IgM抗体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曲霉菌抗体（烟曲霉、曲霉菌IgG/IgM)</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水痘﹣带状疱疹病毒抗体IgM/IgG</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恶性肿瘤特异生长因子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弓形虫（TOX-DNA）定性</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巨细胞病毒（CMV-DNA）</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定量</w:t>
            </w:r>
            <w:r/>
          </w:p>
        </w:tc>
        <w:tc>
          <w:tcPr>
            <w:tcW w:w="1230" w:type="dxa"/>
            <w:vAlign w:val="center"/>
            <w:textDirection w:val="lrTb"/>
            <w:noWrap w:val="false"/>
          </w:tcPr>
          <w:p>
            <w:pPr>
              <w:jc w:val="center"/>
              <w:widowControl/>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EB病毒（EB DNA）定量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丙型肝炎病毒（HCV-RNA）定量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肝纤三项（层粘连蛋白、透明质酸璃、IV型胶）</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呼吸道病原体1gM抗体（包括嗜肺军团菌血清1型、肺炎支原体、Q热立克次体、肺炎衣原体、腺病毒、呼吸道合胞病毒、甲型流感病毒、乙型流感病毒和副流感病毒1、2和3型等9项）</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144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抗β2糖蛋白1抗体（IgA、IgM、IgG）定量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可溶性生长刺激表达基因2蛋白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尿N﹣乙酰﹣β-D﹣葡萄糖苷醇（NAG)</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尿蛋白电泳</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尿香草扁桃酸</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24小时尿醛固酮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免疫固定电泳</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前列腺健康指数（总前列腺抗原、游离前列腺抗原、前列腺抗原同源异构体）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全血微量元素5项（钙、镁、铜、铁、锌）</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尿碘（I)</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转铁蛋白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视黄醇结合蛋白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凝血因子</w:t>
            </w:r>
            <w:r/>
          </w:p>
        </w:tc>
        <w:tc>
          <w:tcPr>
            <w:tcW w:w="123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44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蛋白C＋蛋白S</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肺泡灌洗液T淋巴亚群分析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萎缩性胃炎抗体2项（抗内因子抗体、抗胃壁细胞）</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双氢睾酮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雄烯二酮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免疫球蛋白G4</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反三碘甲状腺原氨酸（rT3)</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抗甲状腺微粒体抗体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游离脂肪酸</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血管紧张素转化酶（ACE)</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脂蛋白相关</w:t>
            </w:r>
            <w:r>
              <w:rPr>
                <w:rFonts w:hint="eastAsia" w:ascii="宋体" w:hAnsi="宋体" w:cs="宋体"/>
                <w:color w:val="auto"/>
                <w:sz w:val="24"/>
                <w:szCs w:val="24"/>
                <w:highlight w:val="none"/>
                <w:lang w:val="en-US" w:eastAsia="zh-CN"/>
              </w:rPr>
              <w:t xml:space="preserve">磷脂酶</w:t>
            </w:r>
            <w:r>
              <w:rPr>
                <w:rFonts w:hint="eastAsia" w:ascii="宋体" w:hAnsi="宋体" w:cs="宋体"/>
                <w:color w:val="auto"/>
                <w:sz w:val="24"/>
                <w:szCs w:val="24"/>
                <w:highlight w:val="none"/>
                <w:lang w:val="en-US" w:eastAsia="zh-CN"/>
              </w:rPr>
              <w:t xml:space="preserve">A2(Lp-PLA2)</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bl>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2、特检项目</w:t>
      </w:r>
      <w:r/>
    </w:p>
    <w:tbl>
      <w:tblPr>
        <w:tblStyle w:val="787"/>
        <w:tblW w:w="5072" w:type="pct"/>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419"/>
        <w:gridCol w:w="1230"/>
        <w:gridCol w:w="1335"/>
        <w:gridCol w:w="1876"/>
      </w:tblGrid>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341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w:t>
            </w:r>
            <w:r/>
          </w:p>
        </w:tc>
        <w:tc>
          <w:tcPr>
            <w:tcW w:w="123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年检测量（次）</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收费标准</w:t>
            </w:r>
            <w:r/>
          </w:p>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（元/次）</w:t>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报告周期</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低密度脂蛋白亚型分类检测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抗乙酰胆碱受体抗体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抗磷脂酶A2受体 抗体1gG4(PLA2R-1gG4)</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24h尿儿茶酚胺</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阿司匹林抵抗相关基因检测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叶酸代谢能力基因检测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氯呲格雷安全用药基因检测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巯</w:t>
            </w:r>
            <w:r>
              <w:rPr>
                <w:rFonts w:hint="eastAsia" w:ascii="宋体" w:hAnsi="宋体" w:cs="宋体"/>
                <w:color w:val="auto"/>
                <w:sz w:val="24"/>
                <w:szCs w:val="24"/>
                <w:highlight w:val="none"/>
                <w:lang w:val="en-US" w:eastAsia="zh-CN"/>
              </w:rPr>
              <w:t xml:space="preserve">嘌呤类药物安全用药基因</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H型高血压基因检测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HLA-B*1502基因检测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抗感染类安全用药基因检测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前列腺小体外泄蛋白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脑脊液免疫定量及蛋白分析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638</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外周血染色体核型分析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心血管安全用药基因检测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中枢神经系统脱髓鞘抗体谱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副瘤综合征抗体谱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肌炎相关抗体谱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自身免疫性脑炎抗体谱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自身免疫性周围神经病抗体谱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Treg淋巴细胞亚群检测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225</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外周血CD19/CD20绝对计数</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T细胞耗竭及线粒体功能障碍检测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T细胞活化及线粒体功能障碍检测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透析水化学污染物22项</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深贫筛查项目（包含G6PD、血红蛋白电泳、红细胞脆性实验、游离血红蛋白、触珠蛋白、直接抗人球蛋白、间接抗人球蛋白、酸化甘油溶血试验、蔗糖溶血试验、异丙酮试验等）</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APOE基因检测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遗传性脑白质营养不良相关基因检测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遗传性神经肌肉病基因测序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遗传性共济失调相关基因检测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脊髓小脑共济失调相关基因</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肯尼迪病基因片段分析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静脉血栓易感基因突变检测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3-4个工作日</w:t>
            </w:r>
            <w:r/>
          </w:p>
        </w:tc>
      </w:tr>
    </w:tbl>
    <w:p>
      <w:pPr>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上述表格中</w:t>
      </w:r>
      <w:r>
        <w:rPr>
          <w:rFonts w:hint="eastAsia" w:ascii="宋体" w:hAnsi="宋体" w:cs="宋体"/>
          <w:b/>
          <w:bCs/>
          <w:color w:val="auto"/>
          <w:sz w:val="24"/>
          <w:szCs w:val="24"/>
          <w:highlight w:val="none"/>
          <w:lang w:val="en-US" w:eastAsia="zh-CN"/>
        </w:rPr>
        <w:t xml:space="preserve">所列</w:t>
      </w:r>
      <w:r>
        <w:rPr>
          <w:rFonts w:hint="eastAsia" w:ascii="宋体" w:hAnsi="宋体" w:cs="宋体"/>
          <w:b/>
          <w:bCs/>
          <w:color w:val="auto"/>
          <w:sz w:val="24"/>
          <w:szCs w:val="24"/>
          <w:highlight w:val="none"/>
          <w:lang w:eastAsia="zh-CN"/>
        </w:rPr>
        <w:t xml:space="preserve">年检测数量</w:t>
      </w:r>
      <w:r>
        <w:rPr>
          <w:rFonts w:hint="eastAsia" w:ascii="宋体" w:hAnsi="宋体" w:cs="宋体"/>
          <w:b/>
          <w:bCs/>
          <w:color w:val="auto"/>
          <w:sz w:val="24"/>
          <w:szCs w:val="24"/>
          <w:highlight w:val="none"/>
          <w:lang w:val="en-US" w:eastAsia="zh-CN"/>
        </w:rPr>
        <w:t xml:space="preserve">均</w:t>
      </w:r>
      <w:r>
        <w:rPr>
          <w:rFonts w:hint="eastAsia" w:ascii="宋体" w:hAnsi="宋体" w:cs="宋体"/>
          <w:b/>
          <w:bCs/>
          <w:color w:val="auto"/>
          <w:sz w:val="24"/>
          <w:szCs w:val="24"/>
          <w:highlight w:val="none"/>
        </w:rPr>
        <w:t xml:space="preserve">为预估数量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最终按实际发生检测数量据实结算</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服务期内严格按照国家及地方相关政策规定执行，若遇政策性收费标准调整，结算价格</w:t>
      </w:r>
      <w:r>
        <w:rPr>
          <w:rFonts w:hint="eastAsia" w:ascii="宋体" w:hAnsi="宋体" w:eastAsia="宋体" w:cs="宋体"/>
          <w:b/>
          <w:bCs/>
          <w:color w:val="auto"/>
          <w:sz w:val="24"/>
          <w:szCs w:val="24"/>
          <w:highlight w:val="none"/>
          <w:lang w:val="en-US" w:eastAsia="zh-CN"/>
        </w:rPr>
        <w:t xml:space="preserve">按政策变动同比例相应调整</w:t>
      </w:r>
      <w:r>
        <w:rPr>
          <w:rFonts w:hint="eastAsia" w:ascii="宋体" w:hAnsi="宋体" w:cs="宋体"/>
          <w:b/>
          <w:bCs/>
          <w:color w:val="auto"/>
          <w:sz w:val="24"/>
          <w:szCs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（三）实验室要求</w:t>
      </w:r>
      <w:r>
        <w:rPr>
          <w:rFonts w:hint="eastAsia" w:ascii="宋体" w:hAnsi="宋体"/>
          <w:bCs/>
          <w:color w:val="auto"/>
          <w:sz w:val="24"/>
          <w:highlight w:val="none"/>
        </w:rPr>
        <w:t xml:space="preserve">：</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1、投标人</w:t>
      </w:r>
      <w:r>
        <w:rPr>
          <w:rFonts w:hint="eastAsia" w:ascii="宋体" w:hAnsi="宋体"/>
          <w:bCs/>
          <w:color w:val="auto"/>
          <w:sz w:val="24"/>
          <w:highlight w:val="none"/>
        </w:rPr>
        <w:t xml:space="preserve">须通过二级或以上生物安全实验室备案</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持有</w:t>
      </w:r>
      <w:r>
        <w:rPr>
          <w:rFonts w:hint="eastAsia" w:ascii="宋体" w:hAnsi="宋体"/>
          <w:bCs/>
          <w:color w:val="auto"/>
          <w:sz w:val="24"/>
          <w:highlight w:val="none"/>
        </w:rPr>
        <w:t xml:space="preserve">有效期内临床基因扩增检验实验室技术验收合格证书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能</w:t>
      </w:r>
      <w:r>
        <w:rPr>
          <w:rFonts w:hint="eastAsia" w:ascii="宋体" w:hAnsi="宋体" w:eastAsia="宋体" w:cs="宋体"/>
          <w:b/>
          <w:bCs/>
          <w:color w:val="auto"/>
          <w:sz w:val="24"/>
          <w:szCs w:val="24"/>
          <w:highlight w:val="none"/>
          <w:lang w:val="en-US" w:eastAsia="zh-CN"/>
        </w:rPr>
        <w:t xml:space="preserve">开展江苏省卫生健康行政部门印发</w:t>
      </w:r>
      <w:r>
        <w:rPr>
          <w:rFonts w:hint="eastAsia" w:ascii="宋体" w:hAnsi="宋体"/>
          <w:bCs/>
          <w:color w:val="auto"/>
          <w:sz w:val="24"/>
          <w:highlight w:val="none"/>
        </w:rPr>
        <w:t xml:space="preserve">《医疗机构临床检验项目目录》</w:t>
      </w:r>
      <w:r>
        <w:rPr>
          <w:rFonts w:hint="eastAsia" w:ascii="宋体" w:hAnsi="宋体"/>
          <w:bCs/>
          <w:color w:val="auto"/>
          <w:sz w:val="24"/>
          <w:highlight w:val="none"/>
          <w:lang w:val="en-US" w:eastAsia="zh-CN"/>
        </w:rPr>
        <w:t xml:space="preserve">内</w:t>
      </w:r>
      <w:r>
        <w:rPr>
          <w:rFonts w:hint="eastAsia" w:ascii="宋体" w:hAnsi="宋体"/>
          <w:bCs/>
          <w:color w:val="auto"/>
          <w:sz w:val="24"/>
          <w:highlight w:val="none"/>
        </w:rPr>
        <w:t xml:space="preserve">所</w:t>
      </w:r>
      <w:r>
        <w:rPr>
          <w:rFonts w:hint="eastAsia" w:ascii="宋体" w:hAnsi="宋体"/>
          <w:bCs/>
          <w:color w:val="auto"/>
          <w:sz w:val="24"/>
          <w:highlight w:val="none"/>
          <w:lang w:val="en-US" w:eastAsia="zh-CN"/>
        </w:rPr>
        <w:t xml:space="preserve">列</w:t>
      </w:r>
      <w:r>
        <w:rPr>
          <w:rFonts w:hint="eastAsia" w:ascii="宋体" w:hAnsi="宋体"/>
          <w:bCs/>
          <w:color w:val="auto"/>
          <w:sz w:val="24"/>
          <w:highlight w:val="none"/>
        </w:rPr>
        <w:t xml:space="preserve">检验项目</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配备满足本采购项目</w:t>
      </w:r>
      <w:r>
        <w:rPr>
          <w:rFonts w:hint="eastAsia" w:ascii="宋体" w:hAnsi="宋体"/>
          <w:bCs/>
          <w:color w:val="auto"/>
          <w:sz w:val="24"/>
          <w:highlight w:val="none"/>
        </w:rPr>
        <w:t xml:space="preserve">检验</w:t>
      </w:r>
      <w:r>
        <w:rPr>
          <w:rFonts w:hint="eastAsia" w:ascii="宋体" w:hAnsi="宋体"/>
          <w:bCs/>
          <w:color w:val="auto"/>
          <w:sz w:val="24"/>
          <w:highlight w:val="none"/>
          <w:lang w:val="en-US" w:eastAsia="zh-CN"/>
        </w:rPr>
        <w:t xml:space="preserve">需求的专业</w:t>
      </w:r>
      <w:r>
        <w:rPr>
          <w:rFonts w:hint="eastAsia" w:ascii="宋体" w:hAnsi="宋体"/>
          <w:bCs/>
          <w:color w:val="auto"/>
          <w:sz w:val="24"/>
          <w:highlight w:val="none"/>
        </w:rPr>
        <w:t xml:space="preserve">仪器设备（如生化仪、化学发光仪、酶标仪等）</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提供实验室</w:t>
      </w:r>
      <w:r>
        <w:rPr>
          <w:rFonts w:hint="eastAsia" w:ascii="宋体" w:hAnsi="宋体"/>
          <w:b/>
          <w:bCs/>
          <w:color w:val="auto"/>
          <w:sz w:val="24"/>
          <w:highlight w:val="none"/>
          <w:lang w:eastAsia="zh-CN"/>
        </w:rPr>
        <w:t xml:space="preserve">备案证明及</w:t>
      </w:r>
      <w:r>
        <w:rPr>
          <w:rFonts w:hint="eastAsia" w:ascii="宋体" w:hAnsi="宋体"/>
          <w:b/>
          <w:bCs/>
          <w:color w:val="auto"/>
          <w:sz w:val="24"/>
          <w:highlight w:val="none"/>
          <w:lang w:val="en-US" w:eastAsia="zh-CN"/>
        </w:rPr>
        <w:t xml:space="preserve">临床基因扩增</w:t>
      </w:r>
      <w:r>
        <w:rPr>
          <w:rFonts w:hint="eastAsia" w:ascii="宋体" w:hAnsi="宋体"/>
          <w:b/>
          <w:bCs/>
          <w:color w:val="auto"/>
          <w:sz w:val="24"/>
          <w:highlight w:val="none"/>
          <w:lang w:val="en-US" w:eastAsia="zh-CN"/>
        </w:rPr>
        <w:t xml:space="preserve">检验</w:t>
      </w:r>
      <w:r>
        <w:rPr>
          <w:rFonts w:hint="eastAsia" w:ascii="宋体" w:hAnsi="宋体"/>
          <w:b/>
          <w:bCs/>
          <w:color w:val="auto"/>
          <w:sz w:val="24"/>
          <w:highlight w:val="none"/>
          <w:lang w:eastAsia="zh-CN"/>
        </w:rPr>
        <w:t xml:space="preserve">实验室技术验收合格证书</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未按要求提供的</w:t>
      </w:r>
      <w:r>
        <w:rPr>
          <w:rFonts w:hint="eastAsia" w:ascii="宋体" w:hAnsi="宋体"/>
          <w:b/>
          <w:bCs/>
          <w:color w:val="auto"/>
          <w:sz w:val="24"/>
          <w:highlight w:val="none"/>
        </w:rPr>
        <w:t xml:space="preserve">视为非实质性响应</w:t>
      </w:r>
      <w:r>
        <w:rPr>
          <w:rFonts w:hint="eastAsia" w:ascii="宋体" w:hAnsi="宋体"/>
          <w:b/>
          <w:bCs/>
          <w:color w:val="auto"/>
          <w:sz w:val="24"/>
          <w:highlight w:val="none"/>
          <w:lang w:val="en-US" w:eastAsia="zh-CN"/>
        </w:rPr>
        <w:t xml:space="preserve">采购需求</w:t>
      </w: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实验室管理</w:t>
      </w:r>
      <w:r>
        <w:rPr>
          <w:rFonts w:hint="eastAsia" w:ascii="宋体" w:hAnsi="宋体"/>
          <w:bCs/>
          <w:color w:val="auto"/>
          <w:sz w:val="24"/>
          <w:highlight w:val="none"/>
          <w:lang w:val="en-US" w:eastAsia="zh-CN"/>
        </w:rPr>
        <w:t xml:space="preserve">体系</w:t>
      </w:r>
      <w:r>
        <w:rPr>
          <w:rFonts w:hint="eastAsia" w:ascii="宋体" w:hAnsi="宋体"/>
          <w:bCs/>
          <w:color w:val="auto"/>
          <w:sz w:val="24"/>
          <w:highlight w:val="none"/>
        </w:rPr>
        <w:t xml:space="preserve">规范</w:t>
      </w:r>
      <w:r>
        <w:rPr>
          <w:rFonts w:hint="eastAsia" w:ascii="宋体" w:hAnsi="宋体"/>
          <w:bCs/>
          <w:color w:val="auto"/>
          <w:sz w:val="24"/>
          <w:highlight w:val="none"/>
          <w:lang w:val="en-US" w:eastAsia="zh-CN"/>
        </w:rPr>
        <w:t xml:space="preserve">健全，严格</w:t>
      </w:r>
      <w:r>
        <w:rPr>
          <w:rFonts w:hint="eastAsia" w:ascii="宋体" w:hAnsi="宋体"/>
          <w:bCs/>
          <w:color w:val="auto"/>
          <w:sz w:val="24"/>
          <w:highlight w:val="none"/>
        </w:rPr>
        <w:t xml:space="preserve">遵守</w:t>
      </w:r>
      <w:r>
        <w:rPr>
          <w:rFonts w:hint="eastAsia" w:ascii="宋体" w:hAnsi="宋体"/>
          <w:bCs/>
          <w:color w:val="auto"/>
          <w:sz w:val="24"/>
          <w:highlight w:val="none"/>
          <w:lang w:val="en-US" w:eastAsia="zh-CN"/>
        </w:rPr>
        <w:t xml:space="preserve">国家及行业</w:t>
      </w:r>
      <w:r>
        <w:rPr>
          <w:rFonts w:hint="eastAsia" w:ascii="宋体" w:hAnsi="宋体"/>
          <w:bCs/>
          <w:color w:val="auto"/>
          <w:sz w:val="24"/>
          <w:highlight w:val="none"/>
        </w:rPr>
        <w:t xml:space="preserve">相关法律法规，保</w:t>
      </w:r>
      <w:r>
        <w:rPr>
          <w:rFonts w:hint="eastAsia" w:ascii="宋体" w:hAnsi="宋体"/>
          <w:bCs/>
          <w:color w:val="auto"/>
          <w:sz w:val="24"/>
          <w:highlight w:val="none"/>
          <w:lang w:val="en-US" w:eastAsia="zh-CN"/>
        </w:rPr>
        <w:t xml:space="preserve">障</w:t>
      </w:r>
      <w:r>
        <w:rPr>
          <w:rFonts w:hint="eastAsia" w:ascii="宋体" w:hAnsi="宋体"/>
          <w:bCs/>
          <w:color w:val="auto"/>
          <w:sz w:val="24"/>
          <w:highlight w:val="none"/>
        </w:rPr>
        <w:t xml:space="preserve">日常实验</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lang w:val="en-US" w:eastAsia="zh-CN"/>
        </w:rPr>
        <w:t xml:space="preserve">规范</w:t>
      </w:r>
      <w:r>
        <w:rPr>
          <w:rFonts w:hint="eastAsia" w:ascii="宋体" w:hAnsi="宋体"/>
          <w:bCs/>
          <w:color w:val="auto"/>
          <w:sz w:val="24"/>
          <w:highlight w:val="none"/>
        </w:rPr>
        <w:t xml:space="preserve">有序</w:t>
      </w:r>
      <w:r>
        <w:rPr>
          <w:rFonts w:hint="eastAsia" w:ascii="宋体" w:hAnsi="宋体"/>
          <w:bCs/>
          <w:color w:val="auto"/>
          <w:sz w:val="24"/>
          <w:highlight w:val="none"/>
          <w:lang w:val="en-US" w:eastAsia="zh-CN"/>
        </w:rPr>
        <w:t xml:space="preserve">开展</w:t>
      </w:r>
      <w:r>
        <w:rPr>
          <w:rFonts w:hint="eastAsia" w:ascii="宋体" w:hAnsi="宋体"/>
          <w:bCs/>
          <w:color w:val="auto"/>
          <w:sz w:val="24"/>
          <w:highlight w:val="none"/>
        </w:rPr>
        <w:t xml:space="preserve">，对</w:t>
      </w:r>
      <w:r>
        <w:rPr>
          <w:rFonts w:hint="eastAsia" w:ascii="宋体" w:hAnsi="宋体"/>
          <w:bCs/>
          <w:color w:val="auto"/>
          <w:sz w:val="24"/>
          <w:highlight w:val="none"/>
          <w:lang w:val="en-US" w:eastAsia="zh-CN"/>
        </w:rPr>
        <w:t xml:space="preserve">所有</w:t>
      </w:r>
      <w:r>
        <w:rPr>
          <w:rFonts w:hint="eastAsia" w:ascii="宋体" w:hAnsi="宋体"/>
          <w:bCs/>
          <w:color w:val="auto"/>
          <w:sz w:val="24"/>
          <w:highlight w:val="none"/>
        </w:rPr>
        <w:t xml:space="preserve">检测结果的准确性</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真实性承担全部责任</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实验室须对检测结果提供专业解读与技术说明；并与采购单位建立常态化沟通机制，就服务开展、质量管控及业务咨询等事项定期对接交流</w:t>
      </w:r>
      <w:r>
        <w:rPr>
          <w:rFonts w:hint="eastAsia" w:ascii="宋体" w:hAnsi="宋体"/>
          <w:bCs/>
          <w:color w:val="auto"/>
          <w:sz w:val="24"/>
          <w:highlight w:val="none"/>
        </w:rPr>
        <w:t xml:space="preserve">。</w:t>
      </w:r>
      <w:r/>
    </w:p>
    <w:p>
      <w:pPr>
        <w:spacing w:line="360" w:lineRule="auto"/>
        <w:widowControl/>
        <w:rPr>
          <w:rFonts w:hint="eastAsia" w:ascii="宋体" w:hAnsi="宋体" w:eastAsia="宋体" w:cs="宋体"/>
          <w:color w:val="auto"/>
          <w:sz w:val="24"/>
          <w:highlight w:val="none"/>
        </w:rPr>
        <w:outlineLvl w:val="0"/>
      </w:pPr>
      <w:r>
        <w:rPr>
          <w:rFonts w:hint="eastAsia" w:ascii="宋体" w:hAnsi="宋体"/>
          <w:bCs/>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样本</w:t>
      </w:r>
      <w:r>
        <w:rPr>
          <w:rFonts w:hint="eastAsia" w:ascii="宋体" w:hAnsi="宋体" w:cs="宋体"/>
          <w:color w:val="auto"/>
          <w:sz w:val="24"/>
          <w:highlight w:val="none"/>
          <w:lang w:val="en-US" w:eastAsia="zh-CN"/>
        </w:rPr>
        <w:t xml:space="preserve">检测要求</w:t>
      </w:r>
      <w:r>
        <w:rPr>
          <w:rFonts w:hint="eastAsia" w:ascii="宋体" w:hAnsi="宋体" w:eastAsia="宋体" w:cs="宋体"/>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采购单位负责完成采集样本的前期处理与规范存储，完整标注样本相关检测信息，包含患者基础信息、样本类型、检测项目、采集时间等关键内容</w:t>
      </w:r>
      <w:r>
        <w:rPr>
          <w:rFonts w:hint="eastAsia" w:ascii="宋体" w:hAnsi="宋体"/>
          <w:bCs/>
          <w:color w:val="auto"/>
          <w:sz w:val="24"/>
          <w:highlight w:val="none"/>
        </w:rPr>
        <w:t xml:space="preserve">。</w:t>
      </w:r>
      <w:r/>
    </w:p>
    <w:p>
      <w:pPr>
        <w:spacing w:line="360" w:lineRule="auto"/>
        <w:rPr>
          <w:rFonts w:hint="eastAsia" w:ascii="宋体" w:hAnsi="宋体" w:eastAsia="宋体"/>
          <w:bCs/>
          <w:color w:val="auto"/>
          <w:sz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lang w:val="en-US" w:eastAsia="zh-CN" w:bidi="ar"/>
        </w:rPr>
        <w:t xml:space="preserve">采购单位将归集后的样本统一存放于指定点位，专人负责与中标单位办理样本交接、签收手续；采购单位样本归集所需相关耗材，由中标单位无偿提供</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中标单位须配置专属对接服务人员，实行</w:t>
      </w:r>
      <w:r>
        <w:rPr>
          <w:rStyle w:val="811"/>
          <w:rFonts w:ascii="宋体" w:hAnsi="宋体" w:eastAsia="宋体" w:cs="宋体"/>
          <w:b/>
          <w:bCs/>
          <w:color w:val="auto"/>
          <w:sz w:val="24"/>
          <w:szCs w:val="24"/>
          <w:highlight w:val="none"/>
          <w:lang w:val="en-US" w:eastAsia="zh-CN" w:bidi="ar"/>
        </w:rPr>
        <w:t xml:space="preserve">全年周一至周日定时上门收样</w:t>
      </w:r>
      <w:r>
        <w:rPr>
          <w:rFonts w:ascii="宋体" w:hAnsi="宋体" w:eastAsia="宋体" w:cs="宋体"/>
          <w:color w:val="auto"/>
          <w:sz w:val="24"/>
          <w:szCs w:val="24"/>
          <w:highlight w:val="none"/>
          <w:lang w:val="en-US" w:eastAsia="zh-CN" w:bidi="ar"/>
        </w:rPr>
        <w:t xml:space="preserve">，确保当日样本当日完成收取转运</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样本储存须严格按照国家及行业现行标准执行，规范做好样本留存与保管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采购单位对检测结果存在异议，且在样本法定保存有效期内提出复核申请的，中标单位须无条件免费提供复检服务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ascii="宋体" w:hAnsi="宋体" w:eastAsia="宋体" w:cs="宋体"/>
          <w:color w:val="auto"/>
          <w:sz w:val="24"/>
          <w:szCs w:val="24"/>
          <w:highlight w:val="none"/>
          <w:lang w:val="en-US" w:eastAsia="zh-CN" w:bidi="ar"/>
        </w:rPr>
        <w:t xml:space="preserve">自样本采集至临床报告出具，报告时效严格满足本章节（二）检测内容附表中 “报告周期” 约定；突发紧急标本检测服务，须按采购单位实际临床需求即时响应处置</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7、对采购单位</w:t>
      </w:r>
      <w:r>
        <w:rPr>
          <w:rFonts w:ascii="宋体" w:hAnsi="宋体" w:eastAsia="宋体" w:cs="宋体"/>
          <w:color w:val="auto"/>
          <w:sz w:val="24"/>
          <w:szCs w:val="24"/>
          <w:highlight w:val="none"/>
          <w:lang w:val="en-US" w:eastAsia="zh-CN" w:bidi="ar"/>
        </w:rPr>
        <w:t xml:space="preserve">原始检验申请单留存保存期限</w:t>
      </w:r>
      <w:r>
        <w:rPr>
          <w:rStyle w:val="811"/>
          <w:rFonts w:ascii="宋体" w:hAnsi="宋体" w:eastAsia="宋体" w:cs="宋体"/>
          <w:b/>
          <w:bCs/>
          <w:color w:val="auto"/>
          <w:sz w:val="24"/>
          <w:szCs w:val="24"/>
          <w:highlight w:val="none"/>
          <w:lang w:val="en-US" w:eastAsia="zh-CN" w:bidi="ar"/>
        </w:rPr>
        <w:t xml:space="preserve">不少于1年</w:t>
      </w:r>
      <w:r>
        <w:rPr>
          <w:rFonts w:ascii="宋体" w:hAnsi="宋体" w:eastAsia="宋体" w:cs="宋体"/>
          <w:color w:val="auto"/>
          <w:sz w:val="24"/>
          <w:szCs w:val="24"/>
          <w:highlight w:val="none"/>
          <w:lang w:val="en-US" w:eastAsia="zh-CN" w:bidi="ar"/>
        </w:rPr>
        <w:t xml:space="preserve">，检验检测结果数据档案保存期限</w:t>
      </w:r>
      <w:r>
        <w:rPr>
          <w:rStyle w:val="811"/>
          <w:rFonts w:ascii="宋体" w:hAnsi="宋体" w:eastAsia="宋体" w:cs="宋体"/>
          <w:b/>
          <w:bCs/>
          <w:color w:val="auto"/>
          <w:sz w:val="24"/>
          <w:szCs w:val="24"/>
          <w:highlight w:val="none"/>
          <w:lang w:val="en-US" w:eastAsia="zh-CN" w:bidi="ar"/>
        </w:rPr>
        <w:t xml:space="preserve">不少于5年</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（五）样本及报告管理要求：</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样本自交接、转运、检测、储存至销毁全流程，须严格符合生物样本安全管理规范，实现全流程可管控、可追溯</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按采购单位统一规范编制检验报告，同步提供 Word 版及 PDF 版电子文件；文件命名规则、版式格式须适配采购单位系统接口及院内管理规范</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（六）样本运输要求：</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所有样本转运须使用符合国家生物安全及冷链标准的专用转运车辆与冷链保温箱，冷链车辆及冷链设备配置数量须充分满足日常及峰值标本转运需求</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须配备全程温度实时监控系统及终端设备，实现转运全流程温度监测、异常报警、数据自动记录，支持全过程溯源管理；可按需出具全程温度记录纸质档案，供采购单位存档备查。若服务期内</w:t>
      </w:r>
      <w:r>
        <w:rPr>
          <w:rStyle w:val="811"/>
          <w:rFonts w:ascii="宋体" w:hAnsi="宋体" w:eastAsia="宋体" w:cs="宋体"/>
          <w:b/>
          <w:bCs/>
          <w:color w:val="auto"/>
          <w:sz w:val="24"/>
          <w:szCs w:val="24"/>
          <w:highlight w:val="none"/>
          <w:lang w:val="en-US" w:eastAsia="zh-CN" w:bidi="ar"/>
        </w:rPr>
        <w:t xml:space="preserve">年度累计3次及以上无法完成转运温度溯源</w:t>
      </w:r>
      <w:r>
        <w:rPr>
          <w:rFonts w:ascii="宋体" w:hAnsi="宋体" w:eastAsia="宋体" w:cs="宋体"/>
          <w:color w:val="auto"/>
          <w:sz w:val="24"/>
          <w:szCs w:val="24"/>
          <w:highlight w:val="none"/>
          <w:lang w:val="en-US" w:eastAsia="zh-CN" w:bidi="ar"/>
        </w:rPr>
        <w:t xml:space="preserve">，采购单位有权单方面终止合同，并依法追偿相应损</w:t>
      </w:r>
      <w:r>
        <w:rPr>
          <w:rFonts w:hint="eastAsia" w:ascii="宋体" w:hAnsi="宋体" w:cs="宋体"/>
          <w:color w:val="auto"/>
          <w:sz w:val="24"/>
          <w:szCs w:val="24"/>
          <w:highlight w:val="none"/>
          <w:lang w:val="en-US" w:eastAsia="zh-CN" w:bidi="ar"/>
        </w:rPr>
        <w:t xml:space="preserve">失</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中标单位承担样本全程冷链转运全部</w:t>
      </w:r>
      <w:r>
        <w:rPr>
          <w:rFonts w:hint="eastAsia" w:ascii="宋体" w:hAnsi="宋体" w:eastAsia="宋体" w:cs="宋体"/>
          <w:color w:val="auto"/>
          <w:sz w:val="24"/>
          <w:szCs w:val="24"/>
          <w:highlight w:val="none"/>
          <w:lang w:val="en-US" w:eastAsia="zh-CN" w:bidi="ar"/>
        </w:rPr>
        <w:t xml:space="preserve">服务</w:t>
      </w:r>
      <w:r>
        <w:rPr>
          <w:rFonts w:ascii="宋体" w:hAnsi="宋体" w:eastAsia="宋体" w:cs="宋体"/>
          <w:color w:val="auto"/>
          <w:sz w:val="24"/>
          <w:szCs w:val="24"/>
          <w:highlight w:val="none"/>
          <w:lang w:val="en-US" w:eastAsia="zh-CN" w:bidi="ar"/>
        </w:rPr>
        <w:t xml:space="preserve">及主体责任</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样本交接与转运全过程须严格遵守生物安全管理规定，落实安全防控措施</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转运车辆须配置标本运输专业配套设备，具备突发生物安全事件现场应急处置能力</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（七）样本储存：</w:t>
      </w:r>
      <w:r>
        <w:rPr>
          <w:rFonts w:ascii="宋体" w:hAnsi="宋体" w:eastAsia="宋体" w:cs="宋体"/>
          <w:color w:val="auto"/>
          <w:sz w:val="24"/>
          <w:szCs w:val="24"/>
          <w:highlight w:val="none"/>
          <w:lang w:val="en-US" w:eastAsia="zh-CN" w:bidi="ar"/>
        </w:rPr>
        <w:t xml:space="preserve">中标单位须自有合规生物样本库，具备常态化生物样本储存服务能力，可满足临床多类型样本长期储存需求。定期对库存样本开展质量抽检；当临床需调取样本用于复检或科研用途时，中标单位须配合提供样本转运及调取服务</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（八）应急处理：</w:t>
      </w:r>
      <w:r>
        <w:rPr>
          <w:rFonts w:ascii="宋体" w:hAnsi="宋体" w:eastAsia="宋体" w:cs="宋体"/>
          <w:color w:val="auto"/>
          <w:sz w:val="24"/>
          <w:szCs w:val="24"/>
          <w:highlight w:val="none"/>
          <w:lang w:val="en-US" w:eastAsia="zh-CN" w:bidi="ar"/>
        </w:rPr>
        <w:t xml:space="preserve">制定危急重症患者标本加急检测处置流程，涵盖应急通知、快速收样、优先检测、结果</w:t>
      </w:r>
      <w:r>
        <w:rPr>
          <w:rFonts w:hint="eastAsia" w:ascii="宋体" w:hAnsi="宋体" w:cs="宋体"/>
          <w:color w:val="auto"/>
          <w:sz w:val="24"/>
          <w:szCs w:val="24"/>
          <w:highlight w:val="none"/>
          <w:lang w:val="en-US" w:eastAsia="zh-CN" w:bidi="ar"/>
        </w:rPr>
        <w:t xml:space="preserve">及</w:t>
      </w:r>
      <w:r>
        <w:rPr>
          <w:rFonts w:ascii="宋体" w:hAnsi="宋体" w:eastAsia="宋体" w:cs="宋体"/>
          <w:color w:val="auto"/>
          <w:sz w:val="24"/>
          <w:szCs w:val="24"/>
          <w:highlight w:val="none"/>
          <w:lang w:val="en-US" w:eastAsia="zh-CN" w:bidi="ar"/>
        </w:rPr>
        <w:t xml:space="preserve">时反馈等全环节。针对标本容器破损、转运车辆故障、检测仪器故障等各类突发情形，须具备完善的应急响应及处置预案，</w:t>
      </w:r>
      <w:r>
        <w:rPr>
          <w:rStyle w:val="811"/>
          <w:rFonts w:ascii="宋体" w:hAnsi="宋体" w:eastAsia="宋体" w:cs="宋体"/>
          <w:b/>
          <w:bCs/>
          <w:color w:val="auto"/>
          <w:sz w:val="24"/>
          <w:szCs w:val="24"/>
          <w:highlight w:val="none"/>
          <w:lang w:val="en-US" w:eastAsia="zh-CN" w:bidi="ar"/>
        </w:rPr>
        <w:t xml:space="preserve">应急响应时限不超过2小时</w:t>
      </w:r>
      <w:r>
        <w:rPr>
          <w:rStyle w:val="811"/>
          <w:rFonts w:hint="eastAsia" w:ascii="宋体" w:hAnsi="宋体" w:eastAsia="宋体" w:cs="宋体"/>
          <w:b/>
          <w:bCs/>
          <w:color w:val="auto"/>
          <w:sz w:val="24"/>
          <w:szCs w:val="24"/>
          <w:highlight w:val="none"/>
          <w:lang w:val="en-US" w:eastAsia="zh-CN" w:bidi="ar"/>
        </w:rPr>
        <w:t xml:space="preserve">。</w:t>
      </w:r>
      <w:r/>
    </w:p>
    <w:p>
      <w:pPr>
        <w:numPr>
          <w:ilvl w:val="0"/>
          <w:numId w:val="0"/>
        </w:num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（九）人员配备要求：</w:t>
      </w:r>
      <w:r/>
    </w:p>
    <w:p>
      <w:pPr>
        <w:numPr>
          <w:ilvl w:val="0"/>
          <w:numId w:val="0"/>
        </w:num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根据</w:t>
      </w:r>
      <w:r>
        <w:rPr>
          <w:rFonts w:hint="eastAsia" w:ascii="宋体" w:hAnsi="宋体"/>
          <w:bCs/>
          <w:color w:val="auto"/>
          <w:sz w:val="24"/>
          <w:highlight w:val="none"/>
          <w:lang w:val="en-US" w:eastAsia="zh-CN"/>
        </w:rPr>
        <w:t xml:space="preserve">本</w:t>
      </w:r>
      <w:r>
        <w:rPr>
          <w:rFonts w:hint="eastAsia" w:ascii="宋体" w:hAnsi="宋体"/>
          <w:bCs/>
          <w:color w:val="auto"/>
          <w:sz w:val="24"/>
          <w:highlight w:val="none"/>
        </w:rPr>
        <w:t xml:space="preserve">项目实际</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需</w:t>
      </w:r>
      <w:r>
        <w:rPr>
          <w:rFonts w:hint="eastAsia" w:ascii="宋体" w:hAnsi="宋体"/>
          <w:bCs/>
          <w:color w:val="auto"/>
          <w:sz w:val="24"/>
          <w:highlight w:val="none"/>
          <w:lang w:val="en-US" w:eastAsia="zh-CN"/>
        </w:rPr>
        <w:t xml:space="preserve">求，</w:t>
      </w:r>
      <w:r>
        <w:rPr>
          <w:rFonts w:ascii="宋体" w:hAnsi="宋体" w:eastAsia="宋体" w:cs="宋体"/>
          <w:color w:val="auto"/>
          <w:sz w:val="24"/>
          <w:szCs w:val="24"/>
          <w:highlight w:val="none"/>
          <w:lang w:val="en-US" w:eastAsia="zh-CN" w:bidi="ar"/>
        </w:rPr>
        <w:t xml:space="preserve">组建具备医学检验专业资质的专属服务团队，配置</w:t>
      </w:r>
      <w:r>
        <w:rPr>
          <w:rStyle w:val="811"/>
          <w:rFonts w:ascii="宋体" w:hAnsi="宋体" w:eastAsia="宋体" w:cs="宋体"/>
          <w:b/>
          <w:bCs/>
          <w:color w:val="auto"/>
          <w:sz w:val="24"/>
          <w:szCs w:val="24"/>
          <w:highlight w:val="none"/>
          <w:lang w:val="en-US" w:eastAsia="zh-CN" w:bidi="ar"/>
        </w:rPr>
        <w:t xml:space="preserve">项目负责人1名</w:t>
      </w:r>
      <w:r>
        <w:rPr>
          <w:rFonts w:ascii="宋体" w:hAnsi="宋体" w:eastAsia="宋体" w:cs="宋体"/>
          <w:color w:val="auto"/>
          <w:sz w:val="24"/>
          <w:szCs w:val="24"/>
          <w:highlight w:val="none"/>
          <w:lang w:val="en-US" w:eastAsia="zh-CN" w:bidi="ar"/>
        </w:rPr>
        <w:t xml:space="preserve">及足额专职检测技术人员，保障项目常态化规范运行</w:t>
      </w:r>
      <w:r>
        <w:rPr>
          <w:rFonts w:hint="eastAsia" w:ascii="宋体" w:hAnsi="宋体"/>
          <w:bCs/>
          <w:color w:val="auto"/>
          <w:sz w:val="24"/>
          <w:highlight w:val="none"/>
          <w:lang w:eastAsia="zh-CN"/>
        </w:rPr>
        <w:t xml:space="preserve">。</w:t>
      </w:r>
      <w:r/>
    </w:p>
    <w:p>
      <w:pPr>
        <w:spacing w:line="360" w:lineRule="auto"/>
        <w:widowControl/>
        <w:rPr>
          <w:rFonts w:hint="eastAsia" w:ascii="宋体" w:hAnsi="宋体" w:eastAsia="宋体" w:cs="Times New Roman"/>
          <w:bCs/>
          <w:color w:val="auto"/>
          <w:sz w:val="24"/>
          <w:highlight w:val="none"/>
          <w:lang w:val="en-US" w:eastAsia="zh-CN"/>
        </w:rPr>
        <w:outlineLvl w:val="0"/>
      </w:pP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十</w:t>
      </w:r>
      <w:r>
        <w:rPr>
          <w:rFonts w:hint="eastAsia" w:ascii="宋体" w:hAnsi="宋体" w:eastAsia="宋体" w:cs="Times New Roman"/>
          <w:bCs/>
          <w:color w:val="auto"/>
          <w:sz w:val="24"/>
          <w:highlight w:val="none"/>
          <w:lang w:val="en-US" w:eastAsia="zh-CN"/>
        </w:rPr>
        <w:t xml:space="preserve">）信息</w:t>
      </w:r>
      <w:r>
        <w:rPr>
          <w:rFonts w:hint="eastAsia" w:ascii="宋体" w:hAnsi="宋体" w:cs="Times New Roman"/>
          <w:bCs/>
          <w:color w:val="auto"/>
          <w:sz w:val="24"/>
          <w:highlight w:val="none"/>
          <w:lang w:val="en-US" w:eastAsia="zh-CN"/>
        </w:rPr>
        <w:t xml:space="preserve">化服务</w:t>
      </w:r>
      <w:r>
        <w:rPr>
          <w:rFonts w:hint="eastAsia" w:ascii="宋体" w:hAnsi="宋体" w:eastAsia="宋体" w:cs="Times New Roman"/>
          <w:bCs/>
          <w:color w:val="auto"/>
          <w:sz w:val="24"/>
          <w:highlight w:val="none"/>
          <w:lang w:val="en-US" w:eastAsia="zh-CN"/>
        </w:rPr>
        <w:t xml:space="preserve">要求：</w:t>
      </w:r>
      <w:r/>
    </w:p>
    <w:p>
      <w:pPr>
        <w:spacing w:line="360" w:lineRule="auto"/>
        <w:widowControl/>
        <w:rPr>
          <w:rFonts w:ascii="宋体" w:hAnsi="宋体"/>
          <w:bCs/>
          <w:color w:val="auto"/>
          <w:sz w:val="24"/>
          <w:highlight w:val="none"/>
        </w:rPr>
        <w:outlineLvl w:val="0"/>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bidi="ar"/>
        </w:rPr>
        <w:t xml:space="preserve">中标单位须在中标后</w:t>
      </w:r>
      <w:r>
        <w:rPr>
          <w:rStyle w:val="811"/>
          <w:rFonts w:ascii="宋体" w:hAnsi="宋体" w:eastAsia="宋体" w:cs="宋体"/>
          <w:b/>
          <w:bCs/>
          <w:color w:val="auto"/>
          <w:sz w:val="24"/>
          <w:szCs w:val="24"/>
          <w:highlight w:val="none"/>
          <w:lang w:val="en-US" w:eastAsia="zh-CN" w:bidi="ar"/>
        </w:rPr>
        <w:t xml:space="preserve">1个月内</w:t>
      </w:r>
      <w:r>
        <w:rPr>
          <w:rFonts w:ascii="宋体" w:hAnsi="宋体" w:eastAsia="宋体" w:cs="宋体"/>
          <w:color w:val="auto"/>
          <w:sz w:val="24"/>
          <w:szCs w:val="24"/>
          <w:highlight w:val="none"/>
          <w:lang w:val="en-US" w:eastAsia="zh-CN" w:bidi="ar"/>
        </w:rPr>
        <w:t xml:space="preserve">完成自有信息系统与本院信息系统全面对接，实现检测报告自动推送至医生病历系统可供在线查阅；同步对接院内检验报告自助打印系统，支持报告自助查询及打印，</w:t>
      </w:r>
      <w:r>
        <w:rPr>
          <w:rStyle w:val="811"/>
          <w:rFonts w:ascii="宋体" w:hAnsi="宋体" w:eastAsia="宋体" w:cs="宋体"/>
          <w:b/>
          <w:bCs/>
          <w:color w:val="auto"/>
          <w:sz w:val="24"/>
          <w:szCs w:val="24"/>
          <w:highlight w:val="none"/>
          <w:lang w:val="en-US" w:eastAsia="zh-CN" w:bidi="ar"/>
        </w:rPr>
        <w:t xml:space="preserve">所有系统对接接口费用由中标单位全额承担</w:t>
      </w:r>
      <w:r>
        <w:rPr>
          <w:rFonts w:hint="eastAsia" w:ascii="宋体" w:hAnsi="宋体" w:cs="宋体"/>
          <w:color w:val="auto"/>
          <w:sz w:val="24"/>
          <w:szCs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2、数据安全和保密要求：</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2.1</w:t>
      </w:r>
      <w:r>
        <w:rPr>
          <w:rFonts w:ascii="宋体" w:hAnsi="宋体" w:eastAsia="宋体" w:cs="宋体"/>
          <w:color w:val="auto"/>
          <w:sz w:val="24"/>
          <w:szCs w:val="24"/>
          <w:highlight w:val="none"/>
          <w:lang w:val="en-US" w:eastAsia="zh-CN" w:bidi="ar"/>
        </w:rPr>
        <w:t xml:space="preserve">须对采购人送检标本、检测数据及患者隐私信息建立</w:t>
      </w:r>
      <w:r>
        <w:rPr>
          <w:rFonts w:hint="eastAsia" w:ascii="宋体" w:hAnsi="宋体" w:cs="宋体"/>
          <w:color w:val="auto"/>
          <w:sz w:val="24"/>
          <w:szCs w:val="24"/>
          <w:highlight w:val="none"/>
          <w:lang w:val="en-US" w:eastAsia="zh-CN" w:bidi="ar"/>
        </w:rPr>
        <w:t xml:space="preserve">完善</w:t>
      </w:r>
      <w:r>
        <w:rPr>
          <w:rFonts w:ascii="宋体" w:hAnsi="宋体" w:eastAsia="宋体" w:cs="宋体"/>
          <w:color w:val="auto"/>
          <w:sz w:val="24"/>
          <w:szCs w:val="24"/>
          <w:highlight w:val="none"/>
          <w:lang w:val="en-US" w:eastAsia="zh-CN" w:bidi="ar"/>
        </w:rPr>
        <w:t xml:space="preserve">保护机制，严格遵守国家及行业相关保密规定；未经采购人书面许可，不得擅自使用、泄露任何相关数据信息，标本留存、保管及销毁均须符合国家规范及合同约定</w:t>
      </w:r>
      <w:r>
        <w:rPr>
          <w:rFonts w:hint="eastAsia" w:ascii="宋体" w:hAnsi="宋体" w:cs="宋体"/>
          <w:b w:val="0"/>
          <w:bCs w:val="0"/>
          <w:color w:val="auto"/>
          <w:sz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2.2</w:t>
      </w:r>
      <w:r>
        <w:rPr>
          <w:rFonts w:ascii="宋体" w:hAnsi="宋体" w:eastAsia="宋体" w:cs="宋体"/>
          <w:color w:val="auto"/>
          <w:sz w:val="24"/>
          <w:szCs w:val="24"/>
          <w:highlight w:val="none"/>
          <w:lang w:val="en-US" w:eastAsia="zh-CN" w:bidi="ar"/>
        </w:rPr>
        <w:t xml:space="preserve">建立健全数据安全防护体系，防范数据被非法访问、篡改、泄露、丢失及损毁；双方对数据存储、传输、处理、销毁全流程实行严格管控，确保数据全程安全可控</w:t>
      </w:r>
      <w:r>
        <w:rPr>
          <w:rFonts w:hint="eastAsia" w:ascii="宋体" w:hAnsi="宋体" w:cs="宋体"/>
          <w:bCs/>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2.3</w:t>
      </w:r>
      <w:r>
        <w:rPr>
          <w:rFonts w:ascii="宋体" w:hAnsi="宋体" w:eastAsia="宋体" w:cs="宋体"/>
          <w:color w:val="auto"/>
          <w:sz w:val="24"/>
          <w:szCs w:val="24"/>
          <w:highlight w:val="none"/>
          <w:lang w:val="en-US" w:eastAsia="zh-CN" w:bidi="ar"/>
        </w:rPr>
        <w:t xml:space="preserve">须采取有效管控措施，约束本单位员工、代理机构、关联企业及相关合作第三方严格遵守本项目保密义务</w:t>
      </w:r>
      <w:r>
        <w:rPr>
          <w:rFonts w:hint="eastAsia" w:ascii="宋体" w:hAnsi="宋体"/>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2.4</w:t>
      </w:r>
      <w:r>
        <w:rPr>
          <w:rFonts w:ascii="宋体" w:hAnsi="宋体" w:eastAsia="宋体" w:cs="宋体"/>
          <w:color w:val="auto"/>
          <w:sz w:val="24"/>
          <w:szCs w:val="24"/>
          <w:highlight w:val="none"/>
          <w:lang w:val="en-US" w:eastAsia="zh-CN" w:bidi="ar"/>
        </w:rPr>
        <w:t xml:space="preserve">服务期内所获悉的双方业务资料、数据信息均</w:t>
      </w:r>
      <w:r>
        <w:rPr>
          <w:rFonts w:hint="eastAsia" w:ascii="宋体" w:hAnsi="宋体" w:cs="宋体"/>
          <w:color w:val="auto"/>
          <w:sz w:val="24"/>
          <w:szCs w:val="24"/>
          <w:highlight w:val="none"/>
          <w:lang w:val="en-US" w:eastAsia="zh-CN" w:bidi="ar"/>
        </w:rPr>
        <w:t xml:space="preserve">属于</w:t>
      </w:r>
      <w:r>
        <w:rPr>
          <w:rFonts w:ascii="宋体" w:hAnsi="宋体" w:eastAsia="宋体" w:cs="宋体"/>
          <w:color w:val="auto"/>
          <w:sz w:val="24"/>
          <w:szCs w:val="24"/>
          <w:highlight w:val="none"/>
          <w:lang w:val="en-US" w:eastAsia="zh-CN" w:bidi="ar"/>
        </w:rPr>
        <w:t xml:space="preserve">保密范畴，除另有书面约定外，未经对方书面同意，不得向任何第三方披露、传播或擅自使用；任何一方违反保密及数据安全约定造成损失的，须承担相应法律及赔偿责任</w:t>
      </w:r>
      <w:r>
        <w:rPr>
          <w:rFonts w:hint="eastAsia" w:ascii="宋体" w:hAnsi="宋体"/>
          <w:color w:val="auto"/>
          <w:sz w:val="24"/>
          <w:highlight w:val="none"/>
          <w:lang w:val="en-US" w:eastAsia="zh-CN"/>
        </w:rPr>
        <w:t xml:space="preserve">。</w:t>
      </w:r>
      <w:r/>
    </w:p>
    <w:p>
      <w:pPr>
        <w:spacing w:line="36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（十一）学科建设及科研支持方案：</w:t>
      </w:r>
      <w:r>
        <w:rPr>
          <w:rFonts w:ascii="宋体" w:hAnsi="宋体" w:eastAsia="宋体" w:cs="宋体"/>
          <w:color w:val="auto"/>
          <w:sz w:val="24"/>
          <w:szCs w:val="24"/>
          <w:highlight w:val="none"/>
          <w:lang w:val="en-US" w:eastAsia="zh-CN" w:bidi="ar"/>
        </w:rPr>
        <w:t xml:space="preserve">定期与临床科室开展疑难病例沟通研讨，协助明确诊疗方向</w:t>
      </w:r>
      <w:r>
        <w:rPr>
          <w:rFonts w:hint="eastAsia" w:ascii="宋体" w:hAnsi="宋体" w:cs="宋体"/>
          <w:color w:val="auto"/>
          <w:sz w:val="24"/>
          <w:szCs w:val="24"/>
          <w:highlight w:val="none"/>
          <w:lang w:val="en-US" w:eastAsia="zh-CN" w:bidi="ar"/>
        </w:rPr>
        <w:t xml:space="preserve">；在</w:t>
      </w:r>
      <w:r>
        <w:rPr>
          <w:rFonts w:ascii="宋体" w:hAnsi="宋体" w:eastAsia="宋体" w:cs="宋体"/>
          <w:color w:val="auto"/>
          <w:sz w:val="24"/>
          <w:szCs w:val="24"/>
          <w:highlight w:val="none"/>
          <w:lang w:val="en-US" w:eastAsia="zh-CN" w:bidi="ar"/>
        </w:rPr>
        <w:t xml:space="preserve">检验工作中发现新技术、新研究成果须及时同步临床，协助临床开展医学科研探索及科研项目申报工作；同步协助院内开展检验专业人才培养与人才储备建设</w:t>
      </w:r>
      <w:r>
        <w:rPr>
          <w:rFonts w:hint="eastAsia" w:ascii="宋体" w:hAnsi="宋体" w:cs="宋体"/>
          <w:color w:val="auto"/>
          <w:sz w:val="24"/>
          <w:szCs w:val="24"/>
          <w:highlight w:val="none"/>
          <w:shd w:val="clear" w:color="auto" w:fill="auto"/>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88"/>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pStyle w:val="972"/>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中小微企业</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4"/>
          <w:szCs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auto"/>
          <w:sz w:val="24"/>
          <w:szCs w:val="20"/>
          <w:highlight w:val="none"/>
          <w:u w:val="single"/>
        </w:rPr>
        <w:t xml:space="preserve">其他未列明行业</w:t>
      </w:r>
      <w:r>
        <w:rPr>
          <w:rFonts w:hint="eastAsia" w:ascii="宋体" w:hAnsi="宋体"/>
          <w:bCs/>
          <w:color w:val="auto"/>
          <w:sz w:val="24"/>
          <w:szCs w:val="20"/>
          <w:highlight w:val="none"/>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检验科对外委托外送检测服务</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lang w:val="zh-CN"/>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w:t>
      </w:r>
      <w:r>
        <w:rPr>
          <w:rFonts w:hint="eastAsia" w:ascii="宋体" w:hAnsi="宋体"/>
          <w:bCs/>
          <w:color w:val="auto"/>
          <w:sz w:val="24"/>
          <w:szCs w:val="20"/>
          <w:highlight w:val="none"/>
          <w:lang w:val="zh-CN"/>
        </w:rPr>
        <w:t xml:space="preserve">合同签订后</w:t>
      </w:r>
      <w:r>
        <w:rPr>
          <w:rFonts w:hint="eastAsia" w:ascii="宋体" w:hAnsi="宋体"/>
          <w:bCs/>
          <w:color w:val="auto"/>
          <w:sz w:val="24"/>
          <w:szCs w:val="20"/>
          <w:highlight w:val="none"/>
          <w:lang w:val="en-US" w:eastAsia="zh-CN"/>
        </w:rPr>
        <w:t xml:space="preserve">一</w:t>
      </w:r>
      <w:r>
        <w:rPr>
          <w:rFonts w:hint="eastAsia" w:ascii="宋体" w:hAnsi="宋体"/>
          <w:bCs/>
          <w:color w:val="auto"/>
          <w:sz w:val="24"/>
          <w:szCs w:val="20"/>
          <w:highlight w:val="none"/>
          <w:lang w:val="zh-CN"/>
        </w:rPr>
        <w:t xml:space="preserve">年（</w:t>
      </w:r>
      <w:r>
        <w:rPr>
          <w:rFonts w:hint="eastAsia" w:ascii="宋体" w:hAnsi="宋体"/>
          <w:bCs/>
          <w:color w:val="auto"/>
          <w:sz w:val="24"/>
          <w:szCs w:val="20"/>
          <w:highlight w:val="none"/>
          <w:lang w:val="en-US" w:eastAsia="zh-CN"/>
        </w:rPr>
        <w:t xml:space="preserve">2026年  月  日至2027年  月  日</w:t>
      </w:r>
      <w:r>
        <w:rPr>
          <w:rFonts w:hint="eastAsia" w:ascii="宋体" w:hAnsi="宋体"/>
          <w:bCs/>
          <w:color w:val="auto"/>
          <w:sz w:val="24"/>
          <w:szCs w:val="20"/>
          <w:highlight w:val="none"/>
          <w:lang w:val="zh-CN"/>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甲、乙双方经友好协商，乙方向甲方提供以下检测服务：</w:t>
      </w:r>
      <w:r/>
    </w:p>
    <w:tbl>
      <w:tblPr>
        <w:tblStyle w:val="787"/>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1.检测周期是自乙方接收到合格样本至出具检测报告的时间。</w:t>
      </w:r>
      <w:r/>
    </w:p>
    <w:p>
      <w:pPr>
        <w:spacing w:line="360" w:lineRule="auto"/>
        <w:rPr>
          <w:rFonts w:hint="eastAsia" w:ascii="宋体" w:hAnsi="宋体" w:eastAsia="宋体" w:cs="Times New Roman"/>
          <w:bCs/>
          <w:color w:val="auto"/>
          <w:sz w:val="24"/>
          <w:highlight w:val="none"/>
          <w:lang w:val="zh-CN" w:eastAsia="zh-CN"/>
        </w:rPr>
      </w:pPr>
      <w:r>
        <w:rPr>
          <w:rFonts w:hint="eastAsia" w:ascii="宋体" w:hAnsi="宋体"/>
          <w:bCs/>
          <w:color w:val="auto"/>
          <w:sz w:val="24"/>
          <w:highlight w:val="none"/>
          <w:lang w:val="zh-CN"/>
        </w:rPr>
        <w:t xml:space="preserve">2.</w:t>
      </w:r>
      <w:r>
        <w:rPr>
          <w:rFonts w:hint="eastAsia" w:ascii="宋体" w:hAnsi="宋体" w:eastAsia="宋体" w:cs="Times New Roman"/>
          <w:bCs/>
          <w:color w:val="auto"/>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auto"/>
          <w:sz w:val="24"/>
          <w:highlight w:val="none"/>
          <w:lang w:val="zh-CN" w:eastAsia="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普检项目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lang w:val="en-US" w:eastAsia="zh-CN"/>
        </w:rPr>
        <w:t xml:space="preserve">特检项目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lang w:val="zh-CN"/>
        </w:rPr>
        <w:t xml:space="preserve">2.付款步骤：</w:t>
      </w:r>
      <w:r>
        <w:rPr>
          <w:rFonts w:ascii="宋体" w:hAnsi="宋体" w:eastAsia="宋体" w:cs="宋体"/>
          <w:color w:val="auto"/>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auto"/>
          <w:sz w:val="24"/>
          <w:szCs w:val="24"/>
          <w:highlight w:val="none"/>
          <w:shd w:val="clear" w:color="auto" w:fill="auto"/>
          <w:lang w:eastAsia="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7甲方对乙方有监管权利，对乙方实验室以及提供的检测服务内容、质量进行定期或不定期质控监督。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lang w:val="zh-CN"/>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8"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8"/>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lang w:val="zh-CN"/>
        </w:rPr>
        <w:t xml:space="preserve">、合同的生效：本合同（采购编号：</w:t>
      </w:r>
      <w:r>
        <w:rPr>
          <w:rFonts w:hint="eastAsia" w:ascii="宋体" w:hAnsi="宋体"/>
          <w:bCs/>
          <w:color w:val="auto"/>
          <w:sz w:val="24"/>
          <w:highlight w:val="none"/>
          <w:lang w:val="zh-CN"/>
        </w:rPr>
        <w:t xml:space="preserve">JSZC-320500-SZSD-G2026-0020</w:t>
      </w:r>
      <w:r>
        <w:rPr>
          <w:rFonts w:hint="eastAsia" w:ascii="宋体" w:hAnsi="宋体"/>
          <w:bCs/>
          <w:color w:val="auto"/>
          <w:sz w:val="24"/>
          <w:highlight w:val="none"/>
          <w:lang w:val="zh-CN"/>
        </w:rPr>
        <w:t xml:space="preserve">）经甲乙双方签字并加盖公章（或合同章）后即生效，生效后网上备案。</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2.未尽事宜：本合同未尽事宜应按照《中华人民共和国民法典》《中华人民共和国政府采购法》以及其他相关法律、法规之规定解释。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服务类项目中供应商若使用退休人员，将不享受中小企业扶持政策</w:t>
      </w:r>
      <w:r>
        <w:rPr>
          <w:rFonts w:hint="eastAsia" w:ascii="宋体" w:hAnsi="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本</w:t>
      </w:r>
      <w:r>
        <w:rPr>
          <w:rFonts w:hint="eastAsia" w:ascii="宋体" w:hAnsi="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rPr>
        <w:t xml:space="preserve">对应的中小企业划分标准所属行业为：</w:t>
      </w:r>
      <w:r>
        <w:rPr>
          <w:rFonts w:hint="eastAsia" w:ascii="宋体" w:hAnsi="宋体"/>
          <w:b/>
          <w:bCs w:val="0"/>
          <w:color w:val="auto"/>
          <w:sz w:val="24"/>
          <w:szCs w:val="24"/>
          <w:highlight w:val="none"/>
          <w:u w:val="single"/>
        </w:rPr>
        <w:t xml:space="preserve">其他未列明行业</w:t>
      </w:r>
      <w:r>
        <w:rPr>
          <w:rFonts w:hint="eastAsia" w:ascii="宋体" w:hAnsi="宋体" w:cs="宋体"/>
          <w:b/>
          <w:bCs w:val="0"/>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rPr>
        <w:t xml:space="preserve">分）</w:t>
      </w:r>
      <w:r/>
    </w:p>
    <w:p>
      <w:pPr>
        <w:pStyle w:val="979"/>
        <w:ind w:left="0" w:firstLine="0"/>
        <w:spacing w:line="360" w:lineRule="auto"/>
        <w:rPr>
          <w:rFonts w:hint="eastAsia"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；投标单位在收费标准基础上报出统一优惠率（</w:t>
      </w:r>
      <w:r>
        <w:rPr>
          <w:rStyle w:val="986"/>
          <w:rFonts w:hint="eastAsia" w:ascii="宋体" w:hAnsi="宋体" w:eastAsia="宋体" w:cs="宋体"/>
          <w:b w:val="0"/>
          <w:bCs w:val="0"/>
          <w:i w:val="0"/>
          <w:iCs/>
          <w:color w:val="auto"/>
          <w:sz w:val="24"/>
          <w:szCs w:val="24"/>
          <w:highlight w:val="none"/>
        </w:rPr>
        <w:t xml:space="preserve">不存在平均</w:t>
      </w:r>
      <w:r>
        <w:rPr>
          <w:rStyle w:val="986"/>
          <w:rFonts w:hint="eastAsia" w:ascii="宋体" w:hAnsi="宋体" w:eastAsia="宋体" w:cs="宋体"/>
          <w:b w:val="0"/>
          <w:bCs w:val="0"/>
          <w:i w:val="0"/>
          <w:iCs/>
          <w:color w:val="auto"/>
          <w:sz w:val="24"/>
          <w:szCs w:val="24"/>
          <w:highlight w:val="none"/>
          <w:lang w:eastAsia="zh-CN"/>
        </w:rPr>
        <w:t xml:space="preserve">优惠率</w:t>
      </w:r>
      <w:r>
        <w:rPr>
          <w:rStyle w:val="986"/>
          <w:rFonts w:hint="eastAsia" w:hAnsi="宋体" w:eastAsia="宋体" w:cs="宋体"/>
          <w:b w:val="0"/>
          <w:bCs w:val="0"/>
          <w:i w:val="0"/>
          <w:iCs/>
          <w:color w:val="auto"/>
          <w:sz w:val="24"/>
          <w:szCs w:val="24"/>
          <w:highlight w:val="none"/>
          <w:lang w:eastAsia="zh-CN"/>
        </w:rPr>
        <w:t xml:space="preserve">）。</w:t>
      </w:r>
      <w:r/>
    </w:p>
    <w:p>
      <w:pPr>
        <w:pStyle w:val="979"/>
        <w:ind w:left="0"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7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79"/>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lang w:val="en-US" w:eastAsia="zh-CN"/>
        </w:rPr>
        <w:t xml:space="preserve">普检项目</w:t>
      </w:r>
      <w:r>
        <w:rPr>
          <w:rFonts w:hint="eastAsia" w:ascii="宋体" w:hAnsi="宋体" w:eastAsia="宋体" w:cs="宋体"/>
          <w:b/>
          <w:bCs/>
          <w:color w:val="auto"/>
          <w:sz w:val="24"/>
          <w:szCs w:val="24"/>
          <w:highlight w:val="none"/>
          <w:lang w:val="en-US" w:eastAsia="zh-CN"/>
        </w:rPr>
        <w:t xml:space="preserve"> ：优惠率处于</w:t>
      </w:r>
      <w:r>
        <w:rPr>
          <w:rFonts w:hint="eastAsia" w:ascii="宋体" w:hAnsi="宋体" w:eastAsia="宋体" w:cs="宋体"/>
          <w:b/>
          <w:bCs/>
          <w:color w:val="auto"/>
          <w:sz w:val="24"/>
          <w:szCs w:val="24"/>
          <w:highlight w:val="none"/>
          <w:lang w:val="en-US" w:eastAsia="zh-CN"/>
        </w:rPr>
        <w:t xml:space="preserve">【80%（含）-100%（含）】</w:t>
      </w:r>
      <w:r>
        <w:rPr>
          <w:rFonts w:hint="eastAsia" w:ascii="宋体" w:hAnsi="宋体" w:eastAsia="宋体" w:cs="宋体"/>
          <w:b/>
          <w:bCs/>
          <w:color w:val="auto"/>
          <w:sz w:val="24"/>
          <w:szCs w:val="24"/>
          <w:highlight w:val="none"/>
          <w:lang w:val="en-US" w:eastAsia="zh-CN"/>
        </w:rPr>
        <w:t xml:space="preserve">的，为有效投标报价，超出此范围的报价为无效响应报价。</w:t>
      </w:r>
      <w:r/>
    </w:p>
    <w:p>
      <w:pPr>
        <w:pStyle w:val="979"/>
        <w:numPr>
          <w:ilvl w:val="0"/>
          <w:numId w:val="1"/>
        </w:numPr>
        <w:ind w:left="0" w:firstLine="482"/>
        <w:spacing w:line="360" w:lineRule="auto"/>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特检项目</w:t>
      </w:r>
      <w:r>
        <w:rPr>
          <w:rFonts w:hint="eastAsia" w:ascii="宋体" w:hAnsi="宋体" w:eastAsia="宋体" w:cs="宋体"/>
          <w:b/>
          <w:bCs/>
          <w:color w:val="auto"/>
          <w:sz w:val="24"/>
          <w:szCs w:val="24"/>
          <w:highlight w:val="none"/>
          <w:lang w:val="en-US" w:eastAsia="zh-CN"/>
        </w:rPr>
        <w:t xml:space="preserve">：优惠率处于</w:t>
      </w:r>
      <w:r>
        <w:rPr>
          <w:rFonts w:hint="eastAsia" w:ascii="宋体" w:hAnsi="宋体" w:eastAsia="宋体" w:cs="宋体"/>
          <w:b/>
          <w:bCs/>
          <w:color w:val="auto"/>
          <w:sz w:val="24"/>
          <w:szCs w:val="24"/>
          <w:highlight w:val="none"/>
          <w:lang w:val="en-US" w:eastAsia="zh-CN"/>
        </w:rPr>
        <w:t xml:space="preserve">【</w:t>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0%（含）-100%（含）】</w:t>
      </w:r>
      <w:r>
        <w:rPr>
          <w:rFonts w:hint="eastAsia" w:ascii="宋体" w:hAnsi="宋体" w:eastAsia="宋体" w:cs="宋体"/>
          <w:b/>
          <w:bCs/>
          <w:color w:val="auto"/>
          <w:sz w:val="24"/>
          <w:szCs w:val="24"/>
          <w:highlight w:val="none"/>
          <w:lang w:val="en-US" w:eastAsia="zh-CN"/>
        </w:rPr>
        <w:t xml:space="preserve">的，为有效投标报价，超出此范围的报价为无效响应报价。</w:t>
      </w:r>
      <w:r/>
    </w:p>
    <w:p>
      <w:pPr>
        <w:pStyle w:val="979"/>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（3）填报的投标优惠率为【普检项目优惠率+特殊优惠率的合计】</w:t>
      </w:r>
      <w:r>
        <w:rPr>
          <w:rFonts w:hint="eastAsia" w:ascii="宋体" w:hAnsi="宋体" w:eastAsia="宋体" w:cs="宋体"/>
          <w:b/>
          <w:bCs/>
          <w:color w:val="auto"/>
          <w:sz w:val="24"/>
          <w:szCs w:val="24"/>
          <w:highlight w:val="none"/>
          <w:lang w:val="en-US" w:eastAsia="zh-CN"/>
        </w:rPr>
        <w:t xml:space="preserve">，</w:t>
      </w:r>
      <w:r>
        <w:rPr>
          <w:rFonts w:hint="eastAsia" w:hAnsi="宋体" w:eastAsia="宋体" w:cs="宋体"/>
          <w:b/>
          <w:bCs/>
          <w:color w:val="auto"/>
          <w:sz w:val="24"/>
          <w:szCs w:val="24"/>
          <w:highlight w:val="none"/>
          <w:lang w:val="en-US" w:eastAsia="zh-CN"/>
        </w:rPr>
        <w:t xml:space="preserve">如：普检项目优惠率80%、特检项目优惠率70%，则投标优惠率填报150（即80+70）。</w:t>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hAnsi="宋体" w:eastAsia="宋体" w:cs="宋体"/>
          <w:b w:val="0"/>
          <w:bCs w:val="0"/>
          <w:color w:val="auto"/>
          <w:sz w:val="24"/>
          <w:szCs w:val="24"/>
          <w:highlight w:val="none"/>
          <w:lang w:val="en-US" w:eastAsia="zh-CN"/>
        </w:rPr>
        <w:t xml:space="preserve">最终</w:t>
      </w:r>
      <w:r>
        <w:rPr>
          <w:rFonts w:hint="eastAsia" w:ascii="宋体" w:hAnsi="宋体" w:eastAsia="宋体" w:cs="宋体"/>
          <w:b w:val="0"/>
          <w:bCs w:val="0"/>
          <w:color w:val="auto"/>
          <w:sz w:val="24"/>
          <w:szCs w:val="24"/>
          <w:highlight w:val="none"/>
          <w:lang w:val="en-US" w:eastAsia="zh-CN"/>
        </w:rPr>
        <w:t xml:space="preserve">结算金额=实际检测数量*项目收费</w:t>
      </w:r>
      <w:r>
        <w:rPr>
          <w:rFonts w:hint="eastAsia" w:hAnsi="宋体" w:eastAsia="宋体" w:cs="宋体"/>
          <w:b w:val="0"/>
          <w:bCs w:val="0"/>
          <w:color w:val="auto"/>
          <w:sz w:val="24"/>
          <w:szCs w:val="24"/>
          <w:highlight w:val="none"/>
          <w:lang w:val="en-US" w:eastAsia="zh-CN"/>
        </w:rPr>
        <w:t xml:space="preserve">标准</w:t>
      </w:r>
      <w:r>
        <w:rPr>
          <w:rFonts w:hint="eastAsia" w:ascii="宋体" w:hAnsi="宋体" w:eastAsia="宋体" w:cs="宋体"/>
          <w:b w:val="0"/>
          <w:bCs w:val="0"/>
          <w:color w:val="auto"/>
          <w:sz w:val="24"/>
          <w:szCs w:val="24"/>
          <w:highlight w:val="none"/>
          <w:lang w:val="en-US" w:eastAsia="zh-CN"/>
        </w:rPr>
        <w:t xml:space="preserve">价格*（1-优惠率）】</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lang w:val="en-US"/>
        </w:rPr>
        <w:t xml:space="preserve">（</w:t>
      </w:r>
      <w:r>
        <w:rPr>
          <w:rFonts w:hint="eastAsia" w:ascii="宋体" w:hAnsi="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lang w:val="en-US"/>
        </w:rPr>
        <w:t xml:space="preserve">分</w:t>
      </w:r>
      <w:r>
        <w:rPr>
          <w:rFonts w:hint="eastAsia" w:ascii="宋体" w:hAnsi="宋体" w:eastAsia="宋体" w:cs="宋体"/>
          <w:b/>
          <w:bCs/>
          <w:color w:val="auto"/>
          <w:sz w:val="24"/>
          <w:szCs w:val="24"/>
          <w:highlight w:val="none"/>
          <w:lang w:val="en-US"/>
        </w:rPr>
        <w:t xml:space="preserve">）</w:t>
      </w:r>
      <w:r/>
    </w:p>
    <w:p>
      <w:pP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1、项目总体实施方案：10分</w:t>
      </w:r>
      <w:r/>
    </w:p>
    <w:p>
      <w:pPr>
        <w:ind w:firstLine="480"/>
        <w:spacing w:line="360" w:lineRule="auto"/>
        <w:rPr>
          <w:rFonts w:hint="eastAsia" w:ascii="宋体" w:hAnsi="宋体" w:cs="宋体"/>
          <w:color w:val="auto"/>
          <w:sz w:val="24"/>
          <w:highlight w:val="none"/>
          <w:lang w:eastAsia="zh-CN"/>
        </w:rPr>
      </w:pPr>
      <w:r>
        <w:rPr>
          <w:rFonts w:ascii="宋体" w:hAnsi="宋体" w:eastAsia="宋体" w:cs="宋体"/>
          <w:color w:val="auto"/>
          <w:sz w:val="24"/>
          <w:szCs w:val="24"/>
          <w:highlight w:val="none"/>
          <w:lang w:val="en-US" w:eastAsia="zh-CN" w:bidi="ar"/>
        </w:rPr>
        <w:t xml:space="preserve">投标人须提供完整的项目总体实施方案，内容须涵盖</w:t>
      </w:r>
      <w:r>
        <w:rPr>
          <w:rFonts w:hint="eastAsia" w:ascii="宋体" w:hAnsi="宋体" w:cs="宋体"/>
          <w:color w:val="auto"/>
          <w:sz w:val="24"/>
          <w:highlight w:val="none"/>
          <w:lang w:val="en-US" w:eastAsia="zh-CN"/>
        </w:rPr>
        <w:t xml:space="preserve">：①标本处理方案；②各检验</w:t>
      </w:r>
      <w:r>
        <w:rPr>
          <w:rFonts w:hint="eastAsia" w:ascii="宋体" w:hAnsi="宋体" w:cs="宋体"/>
          <w:color w:val="auto"/>
          <w:sz w:val="24"/>
          <w:highlight w:val="none"/>
          <w:lang w:val="en-US" w:eastAsia="zh-CN"/>
        </w:rPr>
        <w:t xml:space="preserve">环节操作流程</w:t>
      </w:r>
      <w:r>
        <w:rPr>
          <w:rFonts w:hint="eastAsia" w:ascii="宋体" w:hAnsi="宋体" w:cs="宋体"/>
          <w:color w:val="auto"/>
          <w:sz w:val="24"/>
          <w:highlight w:val="none"/>
          <w:lang w:val="en-US" w:eastAsia="zh-CN"/>
        </w:rPr>
        <w:t xml:space="preserve">；③所用试剂及仪器设备配置；④</w:t>
      </w:r>
      <w:r>
        <w:rPr>
          <w:rFonts w:ascii="宋体" w:hAnsi="宋体" w:eastAsia="宋体" w:cs="宋体"/>
          <w:color w:val="auto"/>
          <w:sz w:val="24"/>
          <w:szCs w:val="24"/>
          <w:highlight w:val="none"/>
          <w:lang w:val="en-US" w:eastAsia="zh-CN" w:bidi="ar"/>
        </w:rPr>
        <w:t xml:space="preserve">各检验岗位人员资质与专业能力要求</w:t>
      </w:r>
      <w:r>
        <w:rPr>
          <w:rFonts w:hint="eastAsia" w:ascii="宋体" w:hAnsi="宋体" w:cs="宋体"/>
          <w:color w:val="auto"/>
          <w:sz w:val="24"/>
          <w:highlight w:val="none"/>
          <w:lang w:val="en-US" w:eastAsia="zh-CN"/>
        </w:rPr>
        <w:t xml:space="preserve">；⑤</w:t>
      </w:r>
      <w:r>
        <w:rPr>
          <w:rFonts w:ascii="宋体" w:hAnsi="宋体" w:eastAsia="宋体" w:cs="宋体"/>
          <w:color w:val="auto"/>
          <w:sz w:val="24"/>
          <w:szCs w:val="24"/>
          <w:highlight w:val="none"/>
          <w:lang w:val="en-US" w:eastAsia="zh-CN" w:bidi="ar"/>
        </w:rPr>
        <w:t xml:space="preserve">检测报告出具、审核的人员岗位配置</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b w:val="0"/>
          <w:bCs w:val="0"/>
          <w:color w:val="auto"/>
          <w:sz w:val="24"/>
          <w:szCs w:val="24"/>
          <w:highlight w:val="none"/>
          <w:lang w:val="en-US" w:eastAsia="zh-CN" w:bidi="ar"/>
        </w:rPr>
        <w:t xml:space="preserve">各项方案</w:t>
      </w:r>
      <w:r>
        <w:rPr>
          <w:rStyle w:val="811"/>
          <w:rFonts w:hint="eastAsia" w:ascii="宋体" w:hAnsi="宋体" w:eastAsia="宋体" w:cs="宋体"/>
          <w:b w:val="0"/>
          <w:bCs w:val="0"/>
          <w:color w:val="auto"/>
          <w:sz w:val="24"/>
          <w:szCs w:val="24"/>
          <w:highlight w:val="none"/>
          <w:lang w:val="en-US" w:eastAsia="zh-CN" w:bidi="ar"/>
        </w:rPr>
        <w:t xml:space="preserve">科学规范、贴合项目实际、可行性高、实操性强</w:t>
      </w:r>
      <w:r>
        <w:rPr>
          <w:rFonts w:hint="eastAsia" w:ascii="宋体" w:hAnsi="宋体" w:eastAsia="宋体" w:cs="宋体"/>
          <w:b w:val="0"/>
          <w:bCs w:val="0"/>
          <w:color w:val="auto"/>
          <w:sz w:val="24"/>
          <w:szCs w:val="24"/>
          <w:highlight w:val="none"/>
          <w:lang w:val="en-US" w:eastAsia="zh-CN" w:bidi="ar"/>
        </w:rPr>
        <w:t xml:space="preserve">的，每项得2分；各项方案</w:t>
      </w:r>
      <w:r>
        <w:rPr>
          <w:rStyle w:val="811"/>
          <w:rFonts w:hint="eastAsia" w:ascii="宋体" w:hAnsi="宋体" w:eastAsia="宋体" w:cs="宋体"/>
          <w:b w:val="0"/>
          <w:bCs w:val="0"/>
          <w:color w:val="auto"/>
          <w:sz w:val="24"/>
          <w:szCs w:val="24"/>
          <w:highlight w:val="none"/>
          <w:lang w:val="en-US" w:eastAsia="zh-CN" w:bidi="ar"/>
        </w:rPr>
        <w:t xml:space="preserve">基本合规合理、具备一定可行性与可操作性、基本契合项目实际</w:t>
      </w:r>
      <w:r>
        <w:rPr>
          <w:rFonts w:hint="eastAsia" w:ascii="宋体" w:hAnsi="宋体" w:eastAsia="宋体" w:cs="宋体"/>
          <w:b w:val="0"/>
          <w:bCs w:val="0"/>
          <w:color w:val="auto"/>
          <w:sz w:val="24"/>
          <w:szCs w:val="24"/>
          <w:highlight w:val="none"/>
          <w:lang w:val="en-US" w:eastAsia="zh-CN" w:bidi="ar"/>
        </w:rPr>
        <w:t xml:space="preserve">的，每项得1分；各项内容</w:t>
      </w:r>
      <w:r>
        <w:rPr>
          <w:rStyle w:val="811"/>
          <w:rFonts w:hint="eastAsia" w:ascii="宋体" w:hAnsi="宋体" w:eastAsia="宋体" w:cs="宋体"/>
          <w:b w:val="0"/>
          <w:bCs w:val="0"/>
          <w:color w:val="auto"/>
          <w:sz w:val="24"/>
          <w:szCs w:val="24"/>
          <w:highlight w:val="none"/>
          <w:lang w:val="en-US" w:eastAsia="zh-CN" w:bidi="ar"/>
        </w:rPr>
        <w:t xml:space="preserve">严重偏离采购需求、表述残缺不全或未完整阐述</w:t>
      </w:r>
      <w:r>
        <w:rPr>
          <w:rFonts w:hint="eastAsia" w:ascii="宋体" w:hAnsi="宋体" w:eastAsia="宋体" w:cs="宋体"/>
          <w:b w:val="0"/>
          <w:bCs w:val="0"/>
          <w:color w:val="auto"/>
          <w:sz w:val="24"/>
          <w:szCs w:val="24"/>
          <w:highlight w:val="none"/>
          <w:lang w:val="en-US" w:eastAsia="zh-CN" w:bidi="ar"/>
        </w:rPr>
        <w:t xml:space="preserve">的，不得分</w:t>
      </w:r>
      <w:r>
        <w:rPr>
          <w:rFonts w:hint="eastAsia" w:ascii="宋体" w:hAnsi="宋体" w:eastAsia="宋体" w:cs="宋体"/>
          <w:b w:val="0"/>
          <w:bCs w:val="0"/>
          <w:color w:val="auto"/>
          <w:sz w:val="24"/>
          <w:highlight w:val="none"/>
          <w:lang w:val="en-US" w:eastAsia="zh-CN"/>
        </w:rPr>
        <w:t xml:space="preserve">。</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2、质量保障方案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rPr>
          <w:rFonts w:hint="eastAsia" w:ascii="宋体" w:hAnsi="宋体" w:cs="宋体"/>
          <w:b w:val="0"/>
          <w:bCs w:val="0"/>
          <w:color w:val="auto"/>
          <w:sz w:val="24"/>
          <w:szCs w:val="24"/>
          <w:highlight w:val="none"/>
        </w:rPr>
      </w:pPr>
      <w:r>
        <w:rPr>
          <w:rFonts w:ascii="宋体" w:hAnsi="宋体" w:eastAsia="宋体" w:cs="宋体"/>
          <w:color w:val="auto"/>
          <w:sz w:val="24"/>
          <w:szCs w:val="24"/>
          <w:highlight w:val="none"/>
          <w:lang w:val="en-US" w:eastAsia="zh-CN" w:bidi="ar"/>
        </w:rPr>
        <w:t xml:space="preserve">投标人须提供完善的质量保障方案，内容须包含</w:t>
      </w:r>
      <w:r>
        <w:rPr>
          <w:rFonts w:hint="eastAsia" w:ascii="宋体" w:hAnsi="宋体" w:cs="宋体"/>
          <w:b w:val="0"/>
          <w:bCs w:val="0"/>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①检测全过程质量控制措施；②报告审核与分析质量管控措施；③检验过</w:t>
      </w:r>
      <w:r>
        <w:rPr>
          <w:rFonts w:hint="eastAsia" w:ascii="宋体" w:hAnsi="宋体" w:cs="宋体"/>
          <w:color w:val="auto"/>
          <w:sz w:val="24"/>
          <w:szCs w:val="24"/>
          <w:highlight w:val="none"/>
          <w:lang w:val="en-US" w:eastAsia="zh-CN" w:bidi="ar"/>
        </w:rPr>
        <w:t xml:space="preserve">程中</w:t>
      </w:r>
      <w:r>
        <w:rPr>
          <w:rFonts w:ascii="宋体" w:hAnsi="宋体" w:eastAsia="宋体" w:cs="宋体"/>
          <w:color w:val="auto"/>
          <w:sz w:val="24"/>
          <w:szCs w:val="24"/>
          <w:highlight w:val="none"/>
          <w:lang w:val="en-US" w:eastAsia="zh-CN" w:bidi="ar"/>
        </w:rPr>
        <w:t xml:space="preserve">人为操作失误、仪器设备故障等异常情况处置流程；④采购人对检测结果提出异议的受理及响应处置措施；⑤患者隐私及信息安全保障管理措施</w:t>
      </w:r>
      <w:r>
        <w:rPr>
          <w:rFonts w:hint="eastAsia" w:ascii="宋体" w:hAnsi="宋体" w:cs="宋体"/>
          <w:b w:val="0"/>
          <w:bCs w:val="0"/>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上述每项应逐条叙述，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p>
    <w:p>
      <w:pPr>
        <w:numPr>
          <w:ilvl w:val="0"/>
          <w:numId w:val="0"/>
        </w:numPr>
        <w:spacing w:line="360" w:lineRule="auto"/>
        <w:tabs>
          <w:tab w:val="left" w:pos="567"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3、样本的验收及分析后样本处理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tabs>
          <w:tab w:val="left" w:pos="567"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整的样本验收规范及检测完成后样本处理专项方案，须逐条涵盖以下五项内容：①明确本项目标本技术要求，包含标本类型、标本采集方法、采集及转运注意事项、标本采集管规格类型、所需标本用量等；②明确标本拒收判定标准及拒收情形；③规范标本接收流程、标本登记留存记录、双方标本交接管理流程；④制定甲乙双方就标本类型、标本用量产生分歧争议时的协调处置方案；⑤制定检测剩余标本留存保存管理方案、废弃标本无害化销毁方案，须明确规范销毁作业流程，并建立完整销毁台账及留存记录</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4、样本运输方案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运输方案，须逐条包含以下内容：①本项目拟投入的运输车辆及专业物流箱配置方案；②</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运输各环节温度管控、超限报警及全程溯源管理方案；③运输岗位人员配置及岗位职责安排方案；④</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转运交接流程及运输安全管理制度；⑤运输专业配套设备配置方案，以及运输途中各类突发事件应急处置预案</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5、样本储存方案</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样品储存专项方案，包含以下内容：①自有生物样本库建设及配套设施配置情况；②不同类型样本分类储存管理方案；③各类样本规范储存时限及留存周期说明；④在存标本定期质量检查与管控方案；⑤临床需调取标本复检或用于科研用途时，专项标本转运及调配运输保障方案</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567"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6、应急处理</w:t>
      </w:r>
      <w:r>
        <w:rPr>
          <w:rFonts w:hint="eastAsia" w:ascii="宋体" w:hAnsi="宋体" w:cs="宋体"/>
          <w:b/>
          <w:bCs/>
          <w:color w:val="auto"/>
          <w:sz w:val="24"/>
          <w:highlight w:val="none"/>
          <w:lang w:val="en-US" w:eastAsia="zh-CN"/>
        </w:rPr>
        <w:t xml:space="preserve">方案</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4分</w:t>
      </w:r>
      <w:r/>
    </w:p>
    <w:p>
      <w:pPr>
        <w:numPr>
          <w:ilvl w:val="0"/>
          <w:numId w:val="0"/>
        </w:num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投标人须提供完善的应急处理专项方案，须逐条包含以下内容：①危急重症患者检测标本的加急处置流程及专项方案，明确涵盖加急通知传达、标本优先收取、快速检验实施、检测结果及时反馈等全流程内容；②针对标本管破损渗漏、检验过程中仪器设备故障等各类紧急突发情况，制定规范的应急响应流程及闭环处置方案</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 </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7、学科建设及科研支持方案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4分</w:t>
      </w:r>
      <w:r/>
    </w:p>
    <w:p>
      <w:pPr>
        <w:numPr>
          <w:ilvl w:val="0"/>
          <w:numId w:val="0"/>
        </w:numPr>
        <w:ind w:firstLine="480"/>
        <w:spacing w:line="360" w:lineRule="auto"/>
        <w:rPr>
          <w:rFonts w:hint="eastAsia" w:ascii="宋体" w:hAnsi="宋体" w:cs="宋体"/>
          <w:color w:val="auto"/>
          <w:sz w:val="24"/>
          <w:highlight w:val="none"/>
        </w:rPr>
      </w:pPr>
      <w:r>
        <w:rPr>
          <w:rFonts w:ascii="宋体" w:hAnsi="宋体" w:eastAsia="宋体" w:cs="宋体"/>
          <w:color w:val="auto"/>
          <w:sz w:val="24"/>
          <w:szCs w:val="24"/>
          <w:highlight w:val="none"/>
        </w:rPr>
        <w:t xml:space="preserve">投标人须提供完善的学科建设及科研支持专项方案，须逐条包含以下内容：①针对疑难病症患者，配合临床医师开展病例沟通、协助明确诊断方向的专项协作方案；②检验过程中发现临床相关新成果、新线索时，及时向临床科室反馈、同步推进成果转化的方案；③协助临床科室开展相关医学科研探索、支撑科研项目申报（含资料整理、技术支持等）的专项方案；④协助临床培养检验专业人才、完善人才储备体系（含带教、培训、技能提升等）的实施方案</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highlight w:val="none"/>
          <w:lang w:val="en-US" w:eastAsia="zh-CN"/>
        </w:rPr>
        <w:t xml:space="preserve">。</w:t>
      </w:r>
      <w:r/>
    </w:p>
    <w:p>
      <w:pPr>
        <w:ind w:right="50"/>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投标单位技术能力比较（13分</w:t>
      </w:r>
      <w:r>
        <w:rPr>
          <w:rFonts w:hint="eastAsia" w:ascii="宋体" w:hAnsi="宋体" w:cs="宋体"/>
          <w:b/>
          <w:bCs/>
          <w:color w:val="auto"/>
          <w:sz w:val="24"/>
          <w:szCs w:val="24"/>
          <w:highlight w:val="none"/>
          <w:lang w:val="en-US" w:eastAsia="zh-CN"/>
        </w:rPr>
        <w:t xml:space="preserve">）</w:t>
      </w:r>
      <w:r/>
    </w:p>
    <w:p>
      <w:pPr>
        <w:pStyle w:val="789"/>
        <w:ind w:firstLine="0"/>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医学实验室质量：4分</w:t>
      </w:r>
      <w:r/>
    </w:p>
    <w:p>
      <w:pPr>
        <w:pStyle w:val="789"/>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通过ISO15189实验室认可</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rPr>
        <w:t xml:space="preserve">得</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rPr>
          <w:rFonts w:hint="eastAsia" w:ascii="宋体" w:hAnsi="宋体" w:eastAsia="宋体" w:cs="宋体"/>
          <w:color w:val="auto"/>
          <w:szCs w:val="24"/>
          <w:highlight w:val="none"/>
          <w:lang w:eastAsia="zh-CN"/>
        </w:rPr>
        <w:t xml:space="preserve">投标文件</w:t>
      </w:r>
      <w:r>
        <w:rPr>
          <w:rFonts w:hint="eastAsia" w:ascii="宋体" w:hAnsi="宋体" w:eastAsia="宋体" w:cs="宋体"/>
          <w:color w:val="auto"/>
          <w:szCs w:val="24"/>
          <w:highlight w:val="none"/>
        </w:rPr>
        <w:t xml:space="preserve">中需提供</w:t>
      </w:r>
      <w:r>
        <w:rPr>
          <w:rFonts w:hint="eastAsia" w:ascii="宋体" w:hAnsi="宋体" w:eastAsia="宋体" w:cs="宋体"/>
          <w:color w:val="auto"/>
          <w:szCs w:val="24"/>
          <w:highlight w:val="none"/>
          <w:lang w:val="en-US" w:eastAsia="zh-CN"/>
        </w:rPr>
        <w:t xml:space="preserve">检验实验室认可相关</w:t>
      </w:r>
      <w:r>
        <w:rPr>
          <w:rFonts w:hint="eastAsia" w:ascii="宋体" w:hAnsi="宋体" w:eastAsia="宋体" w:cs="宋体"/>
          <w:color w:val="auto"/>
          <w:szCs w:val="24"/>
          <w:highlight w:val="none"/>
        </w:rPr>
        <w:t xml:space="preserve">证明材料，</w:t>
      </w:r>
      <w:r>
        <w:rPr>
          <w:rFonts w:hint="eastAsia" w:ascii="宋体" w:hAnsi="宋体" w:eastAsia="宋体" w:cs="宋体"/>
          <w:color w:val="auto"/>
          <w:szCs w:val="24"/>
          <w:highlight w:val="none"/>
          <w:lang w:val="en-US" w:eastAsia="zh-CN"/>
        </w:rPr>
        <w:t xml:space="preserve">未</w:t>
      </w:r>
      <w:r>
        <w:rPr>
          <w:rFonts w:hint="eastAsia" w:ascii="宋体" w:hAnsi="宋体" w:eastAsia="宋体" w:cs="宋体"/>
          <w:color w:val="auto"/>
          <w:szCs w:val="24"/>
          <w:highlight w:val="none"/>
        </w:rPr>
        <w:t xml:space="preserve">提供的不得分）</w:t>
      </w:r>
      <w:r>
        <w:rPr>
          <w:rFonts w:hint="eastAsia" w:ascii="宋体" w:hAnsi="宋体" w:eastAsia="宋体" w:cs="宋体"/>
          <w:color w:val="auto"/>
          <w:szCs w:val="24"/>
          <w:highlight w:val="none"/>
        </w:rPr>
        <w:t xml:space="preserve">。</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室间质评证书：5分</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具备2024 年度及以后国家临床检验中心室间质评合格报告或证书：</w:t>
      </w:r>
      <w:r>
        <w:rPr>
          <w:rFonts w:hint="eastAsia" w:ascii="宋体" w:hAnsi="宋体" w:eastAsia="宋体" w:cs="宋体"/>
          <w:color w:val="auto"/>
          <w:sz w:val="24"/>
          <w:highlight w:val="none"/>
          <w:lang w:val="en-US" w:eastAsia="zh-CN"/>
        </w:rPr>
        <w:t xml:space="preserve">提供与本项目相关质评报告/证书15份及以上得5分；提供与本项目相关质评报告/证书10～14份得3分；提供与本项目相关质评报告/证书10份以下得1分【投标文件中需提供相关室间质评证书复印件，未拿到证书的提供临检中心发送的检测结果报告，相关材料提供不齐全或不提供的不得分。（质评报告或证书结果须为合格，质评报告或证书同一项目按1份计算）】。</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3、报告时效：4分</w:t>
      </w:r>
      <w:r/>
    </w:p>
    <w:p>
      <w:pPr>
        <w:ind w:right="50" w:firstLine="48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标单位自采样至发放临床报告周期：在全部满足项目需求的基础上，报告周期优于项目需求的项目数占总项目数比例超过50%的得4分；报告周期优于项目需求的项目数占总项目数比例未达50%的得2分；报告周期全部满足项目需求或未提供说明的不得分【投标文件中需提供采购需求项目报告周期的对比清单（格式自拟），否则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（四）投标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分）</w:t>
      </w:r>
      <w:r/>
    </w:p>
    <w:p>
      <w:pPr>
        <w:pStyle w:val="828"/>
        <w:ind w:left="0" w:firstLine="0"/>
        <w:jc w:val="left"/>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1、服务团队</w:t>
      </w:r>
      <w:r>
        <w:rPr>
          <w:rFonts w:hint="eastAsia" w:ascii="宋体" w:hAnsi="宋体" w:cs="宋体"/>
          <w:b/>
          <w:bCs/>
          <w:color w:val="auto"/>
          <w:sz w:val="24"/>
          <w:szCs w:val="24"/>
          <w:highlight w:val="none"/>
          <w:lang w:val="en-US" w:eastAsia="zh-CN"/>
        </w:rPr>
        <w:t xml:space="preserve">成员</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检验专业高级职称的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最高得3分</w:t>
      </w:r>
      <w:r>
        <w:rPr>
          <w:rFonts w:hint="eastAsia" w:ascii="宋体" w:hAnsi="宋体" w:cs="宋体"/>
          <w:color w:val="auto"/>
          <w:sz w:val="24"/>
          <w:szCs w:val="24"/>
          <w:highlight w:val="none"/>
        </w:rPr>
        <w:t xml:space="preserve">；</w:t>
      </w:r>
      <w:bookmarkStart w:id="19" w:name="_GoBack"/>
      <w:r/>
      <w:bookmarkEnd w:id="19"/>
      <w:r/>
      <w:r/>
    </w:p>
    <w:p>
      <w:pPr>
        <w:pStyle w:val="828"/>
        <w:ind w:left="0" w:firstLine="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检验专业中级职称的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；具有检验专业初级职称的每有一人得0.5分，本项最高得6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中需提供上述人员的相关证书复印件及近</w:t>
      </w:r>
      <w:r>
        <w:rPr>
          <w:rFonts w:hint="eastAsia" w:ascii="宋体" w:hAnsi="宋体" w:cs="宋体"/>
          <w:color w:val="auto"/>
          <w:sz w:val="24"/>
          <w:szCs w:val="24"/>
          <w:highlight w:val="none"/>
          <w:lang w:val="en-US" w:eastAsia="zh-CN"/>
        </w:rPr>
        <w:t xml:space="preserve">期</w:t>
      </w:r>
      <w:r>
        <w:rPr>
          <w:rFonts w:hint="eastAsia" w:ascii="宋体" w:hAnsi="宋体" w:cs="宋体"/>
          <w:color w:val="auto"/>
          <w:sz w:val="24"/>
          <w:szCs w:val="24"/>
          <w:highlight w:val="none"/>
        </w:rPr>
        <w:t xml:space="preserve">缴纳社保复印件，材料不完整或未提供</w:t>
      </w:r>
      <w:r>
        <w:rPr>
          <w:rFonts w:hint="eastAsia" w:ascii="宋体" w:hAnsi="宋体" w:cs="宋体"/>
          <w:color w:val="auto"/>
          <w:sz w:val="24"/>
          <w:szCs w:val="24"/>
          <w:highlight w:val="none"/>
        </w:rPr>
        <w:t xml:space="preserve">的不得分。</w:t>
      </w:r>
      <w:r>
        <w:rPr>
          <w:rFonts w:hint="eastAsia" w:ascii="宋体" w:hAnsi="宋体" w:cs="宋体"/>
          <w:b/>
          <w:bCs/>
          <w:color w:val="auto"/>
          <w:sz w:val="24"/>
          <w:szCs w:val="24"/>
          <w:highlight w:val="none"/>
          <w:lang w:val="en-US" w:eastAsia="zh-CN"/>
        </w:rPr>
        <w:t xml:space="preserve">每位人员若有多个职称，只计最高职称，不重复计算得分】</w:t>
      </w:r>
      <w:r>
        <w:rPr>
          <w:rFonts w:hint="eastAsia" w:ascii="宋体" w:hAnsi="宋体" w:cs="宋体"/>
          <w:color w:val="auto"/>
          <w:sz w:val="24"/>
          <w:szCs w:val="24"/>
          <w:highlight w:val="none"/>
          <w:lang w:val="en-US" w:eastAsia="zh-CN"/>
        </w:rPr>
        <w:t xml:space="preserve">。</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类似业绩：10分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年1月1日（以合同签订时间为准）以来承担过的类似业绩，</w:t>
      </w:r>
      <w:r>
        <w:rPr>
          <w:rFonts w:hint="eastAsia" w:ascii="宋体" w:hAnsi="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业绩的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中需提供合同扫描件或复印件，提供不</w:t>
      </w:r>
      <w:r>
        <w:rPr>
          <w:rFonts w:hint="eastAsia" w:ascii="宋体" w:hAnsi="宋体" w:cs="宋体"/>
          <w:color w:val="auto"/>
          <w:sz w:val="24"/>
          <w:szCs w:val="24"/>
          <w:highlight w:val="none"/>
          <w:lang w:val="en-US" w:eastAsia="zh-CN"/>
        </w:rPr>
        <w:t xml:space="preserve">符</w:t>
      </w:r>
      <w:r>
        <w:rPr>
          <w:rFonts w:hint="eastAsia" w:ascii="宋体" w:hAnsi="宋体" w:cs="宋体"/>
          <w:color w:val="auto"/>
          <w:sz w:val="24"/>
          <w:szCs w:val="24"/>
          <w:highlight w:val="none"/>
        </w:rPr>
        <w:t xml:space="preserve">或未提供的不得分）。</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2"/>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7">
    <w:name w:val="Heading 1"/>
    <w:basedOn w:val="776"/>
    <w:next w:val="776"/>
    <w:link w:val="819"/>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20"/>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21"/>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2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23"/>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7"/>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Normal Indent"/>
    <w:basedOn w:val="776"/>
    <w:next w:val="776"/>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0">
    <w:name w:val="Caption"/>
    <w:basedOn w:val="776"/>
    <w:next w:val="7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1">
    <w:name w:val="annotation text"/>
    <w:basedOn w:val="776"/>
    <w:uiPriority w:val="0"/>
    <w:qFormat/>
    <w:pPr>
      <w:jc w:val="left"/>
    </w:pPr>
  </w:style>
  <w:style w:type="paragraph" w:styleId="792">
    <w:name w:val="Body Text"/>
    <w:basedOn w:val="776"/>
    <w:next w:val="789"/>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3">
    <w:name w:val="Body Text Indent"/>
    <w:basedOn w:val="776"/>
    <w:next w:val="776"/>
    <w:uiPriority w:val="0"/>
    <w:qFormat/>
    <w:pPr>
      <w:ind w:firstLine="560"/>
      <w:spacing w:line="560" w:lineRule="exact"/>
    </w:pPr>
    <w:rPr>
      <w:rFonts w:ascii="宋体" w:hAnsi="宋体"/>
    </w:rPr>
  </w:style>
  <w:style w:type="paragraph" w:styleId="794">
    <w:name w:val="toc 5"/>
    <w:basedOn w:val="776"/>
    <w:next w:val="776"/>
    <w:uiPriority w:val="39"/>
    <w:unhideWhenUsed/>
    <w:qFormat/>
    <w:pPr>
      <w:ind w:left="1134" w:right="0" w:firstLine="0"/>
      <w:spacing w:after="57"/>
    </w:pPr>
  </w:style>
  <w:style w:type="paragraph" w:styleId="795">
    <w:name w:val="toc 3"/>
    <w:basedOn w:val="776"/>
    <w:next w:val="776"/>
    <w:uiPriority w:val="39"/>
    <w:unhideWhenUsed/>
    <w:qFormat/>
    <w:pPr>
      <w:ind w:left="567" w:right="0" w:firstLine="0"/>
      <w:spacing w:after="57"/>
    </w:pPr>
  </w:style>
  <w:style w:type="paragraph" w:styleId="796">
    <w:name w:val="toc 8"/>
    <w:basedOn w:val="776"/>
    <w:next w:val="776"/>
    <w:uiPriority w:val="39"/>
    <w:unhideWhenUsed/>
    <w:qFormat/>
    <w:pPr>
      <w:ind w:left="1984" w:right="0" w:firstLine="0"/>
      <w:spacing w:after="57"/>
    </w:pPr>
  </w:style>
  <w:style w:type="paragraph" w:styleId="797">
    <w:name w:val="endnote text"/>
    <w:basedOn w:val="776"/>
    <w:link w:val="965"/>
    <w:uiPriority w:val="99"/>
    <w:semiHidden/>
    <w:unhideWhenUsed/>
    <w:qFormat/>
    <w:pPr>
      <w:spacing w:after="0" w:line="240" w:lineRule="auto"/>
    </w:pPr>
    <w:rPr>
      <w:sz w:val="20"/>
    </w:rPr>
  </w:style>
  <w:style w:type="paragraph" w:styleId="798">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9">
    <w:name w:val="Header"/>
    <w:basedOn w:val="776"/>
    <w:link w:val="836"/>
    <w:uiPriority w:val="99"/>
    <w:unhideWhenUsed/>
    <w:qFormat/>
    <w:pPr>
      <w:spacing w:after="0" w:line="240" w:lineRule="auto"/>
      <w:tabs>
        <w:tab w:val="center" w:pos="7143" w:leader="none"/>
        <w:tab w:val="right" w:pos="14287" w:leader="none"/>
      </w:tabs>
    </w:pPr>
  </w:style>
  <w:style w:type="paragraph" w:styleId="800">
    <w:name w:val="toc 1"/>
    <w:basedOn w:val="776"/>
    <w:next w:val="776"/>
    <w:uiPriority w:val="39"/>
    <w:unhideWhenUsed/>
    <w:qFormat/>
    <w:pPr>
      <w:ind w:left="0" w:right="0" w:firstLine="0"/>
      <w:spacing w:after="57"/>
    </w:pPr>
  </w:style>
  <w:style w:type="paragraph" w:styleId="801">
    <w:name w:val="toc 4"/>
    <w:basedOn w:val="776"/>
    <w:next w:val="776"/>
    <w:uiPriority w:val="39"/>
    <w:unhideWhenUsed/>
    <w:qFormat/>
    <w:pPr>
      <w:ind w:left="850" w:right="0" w:firstLine="0"/>
      <w:spacing w:after="57"/>
    </w:pPr>
  </w:style>
  <w:style w:type="paragraph" w:styleId="802">
    <w:name w:val="Subtitle"/>
    <w:basedOn w:val="776"/>
    <w:next w:val="776"/>
    <w:link w:val="831"/>
    <w:uiPriority w:val="11"/>
    <w:qFormat/>
    <w:pPr>
      <w:spacing w:before="200" w:after="200"/>
    </w:pPr>
    <w:rPr>
      <w:sz w:val="24"/>
      <w:szCs w:val="24"/>
    </w:rPr>
  </w:style>
  <w:style w:type="paragraph" w:styleId="803">
    <w:name w:val="footnote text"/>
    <w:basedOn w:val="776"/>
    <w:link w:val="964"/>
    <w:uiPriority w:val="99"/>
    <w:semiHidden/>
    <w:unhideWhenUsed/>
    <w:qFormat/>
    <w:pPr>
      <w:spacing w:after="40" w:line="240" w:lineRule="auto"/>
    </w:pPr>
    <w:rPr>
      <w:sz w:val="18"/>
    </w:rPr>
  </w:style>
  <w:style w:type="paragraph" w:styleId="804">
    <w:name w:val="toc 6"/>
    <w:basedOn w:val="776"/>
    <w:next w:val="776"/>
    <w:uiPriority w:val="39"/>
    <w:unhideWhenUsed/>
    <w:qFormat/>
    <w:pPr>
      <w:ind w:left="1417" w:right="0" w:firstLine="0"/>
      <w:spacing w:after="57"/>
    </w:pPr>
  </w:style>
  <w:style w:type="paragraph" w:styleId="805">
    <w:name w:val="table of figures"/>
    <w:basedOn w:val="776"/>
    <w:next w:val="776"/>
    <w:uiPriority w:val="99"/>
    <w:unhideWhenUsed/>
    <w:qFormat/>
    <w:pPr>
      <w:spacing w:after="0" w:afterAutospacing="0"/>
    </w:pPr>
  </w:style>
  <w:style w:type="paragraph" w:styleId="806">
    <w:name w:val="toc 2"/>
    <w:basedOn w:val="776"/>
    <w:next w:val="776"/>
    <w:uiPriority w:val="39"/>
    <w:unhideWhenUsed/>
    <w:qFormat/>
    <w:pPr>
      <w:ind w:left="283" w:right="0" w:firstLine="0"/>
      <w:spacing w:after="57"/>
    </w:pPr>
  </w:style>
  <w:style w:type="paragraph" w:styleId="807">
    <w:name w:val="toc 9"/>
    <w:basedOn w:val="776"/>
    <w:next w:val="776"/>
    <w:uiPriority w:val="39"/>
    <w:unhideWhenUsed/>
    <w:qFormat/>
    <w:pPr>
      <w:ind w:left="2268" w:right="0" w:firstLine="0"/>
      <w:spacing w:after="57"/>
    </w:pPr>
  </w:style>
  <w:style w:type="paragraph" w:styleId="808">
    <w:name w:val="Title"/>
    <w:basedOn w:val="776"/>
    <w:next w:val="776"/>
    <w:link w:val="830"/>
    <w:uiPriority w:val="10"/>
    <w:qFormat/>
    <w:pPr>
      <w:contextualSpacing/>
      <w:spacing w:before="300" w:after="200"/>
    </w:pPr>
    <w:rPr>
      <w:sz w:val="48"/>
      <w:szCs w:val="48"/>
    </w:rPr>
  </w:style>
  <w:style w:type="paragraph" w:styleId="809">
    <w:name w:val="Body Text First Indent 2"/>
    <w:basedOn w:val="793"/>
    <w:next w:val="776"/>
    <w:uiPriority w:val="99"/>
    <w:unhideWhenUsed/>
    <w:qFormat/>
    <w:pPr>
      <w:ind w:firstLine="420"/>
    </w:pPr>
  </w:style>
  <w:style w:type="table" w:styleId="810">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86"/>
    <w:uiPriority w:val="0"/>
    <w:qFormat/>
    <w:rPr>
      <w:b/>
    </w:rPr>
  </w:style>
  <w:style w:type="character" w:styleId="812">
    <w:name w:val="endnote reference"/>
    <w:basedOn w:val="786"/>
    <w:uiPriority w:val="99"/>
    <w:semiHidden/>
    <w:unhideWhenUsed/>
    <w:qFormat/>
    <w:rPr>
      <w:vertAlign w:val="superscript"/>
    </w:rPr>
  </w:style>
  <w:style w:type="character" w:styleId="813">
    <w:name w:val="Hyperlink"/>
    <w:uiPriority w:val="99"/>
    <w:unhideWhenUsed/>
    <w:qFormat/>
    <w:rPr>
      <w:color w:val="0026e5" w:themeColor="hyperlink"/>
      <w:u w:val="single"/>
      <w14:textFill>
        <w14:solidFill>
          <w14:schemeClr w14:val="hlink"/>
        </w14:solidFill>
      </w14:textFill>
    </w:rPr>
  </w:style>
  <w:style w:type="character" w:styleId="814">
    <w:name w:val="footnote reference"/>
    <w:basedOn w:val="786"/>
    <w:uiPriority w:val="99"/>
    <w:unhideWhenUsed/>
    <w:qFormat/>
    <w:rPr>
      <w:vertAlign w:val="superscript"/>
    </w:rPr>
  </w:style>
  <w:style w:type="paragraph" w:styleId="815" w:customStyle="1">
    <w:name w:val="首行缩进"/>
    <w:basedOn w:val="776"/>
    <w:uiPriority w:val="0"/>
    <w:qFormat/>
    <w:pPr>
      <w:ind w:firstLine="480"/>
    </w:pPr>
    <w:rPr>
      <w:lang w:val="zh-CN"/>
    </w:rPr>
  </w:style>
  <w:style w:type="paragraph" w:styleId="816" w:customStyle="1">
    <w:name w:val="正文文本11"/>
    <w:basedOn w:val="776"/>
    <w:uiPriority w:val="0"/>
    <w:unhideWhenUsed/>
    <w:qFormat/>
    <w:pPr>
      <w:spacing w:after="120"/>
    </w:pPr>
    <w:rPr>
      <w:sz w:val="20"/>
    </w:rPr>
  </w:style>
  <w:style w:type="paragraph" w:styleId="817" w:customStyle="1">
    <w:name w:val="页脚1"/>
    <w:basedOn w:val="776"/>
    <w:next w:val="818"/>
    <w:uiPriority w:val="99"/>
    <w:unhideWhenUsed/>
    <w:qFormat/>
    <w:pPr>
      <w:jc w:val="left"/>
      <w:tabs>
        <w:tab w:val="center" w:pos="4153" w:leader="none"/>
        <w:tab w:val="right" w:pos="8306" w:leader="none"/>
      </w:tabs>
    </w:pPr>
    <w:rPr>
      <w:sz w:val="18"/>
      <w:szCs w:val="18"/>
    </w:rPr>
  </w:style>
  <w:style w:type="paragraph" w:styleId="818" w:customStyle="1">
    <w:name w:val="TOC Heading1"/>
    <w:next w:val="776"/>
    <w:uiPriority w:val="0"/>
    <w:qFormat/>
    <w:rPr>
      <w:rFonts w:hint="default" w:ascii="Times New Roman" w:hAnsi="Times New Roman" w:eastAsia="宋体" w:cs="Times New Roman"/>
      <w:sz w:val="32"/>
      <w:lang w:val="en-US" w:eastAsia="zh-CN" w:bidi="ar-SA"/>
    </w:rPr>
  </w:style>
  <w:style w:type="character" w:styleId="819" w:customStyle="1">
    <w:name w:val="Heading 1 Char"/>
    <w:basedOn w:val="786"/>
    <w:link w:val="777"/>
    <w:uiPriority w:val="9"/>
    <w:qFormat/>
    <w:rPr>
      <w:rFonts w:ascii="Arial" w:hAnsi="Arial" w:eastAsia="Arial" w:cs="Arial"/>
      <w:sz w:val="40"/>
      <w:szCs w:val="40"/>
    </w:rPr>
  </w:style>
  <w:style w:type="character" w:styleId="820" w:customStyle="1">
    <w:name w:val="Heading 2 Char"/>
    <w:basedOn w:val="786"/>
    <w:link w:val="778"/>
    <w:uiPriority w:val="9"/>
    <w:qFormat/>
    <w:rPr>
      <w:rFonts w:ascii="Arial" w:hAnsi="Arial" w:eastAsia="Arial" w:cs="Arial"/>
      <w:sz w:val="34"/>
    </w:rPr>
  </w:style>
  <w:style w:type="character" w:styleId="821" w:customStyle="1">
    <w:name w:val="Heading 3 Char"/>
    <w:basedOn w:val="786"/>
    <w:link w:val="779"/>
    <w:uiPriority w:val="9"/>
    <w:qFormat/>
    <w:rPr>
      <w:rFonts w:ascii="Arial" w:hAnsi="Arial" w:eastAsia="Arial" w:cs="Arial"/>
      <w:sz w:val="30"/>
      <w:szCs w:val="30"/>
    </w:rPr>
  </w:style>
  <w:style w:type="character" w:styleId="822" w:customStyle="1">
    <w:name w:val="Heading 4 Char"/>
    <w:basedOn w:val="786"/>
    <w:link w:val="780"/>
    <w:uiPriority w:val="9"/>
    <w:qFormat/>
    <w:rPr>
      <w:rFonts w:ascii="Arial" w:hAnsi="Arial" w:eastAsia="Arial" w:cs="Arial"/>
      <w:b/>
      <w:bCs/>
      <w:sz w:val="26"/>
      <w:szCs w:val="26"/>
    </w:rPr>
  </w:style>
  <w:style w:type="character" w:styleId="823" w:customStyle="1">
    <w:name w:val="Heading 5 Char"/>
    <w:basedOn w:val="786"/>
    <w:link w:val="781"/>
    <w:uiPriority w:val="9"/>
    <w:qFormat/>
    <w:rPr>
      <w:rFonts w:ascii="Arial" w:hAnsi="Arial" w:eastAsia="Arial" w:cs="Arial"/>
      <w:b/>
      <w:bCs/>
      <w:sz w:val="24"/>
      <w:szCs w:val="24"/>
    </w:rPr>
  </w:style>
  <w:style w:type="character" w:styleId="824" w:customStyle="1">
    <w:name w:val="Heading 6 Char"/>
    <w:basedOn w:val="786"/>
    <w:link w:val="782"/>
    <w:uiPriority w:val="9"/>
    <w:qFormat/>
    <w:rPr>
      <w:rFonts w:ascii="Arial" w:hAnsi="Arial" w:eastAsia="Arial" w:cs="Arial"/>
      <w:b/>
      <w:bCs/>
      <w:sz w:val="22"/>
      <w:szCs w:val="22"/>
    </w:rPr>
  </w:style>
  <w:style w:type="character" w:styleId="825" w:customStyle="1">
    <w:name w:val="Heading 7 Char"/>
    <w:basedOn w:val="786"/>
    <w:link w:val="783"/>
    <w:uiPriority w:val="9"/>
    <w:qFormat/>
    <w:rPr>
      <w:rFonts w:ascii="Arial" w:hAnsi="Arial" w:eastAsia="Arial" w:cs="Arial"/>
      <w:b/>
      <w:bCs/>
      <w:i/>
      <w:iCs/>
      <w:sz w:val="22"/>
      <w:szCs w:val="22"/>
    </w:rPr>
  </w:style>
  <w:style w:type="character" w:styleId="826" w:customStyle="1">
    <w:name w:val="Heading 8 Char"/>
    <w:basedOn w:val="786"/>
    <w:link w:val="784"/>
    <w:uiPriority w:val="9"/>
    <w:qFormat/>
    <w:rPr>
      <w:rFonts w:ascii="Arial" w:hAnsi="Arial" w:eastAsia="Arial" w:cs="Arial"/>
      <w:i/>
      <w:iCs/>
      <w:sz w:val="22"/>
      <w:szCs w:val="22"/>
    </w:rPr>
  </w:style>
  <w:style w:type="character" w:styleId="827" w:customStyle="1">
    <w:name w:val="Heading 9 Char"/>
    <w:basedOn w:val="786"/>
    <w:link w:val="785"/>
    <w:uiPriority w:val="9"/>
    <w:qFormat/>
    <w:rPr>
      <w:rFonts w:ascii="Arial" w:hAnsi="Arial" w:eastAsia="Arial" w:cs="Arial"/>
      <w:i/>
      <w:iCs/>
      <w:sz w:val="21"/>
      <w:szCs w:val="21"/>
    </w:rPr>
  </w:style>
  <w:style w:type="paragraph" w:styleId="828">
    <w:name w:val="List Paragraph"/>
    <w:basedOn w:val="776"/>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86"/>
    <w:link w:val="808"/>
    <w:uiPriority w:val="10"/>
    <w:qFormat/>
    <w:rPr>
      <w:sz w:val="48"/>
      <w:szCs w:val="48"/>
    </w:rPr>
  </w:style>
  <w:style w:type="character" w:styleId="831" w:customStyle="1">
    <w:name w:val="Subtitle Char"/>
    <w:basedOn w:val="786"/>
    <w:link w:val="802"/>
    <w:uiPriority w:val="11"/>
    <w:qFormat/>
    <w:rPr>
      <w:sz w:val="24"/>
      <w:szCs w:val="24"/>
    </w:rPr>
  </w:style>
  <w:style w:type="paragraph" w:styleId="832">
    <w:name w:val="Quote"/>
    <w:basedOn w:val="776"/>
    <w:next w:val="776"/>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6"/>
    <w:next w:val="77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86"/>
    <w:link w:val="799"/>
    <w:uiPriority w:val="99"/>
    <w:qFormat/>
  </w:style>
  <w:style w:type="character" w:styleId="837" w:customStyle="1">
    <w:name w:val="Footer Char"/>
    <w:basedOn w:val="786"/>
    <w:uiPriority w:val="99"/>
    <w:qFormat/>
  </w:style>
  <w:style w:type="character" w:styleId="838" w:customStyle="1">
    <w:name w:val="Caption Char"/>
    <w:uiPriority w:val="99"/>
    <w:qFormat/>
  </w:style>
  <w:style w:type="table" w:styleId="839"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8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803"/>
    <w:uiPriority w:val="99"/>
    <w:qFormat/>
    <w:rPr>
      <w:sz w:val="18"/>
    </w:rPr>
  </w:style>
  <w:style w:type="character" w:styleId="965" w:customStyle="1">
    <w:name w:val="Endnote Text Char"/>
    <w:link w:val="797"/>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段"/>
    <w:next w:val="776"/>
    <w:uiPriority w:val="0"/>
    <w:qFormat/>
    <w:pPr>
      <w:ind w:firstLine="200"/>
      <w:jc w:val="both"/>
    </w:pPr>
    <w:rPr>
      <w:rFonts w:hint="default" w:ascii="宋体" w:hAnsi="Times New Roman" w:eastAsia="宋体" w:cs="Times New Roman"/>
      <w:sz w:val="21"/>
      <w:lang w:val="en-US" w:eastAsia="zh-CN" w:bidi="ar-SA"/>
    </w:rPr>
  </w:style>
  <w:style w:type="paragraph" w:styleId="968" w:customStyle="1">
    <w:name w:val="正文缩进1"/>
    <w:basedOn w:val="776"/>
    <w:next w:val="776"/>
    <w:uiPriority w:val="0"/>
    <w:qFormat/>
    <w:pPr>
      <w:ind w:firstLine="420"/>
      <w:jc w:val="left"/>
    </w:pPr>
    <w:rPr>
      <w:rFonts w:eastAsia="楷体_GB2312"/>
      <w:sz w:val="24"/>
      <w:szCs w:val="20"/>
    </w:rPr>
  </w:style>
  <w:style w:type="paragraph" w:styleId="969" w:customStyle="1">
    <w:name w:val="正文文本缩进 31"/>
    <w:basedOn w:val="776"/>
    <w:uiPriority w:val="0"/>
    <w:qFormat/>
    <w:pPr>
      <w:ind w:left="420"/>
    </w:pPr>
    <w:rPr>
      <w:sz w:val="16"/>
      <w:szCs w:val="20"/>
    </w:rPr>
  </w:style>
  <w:style w:type="paragraph" w:styleId="970" w:customStyle="1">
    <w:name w:val="批注文字1"/>
    <w:basedOn w:val="776"/>
    <w:uiPriority w:val="0"/>
    <w:qFormat/>
    <w:pPr>
      <w:jc w:val="left"/>
    </w:pPr>
  </w:style>
  <w:style w:type="paragraph" w:styleId="971" w:customStyle="1">
    <w:name w:val="正文文本缩进1"/>
    <w:basedOn w:val="776"/>
    <w:next w:val="776"/>
    <w:uiPriority w:val="0"/>
    <w:qFormat/>
    <w:pPr>
      <w:ind w:left="420"/>
      <w:spacing w:after="120"/>
    </w:pPr>
  </w:style>
  <w:style w:type="paragraph" w:styleId="972" w:customStyle="1">
    <w:name w:val="正文首行缩进 21"/>
    <w:basedOn w:val="971"/>
    <w:next w:val="776"/>
    <w:uiPriority w:val="99"/>
    <w:unhideWhenUsed/>
    <w:qFormat/>
    <w:pPr>
      <w:ind w:firstLine="420"/>
    </w:pPr>
  </w:style>
  <w:style w:type="paragraph" w:styleId="973" w:customStyle="1">
    <w:name w:val="_正文段落"/>
    <w:basedOn w:val="776"/>
    <w:uiPriority w:val="0"/>
    <w:qFormat/>
    <w:pPr>
      <w:ind w:firstLine="480"/>
      <w:spacing w:line="360" w:lineRule="auto"/>
    </w:pPr>
    <w:rPr>
      <w:rFonts w:ascii="宋体" w:hAnsi="宋体"/>
      <w:sz w:val="24"/>
      <w:szCs w:val="24"/>
    </w:rPr>
  </w:style>
  <w:style w:type="paragraph" w:styleId="974" w:customStyle="1">
    <w:name w:val="无间隔11"/>
    <w:basedOn w:val="776"/>
    <w:uiPriority w:val="0"/>
    <w:qFormat/>
    <w:pPr>
      <w:spacing w:line="400" w:lineRule="exact"/>
    </w:pPr>
    <w:rPr>
      <w:sz w:val="24"/>
    </w:rPr>
  </w:style>
  <w:style w:type="paragraph" w:styleId="975" w:customStyle="1">
    <w:name w:val="正文首行缩进1"/>
    <w:basedOn w:val="816"/>
    <w:uiPriority w:val="0"/>
    <w:qFormat/>
    <w:pPr>
      <w:ind w:firstLine="420"/>
    </w:pPr>
  </w:style>
  <w:style w:type="paragraph" w:styleId="976" w:customStyle="1">
    <w:name w:val="脚注文本1"/>
    <w:basedOn w:val="977"/>
    <w:next w:val="978"/>
    <w:uiPriority w:val="0"/>
    <w:qFormat/>
    <w:pPr>
      <w:jc w:val="left"/>
      <w:spacing w:line="312" w:lineRule="atLeast"/>
      <w:tabs>
        <w:tab w:val="left" w:pos="200" w:leader="none"/>
      </w:tabs>
    </w:pPr>
    <w:rPr>
      <w:rFonts w:ascii="Times New Roman" w:hAnsi="Times New Roman"/>
      <w:b w:val="0"/>
      <w:sz w:val="18"/>
    </w:rPr>
  </w:style>
  <w:style w:type="paragraph" w:styleId="977" w:customStyle="1">
    <w:name w:val="标题 11"/>
    <w:basedOn w:val="776"/>
    <w:next w:val="776"/>
    <w:uiPriority w:val="0"/>
    <w:qFormat/>
    <w:pPr>
      <w:jc w:val="center"/>
      <w:keepNext/>
      <w:tabs>
        <w:tab w:val="left" w:pos="200" w:leader="none"/>
      </w:tabs>
      <w:outlineLvl w:val="0"/>
    </w:pPr>
    <w:rPr>
      <w:rFonts w:ascii="宋体" w:hAnsi="宋体"/>
      <w:b/>
      <w:sz w:val="36"/>
      <w:szCs w:val="20"/>
    </w:rPr>
  </w:style>
  <w:style w:type="paragraph" w:styleId="978" w:customStyle="1">
    <w:name w:val="文本块1"/>
    <w:basedOn w:val="977"/>
    <w:next w:val="776"/>
    <w:uiPriority w:val="0"/>
    <w:qFormat/>
    <w:pPr>
      <w:ind w:left="630" w:right="-609" w:firstLine="420"/>
      <w:spacing w:line="360" w:lineRule="auto"/>
    </w:pPr>
    <w:rPr>
      <w:rFonts w:hint="eastAsia" w:ascii="仿宋_GB2312" w:eastAsia="仿宋_GB2312"/>
    </w:rPr>
  </w:style>
  <w:style w:type="paragraph" w:styleId="979" w:customStyle="1">
    <w:name w:val="纯文本1"/>
    <w:basedOn w:val="776"/>
    <w:uiPriority w:val="0"/>
    <w:qFormat/>
    <w:rPr>
      <w:rFonts w:ascii="宋体" w:hAnsi="Courier New" w:eastAsia="楷体_GB2312"/>
      <w:sz w:val="28"/>
      <w:szCs w:val="20"/>
    </w:rPr>
  </w:style>
  <w:style w:type="paragraph" w:styleId="980" w:customStyle="1">
    <w:name w:val="正文文本1"/>
    <w:basedOn w:val="776"/>
    <w:next w:val="968"/>
    <w:uiPriority w:val="0"/>
    <w:qFormat/>
    <w:pPr>
      <w:jc w:val="center"/>
    </w:pPr>
    <w:rPr>
      <w:rFonts w:ascii="方正大黑简体" w:eastAsia="方正大黑简体"/>
      <w:position w:val="6"/>
      <w:sz w:val="30"/>
    </w:rPr>
  </w:style>
  <w:style w:type="paragraph" w:styleId="981" w:customStyle="1">
    <w:name w:val="页眉1"/>
    <w:basedOn w:val="7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普通(网站)1"/>
    <w:basedOn w:val="776"/>
    <w:uiPriority w:val="0"/>
    <w:unhideWhenUsed/>
    <w:qFormat/>
    <w:rPr>
      <w:sz w:val="24"/>
    </w:rPr>
  </w:style>
  <w:style w:type="paragraph" w:styleId="983" w:customStyle="1">
    <w:name w:val="二级小标题"/>
    <w:basedOn w:val="776"/>
    <w:uiPriority w:val="0"/>
    <w:qFormat/>
    <w:rPr>
      <w:rFonts w:hint="eastAsia"/>
      <w:b/>
      <w:bCs/>
    </w:rPr>
  </w:style>
  <w:style w:type="paragraph" w:styleId="984" w:customStyle="1">
    <w:name w:val="表格字体"/>
    <w:basedOn w:val="776"/>
    <w:uiPriority w:val="0"/>
    <w:qFormat/>
    <w:pPr>
      <w:spacing w:line="400" w:lineRule="exact"/>
      <w:widowControl/>
    </w:pPr>
    <w:rPr>
      <w:rFonts w:hint="eastAsia" w:cs="宋体"/>
      <w:bCs/>
      <w:color w:val="000000"/>
      <w:sz w:val="24"/>
      <w:szCs w:val="18"/>
    </w:rPr>
  </w:style>
  <w:style w:type="paragraph" w:styleId="985" w:customStyle="1">
    <w:name w:val="纯文本6"/>
    <w:basedOn w:val="776"/>
    <w:uiPriority w:val="0"/>
    <w:qFormat/>
    <w:rPr>
      <w:rFonts w:ascii="宋体" w:hAnsi="Courier New" w:eastAsia="楷体_GB2312"/>
      <w:sz w:val="28"/>
    </w:rPr>
  </w:style>
  <w:style w:type="character" w:styleId="986" w:customStyle="1">
    <w:name w:val="强调1"/>
    <w:basedOn w:val="987"/>
    <w:uiPriority w:val="0"/>
    <w:qFormat/>
    <w:rPr>
      <w:i/>
    </w:rPr>
  </w:style>
  <w:style w:type="character" w:styleId="987" w:customStyle="1">
    <w:name w:val="默认段落字体1"/>
    <w:uiPriority w:val="0"/>
    <w:semiHidden/>
    <w:qFormat/>
  </w:style>
  <w:style w:type="paragraph" w:styleId="988" w:customStyle="1">
    <w:name w:val="正文1"/>
    <w:basedOn w:val="776"/>
    <w:next w:val="776"/>
    <w:uiPriority w:val="0"/>
    <w:qFormat/>
    <w:pPr>
      <w:ind w:firstLine="420"/>
      <w:spacing w:line="360" w:lineRule="auto"/>
    </w:pPr>
    <w:rPr>
      <w:rFonts w:ascii="Times New Roman" w:hAnsi="Times New Roman" w:eastAsia="宋体" w:cs="Times New Roman"/>
      <w:sz w:val="24"/>
      <w:szCs w:val="24"/>
    </w:rPr>
  </w:style>
  <w:style w:type="paragraph" w:styleId="989" w:customStyle="1">
    <w:name w:val="Plain Text1"/>
    <w:basedOn w:val="776"/>
    <w:uiPriority w:val="0"/>
    <w:qFormat/>
    <w:rPr>
      <w:rFonts w:hint="eastAsia" w:ascii="宋体" w:hAnsi="Courier New" w:eastAsia="楷体_GB2312"/>
      <w:sz w:val="28"/>
      <w:szCs w:val="20"/>
    </w:rPr>
  </w:style>
  <w:style w:type="paragraph" w:styleId="990" w:customStyle="1">
    <w:name w:val="Normal_2_2"/>
    <w:uiPriority w:val="0"/>
    <w:qFormat/>
    <w:rPr>
      <w:rFonts w:hint="default" w:ascii="Times New Roman" w:hAnsi="Times New Roman" w:eastAsia="Times New Roman" w:cs="Times New Roman"/>
      <w:sz w:val="24"/>
      <w:szCs w:val="24"/>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12</cp:revision>
  <dcterms:created xsi:type="dcterms:W3CDTF">2025-11-18T04:16:00Z</dcterms:created>
  <dcterms:modified xsi:type="dcterms:W3CDTF">2026-05-26T01:29:21Z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3BDA2412A89B4F49A3688729E9231158_13</vt:lpwstr>
  </property>
  <property fmtid="{D5CDD505-2E9C-101B-9397-08002B2CF9AE}" pid="4" name="KSOTemplateDocerSaveRecord">
    <vt:lpwstr>eyJoZGlkIjoiZGVlMjQwNWI4OTIwZmYyNjg3NDRiYWJjMGQ4NTNhOGIiLCJ1c2VySWQiOiIxMjQ5MDI1MDgzIn0=</vt:lpwstr>
  </property>
</Properties>
</file>