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before="120" w:after="120" w:line="360" w:lineRule="auto"/>
        <w:tabs>
          <w:tab w:val="left" w:pos="5766" w:leader="none"/>
          <w:tab w:val="left" w:pos="6344" w:leader="none"/>
        </w:tabs>
        <w:rPr>
          <w:rFonts w:hint="eastAsia" w:ascii="宋体" w:hAnsi="宋体" w:eastAsia="宋体" w:cs="宋体"/>
          <w:b/>
          <w:color w:val="auto"/>
          <w:sz w:val="24"/>
          <w:szCs w:val="18"/>
          <w:highlight w:val="none"/>
        </w:rPr>
      </w:pPr>
      <w:r/>
      <w:bookmarkStart w:id="133" w:name="_GoBack"/>
      <w:r>
        <w:rPr>
          <w:rFonts w:hint="eastAsia" w:ascii="宋体" w:hAnsi="宋体" w:eastAsia="宋体" w:cs="宋体"/>
          <w:b/>
          <w:color w:val="auto"/>
          <w:sz w:val="24"/>
          <w:szCs w:val="18"/>
          <w:highlight w:val="none"/>
          <w:lang w:eastAsia="zh-CN"/>
        </w:rPr>
        <w:t xml:space="preserve">项目编号：</w:t>
      </w:r>
      <w:r>
        <w:rPr>
          <w:rFonts w:hint="eastAsia" w:ascii="宋体" w:hAnsi="宋体" w:cs="宋体"/>
          <w:b/>
          <w:color w:val="auto"/>
          <w:sz w:val="24"/>
          <w:szCs w:val="18"/>
          <w:highlight w:val="none"/>
          <w:lang w:eastAsia="zh-CN"/>
        </w:rPr>
        <w:t xml:space="preserve">JSZC-320000-JSWD-C2026-0016</w:t>
      </w:r>
      <w:r/>
    </w:p>
    <w:p>
      <w:pPr>
        <w:ind w:firstLine="3614"/>
        <w:jc w:val="left"/>
        <w:spacing w:before="120" w:after="120" w:line="360" w:lineRule="auto"/>
        <w:tabs>
          <w:tab w:val="left" w:pos="5766" w:leader="none"/>
          <w:tab w:val="left" w:pos="6344" w:leader="none"/>
        </w:tabs>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cs="宋体"/>
          <w:b/>
          <w:color w:val="auto"/>
          <w:sz w:val="36"/>
          <w:highlight w:val="none"/>
          <w:lang w:eastAsia="zh-CN"/>
        </w:rPr>
        <w:t xml:space="preserve">扬州大学兽医学科生命科学大楼各团队实验室改造工程</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shd w:val="clear" w:color="auto" w:fill="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67960" cy="3733165"/>
                <wp:effectExtent l="0" t="0" r="5080" b="635"/>
                <wp:docPr id="8"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41f51d74f3b3cf4a4c9ebd768e2f8ce"/>
                        <pic:cNvPicPr>
                          <a:picLocks noChangeAspect="1"/>
                        </pic:cNvPicPr>
                        <pic:nvPr/>
                      </pic:nvPicPr>
                      <pic:blipFill>
                        <a:blip r:embed="rId22"/>
                        <a:stretch/>
                      </pic:blipFill>
                      <pic:spPr bwMode="auto">
                        <a:xfrm>
                          <a:off x="0" y="0"/>
                          <a:ext cx="5267960" cy="3733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8pt;height:293.9pt;mso-wrap-distance-left:0.0pt;mso-wrap-distance-top:0.0pt;mso-wrap-distance-right:0.0pt;mso-wrap-distance-bottom:0.0pt;" stroked="f">
                <v:path textboxrect="0,0,0,0"/>
                <v:imagedata r:id="rId22" o:title=""/>
              </v:shape>
            </w:pict>
          </mc:Fallback>
        </mc:AlternateContent>
      </w:r>
      <w:r/>
    </w:p>
    <w:p>
      <w:pPr>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360" w:lineRule="auto"/>
        <w:shd w:val="clear" w:color="auto" w:fill="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eastAsia="zh-CN"/>
        </w:rPr>
        <w:t xml:space="preserve">江苏万达工程造价事务所有限公司</w:t>
      </w:r>
      <w:r/>
    </w:p>
    <w:p>
      <w:pPr>
        <w:jc w:val="center"/>
        <w:spacing w:line="360" w:lineRule="auto"/>
        <w:shd w:val="clear" w:color="auto" w:fill="auto"/>
        <w:rPr>
          <w:rFonts w:hint="eastAsia" w:ascii="宋体" w:hAnsi="宋体" w:eastAsia="宋体" w:cs="宋体"/>
          <w:b/>
          <w:bCs/>
          <w:color w:val="auto"/>
          <w:sz w:val="32"/>
          <w:szCs w:val="32"/>
          <w:highlight w:val="none"/>
        </w:rPr>
      </w:pPr>
      <w:r/>
      <w:bookmarkStart w:id="0" w:name="EB59c3faf64f2a4bd092a206fb1d0c3c03"/>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月</w:t>
      </w:r>
      <w:r>
        <w:rPr>
          <w:rFonts w:hint="eastAsia" w:ascii="宋体" w:hAnsi="宋体" w:cs="宋体"/>
          <w:b/>
          <w:bCs/>
          <w:color w:val="auto"/>
          <w:sz w:val="32"/>
          <w:szCs w:val="32"/>
          <w:highlight w:val="none"/>
          <w:lang w:val="en-US" w:eastAsia="zh-CN"/>
        </w:rPr>
        <w:t xml:space="preserve">18</w:t>
      </w:r>
      <w:r>
        <w:rPr>
          <w:rFonts w:hint="eastAsia" w:ascii="宋体" w:hAnsi="宋体" w:eastAsia="宋体" w:cs="宋体"/>
          <w:b/>
          <w:bCs/>
          <w:color w:val="auto"/>
          <w:sz w:val="32"/>
          <w:szCs w:val="32"/>
          <w:highlight w:val="none"/>
        </w:rPr>
        <w:t xml:space="preserve">日</w:t>
      </w:r>
      <w:bookmarkEnd w:id="0"/>
      <w:r/>
      <w:r/>
    </w:p>
    <w:p>
      <w:pPr>
        <w:jc w:val="center"/>
        <w:spacing w:line="480" w:lineRule="auto"/>
        <w:rPr>
          <w:rFonts w:hint="eastAsia" w:ascii="宋体" w:hAnsi="宋体" w:eastAsia="宋体" w:cs="宋体"/>
          <w:b/>
          <w:color w:val="auto"/>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pgNumType w:start="1"/>
          <w:cols w:num="1" w:sep="0" w:space="1701" w:equalWidth="1"/>
          <w:docGrid w:linePitch="360"/>
          <w:titlePg/>
        </w:sectPr>
        <w:outlineLvl w:val="0"/>
      </w:pPr>
      <w:r/>
      <w:bookmarkStart w:id="1" w:name="_Toc120614210"/>
      <w:r/>
      <w:bookmarkStart w:id="2" w:name="_Toc479757206"/>
      <w:r/>
      <w:bookmarkStart w:id="3" w:name="_Toc20823272"/>
      <w:r/>
      <w:bookmarkStart w:id="4" w:name="_Toc513029200"/>
      <w:r/>
      <w:bookmarkStart w:id="5" w:name="_Toc16938516"/>
      <w:r/>
      <w:bookmarkStart w:id="6" w:name="_Toc523127445"/>
      <w:r/>
      <w:r/>
    </w:p>
    <w:p>
      <w:pPr>
        <w:pStyle w:val="1231"/>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目</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zh-CN"/>
        </w:rPr>
        <w:t xml:space="preserve">录</w:t>
      </w:r>
      <w:r/>
    </w:p>
    <w:p>
      <w:pPr>
        <w:pStyle w:val="1233"/>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\h \z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"_Toc165197237"</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第一章  </w:t>
      </w:r>
      <w:r>
        <w:rPr>
          <w:rStyle w:val="1234"/>
          <w:rFonts w:hint="eastAsia" w:ascii="宋体" w:hAnsi="宋体" w:eastAsia="宋体" w:cs="宋体"/>
          <w:color w:val="auto"/>
          <w:sz w:val="24"/>
          <w:szCs w:val="24"/>
          <w:highlight w:val="none"/>
          <w:u w:val="none"/>
          <w:lang w:eastAsia="zh-CN"/>
        </w:rPr>
        <w:t xml:space="preserve">竞争性磋商公告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233"/>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"_Toc165197238"</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第二章  </w:t>
      </w:r>
      <w:r>
        <w:rPr>
          <w:rStyle w:val="1234"/>
          <w:rFonts w:hint="eastAsia" w:ascii="宋体" w:hAnsi="宋体" w:eastAsia="宋体" w:cs="宋体"/>
          <w:color w:val="auto"/>
          <w:sz w:val="24"/>
          <w:szCs w:val="24"/>
          <w:highlight w:val="none"/>
          <w:u w:val="none"/>
          <w:lang w:val="en-US" w:eastAsia="zh-CN"/>
        </w:rPr>
        <w:t xml:space="preserve">磋商</w:t>
      </w:r>
      <w:r>
        <w:rPr>
          <w:rStyle w:val="1234"/>
          <w:rFonts w:hint="eastAsia" w:ascii="宋体" w:hAnsi="宋体" w:eastAsia="宋体" w:cs="宋体"/>
          <w:color w:val="auto"/>
          <w:sz w:val="24"/>
          <w:szCs w:val="24"/>
          <w:highlight w:val="none"/>
          <w:u w:val="none"/>
        </w:rPr>
        <w:t xml:space="preserve">须知</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7</w:t>
      </w:r>
      <w:r>
        <w:rPr>
          <w:rFonts w:hint="eastAsia" w:ascii="宋体" w:hAnsi="宋体" w:eastAsia="宋体" w:cs="宋体"/>
          <w:color w:val="auto"/>
          <w:sz w:val="24"/>
          <w:szCs w:val="24"/>
          <w:highlight w:val="none"/>
        </w:rPr>
        <w:fldChar w:fldCharType="end"/>
      </w:r>
      <w:r/>
    </w:p>
    <w:p>
      <w:pPr>
        <w:pStyle w:val="1233"/>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"_Toc165197239"</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u w:val="none"/>
        </w:rPr>
        <w:t xml:space="preserve">合同</w:t>
      </w:r>
      <w:r>
        <w:rPr>
          <w:rFonts w:hint="eastAsia" w:cs="宋体"/>
          <w:color w:val="auto"/>
          <w:sz w:val="24"/>
          <w:szCs w:val="24"/>
          <w:highlight w:val="none"/>
          <w:u w:val="none"/>
          <w:lang w:val="en-US" w:eastAsia="zh-CN"/>
        </w:rPr>
        <w:t xml:space="preserve">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233"/>
        <w:rPr>
          <w:rFonts w:hint="eastAsia" w:ascii="宋体" w:hAnsi="宋体" w:eastAsia="宋体" w:cs="宋体"/>
          <w:caps w:val="0"/>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"_Toc165197240"</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第四章 </w:t>
      </w:r>
      <w:r>
        <w:rPr>
          <w:rStyle w:val="1234"/>
          <w:rFonts w:hint="eastAsia" w:ascii="宋体" w:hAnsi="宋体" w:eastAsia="宋体" w:cs="宋体"/>
          <w:color w:val="auto"/>
          <w:sz w:val="24"/>
          <w:szCs w:val="24"/>
          <w:highlight w:val="none"/>
          <w:lang w:val="en-US" w:eastAsia="zh-CN"/>
        </w:rPr>
        <w:t xml:space="preserve"> </w:t>
      </w:r>
      <w:r>
        <w:rPr>
          <w:rStyle w:val="1234"/>
          <w:rFonts w:hint="eastAsia" w:ascii="宋体" w:hAnsi="宋体" w:eastAsia="宋体" w:cs="宋体"/>
          <w:color w:val="auto"/>
          <w:sz w:val="24"/>
          <w:szCs w:val="24"/>
          <w:highlight w:val="none"/>
          <w:u w:val="none"/>
          <w:lang w:val="en-US" w:eastAsia="zh-CN"/>
        </w:rPr>
        <w:t xml:space="preserve">采购</w:t>
      </w:r>
      <w:r>
        <w:rPr>
          <w:rStyle w:val="1234"/>
          <w:rFonts w:hint="eastAsia" w:ascii="宋体" w:hAnsi="宋体" w:eastAsia="宋体" w:cs="宋体"/>
          <w:color w:val="auto"/>
          <w:sz w:val="24"/>
          <w:szCs w:val="24"/>
          <w:highlight w:val="none"/>
          <w:u w:val="none"/>
        </w:rPr>
        <w:t xml:space="preserve">需求</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4</w:t>
      </w:r>
      <w:r>
        <w:rPr>
          <w:rFonts w:hint="eastAsia" w:ascii="宋体" w:hAnsi="宋体" w:eastAsia="宋体" w:cs="宋体"/>
          <w:color w:val="auto"/>
          <w:sz w:val="24"/>
          <w:szCs w:val="24"/>
          <w:highlight w:val="none"/>
        </w:rPr>
        <w:fldChar w:fldCharType="end"/>
      </w:r>
      <w:r>
        <w:rPr>
          <w:rFonts w:hint="eastAsia" w:cs="宋体"/>
          <w:color w:val="auto"/>
          <w:sz w:val="24"/>
          <w:szCs w:val="24"/>
          <w:highlight w:val="none"/>
          <w:lang w:val="en-US" w:eastAsia="zh-CN"/>
        </w:rPr>
        <w:t xml:space="preserve">6</w:t>
      </w:r>
      <w:r/>
    </w:p>
    <w:p>
      <w:pPr>
        <w:pStyle w:val="1233"/>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"_Toc165197241"</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第五章  评审方法与评审标准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_Toc165197241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r/>
    </w:p>
    <w:p>
      <w:pPr>
        <w:pStyle w:val="1233"/>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fldChar w:fldCharType="begin"/>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instrText xml:space="preserve">HYPERLINK \l "_Toc165197242"</w:instrText>
      </w:r>
      <w:r>
        <w:rPr>
          <w:rStyle w:val="1234"/>
          <w:rFonts w:hint="eastAsia" w:ascii="宋体" w:hAnsi="宋体" w:eastAsia="宋体" w:cs="宋体"/>
          <w:color w:val="auto"/>
          <w:sz w:val="24"/>
          <w:szCs w:val="24"/>
          <w:highlight w:val="none"/>
        </w:rPr>
        <w:instrText xml:space="preserve"> </w:instrText>
      </w:r>
      <w:r>
        <w:rPr>
          <w:rFonts w:hint="eastAsia" w:ascii="宋体" w:hAnsi="宋体" w:eastAsia="宋体" w:cs="宋体"/>
          <w:color w:val="auto"/>
          <w:sz w:val="24"/>
          <w:szCs w:val="24"/>
          <w:highlight w:val="none"/>
        </w:rPr>
        <w:fldChar w:fldCharType="separate"/>
      </w:r>
      <w:r>
        <w:rPr>
          <w:rStyle w:val="1234"/>
          <w:rFonts w:hint="eastAsia" w:ascii="宋体" w:hAnsi="宋体" w:eastAsia="宋体" w:cs="宋体"/>
          <w:color w:val="auto"/>
          <w:sz w:val="24"/>
          <w:szCs w:val="24"/>
          <w:highlight w:val="none"/>
        </w:rPr>
        <w:t xml:space="preserve">第六章  </w:t>
      </w:r>
      <w:r>
        <w:rPr>
          <w:rFonts w:hint="eastAsia" w:ascii="宋体" w:hAnsi="宋体" w:eastAsia="宋体" w:cs="宋体"/>
          <w:color w:val="auto"/>
          <w:sz w:val="24"/>
          <w:szCs w:val="24"/>
          <w:highlight w:val="none"/>
          <w:u w:val="none"/>
        </w:rPr>
        <w:t xml:space="preserve">竞争性磋商响应文件格式</w:t>
      </w:r>
      <w:r>
        <w:rPr>
          <w:rFonts w:hint="eastAsia" w:ascii="宋体" w:hAnsi="宋体" w:eastAsia="宋体" w:cs="宋体"/>
          <w:color w:val="auto"/>
          <w:sz w:val="24"/>
          <w:szCs w:val="24"/>
          <w:highlight w:val="none"/>
        </w:rPr>
        <w:tab/>
      </w:r>
      <w:r>
        <w:rPr>
          <w:rFonts w:hint="eastAsia"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rPr>
        <w:fldChar w:fldCharType="end"/>
      </w:r>
      <w:r/>
    </w:p>
    <w:p>
      <w:pPr>
        <w:jc w:val="center"/>
        <w:keepNext/>
        <w:rPr>
          <w:rFonts w:hint="eastAsia" w:ascii="宋体" w:hAnsi="宋体" w:eastAsia="宋体" w:cs="宋体"/>
          <w:color w:val="auto"/>
          <w:sz w:val="44"/>
          <w:szCs w:val="44"/>
          <w:highlight w:val="none"/>
        </w:rPr>
        <w:sectPr>
          <w:footerReference w:type="default" r:id="rId16"/>
          <w:footerReference w:type="first" r:id="rId17"/>
          <w:footnotePr/>
          <w:endnotePr/>
          <w:type w:val="nextPage"/>
          <w:pgSz w:w="11906" w:h="16838" w:orient="portrait"/>
          <w:pgMar w:top="1440" w:right="1800" w:bottom="1440" w:left="1800" w:header="851" w:footer="907" w:gutter="0"/>
          <w:cols w:num="1" w:sep="0" w:space="1701" w:equalWidth="1"/>
          <w:docGrid w:linePitch="360"/>
          <w:titlePg/>
        </w:sectPr>
        <w:outlineLvl w:val="0"/>
      </w:pPr>
      <w:r>
        <w:rPr>
          <w:rFonts w:hint="eastAsia" w:ascii="宋体" w:hAnsi="宋体" w:eastAsia="宋体" w:cs="宋体"/>
          <w:color w:val="auto"/>
          <w:sz w:val="44"/>
          <w:szCs w:val="44"/>
          <w:highlight w:val="none"/>
        </w:rPr>
      </w:r>
      <w:r/>
    </w:p>
    <w:p>
      <w:pPr>
        <w:jc w:val="center"/>
        <w:keepNext/>
        <w:rPr>
          <w:rFonts w:hint="eastAsia" w:ascii="宋体" w:hAnsi="宋体" w:cs="宋体"/>
          <w:color w:val="auto"/>
          <w:sz w:val="44"/>
          <w:szCs w:val="44"/>
          <w:highlight w:val="none"/>
          <w:lang w:eastAsia="zh-CN"/>
        </w:rPr>
        <w:outlineLvl w:val="0"/>
      </w:pPr>
      <w:r/>
      <w:bookmarkStart w:id="7" w:name="_Toc165197237"/>
      <w:r>
        <w:rPr>
          <w:rFonts w:hint="eastAsia" w:ascii="宋体" w:hAnsi="宋体" w:eastAsia="宋体" w:cs="宋体"/>
          <w:color w:val="auto"/>
          <w:sz w:val="44"/>
          <w:szCs w:val="44"/>
          <w:highlight w:val="none"/>
        </w:rPr>
        <w:t xml:space="preserve">第一章  </w:t>
      </w:r>
      <w:bookmarkEnd w:id="1"/>
      <w:r/>
      <w:bookmarkEnd w:id="7"/>
      <w:r>
        <w:rPr>
          <w:rFonts w:hint="eastAsia" w:ascii="宋体" w:hAnsi="宋体" w:cs="宋体"/>
          <w:color w:val="auto"/>
          <w:sz w:val="44"/>
          <w:szCs w:val="44"/>
          <w:highlight w:val="none"/>
          <w:lang w:eastAsia="zh-CN"/>
        </w:rPr>
        <w:t xml:space="preserve">扬州大学兽医学科生命科学大楼各团队实验室改造工程</w:t>
      </w:r>
      <w:r/>
    </w:p>
    <w:p>
      <w:pPr>
        <w:jc w:val="center"/>
        <w:keepNext/>
        <w:spacing w:line="360" w:lineRule="auto"/>
        <w:rPr>
          <w:rFonts w:hint="eastAsia" w:ascii="宋体" w:hAnsi="宋体" w:eastAsia="宋体" w:cs="宋体"/>
          <w:bCs/>
          <w:color w:val="auto"/>
          <w:sz w:val="44"/>
          <w:szCs w:val="44"/>
          <w:highlight w:val="none"/>
        </w:rPr>
        <w:outlineLvl w:val="0"/>
      </w:pPr>
      <w:r>
        <w:rPr>
          <w:rFonts w:hint="eastAsia" w:ascii="宋体" w:hAnsi="宋体" w:eastAsia="宋体" w:cs="宋体"/>
          <w:color w:val="auto"/>
          <w:sz w:val="44"/>
          <w:szCs w:val="44"/>
          <w:highlight w:val="none"/>
          <w:lang w:val="en-US" w:eastAsia="zh-CN"/>
        </w:rPr>
        <w:t xml:space="preserve">竞争性磋商公告</w:t>
      </w:r>
      <w:r>
        <w:rPr>
          <w:rFonts w:hint="eastAsia" w:ascii="宋体" w:hAnsi="宋体" w:eastAsia="宋体" w:cs="宋体"/>
          <w:color w:val="auto"/>
          <w:sz w:val="44"/>
          <w:szCs w:val="44"/>
          <w:highlight w:val="none"/>
          <w:lang w:val="en-US" w:eastAsia="zh-CN"/>
        </w:rPr>
        <w:br/>
      </w:r>
      <w:r/>
    </w:p>
    <w:p>
      <w:pPr>
        <w:ind w:firstLine="420"/>
        <w:keepLines w:val="0"/>
        <w:keepNext w:val="0"/>
        <w:pageBreakBefore w:val="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8" w:name="_Hlk161047371"/>
      <w:r>
        <w:rPr>
          <w:rFonts w:hint="eastAsia" w:ascii="宋体" w:hAnsi="宋体" w:eastAsia="宋体" w:cs="宋体"/>
          <w:color w:val="auto"/>
          <w:sz w:val="21"/>
          <w:szCs w:val="21"/>
          <w:highlight w:val="none"/>
        </w:rPr>
        <w:t xml:space="preserve">项目概况</w:t>
      </w:r>
      <w:r/>
    </w:p>
    <w:p>
      <w:pPr>
        <w:ind w:firstLine="420"/>
        <w:keepLines w:val="0"/>
        <w:keepNext w:val="0"/>
        <w:pageBreakBefore w:val="0"/>
        <w:spacing w:line="360" w:lineRule="auto"/>
        <w:rPr>
          <w:rFonts w:hint="eastAsia" w:ascii="宋体" w:hAnsi="宋体" w:eastAsia="宋体" w:cs="宋体"/>
          <w:b/>
          <w:bCs/>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扬州大学兽医学科生命科学大楼各团队实验室改造工程</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eastAsia="zh-CN"/>
        </w:rPr>
        <w:t xml:space="preserve">JSZC-320000-JSWD-C2026-0016</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采购项目的潜在供应商应在</w:t>
      </w:r>
      <w:r>
        <w:rPr>
          <w:rFonts w:hint="eastAsia" w:ascii="宋体" w:hAnsi="宋体" w:cs="宋体"/>
          <w:bCs/>
          <w:color w:val="auto"/>
          <w:sz w:val="21"/>
          <w:szCs w:val="21"/>
          <w:highlight w:val="none"/>
          <w:u w:val="single"/>
          <w:lang w:eastAsia="zh-CN"/>
        </w:rPr>
        <w:t xml:space="preserve">“江苏政府采购网”</w:t>
      </w:r>
      <w:r>
        <w:rPr>
          <w:rFonts w:hint="eastAsia" w:ascii="宋体" w:hAnsi="宋体" w:eastAsia="宋体" w:cs="宋体"/>
          <w:bCs/>
          <w:color w:val="auto"/>
          <w:sz w:val="21"/>
          <w:szCs w:val="21"/>
          <w:highlight w:val="none"/>
        </w:rPr>
        <w:t xml:space="preserve">获取采购文件</w:t>
      </w:r>
      <w:r>
        <w:rPr>
          <w:rFonts w:hint="eastAsia" w:ascii="宋体" w:hAnsi="宋体" w:eastAsia="宋体" w:cs="宋体"/>
          <w:color w:val="auto"/>
          <w:sz w:val="21"/>
          <w:szCs w:val="21"/>
          <w:highlight w:val="none"/>
        </w:rPr>
        <w:t xml:space="preserve">，并于</w:t>
      </w:r>
      <w:r>
        <w:rPr>
          <w:rFonts w:hint="eastAsia" w:ascii="宋体" w:hAnsi="宋体" w:eastAsia="宋体" w:cs="宋体"/>
          <w:color w:val="auto"/>
          <w:sz w:val="21"/>
          <w:szCs w:val="21"/>
          <w:highlight w:val="none"/>
          <w:u w:val="single"/>
          <w:lang w:val="en-US" w:eastAsia="zh-CN"/>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eastAsia="宋体" w:cs="宋体"/>
          <w:color w:val="auto"/>
          <w:sz w:val="21"/>
          <w:szCs w:val="21"/>
          <w:highlight w:val="none"/>
          <w:u w:val="single"/>
          <w:lang w:val="en-US" w:eastAsia="zh-CN"/>
        </w:rPr>
        <w:t xml:space="preserve">年</w:t>
      </w:r>
      <w:r>
        <w:rPr>
          <w:rFonts w:hint="eastAsia" w:ascii="宋体" w:hAnsi="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lang w:val="en-US" w:eastAsia="zh-CN"/>
        </w:rPr>
        <w:t xml:space="preserve">月</w:t>
      </w:r>
      <w:r>
        <w:rPr>
          <w:rFonts w:hint="eastAsia" w:ascii="宋体" w:hAnsi="宋体" w:cs="宋体"/>
          <w:color w:val="auto"/>
          <w:sz w:val="21"/>
          <w:szCs w:val="21"/>
          <w:highlight w:val="none"/>
          <w:u w:val="single"/>
          <w:lang w:val="en-US" w:eastAsia="zh-CN"/>
        </w:rPr>
        <w:t xml:space="preserve">29</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09：30</w:t>
      </w:r>
      <w:r>
        <w:rPr>
          <w:rFonts w:hint="eastAsia" w:ascii="宋体" w:hAnsi="宋体" w:eastAsia="宋体" w:cs="宋体"/>
          <w:bCs/>
          <w:color w:val="auto"/>
          <w:sz w:val="21"/>
          <w:szCs w:val="21"/>
          <w:highlight w:val="none"/>
        </w:rPr>
        <w:t xml:space="preserve">（北京时间）前提交响应文件。</w:t>
      </w:r>
      <w:bookmarkStart w:id="9" w:name="_Toc38985263"/>
      <w:r/>
      <w:bookmarkStart w:id="10" w:name="_Toc28359002"/>
      <w:r/>
      <w:bookmarkStart w:id="11" w:name="_Toc28359079"/>
      <w:r/>
      <w:bookmarkStart w:id="12" w:name="_Toc35393621"/>
      <w:r/>
      <w:bookmarkStart w:id="13" w:name="_Toc35393790"/>
      <w:r/>
      <w:bookmarkStart w:id="14" w:name="_Hlk24379207"/>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bookmarkEnd w:id="9"/>
      <w:r/>
      <w:bookmarkEnd w:id="10"/>
      <w:r/>
      <w:bookmarkEnd w:id="11"/>
      <w:r/>
      <w:bookmarkEnd w:id="12"/>
      <w:r/>
      <w:bookmarkEnd w:id="13"/>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JSZC-320000-JSWD-C2026-0016</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2.项目名称：</w:t>
      </w:r>
      <w:r>
        <w:rPr>
          <w:rFonts w:hint="eastAsia" w:ascii="宋体" w:hAnsi="宋体" w:cs="宋体"/>
          <w:color w:val="auto"/>
          <w:sz w:val="21"/>
          <w:szCs w:val="21"/>
          <w:highlight w:val="none"/>
          <w:lang w:eastAsia="zh-CN"/>
        </w:rPr>
        <w:t xml:space="preserve">扬州大学兽医学科生命科学大楼各团队实验室改造工程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3.采购方式：竞争性磋商</w:t>
      </w:r>
      <w:bookmarkEnd w:id="14"/>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cs="宋体"/>
          <w:color w:val="auto"/>
          <w:sz w:val="21"/>
          <w:szCs w:val="21"/>
          <w:highlight w:val="none"/>
          <w:lang w:val="en-US" w:eastAsia="zh-CN"/>
        </w:rPr>
        <w:t xml:space="preserve">200.4</w:t>
      </w:r>
      <w:r>
        <w:rPr>
          <w:rFonts w:hint="eastAsia" w:ascii="宋体" w:hAnsi="宋体" w:cs="宋体"/>
          <w:color w:val="auto"/>
          <w:sz w:val="21"/>
          <w:szCs w:val="21"/>
          <w:highlight w:val="none"/>
          <w:lang w:eastAsia="zh-CN"/>
        </w:rPr>
        <w:t xml:space="preserve">万元</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5.最高限价：本项目设置最高限价，最高限价为</w:t>
      </w:r>
      <w:r>
        <w:rPr>
          <w:rFonts w:hint="eastAsia" w:ascii="宋体" w:hAnsi="宋体" w:cs="宋体"/>
          <w:color w:val="auto"/>
          <w:sz w:val="21"/>
          <w:szCs w:val="21"/>
          <w:highlight w:val="none"/>
          <w:lang w:val="en-US" w:eastAsia="zh-CN"/>
        </w:rPr>
        <w:t xml:space="preserve">200.4万元</w:t>
      </w:r>
      <w:r>
        <w:rPr>
          <w:rFonts w:hint="eastAsia" w:ascii="宋体" w:hAnsi="宋体" w:eastAsia="宋体" w:cs="宋体"/>
          <w:color w:val="auto"/>
          <w:sz w:val="21"/>
          <w:szCs w:val="21"/>
          <w:highlight w:val="none"/>
          <w:lang w:eastAsia="zh-CN"/>
        </w:rPr>
        <w:t xml:space="preserve">（超过最高限价的报价为无效报价，按照无效响应处理）</w:t>
      </w:r>
      <w:r/>
    </w:p>
    <w:p>
      <w:pPr>
        <w:ind w:firstLine="420"/>
        <w:spacing w:line="360" w:lineRule="auto"/>
        <w:rPr>
          <w:rFonts w:ascii="宋体" w:hAnsi="宋体" w:cs="宋体"/>
          <w:color w:val="auto"/>
          <w:szCs w:val="21"/>
          <w:highlight w:val="none"/>
        </w:rPr>
      </w:pPr>
      <w:r>
        <w:rPr>
          <w:rFonts w:hint="eastAsia" w:ascii="宋体" w:hAnsi="宋体" w:eastAsia="宋体" w:cs="宋体"/>
          <w:color w:val="auto"/>
          <w:sz w:val="21"/>
          <w:szCs w:val="21"/>
          <w:highlight w:val="none"/>
        </w:rPr>
        <w:t xml:space="preserve">6.采购需求：</w:t>
      </w:r>
      <w:r>
        <w:rPr>
          <w:rFonts w:hint="eastAsia" w:ascii="宋体" w:hAnsi="宋体" w:cs="宋体"/>
          <w:color w:val="auto"/>
          <w:szCs w:val="21"/>
          <w:highlight w:val="none"/>
          <w:lang w:eastAsia="zh-CN"/>
        </w:rPr>
        <w:t xml:space="preserve">主要范围为</w:t>
      </w:r>
      <w:r>
        <w:rPr>
          <w:rFonts w:hint="eastAsia" w:ascii="宋体" w:hAnsi="宋体" w:cs="宋体"/>
          <w:color w:val="auto"/>
          <w:sz w:val="21"/>
          <w:szCs w:val="21"/>
          <w:highlight w:val="none"/>
          <w:lang w:eastAsia="zh-CN"/>
        </w:rPr>
        <w:t xml:space="preserve">扬州大学兽医学科生命科学大楼各团队实验室改造工程</w:t>
      </w:r>
      <w:r>
        <w:rPr>
          <w:rFonts w:hint="eastAsia" w:ascii="宋体" w:hAnsi="宋体" w:eastAsia="宋体" w:cs="宋体"/>
          <w:color w:val="auto"/>
          <w:sz w:val="21"/>
          <w:szCs w:val="21"/>
          <w:highlight w:val="none"/>
          <w:lang w:val="en-US" w:eastAsia="zh-CN"/>
        </w:rPr>
        <w:t xml:space="preserve">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包含但不限于本项目施工图纸及工程量清单范围内的所有施工内容。具体详见</w:t>
      </w:r>
      <w:r>
        <w:rPr>
          <w:rFonts w:hint="eastAsia" w:ascii="宋体" w:hAnsi="宋体" w:cs="宋体"/>
          <w:color w:val="auto"/>
          <w:szCs w:val="21"/>
          <w:highlight w:val="none"/>
          <w:lang w:val="en-US" w:eastAsia="zh-CN"/>
        </w:rPr>
        <w:t xml:space="preserve">磋商文件需求</w:t>
      </w:r>
      <w:r>
        <w:rPr>
          <w:rFonts w:hint="eastAsia" w:ascii="宋体" w:hAnsi="宋体" w:cs="宋体"/>
          <w:color w:val="auto"/>
          <w:szCs w:val="21"/>
          <w:highlight w:val="none"/>
        </w:rPr>
        <w:t xml:space="preserve">、图纸及工程量清单；</w:t>
      </w:r>
      <w:r/>
    </w:p>
    <w:p>
      <w:pPr>
        <w:ind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7.合同履行期限：</w:t>
      </w:r>
      <w:bookmarkStart w:id="15" w:name="_Toc35393622"/>
      <w:r/>
      <w:bookmarkStart w:id="16" w:name="_Toc35393791"/>
      <w:r/>
      <w:bookmarkStart w:id="17" w:name="_Toc38985264"/>
      <w:r/>
      <w:bookmarkStart w:id="18" w:name="_Toc28359080"/>
      <w:r/>
      <w:bookmarkStart w:id="19" w:name="_Toc28359003"/>
      <w:r>
        <w:rPr>
          <w:rFonts w:hint="eastAsia" w:ascii="宋体" w:hAnsi="宋体" w:cs="宋体"/>
          <w:color w:val="auto"/>
          <w:sz w:val="21"/>
          <w:szCs w:val="21"/>
          <w:highlight w:val="none"/>
          <w:lang w:val="en-US" w:eastAsia="zh-CN" w:bidi="ar-SA"/>
        </w:rPr>
        <w:t xml:space="preserve">合同签订后100日历天内</w:t>
      </w:r>
      <w:r>
        <w:rPr>
          <w:rFonts w:hint="eastAsia" w:ascii="宋体" w:hAnsi="宋体" w:eastAsia="宋体" w:cs="宋体"/>
          <w:color w:val="auto"/>
          <w:sz w:val="21"/>
          <w:szCs w:val="21"/>
          <w:highlight w:val="none"/>
          <w:lang w:val="en-US" w:eastAsia="zh-CN" w:bidi="ar-SA"/>
        </w:rPr>
        <w:t xml:space="preserve">完成整个工程的工程量并且合格，</w:t>
      </w:r>
      <w:r>
        <w:rPr>
          <w:rFonts w:hint="eastAsia" w:ascii="宋体" w:hAnsi="宋体" w:eastAsia="宋体" w:cs="宋体"/>
          <w:color w:val="auto"/>
          <w:sz w:val="21"/>
          <w:szCs w:val="21"/>
          <w:highlight w:val="none"/>
        </w:rPr>
        <w:t xml:space="preserve">计划开工日期：2026年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日，计划竣工日期：2026年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23日</w:t>
      </w:r>
      <w:r>
        <w:rPr>
          <w:rFonts w:hint="eastAsia" w:ascii="宋体" w:hAnsi="宋体" w:eastAsia="宋体" w:cs="宋体"/>
          <w:color w:val="auto"/>
          <w:sz w:val="21"/>
          <w:szCs w:val="21"/>
          <w:highlight w:val="none"/>
        </w:rPr>
        <w:t xml:space="preserve">。（具体开工日期以甲方签发的书面开工通知为准）；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8.本项目（是/否）接受联合体：</w:t>
      </w:r>
      <w:r>
        <w:rPr>
          <w:rFonts w:hint="eastAsia" w:ascii="宋体" w:hAnsi="宋体" w:cs="宋体"/>
          <w:b/>
          <w:bCs/>
          <w:color w:val="auto"/>
          <w:sz w:val="21"/>
          <w:szCs w:val="21"/>
          <w:highlight w:val="none"/>
          <w:lang w:val="en-US" w:eastAsia="zh-CN"/>
        </w:rPr>
        <w:t xml:space="preserve">是</w:t>
      </w:r>
      <w:r/>
    </w:p>
    <w:p>
      <w:pPr>
        <w:ind w:left="0" w:firstLine="420"/>
        <w:keepLines w:val="0"/>
        <w:keepNext w:val="0"/>
        <w:pageBreakBefore w:val="0"/>
        <w:spacing w:line="36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)若以联合体形式参加</w:t>
      </w:r>
      <w:r>
        <w:rPr>
          <w:rFonts w:hint="eastAsia" w:ascii="宋体" w:hAnsi="宋体" w:cs="宋体"/>
          <w:i w:val="0"/>
          <w:iCs w:val="0"/>
          <w:color w:val="auto"/>
          <w:sz w:val="21"/>
          <w:szCs w:val="21"/>
          <w:highlight w:val="none"/>
          <w:u w:val="none"/>
          <w:lang w:eastAsia="zh-CN"/>
        </w:rPr>
        <w:t xml:space="preserve">投标（响应）</w:t>
      </w:r>
      <w:r>
        <w:rPr>
          <w:rFonts w:hint="eastAsia" w:ascii="宋体" w:hAnsi="宋体" w:eastAsia="宋体" w:cs="宋体"/>
          <w:i w:val="0"/>
          <w:iCs w:val="0"/>
          <w:color w:val="auto"/>
          <w:sz w:val="21"/>
          <w:szCs w:val="21"/>
          <w:highlight w:val="none"/>
          <w:u w:val="none"/>
        </w:rPr>
        <w:t xml:space="preserve">的，参加联合体的供应商均应当具备《中华人民共和国政府采购法》第二十二条规定的条件，并应当向采购人提交联合协议，载明联合体各方承担的工作和义务。</w:t>
      </w:r>
      <w:r/>
    </w:p>
    <w:p>
      <w:pPr>
        <w:ind w:left="0" w:firstLine="420"/>
        <w:keepLines w:val="0"/>
        <w:keepNext w:val="0"/>
        <w:pageBreakBefore w:val="0"/>
        <w:spacing w:line="360" w:lineRule="auto"/>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rPr>
        <w:t xml:space="preserve">联合体各方必须指定一方作为联合体的牵头单位，授权其代表所有联合体成员负责</w:t>
      </w:r>
      <w:r>
        <w:rPr>
          <w:rFonts w:hint="eastAsia" w:ascii="宋体" w:hAnsi="宋体" w:cs="宋体"/>
          <w:i w:val="0"/>
          <w:iCs w:val="0"/>
          <w:color w:val="auto"/>
          <w:sz w:val="21"/>
          <w:szCs w:val="21"/>
          <w:highlight w:val="none"/>
          <w:u w:val="none"/>
          <w:lang w:eastAsia="zh-CN"/>
        </w:rPr>
        <w:t xml:space="preserve">投标（响应）</w:t>
      </w:r>
      <w:r>
        <w:rPr>
          <w:rFonts w:hint="eastAsia" w:ascii="宋体" w:hAnsi="宋体" w:eastAsia="宋体" w:cs="宋体"/>
          <w:i w:val="0"/>
          <w:iCs w:val="0"/>
          <w:color w:val="auto"/>
          <w:sz w:val="21"/>
          <w:szCs w:val="21"/>
          <w:highlight w:val="none"/>
          <w:u w:val="none"/>
        </w:rPr>
        <w:t xml:space="preserve">和合同实施阶段的主办、协调工作，并应当向采购人提交由所有联合体成员法定代表人签署的授权书</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aps w:val="0"/>
          <w:color w:val="060a26"/>
          <w:spacing w:val="0"/>
          <w:sz w:val="21"/>
          <w:szCs w:val="21"/>
          <w:highlight w:val="none"/>
          <w:shd w:val="clear" w:color="auto" w:fill="ffffff"/>
        </w:rPr>
        <w:t xml:space="preserve">拟派项目经理需由牵头</w:t>
      </w:r>
      <w:r>
        <w:rPr>
          <w:rFonts w:hint="eastAsia" w:ascii="宋体" w:hAnsi="宋体" w:eastAsia="宋体" w:cs="宋体"/>
          <w:i w:val="0"/>
          <w:iCs w:val="0"/>
          <w:caps w:val="0"/>
          <w:color w:val="060a26"/>
          <w:spacing w:val="0"/>
          <w:sz w:val="21"/>
          <w:szCs w:val="21"/>
          <w:highlight w:val="none"/>
          <w:shd w:val="clear" w:color="auto" w:fill="ffffff"/>
          <w:lang w:val="en-US" w:eastAsia="zh-CN"/>
        </w:rPr>
        <w:t xml:space="preserve">方</w:t>
      </w:r>
      <w:r>
        <w:rPr>
          <w:rFonts w:hint="eastAsia" w:ascii="宋体" w:hAnsi="宋体" w:eastAsia="宋体" w:cs="宋体"/>
          <w:i w:val="0"/>
          <w:iCs w:val="0"/>
          <w:caps w:val="0"/>
          <w:color w:val="060a26"/>
          <w:spacing w:val="0"/>
          <w:sz w:val="21"/>
          <w:szCs w:val="21"/>
          <w:highlight w:val="none"/>
          <w:shd w:val="clear" w:color="auto" w:fill="ffffff"/>
        </w:rPr>
        <w:t xml:space="preserve">派遣并为牵头方在职员工</w:t>
      </w:r>
      <w:r>
        <w:rPr>
          <w:rFonts w:hint="eastAsia" w:ascii="宋体" w:hAnsi="宋体" w:eastAsia="宋体" w:cs="宋体"/>
          <w:i w:val="0"/>
          <w:iCs w:val="0"/>
          <w:caps w:val="0"/>
          <w:color w:val="060a26"/>
          <w:spacing w:val="0"/>
          <w:sz w:val="21"/>
          <w:szCs w:val="21"/>
          <w:highlight w:val="none"/>
          <w:shd w:val="clear" w:color="auto" w:fill="ffffff"/>
          <w:lang w:eastAsia="zh-CN"/>
        </w:rPr>
        <w:t xml:space="preserve">。</w:t>
      </w:r>
      <w:r>
        <w:rPr>
          <w:rFonts w:hint="eastAsia" w:ascii="宋体" w:hAnsi="宋体" w:eastAsia="宋体" w:cs="宋体"/>
          <w:i w:val="0"/>
          <w:iCs w:val="0"/>
          <w:color w:val="auto"/>
          <w:sz w:val="21"/>
          <w:szCs w:val="21"/>
          <w:highlight w:val="none"/>
          <w:u w:val="none"/>
        </w:rPr>
        <w:t xml:space="preserve">联合体各成员与采购人之间的往来信函将通过牵头单位传递。</w:t>
      </w:r>
      <w:r/>
    </w:p>
    <w:p>
      <w:pPr>
        <w:ind w:left="0" w:firstLine="420"/>
        <w:keepLines w:val="0"/>
        <w:keepNext w:val="0"/>
        <w:pageBreakBefore w:val="0"/>
        <w:spacing w:line="360" w:lineRule="auto"/>
        <w:rPr>
          <w:rFonts w:hint="eastAsia" w:ascii="宋体" w:hAnsi="宋体" w:eastAsia="宋体" w:cs="宋体"/>
          <w:color w:val="auto"/>
          <w:sz w:val="21"/>
          <w:szCs w:val="21"/>
          <w:highlight w:val="none"/>
          <w:u w:val="single"/>
        </w:rPr>
      </w:pPr>
      <w:r>
        <w:rPr>
          <w:rFonts w:hint="eastAsia" w:ascii="宋体" w:hAnsi="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rPr>
        <w:t xml:space="preserve">联合体各方应明确联合体主体单位，</w:t>
      </w:r>
      <w:r>
        <w:rPr>
          <w:rFonts w:hint="eastAsia" w:ascii="宋体" w:hAnsi="宋体" w:eastAsia="宋体" w:cs="宋体"/>
          <w:i w:val="0"/>
          <w:iCs w:val="0"/>
          <w:color w:val="auto"/>
          <w:sz w:val="21"/>
          <w:szCs w:val="21"/>
          <w:highlight w:val="none"/>
          <w:u w:val="none"/>
          <w:lang w:val="en-US" w:eastAsia="zh-CN"/>
        </w:rPr>
        <w:t xml:space="preserve">响应</w:t>
      </w:r>
      <w:r>
        <w:rPr>
          <w:rFonts w:hint="eastAsia" w:ascii="宋体" w:hAnsi="宋体" w:eastAsia="宋体" w:cs="宋体"/>
          <w:i w:val="0"/>
          <w:iCs w:val="0"/>
          <w:color w:val="auto"/>
          <w:sz w:val="21"/>
          <w:szCs w:val="21"/>
          <w:highlight w:val="none"/>
          <w:u w:val="none"/>
        </w:rPr>
        <w:t xml:space="preserve">文件内容可由联合体主体单位加盖单位公章，并由其法定代表人或授权代表签字。</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bookmarkEnd w:id="15"/>
      <w:r/>
      <w:bookmarkEnd w:id="16"/>
      <w:r/>
      <w:bookmarkEnd w:id="17"/>
      <w:r/>
      <w:bookmarkEnd w:id="18"/>
      <w:r/>
      <w:bookmarkEnd w:id="19"/>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bookmarkStart w:id="20" w:name="_Toc28359004"/>
      <w:r/>
      <w:bookmarkStart w:id="21" w:name="_Toc35393792"/>
      <w:r/>
      <w:bookmarkStart w:id="22" w:name="_Toc35393623"/>
      <w:r/>
      <w:bookmarkStart w:id="23" w:name="_Toc28359081"/>
      <w:r/>
      <w:bookmarkStart w:id="24" w:name="_Toc38985265"/>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lang w:val="en-US" w:eastAsia="zh-CN"/>
        </w:rPr>
        <w:t xml:space="preserve">一</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满足《中华人民共和国政府采购法》第二十二条规定：</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1.</w:t>
      </w:r>
      <w:r>
        <w:rPr>
          <w:rFonts w:hint="eastAsia" w:ascii="宋体" w:hAnsi="宋体" w:eastAsia="宋体" w:cs="宋体"/>
          <w:i/>
          <w:iCs/>
          <w:color w:val="auto"/>
          <w:sz w:val="21"/>
          <w:szCs w:val="21"/>
          <w:highlight w:val="none"/>
          <w:u w:val="single"/>
        </w:rPr>
        <w:t xml:space="preserve">法人或者其他组织的营业执照等证明文件，自然人的身份证明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lang w:eastAsia="zh-CN"/>
        </w:rPr>
        <w:t xml:space="preserve">2024年度或2025年度</w:t>
      </w:r>
      <w:r>
        <w:rPr>
          <w:rFonts w:hint="eastAsia" w:ascii="宋体" w:hAnsi="宋体" w:eastAsia="宋体" w:cs="宋体"/>
          <w:i/>
          <w:iCs/>
          <w:color w:val="auto"/>
          <w:sz w:val="21"/>
          <w:szCs w:val="21"/>
          <w:highlight w:val="none"/>
          <w:u w:val="single"/>
        </w:rPr>
        <w:t xml:space="preserve">的财务报告情况（成立不满一年不需提供）</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依法缴纳税收和社会保障资金的相关材料（提供提交</w:t>
      </w:r>
      <w:r>
        <w:rPr>
          <w:rFonts w:hint="eastAsia" w:ascii="宋体" w:hAnsi="宋体" w:cs="宋体"/>
          <w:i/>
          <w:iCs/>
          <w:color w:val="auto"/>
          <w:sz w:val="21"/>
          <w:szCs w:val="21"/>
          <w:highlight w:val="none"/>
          <w:u w:val="single"/>
          <w:lang w:eastAsia="zh-CN"/>
        </w:rPr>
        <w:t xml:space="preserve">投标（响应）</w:t>
      </w:r>
      <w:r>
        <w:rPr>
          <w:rFonts w:hint="eastAsia" w:ascii="宋体" w:hAnsi="宋体" w:eastAsia="宋体" w:cs="宋体"/>
          <w:i/>
          <w:iCs/>
          <w:color w:val="auto"/>
          <w:sz w:val="21"/>
          <w:szCs w:val="21"/>
          <w:highlight w:val="none"/>
          <w:u w:val="single"/>
        </w:rPr>
        <w:t xml:space="preserve">文件截止时间前一年内任意一个月依法缴纳税收及缴纳社会保障资金的证明材料。</w:t>
      </w:r>
      <w:r>
        <w:rPr>
          <w:rFonts w:hint="eastAsia" w:ascii="宋体" w:hAnsi="宋体" w:cs="宋体"/>
          <w:i/>
          <w:iCs/>
          <w:color w:val="auto"/>
          <w:sz w:val="21"/>
          <w:szCs w:val="21"/>
          <w:highlight w:val="none"/>
          <w:u w:val="single"/>
          <w:lang w:eastAsia="zh-CN"/>
        </w:rPr>
        <w:t xml:space="preserve">供应商</w:t>
      </w:r>
      <w:r>
        <w:rPr>
          <w:rFonts w:hint="eastAsia" w:ascii="宋体" w:hAnsi="宋体" w:eastAsia="宋体" w:cs="宋体"/>
          <w:i/>
          <w:iCs/>
          <w:color w:val="auto"/>
          <w:sz w:val="21"/>
          <w:szCs w:val="21"/>
          <w:highlight w:val="none"/>
          <w:u w:val="single"/>
        </w:rPr>
        <w:t xml:space="preserve">依法享受缓缴、免缴税收、社会保障资金的提供证明材料）</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rPr>
        <w:t xml:space="preserve">具备履行合同所必需的设备和专业技术能力的书面声明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eastAsia="宋体" w:cs="宋体"/>
          <w:i/>
          <w:iCs/>
          <w:color w:val="auto"/>
          <w:sz w:val="21"/>
          <w:szCs w:val="21"/>
          <w:highlight w:val="none"/>
          <w:u w:val="single"/>
        </w:rPr>
        <w:t xml:space="preserve">参加本次政府采购活动前3年内在经营活动中没有重大违法记录的书面声明</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bCs/>
          <w:i/>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6.</w:t>
      </w:r>
      <w:r>
        <w:rPr>
          <w:rFonts w:hint="eastAsia" w:ascii="宋体" w:hAnsi="宋体" w:eastAsia="宋体" w:cs="宋体"/>
          <w:i/>
          <w:iCs/>
          <w:color w:val="auto"/>
          <w:sz w:val="21"/>
          <w:szCs w:val="21"/>
          <w:highlight w:val="none"/>
          <w:u w:val="single"/>
        </w:rPr>
        <w:t xml:space="preserve">供应商信用承诺函</w:t>
      </w:r>
      <w:r>
        <w:rPr>
          <w:rFonts w:hint="eastAsia" w:ascii="宋体" w:hAnsi="宋体" w:eastAsia="宋体" w:cs="宋体"/>
          <w:i/>
          <w:iCs/>
          <w:color w:val="auto"/>
          <w:sz w:val="21"/>
          <w:szCs w:val="21"/>
          <w:highlight w:val="none"/>
          <w:u w:val="singl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iCs/>
          <w:color w:val="auto"/>
          <w:sz w:val="21"/>
          <w:szCs w:val="21"/>
          <w:highlight w:val="none"/>
          <w:u w:val="single"/>
          <w:lang w:val="en-US" w:eastAsia="zh-CN"/>
        </w:rPr>
        <w:t xml:space="preserve">7.</w:t>
      </w:r>
      <w:r>
        <w:rPr>
          <w:rFonts w:hint="eastAsia" w:ascii="宋体" w:hAnsi="宋体" w:eastAsia="宋体" w:cs="宋体"/>
          <w:i/>
          <w:iCs/>
          <w:color w:val="auto"/>
          <w:sz w:val="21"/>
          <w:szCs w:val="21"/>
          <w:highlight w:val="none"/>
          <w:u w:val="single"/>
        </w:rPr>
        <w:t xml:space="preserve">在“信用中国”网站（www.creditchina.gov.cn）、“中国政府采购网</w:t>
      </w:r>
      <w:r>
        <w:rPr>
          <w:rFonts w:hint="eastAsia" w:ascii="宋体" w:hAnsi="宋体" w:eastAsia="宋体" w:cs="宋体"/>
          <w:i/>
          <w:iCs/>
          <w:color w:val="auto"/>
          <w:sz w:val="21"/>
          <w:szCs w:val="21"/>
          <w:highlight w:val="none"/>
          <w:u w:val="single"/>
          <w:lang w:eastAsia="zh-CN"/>
        </w:rPr>
        <w:t xml:space="preserve">”</w:t>
      </w:r>
      <w:r>
        <w:rPr>
          <w:rFonts w:hint="eastAsia" w:ascii="宋体" w:hAnsi="宋体" w:eastAsia="宋体" w:cs="宋体"/>
          <w:i/>
          <w:iCs/>
          <w:color w:val="auto"/>
          <w:sz w:val="21"/>
          <w:szCs w:val="21"/>
          <w:highlight w:val="none"/>
          <w:u w:val="singl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i/>
          <w:iCs/>
          <w:color w:val="auto"/>
          <w:sz w:val="21"/>
          <w:szCs w:val="21"/>
          <w:highlight w:val="none"/>
          <w:u w:val="single"/>
          <w:lang w:val="en-US" w:eastAsia="zh-CN"/>
        </w:rPr>
        <w:t xml:space="preserve">响应</w:t>
      </w:r>
      <w:r>
        <w:rPr>
          <w:rFonts w:hint="eastAsia" w:ascii="宋体" w:hAnsi="宋体" w:eastAsia="宋体" w:cs="宋体"/>
          <w:i/>
          <w:iCs/>
          <w:color w:val="auto"/>
          <w:sz w:val="21"/>
          <w:szCs w:val="21"/>
          <w:highlight w:val="none"/>
          <w:u w:val="single"/>
        </w:rPr>
        <w:t xml:space="preserve">文件中无需提供证明材料）</w:t>
      </w:r>
      <w:r/>
    </w:p>
    <w:p>
      <w:pPr>
        <w:numPr>
          <w:ilvl w:val="0"/>
          <w:numId w:val="2"/>
        </w:numPr>
        <w:ind w:firstLine="210"/>
        <w:keepLines w:val="0"/>
        <w:keepNext w:val="0"/>
        <w:pageBreakBefore w:val="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color w:val="auto"/>
          <w:sz w:val="21"/>
          <w:szCs w:val="21"/>
          <w:highlight w:val="none"/>
          <w:lang w:eastAsia="zh-CN"/>
        </w:rPr>
        <w:t xml:space="preserve">落实政府采购政策需满足的资格要求：</w:t>
      </w:r>
      <w:r>
        <w:rPr>
          <w:rFonts w:hint="eastAsia" w:ascii="宋体" w:hAnsi="宋体" w:eastAsia="宋体" w:cs="宋体"/>
          <w:i/>
          <w:color w:val="auto"/>
          <w:sz w:val="21"/>
          <w:szCs w:val="21"/>
          <w:highlight w:val="none"/>
          <w:u w:val="single"/>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numPr>
          <w:ilvl w:val="0"/>
          <w:numId w:val="0"/>
        </w:numPr>
        <w:ind w:firstLine="420"/>
        <w:keepLines w:val="0"/>
        <w:keepNext w:val="0"/>
        <w:pageBreakBefore w:val="0"/>
        <w:spacing w:line="360" w:lineRule="auto"/>
        <w:rPr>
          <w:rFonts w:hint="eastAsia" w:ascii="宋体" w:hAnsi="宋体" w:eastAsia="宋体" w:cs="宋体"/>
          <w:i/>
          <w:color w:val="auto"/>
          <w:sz w:val="21"/>
          <w:szCs w:val="21"/>
          <w:highlight w:val="none"/>
          <w:lang w:val="en-US" w:eastAsia="zh-CN"/>
        </w:rPr>
      </w:pPr>
      <w:r>
        <w:rPr>
          <w:rFonts w:hint="eastAsia" w:ascii="宋体" w:hAnsi="宋体" w:eastAsia="宋体" w:cs="宋体"/>
          <w:i/>
          <w:color w:val="auto"/>
          <w:sz w:val="21"/>
          <w:szCs w:val="21"/>
          <w:highlight w:val="none"/>
          <w:u w:val="single"/>
        </w:rPr>
        <w:t xml:space="preserve">注：本项目中小企业划分标准参照《关于印发中小企业划型标准规定的通知》（工信部联企</w:t>
      </w:r>
      <w:r>
        <w:rPr>
          <w:rFonts w:hint="eastAsia" w:ascii="宋体" w:hAnsi="宋体" w:eastAsia="宋体" w:cs="宋体"/>
          <w:i/>
          <w:color w:val="auto"/>
          <w:sz w:val="21"/>
          <w:szCs w:val="21"/>
          <w:highlight w:val="none"/>
          <w:u w:val="single"/>
          <w:lang w:eastAsia="zh-CN"/>
        </w:rPr>
        <w:t xml:space="preserve">〔2011〕300号</w:t>
      </w:r>
      <w:r>
        <w:rPr>
          <w:rFonts w:hint="eastAsia" w:ascii="宋体" w:hAnsi="宋体" w:eastAsia="宋体" w:cs="宋体"/>
          <w:i/>
          <w:color w:val="auto"/>
          <w:sz w:val="21"/>
          <w:szCs w:val="21"/>
          <w:highlight w:val="none"/>
          <w:u w:val="single"/>
        </w:rPr>
        <w:t xml:space="preserve">）中（三）条：建筑业</w:t>
      </w:r>
      <w:r>
        <w:rPr>
          <w:rFonts w:hint="eastAsia" w:ascii="宋体" w:hAnsi="宋体" w:cs="宋体"/>
          <w:i/>
          <w:color w:val="auto"/>
          <w:sz w:val="21"/>
          <w:szCs w:val="21"/>
          <w:highlight w:val="none"/>
          <w:u w:val="single"/>
          <w:lang w:val="en-US" w:eastAsia="zh-CN"/>
        </w:rPr>
        <w:t xml:space="preserve">  </w:t>
      </w:r>
      <w:r/>
    </w:p>
    <w:p>
      <w:pPr>
        <w:ind w:firstLine="21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（三）本项目的特定资格要求：</w:t>
      </w:r>
      <w:r/>
    </w:p>
    <w:p>
      <w:pPr>
        <w:ind w:firstLine="42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1、供应商</w:t>
      </w:r>
      <w:r>
        <w:rPr>
          <w:rFonts w:hint="eastAsia" w:ascii="宋体" w:hAnsi="宋体" w:cs="宋体"/>
          <w:i/>
          <w:color w:val="auto"/>
          <w:szCs w:val="21"/>
          <w:highlight w:val="none"/>
          <w:u w:val="single"/>
        </w:rPr>
        <w:t xml:space="preserve">具有</w:t>
      </w:r>
      <w:r>
        <w:rPr>
          <w:rFonts w:hint="eastAsia" w:ascii="宋体" w:hAnsi="宋体" w:cs="宋体"/>
          <w:i/>
          <w:color w:val="auto"/>
          <w:szCs w:val="21"/>
          <w:highlight w:val="none"/>
          <w:u w:val="single"/>
          <w:lang w:val="en-US" w:eastAsia="zh-CN"/>
        </w:rPr>
        <w:t xml:space="preserve">有效期内</w:t>
      </w:r>
      <w:r>
        <w:rPr>
          <w:rFonts w:hint="eastAsia" w:ascii="宋体" w:hAnsi="宋体" w:cs="宋体"/>
          <w:i/>
          <w:color w:val="auto"/>
          <w:szCs w:val="21"/>
          <w:highlight w:val="none"/>
          <w:u w:val="single"/>
          <w:lang w:val="en-US" w:eastAsia="zh-CN"/>
        </w:rPr>
        <w:t xml:space="preserve">的</w:t>
      </w:r>
      <w:r>
        <w:rPr>
          <w:rFonts w:hint="eastAsia" w:ascii="宋体" w:hAnsi="宋体" w:eastAsia="宋体" w:cs="宋体"/>
          <w:i/>
          <w:iCs/>
          <w:sz w:val="21"/>
          <w:szCs w:val="21"/>
          <w:highlight w:val="none"/>
          <w:u w:val="single"/>
          <w:rtl w:val="0"/>
        </w:rPr>
        <w:t xml:space="preserve">建筑装饰装修专业承包二级及以上资质并且有消防设施工程专业承包二级及以上资质</w:t>
      </w:r>
      <w:r>
        <w:rPr>
          <w:rFonts w:hint="eastAsia" w:ascii="宋体" w:hAnsi="宋体" w:cs="宋体"/>
          <w:i/>
          <w:iCs/>
          <w:color w:val="auto"/>
          <w:szCs w:val="21"/>
          <w:highlight w:val="none"/>
          <w:u w:val="single"/>
          <w:lang w:eastAsia="zh-CN"/>
        </w:rPr>
        <w:t xml:space="preserve">。</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证书原件扫描上传</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 ；</w:t>
      </w:r>
      <w:r/>
    </w:p>
    <w:p>
      <w:pPr>
        <w:ind w:firstLine="420"/>
        <w:keepLines w:val="0"/>
        <w:keepNext w:val="0"/>
        <w:pageBreakBefore w:val="0"/>
        <w:spacing w:line="360" w:lineRule="auto"/>
        <w:shd w:val="clear" w:color="auto" w:fill="auto"/>
        <w:rPr>
          <w:rFonts w:hint="default" w:ascii="宋体" w:hAnsi="宋体" w:cs="宋体"/>
          <w:i/>
          <w:iCs/>
          <w:color w:val="auto"/>
          <w:sz w:val="21"/>
          <w:szCs w:val="21"/>
          <w:highlight w:val="none"/>
          <w:u w:val="single"/>
          <w:lang w:val="en-US" w:eastAsia="zh-CN"/>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color w:val="auto"/>
          <w:szCs w:val="21"/>
          <w:highlight w:val="none"/>
          <w:u w:val="single"/>
        </w:rPr>
        <w:t xml:space="preserve">供应商具备安全生产条件，并取得有效期内的安全生产许可证</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b/>
          <w:bCs/>
          <w:i/>
          <w:iCs/>
          <w:color w:val="auto"/>
          <w:sz w:val="21"/>
          <w:szCs w:val="21"/>
          <w:highlight w:val="none"/>
          <w:u w:val="single"/>
          <w:lang w:val="en-US" w:eastAsia="zh-CN"/>
        </w:rPr>
        <w:t xml:space="preserve">证书原件扫描上传</w:t>
      </w:r>
      <w:r>
        <w:rPr>
          <w:rFonts w:hint="eastAsia" w:ascii="宋体" w:hAnsi="宋体" w:eastAsia="宋体" w:cs="宋体"/>
          <w:b/>
          <w:bCs/>
          <w:i/>
          <w:iCs/>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 </w:t>
      </w:r>
      <w:r/>
    </w:p>
    <w:p>
      <w:pPr>
        <w:ind w:firstLine="420"/>
        <w:keepLines w:val="0"/>
        <w:keepNext w:val="0"/>
        <w:pageBreakBefore w:val="0"/>
        <w:spacing w:line="360" w:lineRule="auto"/>
        <w:shd w:val="clear" w:color="auto" w:fill="auto"/>
        <w:rPr>
          <w:rFonts w:hint="eastAsia" w:ascii="宋体" w:hAnsi="宋体" w:eastAsia="宋体" w:cs="宋体"/>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、供应商拟派项目经理为</w:t>
      </w:r>
      <w:r>
        <w:rPr>
          <w:rFonts w:hint="eastAsia" w:ascii="宋体" w:hAnsi="宋体" w:cs="宋体"/>
          <w:i/>
          <w:iCs/>
          <w:color w:val="auto"/>
          <w:sz w:val="21"/>
          <w:szCs w:val="21"/>
          <w:highlight w:val="none"/>
          <w:u w:val="single"/>
          <w:lang w:val="en-US" w:eastAsia="zh-CN"/>
        </w:rPr>
        <w:t xml:space="preserve">牵头</w:t>
      </w:r>
      <w:r>
        <w:rPr>
          <w:rFonts w:hint="eastAsia" w:ascii="宋体" w:hAnsi="宋体" w:eastAsia="宋体" w:cs="宋体"/>
          <w:i/>
          <w:iCs/>
          <w:color w:val="auto"/>
          <w:sz w:val="21"/>
          <w:szCs w:val="21"/>
          <w:highlight w:val="none"/>
          <w:u w:val="single"/>
        </w:rPr>
        <w:t xml:space="preserve">公司正式员工，具备</w:t>
      </w:r>
      <w:r>
        <w:rPr>
          <w:rFonts w:hint="eastAsia" w:ascii="宋体" w:hAnsi="宋体" w:eastAsia="宋体" w:cs="宋体"/>
          <w:i/>
          <w:iCs/>
          <w:color w:val="auto"/>
          <w:sz w:val="21"/>
          <w:szCs w:val="21"/>
          <w:highlight w:val="none"/>
          <w:u w:val="single"/>
          <w:rtl w:val="0"/>
        </w:rPr>
        <w:t xml:space="preserve">建筑工程</w:t>
      </w:r>
      <w:r>
        <w:rPr>
          <w:rFonts w:hint="eastAsia" w:ascii="宋体" w:hAnsi="宋体" w:eastAsia="宋体" w:cs="宋体"/>
          <w:i/>
          <w:iCs/>
          <w:color w:val="auto"/>
          <w:sz w:val="21"/>
          <w:szCs w:val="21"/>
          <w:highlight w:val="none"/>
          <w:u w:val="single"/>
          <w:rtl w:val="0"/>
          <w:lang w:val="en-US" w:eastAsia="zh-CN"/>
        </w:rPr>
        <w:t xml:space="preserve">或机电工程</w:t>
      </w:r>
      <w:r>
        <w:rPr>
          <w:rFonts w:hint="eastAsia" w:ascii="宋体" w:hAnsi="宋体" w:eastAsia="宋体" w:cs="宋体"/>
          <w:i/>
          <w:iCs/>
          <w:color w:val="auto"/>
          <w:sz w:val="21"/>
          <w:szCs w:val="21"/>
          <w:highlight w:val="none"/>
          <w:u w:val="single"/>
          <w:rtl w:val="0"/>
        </w:rPr>
        <w:t xml:space="preserve">专业二级及以上注册建造师执业资格</w:t>
      </w:r>
      <w:r>
        <w:rPr>
          <w:rFonts w:hint="eastAsia" w:ascii="宋体" w:hAnsi="宋体" w:cs="宋体"/>
          <w:i/>
          <w:color w:val="auto"/>
          <w:szCs w:val="21"/>
          <w:highlight w:val="none"/>
          <w:u w:val="single"/>
        </w:rPr>
        <w:t xml:space="preserve">，</w:t>
      </w:r>
      <w:r>
        <w:rPr>
          <w:rFonts w:hint="eastAsia" w:ascii="宋体" w:hAnsi="宋体" w:cs="宋体"/>
          <w:i/>
          <w:color w:val="auto"/>
          <w:szCs w:val="21"/>
          <w:highlight w:val="none"/>
          <w:u w:val="single"/>
          <w:lang w:val="en-US" w:eastAsia="zh-CN"/>
        </w:rPr>
        <w:t xml:space="preserve">并</w:t>
      </w:r>
      <w:r>
        <w:rPr>
          <w:rFonts w:hint="eastAsia" w:ascii="宋体" w:hAnsi="宋体" w:cs="宋体"/>
          <w:i/>
          <w:color w:val="auto"/>
          <w:szCs w:val="21"/>
          <w:highlight w:val="none"/>
          <w:u w:val="single"/>
        </w:rPr>
        <w:t xml:space="preserve">具备有效的安全生产考核合格证B证</w:t>
      </w:r>
      <w:r>
        <w:rPr>
          <w:rFonts w:hint="eastAsia" w:ascii="宋体" w:hAnsi="宋体" w:eastAsia="宋体" w:cs="宋体"/>
          <w:i/>
          <w:iCs/>
          <w:color w:val="auto"/>
          <w:sz w:val="21"/>
          <w:szCs w:val="21"/>
          <w:highlight w:val="none"/>
          <w:u w:val="single"/>
        </w:rPr>
        <w:t xml:space="preserve">(提供证书、</w:t>
      </w:r>
      <w:r>
        <w:rPr>
          <w:rFonts w:hint="eastAsia" w:ascii="宋体" w:hAnsi="宋体" w:eastAsia="宋体" w:cs="宋体"/>
          <w:i/>
          <w:iCs/>
          <w:color w:val="auto"/>
          <w:sz w:val="21"/>
          <w:szCs w:val="21"/>
          <w:highlight w:val="none"/>
          <w:u w:val="single"/>
          <w:lang w:eastAsia="zh-CN"/>
        </w:rPr>
        <w:t xml:space="preserve">供应商近</w:t>
      </w:r>
      <w:r>
        <w:rPr>
          <w:rFonts w:hint="eastAsia" w:ascii="宋体" w:hAnsi="宋体" w:cs="宋体"/>
          <w:i/>
          <w:iCs/>
          <w:color w:val="auto"/>
          <w:sz w:val="21"/>
          <w:szCs w:val="21"/>
          <w:highlight w:val="none"/>
          <w:u w:val="single"/>
          <w:lang w:val="en-US" w:eastAsia="zh-CN"/>
        </w:rPr>
        <w:t xml:space="preserve">一年</w:t>
      </w:r>
      <w:r>
        <w:rPr>
          <w:rFonts w:hint="eastAsia" w:ascii="宋体" w:hAnsi="宋体" w:eastAsia="宋体" w:cs="宋体"/>
          <w:i/>
          <w:iCs/>
          <w:color w:val="auto"/>
          <w:sz w:val="21"/>
          <w:szCs w:val="21"/>
          <w:highlight w:val="none"/>
          <w:u w:val="single"/>
          <w:lang w:eastAsia="zh-CN"/>
        </w:rPr>
        <w:t xml:space="preserve">内</w:t>
      </w:r>
      <w:r>
        <w:rPr>
          <w:rFonts w:hint="eastAsia" w:ascii="宋体" w:hAnsi="宋体" w:eastAsia="宋体" w:cs="宋体"/>
          <w:i/>
          <w:iCs/>
          <w:color w:val="auto"/>
          <w:sz w:val="21"/>
          <w:szCs w:val="21"/>
          <w:highlight w:val="none"/>
          <w:u w:val="single"/>
          <w:lang w:val="en-US" w:eastAsia="zh-CN"/>
        </w:rPr>
        <w:t xml:space="preserve">任意一个月</w:t>
      </w:r>
      <w:r>
        <w:rPr>
          <w:rFonts w:hint="eastAsia" w:ascii="宋体" w:hAnsi="宋体" w:eastAsia="宋体" w:cs="宋体"/>
          <w:i/>
          <w:iCs/>
          <w:color w:val="auto"/>
          <w:sz w:val="21"/>
          <w:szCs w:val="21"/>
          <w:highlight w:val="none"/>
          <w:u w:val="single"/>
          <w:lang w:eastAsia="zh-CN"/>
        </w:rPr>
        <w:t xml:space="preserve">为其缴纳社保的证明</w:t>
      </w:r>
      <w:r>
        <w:rPr>
          <w:rFonts w:hint="eastAsia" w:ascii="宋体" w:hAnsi="宋体" w:eastAsia="宋体" w:cs="宋体"/>
          <w:i/>
          <w:iCs/>
          <w:color w:val="auto"/>
          <w:sz w:val="21"/>
          <w:szCs w:val="21"/>
          <w:highlight w:val="none"/>
          <w:u w:val="single"/>
          <w:lang w:val="en-US" w:eastAsia="zh-CN"/>
        </w:rPr>
        <w:t xml:space="preserve">材料，</w:t>
      </w:r>
      <w:r>
        <w:rPr>
          <w:rFonts w:hint="eastAsia" w:ascii="宋体" w:hAnsi="宋体" w:eastAsia="宋体" w:cs="宋体"/>
          <w:b/>
          <w:bCs/>
          <w:i/>
          <w:iCs/>
          <w:color w:val="auto"/>
          <w:sz w:val="21"/>
          <w:szCs w:val="21"/>
          <w:highlight w:val="none"/>
          <w:u w:val="single"/>
          <w:lang w:val="en-US" w:eastAsia="zh-CN"/>
        </w:rPr>
        <w:t xml:space="preserve">原件扫描上传</w:t>
      </w:r>
      <w:r>
        <w:rPr>
          <w:rFonts w:hint="eastAsia" w:ascii="宋体" w:hAnsi="宋体" w:eastAsia="宋体" w:cs="宋体"/>
          <w:i/>
          <w:iCs/>
          <w:color w:val="auto"/>
          <w:sz w:val="21"/>
          <w:szCs w:val="21"/>
          <w:highlight w:val="none"/>
          <w:u w:val="single"/>
          <w:lang w:val="en-US" w:eastAsia="zh-CN"/>
        </w:rPr>
        <w:t xml:space="preserve">）</w:t>
      </w:r>
      <w:r/>
    </w:p>
    <w:p>
      <w:pPr>
        <w:ind w:firstLine="420"/>
        <w:keepLines w:val="0"/>
        <w:keepNext w:val="0"/>
        <w:pageBreakBefore w:val="0"/>
        <w:spacing w:line="360" w:lineRule="auto"/>
        <w:shd w:val="clear" w:color="auto" w:fill="auto"/>
        <w:rPr>
          <w:rFonts w:hint="eastAsia" w:ascii="宋体" w:hAnsi="宋体" w:eastAsia="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4</w:t>
      </w:r>
      <w:r>
        <w:rPr>
          <w:rFonts w:hint="eastAsia" w:ascii="宋体" w:hAnsi="宋体" w:eastAsia="宋体" w:cs="宋体"/>
          <w:i/>
          <w:iCs/>
          <w:color w:val="auto"/>
          <w:sz w:val="21"/>
          <w:szCs w:val="21"/>
          <w:highlight w:val="none"/>
          <w:u w:val="single"/>
          <w:lang w:val="en-US" w:eastAsia="zh-CN"/>
        </w:rPr>
        <w:t xml:space="preserve">、</w:t>
      </w:r>
      <w:r>
        <w:rPr>
          <w:rFonts w:hint="eastAsia" w:ascii="宋体" w:hAnsi="宋体" w:eastAsia="宋体" w:cs="宋体"/>
          <w:i/>
          <w:iCs/>
          <w:color w:val="auto"/>
          <w:sz w:val="21"/>
          <w:szCs w:val="21"/>
          <w:highlight w:val="none"/>
          <w:u w:val="single"/>
        </w:rPr>
        <w:t xml:space="preserve">供应商拟派项目经理不得同时在两个或者两个以上单位受聘或者执业；不得在其他工程项目上担任项目经理、施工项目负责人</w:t>
      </w:r>
      <w:r>
        <w:rPr>
          <w:rFonts w:hint="eastAsia" w:ascii="宋体" w:hAnsi="宋体" w:eastAsia="宋体" w:cs="宋体"/>
          <w:b/>
          <w:bCs/>
          <w:i/>
          <w:iCs/>
          <w:color w:val="auto"/>
          <w:sz w:val="21"/>
          <w:szCs w:val="21"/>
          <w:highlight w:val="none"/>
          <w:u w:val="single"/>
          <w:lang w:val="en-US" w:eastAsia="zh-CN"/>
        </w:rPr>
        <w:t xml:space="preserve">（提供承诺书加盖供应商公章，原件扫描上传</w:t>
      </w:r>
      <w:r>
        <w:rPr>
          <w:rFonts w:hint="eastAsia" w:ascii="宋体" w:hAnsi="宋体" w:eastAsia="宋体" w:cs="宋体"/>
          <w:b/>
          <w:bCs/>
          <w:i/>
          <w:iCs/>
          <w:color w:val="auto"/>
          <w:sz w:val="21"/>
          <w:szCs w:val="21"/>
          <w:highlight w:val="none"/>
          <w:u w:val="single"/>
        </w:rPr>
        <w:t xml:space="preserve">)</w:t>
      </w:r>
      <w:r/>
    </w:p>
    <w:p>
      <w:pPr>
        <w:ind w:firstLine="420"/>
        <w:keepLines w:val="0"/>
        <w:keepNext w:val="0"/>
        <w:pageBreakBefore w:val="0"/>
        <w:spacing w:line="360" w:lineRule="auto"/>
        <w:shd w:val="clear" w:color="auto" w:fill="auto"/>
        <w:rPr>
          <w:rFonts w:hint="default" w:ascii="宋体" w:hAnsi="宋体" w:eastAsia="宋体" w:cs="宋体"/>
          <w:i/>
          <w:iCs/>
          <w:color w:val="auto"/>
          <w:sz w:val="21"/>
          <w:szCs w:val="21"/>
          <w:highlight w:val="none"/>
          <w:u w:val="single"/>
          <w:lang w:val="en-US" w:eastAsia="zh-CN"/>
        </w:rPr>
      </w:pPr>
      <w:r>
        <w:rPr>
          <w:rFonts w:hint="eastAsia" w:ascii="宋体" w:hAnsi="宋体" w:eastAsia="宋体" w:cs="宋体"/>
          <w:i/>
          <w:iCs/>
          <w:color w:val="auto"/>
          <w:sz w:val="21"/>
          <w:szCs w:val="21"/>
          <w:highlight w:val="none"/>
          <w:u w:val="single"/>
          <w:lang w:val="en-US" w:eastAsia="zh-CN"/>
        </w:rPr>
        <w:t xml:space="preserve">5、</w:t>
      </w:r>
      <w:r>
        <w:rPr>
          <w:rFonts w:hint="eastAsia" w:ascii="宋体" w:hAnsi="宋体" w:cs="宋体"/>
          <w:i/>
          <w:iCs/>
          <w:color w:val="auto"/>
          <w:sz w:val="21"/>
          <w:szCs w:val="21"/>
          <w:highlight w:val="none"/>
          <w:u w:val="single"/>
          <w:lang w:val="en-US" w:eastAsia="zh-CN"/>
        </w:rPr>
        <w:t xml:space="preserve">供应商</w:t>
      </w:r>
      <w:r>
        <w:rPr>
          <w:rFonts w:hint="eastAsia" w:ascii="宋体" w:hAnsi="宋体" w:eastAsia="宋体" w:cs="宋体"/>
          <w:i/>
          <w:iCs/>
          <w:color w:val="auto"/>
          <w:sz w:val="21"/>
          <w:szCs w:val="21"/>
          <w:highlight w:val="none"/>
          <w:u w:val="single"/>
          <w:lang w:val="en-US" w:eastAsia="zh-CN"/>
        </w:rPr>
        <w:t xml:space="preserve">在</w:t>
      </w:r>
      <w:r>
        <w:rPr>
          <w:rFonts w:hint="eastAsia" w:ascii="宋体" w:hAnsi="宋体" w:cs="宋体"/>
          <w:i/>
          <w:iCs/>
          <w:color w:val="auto"/>
          <w:sz w:val="21"/>
          <w:szCs w:val="21"/>
          <w:highlight w:val="none"/>
          <w:u w:val="single"/>
          <w:lang w:val="en-US" w:eastAsia="zh-CN"/>
        </w:rPr>
        <w:t xml:space="preserve">投标（响应）</w:t>
      </w:r>
      <w:r>
        <w:rPr>
          <w:rFonts w:hint="eastAsia" w:ascii="宋体" w:hAnsi="宋体" w:eastAsia="宋体" w:cs="宋体"/>
          <w:i/>
          <w:iCs/>
          <w:color w:val="auto"/>
          <w:sz w:val="21"/>
          <w:szCs w:val="21"/>
          <w:highlight w:val="none"/>
          <w:u w:val="single"/>
          <w:lang w:val="en-US" w:eastAsia="zh-CN"/>
        </w:rPr>
        <w:t xml:space="preserve">文件递交截止时间当日，建筑业企业资质动态监管结果不处于不合格状态</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i/>
          <w:iCs/>
          <w:color w:val="auto"/>
          <w:sz w:val="21"/>
          <w:szCs w:val="21"/>
          <w:highlight w:val="none"/>
          <w:u w:val="single"/>
          <w:lang w:val="en-US" w:eastAsia="zh-CN"/>
        </w:rPr>
        <w:t xml:space="preserve">响应</w:t>
      </w:r>
      <w:r>
        <w:rPr>
          <w:rFonts w:hint="eastAsia" w:ascii="宋体" w:hAnsi="宋体" w:eastAsia="宋体" w:cs="宋体"/>
          <w:i/>
          <w:iCs/>
          <w:color w:val="auto"/>
          <w:sz w:val="21"/>
          <w:szCs w:val="21"/>
          <w:highlight w:val="none"/>
          <w:u w:val="single"/>
        </w:rPr>
        <w:t xml:space="preserve">文件中无需提供证明材料）</w:t>
      </w:r>
      <w:r/>
    </w:p>
    <w:p>
      <w:pPr>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三、获取</w:t>
      </w:r>
      <w:bookmarkEnd w:id="20"/>
      <w:r/>
      <w:bookmarkEnd w:id="21"/>
      <w:r/>
      <w:bookmarkEnd w:id="22"/>
      <w:r/>
      <w:bookmarkEnd w:id="23"/>
      <w:r/>
      <w:bookmarkEnd w:id="24"/>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bookmarkStart w:id="25" w:name="_Toc28359005"/>
      <w:r/>
      <w:bookmarkStart w:id="26" w:name="_Toc28359082"/>
      <w:r/>
      <w:bookmarkStart w:id="27" w:name="_Toc38985266"/>
      <w:r/>
      <w:bookmarkStart w:id="28" w:name="_Toc35393624"/>
      <w:r/>
      <w:bookmarkStart w:id="29" w:name="_Toc35393793"/>
      <w:r>
        <w:rPr>
          <w:rFonts w:hint="eastAsia" w:ascii="宋体" w:hAnsi="宋体" w:eastAsia="宋体" w:cs="宋体"/>
          <w:color w:val="auto"/>
          <w:sz w:val="21"/>
          <w:szCs w:val="21"/>
          <w:highlight w:val="none"/>
        </w:rPr>
        <w:t xml:space="preserve">时间：自磋商文件公告发布之日起</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个工作日</w:t>
      </w:r>
      <w:r>
        <w:rPr>
          <w:rFonts w:hint="eastAsia" w:ascii="宋体" w:hAnsi="宋体" w:eastAsia="宋体" w:cs="宋体"/>
          <w:color w:val="auto"/>
          <w:sz w:val="21"/>
          <w:szCs w:val="21"/>
          <w:highlight w:val="none"/>
          <w:lang w:eastAsia="zh-CN"/>
        </w:rPr>
        <w:t xml:space="preserve">。</w:t>
      </w:r>
      <w:bookmarkEnd w:id="25"/>
      <w:r/>
      <w:bookmarkEnd w:id="26"/>
      <w:r/>
      <w:bookmarkEnd w:id="27"/>
      <w:r/>
      <w:bookmarkEnd w:id="28"/>
      <w:r/>
      <w:bookmarkEnd w:id="29"/>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方式：自行下载 </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四、响应文件提交</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截止时间：</w:t>
      </w:r>
      <w:r>
        <w:rPr>
          <w:rFonts w:ascii="Calibri" w:hAnsi="Calibri" w:eastAsia="Calibri" w:cs="Calibri"/>
          <w:color w:val="000000"/>
          <w:sz w:val="21"/>
          <w:highlight w:val="none"/>
        </w:rPr>
        <w:t xml:space="preserve">2026-</w:t>
      </w:r>
      <w:r>
        <w:rPr>
          <w:rFonts w:hint="eastAsia" w:ascii="Calibri" w:hAnsi="Calibri" w:cs="Calibri"/>
          <w:color w:val="000000"/>
          <w:sz w:val="21"/>
          <w:highlight w:val="none"/>
          <w:lang w:val="en-US" w:eastAsia="zh-CN"/>
        </w:rPr>
        <w:t xml:space="preserve">5</w:t>
      </w:r>
      <w:r>
        <w:rPr>
          <w:rFonts w:ascii="Calibri" w:hAnsi="Calibri" w:eastAsia="Calibri" w:cs="Calibri"/>
          <w:color w:val="000000"/>
          <w:sz w:val="21"/>
          <w:highlight w:val="none"/>
        </w:rPr>
        <w:t xml:space="preserve">-</w:t>
      </w:r>
      <w:r>
        <w:rPr>
          <w:rFonts w:hint="eastAsia" w:ascii="Calibri" w:hAnsi="Calibri" w:cs="Calibri"/>
          <w:color w:val="000000"/>
          <w:sz w:val="21"/>
          <w:highlight w:val="none"/>
          <w:lang w:val="en-US" w:eastAsia="zh-CN"/>
        </w:rPr>
        <w:t xml:space="preserve">29</w:t>
      </w:r>
      <w:r>
        <w:rPr>
          <w:rFonts w:ascii="Calibri" w:hAnsi="Calibri" w:eastAsia="Calibri" w:cs="Calibri"/>
          <w:color w:val="000000"/>
          <w:sz w:val="21"/>
          <w:highlight w:val="none"/>
        </w:rPr>
        <w:t xml:space="preserve"> </w:t>
      </w:r>
      <w:r>
        <w:rPr>
          <w:rFonts w:hint="eastAsia" w:ascii="Calibri" w:hAnsi="Calibri" w:eastAsia="宋体" w:cs="Calibri"/>
          <w:color w:val="000000"/>
          <w:sz w:val="21"/>
          <w:highlight w:val="none"/>
          <w:lang w:val="en-US" w:eastAsia="zh-CN"/>
        </w:rPr>
        <w:t xml:space="preserve"> </w:t>
      </w:r>
      <w:r>
        <w:rPr>
          <w:rFonts w:hint="eastAsia" w:ascii="Calibri" w:hAnsi="Calibri" w:cs="Calibri"/>
          <w:color w:val="000000"/>
          <w:sz w:val="21"/>
          <w:highlight w:val="none"/>
          <w:lang w:val="en-US" w:eastAsia="zh-CN"/>
        </w:rPr>
        <w:t xml:space="preserve">9：30</w:t>
      </w:r>
      <w:r>
        <w:rPr>
          <w:rFonts w:ascii="Calibri" w:hAnsi="Calibri" w:eastAsia="Calibri" w:cs="Calibri"/>
          <w:color w:val="000000"/>
          <w:sz w:val="21"/>
          <w:highlight w:val="none"/>
        </w:rPr>
        <w:t xml:space="preserve"> </w:t>
      </w:r>
      <w:r>
        <w:rPr>
          <w:rFonts w:ascii="宋体" w:hAnsi="宋体" w:eastAsia="宋体" w:cs="宋体"/>
          <w:color w:val="000000"/>
          <w:sz w:val="21"/>
          <w:highlight w:val="none"/>
        </w:rPr>
        <w:t xml:space="preserve">（北京时间）</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地点：“苏采云”系统（网址：</w:t>
      </w:r>
      <w:r>
        <w:rPr>
          <w:rFonts w:ascii="Calibri" w:hAnsi="Calibri" w:eastAsia="Calibri" w:cs="Calibri"/>
          <w:color w:val="000000"/>
          <w:sz w:val="21"/>
          <w:highlight w:val="none"/>
        </w:rPr>
        <w:t xml:space="preserve">http://jszfcg.jsczt.cn/</w:t>
      </w:r>
      <w:r>
        <w:rPr>
          <w:rFonts w:ascii="宋体" w:hAnsi="宋体" w:eastAsia="宋体" w:cs="宋体"/>
          <w:color w:val="000000"/>
          <w:sz w:val="21"/>
          <w:highlight w:val="none"/>
        </w:rPr>
        <w:t xml:space="preserve">）</w:t>
      </w:r>
      <w:r>
        <w:rPr>
          <w:rFonts w:ascii="Calibri" w:hAnsi="Calibri" w:eastAsia="Calibri" w:cs="Calibri"/>
          <w:color w:val="000000"/>
          <w:sz w:val="21"/>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五、开启</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时间：</w:t>
      </w:r>
      <w:r>
        <w:rPr>
          <w:rFonts w:ascii="Calibri" w:hAnsi="Calibri" w:eastAsia="Calibri" w:cs="Calibri"/>
          <w:color w:val="000000"/>
          <w:sz w:val="21"/>
          <w:highlight w:val="none"/>
        </w:rPr>
        <w:t xml:space="preserve">2026-</w:t>
      </w:r>
      <w:r>
        <w:rPr>
          <w:rFonts w:hint="eastAsia" w:ascii="Calibri" w:hAnsi="Calibri" w:cs="Calibri"/>
          <w:color w:val="000000"/>
          <w:sz w:val="21"/>
          <w:highlight w:val="none"/>
          <w:lang w:val="en-US" w:eastAsia="zh-CN"/>
        </w:rPr>
        <w:t xml:space="preserve">5</w:t>
      </w:r>
      <w:r>
        <w:rPr>
          <w:rFonts w:ascii="Calibri" w:hAnsi="Calibri" w:eastAsia="Calibri" w:cs="Calibri"/>
          <w:color w:val="000000"/>
          <w:sz w:val="21"/>
          <w:highlight w:val="none"/>
        </w:rPr>
        <w:t xml:space="preserve">-</w:t>
      </w:r>
      <w:r>
        <w:rPr>
          <w:rFonts w:hint="eastAsia" w:ascii="Calibri" w:hAnsi="Calibri" w:cs="Calibri"/>
          <w:color w:val="000000"/>
          <w:sz w:val="21"/>
          <w:highlight w:val="none"/>
          <w:lang w:val="en-US" w:eastAsia="zh-CN"/>
        </w:rPr>
        <w:t xml:space="preserve">29 </w:t>
      </w:r>
      <w:r>
        <w:rPr>
          <w:rFonts w:ascii="Calibri" w:hAnsi="Calibri" w:eastAsia="Calibri" w:cs="Calibri"/>
          <w:color w:val="000000"/>
          <w:sz w:val="21"/>
          <w:highlight w:val="none"/>
        </w:rPr>
        <w:t xml:space="preserve"> </w:t>
      </w:r>
      <w:r>
        <w:rPr>
          <w:rFonts w:hint="eastAsia" w:ascii="Calibri" w:hAnsi="Calibri" w:cs="Calibri"/>
          <w:color w:val="000000"/>
          <w:sz w:val="21"/>
          <w:highlight w:val="none"/>
          <w:lang w:val="en-US" w:eastAsia="zh-CN"/>
        </w:rPr>
        <w:t xml:space="preserve">9：30</w:t>
      </w:r>
      <w:r>
        <w:rPr>
          <w:rFonts w:ascii="Calibri" w:hAnsi="Calibri" w:eastAsia="Calibri" w:cs="Calibri"/>
          <w:color w:val="000000"/>
          <w:sz w:val="21"/>
          <w:highlight w:val="none"/>
        </w:rPr>
        <w:t xml:space="preserve"> </w:t>
      </w:r>
      <w:r>
        <w:rPr>
          <w:rFonts w:ascii="宋体" w:hAnsi="宋体" w:eastAsia="宋体" w:cs="宋体"/>
          <w:color w:val="000000"/>
          <w:sz w:val="21"/>
          <w:highlight w:val="none"/>
        </w:rPr>
        <w:t xml:space="preserve">（北京时间）</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地点：“苏采云”政府采购交易系统网上开标大厅</w:t>
      </w:r>
      <w:r>
        <w:rPr>
          <w:rFonts w:ascii="Calibri" w:hAnsi="Calibri" w:eastAsia="Calibri" w:cs="Calibri"/>
          <w:color w:val="000000"/>
          <w:sz w:val="21"/>
          <w:highlight w:val="none"/>
        </w:rPr>
        <w:t xml:space="preserve"> </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六、公告期限</w:t>
      </w:r>
      <w:r/>
    </w:p>
    <w:p>
      <w:pPr>
        <w:ind w:left="0" w:right="0" w:firstLine="42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自本公告发布之日起</w:t>
      </w:r>
      <w:r>
        <w:rPr>
          <w:rFonts w:ascii="Calibri" w:hAnsi="Calibri" w:eastAsia="Calibri" w:cs="Calibri"/>
          <w:color w:val="000000"/>
          <w:sz w:val="21"/>
          <w:highlight w:val="none"/>
        </w:rPr>
        <w:t xml:space="preserve">3</w:t>
      </w:r>
      <w:r>
        <w:rPr>
          <w:rFonts w:ascii="宋体" w:hAnsi="宋体" w:eastAsia="宋体" w:cs="宋体"/>
          <w:color w:val="000000"/>
          <w:sz w:val="21"/>
          <w:highlight w:val="none"/>
        </w:rPr>
        <w:t xml:space="preserve">个工作日。</w:t>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七、其他补充事宜</w:t>
      </w:r>
      <w:r/>
    </w:p>
    <w:p>
      <w:pPr>
        <w:ind w:firstLine="422"/>
        <w:jc w:val="left"/>
        <w:spacing w:line="360" w:lineRule="auto"/>
        <w:rPr>
          <w:rFonts w:hint="eastAsia" w:ascii="Times New Roman" w:hAnsi="Times New Roman" w:eastAsia="宋体" w:cs="宋体"/>
          <w:b/>
          <w:bCs/>
          <w:color w:val="auto"/>
          <w:highlight w:val="none"/>
        </w:rPr>
      </w:pPr>
      <w:r/>
      <w:bookmarkStart w:id="30" w:name="_Toc38985269"/>
      <w:r/>
      <w:bookmarkStart w:id="31" w:name="_Toc28359008"/>
      <w:r/>
      <w:bookmarkStart w:id="32" w:name="_Toc35393627"/>
      <w:r/>
      <w:bookmarkStart w:id="33" w:name="_Toc28359085"/>
      <w:r/>
      <w:bookmarkStart w:id="34" w:name="_Toc35393796"/>
      <w:r>
        <w:rPr>
          <w:rFonts w:hint="eastAsia" w:ascii="宋体" w:hAnsi="宋体" w:eastAsia="宋体" w:cs="宋体"/>
          <w:b/>
          <w:bCs/>
          <w:color w:val="auto"/>
          <w:sz w:val="21"/>
          <w:szCs w:val="21"/>
          <w:highlight w:val="none"/>
        </w:rPr>
        <w:t xml:space="preserve">1.</w:t>
      </w:r>
      <w:r>
        <w:rPr>
          <w:rFonts w:hint="eastAsia" w:ascii="Times New Roman" w:hAnsi="Times New Roman" w:eastAsia="宋体" w:cs="宋体"/>
          <w:b/>
          <w:bCs/>
          <w:color w:val="auto"/>
          <w:highlight w:val="none"/>
        </w:rPr>
        <w:t xml:space="preserve">本次采购采用“政府采购管理交易系统（苏采云）”，招标、</w:t>
      </w:r>
      <w:r>
        <w:rPr>
          <w:rFonts w:hint="eastAsia" w:cs="宋体"/>
          <w:b/>
          <w:bCs/>
          <w:color w:val="auto"/>
          <w:highlight w:val="none"/>
          <w:lang w:eastAsia="zh-CN"/>
        </w:rPr>
        <w:t xml:space="preserve">投标（响应）</w:t>
      </w:r>
      <w:r>
        <w:rPr>
          <w:rFonts w:hint="eastAsia" w:ascii="Times New Roman" w:hAnsi="Times New Roman" w:eastAsia="宋体" w:cs="宋体"/>
          <w:b/>
          <w:bCs/>
          <w:color w:val="auto"/>
          <w:highlight w:val="none"/>
        </w:rPr>
        <w:t xml:space="preserve">、评标和</w:t>
      </w:r>
      <w:r>
        <w:rPr>
          <w:rFonts w:hint="eastAsia" w:ascii="Times New Roman" w:hAnsi="Times New Roman" w:eastAsia="宋体" w:cs="宋体"/>
          <w:b/>
          <w:bCs/>
          <w:color w:val="auto"/>
          <w:highlight w:val="none"/>
          <w:lang w:val="en-US" w:eastAsia="zh-CN"/>
        </w:rPr>
        <w:t xml:space="preserve">成交</w:t>
      </w:r>
      <w:r>
        <w:rPr>
          <w:rFonts w:hint="eastAsia" w:ascii="Times New Roman" w:hAnsi="Times New Roman" w:eastAsia="宋体" w:cs="宋体"/>
          <w:b/>
          <w:bCs/>
          <w:color w:val="auto"/>
          <w:highlight w:val="none"/>
        </w:rPr>
        <w:t xml:space="preserve">结果发布全程电子化，开标方式为不见面开标。供应商应当按照《政府采购管理交易系统（苏采云）供应商操作手册》参加</w:t>
      </w:r>
      <w:r>
        <w:rPr>
          <w:rFonts w:hint="eastAsia" w:cs="宋体"/>
          <w:b/>
          <w:bCs/>
          <w:color w:val="auto"/>
          <w:highlight w:val="none"/>
          <w:lang w:eastAsia="zh-CN"/>
        </w:rPr>
        <w:t xml:space="preserve">投标（响应）</w:t>
      </w:r>
      <w:r>
        <w:rPr>
          <w:rFonts w:hint="eastAsia" w:ascii="Times New Roman" w:hAnsi="Times New Roman" w:eastAsia="宋体" w:cs="宋体"/>
          <w:b/>
          <w:bCs/>
          <w:color w:val="auto"/>
          <w:highlight w:val="none"/>
        </w:rPr>
        <w:t xml:space="preserve">活动。如供应商未按要求操作，由此所产生的风险由供应商自行承担。</w:t>
      </w:r>
      <w:r/>
    </w:p>
    <w:p>
      <w:pPr>
        <w:ind w:firstLine="422"/>
        <w:jc w:val="left"/>
        <w:spacing w:line="360" w:lineRule="auto"/>
        <w:rPr>
          <w:rFonts w:hint="eastAsia" w:ascii="Times New Roman" w:hAnsi="Times New Roman" w:eastAsia="宋体" w:cs="宋体"/>
          <w:b/>
          <w:bCs/>
          <w:color w:val="auto"/>
          <w:highlight w:val="none"/>
          <w:lang w:eastAsia="zh-CN"/>
        </w:rPr>
      </w:pPr>
      <w:r>
        <w:rPr>
          <w:rFonts w:hint="eastAsia" w:ascii="Times New Roman" w:hAnsi="Times New Roman" w:eastAsia="宋体" w:cs="宋体"/>
          <w:b/>
          <w:bCs/>
          <w:color w:val="auto"/>
          <w:highlight w:val="none"/>
        </w:rPr>
        <w:t xml:space="preserve">2.供应商如确定参加</w:t>
      </w:r>
      <w:r>
        <w:rPr>
          <w:rFonts w:hint="eastAsia" w:cs="宋体"/>
          <w:b/>
          <w:bCs/>
          <w:color w:val="auto"/>
          <w:highlight w:val="none"/>
          <w:lang w:val="en-US" w:eastAsia="zh-CN"/>
        </w:rPr>
        <w:t xml:space="preserve">投标（响应）</w:t>
      </w:r>
      <w:r>
        <w:rPr>
          <w:rFonts w:hint="eastAsia" w:ascii="Times New Roman" w:hAnsi="Times New Roman" w:eastAsia="宋体" w:cs="宋体"/>
          <w:b/>
          <w:bCs/>
          <w:color w:val="auto"/>
          <w:highlight w:val="none"/>
        </w:rPr>
        <w:t xml:space="preserve">，可自行下载</w:t>
      </w:r>
      <w:r>
        <w:rPr>
          <w:rFonts w:hint="eastAsia" w:cs="宋体"/>
          <w:b/>
          <w:bCs/>
          <w:color w:val="auto"/>
          <w:highlight w:val="none"/>
          <w:lang w:val="en-US" w:eastAsia="zh-CN"/>
        </w:rPr>
        <w:t xml:space="preserve">采购</w:t>
      </w:r>
      <w:r>
        <w:rPr>
          <w:rFonts w:hint="eastAsia" w:ascii="Times New Roman" w:hAnsi="Times New Roman" w:eastAsia="宋体" w:cs="宋体"/>
          <w:b/>
          <w:bCs/>
          <w:color w:val="auto"/>
          <w:highlight w:val="none"/>
        </w:rPr>
        <w:t xml:space="preserve">文件及有关资料，按照《操作手册》进行注册，领取CA和办理电子签章，并按《操作手册》要求制作、上传电子</w:t>
      </w:r>
      <w:r>
        <w:rPr>
          <w:rFonts w:hint="eastAsia" w:cs="宋体"/>
          <w:b/>
          <w:bCs/>
          <w:color w:val="auto"/>
          <w:highlight w:val="none"/>
          <w:lang w:val="en-US" w:eastAsia="zh-CN"/>
        </w:rPr>
        <w:t xml:space="preserve">投标（响应）</w:t>
      </w:r>
      <w:r>
        <w:rPr>
          <w:rFonts w:hint="eastAsia" w:ascii="Times New Roman" w:hAnsi="Times New Roman" w:eastAsia="宋体" w:cs="宋体"/>
          <w:b/>
          <w:bCs/>
          <w:color w:val="auto"/>
          <w:highlight w:val="none"/>
        </w:rPr>
        <w:t xml:space="preserve">文件</w:t>
      </w:r>
      <w:r>
        <w:rPr>
          <w:rFonts w:hint="eastAsia" w:ascii="Times New Roman" w:hAnsi="Times New Roman" w:eastAsia="宋体" w:cs="宋体"/>
          <w:b/>
          <w:bCs/>
          <w:color w:val="auto"/>
          <w:highlight w:val="none"/>
          <w:lang w:eastAsia="zh-CN"/>
        </w:rPr>
        <w:t xml:space="preserve">。</w:t>
      </w:r>
      <w:r>
        <w:rPr>
          <w:rFonts w:hint="eastAsia" w:ascii="Times New Roman" w:hAnsi="Times New Roman" w:eastAsia="宋体" w:cs="宋体"/>
          <w:b/>
          <w:bCs/>
          <w:color w:val="auto"/>
          <w:highlight w:val="none"/>
        </w:rPr>
        <w:t xml:space="preserve">技术支持联系方式：</w:t>
      </w:r>
      <w:r>
        <w:rPr>
          <w:rFonts w:hint="eastAsia" w:ascii="Times New Roman" w:hAnsi="Times New Roman" w:eastAsia="宋体"/>
          <w:b/>
          <w:bCs/>
          <w:color w:val="auto"/>
          <w:szCs w:val="21"/>
          <w:highlight w:val="none"/>
        </w:rPr>
        <w:t xml:space="preserve">13813140731</w:t>
      </w:r>
      <w:r>
        <w:rPr>
          <w:rFonts w:hint="eastAsia" w:ascii="Times New Roman" w:hAnsi="Times New Roman" w:eastAsia="宋体" w:cs="宋体"/>
          <w:b/>
          <w:bCs/>
          <w:color w:val="auto"/>
          <w:highlight w:val="none"/>
        </w:rPr>
        <w:t xml:space="preserve">。</w:t>
      </w:r>
      <w:r/>
    </w:p>
    <w:p>
      <w:pPr>
        <w:ind w:firstLine="420"/>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lang w:val="en-US" w:eastAsia="zh-CN"/>
        </w:rPr>
        <w:t xml:space="preserve">3</w:t>
      </w:r>
      <w:r>
        <w:rPr>
          <w:rFonts w:hint="eastAsia" w:ascii="宋体" w:hAnsi="宋体" w:eastAsia="宋体" w:cs="宋体"/>
          <w:i/>
          <w:iCs/>
          <w:color w:val="auto"/>
          <w:sz w:val="21"/>
          <w:szCs w:val="21"/>
          <w:highlight w:val="none"/>
          <w:u w:val="single"/>
        </w:rPr>
        <w:t xml:space="preserve">.本项目</w:t>
      </w:r>
      <w:r>
        <w:rPr>
          <w:rFonts w:hint="eastAsia" w:ascii="宋体" w:hAnsi="宋体" w:cs="宋体"/>
          <w:i/>
          <w:iCs/>
          <w:color w:val="auto"/>
          <w:sz w:val="21"/>
          <w:szCs w:val="21"/>
          <w:highlight w:val="none"/>
          <w:u w:val="single"/>
          <w:lang w:eastAsia="zh-CN"/>
        </w:rPr>
        <w:t xml:space="preserve">采购</w:t>
      </w:r>
      <w:r>
        <w:rPr>
          <w:rFonts w:hint="eastAsia" w:ascii="宋体" w:hAnsi="宋体" w:eastAsia="宋体" w:cs="宋体"/>
          <w:i/>
          <w:iCs/>
          <w:color w:val="auto"/>
          <w:sz w:val="21"/>
          <w:szCs w:val="21"/>
          <w:highlight w:val="none"/>
          <w:u w:val="single"/>
        </w:rPr>
        <w:t xml:space="preserve">文件中所有斜体下划线部分为实质性条款，如不满足，则为无效</w:t>
      </w:r>
      <w:r>
        <w:rPr>
          <w:rFonts w:hint="eastAsia" w:ascii="宋体" w:hAnsi="宋体" w:cs="宋体"/>
          <w:i/>
          <w:iCs/>
          <w:color w:val="auto"/>
          <w:sz w:val="21"/>
          <w:szCs w:val="21"/>
          <w:highlight w:val="none"/>
          <w:u w:val="single"/>
          <w:lang w:eastAsia="zh-CN"/>
        </w:rPr>
        <w:t xml:space="preserve">投标（响应）</w:t>
      </w:r>
      <w:r>
        <w:rPr>
          <w:rFonts w:hint="eastAsia" w:ascii="宋体" w:hAnsi="宋体" w:eastAsia="宋体" w:cs="宋体"/>
          <w:i/>
          <w:iCs/>
          <w:color w:val="auto"/>
          <w:sz w:val="21"/>
          <w:szCs w:val="21"/>
          <w:highlight w:val="none"/>
          <w:u w:val="single"/>
        </w:rPr>
        <w:t xml:space="preserve">。</w:t>
      </w:r>
      <w:r/>
    </w:p>
    <w:p>
      <w:pPr>
        <w:pStyle w:val="1242"/>
        <w:ind w:firstLine="420"/>
        <w:jc w:val="left"/>
        <w:keepLines w:val="0"/>
        <w:keepNext w:val="0"/>
        <w:pageBreakBefore w:val="0"/>
        <w:spacing w:line="360" w:lineRule="auto"/>
        <w:rPr>
          <w:rFonts w:hint="eastAsia"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hAnsi="宋体" w:cs="宋体"/>
          <w:color w:val="auto"/>
          <w:sz w:val="21"/>
          <w:szCs w:val="21"/>
          <w:highlight w:val="none"/>
          <w:lang w:val="en-US" w:eastAsia="zh-CN"/>
        </w:rPr>
        <w:t xml:space="preserve">供应商可自行勘查，请务必对项目现场和周围环境进行仔细认真查勘，在随后的采购中，对现场资料和数据所作出的推论、解释和结论及由此造成的后果由供应商负责。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有关本次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的事项若存在变动或修改，敬请及时关注</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rPr>
        <w:t xml:space="preserve">在</w:t>
      </w:r>
      <w:r>
        <w:rPr>
          <w:rFonts w:hint="eastAsia" w:ascii="宋体" w:hAnsi="宋体" w:eastAsia="宋体" w:cs="宋体"/>
          <w:color w:val="auto"/>
          <w:sz w:val="21"/>
          <w:szCs w:val="21"/>
          <w:highlight w:val="none"/>
          <w:lang w:eastAsia="zh-CN"/>
        </w:rPr>
        <w:t xml:space="preserve">“江苏政府采购网”</w:t>
      </w:r>
      <w:r>
        <w:rPr>
          <w:rFonts w:hint="eastAsia" w:ascii="宋体" w:hAnsi="宋体" w:eastAsia="宋体" w:cs="宋体"/>
          <w:color w:val="auto"/>
          <w:sz w:val="21"/>
          <w:szCs w:val="21"/>
          <w:highlight w:val="none"/>
        </w:rPr>
        <w:t xml:space="preserve">发布的更正公告。</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本次</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rPr>
        <w:t xml:space="preserve">不收取</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保证金。</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7</w:t>
      </w:r>
      <w:r>
        <w:rPr>
          <w:rFonts w:hint="eastAsia" w:ascii="Times New Roman" w:hAnsi="Times New Roman" w:eastAsia="宋体" w:cs="宋体"/>
          <w:bCs/>
          <w:color w:val="auto"/>
          <w:highlight w:val="none"/>
        </w:rPr>
        <w:t xml:space="preserve">.如在开标时间发生系统崩溃等不可预见的情况，造成开评标活动无法正常进行的，将延迟开评标，具体开评标时间另行通知。</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8</w:t>
      </w:r>
      <w:r>
        <w:rPr>
          <w:rFonts w:hint="eastAsia" w:ascii="Times New Roman" w:hAnsi="Times New Roman" w:eastAsia="宋体" w:cs="宋体"/>
          <w:bCs/>
          <w:color w:val="auto"/>
          <w:highlight w:val="none"/>
        </w:rPr>
        <w:t xml:space="preserve">.为落实好政府采购履约资金扶持政策，中标/成交人可凭政府采购合同办理融资贷款，详见江苏政府采购网“政采贷”专栏。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ascii="Times New Roman" w:hAnsi="Times New Roman" w:eastAsia="宋体" w:cs="宋体"/>
          <w:bCs/>
          <w:color w:val="auto"/>
          <w:highlight w:val="none"/>
        </w:rPr>
      </w:pPr>
      <w:r>
        <w:rPr>
          <w:rFonts w:hint="eastAsia" w:cs="宋体"/>
          <w:bCs/>
          <w:color w:val="auto"/>
          <w:highlight w:val="none"/>
          <w:lang w:val="en-US" w:eastAsia="zh-CN"/>
        </w:rPr>
        <w:t xml:space="preserve">9</w:t>
      </w:r>
      <w:r>
        <w:rPr>
          <w:rFonts w:hint="eastAsia" w:ascii="Times New Roman" w:hAnsi="Times New Roman" w:eastAsia="宋体" w:cs="宋体"/>
          <w:bCs/>
          <w:color w:val="auto"/>
          <w:highlight w:val="none"/>
        </w:rPr>
        <w:t xml:space="preserve">.本项目严格执行政府采购关于支持节能产品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hint="eastAsia" w:ascii="Times New Roman" w:hAnsi="Times New Roman" w:eastAsia="宋体" w:cs="宋体"/>
          <w:bCs/>
          <w:color w:val="auto"/>
          <w:highlight w:val="none"/>
        </w:rPr>
      </w:pPr>
      <w:r>
        <w:rPr>
          <w:rFonts w:hint="eastAsia" w:cs="宋体"/>
          <w:bCs/>
          <w:color w:val="auto"/>
          <w:highlight w:val="none"/>
          <w:lang w:val="en-US" w:eastAsia="zh-CN"/>
        </w:rPr>
        <w:t xml:space="preserve">10</w:t>
      </w:r>
      <w:r>
        <w:rPr>
          <w:rFonts w:hint="eastAsia" w:ascii="Times New Roman" w:hAnsi="Times New Roman" w:eastAsia="宋体" w:cs="宋体"/>
          <w:bCs/>
          <w:color w:val="auto"/>
          <w:highlight w:val="none"/>
        </w:rPr>
        <w:t xml:space="preserve">.供应商对于所投产品的包装应按照“财办库〔2020〕123号《关于印发《商品包装政府采购需求标准（试行）》、《快递包装政府采购需求标准（试行）》的通知》”执行。</w:t>
      </w:r>
      <w:bookmarkEnd w:id="30"/>
      <w:r/>
      <w:bookmarkEnd w:id="31"/>
      <w:r/>
      <w:bookmarkEnd w:id="32"/>
      <w:r/>
      <w:bookmarkEnd w:id="33"/>
      <w:r/>
      <w:bookmarkEnd w:id="34"/>
      <w:r/>
      <w:r/>
    </w:p>
    <w:p>
      <w:pPr>
        <w:ind w:left="0" w:right="0"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八、凡对本次采购提出询问，请按以下方式联系。</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称：扬州大学</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址：扬州市大学南路88号</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钱晨</w:t>
      </w:r>
      <w:r>
        <w:rPr>
          <w:rFonts w:hint="eastAsia" w:ascii="宋体" w:hAnsi="宋体" w:eastAsia="宋体" w:cs="宋体"/>
          <w:color w:val="auto"/>
          <w:sz w:val="21"/>
          <w:szCs w:val="21"/>
          <w:highlight w:val="none"/>
        </w:rPr>
        <w:t xml:space="preserve">  </w:t>
      </w:r>
      <w:r/>
    </w:p>
    <w:p>
      <w:pPr>
        <w:ind w:firstLine="420"/>
        <w:jc w:val="left"/>
        <w:keepLines w:val="0"/>
        <w:keepNext w:val="0"/>
        <w:pageBreakBefore w:val="0"/>
        <w:spacing w:line="360" w:lineRule="auto"/>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联系方式：</w:t>
      </w:r>
      <w:r>
        <w:rPr>
          <w:rFonts w:hint="eastAsia" w:ascii="宋体" w:hAnsi="宋体" w:cs="宋体"/>
          <w:color w:val="auto"/>
          <w:szCs w:val="21"/>
          <w:highlight w:val="none"/>
          <w:lang w:val="en-US" w:eastAsia="zh-CN"/>
        </w:rPr>
        <w:t xml:space="preserve">13905271422</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称：江苏万达工程造价事务所有限公司</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址：扬州市邗江北路中石化南侧邗文化博物馆1号院</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联系人：肖红红</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联系方式：17368903512</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项目联系人：肖红红</w:t>
      </w:r>
      <w:r/>
    </w:p>
    <w:p>
      <w:pPr>
        <w:ind w:left="420"/>
        <w:keepLines w:val="0"/>
        <w:keepNext w:val="0"/>
        <w:pageBreakBefore w:val="0"/>
        <w:spacing w:line="360" w:lineRule="auto"/>
        <w:tabs>
          <w:tab w:val="left" w:pos="9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电话：17368903512</w:t>
      </w:r>
      <w:r/>
    </w:p>
    <w:p>
      <w:pPr>
        <w:ind w:firstLine="420"/>
        <w:jc w:val="left"/>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35" w:name="_Toc120614211"/>
      <w:r>
        <w:rPr>
          <w:rFonts w:hint="eastAsia" w:ascii="宋体" w:hAnsi="宋体" w:eastAsia="宋体" w:cs="宋体"/>
          <w:color w:val="auto"/>
          <w:highlight w:val="none"/>
        </w:rPr>
        <w:br w:type="page" w:clear="all"/>
      </w:r>
      <w:bookmarkEnd w:id="8"/>
      <w:r/>
      <w:bookmarkStart w:id="36" w:name="_Toc165197238"/>
      <w:r>
        <w:rPr>
          <w:rFonts w:hint="eastAsia" w:ascii="宋体" w:hAnsi="宋体" w:eastAsia="宋体" w:cs="宋体"/>
          <w:color w:val="auto"/>
          <w:sz w:val="44"/>
          <w:szCs w:val="44"/>
          <w:highlight w:val="none"/>
        </w:rPr>
        <w:t xml:space="preserve">第二章  </w:t>
      </w:r>
      <w:bookmarkEnd w:id="2"/>
      <w:r/>
      <w:bookmarkEnd w:id="3"/>
      <w:r/>
      <w:bookmarkEnd w:id="4"/>
      <w:r/>
      <w:bookmarkEnd w:id="5"/>
      <w:r/>
      <w:bookmarkEnd w:id="6"/>
      <w:r/>
      <w:bookmarkEnd w:id="35"/>
      <w:r>
        <w:rPr>
          <w:rFonts w:hint="eastAsia" w:ascii="宋体" w:hAnsi="宋体" w:eastAsia="宋体" w:cs="宋体"/>
          <w:color w:val="auto"/>
          <w:sz w:val="44"/>
          <w:szCs w:val="44"/>
          <w:highlight w:val="none"/>
          <w:lang w:val="en-US" w:eastAsia="zh-CN"/>
        </w:rPr>
        <w:t xml:space="preserve">磋商</w:t>
      </w:r>
      <w:r>
        <w:rPr>
          <w:rFonts w:hint="eastAsia" w:ascii="宋体" w:hAnsi="宋体" w:eastAsia="宋体" w:cs="宋体"/>
          <w:color w:val="auto"/>
          <w:sz w:val="44"/>
          <w:szCs w:val="44"/>
          <w:highlight w:val="none"/>
        </w:rPr>
        <w:t xml:space="preserve">须知</w:t>
      </w:r>
      <w:bookmarkEnd w:id="36"/>
      <w:r/>
      <w:r/>
    </w:p>
    <w:p>
      <w:pPr>
        <w:ind w:firstLine="420"/>
        <w:spacing w:line="360" w:lineRule="auto"/>
        <w:rPr>
          <w:rFonts w:hint="eastAsia" w:ascii="宋体" w:hAnsi="宋体" w:cs="宋体"/>
          <w:color w:val="auto"/>
          <w:szCs w:val="21"/>
          <w:highlight w:val="none"/>
        </w:rPr>
      </w:pPr>
      <w:r/>
      <w:bookmarkStart w:id="37" w:name="_Toc513029242"/>
      <w:r/>
      <w:bookmarkStart w:id="38" w:name="_Toc20823314"/>
      <w:r/>
      <w:bookmarkStart w:id="39" w:name="_Toc16938558"/>
      <w:r/>
      <w:bookmarkStart w:id="40" w:name="_Toc479757207"/>
      <w:r/>
      <w:bookmarkStart w:id="41" w:name="_Toc120614221"/>
      <w:r>
        <w:rPr>
          <w:rFonts w:hint="eastAsia" w:ascii="宋体" w:hAnsi="宋体" w:cs="宋体"/>
          <w:color w:val="auto"/>
          <w:szCs w:val="21"/>
          <w:highlight w:val="none"/>
        </w:rPr>
        <w:t xml:space="preserve">1、采购方式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 本次采购采取竞争性磋商方式，本</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文件仅适用于</w:t>
      </w:r>
      <w:r>
        <w:rPr>
          <w:rFonts w:hint="eastAsia" w:ascii="宋体" w:hAnsi="宋体" w:cs="宋体"/>
          <w:color w:val="auto"/>
          <w:szCs w:val="21"/>
          <w:highlight w:val="none"/>
          <w:lang w:val="en-US" w:eastAsia="zh-CN"/>
        </w:rPr>
        <w:t xml:space="preserve">本</w:t>
      </w:r>
      <w:r>
        <w:rPr>
          <w:rFonts w:hint="eastAsia" w:ascii="宋体" w:hAnsi="宋体" w:cs="宋体"/>
          <w:color w:val="auto"/>
          <w:szCs w:val="21"/>
          <w:highlight w:val="none"/>
        </w:rPr>
        <w:t xml:space="preserve">项目。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2.2合格的供应商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满足采购公告中供应商的资格条件要求的规定。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 满足本文件实质性条款的规定。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3、适用法律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本次采购及由此产生的合同受中华人民共和国有关的法律法规制约和保护。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4、参加磋商费用</w:t>
      </w:r>
      <w:r/>
    </w:p>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供应商应自行承担所有与参加</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rPr>
        <w:t xml:space="preserve">有关的费用，无论</w:t>
      </w:r>
      <w:r>
        <w:rPr>
          <w:rFonts w:hint="eastAsia" w:ascii="宋体" w:hAnsi="宋体" w:eastAsia="宋体" w:cs="宋体"/>
          <w:b w:val="0"/>
          <w:bCs w:val="0"/>
          <w:color w:val="auto"/>
          <w:sz w:val="21"/>
          <w:szCs w:val="21"/>
          <w:highlight w:val="none"/>
          <w:lang w:val="en-US" w:eastAsia="zh-CN"/>
        </w:rPr>
        <w:t xml:space="preserve">磋商</w:t>
      </w:r>
      <w:r>
        <w:rPr>
          <w:rFonts w:hint="eastAsia" w:ascii="宋体" w:hAnsi="宋体" w:eastAsia="宋体" w:cs="宋体"/>
          <w:b w:val="0"/>
          <w:bCs w:val="0"/>
          <w:color w:val="auto"/>
          <w:sz w:val="21"/>
          <w:szCs w:val="21"/>
          <w:highlight w:val="none"/>
        </w:rPr>
        <w:t xml:space="preserve">过程中的做法和结果如何，采购人及代理机构在任何情况下均无义务和责任承担这些费用。</w:t>
      </w:r>
      <w:r/>
    </w:p>
    <w:p>
      <w:pPr>
        <w:pStyle w:val="1044"/>
        <w:ind w:left="0" w:firstLine="420"/>
        <w:keepLines w:val="0"/>
        <w:keepNext w:val="0"/>
        <w:pageBreakBefore w:val="0"/>
        <w:spacing w:before="0" w:after="0" w:line="360" w:lineRule="auto"/>
        <w:widowControl w:val="off"/>
        <w:rPr>
          <w:rFonts w:hint="eastAsia" w:ascii="Times New Roman" w:hAnsi="Times New Roman" w:eastAsia="宋体"/>
          <w:i/>
          <w:iCs/>
          <w:color w:val="auto"/>
          <w:szCs w:val="21"/>
          <w:highlight w:val="none"/>
          <w:u w:val="single"/>
        </w:rPr>
      </w:pPr>
      <w:r>
        <w:rPr>
          <w:rFonts w:hint="eastAsia" w:ascii="宋体" w:hAnsi="宋体" w:eastAsia="宋体" w:cs="宋体"/>
          <w:b w:val="0"/>
          <w:bCs w:val="0"/>
          <w:color w:val="auto"/>
          <w:sz w:val="21"/>
          <w:szCs w:val="21"/>
          <w:highlight w:val="none"/>
        </w:rPr>
        <w:t xml:space="preserve">4.2 </w:t>
      </w:r>
      <w:r>
        <w:rPr>
          <w:rFonts w:hint="eastAsia" w:ascii="宋体" w:hAnsi="宋体" w:eastAsia="宋体" w:cs="宋体"/>
          <w:b/>
          <w:bCs/>
          <w:i/>
          <w:iCs/>
          <w:color w:val="auto"/>
          <w:sz w:val="21"/>
          <w:szCs w:val="21"/>
          <w:highlight w:val="none"/>
          <w:u w:val="single"/>
        </w:rPr>
        <w:t xml:space="preserve">本次采购（招标）收取清标费50元，递交电子版清标材料时按要求缴纳，如未按要求操作，导致投标（响应）无效，由此产生的风险自行承担。</w:t>
      </w:r>
      <w:r/>
    </w:p>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4.3</w:t>
      </w:r>
      <w:r>
        <w:rPr>
          <w:rFonts w:hint="eastAsia" w:ascii="宋体" w:hAnsi="宋体" w:eastAsia="宋体" w:cs="宋体"/>
          <w:b w:val="0"/>
          <w:bCs w:val="0"/>
          <w:color w:val="auto"/>
          <w:sz w:val="21"/>
          <w:szCs w:val="21"/>
          <w:highlight w:val="none"/>
        </w:rPr>
        <w:t xml:space="preserve">本次采购由</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供应商在领取</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通知书前一次性支付给招标代理机构代理服务费，招标代理服务费参照国家计委计价格〔2002〕1980号文规定标准*27%计算（具体计算方式详见下表）。</w:t>
      </w:r>
      <w:r/>
    </w:p>
    <w:tbl>
      <w:tblPr>
        <w:tblStyle w:val="1051"/>
        <w:tblW w:w="8519" w:type="dxa"/>
        <w:jc w:val="center"/>
        <w:tblLayout w:type="autofit"/>
        <w:tblCellMar>
          <w:left w:w="0" w:type="dxa"/>
          <w:top w:w="0" w:type="dxa"/>
          <w:right w:w="0" w:type="dxa"/>
          <w:bottom w:w="0" w:type="dxa"/>
        </w:tblCellMar>
        <w:tblLook w:val="04A0" w:firstRow="1" w:lastRow="0" w:firstColumn="1" w:lastColumn="0" w:noHBand="0" w:noVBand="1"/>
      </w:tblPr>
      <w:tblGrid>
        <w:gridCol w:w="1658"/>
        <w:gridCol w:w="2365"/>
        <w:gridCol w:w="2130"/>
        <w:gridCol w:w="2366"/>
      </w:tblGrid>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服务项目类型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代理服务费最高限价</w:t>
            </w:r>
            <w:r/>
          </w:p>
        </w:tc>
      </w:tr>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1044"/>
              <w:ind w:left="0" w:firstLine="422"/>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代理费（单位：元）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代理费（折扣率）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代理费（单位：元）</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27.17%</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10000元</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1044"/>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1044"/>
              <w:ind w:left="0" w:firstLine="42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left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1044"/>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1044"/>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1044"/>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1044"/>
              <w:ind w:left="0" w:firstLine="420"/>
              <w:jc w:val="right"/>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pStyle w:val="1044"/>
        <w:ind w:left="0" w:firstLine="420"/>
        <w:jc w:val="center"/>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基准费率表</w:t>
      </w:r>
      <w:r/>
    </w:p>
    <w:tbl>
      <w:tblPr>
        <w:tblStyle w:val="1051"/>
        <w:tblW w:w="8423" w:type="dxa"/>
        <w:jc w:val="center"/>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jc w:val="cente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工程采购</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0.55%</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w:t>
            </w:r>
            <w:r/>
          </w:p>
        </w:tc>
      </w:tr>
      <w:tr>
        <w:trPr>
          <w:jc w:val="cent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r>
    </w:tbl>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（1）代理服务费以人民币支付；</w:t>
      </w:r>
      <w:r/>
    </w:p>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（2）代理服务费支付方式：一次性以电汇或转账等形式支付。</w:t>
      </w:r>
      <w:r/>
    </w:p>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（3）代理服务费不在报价中单列，但包含在总价中，由</w:t>
      </w:r>
      <w:r>
        <w:rPr>
          <w:rFonts w:hint="eastAsia" w:ascii="宋体" w:hAnsi="宋体" w:eastAsia="宋体" w:cs="宋体"/>
          <w:b w:val="0"/>
          <w:bCs w:val="0"/>
          <w:color w:val="auto"/>
          <w:sz w:val="21"/>
          <w:szCs w:val="21"/>
          <w:highlight w:val="none"/>
          <w:lang w:val="en-US" w:eastAsia="zh-CN"/>
        </w:rPr>
        <w:t xml:space="preserve">成交</w:t>
      </w:r>
      <w:r>
        <w:rPr>
          <w:rFonts w:hint="eastAsia" w:ascii="宋体" w:hAnsi="宋体" w:eastAsia="宋体" w:cs="宋体"/>
          <w:b w:val="0"/>
          <w:bCs w:val="0"/>
          <w:color w:val="auto"/>
          <w:sz w:val="21"/>
          <w:szCs w:val="21"/>
          <w:highlight w:val="none"/>
        </w:rPr>
        <w:t xml:space="preserve">供应商支付给代理机构。</w:t>
      </w:r>
      <w:r/>
    </w:p>
    <w:p>
      <w:pPr>
        <w:pStyle w:val="1044"/>
        <w:ind w:left="0" w:firstLine="420"/>
        <w:keepLines w:val="0"/>
        <w:keepNext w:val="0"/>
        <w:pageBreakBefore w:val="0"/>
        <w:spacing w:before="0" w:after="0"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专家评审费参考《关于规范江苏省政府采购专家评审费标准的通知》（苏财购〔2016〕48号）执行，由采购人支付。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5、采购文件的约束力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 供应商一旦参加本项目采购活动，即被认为接受了本采购文件的规定和约束。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6、采购文件构成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 采购文件</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以下部分组成：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（2）磋商须知</w:t>
      </w:r>
      <w:r>
        <w:rPr>
          <w:rFonts w:hint="eastAsia" w:ascii="宋体" w:hAnsi="宋体" w:cs="宋体"/>
          <w:color w:val="auto"/>
          <w:szCs w:val="21"/>
          <w:highlight w:val="none"/>
        </w:rPr>
        <w:tab/>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（4）项目需求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（5）评审方法与评审标准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（6）竞争性磋商响应文件格式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请仔细检查采购文件是否齐全，如有缺漏请立即与代理机构联系解决。</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7、采购文件的澄清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8、采购文件的修改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 在投标截止时间前，代理机构可以对</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文件进行修改。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 代理机构有权按照法定的要求推迟投标截止日期和开标日期。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 </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的修改将在</w:t>
      </w:r>
      <w:r>
        <w:rPr>
          <w:rFonts w:hint="eastAsia" w:ascii="宋体" w:hAnsi="宋体" w:eastAsia="宋体" w:cs="宋体"/>
          <w:color w:val="auto"/>
          <w:sz w:val="21"/>
          <w:szCs w:val="21"/>
          <w:highlight w:val="none"/>
        </w:rPr>
        <w:t xml:space="preserve">“江苏政府采购网”</w:t>
      </w:r>
      <w:r>
        <w:rPr>
          <w:rFonts w:hint="eastAsia" w:ascii="宋体" w:hAnsi="宋体" w:cs="宋体"/>
          <w:color w:val="auto"/>
          <w:szCs w:val="21"/>
          <w:highlight w:val="none"/>
        </w:rPr>
        <w:t xml:space="preserve">公布，补充文件将作为</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的组成部分，并对</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具有约束力。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9、采购文件的语言、度量衡单位、货币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10、响应文件构成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编写的投标文件应包括资格证明文件、符合性证明文件、投标分项报价表、技术要求响应及偏离表、商务要求响应及偏离表、其他证明文件、投标函等部分。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如标书制作工具中格式和内容与“江苏政府采购网”发布的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不一致，请以“江苏政府采购网”发布的</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11、证明供应商资格及符合采购文件规定的文件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、规章和规范性文件以及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要求提交证明文件，证明其及投标标的符合</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对证明文件无明确形式要求的，证明文件可以以文字资料、图纸和数据等形式提交。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12、磋商响应报价表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规定格式填报投标分项报价表</w:t>
      </w:r>
      <w:bookmarkStart w:id="42" w:name="_Hlt26670399"/>
      <w:r/>
      <w:bookmarkEnd w:id="42"/>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12.2投标货币。投标文件中的单价和总价无特殊规定的采用人民币报价，以元为单位标注。</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中另有规定的按规定执行。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13、技术参数响应及偏离表、商务条款响应及偏离表及磋商服务说明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 对采购文件中的技术与商务条款要求逐项作出响应或偏离，并说明原因；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13.2 供应商认为需要的其他技术文件或说明。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 供应商应按照系统提供的格式完整、正确填写磋商响应函。</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15、磋商响应有效期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 磋商响应有效期为代理机构规定的响应文件接收截止时间后</w:t>
      </w:r>
      <w:r>
        <w:rPr>
          <w:rFonts w:hint="eastAsia" w:ascii="宋体" w:hAnsi="宋体" w:cs="宋体"/>
          <w:color w:val="auto"/>
          <w:szCs w:val="21"/>
          <w:highlight w:val="none"/>
          <w:u w:val="single"/>
        </w:rPr>
        <w:t xml:space="preserve"> 六十（60）天</w:t>
      </w:r>
      <w:r>
        <w:rPr>
          <w:rFonts w:hint="eastAsia" w:ascii="宋体" w:hAnsi="宋体" w:cs="宋体"/>
          <w:color w:val="auto"/>
          <w:szCs w:val="21"/>
          <w:highlight w:val="none"/>
        </w:rPr>
        <w:t xml:space="preserve">。磋商响应有效期比规定短的将被视为非实质性</w:t>
      </w:r>
      <w:r>
        <w:rPr>
          <w:rFonts w:hint="eastAsia" w:ascii="宋体" w:hAnsi="宋体" w:cs="宋体"/>
          <w:color w:val="auto"/>
          <w:szCs w:val="21"/>
          <w:highlight w:val="none"/>
          <w:lang w:eastAsia="zh-CN"/>
        </w:rPr>
        <w:t xml:space="preserve">响应</w:t>
      </w:r>
      <w:r>
        <w:rPr>
          <w:rFonts w:hint="eastAsia" w:ascii="宋体" w:hAnsi="宋体" w:cs="宋体"/>
          <w:color w:val="auto"/>
          <w:szCs w:val="21"/>
          <w:highlight w:val="none"/>
        </w:rPr>
        <w:t xml:space="preserve">而予以拒绝。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16、投标有效期的延长</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color w:val="auto"/>
          <w:szCs w:val="21"/>
          <w:highlight w:val="none"/>
        </w:rPr>
      </w:pPr>
      <w:r/>
      <w:bookmarkStart w:id="43" w:name="_Toc20823297"/>
      <w:r/>
      <w:bookmarkStart w:id="44" w:name="_Toc16938541"/>
      <w:r>
        <w:rPr>
          <w:rFonts w:hint="eastAsia" w:ascii="宋体" w:hAnsi="宋体" w:cs="宋体"/>
          <w:color w:val="auto"/>
          <w:szCs w:val="21"/>
          <w:highlight w:val="none"/>
        </w:rPr>
        <w:t xml:space="preserve">17、响应文件</w:t>
      </w:r>
      <w:bookmarkEnd w:id="43"/>
      <w:r/>
      <w:bookmarkEnd w:id="44"/>
      <w:r>
        <w:rPr>
          <w:rFonts w:hint="eastAsia" w:ascii="宋体" w:hAnsi="宋体" w:cs="宋体"/>
          <w:color w:val="auto"/>
          <w:szCs w:val="21"/>
          <w:highlight w:val="none"/>
        </w:rPr>
        <w:t xml:space="preserve">的递交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17.1 电子响应文件的递交供应商应当按照《操作手册》规定，在磋商响应截止时间前制作并上传电子响应文件。</w:t>
      </w:r>
      <w:bookmarkStart w:id="45" w:name="_Toc20823298"/>
      <w:r/>
      <w:bookmarkStart w:id="46" w:name="_Toc1693854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18、磋商响应截止日期</w:t>
      </w:r>
      <w:bookmarkEnd w:id="45"/>
      <w:r/>
      <w:bookmarkEnd w:id="46"/>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18.1 供应商上传电子响应文件的时间不得迟于采购公告中规定的磋商响应截止时间。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应</w:t>
      </w:r>
      <w:r>
        <w:rPr>
          <w:rFonts w:hint="eastAsia" w:ascii="宋体" w:hAnsi="宋体" w:cs="宋体"/>
          <w:color w:val="auto"/>
          <w:szCs w:val="21"/>
          <w:highlight w:val="none"/>
          <w:lang w:eastAsia="zh-CN"/>
        </w:rPr>
        <w:t xml:space="preserve">充分考虑</w:t>
      </w:r>
      <w:r>
        <w:rPr>
          <w:rFonts w:hint="eastAsia" w:ascii="宋体" w:hAnsi="宋体" w:cs="宋体"/>
          <w:color w:val="auto"/>
          <w:szCs w:val="21"/>
          <w:highlight w:val="none"/>
        </w:rPr>
        <w:t xml:space="preserve">网络环境、网络带宽等风险因素，如因</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自身原因造成的电子投标文件上传不成功的按照本</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第二章第27.1.2条 规定做无效投标处理。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auto"/>
          <w:szCs w:val="21"/>
          <w:highlight w:val="none"/>
        </w:rPr>
      </w:pPr>
      <w:r/>
      <w:bookmarkStart w:id="47" w:name="_Toc20823299"/>
      <w:r/>
      <w:bookmarkStart w:id="48" w:name="_Toc16938543"/>
      <w:r>
        <w:rPr>
          <w:rFonts w:hint="eastAsia" w:ascii="宋体" w:hAnsi="宋体" w:cs="宋体"/>
          <w:color w:val="auto"/>
          <w:szCs w:val="21"/>
          <w:highlight w:val="none"/>
        </w:rPr>
        <w:t xml:space="preserve">19、响应文件</w:t>
      </w:r>
      <w:bookmarkEnd w:id="47"/>
      <w:r/>
      <w:bookmarkEnd w:id="48"/>
      <w:r>
        <w:rPr>
          <w:rFonts w:hint="eastAsia" w:ascii="宋体" w:hAnsi="宋体" w:cs="宋体"/>
          <w:color w:val="auto"/>
          <w:szCs w:val="21"/>
          <w:highlight w:val="none"/>
        </w:rPr>
        <w:t xml:space="preserve">的拒收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19.1代理机构拒绝接收在其规定的磋商截止时间后上传的任何响应文件。</w:t>
      </w:r>
      <w:r/>
    </w:p>
    <w:p>
      <w:pPr>
        <w:ind w:firstLine="420"/>
        <w:spacing w:line="360" w:lineRule="auto"/>
        <w:rPr>
          <w:rFonts w:hint="eastAsia" w:ascii="宋体" w:hAnsi="宋体" w:cs="宋体"/>
          <w:color w:val="auto"/>
          <w:szCs w:val="21"/>
          <w:highlight w:val="none"/>
        </w:rPr>
      </w:pPr>
      <w:r/>
      <w:bookmarkStart w:id="49" w:name="_Toc16938544"/>
      <w:r/>
      <w:bookmarkStart w:id="50" w:name="_Toc20823300"/>
      <w:r>
        <w:rPr>
          <w:rFonts w:hint="eastAsia" w:ascii="宋体" w:hAnsi="宋体" w:cs="宋体"/>
          <w:color w:val="auto"/>
          <w:szCs w:val="21"/>
          <w:highlight w:val="none"/>
        </w:rPr>
        <w:t xml:space="preserve">20、响应文件的撤回和修改</w:t>
      </w:r>
      <w:bookmarkEnd w:id="49"/>
      <w:r/>
      <w:bookmarkEnd w:id="5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 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20.1.1 电子响应文件的撤回</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供应商可在磋商截止时间前，撤回其电子响应文件，具体操作方法见《操作手册》。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20.1.2 供应商撤回电子响应文件，则认为其不再参与本项目磋商谈判。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 响应文件的修改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20.3 在磋商截止时间之后，供应商不得对其电子响应文件作任何修改。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 代理机构将在采购公告中规定的时间和地点组织磋商开始仪式。供应商应当按照《操作手册》规定，参加磋商活动和在苏采云系统规定的时间内对投标文件进行解密。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21.2开标仪式由代理机构组织。苏采云系统将自动对项目进行开标，并宣布各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名称和投标价格。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21.3供应商在磋商过程中</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的响应文件解密等工作，应按照《操作手册》规定执行。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如果对开标过程和开标记录有疑义，应当根据《操作手册》规定提出，如 苏采云系统中《开标记录表》宣布后5分钟内未提出的，视同认可开标结果。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22、磋商小组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22.1 磋商开始后，代理机构将立即组织磋商小组进行评审。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22.3磋商小组独立工作，负责评审有效响应文件并确定成交候选供应商。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23、评审过程的保密与公正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23.1凡是与审查、澄清、评价和比较投标的有关资料以及授标建议等，采购人、评委、代理机构均不得向</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或与评标无关的其他人员透露。</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23.2在评标过程中，</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不得以任何行为影响评标过程，否则其投标文件将被作为无效投标文件。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23.3 代理机构和评标委员会不向未中标的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解释未中标原因，也不公布评标过程中的相关细节。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23.4 采用综合评分法的项目，未中标的</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可于中标结果公告期限届满之日起通过苏采云系统查看自己的评审得分及排序情况。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24、磋商的澄清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24.3 接到磋商小组澄清要求的供应商如未按规定</w:t>
      </w:r>
      <w:r>
        <w:rPr>
          <w:rFonts w:hint="eastAsia" w:ascii="宋体" w:hAnsi="宋体" w:cs="宋体"/>
          <w:color w:val="auto"/>
          <w:szCs w:val="21"/>
          <w:highlight w:val="none"/>
          <w:lang w:eastAsia="zh-CN"/>
        </w:rPr>
        <w:t xml:space="preserve">作出</w:t>
      </w:r>
      <w:r>
        <w:rPr>
          <w:rFonts w:hint="eastAsia" w:ascii="宋体" w:hAnsi="宋体" w:cs="宋体"/>
          <w:color w:val="auto"/>
          <w:szCs w:val="21"/>
          <w:highlight w:val="none"/>
        </w:rPr>
        <w:t xml:space="preserve">澄清，其风险由供应商自行承担。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25、对响应文件的初审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25.1响应文件初审分为资格审查和符合性审查。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采购人在进行资格性审查的同时，将在“信用中国”网站（www.creditchina.gov.cn）和“中国政府采购网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(www.ccgp.gov.cn)查询</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的信用记录，以确定</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是否具备投标资格,查询结果留存并归档。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25.4评委会将对确定为实质性响应的投标进行进一步审核，确定其是否有计算上或累加上的算术错误，修正错误的原则如下：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同时出现两种以上错误的，按照前款规定的顺序修正。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25.5 评委会将按上述修正错误的方法调整投标文件中的投标报价，并通过苏采云系统告知</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，调整后的价格</w:t>
      </w:r>
      <w:r>
        <w:rPr>
          <w:rFonts w:hint="eastAsia" w:ascii="宋体" w:hAnsi="宋体" w:cs="宋体"/>
          <w:color w:val="auto"/>
          <w:szCs w:val="21"/>
          <w:highlight w:val="none"/>
          <w:lang w:eastAsia="zh-CN"/>
        </w:rPr>
        <w:t xml:space="preserve">对供应商</w:t>
      </w:r>
      <w:r>
        <w:rPr>
          <w:rFonts w:hint="eastAsia" w:ascii="宋体" w:hAnsi="宋体" w:cs="宋体"/>
          <w:color w:val="auto"/>
          <w:szCs w:val="21"/>
          <w:highlight w:val="none"/>
        </w:rPr>
        <w:t xml:space="preserve">具有约束力。如果</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不接受修正后的价格，则其投标将被拒绝。</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25.6</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在开、评标全过程中应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，及时登录苏采云系统查阅、答复相关信息，并安排专人与代理机构及评标委员会联系。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26、磋商程序及评审方法和标准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cs="宋体"/>
          <w:color w:val="auto"/>
          <w:szCs w:val="21"/>
          <w:highlight w:val="none"/>
          <w:lang w:eastAsia="zh-CN"/>
        </w:rPr>
        <w:t xml:space="preserve">〔2015〕124号</w:t>
      </w:r>
      <w:r>
        <w:rPr>
          <w:rFonts w:hint="eastAsia" w:ascii="宋体" w:hAnsi="宋体" w:cs="宋体"/>
          <w:color w:val="auto"/>
          <w:szCs w:val="21"/>
          <w:highlight w:val="none"/>
        </w:rPr>
        <w:t xml:space="preserve">）规定情形的，提交最后报价的供应商可以为2家。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 评审方法和标准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26.2.2评审标准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见本采购文件第五章规定。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27、无效响应及采购活动终止的情况</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27.1无效响应条款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 供应商在苏采云系统规定的时间内未成功解密电子投标文件的。</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27.1.2 供应商未按照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要求上传电子投标文件的</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未按要求递交电子清标文件的。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27.1.3 同一供应商提交两个（含两个）以上不同的投标报价的。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27.1.4 供应商不具备</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中规定资格要求的。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27.1.5 </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的报价超过了采购预算或最高限价的。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27.1.6 未通过符合性审查的。</w:t>
      </w:r>
      <w:r/>
    </w:p>
    <w:p>
      <w:pPr>
        <w:ind w:firstLine="420"/>
        <w:spacing w:line="360" w:lineRule="auto"/>
        <w:rPr>
          <w:rFonts w:hint="eastAsia" w:ascii="宋体" w:hAnsi="宋体" w:cs="宋体"/>
          <w:i/>
          <w:color w:val="auto"/>
          <w:szCs w:val="21"/>
          <w:highlight w:val="none"/>
          <w:u w:val="single"/>
        </w:rPr>
      </w:pPr>
      <w:r>
        <w:rPr>
          <w:rFonts w:hint="eastAsia" w:ascii="宋体" w:hAnsi="宋体" w:cs="宋体"/>
          <w:color w:val="auto"/>
          <w:szCs w:val="21"/>
          <w:highlight w:val="none"/>
        </w:rPr>
        <w:t xml:space="preserve">27.1.7 不符合采购文件中规定的其他实质性要求和条件的（</w:t>
      </w:r>
      <w:r>
        <w:rPr>
          <w:rFonts w:hint="eastAsia" w:ascii="宋体" w:hAnsi="宋体" w:cs="宋体"/>
          <w:i/>
          <w:color w:val="auto"/>
          <w:szCs w:val="21"/>
          <w:highlight w:val="none"/>
          <w:u w:val="single"/>
        </w:rPr>
        <w:t xml:space="preserve">本采购文件中斜体且有下划线部分为实质性要求和条件）。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27.1.8 供应商被 “信用中国”网站（www.creditchina.gov.cn）、“中国政府采购网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宋体"/>
          <w:color w:val="auto"/>
          <w:szCs w:val="21"/>
          <w:highlight w:val="none"/>
          <w:lang w:eastAsia="zh-CN"/>
        </w:rPr>
        <w:t xml:space="preserve">信用</w:t>
      </w:r>
      <w:r>
        <w:rPr>
          <w:rFonts w:hint="eastAsia" w:ascii="宋体" w:hAnsi="宋体" w:cs="宋体"/>
          <w:color w:val="auto"/>
          <w:szCs w:val="21"/>
          <w:highlight w:val="none"/>
        </w:rPr>
        <w:t xml:space="preserve">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27.1.9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文件含有采购人不能接受的附加条件的。</w:t>
      </w:r>
      <w:r/>
    </w:p>
    <w:p>
      <w:pPr>
        <w:ind w:firstLine="422"/>
        <w:spacing w:line="360" w:lineRule="auto"/>
        <w:rPr>
          <w:rFonts w:ascii="Calibri" w:hAnsi="Calibri" w:cs="Calibri"/>
          <w:b/>
          <w:bCs/>
          <w:i w:val="0"/>
          <w:iCs w:val="0"/>
          <w:caps w:val="0"/>
          <w:color w:val="auto"/>
          <w:spacing w:val="0"/>
          <w:sz w:val="21"/>
          <w:szCs w:val="21"/>
          <w:highlight w:val="none"/>
        </w:rPr>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 异常低价投标（响应）</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1.投标（响应）报价低于全部通过符合性审查供应商投标（响应）报价平均值</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%的，即投标（响应）报价&lt;全部通过符合性审查供应商投标（响应）报价平均值×</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2.投标（响应）报价低于通过符合性审查的次低报价供应商投标（响应）报价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%的，即投标（响应）报价&lt;通过符合性审查的次低报价供应商投标（响应）报价×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3.投标（响应）报价低于采购项目最高限价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%的，即投标（响应）报价&lt;采购项目最高限价×</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5.</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right="0" w:firstLine="422"/>
        <w:jc w:val="both"/>
        <w:keepLines w:val="0"/>
        <w:keepNext w:val="0"/>
        <w:spacing w:before="0" w:beforeAutospacing="0" w:after="0" w:afterAutospacing="0" w:line="360" w:lineRule="auto"/>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6.</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0" w:firstLine="422"/>
        <w:jc w:val="both"/>
        <w:keepLines w:val="0"/>
        <w:keepNext w:val="0"/>
        <w:spacing w:before="0" w:beforeAutospacing="0" w:after="0" w:afterAutospacing="0" w:line="360" w:lineRule="auto"/>
        <w:shd w:val="clear" w:color="auto" w:fill="ffffff"/>
        <w:widowControl/>
        <w:rPr>
          <w:rFonts w:hint="eastAsia" w:ascii="宋体" w:hAnsi="宋体" w:cs="宋体"/>
          <w:color w:val="auto"/>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1"/>
          <w:szCs w:val="21"/>
          <w:highlight w:val="none"/>
        </w:rPr>
        <w:t xml:space="preserve">2</w:t>
      </w:r>
      <w:r>
        <w:rPr>
          <w:rFonts w:hint="eastAsia" w:ascii="宋体" w:hAnsi="宋体" w:eastAsia="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rPr>
        <w:t xml:space="preserve">.1.10</w:t>
      </w:r>
      <w:r>
        <w:rPr>
          <w:rFonts w:hint="eastAsia" w:ascii="宋体" w:hAnsi="宋体" w:cs="宋体"/>
          <w:b/>
          <w:bCs w:val="0"/>
          <w:color w:val="auto"/>
          <w:sz w:val="21"/>
          <w:szCs w:val="21"/>
          <w:highlight w:val="none"/>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vertAlign w:val="baseline"/>
          <w:lang w:val="en-US" w:eastAsia="zh-CN" w:bidi="ar"/>
        </w:rPr>
        <w:t xml:space="preserve">7.</w:t>
      </w:r>
      <w:r>
        <w:rPr>
          <w:rFonts w:hint="eastAsia" w:ascii="宋体" w:hAnsi="宋体" w:eastAsia="宋体" w:cs="宋体"/>
          <w:b/>
          <w:bCs/>
          <w:i w:val="0"/>
          <w:iCs w:val="0"/>
          <w:caps w:val="0"/>
          <w:color w:val="auto"/>
          <w:spacing w:val="0"/>
          <w:sz w:val="21"/>
          <w:szCs w:val="21"/>
          <w:highlight w:val="none"/>
          <w:shd w:val="clear" w:color="auto" w:fill="ffffff"/>
          <w:vertAlign w:val="baseli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27.1.11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文件未按照</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要求加盖CA电子公章的。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27.1.12 其他</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及本采购文件规定的属无效响应的情形。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 废标条款：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27.2.1 符合专业条件的供应商或者对</w:t>
      </w:r>
      <w:r>
        <w:rPr>
          <w:rFonts w:hint="eastAsia" w:ascii="宋体" w:hAnsi="宋体" w:cs="宋体"/>
          <w:color w:val="auto"/>
          <w:szCs w:val="21"/>
          <w:highlight w:val="none"/>
          <w:lang w:eastAsia="zh-CN"/>
        </w:rPr>
        <w:t xml:space="preserve">采购文件做</w:t>
      </w:r>
      <w:r>
        <w:rPr>
          <w:rFonts w:hint="eastAsia" w:ascii="宋体" w:hAnsi="宋体" w:cs="宋体"/>
          <w:color w:val="auto"/>
          <w:szCs w:val="21"/>
          <w:highlight w:val="none"/>
        </w:rPr>
        <w:t xml:space="preserve">实质响应的供应商不足三家的；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27.2.2 出现影响采购公正的违法、违规行为的；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27.2.3 因重大变故，采购任务取消的。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27.2.4 评标委员会认定</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存在歧义、重大缺陷导致评审工作无法进行。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27.2.5 因苏采云</w:t>
      </w:r>
      <w:r>
        <w:rPr>
          <w:rFonts w:hint="eastAsia" w:ascii="宋体" w:hAnsi="宋体" w:cs="宋体"/>
          <w:color w:val="auto"/>
          <w:szCs w:val="21"/>
          <w:highlight w:val="none"/>
          <w:lang w:eastAsia="zh-CN"/>
        </w:rPr>
        <w:t xml:space="preserve">系统故障</w:t>
      </w:r>
      <w:r>
        <w:rPr>
          <w:rFonts w:hint="eastAsia" w:ascii="宋体" w:hAnsi="宋体" w:cs="宋体"/>
          <w:color w:val="auto"/>
          <w:szCs w:val="21"/>
          <w:highlight w:val="none"/>
        </w:rPr>
        <w:t xml:space="preserve">原因造成开标不成功的。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 </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截止时间结束后参加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的供应商不足三家的处理：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27.3.1如出现</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截止时间结束后参加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的供应商或者在评标期间对</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做出实质响应的供应商不足三家情况，按政府采购相关规定执行。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28、确定成交单位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28.1 磋商小组根据综合评分情况，按照评审得分由高到低顺序推荐3名以上成交候选供应商，并编写评审报告。符合本文件第26.1.2条情形的，可以推荐2家成交候选供应商。</w:t>
      </w:r>
      <w:r>
        <w:rPr>
          <w:rFonts w:hint="eastAsia" w:ascii="宋体" w:hAnsi="宋体" w:eastAsia="宋体" w:cs="宋体"/>
          <w:color w:val="auto"/>
          <w:sz w:val="21"/>
          <w:szCs w:val="21"/>
          <w:highlight w:val="none"/>
        </w:rPr>
        <w:t xml:space="preserve">评审结果按评审后得分由高到低顺序排列。得分相同的，按</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报价由低到高顺序排列。得分且</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报价相同的并列，</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文件满足</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全部实质性要求，且按照评审因素的量化指标评审得分最高的</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lang w:eastAsia="zh-CN"/>
        </w:rPr>
        <w:t xml:space="preserve">为</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候选人。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28.2 采购人应根据磋商推荐的成交候选人，按照排序由高到低的</w:t>
      </w:r>
      <w:r>
        <w:rPr>
          <w:rFonts w:hint="eastAsia" w:ascii="宋体" w:hAnsi="宋体" w:cs="宋体"/>
          <w:color w:val="auto"/>
          <w:szCs w:val="21"/>
          <w:highlight w:val="none"/>
          <w:lang w:eastAsia="zh-CN"/>
        </w:rPr>
        <w:t xml:space="preserve">原则</w:t>
      </w:r>
      <w:r>
        <w:rPr>
          <w:rFonts w:hint="eastAsia" w:ascii="宋体" w:hAnsi="宋体" w:cs="宋体"/>
          <w:color w:val="auto"/>
          <w:szCs w:val="21"/>
          <w:highlight w:val="none"/>
        </w:rPr>
        <w:t xml:space="preserve">确定成交供应商。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28.3 代理机构将在</w:t>
      </w:r>
      <w:r>
        <w:rPr>
          <w:rFonts w:hint="eastAsia" w:ascii="宋体" w:hAnsi="宋体" w:eastAsia="宋体" w:cs="宋体"/>
          <w:color w:val="auto"/>
          <w:sz w:val="21"/>
          <w:szCs w:val="21"/>
          <w:highlight w:val="none"/>
        </w:rPr>
        <w:t xml:space="preserve">“江苏政府采购网”</w:t>
      </w:r>
      <w:r>
        <w:rPr>
          <w:rFonts w:hint="eastAsia" w:ascii="宋体" w:hAnsi="宋体" w:cs="宋体"/>
          <w:color w:val="auto"/>
          <w:szCs w:val="21"/>
          <w:highlight w:val="none"/>
        </w:rPr>
        <w:t xml:space="preserve">发布成交公告，公告期限为1个工作日。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 若有充分证据证明，成交供应商出现下列情况之一的，一经查实，将被取消成交资格：</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28.4.1 提供虚假材料谋取成交的；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28.4.2 向采购人、代理机构行贿或者提供其他不正当利益的；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28.4.3 恶意竞争，最终总报价明显低于其自身合理成本且又无法提供证明的；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28.4.4 属于本文件规定的无效条件，但在评审过程中又未被磋商小组发现的；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28.4.5 与采购人或者其他供应商恶意串通的；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28.4.6 采取不正当手段诋毁、排挤其他供应商的；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 有下列情形之一的，视为</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串通</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28.5.1不同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文件由同一单位或者个人编制。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28.5.2不同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委托同一单位或者个人办理</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事宜。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28.5.3 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文件载明的项目管理成员或者联系人员为同一人。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28.5.4不同</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的</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文件异常一致或者</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报价呈规律性差异。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29、质疑处理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29.1提出质疑的供应商应当是参与所质疑项目采购活动的供应商。潜在供应商依法获取其可质疑的采购文件的，可以对采购文件提出质疑。</w:t>
      </w:r>
      <w:r/>
    </w:p>
    <w:p>
      <w:pPr>
        <w:ind w:firstLine="48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上述应知其权益受到损害之日，是指：</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29.2.1对可以质疑的采购文件提出质疑的，为收到采购文件之日或者采购文件公告期限届满之日；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29.2.2对采购过程提出质疑的，为各采购程序环节结束之日；</w:t>
      </w:r>
      <w:r>
        <w:rPr>
          <w:rFonts w:hint="eastAsia" w:ascii="宋体" w:hAnsi="宋体" w:cs="宋体"/>
          <w:color w:val="auto"/>
          <w:szCs w:val="21"/>
          <w:highlight w:val="none"/>
        </w:rPr>
        <w:br/>
      </w:r>
      <w:r>
        <w:rPr>
          <w:rFonts w:hint="eastAsia" w:ascii="宋体" w:hAnsi="宋体" w:cs="宋体"/>
          <w:color w:val="auto"/>
          <w:szCs w:val="21"/>
          <w:highlight w:val="none"/>
        </w:rPr>
        <w:t xml:space="preserve">    29.2.3对中标或者成交结果提出质疑的，为中标或者成交结果公告期限届满之日。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代理机构及采购人只接收以纸质原件形式送达的质疑,建议供应商尽量通过邮寄方式提交质疑（采购人和代理机构不接受未填写快递运单的快件）。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代理机构质疑接受人及联系方式详见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采购人质疑接收人及联系方式见</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第一章。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 以下情形的质疑不予受理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29.5.1 内容不符合《政府采购质疑和投诉办法》第十二条规定的质疑。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29.5.2 超出政府采购法定期限的质疑。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29.5.3 以传真、电子邮件等方式递交的非原件形式的质疑。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29.5.4 未参加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活动的供应商或在</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活动中自身权益未受到损害的供应商所提出的质疑。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29.5.5供应商组成联合体参加</w:t>
      </w:r>
      <w:r>
        <w:rPr>
          <w:rFonts w:hint="eastAsia" w:ascii="宋体" w:hAnsi="宋体" w:cs="宋体"/>
          <w:color w:val="auto"/>
          <w:szCs w:val="21"/>
          <w:highlight w:val="none"/>
          <w:lang w:eastAsia="zh-CN"/>
        </w:rPr>
        <w:t xml:space="preserve">投标（响应）</w:t>
      </w:r>
      <w:r>
        <w:rPr>
          <w:rFonts w:hint="eastAsia" w:ascii="宋体" w:hAnsi="宋体" w:cs="宋体"/>
          <w:color w:val="auto"/>
          <w:szCs w:val="21"/>
          <w:highlight w:val="none"/>
        </w:rPr>
        <w:t xml:space="preserve">，联合体中任何一方或多方未按要求签字、盖章、加盖公章的质疑。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30、成交通知书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30.l 成交结果确定后，代理机构将向成交供应商发出</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通知书。请成交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成交供应商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 签订合同</w:t>
      </w:r>
      <w:r/>
    </w:p>
    <w:p>
      <w:pPr>
        <w:ind w:left="0" w:firstLine="42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.l</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应在</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通知书发出之日起</w:t>
      </w:r>
      <w:r>
        <w:rPr>
          <w:rFonts w:hint="eastAsia" w:ascii="宋体" w:hAnsi="宋体" w:eastAsia="宋体" w:cs="宋体"/>
          <w:color w:val="auto"/>
          <w:sz w:val="21"/>
          <w:szCs w:val="21"/>
          <w:highlight w:val="none"/>
          <w:lang w:val="en-US" w:eastAsia="zh-CN"/>
        </w:rPr>
        <w:t xml:space="preserve">三十</w:t>
      </w:r>
      <w:r>
        <w:rPr>
          <w:rFonts w:hint="eastAsia" w:ascii="宋体" w:hAnsi="宋体" w:eastAsia="宋体" w:cs="宋体"/>
          <w:color w:val="auto"/>
          <w:sz w:val="21"/>
          <w:szCs w:val="21"/>
          <w:highlight w:val="none"/>
        </w:rPr>
        <w:t xml:space="preserve">日内，按照</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确定的事项与采购人签订政府采购合同。</w:t>
      </w:r>
      <w:r>
        <w:rPr>
          <w:rFonts w:hint="eastAsia" w:ascii="宋体" w:hAnsi="宋体" w:eastAsia="宋体" w:cs="宋体"/>
          <w:color w:val="auto"/>
          <w:sz w:val="21"/>
          <w:szCs w:val="21"/>
          <w:highlight w:val="none"/>
          <w:lang w:val="en-US" w:eastAsia="zh-CN"/>
        </w:rPr>
        <w:t xml:space="preserve">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w:t>
      </w:r>
      <w:r>
        <w:rPr>
          <w:rFonts w:hint="eastAsia" w:ascii="宋体" w:hAnsi="宋体" w:eastAsia="宋体" w:cs="宋体"/>
          <w:color w:val="auto"/>
          <w:sz w:val="21"/>
          <w:szCs w:val="21"/>
          <w:highlight w:val="none"/>
        </w:rPr>
        <w:t xml:space="preserve">将</w:t>
      </w:r>
      <w:r>
        <w:rPr>
          <w:rFonts w:hint="eastAsia" w:ascii="宋体" w:hAnsi="宋体" w:eastAsia="宋体" w:cs="宋体"/>
          <w:color w:val="auto"/>
          <w:sz w:val="21"/>
          <w:szCs w:val="21"/>
          <w:highlight w:val="none"/>
          <w:lang w:val="en-US" w:eastAsia="zh-CN"/>
        </w:rPr>
        <w:t xml:space="preserve">其</w:t>
      </w:r>
      <w:r>
        <w:rPr>
          <w:rFonts w:hint="eastAsia" w:ascii="宋体" w:hAnsi="宋体" w:eastAsia="宋体" w:cs="宋体"/>
          <w:color w:val="auto"/>
          <w:sz w:val="21"/>
          <w:szCs w:val="21"/>
          <w:highlight w:val="none"/>
        </w:rPr>
        <w:t xml:space="preserve">列入</w:t>
      </w:r>
      <w:r>
        <w:rPr>
          <w:rFonts w:hint="eastAsia" w:ascii="宋体" w:hAnsi="宋体" w:eastAsia="宋体" w:cs="宋体"/>
          <w:color w:val="auto"/>
          <w:sz w:val="21"/>
          <w:szCs w:val="21"/>
          <w:highlight w:val="none"/>
          <w:lang w:val="en-US" w:eastAsia="zh-CN"/>
        </w:rPr>
        <w:t xml:space="preserve">校内</w:t>
      </w:r>
      <w:r>
        <w:rPr>
          <w:rFonts w:hint="eastAsia" w:ascii="宋体" w:hAnsi="宋体" w:eastAsia="宋体" w:cs="宋体"/>
          <w:color w:val="auto"/>
          <w:sz w:val="21"/>
          <w:szCs w:val="21"/>
          <w:highlight w:val="none"/>
        </w:rPr>
        <w:t xml:space="preserve">不良行为记录名单，</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有权在学校相关网址公开供应商不良行为黑名单信息，保留在一至三年内禁止其参加学校采购活动的权利</w:t>
      </w:r>
      <w:r>
        <w:rPr>
          <w:rFonts w:hint="eastAsia" w:ascii="宋体" w:hAnsi="宋体" w:eastAsia="宋体" w:cs="宋体"/>
          <w:color w:val="auto"/>
          <w:sz w:val="21"/>
          <w:szCs w:val="21"/>
          <w:highlight w:val="none"/>
          <w:lang w:eastAsia="zh-CN"/>
        </w:rPr>
        <w:t xml:space="preserve">。</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 </w:t>
      </w:r>
      <w:r>
        <w:rPr>
          <w:rFonts w:hint="eastAsia" w:ascii="宋体" w:hAnsi="宋体" w:cs="宋体"/>
          <w:color w:val="auto"/>
          <w:sz w:val="21"/>
          <w:szCs w:val="21"/>
          <w:highlight w:val="none"/>
          <w:lang w:eastAsia="zh-CN"/>
        </w:rPr>
        <w:t xml:space="preserve">采购</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的响应文件及采购过程中有关澄清、承诺文件均应作为合同附件。</w:t>
      </w:r>
      <w:r/>
    </w:p>
    <w:p>
      <w:pPr>
        <w:ind w:left="0" w:firstLine="42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.3 合同在“政府采购管理交易系统（苏采云）”中签订，签订合同后，</w:t>
      </w:r>
      <w:r>
        <w:rPr>
          <w:rFonts w:hint="eastAsia" w:ascii="宋体" w:hAnsi="宋体" w:cs="宋体"/>
          <w:i w:val="0"/>
          <w:iCs w:val="0"/>
          <w:color w:val="auto"/>
          <w:sz w:val="21"/>
          <w:szCs w:val="21"/>
          <w:highlight w:val="none"/>
          <w:u w:val="none"/>
          <w:lang w:eastAsia="zh-CN"/>
        </w:rPr>
        <w:t xml:space="preserve">成交</w:t>
      </w:r>
      <w:r>
        <w:rPr>
          <w:rFonts w:hint="eastAsia" w:ascii="宋体" w:hAnsi="宋体" w:eastAsia="宋体" w:cs="宋体"/>
          <w:i w:val="0"/>
          <w:iCs w:val="0"/>
          <w:color w:val="auto"/>
          <w:sz w:val="21"/>
          <w:szCs w:val="21"/>
          <w:highlight w:val="none"/>
          <w:u w:val="none"/>
          <w:lang w:eastAsia="zh-CN"/>
        </w:rPr>
        <w:t xml:space="preserve">供应商</w:t>
      </w:r>
      <w:r>
        <w:rPr>
          <w:rFonts w:hint="eastAsia" w:ascii="宋体" w:hAnsi="宋体" w:eastAsia="宋体" w:cs="宋体"/>
          <w:i w:val="0"/>
          <w:iCs w:val="0"/>
          <w:color w:val="auto"/>
          <w:sz w:val="21"/>
          <w:szCs w:val="21"/>
          <w:highlight w:val="none"/>
          <w:u w:val="none"/>
        </w:rPr>
        <w:t xml:space="preserve">不得将货物或服务及其他服务进行转包。</w:t>
      </w:r>
      <w:r>
        <w:rPr>
          <w:rFonts w:hint="eastAsia" w:ascii="宋体" w:hAnsi="宋体" w:eastAsia="宋体" w:cs="宋体"/>
          <w:color w:val="auto"/>
          <w:sz w:val="21"/>
          <w:szCs w:val="21"/>
          <w:highlight w:val="none"/>
        </w:rPr>
        <w:t xml:space="preserve">未经采购人同意，</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也不得采用分包的形式履行合同，否则采购人有权终止合同，</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的履约保证金将不予退还。转包或分包造成采购人损失的，</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应承担赔偿责任。</w:t>
      </w:r>
      <w:r/>
    </w:p>
    <w:p>
      <w:pPr>
        <w:ind w:left="0" w:firstLine="420"/>
        <w:pageBreakBefore w:val="0"/>
        <w:spacing w:line="360" w:lineRule="auto"/>
        <w:widowControl w:val="off"/>
        <w:rPr>
          <w:rFonts w:hint="eastAsia" w:ascii="Times New Roman" w:hAnsi="Times New Roman" w:eastAsia="宋体"/>
          <w:b/>
          <w:color w:val="auto"/>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.4采购人不得向</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提出任何不合理的要求作为签订合同的条件，不得与</w:t>
      </w:r>
      <w:r>
        <w:rPr>
          <w:rFonts w:hint="eastAsia" w:ascii="宋体" w:hAnsi="宋体" w:cs="宋体"/>
          <w:color w:val="auto"/>
          <w:sz w:val="21"/>
          <w:szCs w:val="21"/>
          <w:highlight w:val="none"/>
          <w:lang w:eastAsia="zh-CN"/>
        </w:rPr>
        <w:t xml:space="preserve">成交</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私下订立</w:t>
      </w:r>
      <w:r>
        <w:rPr>
          <w:rFonts w:hint="eastAsia" w:ascii="Times New Roman" w:hAnsi="Times New Roman" w:eastAsia="宋体"/>
          <w:color w:val="auto"/>
          <w:szCs w:val="21"/>
          <w:highlight w:val="none"/>
        </w:rPr>
        <w:t xml:space="preserve">背离合同实质性内容的协议。</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32、政府采购履约资金扶持政策</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32.1成交供应商可凭政府采购合同办理融资贷款，详情请见</w:t>
      </w:r>
      <w:r>
        <w:rPr>
          <w:rFonts w:hint="eastAsia" w:ascii="宋体" w:hAnsi="宋体" w:eastAsia="宋体" w:cs="宋体"/>
          <w:color w:val="auto"/>
          <w:sz w:val="21"/>
          <w:szCs w:val="21"/>
          <w:highlight w:val="none"/>
        </w:rPr>
        <w:t xml:space="preserve">江苏政府采购网</w:t>
      </w:r>
      <w:r>
        <w:rPr>
          <w:rFonts w:hint="eastAsia" w:ascii="宋体" w:hAnsi="宋体" w:eastAsia="宋体" w:cs="宋体"/>
          <w:color w:val="auto"/>
          <w:szCs w:val="21"/>
          <w:highlight w:val="none"/>
          <w:lang w:val="en-US" w:eastAsia="zh-CN"/>
        </w:rPr>
        <w:t xml:space="preserve">“政采贷”专栏。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33、其他</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    33.1 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auto"/>
          <w:szCs w:val="21"/>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Cs w:val="21"/>
          <w:highlight w:val="none"/>
        </w:rPr>
      </w:r>
      <w:r/>
    </w:p>
    <w:p>
      <w:pPr>
        <w:jc w:val="center"/>
        <w:keepNext/>
        <w:rPr>
          <w:rFonts w:hint="eastAsia" w:ascii="宋体" w:hAnsi="宋体" w:eastAsia="宋体" w:cs="宋体"/>
          <w:color w:val="auto"/>
          <w:sz w:val="44"/>
          <w:szCs w:val="44"/>
          <w:highlight w:val="none"/>
        </w:rPr>
        <w:outlineLvl w:val="0"/>
      </w:pPr>
      <w:r/>
      <w:bookmarkStart w:id="51" w:name="_Toc165197239"/>
      <w:r>
        <w:rPr>
          <w:rFonts w:hint="eastAsia" w:ascii="宋体" w:hAnsi="宋体" w:eastAsia="宋体" w:cs="宋体"/>
          <w:color w:val="auto"/>
          <w:sz w:val="44"/>
          <w:szCs w:val="44"/>
          <w:highlight w:val="none"/>
        </w:rPr>
        <w:t xml:space="preserve">第三章  </w:t>
      </w:r>
      <w:bookmarkEnd w:id="37"/>
      <w:r/>
      <w:bookmarkEnd w:id="38"/>
      <w:r/>
      <w:bookmarkEnd w:id="39"/>
      <w:r/>
      <w:bookmarkEnd w:id="40"/>
      <w:r/>
      <w:bookmarkEnd w:id="41"/>
      <w:r/>
      <w:bookmarkEnd w:id="51"/>
      <w:r>
        <w:rPr>
          <w:rFonts w:hint="eastAsia" w:ascii="宋体" w:hAnsi="宋体" w:eastAsia="宋体" w:cs="宋体"/>
          <w:color w:val="auto"/>
          <w:sz w:val="44"/>
          <w:szCs w:val="44"/>
          <w:highlight w:val="none"/>
        </w:rPr>
        <w:t xml:space="preserve">合同条款及格式</w:t>
      </w:r>
      <w:r/>
    </w:p>
    <w:p>
      <w:pPr>
        <w:ind w:firstLine="420"/>
        <w:spacing w:line="360" w:lineRule="auto"/>
        <w:rPr>
          <w:rFonts w:hint="eastAsia" w:ascii="宋体" w:hAnsi="宋体" w:eastAsia="宋体" w:cs="宋体"/>
          <w:color w:val="auto"/>
          <w:szCs w:val="21"/>
          <w:highlight w:val="none"/>
        </w:rPr>
      </w:pPr>
      <w:r/>
      <w:bookmarkStart w:id="52" w:name="_Toc513029243"/>
      <w:r/>
      <w:bookmarkStart w:id="53" w:name="_Toc16938559"/>
      <w:r/>
      <w:bookmarkStart w:id="54" w:name="_Toc20823315"/>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SA"/>
        </w:rPr>
        <w:t xml:space="preserve">以下为成交后</w:t>
      </w:r>
      <w:r>
        <w:rPr>
          <w:rFonts w:hint="eastAsia" w:ascii="宋体" w:hAnsi="宋体" w:eastAsia="宋体" w:cs="宋体"/>
          <w:color w:val="auto"/>
          <w:szCs w:val="21"/>
          <w:highlight w:val="none"/>
          <w:lang w:eastAsia="zh-CN" w:bidi="ar-SA"/>
        </w:rPr>
        <w:t xml:space="preserve">签订</w:t>
      </w:r>
      <w:r>
        <w:rPr>
          <w:rFonts w:hint="eastAsia" w:ascii="宋体" w:hAnsi="宋体" w:eastAsia="宋体" w:cs="宋体"/>
          <w:color w:val="auto"/>
          <w:szCs w:val="21"/>
          <w:highlight w:val="none"/>
          <w:lang w:bidi="ar-SA"/>
        </w:rPr>
        <w:t xml:space="preserve">本项目合同的通用条款，成交供应商不得提出实质性的修改，关于专用条款将由采购人与成交供应商结合本项目具体情况协商后签订。</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bookmarkEnd w:id="52"/>
      <w:r/>
      <w:bookmarkEnd w:id="53"/>
      <w:r/>
      <w:bookmarkEnd w:id="54"/>
      <w:r/>
      <w:r/>
    </w:p>
    <w:p>
      <w:pPr>
        <w:pStyle w:val="1059"/>
        <w:ind w:firstLine="402"/>
        <w:jc w:val="center"/>
        <w:spacing w:before="120" w:after="120" w:line="360" w:lineRule="auto"/>
        <w:rPr>
          <w:rFonts w:hAnsi="宋体" w:cs="宋体"/>
          <w:b/>
          <w:bCs/>
          <w:color w:val="auto"/>
          <w:szCs w:val="21"/>
          <w:highlight w:val="none"/>
        </w:rPr>
      </w:pPr>
      <w:r/>
      <w:bookmarkStart w:id="55" w:name="_Hlt16619350"/>
      <w:r/>
      <w:bookmarkStart w:id="56" w:name="_Toc165197240"/>
      <w:r/>
      <w:bookmarkStart w:id="57" w:name="_Toc16938590"/>
      <w:r/>
      <w:bookmarkStart w:id="58" w:name="_Toc20823346"/>
      <w:r/>
      <w:bookmarkStart w:id="59" w:name="_Toc120614244"/>
      <w:r/>
      <w:bookmarkStart w:id="60" w:name="_Toc479757211"/>
      <w:r/>
      <w:bookmarkStart w:id="61" w:name="_Toc462564139"/>
      <w:r>
        <w:rPr>
          <w:rFonts w:hint="eastAsia" w:hAnsi="宋体" w:cs="宋体"/>
          <w:b/>
          <w:bCs/>
          <w:color w:val="auto"/>
          <w:szCs w:val="21"/>
          <w:highlight w:val="none"/>
        </w:rPr>
        <w:t xml:space="preserve">政府采购合同（工程）（合同编号：          ）</w:t>
      </w:r>
      <w:r/>
    </w:p>
    <w:p>
      <w:pPr>
        <w:pStyle w:val="1042"/>
        <w:jc w:val="center"/>
        <w:rPr>
          <w:rFonts w:ascii="宋体" w:hAnsi="宋体" w:eastAsia="宋体" w:cs="宋体"/>
          <w:b/>
          <w:bCs/>
          <w:color w:val="auto"/>
          <w:sz w:val="21"/>
          <w:szCs w:val="21"/>
          <w:highlight w:val="none"/>
        </w:rPr>
      </w:pPr>
      <w:r/>
      <w:bookmarkStart w:id="62" w:name="_Toc3340"/>
      <w:r/>
      <w:bookmarkStart w:id="63" w:name="_Toc21949"/>
      <w:r/>
      <w:bookmarkStart w:id="64" w:name="_Toc22326"/>
      <w:r/>
      <w:bookmarkStart w:id="65" w:name="_Toc22349"/>
      <w:r/>
      <w:bookmarkStart w:id="66" w:name="_Toc25679"/>
      <w:r/>
      <w:bookmarkStart w:id="67" w:name="_Toc27482"/>
      <w:r/>
      <w:bookmarkStart w:id="68" w:name="_Toc18079"/>
      <w:r/>
      <w:bookmarkStart w:id="69" w:name="_Toc32047"/>
      <w:r/>
      <w:bookmarkStart w:id="70" w:name="_Toc29974"/>
      <w:r/>
      <w:bookmarkStart w:id="71" w:name="_Toc28993"/>
      <w:r/>
      <w:bookmarkStart w:id="72" w:name="_Toc3668"/>
      <w:r>
        <w:rPr>
          <w:rFonts w:hint="eastAsia" w:ascii="宋体" w:hAnsi="宋体" w:eastAsia="宋体" w:cs="宋体"/>
          <w:b/>
          <w:bCs/>
          <w:color w:val="auto"/>
          <w:sz w:val="21"/>
          <w:szCs w:val="21"/>
          <w:highlight w:val="none"/>
        </w:rPr>
        <w:t xml:space="preserve">第一部分</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auto"/>
          <w:sz w:val="21"/>
          <w:szCs w:val="21"/>
          <w:highlight w:val="none"/>
        </w:rPr>
        <w:t xml:space="preserve">合同协议书</w:t>
      </w:r>
      <w:bookmarkEnd w:id="62"/>
      <w:r/>
      <w:bookmarkEnd w:id="63"/>
      <w:r/>
      <w:bookmarkEnd w:id="64"/>
      <w:r/>
      <w:bookmarkEnd w:id="65"/>
      <w:r/>
      <w:bookmarkEnd w:id="66"/>
      <w:r/>
      <w:bookmarkEnd w:id="67"/>
      <w:r/>
      <w:bookmarkEnd w:id="68"/>
      <w:r/>
      <w:bookmarkEnd w:id="69"/>
      <w:r/>
      <w:bookmarkEnd w:id="70"/>
      <w:r/>
      <w:bookmarkEnd w:id="71"/>
      <w:r/>
      <w:bookmarkEnd w:id="72"/>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根据《中华人民共和国民法典》及有关法律规定，遵循平等、自愿、公平和诚实信用的原则，双方就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工程施工及有关事项协商一致，共同达成如下协议：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一、工程概况</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1.工程名称：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3.工程立项批准文号：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4.资金来源：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5.工程内容：</w:t>
      </w:r>
      <w:r>
        <w:rPr>
          <w:rFonts w:hint="eastAsia" w:ascii="宋体" w:hAnsi="宋体" w:cs="宋体"/>
          <w:color w:val="auto"/>
          <w:szCs w:val="21"/>
          <w:highlight w:val="none"/>
          <w:u w:val="single"/>
        </w:rPr>
        <w:t xml:space="preserve">图纸及工程量清单确定的工程</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群体工程应附《承包人承揽工程项目一览表》（附件1）。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6.工程承包范围：</w:t>
      </w:r>
      <w:r>
        <w:rPr>
          <w:rFonts w:hint="eastAsia" w:ascii="宋体" w:hAnsi="宋体" w:cs="宋体"/>
          <w:color w:val="auto"/>
          <w:szCs w:val="21"/>
          <w:highlight w:val="none"/>
          <w:u w:val="single"/>
        </w:rPr>
        <w:t xml:space="preserve">图纸及工程量清单确定的工程施工</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二、合同工期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计划竣工日期：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工期总日历天数：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天。工期总日历天数与根据前述计划开竣工日期计算的工期天数不一致的，以工期总日历天数为准。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三、质量标准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工程质量符合</w:t>
      </w:r>
      <w:r>
        <w:rPr>
          <w:rFonts w:hint="eastAsia" w:ascii="宋体" w:hAnsi="宋体" w:cs="宋体"/>
          <w:color w:val="auto"/>
          <w:szCs w:val="21"/>
          <w:highlight w:val="none"/>
          <w:u w:val="single"/>
        </w:rPr>
        <w:t xml:space="preserve">合格</w:t>
      </w:r>
      <w:r>
        <w:rPr>
          <w:rFonts w:hint="eastAsia" w:ascii="宋体" w:hAnsi="宋体" w:cs="宋体"/>
          <w:color w:val="auto"/>
          <w:szCs w:val="21"/>
          <w:highlight w:val="none"/>
        </w:rPr>
        <w:t xml:space="preserve">标准。</w:t>
      </w:r>
      <w:r/>
    </w:p>
    <w:p>
      <w:pPr>
        <w:ind w:left="420" w:firstLine="10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四、签约合同价与合同价格形式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1.签约合同价为：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其中：</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（1）安全文明施工费：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（2）材料和工程设备暂估价金额：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（3）专业工程暂估价金额：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（4）暂列金额：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2.合同价格形式：</w:t>
      </w:r>
      <w:r>
        <w:rPr>
          <w:rFonts w:hint="eastAsia" w:ascii="宋体" w:hAnsi="宋体" w:cs="宋体"/>
          <w:color w:val="auto"/>
          <w:szCs w:val="21"/>
          <w:highlight w:val="none"/>
          <w:u w:val="single"/>
        </w:rPr>
        <w:t xml:space="preserve">固定单价</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五、项目经理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承包人项目经理：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六、合同文件构成</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本协议书与下列文件一起构成合同文件：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通知书；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投标（响应）</w:t>
      </w:r>
      <w:r>
        <w:rPr>
          <w:rFonts w:hint="eastAsia" w:ascii="宋体" w:hAnsi="宋体" w:cs="宋体"/>
          <w:color w:val="auto"/>
          <w:szCs w:val="21"/>
          <w:highlight w:val="none"/>
        </w:rPr>
        <w:t xml:space="preserve">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（3）专用合同条款及其附件；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（4）通用合同条款；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（5）技术标准和要求；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（6）图纸；</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（7）已标价工程量清单或预算书；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（8）其他合同文件。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在合同订立及履行过程中形成的与合同有关的文件均构成合同文件组成部分。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七、承诺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1.发包人承诺按照法律规定履行项目审批手续、筹集工程建设资金并按照合同约定的期限和方式支付合同价款。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3.发包人和承包人通过</w:t>
      </w:r>
      <w:r>
        <w:rPr>
          <w:rFonts w:hint="eastAsia" w:ascii="宋体" w:hAnsi="宋体" w:cs="宋体"/>
          <w:color w:val="auto"/>
          <w:szCs w:val="21"/>
          <w:highlight w:val="none"/>
          <w:lang w:val="en-US" w:eastAsia="zh-CN"/>
        </w:rPr>
        <w:t xml:space="preserve">政府采购</w:t>
      </w:r>
      <w:r>
        <w:rPr>
          <w:rFonts w:hint="eastAsia" w:ascii="宋体" w:hAnsi="宋体" w:cs="宋体"/>
          <w:color w:val="auto"/>
          <w:szCs w:val="21"/>
          <w:highlight w:val="none"/>
        </w:rPr>
        <w:t xml:space="preserve">形式签订合同的，双方理解并承诺不再就同一工程另行签订与合同实质性内容相背离的协议。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八、词语含义</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本协议书中词语含义与第二部分通用合同条款中赋予的含义相同。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九、签订时间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日签订。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十、签订地点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本合同在</w:t>
      </w:r>
      <w:r>
        <w:rPr>
          <w:rFonts w:hint="eastAsia" w:ascii="宋体" w:hAnsi="宋体" w:cs="宋体"/>
          <w:color w:val="auto"/>
          <w:szCs w:val="21"/>
          <w:highlight w:val="none"/>
          <w:u w:val="single"/>
        </w:rPr>
        <w:t xml:space="preserve">扬州大学</w:t>
      </w:r>
      <w:r>
        <w:rPr>
          <w:rFonts w:hint="eastAsia" w:ascii="宋体" w:hAnsi="宋体" w:cs="宋体"/>
          <w:color w:val="auto"/>
          <w:szCs w:val="21"/>
          <w:highlight w:val="none"/>
        </w:rPr>
        <w:t xml:space="preserve">签订。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十一、补充协议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合同未尽事宜，合同当事人另行签订补充协议，补充协议是合同的组成部分。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十二、合同生效</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本合同自</w:t>
      </w:r>
      <w:r>
        <w:rPr>
          <w:rFonts w:hint="eastAsia" w:ascii="宋体" w:hAnsi="宋体" w:cs="宋体"/>
          <w:color w:val="auto"/>
          <w:szCs w:val="21"/>
          <w:highlight w:val="none"/>
          <w:u w:val="single"/>
        </w:rPr>
        <w:t xml:space="preserve">双方法定代表人或其合法代理人签署，并加盖单位公章或合同专用章后</w:t>
      </w:r>
      <w:r>
        <w:rPr>
          <w:rFonts w:hint="eastAsia" w:ascii="宋体" w:hAnsi="宋体" w:cs="宋体"/>
          <w:color w:val="auto"/>
          <w:szCs w:val="21"/>
          <w:highlight w:val="none"/>
        </w:rPr>
        <w:t xml:space="preserve">生效。</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十三、合同份数</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份，均具有同等法律效力，发包人执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份，承包人执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份。</w:t>
      </w:r>
      <w:r/>
    </w:p>
    <w:p>
      <w:pPr>
        <w:ind w:firstLine="600"/>
        <w:rPr>
          <w:rFonts w:ascii="宋体" w:hAnsi="宋体" w:cs="宋体"/>
          <w:color w:val="auto"/>
          <w:szCs w:val="21"/>
          <w:highlight w:val="none"/>
        </w:rPr>
      </w:pPr>
      <w:r>
        <w:rPr>
          <w:rFonts w:ascii="宋体" w:hAnsi="宋体" w:cs="宋体"/>
          <w:color w:val="auto"/>
          <w:szCs w:val="21"/>
          <w:highlight w:val="none"/>
        </w:rPr>
      </w:r>
      <w:r/>
    </w:p>
    <w:tbl>
      <w:tblPr>
        <w:tblStyle w:val="1051"/>
        <w:tblW w:w="0" w:type="auto"/>
        <w:jc w:val="center"/>
        <w:tblLayout w:type="fixed"/>
        <w:tblCellMar>
          <w:left w:w="108" w:type="dxa"/>
          <w:top w:w="0" w:type="dxa"/>
          <w:right w:w="108" w:type="dxa"/>
          <w:bottom w:w="0" w:type="dxa"/>
        </w:tblCellMar>
        <w:tblLook w:val="04A0" w:firstRow="1" w:lastRow="0" w:firstColumn="1" w:lastColumn="0" w:noHBand="0" w:noVBand="1"/>
      </w:tblPr>
      <w:tblGrid>
        <w:gridCol w:w="4700"/>
        <w:gridCol w:w="4701"/>
      </w:tblGrid>
      <w:tr>
        <w:trPr>
          <w:jc w:val="cente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p>
        </w:tc>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法定代表人或其委托代理人：</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（签字）</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组织机构代码：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p>
        </w:tc>
      </w:tr>
    </w:tbl>
    <w:p>
      <w:pPr>
        <w:ind w:firstLine="560"/>
        <w:rPr>
          <w:rFonts w:eastAsia="方正仿宋_GBK"/>
          <w:color w:val="auto"/>
          <w:sz w:val="28"/>
          <w:szCs w:val="28"/>
          <w:highlight w:val="none"/>
        </w:rPr>
        <w:sectPr>
          <w:footerReference w:type="default" r:id="rId19"/>
          <w:footnotePr/>
          <w:endnotePr/>
          <w:type w:val="nextPage"/>
          <w:pgSz w:w="11905" w:h="16838" w:orient="portrait"/>
          <w:pgMar w:top="1417" w:right="1247" w:bottom="1247" w:left="1553" w:header="737" w:footer="510" w:gutter="0"/>
          <w:cols w:num="1" w:sep="0" w:space="720" w:equalWidth="1"/>
          <w:docGrid w:linePitch="360"/>
        </w:sectPr>
      </w:pPr>
      <w:r>
        <w:rPr>
          <w:rFonts w:eastAsia="方正仿宋_GBK"/>
          <w:color w:val="auto"/>
          <w:sz w:val="28"/>
          <w:szCs w:val="28"/>
          <w:highlight w:val="none"/>
        </w:rPr>
      </w:r>
      <w:r/>
    </w:p>
    <w:p>
      <w:pPr>
        <w:pStyle w:val="1261"/>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第二部分　　通用条款（略）</w:t>
      </w:r>
      <w:r/>
    </w:p>
    <w:p>
      <w:pPr>
        <w:pStyle w:val="1042"/>
        <w:jc w:val="center"/>
        <w:rPr>
          <w:rFonts w:ascii="宋体" w:hAnsi="宋体" w:eastAsia="宋体" w:cs="宋体"/>
          <w:b/>
          <w:bCs/>
          <w:color w:val="auto"/>
          <w:sz w:val="21"/>
          <w:szCs w:val="21"/>
          <w:highlight w:val="none"/>
        </w:rPr>
      </w:pPr>
      <w:r/>
      <w:bookmarkStart w:id="73" w:name="_Toc11031"/>
      <w:r/>
      <w:bookmarkStart w:id="74" w:name="_Toc7127"/>
      <w:r/>
      <w:bookmarkStart w:id="75" w:name="_Toc598"/>
      <w:r/>
      <w:bookmarkStart w:id="76" w:name="_Toc24576"/>
      <w:r/>
      <w:bookmarkStart w:id="77" w:name="_Toc12965"/>
      <w:r/>
      <w:bookmarkStart w:id="78" w:name="_Toc30727"/>
      <w:r/>
      <w:bookmarkStart w:id="79" w:name="_Toc27438"/>
      <w:r/>
      <w:bookmarkStart w:id="80" w:name="_Toc16141"/>
      <w:r/>
      <w:bookmarkStart w:id="81" w:name="_Toc9097"/>
      <w:r/>
      <w:bookmarkStart w:id="82" w:name="_Toc31520"/>
      <w:r/>
      <w:bookmarkStart w:id="83" w:name="_Toc9034"/>
      <w:r>
        <w:rPr>
          <w:rFonts w:hint="eastAsia" w:ascii="宋体" w:hAnsi="宋体" w:eastAsia="宋体" w:cs="宋体"/>
          <w:b/>
          <w:bCs/>
          <w:color w:val="auto"/>
          <w:sz w:val="21"/>
          <w:szCs w:val="21"/>
          <w:highlight w:val="none"/>
        </w:rPr>
        <w:t xml:space="preserve">第三部分　专用合同条款</w:t>
      </w:r>
      <w:bookmarkEnd w:id="73"/>
      <w:r/>
      <w:bookmarkEnd w:id="74"/>
      <w:r/>
      <w:bookmarkEnd w:id="75"/>
      <w:r/>
      <w:bookmarkEnd w:id="76"/>
      <w:r/>
      <w:bookmarkEnd w:id="77"/>
      <w:r/>
      <w:bookmarkEnd w:id="78"/>
      <w:r/>
      <w:bookmarkEnd w:id="79"/>
      <w:r/>
      <w:bookmarkEnd w:id="80"/>
      <w:r/>
      <w:bookmarkEnd w:id="81"/>
      <w:r/>
      <w:bookmarkEnd w:id="82"/>
      <w:r/>
      <w:bookmarkEnd w:id="83"/>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1.一般约定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1.1词语定义</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1.1.1.10其他合同文件包括：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1.1.2合同当事人及其他相关方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1.1.2.4监理人：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1.1.2.5设计人：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1.1.3工程和设备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1.1.3.7作为施工现场组成部分的其他场所包括：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1.1.3.9永久占地包括：</w:t>
      </w:r>
      <w:r>
        <w:rPr>
          <w:rFonts w:hint="eastAsia" w:ascii="宋体" w:hAnsi="宋体" w:cs="宋体"/>
          <w:color w:val="auto"/>
          <w:szCs w:val="21"/>
          <w:highlight w:val="none"/>
          <w:u w:val="single"/>
        </w:rPr>
        <w:t xml:space="preserve">按照设计图纸确定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1.1.3.10临时占地包括：</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1.3法律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1.4标准和规范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1.4.1适用于工程的标准规范包括：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1.4.2发包人提供国外标准、规范的名称：</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1.5合同文件的优先顺序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1.6图纸和承包人文件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1.6.1图纸的提供</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实际开工日期前14天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6套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与工程承包范围相适应的</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1.6.4承包人文件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hint="eastAsia" w:ascii="宋体" w:hAnsi="宋体" w:cs="宋体"/>
          <w:color w:val="auto"/>
          <w:szCs w:val="21"/>
          <w:highlight w:val="none"/>
          <w:u w:val="single"/>
        </w:rPr>
        <w:t xml:space="preserve">双方另行确定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1.6.5现场图纸准备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1.7联络</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3</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1.7.2发包人接收文件的地点：</w:t>
      </w:r>
      <w:r>
        <w:rPr>
          <w:rFonts w:hint="eastAsia" w:ascii="宋体" w:hAnsi="宋体" w:cs="宋体"/>
          <w:color w:val="auto"/>
          <w:szCs w:val="21"/>
          <w:highlight w:val="none"/>
          <w:u w:val="single"/>
        </w:rPr>
        <w:t xml:space="preserve">施工现场发包人办公室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发包人代表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施工现场承包人办公室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项目经理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监理人接收文件的地点：</w:t>
      </w:r>
      <w:r>
        <w:rPr>
          <w:rFonts w:hint="eastAsia" w:ascii="宋体" w:hAnsi="宋体" w:cs="宋体"/>
          <w:color w:val="auto"/>
          <w:szCs w:val="21"/>
          <w:highlight w:val="none"/>
          <w:u w:val="single"/>
        </w:rPr>
        <w:t xml:space="preserve">施工现场监理人办公室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监理人指定的接收人为：</w:t>
      </w:r>
      <w:r>
        <w:rPr>
          <w:rFonts w:hint="eastAsia" w:ascii="宋体" w:hAnsi="宋体" w:cs="宋体"/>
          <w:color w:val="auto"/>
          <w:szCs w:val="21"/>
          <w:highlight w:val="none"/>
          <w:u w:val="single"/>
        </w:rPr>
        <w:t xml:space="preserve">总监理工程师</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1.10交通运输</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1.10.1出入现场的权利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由承包人根据施工需要，负责取得出入施工现场所需的批准手续和全部权利，并承担相关费用。必要时，发包人可协助承包人办理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1.10.3场内交通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以施工围挡为边界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1.10.4超大件和超重件的运输</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rPr>
        <w:t xml:space="preserve">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1.11知识产权</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1.11.2关于承包人为实施工程所编制文件的著作权的归属：</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1.11.4承包人在施工过程中所采用的专利、专有技术、技术秘密的使用费的承担方式：</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1.13工程量清单错误的修正</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w:t>
      </w:r>
      <w:r>
        <w:rPr>
          <w:rFonts w:hint="eastAsia" w:ascii="宋体" w:hAnsi="宋体" w:cs="宋体"/>
          <w:color w:val="auto"/>
          <w:szCs w:val="21"/>
          <w:highlight w:val="none"/>
          <w:u w:val="single"/>
        </w:rPr>
        <w:t xml:space="preserve">是</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工程量清单计量偏差按实调整，相应的综合单价不调整</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2.2发包人代表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发包人代表：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发包人另行授权</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2.4施工现场、施工条件和基础资料的提供</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2.4.1提供施工现场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关于发包人移交施工现场的期限要求：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2.4.2提供施工条件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关于发包人应负责提供施工所需要的条件，包括：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2.5资金来源证明及支付担保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发包人提供资金来源证明的期限要求：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发包人是否提供支付担保：</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发包人提供支付担保的形式：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3.承包人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3.1承包人的一般义务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（9）承包人提交的竣工资料的内容：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承包人需要提交的竣工资料套数：</w:t>
      </w:r>
      <w:r>
        <w:rPr>
          <w:rFonts w:hint="eastAsia" w:ascii="宋体" w:hAnsi="宋体" w:cs="宋体"/>
          <w:color w:val="auto"/>
          <w:szCs w:val="21"/>
          <w:highlight w:val="none"/>
          <w:u w:val="single"/>
        </w:rPr>
        <w:t xml:space="preserve">竣工资料2套，竣工图4套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hint="eastAsia" w:ascii="宋体" w:hAnsi="宋体" w:cs="宋体"/>
          <w:color w:val="auto"/>
          <w:szCs w:val="21"/>
          <w:highlight w:val="none"/>
          <w:u w:val="single"/>
        </w:rPr>
        <w:t xml:space="preserve">由承包人承担</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s="宋体"/>
          <w:color w:val="auto"/>
          <w:szCs w:val="21"/>
          <w:highlight w:val="none"/>
          <w:u w:val="single"/>
        </w:rPr>
        <w:t xml:space="preserve">竣工验收合格后42天内，每逾期1天，承担5000元/天的违约金</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s="宋体"/>
          <w:color w:val="auto"/>
          <w:szCs w:val="21"/>
          <w:highlight w:val="none"/>
          <w:u w:val="single"/>
        </w:rPr>
        <w:t xml:space="preserve">除纸质资料外，另提供电子版1套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（10）承包人应履行的其他义务：</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3.2项目经理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3.2.1项目经理：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作为承包人施工现场负责人，全面负责本工程施工现场进度、质量、安全工作，负责本合同的全面履行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color w:val="auto"/>
          <w:szCs w:val="21"/>
          <w:highlight w:val="none"/>
          <w:u w:val="single"/>
        </w:rPr>
        <w:t xml:space="preserve">每月不得少于26天，每周不得少于5天，每天不少于8小时。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承包人未提交劳动合同，以及没有为项目经理缴纳社会保险证明的违约责任：</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项目经理未经批准，擅自离开施工现场的违约责任：</w:t>
      </w:r>
      <w:r>
        <w:rPr>
          <w:rFonts w:hint="eastAsia" w:ascii="宋体" w:hAnsi="宋体" w:cs="宋体"/>
          <w:color w:val="auto"/>
          <w:szCs w:val="21"/>
          <w:highlight w:val="none"/>
          <w:u w:val="single"/>
        </w:rPr>
        <w:t xml:space="preserve">①承包人承担2000元/天的违约金；②累计天数达10天，发包人有权要求更换项目经理；③累计天数达20天，发包人有权解除合同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3.2.3承包人擅自更换项目经理的违约责任：</w:t>
      </w:r>
      <w:r>
        <w:rPr>
          <w:rFonts w:hint="eastAsia" w:ascii="宋体" w:hAnsi="宋体" w:cs="宋体"/>
          <w:color w:val="auto"/>
          <w:szCs w:val="21"/>
          <w:highlight w:val="none"/>
          <w:u w:val="single"/>
        </w:rPr>
        <w:t xml:space="preserve">承包人承担</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万的违约金，并改正违约行为，发包人有权解除合同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3.2.4承包人无正当理由拒绝更换项目经理的违约责任：</w:t>
      </w:r>
      <w:r>
        <w:rPr>
          <w:rFonts w:hint="eastAsia" w:ascii="宋体" w:hAnsi="宋体" w:cs="宋体"/>
          <w:color w:val="auto"/>
          <w:szCs w:val="21"/>
          <w:highlight w:val="none"/>
          <w:u w:val="single"/>
        </w:rPr>
        <w:t xml:space="preserve">承包人承担</w:t>
      </w:r>
      <w:r>
        <w:rPr>
          <w:rFonts w:hint="eastAsia" w:ascii="宋体" w:hAnsi="宋体" w:cs="宋体"/>
          <w:color w:val="auto"/>
          <w:szCs w:val="21"/>
          <w:highlight w:val="none"/>
          <w:u w:val="single"/>
          <w:lang w:val="en-US" w:eastAsia="zh-CN"/>
        </w:rPr>
        <w:t xml:space="preserve">2</w:t>
      </w:r>
      <w:r>
        <w:rPr>
          <w:rFonts w:hint="eastAsia" w:ascii="宋体" w:hAnsi="宋体" w:cs="宋体"/>
          <w:color w:val="auto"/>
          <w:szCs w:val="21"/>
          <w:highlight w:val="none"/>
          <w:u w:val="single"/>
        </w:rPr>
        <w:t xml:space="preserve">万的</w:t>
      </w:r>
      <w:r>
        <w:rPr>
          <w:rFonts w:hint="eastAsia" w:ascii="宋体" w:hAnsi="宋体" w:cs="宋体"/>
          <w:color w:val="auto"/>
          <w:szCs w:val="21"/>
          <w:highlight w:val="none"/>
          <w:u w:val="single"/>
        </w:rPr>
        <w:t xml:space="preserve">违约金，并改正违约行为，发包人有权解除合同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3.3承包人人员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3.3.1承包人提交项目管理机构及施工现场管理人员安排报告的期限：</w:t>
      </w:r>
      <w:r>
        <w:rPr>
          <w:rFonts w:hint="eastAsia" w:ascii="宋体" w:hAnsi="宋体" w:cs="宋体"/>
          <w:color w:val="auto"/>
          <w:szCs w:val="21"/>
          <w:highlight w:val="none"/>
          <w:u w:val="single"/>
        </w:rPr>
        <w:t xml:space="preserve">签订合同前</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3.3.3承包人无正当理由拒绝撤换主要施工管理人员的违约责任：</w:t>
      </w:r>
      <w:r>
        <w:rPr>
          <w:rFonts w:hint="eastAsia" w:ascii="宋体" w:hAnsi="宋体" w:cs="宋体"/>
          <w:color w:val="auto"/>
          <w:szCs w:val="21"/>
          <w:highlight w:val="none"/>
          <w:u w:val="single"/>
        </w:rPr>
        <w:t xml:space="preserve">承包人承担2万元/人的违约金，发包人有权解除合同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3.3.4承包人主要施工管理人员离开施工现场的批准要求：</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s="宋体"/>
          <w:color w:val="auto"/>
          <w:szCs w:val="21"/>
          <w:highlight w:val="none"/>
          <w:u w:val="single"/>
        </w:rPr>
        <w:t xml:space="preserve">承包人承担2万元/人的违约金，并改正违约行为，同时发包人有权解除合同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①承包人承担1000元/人•天的违约金，累计达30人•天，违约金加倍；②单人累计天数达10天，发包人有权要求更换该人员</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3.5分包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3.5.1分包的一般约定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主体结构、关键性工作的范围：</w:t>
      </w:r>
      <w:r>
        <w:rPr>
          <w:rFonts w:hint="eastAsia" w:ascii="宋体" w:hAnsi="宋体" w:cs="宋体"/>
          <w:color w:val="auto"/>
          <w:szCs w:val="21"/>
          <w:highlight w:val="none"/>
          <w:u w:val="single"/>
        </w:rPr>
        <w:t xml:space="preserve">按法律规定确定</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3.5.2分包的确定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允许分包的专业工程包括：</w:t>
      </w:r>
      <w:r>
        <w:rPr>
          <w:rFonts w:hint="eastAsia" w:ascii="宋体" w:hAnsi="宋体" w:cs="宋体"/>
          <w:color w:val="auto"/>
          <w:szCs w:val="21"/>
          <w:highlight w:val="none"/>
          <w:u w:val="single"/>
        </w:rPr>
        <w:t xml:space="preserve">①渣土运输（必须按地方政府规定分包）；②发包人确定的暂估价项目；③发包人另行要求承包人进行总包管理的其它专业工程</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其他关于分包的约定：</w:t>
      </w:r>
      <w:r>
        <w:rPr>
          <w:rFonts w:hint="eastAsia" w:ascii="宋体" w:hAnsi="宋体" w:cs="宋体"/>
          <w:color w:val="auto"/>
          <w:szCs w:val="21"/>
          <w:highlight w:val="none"/>
          <w:u w:val="single"/>
        </w:rPr>
        <w:t xml:space="preserve">详合同附言21.1</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3.5.4分包合同价款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3.6工程照管与成品、半成品保护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承包人负责照管工程及工程相关的材料、工程设备的起始时间：[按通用条款执行]。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3.7履约担保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承包人是否提供履约担保：</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承包人提供履约担保的形式、金额及期限的：</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4.监理人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关于监理人的监理内容：</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关于监理人的监理权限：</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关于监理人在施工现场的办公场所、生活场所的提供和费用承担的约定：</w:t>
      </w:r>
      <w:r>
        <w:rPr>
          <w:rFonts w:hint="eastAsia" w:ascii="宋体" w:hAnsi="宋体" w:cs="宋体"/>
          <w:color w:val="auto"/>
          <w:szCs w:val="21"/>
          <w:highlight w:val="none"/>
          <w:u w:val="single"/>
        </w:rPr>
        <w:t xml:space="preserve">详见合同附言21.2</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4.2监理人员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总监理工程师：</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关于监理人的其他约定：</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4.4商定或确定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在发包人和承包人不能通过协商达成一致意见时，发包人授权监理人对以下事项进行确定：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5.工程质量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5.1质量要求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5.1.1特殊质量标准和要求：</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关于工程奖项的约定：</w:t>
      </w:r>
      <w:r>
        <w:rPr>
          <w:rFonts w:hint="eastAsia" w:ascii="宋体" w:hAnsi="宋体" w:cs="宋体"/>
          <w:color w:val="auto"/>
          <w:szCs w:val="21"/>
          <w:highlight w:val="none"/>
          <w:u w:val="single"/>
        </w:rPr>
        <w:t xml:space="preserve">发包人鼓励承包人争创工程奖项，但不承担相关费用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5.3隐蔽工程检查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5.3.2承包人提前通知监理人隐蔽工程检查的期限的约定：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小时提交书面延期要求。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6.安全文明施工与环境保护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6.1安全文明施工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6.1.1项目安全生产的达标目标及相应事项的约定：</w:t>
      </w:r>
      <w:r>
        <w:rPr>
          <w:rFonts w:hint="eastAsia" w:ascii="宋体" w:hAnsi="宋体" w:cs="宋体"/>
          <w:color w:val="auto"/>
          <w:szCs w:val="21"/>
          <w:highlight w:val="none"/>
          <w:u w:val="single"/>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6.1.4关于治安保卫的特别约定：</w:t>
      </w:r>
      <w:r>
        <w:rPr>
          <w:rFonts w:hint="eastAsia" w:ascii="宋体" w:hAnsi="宋体" w:cs="宋体"/>
          <w:color w:val="auto"/>
          <w:szCs w:val="21"/>
          <w:highlight w:val="none"/>
          <w:u w:val="single"/>
        </w:rPr>
        <w:t xml:space="preserve">承包人还应遵守扬州大学校园治安保卫相关规章制度，具体要求由发包人代表明确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6.1.5文明施工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color w:val="auto"/>
          <w:szCs w:val="21"/>
          <w:highlight w:val="none"/>
          <w:u w:val="single"/>
        </w:rPr>
        <w:t xml:space="preserve">承包人还应遵守扬州大学校园文明施工相关规章制度，具体要求由发包人代表明确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6.1.6关于安全文明施工费支付比例和支付期限的约定：</w:t>
      </w:r>
      <w:r>
        <w:rPr>
          <w:rFonts w:hint="eastAsia" w:ascii="宋体" w:hAnsi="宋体" w:cs="宋体"/>
          <w:color w:val="auto"/>
          <w:szCs w:val="21"/>
          <w:highlight w:val="none"/>
          <w:u w:val="single"/>
        </w:rPr>
        <w:t xml:space="preserve">按工程所在地建设行政管理部门的规定执行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7.工期和进度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7.1施工组织设计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7.1.1合同当事人约定的施工组织设计应包括的其他内容：</w:t>
      </w:r>
      <w:r>
        <w:rPr>
          <w:rFonts w:hint="eastAsia" w:ascii="宋体" w:hAnsi="宋体" w:cs="宋体"/>
          <w:color w:val="auto"/>
          <w:szCs w:val="21"/>
          <w:highlight w:val="none"/>
          <w:u w:val="single"/>
        </w:rPr>
        <w:t xml:space="preserve">由发包人代表另行明确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7.1.2施工组织设计的提交和修改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7.2施工进度计划</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7.2.2施工进度计划的修订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7.3开工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7.3.1开工准备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关于承包人提交工程开工报审表的期限：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7.3.2开工通知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180</w:t>
      </w:r>
      <w:r>
        <w:rPr>
          <w:rFonts w:hint="eastAsia" w:ascii="宋体" w:hAnsi="宋体" w:cs="宋体"/>
          <w:color w:val="auto"/>
          <w:szCs w:val="21"/>
          <w:highlight w:val="none"/>
        </w:rPr>
        <w:t xml:space="preserve">天内发出开工通知的，承包人有权提出价格调整要求，或者解除合同。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7.4测量放线</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7.4.1发包人通过监理人向承包人提供测量基准点、基准线和水准点及其书面资料的期限：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7.5工期延误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7.5.1因发包人原因导致工期延误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（7）因发包人原因导致工期延误的其他情形：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7.5.2因承包人原因导致工期延误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因承包人原因造成工期延误，逾期竣工违约金的计算方法为：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每延误1天，按签约合同价的万分之五计算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签约合同价的10%</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7.6不利物质条件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不利物质条件的其他情形和有关约定：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7.7异常恶劣的气候条件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工程所在地气象行政管理部门认定的情形</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7.9提前竣工的奖励</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提前竣工无奖励</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8.材料与设备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8.4材料与工程设备的保管与使用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8.4.1发包人供应的材料设备的保管费用的承担：</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8.6样品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8.6.1样品的报送与封存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主要材料和工程设备均要求报送，具体要求由发包人代表明确</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8.8施工设备和临时设施</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8.8.1承包人提供的施工设备和临时设施</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承包人应自行承担修建临时设施的费用。如临时占地发包人无使用权的，由承包人办理申请手续并承担相应费用</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9.试验与检验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9.1试验设备与试验人员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9.1.2试验设备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承包人按法律、标准和规范执行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9.4现场工艺试验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按监理人指示</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10.变更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10.1变更的范围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10.4变更估价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10.4.1变更估价原则</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关于变更估价的约定：</w:t>
      </w:r>
      <w:r>
        <w:rPr>
          <w:rFonts w:hint="eastAsia" w:ascii="宋体" w:hAnsi="宋体" w:cs="宋体"/>
          <w:color w:val="auto"/>
          <w:szCs w:val="21"/>
          <w:highlight w:val="none"/>
          <w:u w:val="single"/>
        </w:rPr>
        <w:t xml:space="preserve">详见合同附言21.4</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10.5承包人的合理化建议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承包人提出的合理化建议降低了合同价格或者提高了工程经济效益的奖励的方法和金额为：</w:t>
      </w:r>
      <w:r>
        <w:rPr>
          <w:rFonts w:hint="eastAsia" w:ascii="宋体" w:hAnsi="宋体" w:cs="宋体"/>
          <w:color w:val="auto"/>
          <w:szCs w:val="21"/>
          <w:highlight w:val="none"/>
          <w:u w:val="single"/>
        </w:rPr>
        <w:t xml:space="preserve">甲乙双方另行协商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10.7暂估价</w:t>
      </w:r>
      <w:r>
        <w:rPr>
          <w:rFonts w:hint="eastAsia" w:ascii="宋体" w:hAnsi="宋体" w:cs="宋体"/>
          <w:color w:val="auto"/>
          <w:szCs w:val="21"/>
          <w:highlight w:val="none"/>
          <w:u w:val="single"/>
        </w:rPr>
        <w:t xml:space="preserve">（详见合同附言21.5）</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暂估价材料和工程设备的明细详见附件11：《暂估价一览表》。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10.7.1依法必须招标的暂估价项目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w:t>
      </w:r>
      <w:r>
        <w:rPr>
          <w:rFonts w:hint="eastAsia" w:ascii="宋体" w:hAnsi="宋体" w:cs="宋体"/>
          <w:color w:val="auto"/>
          <w:szCs w:val="21"/>
          <w:highlight w:val="none"/>
          <w:u w:val="single"/>
        </w:rPr>
        <w:t xml:space="preserve">详见合同附言21.5</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10.7.2不属于依法必须招标的暂估价项目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w:t>
      </w:r>
      <w:r>
        <w:rPr>
          <w:rFonts w:hint="eastAsia" w:ascii="宋体" w:hAnsi="宋体" w:cs="宋体"/>
          <w:color w:val="auto"/>
          <w:szCs w:val="21"/>
          <w:highlight w:val="none"/>
          <w:u w:val="single"/>
        </w:rPr>
        <w:t xml:space="preserve">详见合同附言21.5</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10.8暂列金额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11.价格调整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11.1市场价格波动引起的调整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调整</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因市场价格波动调整合同价格，采用以下第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种方式对合同价格进行调整：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第1种方式：采用价格指数进行价格调整。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关于各可调因子、定值和变值权重，以及基本价格指数及其来源的约定：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第2种方式：采用造价信息进行价格调整。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（2）关于基准价格的约定：</w:t>
      </w:r>
      <w:r>
        <w:rPr>
          <w:rFonts w:hint="eastAsia" w:ascii="宋体" w:hAnsi="宋体" w:cs="宋体"/>
          <w:color w:val="auto"/>
          <w:szCs w:val="21"/>
          <w:highlight w:val="none"/>
          <w:u w:val="single"/>
        </w:rPr>
        <w:t xml:space="preserve">以</w:t>
      </w:r>
      <w:r>
        <w:rPr>
          <w:rFonts w:hint="eastAsia" w:ascii="宋体" w:hAnsi="宋体" w:cs="宋体"/>
          <w:color w:val="auto"/>
          <w:szCs w:val="21"/>
          <w:highlight w:val="none"/>
          <w:u w:val="single"/>
          <w:lang w:val="en-US" w:eastAsia="zh-CN"/>
        </w:rPr>
        <w:t xml:space="preserve">采购</w:t>
      </w:r>
      <w:r>
        <w:rPr>
          <w:rFonts w:hint="eastAsia" w:ascii="宋体" w:hAnsi="宋体" w:cs="宋体"/>
          <w:color w:val="auto"/>
          <w:szCs w:val="21"/>
          <w:highlight w:val="none"/>
          <w:u w:val="single"/>
          <w:lang w:eastAsia="zh-CN"/>
        </w:rPr>
        <w:t xml:space="preserve">文件</w:t>
      </w:r>
      <w:r>
        <w:rPr>
          <w:rFonts w:hint="eastAsia" w:ascii="宋体" w:hAnsi="宋体" w:cs="宋体"/>
          <w:color w:val="auto"/>
          <w:szCs w:val="21"/>
          <w:highlight w:val="none"/>
          <w:u w:val="single"/>
        </w:rPr>
        <w:t xml:space="preserve">中《承包人提供主要材料和工程设备一览表（适用于造价信息差额调整法）》所列价格为基准价格，未列出者不予调整</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%时，或材料单价跌幅以已标价工程量清单或预算书中载明材料单价为基础超过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%时，材料单价涨幅以已标价工程量清单或预算书中载明材料单价为基础超过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auto"/>
          <w:szCs w:val="21"/>
          <w:highlight w:val="none"/>
          <w:u w:val="single"/>
        </w:rPr>
        <w:t xml:space="preserve">5</w:t>
      </w:r>
      <w:r>
        <w:rPr>
          <w:rFonts w:hint="eastAsia" w:ascii="宋体" w:hAnsi="宋体" w:cs="宋体"/>
          <w:color w:val="auto"/>
          <w:szCs w:val="21"/>
          <w:highlight w:val="none"/>
        </w:rPr>
        <w:t xml:space="preserve">%时，其超过部分据实调整。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第3种方式：其他价格调整方式：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12.合同价格、计量与支付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12.1合同价格形式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1、单价合同。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①专用条款第11.1款市场价格波动②工程变更③政策性调整④</w:t>
      </w:r>
      <w:r>
        <w:rPr>
          <w:rFonts w:hint="eastAsia" w:ascii="宋体" w:hAnsi="宋体" w:cs="宋体"/>
          <w:color w:val="auto"/>
          <w:szCs w:val="21"/>
          <w:highlight w:val="none"/>
          <w:u w:val="single"/>
          <w:lang w:eastAsia="zh-CN"/>
        </w:rPr>
        <w:t xml:space="preserve">采购</w:t>
      </w:r>
      <w:r>
        <w:rPr>
          <w:rFonts w:hint="eastAsia" w:ascii="宋体" w:hAnsi="宋体" w:cs="宋体"/>
          <w:color w:val="auto"/>
          <w:szCs w:val="21"/>
          <w:highlight w:val="none"/>
          <w:u w:val="single"/>
        </w:rPr>
        <w:t xml:space="preserve">清单错误或漏项，除上述4点外均为风险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风险费用含在承包人投标报价内</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详见合同附言21.6</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2、总价合同。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12.2预付款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12.2.1预付款的支付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除按照第6.1.6款支付安全文明措施费外，无其它预付款</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安全文明措施费按相关规定执行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按照合同附言21.7付款周期相关条款执行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12.2.2预付款担保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12.3.1计量原则</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工程量计算规则：</w:t>
      </w:r>
      <w:r>
        <w:rPr>
          <w:rFonts w:hint="eastAsia" w:ascii="宋体" w:hAnsi="宋体" w:cs="宋体"/>
          <w:color w:val="auto"/>
          <w:szCs w:val="21"/>
          <w:highlight w:val="none"/>
          <w:u w:val="single"/>
        </w:rPr>
        <w:t xml:space="preserve">国家计量规范规定的工程量计算规则</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12.3.2计量周期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12.3.3单价合同的计量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关于单价合同计量的约定：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12.3.4总价合同的计量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12.3.5总价合同采用支付分解表计量支付的，是否适用第12.3.4项〔总价合同的计量〕约定进行计量：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12.3.6其他价格形式合同的计量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12.4工程进度款支付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12.4.1付款周期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关于付款周期的约定：</w:t>
      </w:r>
      <w:r>
        <w:rPr>
          <w:rFonts w:hint="eastAsia" w:ascii="宋体" w:hAnsi="宋体" w:cs="宋体"/>
          <w:color w:val="auto"/>
          <w:szCs w:val="21"/>
          <w:highlight w:val="none"/>
          <w:u w:val="single"/>
        </w:rPr>
        <w:t xml:space="preserve">按工程形象进度付款，具体详见合同附言21.7</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12.4.2进度付款申请单的编制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关于进度付款申请单编制的约定：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12.4.3进度付款申请单的提交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按付款周期提交</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12.4.4进度款审核和支付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发包人完成审批并签发进度款支付证书的期限：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28天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发包人逾期支付进度款的违约金的计算方式：</w:t>
      </w:r>
      <w:r>
        <w:rPr>
          <w:rFonts w:hint="eastAsia" w:ascii="宋体" w:hAnsi="宋体" w:cs="宋体"/>
          <w:color w:val="auto"/>
          <w:szCs w:val="21"/>
          <w:highlight w:val="none"/>
          <w:u w:val="single"/>
        </w:rPr>
        <w:t xml:space="preserve">发包人不支付违约金</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12.4.6支付分解表的编制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13.验收和工程试车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13.1分部分项工程验收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小时提交书面延期要求。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小时。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13.2竣工验收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13.2.2竣工验收程序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关于竣工验收程序的约定：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发包人不按照本项约定组织竣工验收、颁发工程接收证书的违约金的计算方法：</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13.2.5移交、接收全部与部分工程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承包人向发包人移交工程的期限：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承包人未按时移交工程的，违约金的计算方法为：</w:t>
      </w:r>
      <w:r>
        <w:rPr>
          <w:rFonts w:hint="eastAsia" w:ascii="宋体" w:hAnsi="宋体" w:cs="宋体"/>
          <w:color w:val="auto"/>
          <w:szCs w:val="21"/>
          <w:highlight w:val="none"/>
          <w:u w:val="single"/>
        </w:rPr>
        <w:t xml:space="preserve">每逾期1天，按签约合同价的千分之一计算</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13.3工程试车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13.3.1试车程序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工程试车内容：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（1）单机无负荷试车费用由</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（2）无负荷联动试车费用由</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13.3.3投料试车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13.6竣工退场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13.6.1竣工退场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颁发工程接收证书后30天内</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14.竣工结算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14.1竣工结算申请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承包人提交竣工结算申请单的期限：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14.2竣工结算审核</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关于竣工付款证书异议部分复核的方式和程序：</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14.4最终结清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14.4.1最终结清申请单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6份</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14.4.2最终结清证书和支付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（1）发包人完成最终结清申请单的审批并颁发最终结清证书的期限：</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Cs w:val="21"/>
          <w:highlight w:val="none"/>
          <w:u w:val="single"/>
        </w:rPr>
        <w:t xml:space="preserve">56天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15.缺陷责任期与保修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15.2缺陷责任期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缺陷责任期的具体期限：</w:t>
      </w:r>
      <w:r>
        <w:rPr>
          <w:rFonts w:hint="eastAsia" w:ascii="宋体" w:hAnsi="宋体" w:cs="宋体"/>
          <w:color w:val="auto"/>
          <w:szCs w:val="21"/>
          <w:highlight w:val="none"/>
          <w:u w:val="single"/>
        </w:rPr>
        <w:t xml:space="preserve">24个月</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15.3质量保证金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是</w:t>
      </w:r>
      <w:r>
        <w:rPr>
          <w:rFonts w:hint="eastAsia" w:ascii="宋体" w:hAnsi="宋体" w:cs="宋体"/>
          <w:color w:val="auto"/>
          <w:szCs w:val="21"/>
          <w:highlight w:val="none"/>
        </w:rPr>
        <w:t xml:space="preserve">。在工程项目竣工前，承包人按专用合同条款第3.7条提供履约担保的，发包人不得同时预留工程质量保证金。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15.3.1承包人提供质量保证金的方式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质量保证金采用以下第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%的工程款；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15.3.2质量保证金的扣留</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（2）工程竣工结算时一次性扣留质量保证金；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发包人在退还质量保证金时不计息</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15.4保修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15.4.1保修责任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详见附件《工程质量保修书》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15.4.3修复通知</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3天</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16.违约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16.1发包人违约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16.1.2发包人违约的责任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Cs w:val="21"/>
          <w:highlight w:val="none"/>
          <w:u w:val="single"/>
        </w:rPr>
        <w:t xml:space="preserve">仅工期顺延</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仅工期顺延</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16.1.3因发包人违约解除合同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天后发包人仍不纠正其违约行为并致使合同目的不能实现的，承包人有权解除合同。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16.2承包人违约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16.2.1承包人违约的情形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承包人违约责任的承担方式和计算方法：</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16.2.3因承包人违约解除合同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双方另行协商</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17.不可抗力</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17.1不可抗力的确认</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除通用合同条款约定的不可抗力事件之外，视为不可抗力的其他情形：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17.4因不可抗力解除合同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天内完成款项的支付。</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18.保险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18.1工程保险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关于工程保险的特别约定：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18.3其他保险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18.7通知义务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[按通用条款执行]</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20.争议解决</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20.3争议评审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20.3.1争议评审小组的确定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20.3.2争议评审小组的决定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20.4仲裁或诉讼</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种方式解决：</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仲裁委员会申请仲裁；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工程所在地</w:t>
      </w:r>
      <w:r>
        <w:rPr>
          <w:rFonts w:hint="eastAsia" w:ascii="宋体" w:hAnsi="宋体" w:cs="宋体"/>
          <w:color w:val="auto"/>
          <w:szCs w:val="21"/>
          <w:highlight w:val="none"/>
        </w:rPr>
        <w:t xml:space="preserve">人民法院起诉。</w:t>
      </w:r>
      <w:r>
        <w:rPr>
          <w:rFonts w:hint="eastAsia" w:ascii="宋体" w:hAnsi="宋体" w:cs="宋体"/>
          <w:color w:val="auto"/>
          <w:szCs w:val="21"/>
          <w:highlight w:val="none"/>
        </w:rPr>
        <w:br/>
      </w:r>
      <w:r>
        <w:rPr>
          <w:rFonts w:hint="eastAsia" w:ascii="宋体" w:hAnsi="宋体" w:cs="宋体"/>
          <w:color w:val="auto"/>
          <w:szCs w:val="21"/>
          <w:highlight w:val="none"/>
        </w:rPr>
        <w:t xml:space="preserve">21.合同附言</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本合同附言如与通用条款和专用条款前述相关内容表述不一致的，以本合同附言为准。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21.1分包（专用条款3.5）</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（1）根据分包项目的具体情况，按下列标准计算总承包服务费：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①发包人仅要求对分包的专业工程进行总承包管理和协调时，按分包的专业工程结算价的1%计算总承包服务费；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②发包人要求对分包的专业工程进行总承包管理和协调，同时要求提供配合服务时，按分包的专业工程结算价的2%计算总承包服务费；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（2）上述费用在分包合同中明确，承包人不得再向发包人收取。</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（3）渣土运输由承包人自行管理和协调，发包人不承担承包人总包服务费。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21.2发包人及监理人在现场的办公场所、生活场所（专用条款4.1）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发包人、监理人以及发包人委托的与本工程建设相关的其他咨询人员在施工现场的办公场所由承包人提供，所发生的费用由承包人承担。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21.3甲供材料和工程设备（专用条款8.1）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（1）发包人提供的材料和工程设备，承包人应提前60天（特殊材料和工程设备应提前90天）填报《扬州大学基建工程甲供货物计划单》通知发包人。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（2）如因承包人计划错误或不及时，造成发包人提供的材料和工程设备的品种、规格、数量、供应时间等与工程实际需求不符，由此增加的费用和（或）延误的工期，由承包人承担。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（3）发包人提供的材料和工程设备，承包人应及时清点、检验和接收，并及时开具《扬州大学基建工程货物收货（验收）单》，承包人无故推迟或不开具收货单，承包人承担每天2000元的违约金。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（4）承包人应在通过竣工验收之日后14天内与发包人完成甲供材对账工作。</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（5）发包人提供的材料和工程设备未经检验或检验不合格的，承包人不得使用，否则，由此产生的后果由承包人承担。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21.4变更估价的约定（专用条款10.4.1）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（1）已标价工程量清单中有适用于变更工程项目的，应采用该项目的单价；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（2）已标价工程量清单没有适用但有类似于变更工程项目的，可在合理范围内参照类似项目的单价；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承包人报价浮动率L=[1－（</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价－暂估价－暂列金额）/（招标控制价－暂估价－暂列金额）]×100%</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工程造价管理机构发布的信息价格缺价的，应通过市场调查等取得有合法依据的市场价格；</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（4）工程变更引起施工方案改变并使措施项目发生变化</w:t>
      </w:r>
      <w:r>
        <w:rPr>
          <w:rFonts w:hint="eastAsia" w:ascii="宋体" w:hAnsi="宋体" w:cs="宋体"/>
          <w:color w:val="auto"/>
          <w:szCs w:val="21"/>
          <w:highlight w:val="none"/>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（5）变更导致实际完成的工程量与已标价工程量清单中列明的该项目工程量有变化的，综合单价不调整；</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（6）通过以上调整原则，发包人和承包人之间仍存在异议的，由合同当事人按照第4.4款[商定与确定]确定变更工作的单价。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21.5专业工程暂估价项目（专用条款10.7）</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（1）依法必须招标的专业工程暂估价项目由发包人和承包人共同依法招标。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（2）不属于依法必须招标的专业工程暂估价项目由发包人和承包人参照现行的《扬州大学采购管理办法（试行）》共同确定分包人。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（3）发包人、承包人与分包人共同签订专业工程暂估价项目分包合同（合同价中含总承包服务费，分包合同中应明确费率）。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（4）分包人向发包人进行分包合同的价款结算；承包人进行总承包管理，并向分包人收取总承包服务费。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21.6风险范围以外合同价格的调整方法（专用条款12.1）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（2）工程变更按第21.4款执行。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（3）政策性调整按相关政策执行。其中，人工费用的调整按省级行业建设主管部门或其授权的工程造价管理机构执行，人工工资调整的费用仅计取税金，不作为计算其他费用的基数。</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（4）清单错误或漏项，前述专用条款已有约定的按约定执行；无约定的按国家相关规定执行。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21.7付款周期（专用条款12.4.1）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（1）农民工工资</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农民工工资支付要求：农民工工资支付按有关文件规定执行。因承包人拖欠农民工工资所造成的一切后果均由其全部承担。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（2）工程进度款付款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发包人按工程进度付款：每月按应予计量的已完工程合同价格的</w:t>
      </w:r>
      <w:r>
        <w:rPr>
          <w:rFonts w:hint="eastAsia" w:ascii="宋体" w:hAnsi="宋体" w:cs="宋体"/>
          <w:color w:val="auto"/>
          <w:szCs w:val="21"/>
          <w:highlight w:val="none"/>
          <w:lang w:val="en-US" w:eastAsia="zh-CN"/>
        </w:rPr>
        <w:t xml:space="preserve">80</w:t>
      </w:r>
      <w:r>
        <w:rPr>
          <w:rFonts w:hint="eastAsia" w:ascii="宋体" w:hAnsi="宋体" w:cs="宋体"/>
          <w:color w:val="auto"/>
          <w:szCs w:val="21"/>
          <w:highlight w:val="none"/>
        </w:rPr>
        <w:t xml:space="preserve">%支付（不包含设计变更、签证等合同价以外调整费用）。付款时，发包人还应扣除①发包人代缴的相关费用；②计入合同价格的甲供材料和设备费用；③暂列金额。</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工程竣工，付至应予计量的已完工程合同价格的</w:t>
      </w:r>
      <w:r>
        <w:rPr>
          <w:rFonts w:hint="eastAsia" w:ascii="宋体" w:hAnsi="宋体" w:cs="宋体"/>
          <w:color w:val="auto"/>
          <w:szCs w:val="21"/>
          <w:highlight w:val="none"/>
          <w:lang w:val="en-US" w:eastAsia="zh-CN"/>
        </w:rPr>
        <w:t xml:space="preserve">80</w:t>
      </w:r>
      <w:r>
        <w:rPr>
          <w:rFonts w:hint="eastAsia" w:ascii="宋体" w:hAnsi="宋体" w:cs="宋体"/>
          <w:color w:val="auto"/>
          <w:szCs w:val="21"/>
          <w:highlight w:val="none"/>
        </w:rPr>
        <w:t xml:space="preserve">%（不包含设计变更、签证等合同价以外调整费用），同时扣清预付的安全文明措施费用。发包人和监理人对进度款的审核仅作为进度付款依据。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（3）竣工结算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发包人审计完成后，结付至审计价的97%。余款3%作为工程质量保证金，待工程缺陷责任期满且履行了缺陷修复义务后一次性结清（不计利息）。</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上述款项的支付，须以承包人提供合法票据为前提。</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21.8竣工结算审核和审计（专用条款14.2）</w:t>
      </w:r>
      <w:r/>
    </w:p>
    <w:p>
      <w:pPr>
        <w:ind w:firstLine="56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1）发包人委托监理人对承包人的竣工结算进行初步审核，监理人初审时间为</w:t>
      </w:r>
      <w:r>
        <w:rPr>
          <w:rFonts w:hint="eastAsia" w:ascii="宋体" w:hAnsi="宋体" w:cs="宋体"/>
          <w:color w:val="auto"/>
          <w:szCs w:val="21"/>
          <w:highlight w:val="none"/>
          <w:u w:val="single"/>
        </w:rPr>
        <w:t xml:space="preserve">56</w:t>
      </w:r>
      <w:r>
        <w:rPr>
          <w:rFonts w:hint="eastAsia" w:ascii="宋体" w:hAnsi="宋体" w:cs="宋体"/>
          <w:color w:val="auto"/>
          <w:szCs w:val="21"/>
          <w:highlight w:val="none"/>
        </w:rPr>
        <w:t xml:space="preserve">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（2）经初步审核后的竣工结算由发包人委托的结算单审位进行审计；经审计后的竣工结算由发包人组织复审，以复审结果为最终结算依据。发包人审批竣工付款申请单的期限双方另行协商。</w:t>
      </w:r>
      <w:r/>
    </w:p>
    <w:p>
      <w:pPr>
        <w:ind w:firstLine="56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（3）承包人应积极配合初审和审计工作，如因承包人送审资料不完整、配合工作不力、双方达不成一致性意见，造成初审和审计工作延后，发包人不承担相应责任。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（4）为加强结算审计的严肃性，避免承包人虚报结算价款，对净核减率在5%及以上的单项工程，发包人将向承包人收取一定的审计费，具体收费标准及规则明确如下：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①审计净核减率在5%以内的，不收取审计费用；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②净核减率在5%~10%的（含5%），按净核减额的5%收取审计费；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③净核减率在10%以上（含10%），按净核减额的10%收取审计费。</w:t>
      </w:r>
      <w:r/>
    </w:p>
    <w:p>
      <w:pPr>
        <w:ind w:firstLine="56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净核减额=送审金额－审定金额；净核减率=[净核减额/送审金额]×100%</w:t>
      </w:r>
      <w:r>
        <w:rPr>
          <w:rFonts w:hint="eastAsia" w:ascii="宋体" w:hAnsi="宋体" w:cs="宋体"/>
          <w:color w:val="auto"/>
          <w:szCs w:val="21"/>
          <w:highlight w:val="none"/>
        </w:rPr>
        <w:t xml:space="preserve">。</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对净核减率达到30%及以上，或经司法部门确认有触犯法律构成犯罪行为的，学校可取消该承包人及项目经理1~3年参加学校工程项目投标资格。</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21.9甲供材退价及水电费结算办法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本条款所指“甲供材”，是指发包人提供用于本工程的材料和工程设备。</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（1）甲供材结算要求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承包人在竣工结算时应编制“甲供材退价表”并报发包人审核。承包人应保证甲供材退价资料齐全、手续完备。发包人在收到甲供材退价资料后将及时审核并出具审核意见。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（2）甲供材结算方法</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应退甲供材金额=超（欠）供数量×超（欠）供单价</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超（欠）供数量=实供数量－结算数量。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注：超供（实供数量&gt;结算数量）时，超供单价取结算单价与实供单价中的较高者；欠供（实供数量&lt;结算数量）时，欠供单价取结算单价与实供单价中的较低者。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甲供材应当计算现场保管费，现场保管费按下列公式计算：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甲供材现场保管费＝甲供材实供单价×实供数量×1%</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发包人按应退甲供材金额扣除甲供材现场保管费后结算。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（3）水电费结算办法和程序</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承包人使用的水电由发包人供应，承包人必须挂表计量，生活用水电与施工用水电分开计量和结算。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①施工用水电，按水、电表读数乘以结算单价计算扣回；</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②生活用水电，按水、电表读数乘以市场价格计算扣回。</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承包人应当填写“工程施工用水电费结算表”，送发包人审核，未经审核，发包人不办理竣工结算。</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21.10跟踪审计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本工程发包人委托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作为审计代表参与本工程的跟踪审计工作。</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21.11其他</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（1）周边关系协调、噪音污染等辅助工作由承包人负责，发包人不另外支付费用。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（2）如图纸与工程量清单出现矛盾，以图纸为准。</w:t>
      </w:r>
      <w:r/>
    </w:p>
    <w:p>
      <w:pPr>
        <w:ind w:firstLine="560"/>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jc w:val="left"/>
        <w:spacing w:line="360" w:lineRule="auto"/>
        <w:rPr>
          <w:rFonts w:ascii="宋体" w:hAnsi="宋体" w:cs="宋体"/>
          <w:b/>
          <w:color w:val="auto"/>
          <w:szCs w:val="21"/>
          <w:highlight w:val="none"/>
        </w:rPr>
      </w:pPr>
      <w:r/>
      <w:bookmarkStart w:id="84" w:name="_Toc351203652"/>
      <w:r>
        <w:rPr>
          <w:rFonts w:hint="eastAsia" w:ascii="宋体" w:hAnsi="宋体" w:cs="宋体"/>
          <w:b/>
          <w:color w:val="auto"/>
          <w:szCs w:val="21"/>
          <w:highlight w:val="none"/>
        </w:rPr>
        <w:t xml:space="preserve">附件</w:t>
      </w:r>
      <w:bookmarkEnd w:id="84"/>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协议书附件：</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附件1：承包人承揽工程项目一览表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专用合同条款附件：</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附件2：发包人供应材料设备一览表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附件3：工程质量保修书</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附件4：主要建设工程文件目录</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附件5：承包人用于本工程施工的机械设备表</w:t>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附件6：承包人主要施工管理人员表</w:t>
      </w:r>
      <w:r/>
    </w:p>
    <w:p>
      <w:pPr>
        <w:jc w:val="left"/>
        <w:spacing w:line="360" w:lineRule="auto"/>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附件1：</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承包人承揽工程项目一览表</w:t>
      </w:r>
      <w:r/>
    </w:p>
    <w:tbl>
      <w:tblPr>
        <w:tblStyle w:val="1051"/>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8"/>
        <w:gridCol w:w="956"/>
        <w:gridCol w:w="1459"/>
        <w:gridCol w:w="927"/>
        <w:gridCol w:w="543"/>
        <w:gridCol w:w="977"/>
        <w:gridCol w:w="912"/>
        <w:gridCol w:w="1300"/>
        <w:gridCol w:w="544"/>
        <w:gridCol w:w="544"/>
      </w:tblGrid>
      <w:tr>
        <w:trPr>
          <w:jc w:val="center"/>
        </w:trPr>
        <w:tc>
          <w:tcPr>
            <w:tcBorders>
              <w:top w:val="single" w:color="auto" w:sz="12" w:space="0"/>
              <w:bottom w:val="single" w:color="auto" w:sz="6" w:space="0"/>
            </w:tcBorders>
            <w:tcW w:w="998"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单位工程名称</w:t>
            </w:r>
            <w:r/>
          </w:p>
        </w:tc>
        <w:tc>
          <w:tcPr>
            <w:tcBorders>
              <w:top w:val="single" w:color="auto" w:sz="12" w:space="0"/>
              <w:bottom w:val="single" w:color="auto" w:sz="6" w:space="0"/>
            </w:tcBorders>
            <w:tcW w:w="956"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建设规模</w:t>
            </w:r>
            <w:r/>
          </w:p>
        </w:tc>
        <w:tc>
          <w:tcPr>
            <w:tcBorders>
              <w:top w:val="single" w:color="auto" w:sz="12" w:space="0"/>
              <w:bottom w:val="single" w:color="auto" w:sz="6" w:space="0"/>
            </w:tcBorders>
            <w:tcW w:w="1459" w:type="dxa"/>
            <w:vAlign w:val="center"/>
            <w:textDirection w:val="lrTb"/>
            <w:noWrap w:val="false"/>
          </w:tcPr>
          <w:p>
            <w:pPr>
              <w:pStyle w:val="1055"/>
              <w:jc w:val="center"/>
              <w:keepNext/>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建筑面积</w:t>
            </w:r>
            <w:r/>
          </w:p>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(平方米)</w:t>
            </w:r>
            <w:r/>
          </w:p>
        </w:tc>
        <w:tc>
          <w:tcPr>
            <w:tcBorders>
              <w:top w:val="single" w:color="auto" w:sz="12" w:space="0"/>
              <w:bottom w:val="single" w:color="auto" w:sz="6" w:space="0"/>
            </w:tcBorders>
            <w:tcW w:w="927"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结构形式</w:t>
            </w:r>
            <w:r/>
          </w:p>
        </w:tc>
        <w:tc>
          <w:tcPr>
            <w:tcBorders>
              <w:top w:val="single" w:color="auto" w:sz="12" w:space="0"/>
              <w:bottom w:val="single" w:color="auto" w:sz="6" w:space="0"/>
            </w:tcBorders>
            <w:tcW w:w="543"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层数</w:t>
            </w:r>
            <w:r/>
          </w:p>
        </w:tc>
        <w:tc>
          <w:tcPr>
            <w:tcBorders>
              <w:top w:val="single" w:color="auto" w:sz="12" w:space="0"/>
              <w:bottom w:val="single" w:color="auto" w:sz="6" w:space="0"/>
            </w:tcBorders>
            <w:tcW w:w="977"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生产能力</w:t>
            </w:r>
            <w:r/>
          </w:p>
        </w:tc>
        <w:tc>
          <w:tcPr>
            <w:tcBorders>
              <w:top w:val="single" w:color="auto" w:sz="12" w:space="0"/>
              <w:bottom w:val="single" w:color="auto" w:sz="6" w:space="0"/>
            </w:tcBorders>
            <w:tcW w:w="913"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设备安装内容</w:t>
            </w:r>
            <w:r/>
          </w:p>
        </w:tc>
        <w:tc>
          <w:tcPr>
            <w:tcBorders>
              <w:top w:val="single" w:color="auto" w:sz="12" w:space="0"/>
              <w:bottom w:val="single" w:color="auto" w:sz="6" w:space="0"/>
            </w:tcBorders>
            <w:tcW w:w="1300"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合同价格（元）</w:t>
            </w:r>
            <w:r/>
          </w:p>
        </w:tc>
        <w:tc>
          <w:tcPr>
            <w:tcBorders>
              <w:top w:val="single" w:color="auto" w:sz="12" w:space="0"/>
              <w:bottom w:val="single" w:color="auto" w:sz="6" w:space="0"/>
            </w:tcBorders>
            <w:tcW w:w="544"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开工日期</w:t>
            </w:r>
            <w:r/>
          </w:p>
        </w:tc>
        <w:tc>
          <w:tcPr>
            <w:tcBorders>
              <w:top w:val="single" w:color="auto" w:sz="12" w:space="0"/>
              <w:bottom w:val="single" w:color="auto" w:sz="6" w:space="0"/>
            </w:tcBorders>
            <w:tcW w:w="544" w:type="dxa"/>
            <w:vAlign w:val="center"/>
            <w:textDirection w:val="lrTb"/>
            <w:noWrap w:val="false"/>
          </w:tcPr>
          <w:p>
            <w:pPr>
              <w:pStyle w:val="1055"/>
              <w:jc w:val="center"/>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竣工日期</w:t>
            </w:r>
            <w:r/>
          </w:p>
        </w:tc>
      </w:tr>
      <w:tr>
        <w:trPr>
          <w:jc w:val="center"/>
          <w:trHeight w:val="567"/>
        </w:trPr>
        <w:tc>
          <w:tcPr>
            <w:tcBorders>
              <w:top w:val="single" w:color="auto" w:sz="6" w:space="0"/>
              <w:bottom w:val="single" w:color="auto" w:sz="6"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99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9"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2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7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3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544"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bl>
    <w:p>
      <w:pPr>
        <w:spacing w:line="440" w:lineRule="exact"/>
        <w:rPr>
          <w:rFonts w:ascii="宋体" w:hAnsi="宋体" w:cs="宋体"/>
          <w:b/>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b/>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w:t>
      </w:r>
      <w:bookmarkStart w:id="85" w:name="_Toc296891053"/>
      <w:r/>
      <w:bookmarkStart w:id="86" w:name="_Toc296346726"/>
      <w:r/>
      <w:bookmarkStart w:id="87" w:name="_Toc296891265"/>
      <w:r/>
      <w:bookmarkStart w:id="88" w:name="_Toc296347224"/>
      <w:r/>
      <w:bookmarkStart w:id="89" w:name="_Toc267261692"/>
      <w:r/>
      <w:bookmarkStart w:id="90" w:name="_Toc296944564"/>
      <w:r/>
      <w:bookmarkStart w:id="91" w:name="_Toc296503225"/>
      <w:r>
        <w:rPr>
          <w:rFonts w:hint="eastAsia" w:ascii="宋体" w:hAnsi="宋体" w:cs="宋体"/>
          <w:color w:val="auto"/>
          <w:szCs w:val="21"/>
          <w:highlight w:val="none"/>
        </w:rPr>
        <w:t xml:space="preserve">件2：</w:t>
      </w:r>
      <w:bookmarkEnd w:id="85"/>
      <w:r/>
      <w:bookmarkEnd w:id="86"/>
      <w:r/>
      <w:bookmarkEnd w:id="87"/>
      <w:r/>
      <w:bookmarkEnd w:id="88"/>
      <w:r/>
      <w:bookmarkEnd w:id="89"/>
      <w:r/>
      <w:bookmarkEnd w:id="90"/>
      <w:r/>
      <w:bookmarkEnd w:id="91"/>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发包人供应材料设备一览表</w:t>
      </w:r>
      <w:r/>
    </w:p>
    <w:tbl>
      <w:tblPr>
        <w:tblStyle w:val="10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37"/>
        <w:gridCol w:w="1100"/>
        <w:gridCol w:w="1221"/>
        <w:gridCol w:w="813"/>
        <w:gridCol w:w="737"/>
        <w:gridCol w:w="902"/>
        <w:gridCol w:w="958"/>
        <w:gridCol w:w="958"/>
        <w:gridCol w:w="958"/>
        <w:gridCol w:w="857"/>
      </w:tblGrid>
      <w:tr>
        <w:trPr>
          <w:jc w:val="center"/>
        </w:trPr>
        <w:tc>
          <w:tcPr>
            <w:tcBorders>
              <w:top w:val="single" w:color="auto" w:sz="12" w:space="0"/>
              <w:bottom w:val="single" w:color="auto" w:sz="6" w:space="0"/>
            </w:tcBorders>
            <w:tcW w:w="737"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12" w:space="0"/>
              <w:bottom w:val="single" w:color="auto" w:sz="6" w:space="0"/>
            </w:tcBorders>
            <w:tcW w:w="1100"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材料、</w:t>
            </w:r>
            <w:r/>
          </w:p>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设备品种</w:t>
            </w:r>
            <w:r/>
          </w:p>
        </w:tc>
        <w:tc>
          <w:tcPr>
            <w:tcBorders>
              <w:top w:val="single" w:color="auto" w:sz="12" w:space="0"/>
              <w:bottom w:val="single" w:color="auto" w:sz="6" w:space="0"/>
            </w:tcBorders>
            <w:tcW w:w="1221"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规格型号</w:t>
            </w:r>
            <w:r/>
          </w:p>
        </w:tc>
        <w:tc>
          <w:tcPr>
            <w:tcBorders>
              <w:top w:val="single" w:color="auto" w:sz="12" w:space="0"/>
              <w:bottom w:val="single" w:color="auto" w:sz="6" w:space="0"/>
            </w:tcBorders>
            <w:tcW w:w="813"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单位</w:t>
            </w:r>
            <w:r/>
          </w:p>
        </w:tc>
        <w:tc>
          <w:tcPr>
            <w:tcBorders>
              <w:top w:val="single" w:color="auto" w:sz="12" w:space="0"/>
              <w:bottom w:val="single" w:color="auto" w:sz="6" w:space="0"/>
            </w:tcBorders>
            <w:tcW w:w="737"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12" w:space="0"/>
              <w:bottom w:val="single" w:color="auto" w:sz="6" w:space="0"/>
            </w:tcBorders>
            <w:tcW w:w="902"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单价（元）</w:t>
            </w:r>
            <w:r/>
          </w:p>
        </w:tc>
        <w:tc>
          <w:tcPr>
            <w:tcBorders>
              <w:top w:val="single" w:color="auto" w:sz="12" w:space="0"/>
              <w:bottom w:val="single" w:color="auto" w:sz="6" w:space="0"/>
            </w:tcBorders>
            <w:tcW w:w="958"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质量等级</w:t>
            </w:r>
            <w:r/>
          </w:p>
        </w:tc>
        <w:tc>
          <w:tcPr>
            <w:tcBorders>
              <w:top w:val="single" w:color="auto" w:sz="12" w:space="0"/>
              <w:bottom w:val="single" w:color="auto" w:sz="6" w:space="0"/>
            </w:tcBorders>
            <w:tcW w:w="958"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供应时间</w:t>
            </w:r>
            <w:r/>
          </w:p>
        </w:tc>
        <w:tc>
          <w:tcPr>
            <w:tcBorders>
              <w:top w:val="single" w:color="auto" w:sz="12" w:space="0"/>
              <w:bottom w:val="single" w:color="auto" w:sz="6" w:space="0"/>
            </w:tcBorders>
            <w:tcW w:w="958"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送达地点</w:t>
            </w:r>
            <w:r/>
          </w:p>
        </w:tc>
        <w:tc>
          <w:tcPr>
            <w:tcBorders>
              <w:top w:val="single" w:color="auto" w:sz="12" w:space="0"/>
              <w:bottom w:val="single" w:color="auto" w:sz="6" w:space="0"/>
            </w:tcBorders>
            <w:tcW w:w="857" w:type="dxa"/>
            <w:vAlign w:val="center"/>
            <w:textDirection w:val="lrTb"/>
            <w:noWrap w:val="false"/>
          </w:tcPr>
          <w:p>
            <w:pPr>
              <w:pStyle w:val="1055"/>
              <w:ind w:right="30"/>
              <w:jc w:val="center"/>
              <w:keepNext/>
              <w:rPr>
                <w:rFonts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567"/>
        </w:trPr>
        <w:tc>
          <w:tcPr>
            <w:tcBorders>
              <w:top w:val="single" w:color="auto" w:sz="6" w:space="0"/>
              <w:bottom w:val="single" w:color="auto" w:sz="6" w:space="0"/>
            </w:tcBorders>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10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21"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1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73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02"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85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100"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2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13"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3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0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85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附</w:t>
      </w:r>
      <w:bookmarkStart w:id="92" w:name="_Toc296503226"/>
      <w:r/>
      <w:bookmarkStart w:id="93" w:name="_Toc296944565"/>
      <w:r/>
      <w:bookmarkStart w:id="94" w:name="_Toc296347225"/>
      <w:r/>
      <w:bookmarkStart w:id="95" w:name="_Toc296891266"/>
      <w:r/>
      <w:bookmarkStart w:id="96" w:name="_Toc296891054"/>
      <w:r/>
      <w:bookmarkStart w:id="97" w:name="_Toc296346727"/>
      <w:r/>
      <w:bookmarkStart w:id="98" w:name="_Toc267261693"/>
      <w:r>
        <w:rPr>
          <w:rFonts w:hint="eastAsia" w:ascii="宋体" w:hAnsi="宋体" w:cs="宋体"/>
          <w:color w:val="auto"/>
          <w:szCs w:val="21"/>
          <w:highlight w:val="none"/>
        </w:rPr>
        <w:t xml:space="preserve">件3：</w:t>
      </w:r>
      <w:bookmarkEnd w:id="92"/>
      <w:r/>
      <w:bookmarkEnd w:id="93"/>
      <w:r/>
      <w:bookmarkEnd w:id="94"/>
      <w:r/>
      <w:bookmarkEnd w:id="95"/>
      <w:r/>
      <w:bookmarkEnd w:id="96"/>
      <w:r/>
      <w:bookmarkEnd w:id="97"/>
      <w:r/>
      <w:bookmarkEnd w:id="98"/>
      <w:r/>
      <w:r/>
    </w:p>
    <w:p>
      <w:pPr>
        <w:ind w:firstLine="600"/>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承包人（全称）：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6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（工程全称）签订工程质量保修书。</w:t>
      </w:r>
      <w:r/>
    </w:p>
    <w:p>
      <w:pPr>
        <w:ind w:firstLine="600"/>
        <w:spacing w:line="360" w:lineRule="auto"/>
        <w:rPr>
          <w:rFonts w:ascii="宋体" w:hAnsi="宋体" w:cs="宋体"/>
          <w:color w:val="auto"/>
          <w:szCs w:val="21"/>
          <w:highlight w:val="none"/>
        </w:rPr>
        <w:outlineLvl w:val="9"/>
      </w:pPr>
      <w:r/>
      <w:bookmarkStart w:id="99" w:name="_Toc19432"/>
      <w:r/>
      <w:bookmarkStart w:id="100" w:name="_Toc31283"/>
      <w:r>
        <w:rPr>
          <w:rFonts w:hint="eastAsia" w:ascii="宋体" w:hAnsi="宋体" w:cs="宋体"/>
          <w:color w:val="auto"/>
          <w:szCs w:val="21"/>
          <w:highlight w:val="none"/>
        </w:rPr>
        <w:t xml:space="preserve">一、工程质量保修范围和内容</w:t>
      </w:r>
      <w:bookmarkEnd w:id="99"/>
      <w:r/>
      <w:bookmarkEnd w:id="100"/>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承包人工程承包范围内的所有工程（含分包工程）</w:t>
      </w:r>
      <w:r>
        <w:rPr>
          <w:rFonts w:hint="eastAsia" w:ascii="宋体" w:hAnsi="宋体" w:cs="宋体"/>
          <w:color w:val="auto"/>
          <w:szCs w:val="21"/>
          <w:highlight w:val="none"/>
        </w:rPr>
        <w:t xml:space="preserve">。</w:t>
      </w:r>
      <w:r/>
    </w:p>
    <w:p>
      <w:pPr>
        <w:ind w:firstLine="600"/>
        <w:spacing w:line="360" w:lineRule="auto"/>
        <w:rPr>
          <w:rFonts w:ascii="宋体" w:hAnsi="宋体" w:cs="宋体"/>
          <w:color w:val="auto"/>
          <w:szCs w:val="21"/>
          <w:highlight w:val="none"/>
        </w:rPr>
        <w:outlineLvl w:val="9"/>
      </w:pPr>
      <w:r/>
      <w:bookmarkStart w:id="101" w:name="_Toc32027"/>
      <w:r/>
      <w:bookmarkStart w:id="102" w:name="_Toc14197"/>
      <w:r>
        <w:rPr>
          <w:rFonts w:hint="eastAsia" w:ascii="宋体" w:hAnsi="宋体" w:cs="宋体"/>
          <w:color w:val="auto"/>
          <w:szCs w:val="21"/>
          <w:highlight w:val="none"/>
        </w:rPr>
        <w:t xml:space="preserve">二、质量保修期</w:t>
      </w:r>
      <w:bookmarkEnd w:id="101"/>
      <w:r/>
      <w:bookmarkEnd w:id="102"/>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个采暖期、供冷期；</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p>
    <w:p>
      <w:p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w:t>
      </w:r>
      <w:r>
        <w:rPr>
          <w:rFonts w:hint="eastAsia" w:ascii="宋体" w:hAnsi="宋体" w:cs="宋体"/>
          <w:color w:val="auto"/>
          <w:szCs w:val="21"/>
          <w:highlight w:val="none"/>
          <w:u w:val="single"/>
          <w:lang w:val="en-US" w:eastAsia="zh-CN"/>
        </w:rPr>
        <w:t xml:space="preserve">/</w:t>
      </w:r>
      <w:r>
        <w:rPr>
          <w:rFonts w:hint="eastAsia" w:ascii="宋体" w:hAnsi="宋体" w:cs="宋体"/>
          <w:color w:val="auto"/>
          <w:szCs w:val="21"/>
          <w:highlight w:val="none"/>
        </w:rPr>
        <w:t xml:space="preserve">。</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ind w:firstLine="600"/>
        <w:spacing w:line="360" w:lineRule="auto"/>
        <w:rPr>
          <w:rFonts w:ascii="宋体" w:hAnsi="宋体" w:cs="宋体"/>
          <w:color w:val="auto"/>
          <w:szCs w:val="21"/>
          <w:highlight w:val="none"/>
        </w:rPr>
        <w:outlineLvl w:val="9"/>
      </w:pPr>
      <w:r/>
      <w:bookmarkStart w:id="103" w:name="_Toc3619"/>
      <w:r/>
      <w:bookmarkStart w:id="104" w:name="_Toc31306"/>
      <w:r>
        <w:rPr>
          <w:rFonts w:hint="eastAsia" w:ascii="宋体" w:hAnsi="宋体" w:cs="宋体"/>
          <w:color w:val="auto"/>
          <w:szCs w:val="21"/>
          <w:highlight w:val="none"/>
        </w:rPr>
        <w:t xml:space="preserve">三、缺陷责任期</w:t>
      </w:r>
      <w:bookmarkEnd w:id="103"/>
      <w:r/>
      <w:bookmarkEnd w:id="104"/>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个月，缺陷责任期自工程通过竣工验收之日起计算。单位工程先于全部工程进行验收，单位工程缺陷责任期自单位工程验收合格之日起算。</w:t>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600"/>
        <w:spacing w:line="360" w:lineRule="auto"/>
        <w:rPr>
          <w:rFonts w:ascii="宋体" w:hAnsi="宋体" w:cs="宋体"/>
          <w:color w:val="auto"/>
          <w:szCs w:val="21"/>
          <w:highlight w:val="none"/>
        </w:rPr>
        <w:outlineLvl w:val="9"/>
      </w:pPr>
      <w:r/>
      <w:bookmarkStart w:id="105" w:name="_Toc7404"/>
      <w:r/>
      <w:bookmarkStart w:id="106" w:name="_Toc13267"/>
      <w:r>
        <w:rPr>
          <w:rFonts w:hint="eastAsia" w:ascii="宋体" w:hAnsi="宋体" w:cs="宋体"/>
          <w:color w:val="auto"/>
          <w:szCs w:val="21"/>
          <w:highlight w:val="none"/>
        </w:rPr>
        <w:t xml:space="preserve">四、质量保修责任</w:t>
      </w:r>
      <w:bookmarkEnd w:id="105"/>
      <w:r/>
      <w:bookmarkEnd w:id="106"/>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left="105" w:firstLine="4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600"/>
        <w:spacing w:line="360" w:lineRule="auto"/>
        <w:rPr>
          <w:rFonts w:ascii="宋体" w:hAnsi="宋体" w:cs="宋体"/>
          <w:color w:val="auto"/>
          <w:szCs w:val="21"/>
          <w:highlight w:val="none"/>
        </w:rPr>
        <w:outlineLvl w:val="9"/>
      </w:pPr>
      <w:r/>
      <w:bookmarkStart w:id="107" w:name="_Toc8913"/>
      <w:r/>
      <w:bookmarkStart w:id="108" w:name="_Toc9301"/>
      <w:r>
        <w:rPr>
          <w:rFonts w:hint="eastAsia" w:ascii="宋体" w:hAnsi="宋体" w:cs="宋体"/>
          <w:color w:val="auto"/>
          <w:szCs w:val="21"/>
          <w:highlight w:val="none"/>
        </w:rPr>
        <w:t xml:space="preserve">五、保修费用</w:t>
      </w:r>
      <w:bookmarkEnd w:id="107"/>
      <w:r/>
      <w:bookmarkEnd w:id="108"/>
      <w:r/>
      <w:r/>
    </w:p>
    <w:p>
      <w:pPr>
        <w:ind w:firstLine="6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600"/>
        <w:spacing w:line="360" w:lineRule="auto"/>
        <w:rPr>
          <w:rFonts w:ascii="宋体" w:hAnsi="宋体" w:cs="宋体"/>
          <w:color w:val="auto"/>
          <w:szCs w:val="21"/>
          <w:highlight w:val="none"/>
        </w:rPr>
        <w:outlineLvl w:val="9"/>
      </w:pPr>
      <w:r>
        <w:rPr>
          <w:rFonts w:hint="eastAsia" w:ascii="宋体" w:hAnsi="宋体" w:cs="宋体"/>
          <w:b w:val="0"/>
          <w:color w:val="auto"/>
          <w:szCs w:val="21"/>
          <w:highlight w:val="none"/>
        </w:rPr>
        <w:t xml:space="preserve">六</w:t>
      </w:r>
      <w:r>
        <w:rPr>
          <w:rFonts w:hint="eastAsia" w:ascii="宋体" w:hAnsi="宋体" w:cs="宋体"/>
          <w:color w:val="auto"/>
          <w:szCs w:val="21"/>
          <w:highlight w:val="none"/>
        </w:rPr>
        <w:t xml:space="preserve">、双方约定的其他工程质量保修事项：</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1）承包人应主动做好缺陷责任期间的回访和维保工作。缺陷责任期的前三个月内应至少每月提交一份回访和维保情况报告，之后每三个月提交一份回访和维保情况报告；一年后，每六个月提交一份回访和维保情况报告，直至缺陷责任期满。期间，如遇大风、大雨、暴雪等极端天气，需另行做好维保预案工作。（2）属于保修范围、内容的项目，承包人应当在接到保修通知之日起3天内派人保修。（3）如果维保工作不力，则视情节轻重酌情扣除质保金。（4）未尽事宜按法律执行。</w:t>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ind w:firstLine="6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 承包人(公章)：</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地  址：</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法定代表人(签字)：</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委托代理人(签字)：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委托代理人(签字)：</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附件4：</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主要建设工程文件目录</w:t>
      </w:r>
      <w:r/>
    </w:p>
    <w:tbl>
      <w:tblPr>
        <w:tblStyle w:val="10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7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4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450"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667"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95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76"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43"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450"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667" w:type="dxa"/>
            <w:vAlign w:val="top"/>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color w:val="auto"/>
          <w:szCs w:val="21"/>
          <w:highlight w:val="none"/>
        </w:rPr>
        <w:t xml:space="preserve">附</w:t>
      </w:r>
      <w:bookmarkStart w:id="109" w:name="_Toc296891055"/>
      <w:r/>
      <w:bookmarkStart w:id="110" w:name="_Toc267261698"/>
      <w:r/>
      <w:bookmarkStart w:id="111" w:name="_Toc296347226"/>
      <w:r/>
      <w:bookmarkStart w:id="112" w:name="_Toc296503227"/>
      <w:r/>
      <w:bookmarkStart w:id="113" w:name="_Toc296346728"/>
      <w:r/>
      <w:bookmarkStart w:id="114" w:name="_Toc296891267"/>
      <w:r/>
      <w:bookmarkStart w:id="115" w:name="_Toc296944566"/>
      <w:r>
        <w:rPr>
          <w:rFonts w:hint="eastAsia" w:ascii="宋体" w:hAnsi="宋体" w:cs="宋体"/>
          <w:color w:val="auto"/>
          <w:szCs w:val="21"/>
          <w:highlight w:val="none"/>
        </w:rPr>
        <w:t xml:space="preserve">件5：</w:t>
      </w:r>
      <w:bookmarkEnd w:id="109"/>
      <w:r/>
      <w:bookmarkEnd w:id="110"/>
      <w:r/>
      <w:bookmarkEnd w:id="111"/>
      <w:r/>
      <w:bookmarkEnd w:id="112"/>
      <w:r/>
      <w:bookmarkEnd w:id="113"/>
      <w:r/>
      <w:bookmarkEnd w:id="114"/>
      <w:r/>
      <w:bookmarkEnd w:id="115"/>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承包人用于本工程施工的机械设备表</w:t>
      </w:r>
      <w:r/>
    </w:p>
    <w:tbl>
      <w:tblPr>
        <w:tblStyle w:val="10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51"/>
        <w:gridCol w:w="1281"/>
        <w:gridCol w:w="771"/>
        <w:gridCol w:w="958"/>
        <w:gridCol w:w="798"/>
        <w:gridCol w:w="1020"/>
        <w:gridCol w:w="1239"/>
        <w:gridCol w:w="1071"/>
        <w:gridCol w:w="687"/>
      </w:tblGrid>
      <w:tr>
        <w:trPr>
          <w:jc w:val="center"/>
        </w:trPr>
        <w:tc>
          <w:tcPr>
            <w:tcBorders>
              <w:top w:val="single" w:color="auto" w:sz="12" w:space="0"/>
              <w:bottom w:val="single" w:color="auto" w:sz="6" w:space="0"/>
            </w:tcBorders>
            <w:tcW w:w="1051"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序号</w:t>
            </w:r>
            <w:r/>
          </w:p>
        </w:tc>
        <w:tc>
          <w:tcPr>
            <w:tcBorders>
              <w:top w:val="single" w:color="auto" w:sz="12" w:space="0"/>
              <w:bottom w:val="single" w:color="auto" w:sz="6" w:space="0"/>
            </w:tcBorders>
            <w:tcW w:w="1281"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机械或设备名称</w:t>
            </w:r>
            <w:r/>
          </w:p>
        </w:tc>
        <w:tc>
          <w:tcPr>
            <w:tcBorders>
              <w:top w:val="single" w:color="auto" w:sz="12" w:space="0"/>
              <w:bottom w:val="single" w:color="auto" w:sz="6" w:space="0"/>
            </w:tcBorders>
            <w:tcW w:w="771"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规格型号</w:t>
            </w:r>
            <w:r/>
          </w:p>
        </w:tc>
        <w:tc>
          <w:tcPr>
            <w:tcBorders>
              <w:top w:val="single" w:color="auto" w:sz="12" w:space="0"/>
              <w:bottom w:val="single" w:color="auto" w:sz="6" w:space="0"/>
            </w:tcBorders>
            <w:tcW w:w="958"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数量</w:t>
            </w:r>
            <w:r/>
          </w:p>
        </w:tc>
        <w:tc>
          <w:tcPr>
            <w:tcBorders>
              <w:top w:val="single" w:color="auto" w:sz="12" w:space="0"/>
              <w:bottom w:val="single" w:color="auto" w:sz="6" w:space="0"/>
            </w:tcBorders>
            <w:tcW w:w="798"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产地</w:t>
            </w:r>
            <w:r/>
          </w:p>
        </w:tc>
        <w:tc>
          <w:tcPr>
            <w:tcBorders>
              <w:top w:val="single" w:color="auto" w:sz="12" w:space="0"/>
              <w:bottom w:val="single" w:color="auto" w:sz="6" w:space="0"/>
            </w:tcBorders>
            <w:tcW w:w="1020"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制造年份</w:t>
            </w:r>
            <w:r/>
          </w:p>
        </w:tc>
        <w:tc>
          <w:tcPr>
            <w:tcBorders>
              <w:top w:val="single" w:color="auto" w:sz="12" w:space="0"/>
              <w:bottom w:val="single" w:color="auto" w:sz="6" w:space="0"/>
            </w:tcBorders>
            <w:tcW w:w="1239"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额定功率(kW)</w:t>
            </w:r>
            <w:r/>
          </w:p>
        </w:tc>
        <w:tc>
          <w:tcPr>
            <w:tcBorders>
              <w:top w:val="single" w:color="auto" w:sz="12" w:space="0"/>
              <w:bottom w:val="single" w:color="auto" w:sz="6" w:space="0"/>
            </w:tcBorders>
            <w:tcW w:w="1071"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生产能力</w:t>
            </w:r>
            <w:r/>
          </w:p>
        </w:tc>
        <w:tc>
          <w:tcPr>
            <w:tcBorders>
              <w:top w:val="single" w:color="auto" w:sz="12" w:space="0"/>
              <w:bottom w:val="single" w:color="auto" w:sz="6" w:space="0"/>
            </w:tcBorders>
            <w:tcW w:w="687" w:type="dxa"/>
            <w:vAlign w:val="center"/>
            <w:textDirection w:val="lrTb"/>
            <w:noWrap w:val="false"/>
          </w:tcPr>
          <w:p>
            <w:pPr>
              <w:pStyle w:val="1055"/>
              <w:ind w:right="30"/>
              <w:keepNext/>
              <w:rPr>
                <w:rFonts w:ascii="宋体" w:hAnsi="宋体" w:eastAsia="宋体" w:cs="宋体"/>
                <w:color w:val="auto"/>
                <w:highlight w:val="none"/>
              </w:rPr>
            </w:pPr>
            <w:r>
              <w:rPr>
                <w:rFonts w:hint="eastAsia" w:ascii="宋体" w:hAnsi="宋体" w:eastAsia="宋体" w:cs="宋体"/>
                <w:color w:val="auto"/>
                <w:highlight w:val="none"/>
              </w:rPr>
              <w:t xml:space="preserve">备注</w:t>
            </w:r>
            <w:r/>
          </w:p>
        </w:tc>
      </w:tr>
      <w:tr>
        <w:trPr>
          <w:jc w:val="center"/>
          <w:trHeight w:val="567"/>
        </w:trPr>
        <w:tc>
          <w:tcPr>
            <w:tcBorders>
              <w:top w:val="single" w:color="auto" w:sz="6" w:space="0"/>
              <w:bottom w:val="single" w:color="auto" w:sz="6" w:space="0"/>
            </w:tcBorders>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single" w:color="auto" w:sz="6" w:space="0"/>
              <w:bottom w:val="single" w:color="auto" w:sz="6" w:space="0"/>
            </w:tcBorders>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Borders>
              <w:top w:val="none" w:color="000000" w:sz="4" w:space="0"/>
            </w:tcBorders>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8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95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798"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20"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239"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1071"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c>
          <w:tcPr>
            <w:tcW w:w="687" w:type="dxa"/>
            <w:vAlign w:val="center"/>
            <w:textDirection w:val="lrTb"/>
            <w:noWrap w:val="false"/>
          </w:tcPr>
          <w:p>
            <w:pPr>
              <w:pStyle w:val="1055"/>
              <w:ind w:right="30"/>
              <w:keepNext/>
              <w:rPr>
                <w:rFonts w:ascii="宋体" w:hAnsi="宋体" w:eastAsia="宋体" w:cs="宋体"/>
                <w:color w:val="auto"/>
                <w:highlight w:val="none"/>
              </w:rPr>
            </w:pPr>
            <w:r>
              <w:rPr>
                <w:rFonts w:ascii="宋体" w:hAnsi="宋体" w:eastAsia="宋体" w:cs="宋体"/>
                <w:color w:val="auto"/>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jc w:val="center"/>
          <w:trHeight w:val="567"/>
        </w:trPr>
        <w:tc>
          <w:tcPr>
            <w:tcW w:w="105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8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5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98"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20"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9"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071"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687" w:type="dxa"/>
            <w:vAlign w:val="top"/>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rPr>
        <w:sectPr>
          <w:footnotePr/>
          <w:endnotePr/>
          <w:type w:val="nextPage"/>
          <w:pgSz w:w="11905" w:h="16838" w:orient="portrait"/>
          <w:pgMar w:top="1417" w:right="1247" w:bottom="1247" w:left="1553" w:header="737" w:footer="510" w:gutter="0"/>
          <w:cols w:num="1" w:sep="0" w:space="720" w:equalWidth="1"/>
          <w:docGrid w:linePitch="360"/>
          <w:titlePg/>
        </w:sectPr>
      </w:pPr>
      <w:r>
        <w:rPr>
          <w:rFonts w:ascii="宋体" w:hAnsi="宋体" w:cs="宋体"/>
          <w:color w:val="auto"/>
          <w:szCs w:val="21"/>
          <w:highlight w:val="none"/>
        </w:rPr>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附</w:t>
      </w:r>
      <w:bookmarkStart w:id="116" w:name="_Toc296503228"/>
      <w:r/>
      <w:bookmarkStart w:id="117" w:name="_Toc296891268"/>
      <w:r/>
      <w:bookmarkStart w:id="118" w:name="_Toc296944567"/>
      <w:r/>
      <w:bookmarkStart w:id="119" w:name="_Toc267261699"/>
      <w:r/>
      <w:bookmarkStart w:id="120" w:name="_Toc296347227"/>
      <w:r/>
      <w:bookmarkStart w:id="121" w:name="_Toc296891056"/>
      <w:r/>
      <w:bookmarkStart w:id="122" w:name="_Toc296346729"/>
      <w:r>
        <w:rPr>
          <w:rFonts w:hint="eastAsia" w:ascii="宋体" w:hAnsi="宋体" w:cs="宋体"/>
          <w:color w:val="auto"/>
          <w:szCs w:val="21"/>
          <w:highlight w:val="none"/>
        </w:rPr>
        <w:t xml:space="preserve">件6：</w:t>
      </w:r>
      <w:bookmarkEnd w:id="116"/>
      <w:r/>
      <w:bookmarkEnd w:id="117"/>
      <w:r/>
      <w:bookmarkEnd w:id="118"/>
      <w:r/>
      <w:bookmarkEnd w:id="119"/>
      <w:r/>
      <w:bookmarkEnd w:id="120"/>
      <w:r/>
      <w:bookmarkEnd w:id="121"/>
      <w:r/>
      <w:bookmarkEnd w:id="122"/>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承包人主要施工管理人员表</w:t>
      </w:r>
      <w:r/>
    </w:p>
    <w:tbl>
      <w:tblPr>
        <w:tblStyle w:val="1051"/>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93"/>
        <w:gridCol w:w="1283"/>
        <w:gridCol w:w="1026"/>
        <w:gridCol w:w="1026"/>
        <w:gridCol w:w="3848"/>
      </w:tblGrid>
      <w:tr>
        <w:trPr>
          <w:jc w:val="center"/>
        </w:trPr>
        <w:tc>
          <w:tcPr>
            <w:tcBorders>
              <w:top w:val="single" w:color="auto" w:sz="12"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名    称</w:t>
            </w:r>
            <w:r/>
          </w:p>
        </w:tc>
        <w:tc>
          <w:tcPr>
            <w:tcBorders>
              <w:top w:val="single" w:color="auto" w:sz="12" w:space="0"/>
              <w:bottom w:val="single" w:color="auto" w:sz="6" w:space="0"/>
            </w:tcBorders>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姓名</w:t>
            </w:r>
            <w:r/>
          </w:p>
        </w:tc>
        <w:tc>
          <w:tcPr>
            <w:tcBorders>
              <w:top w:val="single" w:color="auto" w:sz="12" w:space="0"/>
              <w:bottom w:val="single" w:color="auto" w:sz="6"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职务</w:t>
            </w:r>
            <w:r/>
          </w:p>
        </w:tc>
        <w:tc>
          <w:tcPr>
            <w:tcBorders>
              <w:top w:val="single" w:color="auto" w:sz="12" w:space="0"/>
              <w:bottom w:val="single" w:color="auto" w:sz="6"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职称</w:t>
            </w:r>
            <w:r/>
          </w:p>
        </w:tc>
        <w:tc>
          <w:tcPr>
            <w:tcBorders>
              <w:top w:val="single" w:color="auto" w:sz="12" w:space="0"/>
              <w:bottom w:val="single" w:color="auto" w:sz="6" w:space="0"/>
            </w:tcBorders>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主要资历、经验及承担过的项目</w:t>
            </w:r>
            <w:r/>
          </w:p>
        </w:tc>
      </w:tr>
      <w:tr>
        <w:trPr>
          <w:jc w:val="center"/>
        </w:trPr>
        <w:tc>
          <w:tcPr>
            <w:gridSpan w:val="5"/>
            <w:tcBorders>
              <w:top w:val="single" w:color="auto" w:sz="6" w:space="0"/>
              <w:bottom w:val="single" w:color="auto" w:sz="6" w:space="0"/>
            </w:tcBorders>
            <w:tcW w:w="8876"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一、总部人员</w:t>
            </w:r>
            <w:r/>
          </w:p>
        </w:tc>
      </w:tr>
      <w:tr>
        <w:trPr>
          <w:jc w:val="center"/>
        </w:trPr>
        <w:tc>
          <w:tcPr>
            <w:tcBorders>
              <w:top w:val="none" w:color="000000" w:sz="4" w:space="0"/>
              <w:bottom w:val="none" w:color="000000" w:sz="4"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项目主管</w:t>
            </w:r>
            <w:r/>
          </w:p>
        </w:tc>
        <w:tc>
          <w:tcPr>
            <w:tcBorders>
              <w:top w:val="none" w:color="000000" w:sz="4" w:space="0"/>
            </w:tcBorders>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top w:val="none" w:color="000000" w:sz="4" w:space="0"/>
            </w:tcBorders>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none" w:color="000000" w:sz="4"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none" w:color="000000" w:sz="4" w:space="0"/>
              <w:bottom w:val="none" w:color="000000" w:sz="4"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其他人员</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none" w:color="000000" w:sz="4" w:space="0"/>
              <w:bottom w:val="none" w:color="000000" w:sz="4"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gridSpan w:val="5"/>
            <w:tcBorders>
              <w:top w:val="single" w:color="auto" w:sz="6" w:space="0"/>
              <w:bottom w:val="single" w:color="auto" w:sz="6" w:space="0"/>
            </w:tcBorders>
            <w:tcW w:w="8876"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二、现场人员</w:t>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项目经理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项目副经理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技术负责人</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造价管理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质量管理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材料管理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计划管理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bottom w:val="single" w:color="auto" w:sz="6" w:space="0"/>
            </w:tcBorders>
            <w:tcW w:w="1693" w:type="dxa"/>
            <w:vAlign w:val="center"/>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安全管理</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top w:val="single" w:color="auto" w:sz="6" w:space="0"/>
            </w:tcBorders>
            <w:tcW w:w="1693" w:type="dxa"/>
            <w:vAlign w:val="center"/>
            <w:vMerge w:val="restart"/>
            <w:textDirection w:val="lrTb"/>
            <w:noWrap w:val="false"/>
          </w:tcPr>
          <w:p>
            <w:pPr>
              <w:pStyle w:val="1055"/>
              <w:keepNext/>
              <w:spacing w:line="440" w:lineRule="exact"/>
              <w:rPr>
                <w:rFonts w:ascii="宋体" w:hAnsi="宋体" w:eastAsia="宋体" w:cs="宋体"/>
                <w:color w:val="auto"/>
                <w:highlight w:val="none"/>
              </w:rPr>
            </w:pPr>
            <w:r>
              <w:rPr>
                <w:rFonts w:hint="eastAsia" w:ascii="宋体" w:hAnsi="宋体" w:eastAsia="宋体" w:cs="宋体"/>
                <w:color w:val="auto"/>
                <w:highlight w:val="none"/>
              </w:rPr>
              <w:t xml:space="preserve">其他人员</w:t>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bottom w:val="none" w:color="000000" w:sz="4" w:space="0"/>
            </w:tcBorders>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none" w:color="000000" w:sz="4"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none" w:color="000000" w:sz="4"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none" w:color="000000" w:sz="4" w:space="0"/>
            </w:tcBorders>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tcBorders>
              <w:bottom w:val="single" w:color="auto" w:sz="12" w:space="0"/>
            </w:tcBorders>
            <w:tcW w:w="1693" w:type="dxa"/>
            <w:vAlign w:val="center"/>
            <w:vMerge w:val="continue"/>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c>
          <w:tcPr>
            <w:tcBorders>
              <w:bottom w:val="single" w:color="auto" w:sz="12" w:space="0"/>
            </w:tcBorders>
            <w:tcW w:w="1283"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single" w:color="auto" w:sz="12"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single" w:color="auto" w:sz="12" w:space="0"/>
            </w:tcBorders>
            <w:tcW w:w="1026"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c>
          <w:tcPr>
            <w:tcBorders>
              <w:bottom w:val="single" w:color="auto" w:sz="12" w:space="0"/>
            </w:tcBorders>
            <w:tcW w:w="3848" w:type="dxa"/>
            <w:vAlign w:val="center"/>
            <w:textDirection w:val="lrTb"/>
            <w:noWrap w:val="false"/>
          </w:tcPr>
          <w:p>
            <w:pPr>
              <w:pStyle w:val="1055"/>
              <w:keepNext/>
              <w:spacing w:line="440" w:lineRule="exact"/>
              <w:rPr>
                <w:rFonts w:ascii="宋体" w:hAnsi="宋体" w:eastAsia="宋体" w:cs="宋体"/>
                <w:color w:val="auto"/>
                <w:highlight w:val="none"/>
              </w:rPr>
            </w:pPr>
            <w:r>
              <w:rPr>
                <w:rFonts w:ascii="宋体" w:hAnsi="宋体" w:eastAsia="宋体" w:cs="宋体"/>
                <w:color w:val="auto"/>
                <w:highlight w:val="none"/>
              </w:rPr>
            </w:r>
            <w:r/>
          </w:p>
        </w:tc>
      </w:tr>
    </w:tbl>
    <w:p>
      <w:pPr>
        <w:jc w:val="center"/>
        <w:keepNext/>
        <w:rPr>
          <w:rFonts w:hint="eastAsia" w:ascii="宋体" w:hAnsi="宋体" w:eastAsia="宋体" w:cs="宋体"/>
          <w:color w:val="auto"/>
          <w:sz w:val="44"/>
          <w:szCs w:val="44"/>
          <w:highlight w:val="none"/>
        </w:rPr>
        <w:outlineLvl w:val="0"/>
      </w:pPr>
      <w:r>
        <w:rPr>
          <w:rFonts w:eastAsia="仿宋_GB2312"/>
          <w:b/>
          <w:color w:val="auto"/>
          <w:sz w:val="30"/>
          <w:szCs w:val="30"/>
          <w:highlight w:val="none"/>
        </w:rPr>
        <w:br w:type="page" w:clear="all"/>
      </w:r>
      <w:r>
        <w:rPr>
          <w:rFonts w:hint="eastAsia" w:ascii="宋体" w:hAnsi="宋体" w:eastAsia="宋体" w:cs="宋体"/>
          <w:color w:val="auto"/>
          <w:sz w:val="44"/>
          <w:szCs w:val="44"/>
          <w:highlight w:val="none"/>
        </w:rPr>
        <w:t xml:space="preserve">第</w:t>
      </w:r>
      <w:bookmarkEnd w:id="55"/>
      <w:r>
        <w:rPr>
          <w:rFonts w:hint="eastAsia" w:ascii="宋体" w:hAnsi="宋体" w:eastAsia="宋体" w:cs="宋体"/>
          <w:color w:val="auto"/>
          <w:sz w:val="44"/>
          <w:szCs w:val="44"/>
          <w:highlight w:val="none"/>
        </w:rPr>
        <w:t xml:space="preserve">四章 采购需求</w:t>
      </w:r>
      <w:bookmarkEnd w:id="56"/>
      <w:r/>
      <w:bookmarkEnd w:id="57"/>
      <w:r/>
      <w:bookmarkEnd w:id="58"/>
      <w:r/>
      <w:bookmarkEnd w:id="59"/>
      <w:r/>
      <w:bookmarkStart w:id="123" w:name="_Toc49090575"/>
      <w:r/>
      <w:bookmarkStart w:id="124" w:name="_Toc26554093"/>
      <w:r/>
      <w:r/>
    </w:p>
    <w:p>
      <w:pPr>
        <w:ind w:firstLine="422"/>
        <w:pageBreakBefore w:val="0"/>
        <w:spacing w:line="360" w:lineRule="auto"/>
        <w:rPr>
          <w:rFonts w:hint="eastAsia" w:ascii="宋体" w:hAnsi="宋体" w:eastAsia="宋体" w:cs="宋体"/>
          <w:b/>
          <w:i/>
          <w:color w:val="auto"/>
          <w:sz w:val="21"/>
          <w:szCs w:val="21"/>
          <w:highlight w:val="none"/>
          <w:u w:val="single"/>
        </w:rPr>
        <w:outlineLvl w:val="1"/>
      </w:pPr>
      <w:r>
        <w:rPr>
          <w:rFonts w:hint="eastAsia" w:ascii="宋体" w:hAnsi="宋体" w:eastAsia="宋体" w:cs="宋体"/>
          <w:b/>
          <w:i/>
          <w:color w:val="auto"/>
          <w:sz w:val="21"/>
          <w:szCs w:val="21"/>
          <w:highlight w:val="none"/>
          <w:u w:val="single"/>
        </w:rPr>
        <w:t xml:space="preserve">注： 本章内容里斜体且有下划线部分为实质性要求和条件，</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文件不满足的，视为无效</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处理。请各供应商制作</w:t>
      </w:r>
      <w:r>
        <w:rPr>
          <w:rFonts w:hint="eastAsia" w:ascii="宋体" w:hAnsi="宋体" w:cs="宋体"/>
          <w:b/>
          <w:i/>
          <w:color w:val="auto"/>
          <w:sz w:val="21"/>
          <w:szCs w:val="21"/>
          <w:highlight w:val="none"/>
          <w:u w:val="single"/>
          <w:lang w:val="en-US" w:eastAsia="zh-CN"/>
        </w:rPr>
        <w:t xml:space="preserve">响应</w:t>
      </w:r>
      <w:r>
        <w:rPr>
          <w:rFonts w:hint="eastAsia" w:ascii="宋体" w:hAnsi="宋体" w:eastAsia="宋体" w:cs="宋体"/>
          <w:b/>
          <w:i/>
          <w:color w:val="auto"/>
          <w:sz w:val="21"/>
          <w:szCs w:val="21"/>
          <w:highlight w:val="none"/>
          <w:u w:val="single"/>
        </w:rPr>
        <w:t xml:space="preserve">文件时，将实质性响应的内容在“符合证明文件格式”中准确填写。</w:t>
      </w:r>
      <w:r/>
    </w:p>
    <w:p>
      <w:pPr>
        <w:ind w:firstLine="422"/>
        <w:keepLines w:val="0"/>
        <w:keepNext w:val="0"/>
        <w:pageBreakBefore w:val="0"/>
        <w:spacing w:line="360" w:lineRule="auto"/>
        <w:tabs>
          <w:tab w:val="left" w:pos="0" w:leader="none"/>
          <w:tab w:val="left" w:pos="993" w:leader="none"/>
          <w:tab w:val="left" w:pos="1134" w:leader="none"/>
        </w:tabs>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一、项目</w:t>
      </w:r>
      <w:r>
        <w:rPr>
          <w:rFonts w:hint="eastAsia" w:ascii="宋体" w:hAnsi="宋体" w:cs="宋体"/>
          <w:b/>
          <w:bCs/>
          <w:color w:val="auto"/>
          <w:sz w:val="21"/>
          <w:szCs w:val="21"/>
          <w:highlight w:val="none"/>
          <w:lang w:val="en-US" w:eastAsia="zh-CN"/>
        </w:rPr>
        <w:t xml:space="preserve">概况</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扬州大学兽医学科生命科学大楼各团队实验室改造工程</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val="en-US" w:eastAsia="zh-CN"/>
        </w:rPr>
        <w:t xml:space="preserve">200.4</w:t>
      </w:r>
      <w:r>
        <w:rPr>
          <w:rFonts w:hint="eastAsia" w:ascii="宋体" w:hAnsi="宋体" w:cs="宋体"/>
          <w:color w:val="auto"/>
          <w:sz w:val="21"/>
          <w:szCs w:val="21"/>
          <w:highlight w:val="none"/>
          <w:lang w:eastAsia="zh-CN"/>
        </w:rPr>
        <w:t xml:space="preserve">万元</w:t>
      </w:r>
      <w:r>
        <w:rPr>
          <w:rFonts w:hint="eastAsia" w:ascii="宋体" w:hAnsi="宋体" w:eastAsia="宋体" w:cs="宋体"/>
          <w:color w:val="auto"/>
          <w:sz w:val="21"/>
          <w:szCs w:val="21"/>
          <w:highlight w:val="none"/>
        </w:rPr>
        <w:t xml:space="preserve">，报价超过最高限价的视为无效响应文件</w:t>
      </w:r>
      <w:r/>
    </w:p>
    <w:p>
      <w:pPr>
        <w:ind w:firstLine="420"/>
        <w:spacing w:line="360" w:lineRule="auto"/>
        <w:rPr>
          <w:rFonts w:ascii="宋体" w:hAnsi="宋体" w:cs="宋体"/>
          <w:color w:val="auto"/>
          <w:szCs w:val="21"/>
          <w:highlight w:val="none"/>
        </w:rPr>
      </w:pP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、采购需求：</w:t>
      </w:r>
      <w:r>
        <w:rPr>
          <w:rFonts w:hint="eastAsia" w:ascii="宋体" w:hAnsi="宋体" w:cs="宋体"/>
          <w:color w:val="auto"/>
          <w:szCs w:val="21"/>
          <w:highlight w:val="none"/>
          <w:lang w:eastAsia="zh-CN"/>
        </w:rPr>
        <w:t xml:space="preserve">主要范围为</w:t>
      </w:r>
      <w:r>
        <w:rPr>
          <w:rFonts w:hint="eastAsia" w:ascii="宋体" w:hAnsi="宋体" w:cs="宋体"/>
          <w:color w:val="auto"/>
          <w:sz w:val="21"/>
          <w:szCs w:val="21"/>
          <w:highlight w:val="none"/>
          <w:lang w:eastAsia="zh-CN"/>
        </w:rPr>
        <w:t xml:space="preserve">扬州大学兽医学科生命科学大楼各团队实验室改造工程</w:t>
      </w:r>
      <w:r>
        <w:rPr>
          <w:rFonts w:hint="eastAsia" w:ascii="宋体" w:hAnsi="宋体" w:eastAsia="宋体" w:cs="宋体"/>
          <w:color w:val="auto"/>
          <w:sz w:val="21"/>
          <w:szCs w:val="21"/>
          <w:highlight w:val="none"/>
          <w:lang w:val="en-US" w:eastAsia="zh-CN"/>
        </w:rPr>
        <w:t xml:space="preserve">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包含但不限于本项目施工图纸及工程量清单范围内的所有施工内容。具体详见</w:t>
      </w:r>
      <w:r>
        <w:rPr>
          <w:rFonts w:hint="eastAsia" w:ascii="宋体" w:hAnsi="宋体" w:cs="宋体"/>
          <w:color w:val="auto"/>
          <w:szCs w:val="21"/>
          <w:highlight w:val="none"/>
          <w:lang w:val="en-US" w:eastAsia="zh-CN"/>
        </w:rPr>
        <w:t xml:space="preserve">需求</w:t>
      </w:r>
      <w:r>
        <w:rPr>
          <w:rFonts w:hint="eastAsia" w:ascii="宋体" w:hAnsi="宋体" w:cs="宋体"/>
          <w:color w:val="auto"/>
          <w:szCs w:val="21"/>
          <w:highlight w:val="none"/>
        </w:rPr>
        <w:t xml:space="preserve">、图纸及工程量清单；</w:t>
      </w:r>
      <w:r/>
    </w:p>
    <w:p>
      <w:pPr>
        <w:numPr>
          <w:ilvl w:val="0"/>
          <w:numId w:val="0"/>
        </w:numPr>
        <w:ind w:firstLine="420"/>
        <w:spacing w:line="360" w:lineRule="auto"/>
        <w:rPr>
          <w:rFonts w:hint="eastAsia" w:ascii="宋体" w:hAnsi="宋体" w:eastAsia="宋体" w:cs="宋体"/>
          <w:sz w:val="21"/>
          <w:szCs w:val="21"/>
          <w:highlight w:val="none"/>
          <w:rtl w:val="0"/>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质量等级要求：</w:t>
      </w:r>
      <w:r>
        <w:rPr>
          <w:rFonts w:hint="eastAsia" w:ascii="宋体" w:hAnsi="宋体" w:eastAsia="宋体" w:cs="宋体"/>
          <w:sz w:val="21"/>
          <w:szCs w:val="21"/>
          <w:highlight w:val="none"/>
          <w:rtl w:val="0"/>
        </w:rPr>
        <w:t xml:space="preserve">按GB 50300-2013《建筑工程施工质量验收统一标准》、《建设工程质量管理条例》 及住建部《竣工验收规定》等国家规定验收，需达合格。</w:t>
      </w:r>
      <w:r/>
    </w:p>
    <w:p>
      <w:pPr>
        <w:ind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二、技术要求</w:t>
      </w:r>
      <w:r/>
    </w:p>
    <w:p>
      <w:pPr>
        <w:numPr>
          <w:ilvl w:val="0"/>
          <w:numId w:val="0"/>
        </w:numPr>
        <w:ind w:left="0" w:firstLine="0"/>
        <w:jc w:val="left"/>
        <w:spacing w:line="360" w:lineRule="auto"/>
        <w:rPr>
          <w:rFonts w:hint="eastAsia" w:ascii="宋体" w:hAnsi="宋体" w:cs="宋体"/>
          <w:color w:val="auto"/>
          <w:szCs w:val="21"/>
          <w:highlight w:val="none"/>
          <w:rtl w:val="0"/>
          <w:lang w:val="en-US" w:eastAsia="zh-CN"/>
        </w:rPr>
      </w:pPr>
      <w:r>
        <w:rPr>
          <w:rFonts w:hint="eastAsia" w:ascii="宋体" w:hAnsi="宋体" w:cs="宋体"/>
          <w:b/>
          <w:bCs/>
          <w:color w:val="auto"/>
          <w:szCs w:val="21"/>
          <w:highlight w:val="none"/>
          <w:rtl w:val="0"/>
          <w:lang w:val="en-US" w:eastAsia="zh-CN"/>
        </w:rPr>
        <w:t xml:space="preserve">一）装修部分施工要求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1、玻璃隔断要求：所有玻璃隔断均为不锈钢包边框钢化玻璃隔断，所有配套的五金拉手等齐全。部分实验室是磨砂玻璃隔断以及顶面350mm镂空玻璃隔断，按照图纸布置。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2、石膏板隔断要求：所有石膏板隔断下口均双面不锈钢踢脚线，高度十公分；所有石膏板隔断上均为配套成品套装门。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w:t>
      </w:r>
      <w:r>
        <w:rPr>
          <w:rFonts w:hint="eastAsia" w:ascii="宋体" w:hAnsi="宋体" w:cs="宋体"/>
          <w:color w:val="auto"/>
          <w:szCs w:val="21"/>
          <w:highlight w:val="none"/>
          <w:rtl w:val="0"/>
          <w:lang w:val="en-US" w:eastAsia="zh-CN"/>
        </w:rPr>
        <w:t xml:space="preserve"> 3、净化板隔断要求：所有净化板隔断分隔均为细胞实验室，隔断为50厚净化岩棉板，钢板厚度不小于0.5mm，钢板表面颜色为白色，复合彩钢板双面贴厚膜保护。其耐火极限应不低于 1.0小时，并提供由国家认可的检测机构依据 GB/T 9978.1 和 GB/T 9978.8 出具的耐火性能检测报告。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4、</w:t>
      </w:r>
      <w:r>
        <w:rPr>
          <w:rFonts w:hint="eastAsia"/>
          <w:highlight w:val="none"/>
          <w:lang w:val="en-US" w:eastAsia="zh-CN"/>
        </w:rPr>
        <w:t xml:space="preserve">铝扣板要求：</w:t>
      </w:r>
      <w:r>
        <w:rPr>
          <w:rFonts w:hint="eastAsia" w:ascii="宋体" w:hAnsi="宋体" w:cs="宋体"/>
          <w:color w:val="auto"/>
          <w:szCs w:val="21"/>
          <w:highlight w:val="none"/>
          <w:rtl w:val="0"/>
          <w:lang w:val="en-US" w:eastAsia="zh-CN"/>
        </w:rPr>
        <w:t xml:space="preserve">外观质量合格，附着力0级，漆膜硬度大于等于HB，耐酸性2%HCl(V/V) ，24h无变化，耐碱性饱和 Ca(OH)2 ，24H无变化，提供由国家认可的检测机构依据 GB/T23444-2024 出具的检测报告。 </w:t>
      </w:r>
      <w:r/>
    </w:p>
    <w:p>
      <w:pPr>
        <w:numPr>
          <w:ilvl w:val="0"/>
          <w:numId w:val="0"/>
        </w:numPr>
        <w:ind w:left="0" w:firstLine="210"/>
        <w:jc w:val="left"/>
        <w:spacing w:line="360" w:lineRule="auto"/>
        <w:rPr>
          <w:rFonts w:hint="eastAsia" w:ascii="宋体" w:hAnsi="宋体" w:cs="宋体"/>
          <w:color w:val="auto"/>
          <w:szCs w:val="21"/>
          <w:highlight w:val="none"/>
          <w:rtl w:val="0"/>
          <w:lang w:val="en-US" w:eastAsia="zh-CN"/>
        </w:rPr>
      </w:pPr>
      <w:r>
        <w:rPr>
          <w:rFonts w:hint="eastAsia" w:ascii="宋体" w:hAnsi="宋体" w:cs="宋体"/>
          <w:color w:val="auto"/>
          <w:szCs w:val="21"/>
          <w:highlight w:val="none"/>
          <w:rtl w:val="0"/>
          <w:lang w:val="en-US" w:eastAsia="zh-CN"/>
        </w:rPr>
        <w:t xml:space="preserve">5、钢化净化门要求：防尘试验（IP5X）被试外壳按正常工作位置放入试验箱内，不与真空泵连接，持续8h，内部无尘进入合格。防水试验（IPX6）喷水口直径12.5 mm，喷水距离2.5m~3m水流量100 L/min试验时间3min，试验后样品内部无水进入判定符合。</w:t>
      </w:r>
      <w:r>
        <w:rPr>
          <w:rFonts w:hint="eastAsia" w:ascii="宋体" w:hAnsi="宋体" w:cs="宋体"/>
          <w:color w:val="auto"/>
          <w:szCs w:val="21"/>
          <w:highlight w:val="none"/>
          <w:rtl w:val="0"/>
          <w:lang w:val="en-US" w:eastAsia="zh-CN"/>
        </w:rPr>
        <w:t xml:space="preserve">提供由国家认可的检测机构依据 GB/T4208-2017 13.5和14.2.6出具的检测报告。</w:t>
      </w:r>
      <w:r/>
    </w:p>
    <w:p>
      <w:pPr>
        <w:numPr>
          <w:ilvl w:val="0"/>
          <w:numId w:val="0"/>
        </w:numPr>
        <w:ind w:left="0" w:firstLine="210"/>
        <w:jc w:val="left"/>
        <w:spacing w:line="360" w:lineRule="auto"/>
        <w:rPr>
          <w:rFonts w:hint="eastAsia" w:ascii="宋体" w:hAnsi="宋体" w:cs="宋体"/>
          <w:color w:val="auto"/>
          <w:szCs w:val="21"/>
          <w:highlight w:val="none"/>
          <w:rtl w:val="0"/>
          <w:lang w:val="en-US" w:eastAsia="zh-CN"/>
        </w:rPr>
      </w:pPr>
      <w:r>
        <w:rPr>
          <w:rFonts w:hint="eastAsia" w:ascii="宋体" w:hAnsi="宋体" w:cs="宋体"/>
          <w:color w:val="auto"/>
          <w:szCs w:val="21"/>
          <w:highlight w:val="none"/>
          <w:rtl w:val="0"/>
          <w:lang w:val="en-US" w:eastAsia="zh-CN"/>
        </w:rPr>
        <w:t xml:space="preserve">6、吊顶做法：按照图纸要求做600*600*0.8铝板吊顶或者净化板吊顶。轻钢龙骨铝板吊顶施工时注意顶面各种实验管道的避让。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7、所有的空调通风及各种管道的出风口及回风口均下移与吊顶统一水平面上。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8、所有隔断施工前均需放线定位由双方书面确定好位置才可施工。 </w:t>
      </w:r>
      <w:r>
        <w:rPr>
          <w:rFonts w:hint="eastAsia" w:ascii="宋体" w:hAnsi="宋体" w:cs="宋体"/>
          <w:color w:val="auto"/>
          <w:szCs w:val="21"/>
          <w:highlight w:val="none"/>
          <w:rtl w:val="0"/>
          <w:lang w:val="en-US" w:eastAsia="zh-CN"/>
        </w:rPr>
        <w:br/>
      </w:r>
      <w:r>
        <w:rPr>
          <w:rFonts w:hint="eastAsia" w:ascii="宋体" w:hAnsi="宋体" w:cs="宋体"/>
          <w:color w:val="auto"/>
          <w:szCs w:val="21"/>
          <w:highlight w:val="none"/>
          <w:rtl w:val="0"/>
          <w:lang w:val="en-US" w:eastAsia="zh-CN"/>
        </w:rPr>
        <w:t xml:space="preserve">  9、所有隔断上插座位置均为示意位置，具体高度及位置可能会根据现场实际略有调整。现场接线从就近的插座或者实验台接入。</w:t>
      </w:r>
      <w:r/>
    </w:p>
    <w:p>
      <w:pPr>
        <w:ind w:firstLine="210"/>
        <w:jc w:val="left"/>
        <w:spacing w:line="360" w:lineRule="auto"/>
        <w:widowControl/>
        <w:rPr>
          <w:rFonts w:hint="eastAsia" w:asciiTheme="minorEastAsia" w:hAnsiTheme="minorEastAsia" w:cstheme="minorEastAsia"/>
          <w:sz w:val="21"/>
          <w:szCs w:val="21"/>
          <w:highlight w:val="none"/>
          <w:lang w:val="en-US" w:eastAsia="zh-CN" w:bidi="ar"/>
        </w:rPr>
      </w:pPr>
      <w:r>
        <w:rPr>
          <w:rFonts w:hint="eastAsia" w:ascii="宋体" w:hAnsi="宋体" w:cs="宋体"/>
          <w:color w:val="auto"/>
          <w:szCs w:val="21"/>
          <w:highlight w:val="none"/>
          <w:rtl w:val="0"/>
          <w:lang w:val="en-US" w:eastAsia="zh-CN"/>
        </w:rPr>
        <w:t xml:space="preserve">10、</w:t>
      </w:r>
      <w:r>
        <w:rPr>
          <w:rFonts w:hint="eastAsia" w:asciiTheme="minorEastAsia" w:hAnsiTheme="minorEastAsia" w:cstheme="minorEastAsia"/>
          <w:sz w:val="21"/>
          <w:szCs w:val="21"/>
          <w:highlight w:val="none"/>
          <w:lang w:val="en-US" w:eastAsia="zh-CN" w:bidi="ar"/>
        </w:rPr>
        <w:t xml:space="preserve">所有室内装修材料（包括隔断、吊顶、地面、墙面装饰材料等）的燃烧性能等级，应符合现行国家标准《建筑内部装修设计防火规范 GB 50222-2017》中对“教学、科研场所”的相关规定。</w:t>
      </w:r>
      <w:r/>
    </w:p>
    <w:p>
      <w:pPr>
        <w:numPr>
          <w:ilvl w:val="0"/>
          <w:numId w:val="0"/>
        </w:numPr>
        <w:ind w:left="0" w:firstLine="211"/>
        <w:jc w:val="left"/>
        <w:spacing w:line="360" w:lineRule="auto"/>
        <w:rPr>
          <w:rFonts w:hint="default" w:ascii="宋体" w:hAnsi="宋体" w:cs="宋体"/>
          <w:b/>
          <w:bCs/>
          <w:color w:val="auto"/>
          <w:sz w:val="21"/>
          <w:szCs w:val="21"/>
          <w:highlight w:val="none"/>
          <w:lang w:val="en-US" w:eastAsia="zh-CN" w:bidi="ar-SA"/>
        </w:rPr>
      </w:pPr>
      <w:r>
        <w:rPr>
          <w:rFonts w:hint="eastAsia" w:ascii="宋体" w:hAnsi="宋体" w:cs="宋体"/>
          <w:b/>
          <w:bCs/>
          <w:color w:val="auto"/>
          <w:sz w:val="21"/>
          <w:szCs w:val="21"/>
          <w:highlight w:val="none"/>
          <w:rtl w:val="0"/>
          <w:lang w:val="en-US" w:eastAsia="zh-CN"/>
        </w:rPr>
        <w:t xml:space="preserve">二）</w:t>
      </w:r>
      <w:r>
        <w:rPr>
          <w:rFonts w:hint="eastAsia" w:ascii="宋体" w:hAnsi="宋体" w:eastAsia="宋体" w:cs="宋体"/>
          <w:b/>
          <w:bCs/>
          <w:color w:val="auto"/>
          <w:sz w:val="21"/>
          <w:szCs w:val="21"/>
          <w:highlight w:val="none"/>
          <w:rtl w:val="0"/>
          <w:lang w:val="en-US" w:eastAsia="zh-CN"/>
        </w:rPr>
        <w:t xml:space="preserve">消防方面技术要求</w:t>
      </w:r>
      <w:r>
        <w:rPr>
          <w:rFonts w:hint="eastAsia" w:ascii="宋体" w:hAnsi="宋体" w:eastAsia="宋体" w:cs="宋体"/>
          <w:color w:val="auto"/>
          <w:sz w:val="21"/>
          <w:szCs w:val="21"/>
          <w:highlight w:val="none"/>
          <w:rtl w:val="0"/>
          <w:lang w:val="en-US" w:eastAsia="zh-CN"/>
        </w:rPr>
        <w:t xml:space="preserve"> </w:t>
      </w:r>
      <w:r>
        <w:rPr>
          <w:rFonts w:hint="eastAsia" w:ascii="宋体" w:hAnsi="宋体" w:eastAsia="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1.</w:t>
      </w:r>
      <w:r>
        <w:rPr>
          <w:rFonts w:hint="eastAsia" w:ascii="宋体" w:hAnsi="宋体" w:cs="宋体"/>
          <w:i/>
          <w:iCs/>
          <w:color w:val="auto"/>
          <w:sz w:val="21"/>
          <w:szCs w:val="21"/>
          <w:highlight w:val="none"/>
          <w:u w:val="single"/>
          <w:rtl w:val="0"/>
          <w:lang w:val="en-US" w:eastAsia="zh-CN"/>
        </w:rPr>
        <w:t xml:space="preserve">响应供应商须承诺成交后所有进场的消防材料、设备均需为国家消防产品认证目录内产品，且具备3C认证证书、产品合格证。</w:t>
      </w:r>
      <w:r>
        <w:rPr>
          <w:rFonts w:hint="eastAsia" w:ascii="宋体" w:hAnsi="宋体" w:eastAsia="宋体" w:cs="宋体"/>
          <w:b/>
          <w:bCs/>
          <w:i/>
          <w:iCs/>
          <w:color w:val="auto"/>
          <w:sz w:val="21"/>
          <w:szCs w:val="21"/>
          <w:highlight w:val="none"/>
          <w:u w:val="single"/>
          <w:lang w:val="en-US" w:eastAsia="zh-CN" w:bidi="en-US"/>
        </w:rPr>
        <w:t xml:space="preserve">（须提供承诺</w:t>
      </w:r>
      <w:r>
        <w:rPr>
          <w:rFonts w:hint="eastAsia" w:hAnsi="宋体" w:cs="宋体"/>
          <w:b/>
          <w:bCs/>
          <w:i/>
          <w:iCs/>
          <w:color w:val="auto"/>
          <w:sz w:val="21"/>
          <w:szCs w:val="21"/>
          <w:highlight w:val="none"/>
          <w:u w:val="single"/>
          <w:lang w:val="en-US" w:eastAsia="zh-CN" w:bidi="en-US"/>
        </w:rPr>
        <w:t xml:space="preserve">原件扫描上传</w:t>
      </w:r>
      <w:r>
        <w:rPr>
          <w:rFonts w:hint="eastAsia" w:ascii="宋体" w:hAnsi="宋体" w:eastAsia="宋体" w:cs="宋体"/>
          <w:b/>
          <w:bCs/>
          <w:i/>
          <w:iCs/>
          <w:color w:val="auto"/>
          <w:sz w:val="21"/>
          <w:szCs w:val="21"/>
          <w:highlight w:val="none"/>
          <w:u w:val="single"/>
          <w:lang w:val="en-US" w:eastAsia="zh-CN" w:bidi="en-US"/>
        </w:rPr>
        <w:t xml:space="preserve">，格式自拟）</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2.消防管网（消火栓管、喷淋管）施工需避让实验室气管、水管、仪器设备管道，且与实验室管道保持不小于300mm的安全距离。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3.P2净化实验室所有消防管线需采用暗敷或半暗敷方式，与净化板吊顶、墙面衔接处需用防火中性密封胶严密处理，消防管线的检修口需与净化工程检修口统一规划，且满足净化实验室使用要求；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4.</w:t>
      </w:r>
      <w:r>
        <w:rPr>
          <w:rFonts w:hint="eastAsia" w:ascii="宋体" w:hAnsi="宋体" w:cs="宋体"/>
          <w:i/>
          <w:iCs/>
          <w:color w:val="auto"/>
          <w:sz w:val="21"/>
          <w:szCs w:val="21"/>
          <w:highlight w:val="none"/>
          <w:u w:val="single"/>
          <w:rtl w:val="0"/>
          <w:lang w:val="en-US" w:eastAsia="zh-CN"/>
        </w:rPr>
        <w:t xml:space="preserve">响应供应商须承诺消防施工完成后，需委托国家认可的第三方机构进行全面检测，出具合格的检测报告，检测标准需符合《建筑消防设施检测技术规程》（XF503 - 2004）消防要求，检测费用双方另行商议。</w:t>
      </w:r>
      <w:r>
        <w:rPr>
          <w:rFonts w:hint="eastAsia" w:ascii="宋体" w:hAnsi="宋体" w:eastAsia="宋体" w:cs="宋体"/>
          <w:b/>
          <w:bCs/>
          <w:i/>
          <w:iCs/>
          <w:color w:val="auto"/>
          <w:sz w:val="21"/>
          <w:szCs w:val="21"/>
          <w:highlight w:val="none"/>
          <w:u w:val="single"/>
          <w:lang w:val="en-US" w:eastAsia="zh-CN" w:bidi="en-US"/>
        </w:rPr>
        <w:t xml:space="preserve">（须提供承诺</w:t>
      </w:r>
      <w:r>
        <w:rPr>
          <w:rFonts w:hint="eastAsia" w:hAnsi="宋体" w:cs="宋体"/>
          <w:b/>
          <w:bCs/>
          <w:i/>
          <w:iCs/>
          <w:color w:val="auto"/>
          <w:sz w:val="21"/>
          <w:szCs w:val="21"/>
          <w:highlight w:val="none"/>
          <w:u w:val="single"/>
          <w:lang w:val="en-US" w:eastAsia="zh-CN" w:bidi="en-US"/>
        </w:rPr>
        <w:t xml:space="preserve">原件扫描上传</w:t>
      </w:r>
      <w:r>
        <w:rPr>
          <w:rFonts w:hint="eastAsia" w:ascii="宋体" w:hAnsi="宋体" w:eastAsia="宋体" w:cs="宋体"/>
          <w:b/>
          <w:bCs/>
          <w:i/>
          <w:iCs/>
          <w:color w:val="auto"/>
          <w:sz w:val="21"/>
          <w:szCs w:val="21"/>
          <w:highlight w:val="none"/>
          <w:u w:val="single"/>
          <w:lang w:val="en-US" w:eastAsia="zh-CN" w:bidi="en-US"/>
        </w:rPr>
        <w:t xml:space="preserve">，格式自拟）</w:t>
      </w:r>
      <w:r>
        <w:rPr>
          <w:rFonts w:hint="eastAsia" w:ascii="宋体" w:hAnsi="宋体" w:cs="宋体"/>
          <w:color w:val="auto"/>
          <w:sz w:val="21"/>
          <w:szCs w:val="21"/>
          <w:highlight w:val="none"/>
          <w:rtl w:val="0"/>
          <w:lang w:val="en-US" w:eastAsia="zh-CN"/>
        </w:rPr>
        <w:t xml:space="preserve">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5.响应供应商须承诺组织消防系统联动调试。调试记录需经采购人、消防监理、第三方检测机构共同签字确认，调试或检测不合格的，整改费用由成交人承担。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   </w:t>
      </w:r>
      <w:r>
        <w:rPr>
          <w:rFonts w:hint="eastAsia" w:ascii="宋体" w:hAnsi="宋体" w:cs="宋体"/>
          <w:b/>
          <w:bCs/>
          <w:color w:val="auto"/>
          <w:sz w:val="21"/>
          <w:szCs w:val="21"/>
          <w:highlight w:val="none"/>
          <w:lang w:val="en-US" w:eastAsia="zh-CN" w:bidi="ar-SA"/>
        </w:rPr>
        <w:t xml:space="preserve">三、商务要求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工期：</w:t>
      </w:r>
      <w:r>
        <w:rPr>
          <w:rFonts w:hint="eastAsia" w:ascii="宋体" w:hAnsi="宋体" w:cs="宋体"/>
          <w:color w:val="auto"/>
          <w:sz w:val="21"/>
          <w:szCs w:val="21"/>
          <w:highlight w:val="none"/>
          <w:lang w:val="en-US" w:eastAsia="zh-CN" w:bidi="ar-SA"/>
        </w:rPr>
        <w:t xml:space="preserve">合同签订后100日历天内</w:t>
      </w:r>
      <w:r>
        <w:rPr>
          <w:rFonts w:hint="eastAsia" w:ascii="宋体" w:hAnsi="宋体" w:eastAsia="宋体" w:cs="宋体"/>
          <w:color w:val="auto"/>
          <w:sz w:val="21"/>
          <w:szCs w:val="21"/>
          <w:highlight w:val="none"/>
          <w:lang w:val="en-US" w:eastAsia="zh-CN" w:bidi="ar-SA"/>
        </w:rPr>
        <w:t xml:space="preserve">完成整个工程的工程量并且合格，</w:t>
      </w:r>
      <w:r>
        <w:rPr>
          <w:rFonts w:hint="eastAsia" w:ascii="宋体" w:hAnsi="宋体" w:eastAsia="宋体" w:cs="宋体"/>
          <w:color w:val="auto"/>
          <w:sz w:val="21"/>
          <w:szCs w:val="21"/>
          <w:highlight w:val="none"/>
        </w:rPr>
        <w:t xml:space="preserve">计划开工日期：2026年</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日，计划竣工日期：2026年</w:t>
      </w: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23日</w:t>
      </w:r>
      <w:r>
        <w:rPr>
          <w:rFonts w:hint="eastAsia" w:ascii="宋体" w:hAnsi="宋体" w:eastAsia="宋体" w:cs="宋体"/>
          <w:color w:val="auto"/>
          <w:sz w:val="21"/>
          <w:szCs w:val="21"/>
          <w:highlight w:val="none"/>
        </w:rPr>
        <w:t xml:space="preserve">。（具体开工日期以甲方签发的书面开工通知为准）；</w:t>
      </w:r>
      <w:r/>
    </w:p>
    <w:p>
      <w:pPr>
        <w:ind w:firstLine="420"/>
        <w:keepLines w:val="0"/>
        <w:keepNext w:val="0"/>
        <w:pageBreakBefore w:val="0"/>
        <w:spacing w:line="360" w:lineRule="auto"/>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2、建设地点：</w:t>
      </w:r>
      <w:r>
        <w:rPr>
          <w:rFonts w:hint="eastAsia" w:ascii="宋体" w:hAnsi="宋体" w:cs="宋体"/>
          <w:color w:val="auto"/>
          <w:sz w:val="21"/>
          <w:szCs w:val="21"/>
          <w:highlight w:val="none"/>
          <w:rtl w:val="0"/>
          <w:lang w:val="en-US" w:eastAsia="zh-CN" w:bidi="ar-SA"/>
        </w:rPr>
        <w:t xml:space="preserve">扬州大学文汇路校区生命科学大楼内</w:t>
      </w:r>
      <w:r>
        <w:rPr>
          <w:rFonts w:hint="eastAsia" w:ascii="宋体" w:hAnsi="宋体" w:cs="宋体"/>
          <w:color w:val="auto"/>
          <w:sz w:val="21"/>
          <w:szCs w:val="21"/>
          <w:highlight w:val="none"/>
          <w:lang w:val="en-US" w:eastAsia="zh-CN" w:bidi="ar-SA"/>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报价应按照采购人提供的工程量清单的格式，不得改变工程量清单。供应商首轮报价应有详细的报价组成，应按采购人提供的工程量清单及相关费用、费率报价。</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、最终以总价方式报价，成交价即合同价为最终报价。首轮报价明细仍为合同价的组成部分，总价汇总表在</w:t>
      </w:r>
      <w:r>
        <w:rPr>
          <w:rFonts w:hint="eastAsia" w:ascii="宋体" w:hAnsi="宋体" w:eastAsia="宋体" w:cs="宋体"/>
          <w:color w:val="auto"/>
          <w:sz w:val="21"/>
          <w:szCs w:val="21"/>
          <w:highlight w:val="none"/>
          <w:lang w:eastAsia="zh-CN"/>
        </w:rPr>
        <w:t xml:space="preserve">签订合同</w:t>
      </w:r>
      <w:r>
        <w:rPr>
          <w:rFonts w:hint="eastAsia" w:ascii="宋体" w:hAnsi="宋体" w:eastAsia="宋体" w:cs="宋体"/>
          <w:color w:val="auto"/>
          <w:sz w:val="21"/>
          <w:szCs w:val="21"/>
          <w:highlight w:val="none"/>
        </w:rPr>
        <w:t xml:space="preserve">前根据成交结果修正。</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、本工程结算价需经有关部门审定确认。</w:t>
      </w:r>
      <w:r/>
    </w:p>
    <w:p>
      <w:pPr>
        <w:pStyle w:val="124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w:t>
      </w:r>
      <w:r/>
    </w:p>
    <w:p>
      <w:pPr>
        <w:pStyle w:val="1242"/>
        <w:ind w:firstLine="422"/>
        <w:keepLines w:val="0"/>
        <w:keepNext w:val="0"/>
        <w:pageBreakBefore w:val="0"/>
        <w:spacing w:line="360" w:lineRule="auto"/>
        <w:rPr>
          <w:rFonts w:hint="eastAsia" w:ascii="宋体" w:hAnsi="宋体" w:eastAsia="宋体" w:cs="宋体"/>
          <w:i/>
          <w:iCs/>
          <w:color w:val="auto"/>
          <w:sz w:val="21"/>
          <w:szCs w:val="21"/>
          <w:highlight w:val="none"/>
          <w:u w:val="single"/>
        </w:rPr>
      </w:pPr>
      <w:r>
        <w:rPr>
          <w:rFonts w:hint="eastAsia" w:hAnsi="宋体" w:cs="宋体"/>
          <w:b/>
          <w:bCs/>
          <w:i/>
          <w:color w:val="auto"/>
          <w:sz w:val="21"/>
          <w:szCs w:val="21"/>
          <w:highlight w:val="none"/>
          <w:u w:val="single"/>
          <w:lang w:val="en-US" w:eastAsia="zh-CN"/>
        </w:rPr>
        <w:t xml:space="preserve">7</w:t>
      </w:r>
      <w:r>
        <w:rPr>
          <w:rFonts w:hint="eastAsia" w:ascii="宋体" w:hAnsi="宋体" w:eastAsia="宋体" w:cs="宋体"/>
          <w:b/>
          <w:bCs/>
          <w:i/>
          <w:color w:val="auto"/>
          <w:sz w:val="21"/>
          <w:szCs w:val="21"/>
          <w:highlight w:val="none"/>
          <w:u w:val="single"/>
        </w:rPr>
        <w:t xml:space="preserve">、</w:t>
      </w:r>
      <w:r>
        <w:rPr>
          <w:rFonts w:hint="eastAsia" w:ascii="宋体" w:hAnsi="宋体" w:eastAsia="宋体" w:cs="宋体"/>
          <w:i/>
          <w:iCs/>
          <w:color w:val="auto"/>
          <w:sz w:val="21"/>
          <w:szCs w:val="21"/>
          <w:highlight w:val="none"/>
          <w:u w:val="single"/>
        </w:rPr>
        <w:t xml:space="preserve">本项目承包范围为</w:t>
      </w:r>
      <w:r>
        <w:rPr>
          <w:rFonts w:hint="eastAsia" w:hAnsi="宋体" w:cs="宋体"/>
          <w:i/>
          <w:iCs/>
          <w:color w:val="auto"/>
          <w:sz w:val="21"/>
          <w:szCs w:val="21"/>
          <w:highlight w:val="none"/>
          <w:u w:val="single"/>
          <w:lang w:val="en-US" w:eastAsia="zh-CN"/>
        </w:rPr>
        <w:t xml:space="preserve">采购</w:t>
      </w:r>
      <w:r>
        <w:rPr>
          <w:rFonts w:hint="eastAsia" w:ascii="宋体" w:hAnsi="宋体" w:eastAsia="宋体" w:cs="宋体"/>
          <w:i/>
          <w:iCs/>
          <w:color w:val="auto"/>
          <w:sz w:val="21"/>
          <w:szCs w:val="21"/>
          <w:highlight w:val="none"/>
          <w:u w:val="single"/>
        </w:rPr>
        <w:t xml:space="preserve">文件、工程量清单、图纸等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否则自行承担所有损失。</w:t>
      </w:r>
      <w:r>
        <w:rPr>
          <w:rFonts w:hint="eastAsia" w:ascii="宋体" w:hAnsi="宋体" w:eastAsia="宋体" w:cs="宋体"/>
          <w:b/>
          <w:bCs/>
          <w:i/>
          <w:iCs/>
          <w:color w:val="auto"/>
          <w:sz w:val="21"/>
          <w:szCs w:val="21"/>
          <w:highlight w:val="none"/>
          <w:u w:val="single"/>
          <w:lang w:val="en-US" w:eastAsia="zh-CN" w:bidi="en-US"/>
        </w:rPr>
        <w:t xml:space="preserve">（须提供承诺</w:t>
      </w:r>
      <w:r>
        <w:rPr>
          <w:rFonts w:hint="eastAsia" w:hAnsi="宋体" w:cs="宋体"/>
          <w:b/>
          <w:bCs/>
          <w:i/>
          <w:iCs/>
          <w:color w:val="auto"/>
          <w:sz w:val="21"/>
          <w:szCs w:val="21"/>
          <w:highlight w:val="none"/>
          <w:u w:val="single"/>
          <w:lang w:val="en-US" w:eastAsia="zh-CN" w:bidi="en-US"/>
        </w:rPr>
        <w:t xml:space="preserve">原件扫描上传</w:t>
      </w:r>
      <w:r>
        <w:rPr>
          <w:rFonts w:hint="eastAsia" w:ascii="宋体" w:hAnsi="宋体" w:eastAsia="宋体" w:cs="宋体"/>
          <w:b/>
          <w:bCs/>
          <w:i/>
          <w:iCs/>
          <w:color w:val="auto"/>
          <w:sz w:val="21"/>
          <w:szCs w:val="21"/>
          <w:highlight w:val="none"/>
          <w:u w:val="single"/>
          <w:lang w:val="en-US" w:eastAsia="zh-CN" w:bidi="en-US"/>
        </w:rPr>
        <w:t xml:space="preserve">，格式自拟）</w:t>
      </w:r>
      <w:r>
        <w:rPr>
          <w:rFonts w:hint="eastAsia" w:ascii="宋体" w:hAnsi="宋体" w:eastAsia="宋体" w:cs="宋体"/>
          <w:i/>
          <w:iCs/>
          <w:color w:val="auto"/>
          <w:sz w:val="21"/>
          <w:szCs w:val="21"/>
          <w:highlight w:val="none"/>
          <w:u w:val="single"/>
          <w:lang w:val="en-US" w:eastAsia="zh-CN" w:bidi="en-US"/>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bookmarkStart w:id="125" w:name="_Toc120614281"/>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、磋商报价编制要求 </w:t>
      </w:r>
      <w:r/>
    </w:p>
    <w:p>
      <w:pPr>
        <w:ind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.1所有磋商报价以人民币表示，供应商报价单位为元，保留小数点后两位。</w:t>
      </w:r>
      <w:r/>
    </w:p>
    <w:p>
      <w:pPr>
        <w:pStyle w:val="1242"/>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.2供应商在磋商截止时间前修改磋商函中的磋商总报价，应同时修改“工程量清单”中的相应报价。</w:t>
      </w:r>
      <w:r/>
    </w:p>
    <w:p>
      <w:pPr>
        <w:pStyle w:val="1242"/>
        <w:ind w:firstLine="420"/>
        <w:jc w:val="left"/>
        <w:keepLines w:val="0"/>
        <w:keepNext w:val="0"/>
        <w:pageBreakBefore w:val="0"/>
        <w:spacing w:line="360" w:lineRule="auto"/>
        <w:rPr>
          <w:rFonts w:hint="eastAsia" w:asciiTheme="minorEastAsia" w:hAnsiTheme="minorEastAsia" w:cstheme="minorEastAsia"/>
          <w:sz w:val="21"/>
          <w:szCs w:val="21"/>
          <w:highlight w:val="none"/>
          <w:lang w:val="en-US" w:eastAsia="zh-CN" w:bidi="ar"/>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.3除磋商文件有强制性规定以及不可竞争部分以外，磋商报价应根据磋商文件中的有关要求，并依据供应商根据工程实际情况和本企业经营管理水平自主合理报价，但不得低于企业成本价。</w:t>
      </w:r>
      <w:r/>
    </w:p>
    <w:p>
      <w:pPr>
        <w:numPr>
          <w:ilvl w:val="0"/>
          <w:numId w:val="0"/>
        </w:numPr>
        <w:ind w:left="0" w:firstLine="211"/>
        <w:jc w:val="left"/>
        <w:spacing w:line="360" w:lineRule="auto"/>
        <w:rPr>
          <w:rFonts w:hint="default" w:ascii="宋体" w:hAnsi="宋体" w:eastAsia="宋体" w:cs="宋体"/>
          <w:b/>
          <w:bCs/>
          <w:color w:val="auto"/>
          <w:sz w:val="21"/>
          <w:szCs w:val="21"/>
          <w:highlight w:val="none"/>
          <w:rtl w:val="0"/>
          <w:lang w:val="en-US" w:eastAsia="zh-CN"/>
        </w:rPr>
      </w:pPr>
      <w:r>
        <w:rPr>
          <w:rFonts w:hint="eastAsia" w:ascii="宋体" w:hAnsi="宋体" w:eastAsia="宋体" w:cs="宋体"/>
          <w:b/>
          <w:bCs/>
          <w:color w:val="auto"/>
          <w:sz w:val="21"/>
          <w:szCs w:val="21"/>
          <w:highlight w:val="none"/>
          <w:rtl w:val="0"/>
          <w:lang w:val="en-US" w:eastAsia="zh-CN"/>
        </w:rPr>
        <w:t xml:space="preserve">四、其他要求</w:t>
      </w:r>
      <w:r/>
    </w:p>
    <w:p>
      <w:pPr>
        <w:ind w:firstLine="420"/>
        <w:jc w:val="left"/>
        <w:spacing w:line="360" w:lineRule="auto"/>
        <w:widowControl/>
        <w:rPr>
          <w:rFonts w:hint="eastAsia" w:asciiTheme="minorEastAsia" w:hAnsiTheme="minorEastAsia" w:cstheme="minorEastAsia"/>
          <w:sz w:val="21"/>
          <w:szCs w:val="21"/>
          <w:highlight w:val="none"/>
          <w:lang w:val="en-US" w:eastAsia="zh-CN" w:bidi="ar"/>
        </w:rPr>
      </w:pPr>
      <w:r>
        <w:rPr>
          <w:rFonts w:hint="eastAsia" w:asciiTheme="minorEastAsia" w:hAnsiTheme="minorEastAsia" w:cstheme="minorEastAsia"/>
          <w:sz w:val="21"/>
          <w:szCs w:val="21"/>
          <w:highlight w:val="none"/>
          <w:lang w:val="en-US" w:eastAsia="zh-CN" w:bidi="ar"/>
        </w:rPr>
        <w:t xml:space="preserve">1、</w:t>
      </w:r>
      <w:r>
        <w:rPr>
          <w:rFonts w:hint="eastAsia" w:asciiTheme="minorEastAsia" w:hAnsiTheme="minorEastAsia" w:cstheme="minorEastAsia"/>
          <w:sz w:val="21"/>
          <w:szCs w:val="21"/>
          <w:highlight w:val="none"/>
          <w:lang w:bidi="ar"/>
        </w:rPr>
        <w:t xml:space="preserve">资料提交：</w:t>
      </w:r>
      <w:r>
        <w:rPr>
          <w:rFonts w:hint="eastAsia" w:ascii="宋体" w:hAnsi="宋体" w:cs="宋体"/>
          <w:color w:val="auto"/>
          <w:sz w:val="21"/>
          <w:szCs w:val="21"/>
          <w:highlight w:val="none"/>
          <w:rtl w:val="0"/>
          <w:lang w:val="en-US" w:eastAsia="zh-CN"/>
        </w:rPr>
        <w:t xml:space="preserve">施工完成后，施工方需向采购人提交完整的施工技术资料，包括</w:t>
      </w:r>
      <w:r>
        <w:rPr>
          <w:rFonts w:hint="eastAsia" w:asciiTheme="minorEastAsia" w:hAnsiTheme="minorEastAsia" w:cstheme="minorEastAsia"/>
          <w:sz w:val="21"/>
          <w:szCs w:val="21"/>
          <w:highlight w:val="none"/>
          <w:lang w:bidi="ar"/>
        </w:rPr>
        <w:t xml:space="preserve">加盖竣工图章的竣工图纸质版</w:t>
      </w:r>
      <w:r>
        <w:rPr>
          <w:rFonts w:hint="eastAsia" w:asciiTheme="minorEastAsia" w:hAnsiTheme="minorEastAsia" w:cstheme="minorEastAsia"/>
          <w:sz w:val="21"/>
          <w:szCs w:val="21"/>
          <w:highlight w:val="none"/>
          <w:lang w:val="en-US" w:eastAsia="zh-CN" w:bidi="ar"/>
        </w:rPr>
        <w:t xml:space="preserve">2</w:t>
      </w:r>
      <w:r>
        <w:rPr>
          <w:rFonts w:hint="eastAsia" w:asciiTheme="minorEastAsia" w:hAnsiTheme="minorEastAsia" w:cstheme="minorEastAsia"/>
          <w:sz w:val="21"/>
          <w:szCs w:val="21"/>
          <w:highlight w:val="none"/>
          <w:lang w:bidi="ar"/>
        </w:rPr>
        <w:t xml:space="preserve">套，电子版PDF及CAD格式</w:t>
      </w:r>
      <w:r>
        <w:rPr>
          <w:rFonts w:hint="eastAsia" w:asciiTheme="minorEastAsia" w:hAnsiTheme="minorEastAsia" w:cstheme="minorEastAsia"/>
          <w:sz w:val="21"/>
          <w:szCs w:val="21"/>
          <w:highlight w:val="none"/>
          <w:lang w:val="en-US" w:eastAsia="zh-CN" w:bidi="ar"/>
        </w:rPr>
        <w:t xml:space="preserve">各1套</w:t>
      </w:r>
      <w:r>
        <w:rPr>
          <w:rFonts w:hint="eastAsia" w:asciiTheme="minorEastAsia" w:hAnsiTheme="minorEastAsia" w:cstheme="minorEastAsia"/>
          <w:sz w:val="21"/>
          <w:szCs w:val="21"/>
          <w:highlight w:val="none"/>
          <w:lang w:bidi="ar"/>
        </w:rPr>
        <w:t xml:space="preserve">；消防产品、材料的合格证、强制性认证（CCC）证书及型式检验报告汇编册；施工过程质量检查记录、隐蔽工程验收记录；消防系统调试报告；第三方消防检测合格报告</w:t>
      </w:r>
      <w:r>
        <w:rPr>
          <w:rFonts w:hint="eastAsia" w:asciiTheme="minorEastAsia" w:hAnsiTheme="minorEastAsia" w:cstheme="minorEastAsia"/>
          <w:sz w:val="21"/>
          <w:szCs w:val="21"/>
          <w:highlight w:val="none"/>
          <w:lang w:val="en-US" w:eastAsia="zh-CN" w:bidi="ar"/>
        </w:rPr>
        <w:t xml:space="preserve">等。</w:t>
      </w:r>
      <w:r/>
    </w:p>
    <w:p>
      <w:pPr>
        <w:ind w:firstLine="420"/>
        <w:jc w:val="left"/>
        <w:spacing w:line="360" w:lineRule="auto"/>
        <w:widowControl/>
        <w:rPr>
          <w:rFonts w:hint="eastAsia" w:asciiTheme="minorEastAsia" w:hAnsiTheme="minorEastAsia" w:cstheme="minorEastAsia"/>
          <w:sz w:val="21"/>
          <w:szCs w:val="21"/>
          <w:highlight w:val="none"/>
          <w:lang w:bidi="ar"/>
        </w:rPr>
      </w:pPr>
      <w:r>
        <w:rPr>
          <w:rFonts w:hint="eastAsia" w:asciiTheme="minorEastAsia" w:hAnsiTheme="minorEastAsia" w:cstheme="minorEastAsia"/>
          <w:sz w:val="21"/>
          <w:szCs w:val="21"/>
          <w:highlight w:val="none"/>
          <w:lang w:val="en-US" w:eastAsia="zh-CN" w:bidi="ar"/>
        </w:rPr>
        <w:t xml:space="preserve">2、</w:t>
      </w:r>
      <w:r>
        <w:rPr>
          <w:rFonts w:hint="eastAsia" w:eastAsia="宋体" w:asciiTheme="minorEastAsia" w:hAnsiTheme="minorEastAsia" w:cstheme="minorEastAsia"/>
          <w:sz w:val="21"/>
          <w:szCs w:val="21"/>
          <w:highlight w:val="none"/>
          <w:lang w:val="en-US" w:eastAsia="zh-CN" w:bidi="ar"/>
        </w:rPr>
        <w:t xml:space="preserve">施工前，成交人须会同采购人、现有设施设备管理方对施工区域内及可能受影响区域的现有设施设备</w:t>
      </w:r>
      <w:r>
        <w:rPr>
          <w:rFonts w:hint="eastAsia" w:asciiTheme="minorEastAsia" w:hAnsiTheme="minorEastAsia" w:cstheme="minorEastAsia"/>
          <w:sz w:val="21"/>
          <w:szCs w:val="21"/>
          <w:highlight w:val="none"/>
          <w:lang w:bidi="ar"/>
        </w:rPr>
        <w:t xml:space="preserve">（包括但不限于管道、线路、仪器、装修）进行共同勘查、拍照并形成《现场状况确认清单》，作为基准。施工期间，</w:t>
      </w:r>
      <w:r>
        <w:rPr>
          <w:rFonts w:hint="eastAsia" w:asciiTheme="minorEastAsia" w:hAnsiTheme="minorEastAsia" w:cstheme="minorEastAsia"/>
          <w:sz w:val="21"/>
          <w:szCs w:val="21"/>
          <w:highlight w:val="none"/>
          <w:lang w:val="en-US" w:eastAsia="zh-CN" w:bidi="ar"/>
        </w:rPr>
        <w:t xml:space="preserve">成交人</w:t>
      </w:r>
      <w:r>
        <w:rPr>
          <w:rFonts w:hint="eastAsia" w:asciiTheme="minorEastAsia" w:hAnsiTheme="minorEastAsia" w:cstheme="minorEastAsia"/>
          <w:sz w:val="21"/>
          <w:szCs w:val="21"/>
          <w:highlight w:val="none"/>
          <w:lang w:bidi="ar"/>
        </w:rPr>
        <w:t xml:space="preserve">须采取有效包裹、遮挡、隔离等保护措施。如有损坏，</w:t>
      </w:r>
      <w:r>
        <w:rPr>
          <w:rFonts w:hint="eastAsia" w:asciiTheme="minorEastAsia" w:hAnsiTheme="minorEastAsia" w:cstheme="minorEastAsia"/>
          <w:sz w:val="21"/>
          <w:szCs w:val="21"/>
          <w:highlight w:val="none"/>
          <w:lang w:val="en-US" w:eastAsia="zh-CN" w:bidi="ar"/>
        </w:rPr>
        <w:t xml:space="preserve">成交人</w:t>
      </w:r>
      <w:r>
        <w:rPr>
          <w:rFonts w:hint="eastAsia" w:asciiTheme="minorEastAsia" w:hAnsiTheme="minorEastAsia" w:cstheme="minorEastAsia"/>
          <w:sz w:val="21"/>
          <w:szCs w:val="21"/>
          <w:highlight w:val="none"/>
          <w:lang w:bidi="ar"/>
        </w:rPr>
        <w:t xml:space="preserve">应立即通知采购人，双方依据《现场状况确认清单》共同确认损坏事实与责任。赔偿金额按恢复原状所需的市场维修费用或经评估后的费用计算，具体由双方协商或委托第三方评估确定，从工程款中扣除。</w:t>
      </w:r>
      <w:r/>
    </w:p>
    <w:p>
      <w:pPr>
        <w:ind w:firstLine="420"/>
        <w:jc w:val="left"/>
        <w:spacing w:line="360" w:lineRule="auto"/>
        <w:widowControl/>
        <w:rPr>
          <w:rFonts w:hint="eastAsia" w:asciiTheme="minorEastAsia" w:hAnsiTheme="minorEastAsia" w:cstheme="minorEastAsia"/>
          <w:sz w:val="21"/>
          <w:szCs w:val="21"/>
          <w:highlight w:val="none"/>
          <w:lang w:val="en-US" w:eastAsia="zh-CN" w:bidi="ar"/>
        </w:rPr>
      </w:pPr>
      <w:r>
        <w:rPr>
          <w:rFonts w:hint="eastAsia" w:ascii="宋体" w:hAnsi="宋体" w:cs="宋体"/>
          <w:color w:val="auto"/>
          <w:szCs w:val="21"/>
          <w:highlight w:val="none"/>
          <w:rtl w:val="0"/>
          <w:lang w:val="en-US" w:eastAsia="zh-CN"/>
        </w:rPr>
        <w:t xml:space="preserve">3</w:t>
      </w:r>
      <w:r>
        <w:rPr>
          <w:rFonts w:hint="eastAsia" w:ascii="宋体" w:hAnsi="宋体" w:eastAsia="宋体" w:cs="宋体"/>
          <w:color w:val="auto"/>
          <w:szCs w:val="21"/>
          <w:highlight w:val="none"/>
          <w:rtl w:val="0"/>
          <w:lang w:val="en-US" w:eastAsia="zh-CN"/>
        </w:rPr>
        <w:t xml:space="preserve">、</w:t>
      </w:r>
      <w:r>
        <w:rPr>
          <w:rFonts w:hint="eastAsia" w:asciiTheme="minorEastAsia" w:hAnsiTheme="minorEastAsia" w:cstheme="minorEastAsia"/>
          <w:sz w:val="21"/>
          <w:szCs w:val="21"/>
          <w:highlight w:val="none"/>
          <w:lang w:val="en-US" w:eastAsia="zh-CN" w:bidi="ar"/>
        </w:rPr>
        <w:t xml:space="preserve">建筑垃圾与施工环保：要求承包商制定建筑垃圾清运方案，运输至指定合法消纳场所，严禁随意倾倒。施工期间需采取降尘、降噪措施，遵守校园管理规定。</w:t>
      </w:r>
      <w:r/>
    </w:p>
    <w:p>
      <w:pPr>
        <w:ind w:firstLine="420"/>
        <w:jc w:val="left"/>
        <w:spacing w:line="360" w:lineRule="auto"/>
        <w:widowControl/>
        <w:rPr>
          <w:rFonts w:hint="default" w:asciiTheme="minorEastAsia" w:hAnsiTheme="minorEastAsia" w:cstheme="minorEastAsia"/>
          <w:sz w:val="21"/>
          <w:szCs w:val="21"/>
          <w:highlight w:val="none"/>
          <w:lang w:val="en-US" w:eastAsia="zh-CN" w:bidi="ar"/>
        </w:rPr>
      </w:pPr>
      <w:r>
        <w:rPr>
          <w:rFonts w:hint="default" w:asciiTheme="minorEastAsia" w:hAnsiTheme="minorEastAsia" w:cstheme="minorEastAsia"/>
          <w:sz w:val="21"/>
          <w:szCs w:val="21"/>
          <w:highlight w:val="none"/>
          <w:lang w:val="en-US" w:eastAsia="zh-CN" w:bidi="ar"/>
        </w:rPr>
      </w:r>
      <w:r/>
    </w:p>
    <w:p>
      <w:pPr>
        <w:pStyle w:val="1242"/>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242"/>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1242"/>
        <w:ind w:firstLine="420"/>
        <w:jc w:val="left"/>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pStyle w:val="1242"/>
        <w:ind w:firstLine="420"/>
        <w:jc w:val="center"/>
        <w:keepLines w:val="0"/>
        <w:keepNext w:val="0"/>
        <w:pageBreakBefore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21"/>
          <w:szCs w:val="21"/>
          <w:highlight w:val="none"/>
        </w:rPr>
        <w:br w:type="page" w:clear="all"/>
      </w:r>
      <w:bookmarkStart w:id="126" w:name="_Toc165197241"/>
      <w:r>
        <w:rPr>
          <w:rFonts w:hint="eastAsia" w:ascii="宋体" w:hAnsi="宋体" w:eastAsia="宋体" w:cs="宋体"/>
          <w:color w:val="auto"/>
          <w:sz w:val="44"/>
          <w:szCs w:val="44"/>
          <w:highlight w:val="none"/>
        </w:rPr>
        <w:t xml:space="preserve">第五章  评审方法与评审标准</w:t>
      </w:r>
      <w:bookmarkEnd w:id="126"/>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一、评审方法</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本项目采用综合评分法，磋商小组将对确定为实质性响应采购文件要求的响应文件进行评价和比较。评审结果按评审后得分由高到低顺序排列。</w:t>
      </w:r>
      <w:r>
        <w:rPr>
          <w:rFonts w:hint="eastAsia" w:ascii="宋体" w:hAnsi="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rPr>
        <w:t xml:space="preserve">得分相同的，按</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报价由低到高顺序</w:t>
      </w:r>
      <w:r>
        <w:rPr>
          <w:rFonts w:hint="eastAsia" w:ascii="宋体" w:hAnsi="宋体" w:cs="宋体"/>
          <w:color w:val="auto"/>
          <w:sz w:val="21"/>
          <w:szCs w:val="21"/>
          <w:highlight w:val="none"/>
          <w:lang w:val="en-US" w:eastAsia="zh-CN"/>
        </w:rPr>
        <w:t xml:space="preserve">推荐</w:t>
      </w:r>
      <w:r>
        <w:rPr>
          <w:rFonts w:hint="eastAsia" w:ascii="宋体" w:hAnsi="宋体" w:eastAsia="宋体" w:cs="宋体"/>
          <w:color w:val="auto"/>
          <w:sz w:val="21"/>
          <w:szCs w:val="21"/>
          <w:highlight w:val="none"/>
        </w:rPr>
        <w:t xml:space="preserve">排列。</w:t>
      </w:r>
      <w:r>
        <w:rPr>
          <w:rFonts w:hint="eastAsia" w:ascii="宋体" w:hAnsi="宋体" w:cs="宋体"/>
          <w:color w:val="auto"/>
          <w:sz w:val="21"/>
          <w:szCs w:val="21"/>
          <w:highlight w:val="none"/>
          <w:lang w:val="en-US" w:eastAsia="zh-CN"/>
        </w:rPr>
        <w:t xml:space="preserve">评审得分且最后报价相同的，按照技术</w:t>
      </w:r>
      <w:r>
        <w:rPr>
          <w:rFonts w:hint="eastAsia" w:ascii="宋体" w:hAnsi="宋体" w:cs="宋体"/>
          <w:color w:val="auto"/>
          <w:sz w:val="21"/>
          <w:szCs w:val="21"/>
          <w:highlight w:val="none"/>
          <w:lang w:val="en-US" w:eastAsia="zh-CN"/>
        </w:rPr>
        <w:t xml:space="preserve">指标</w:t>
      </w:r>
      <w:r>
        <w:rPr>
          <w:rFonts w:hint="eastAsia" w:ascii="宋体" w:hAnsi="宋体" w:cs="宋体"/>
          <w:color w:val="auto"/>
          <w:sz w:val="21"/>
          <w:szCs w:val="21"/>
          <w:highlight w:val="none"/>
          <w:lang w:val="en-US" w:eastAsia="zh-CN"/>
        </w:rPr>
        <w:t xml:space="preserve">优劣</w:t>
      </w:r>
      <w:r>
        <w:rPr>
          <w:rFonts w:hint="eastAsia" w:ascii="宋体" w:hAnsi="宋体" w:cs="宋体"/>
          <w:color w:val="auto"/>
          <w:sz w:val="21"/>
          <w:szCs w:val="21"/>
          <w:highlight w:val="none"/>
          <w:lang w:val="en-US" w:eastAsia="zh-CN"/>
        </w:rPr>
        <w:t xml:space="preserve">顺序</w:t>
      </w:r>
      <w:r>
        <w:rPr>
          <w:rFonts w:hint="eastAsia" w:ascii="宋体" w:hAnsi="宋体" w:cs="宋体"/>
          <w:color w:val="auto"/>
          <w:sz w:val="21"/>
          <w:szCs w:val="21"/>
          <w:highlight w:val="none"/>
          <w:lang w:val="en-US" w:eastAsia="zh-CN"/>
        </w:rPr>
        <w:t xml:space="preserve">排序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rPr>
        <w:t xml:space="preserve">技术</w:t>
      </w:r>
      <w:r>
        <w:rPr>
          <w:rFonts w:hint="eastAsia" w:ascii="宋体" w:hAnsi="宋体" w:eastAsia="宋体" w:cs="宋体"/>
          <w:color w:val="auto"/>
          <w:sz w:val="21"/>
          <w:szCs w:val="21"/>
          <w:highlight w:val="none"/>
        </w:rPr>
        <w:t xml:space="preserve">指标</w:t>
      </w:r>
      <w:r>
        <w:rPr>
          <w:rFonts w:hint="eastAsia" w:ascii="宋体" w:hAnsi="宋体" w:eastAsia="宋体" w:cs="宋体"/>
          <w:color w:val="auto"/>
          <w:sz w:val="21"/>
          <w:szCs w:val="21"/>
          <w:highlight w:val="none"/>
        </w:rPr>
        <w:t xml:space="preserve">得分</w:t>
      </w:r>
      <w:r>
        <w:rPr>
          <w:rFonts w:hint="eastAsia" w:ascii="宋体" w:hAnsi="宋体" w:eastAsia="宋体" w:cs="宋体"/>
          <w:color w:val="auto"/>
          <w:sz w:val="21"/>
          <w:szCs w:val="21"/>
          <w:highlight w:val="none"/>
        </w:rPr>
        <w:t xml:space="preserve">也</w:t>
      </w:r>
      <w:r>
        <w:rPr>
          <w:rFonts w:hint="eastAsia" w:ascii="宋体" w:hAnsi="宋体" w:eastAsia="宋体" w:cs="宋体"/>
          <w:color w:val="auto"/>
          <w:sz w:val="21"/>
          <w:szCs w:val="21"/>
          <w:highlight w:val="none"/>
        </w:rPr>
        <w:t xml:space="preserve">相同</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rPr>
        <w:t xml:space="preserve">磋商</w:t>
      </w:r>
      <w:r>
        <w:rPr>
          <w:rFonts w:hint="eastAsia" w:ascii="宋体" w:hAnsi="宋体" w:eastAsia="宋体" w:cs="宋体"/>
          <w:color w:val="auto"/>
          <w:sz w:val="21"/>
          <w:szCs w:val="21"/>
          <w:highlight w:val="none"/>
        </w:rPr>
        <w:t xml:space="preserve">小组</w:t>
      </w:r>
      <w:r>
        <w:rPr>
          <w:rFonts w:hint="eastAsia" w:ascii="宋体" w:hAnsi="宋体" w:eastAsia="宋体" w:cs="宋体"/>
          <w:color w:val="auto"/>
          <w:sz w:val="21"/>
          <w:szCs w:val="21"/>
          <w:highlight w:val="none"/>
        </w:rPr>
        <w:t xml:space="preserve">随机</w:t>
      </w:r>
      <w:r>
        <w:rPr>
          <w:rFonts w:hint="eastAsia" w:ascii="宋体" w:hAnsi="宋体" w:eastAsia="宋体" w:cs="宋体"/>
          <w:color w:val="auto"/>
          <w:sz w:val="21"/>
          <w:szCs w:val="21"/>
          <w:highlight w:val="none"/>
        </w:rPr>
        <w:t xml:space="preserve">抽取</w:t>
      </w: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rPr>
        <w:t xml:space="preserve">排序</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本项目选取3名</w:t>
      </w:r>
      <w:r>
        <w:rPr>
          <w:rFonts w:hint="eastAsia" w:ascii="宋体" w:hAnsi="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rPr>
        <w:t xml:space="preserve">候选人。</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政府采购政策功能落实</w:t>
      </w:r>
      <w:r/>
    </w:p>
    <w:p>
      <w:pPr>
        <w:ind w:left="0" w:right="0" w:firstLine="441"/>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p>
    <w:tbl>
      <w:tblPr>
        <w:tblStyle w:val="1074"/>
        <w:tblW w:w="0" w:type="auto"/>
        <w:tblInd w:w="601"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6156"/>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专门面向中小企业</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56" w:type="dxa"/>
            <w:vAlign w:val="top"/>
            <w:textDirection w:val="lrTb"/>
            <w:noWrap w:val="false"/>
          </w:tcPr>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是</w:t>
            </w:r>
            <w:r/>
          </w:p>
        </w:tc>
      </w:tr>
    </w:tbl>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1、小微型企业价格扣除</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的扣除价格，用扣除后的价格参与评审。</w:t>
      </w:r>
      <w:r/>
    </w:p>
    <w:p>
      <w:pPr>
        <w:ind w:left="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（2）供应商需按照采购文件的要求提供相应的《中小企业声明函》。</w:t>
      </w:r>
      <w:r/>
    </w:p>
    <w:p>
      <w:pPr>
        <w:ind w:left="0" w:right="0" w:firstLine="360"/>
        <w:jc w:val="both"/>
        <w:keepLines w:val="0"/>
        <w:keepNext w:val="0"/>
        <w:pageBreakBefore w:val="0"/>
        <w:spacing w:before="240" w:after="24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（3）企业标准请参照《关于印发中小企业划型标准规定的通知》（工信部联企业</w:t>
      </w:r>
      <w:r>
        <w:rPr>
          <w:rFonts w:hint="eastAsia" w:ascii="宋体" w:hAnsi="宋体" w:eastAsia="宋体" w:cs="宋体"/>
          <w:color w:val="auto"/>
          <w:sz w:val="21"/>
          <w:szCs w:val="21"/>
          <w:highlight w:val="none"/>
          <w:lang w:eastAsia="zh-CN"/>
        </w:rPr>
        <w:t xml:space="preserve">〔2011〕300号</w:t>
      </w:r>
      <w:r>
        <w:rPr>
          <w:rFonts w:hint="eastAsia" w:ascii="宋体" w:hAnsi="宋体" w:eastAsia="宋体" w:cs="宋体"/>
          <w:color w:val="auto"/>
          <w:sz w:val="21"/>
          <w:szCs w:val="21"/>
          <w:highlight w:val="none"/>
        </w:rPr>
        <w:t xml:space="preserve">）文件规定自行填写。</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2、残疾人福利单位价格扣除</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ind w:left="120" w:right="0" w:firstLine="36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3、监狱和戒毒企业价格扣除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4、残疾人福利单位、监狱企业属于小型、微型企业的，不重复享受政策。</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5、如本项目同意联合体</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的价格扣除，用扣除后的价格参与评审。</w:t>
      </w:r>
      <w:r/>
    </w:p>
    <w:p>
      <w:pPr>
        <w:ind w:left="0" w:right="0" w:firstLine="480"/>
        <w:jc w:val="both"/>
        <w:keepLines w:val="0"/>
        <w:keepNext w:val="0"/>
        <w:pageBreakBefore w:val="0"/>
        <w:spacing w:before="120" w:after="12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rPr>
        <w:t xml:space="preserve">价格扣除，用扣除后的价格参与评审。</w:t>
      </w:r>
      <w:r/>
    </w:p>
    <w:p>
      <w:pPr>
        <w:ind w:firstLine="420"/>
        <w:jc w:val="left"/>
        <w:spacing w:before="120" w:after="120" w:line="0" w:lineRule="atLeast"/>
        <w:rPr>
          <w:rFonts w:hint="eastAsia" w:ascii="宋体" w:hAnsi="宋体" w:eastAsia="宋体" w:cs="宋体"/>
          <w:b/>
          <w:color w:val="auto"/>
          <w:sz w:val="24"/>
          <w:szCs w:val="24"/>
          <w:highlight w:val="none"/>
        </w:rPr>
      </w:pPr>
      <w:r>
        <w:rPr>
          <w:rFonts w:hint="eastAsia" w:ascii="宋体" w:hAnsi="宋体" w:eastAsia="宋体" w:cs="宋体"/>
          <w:color w:val="auto"/>
          <w:szCs w:val="21"/>
          <w:highlight w:val="none"/>
        </w:rPr>
        <w:t xml:space="preserve">三、</w:t>
      </w:r>
      <w:r>
        <w:rPr>
          <w:rFonts w:hint="eastAsia" w:ascii="宋体" w:hAnsi="宋体" w:eastAsia="宋体" w:cs="宋体"/>
          <w:b/>
          <w:color w:val="auto"/>
          <w:sz w:val="24"/>
          <w:szCs w:val="24"/>
          <w:highlight w:val="none"/>
        </w:rPr>
        <w:t xml:space="preserve">评审标准</w:t>
      </w:r>
      <w:r/>
    </w:p>
    <w:tbl>
      <w:tblPr>
        <w:tblStyle w:val="1051"/>
        <w:tblW w:w="50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67"/>
        <w:gridCol w:w="990"/>
        <w:gridCol w:w="850"/>
        <w:gridCol w:w="6055"/>
      </w:tblGrid>
      <w:tr>
        <w:trPr>
          <w:jc w:val="center"/>
          <w:trHeight w:val="737"/>
        </w:trPr>
        <w:tc>
          <w:tcPr>
            <w:gridSpan w:val="2"/>
            <w:tcW w:w="920"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评审因素</w:t>
            </w:r>
            <w:r/>
          </w:p>
        </w:tc>
        <w:tc>
          <w:tcPr>
            <w:tcW w:w="502"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分值</w:t>
            </w:r>
            <w:r/>
          </w:p>
        </w:tc>
        <w:tc>
          <w:tcPr>
            <w:tcW w:w="3576" w:type="pct"/>
            <w:vAlign w:val="center"/>
            <w:textDirection w:val="lrTb"/>
            <w:noWrap w:val="false"/>
          </w:tcPr>
          <w:p>
            <w:pPr>
              <w:jc w:val="center"/>
              <w:spacing w:line="24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评分要点及说明</w:t>
            </w:r>
            <w:r/>
          </w:p>
        </w:tc>
      </w:tr>
      <w:tr>
        <w:trPr>
          <w:jc w:val="center"/>
          <w:trHeight w:val="1276"/>
        </w:trPr>
        <w:tc>
          <w:tcPr>
            <w:gridSpan w:val="2"/>
            <w:tcW w:w="920"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报价</w:t>
            </w:r>
            <w:r/>
          </w:p>
        </w:tc>
        <w:tc>
          <w:tcPr>
            <w:tcW w:w="502"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p>
        </w:tc>
        <w:tc>
          <w:tcPr>
            <w:tcW w:w="3576"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w:t>
            </w:r>
            <w:r>
              <w:rPr>
                <w:rFonts w:hint="eastAsia" w:ascii="宋体" w:hAnsi="宋体" w:cs="宋体"/>
                <w:sz w:val="21"/>
                <w:szCs w:val="21"/>
                <w:highlight w:val="none"/>
                <w:lang w:eastAsia="zh-CN"/>
              </w:rPr>
              <w:t xml:space="preserve">采购</w:t>
            </w:r>
            <w:r>
              <w:rPr>
                <w:rFonts w:hint="eastAsia" w:ascii="宋体" w:hAnsi="宋体" w:eastAsia="宋体" w:cs="宋体"/>
                <w:sz w:val="21"/>
                <w:szCs w:val="21"/>
                <w:highlight w:val="none"/>
              </w:rPr>
              <w:t xml:space="preserve">文件要求且</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价格最低的</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报价为评标基准价，其价格分为满分。其他</w:t>
            </w:r>
            <w:r>
              <w:rPr>
                <w:rFonts w:hint="eastAsia" w:ascii="宋体" w:hAnsi="宋体" w:cs="宋体"/>
                <w:sz w:val="21"/>
                <w:szCs w:val="21"/>
                <w:highlight w:val="none"/>
                <w:lang w:eastAsia="zh-CN"/>
              </w:rPr>
              <w:t xml:space="preserve">供应商</w:t>
            </w:r>
            <w:r>
              <w:rPr>
                <w:rFonts w:hint="eastAsia" w:ascii="宋体" w:hAnsi="宋体" w:eastAsia="宋体" w:cs="宋体"/>
                <w:sz w:val="21"/>
                <w:szCs w:val="21"/>
                <w:highlight w:val="none"/>
              </w:rPr>
              <w:t xml:space="preserve">的价格分统一按照下列公式计算：</w:t>
            </w:r>
            <w:r/>
          </w:p>
          <w:p>
            <w:p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报价得分＝（评标基准价/</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报价）×分值。说明：此处</w:t>
            </w:r>
            <w:r>
              <w:rPr>
                <w:rFonts w:hint="eastAsia" w:ascii="宋体" w:hAnsi="宋体" w:cs="宋体"/>
                <w:sz w:val="21"/>
                <w:szCs w:val="21"/>
                <w:highlight w:val="none"/>
                <w:lang w:eastAsia="zh-CN"/>
              </w:rPr>
              <w:t xml:space="preserve">投标（响应）</w:t>
            </w:r>
            <w:r>
              <w:rPr>
                <w:rFonts w:hint="eastAsia" w:ascii="宋体" w:hAnsi="宋体" w:eastAsia="宋体" w:cs="宋体"/>
                <w:sz w:val="21"/>
                <w:szCs w:val="21"/>
                <w:highlight w:val="none"/>
              </w:rPr>
              <w:t xml:space="preserve">报价指经过报价修正，及因落实政府采购政策进行价格调整后的报价（计算时，按四舍五入法保留两位小数）</w:t>
            </w:r>
            <w:r/>
          </w:p>
        </w:tc>
      </w:tr>
      <w:tr>
        <w:trPr>
          <w:jc w:val="center"/>
          <w:trHeight w:val="9563" w:hRule="exact"/>
        </w:trPr>
        <w:tc>
          <w:tcPr>
            <w:tcW w:w="335"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技术</w:t>
            </w:r>
            <w:r/>
          </w:p>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主要施工方案</w:t>
            </w:r>
            <w:r/>
          </w:p>
        </w:tc>
        <w:tc>
          <w:tcPr>
            <w:tcW w:w="502"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50</w:t>
            </w:r>
            <w:r/>
          </w:p>
        </w:tc>
        <w:tc>
          <w:tcPr>
            <w:tcW w:w="3576" w:type="pct"/>
            <w:vAlign w:val="center"/>
            <w:textDirection w:val="lrTb"/>
            <w:noWrap w:val="false"/>
          </w:tcPr>
          <w:p>
            <w:pPr>
              <w:numPr>
                <w:ilvl w:val="0"/>
                <w:numId w:val="3"/>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施工组织总体设想、方案针对性（10分）：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科学、严密、合理，描述详细且具有针对性的得10分；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较合理、严密、描述较为详细，不存在实施难度的得7分；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基本合理、描述一般、存在可操作性得4分；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具有明显不合理项、描述欠缺、存在实施难度得1分；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未有相关说明不得分。</w:t>
            </w:r>
            <w:r/>
          </w:p>
          <w:p>
            <w:pPr>
              <w:numPr>
                <w:ilvl w:val="0"/>
                <w:numId w:val="3"/>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施工进度计划和进度的保证措施（10分）：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科学、严密、合理，描述详细且具有针对性的得10分；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较合理、严密、描述较为详细，不存在实施难度的得7分；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基本合理、描述一般、存在可操作性得4分；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具有明显不合理项、描述欠缺、存在实施难度得1分；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未有相关说明不得分。</w:t>
            </w:r>
            <w:r/>
          </w:p>
          <w:p>
            <w:pPr>
              <w:numPr>
                <w:ilvl w:val="0"/>
                <w:numId w:val="3"/>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质量、安全保证体系及措施（10分）：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科学、严密、合理，描述详细且具有针对性的得10分；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较合理、严密、描述较为详细，不存在实施难度的得7分；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基本合理、描述一般、存在可操作性得4分；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具有明显不合理项、描述欠缺、存在实施难度得1分；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未有相关说明不得分。</w:t>
            </w:r>
            <w:r/>
          </w:p>
          <w:p>
            <w:pPr>
              <w:numPr>
                <w:ilvl w:val="0"/>
                <w:numId w:val="3"/>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满足验收合格的承诺保证（10分）：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针对本项目实施后能满足验收合格的有效保证措施，科学、严密、合理，描述详细且具有针对性的得10分；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较合理、严密、描述较为详细，不存在实施难度的得7分；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基本合理、描述一般、存在可操作性得4分；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具有明显不合理项、描述欠缺、存在实施难度得1分；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未有相关说明不得分。</w:t>
            </w:r>
            <w:r/>
          </w:p>
          <w:p>
            <w:pPr>
              <w:numPr>
                <w:ilvl w:val="0"/>
                <w:numId w:val="3"/>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关键施工技术、工艺及工程项目实施的重点、难点和解决方案（10分）：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科学、严密、合理，描述详细且具有针对性的得10分；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较合理、严密、描述较为详细，不存在实施难度的得7分；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基本合理、描述一般、存在可操作性得4分；</w:t>
            </w:r>
            <w:r/>
          </w:p>
          <w:p>
            <w:pPr>
              <w:numPr>
                <w:ilvl w:val="0"/>
                <w:numId w:val="0"/>
              </w:numPr>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具有明显不合理项、描述欠缺、存在实施难度得1分；</w:t>
            </w:r>
            <w:r/>
          </w:p>
          <w:p>
            <w:pPr>
              <w:numPr>
                <w:ilvl w:val="0"/>
                <w:numId w:val="0"/>
              </w:numPr>
              <w:ind w:left="0" w:firstLine="0"/>
              <w:pageBreakBefore w:val="0"/>
              <w:spacing w:line="240" w:lineRule="auto"/>
              <w:tabs>
                <w:tab w:val="left" w:pos="0" w:leader="none"/>
                <w:tab w:val="left" w:pos="1134"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未有相关说明不得分。</w:t>
            </w:r>
            <w:r/>
          </w:p>
          <w:p>
            <w:pPr>
              <w:pStyle w:val="1056"/>
              <w:numPr>
                <w:ilvl w:val="0"/>
                <w:numId w:val="0"/>
              </w:num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b/>
                <w:bCs/>
                <w:i w:val="0"/>
                <w:iCs w:val="0"/>
                <w:color w:val="auto"/>
                <w:sz w:val="21"/>
                <w:szCs w:val="21"/>
                <w:highlight w:val="none"/>
                <w:u w:val="none"/>
                <w:lang w:val="en-US" w:eastAsia="zh-CN"/>
              </w:rPr>
              <w:t xml:space="preserve">注：主要施工方案总页数(指页码，包含封面，目录，图片，封底等所有页面)不得超过100页，每超过 1 页扣 0.01 分，最多扣2分，在主要施工方案总得分中作相应扣除。</w:t>
            </w:r>
            <w:r/>
          </w:p>
        </w:tc>
      </w:tr>
      <w:tr>
        <w:trPr>
          <w:jc w:val="center"/>
          <w:trHeight w:val="4390" w:hRule="exact"/>
        </w:trPr>
        <w:tc>
          <w:tcPr>
            <w:tcW w:w="335" w:type="pct"/>
            <w:vAlign w:val="center"/>
            <w:vMerge w:val="continue"/>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spacing w:line="24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主材技术指标</w:t>
            </w:r>
            <w:r/>
          </w:p>
        </w:tc>
        <w:tc>
          <w:tcPr>
            <w:tcW w:w="502" w:type="pct"/>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W w:w="3576"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cs="宋体"/>
                <w:color w:val="auto"/>
                <w:sz w:val="21"/>
                <w:szCs w:val="21"/>
                <w:highlight w:val="none"/>
                <w:rtl w:val="0"/>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b/>
                <w:bCs/>
                <w:color w:val="auto"/>
                <w:sz w:val="21"/>
                <w:szCs w:val="21"/>
                <w:highlight w:val="none"/>
                <w:rtl w:val="0"/>
                <w:lang w:val="en-US" w:eastAsia="zh-CN"/>
              </w:rPr>
              <w:t xml:space="preserve">净化板隔断：</w:t>
            </w:r>
            <w:r>
              <w:rPr>
                <w:rFonts w:hint="eastAsia" w:ascii="宋体" w:hAnsi="宋体" w:cs="宋体"/>
                <w:color w:val="auto"/>
                <w:sz w:val="21"/>
                <w:szCs w:val="21"/>
                <w:highlight w:val="none"/>
                <w:rtl w:val="0"/>
                <w:lang w:val="en-US" w:eastAsia="zh-CN"/>
              </w:rPr>
              <w:t xml:space="preserve">隔断为50厚净化岩棉板，钢板厚度不小于0.5mm，钢板表面颜色为白色，复合彩钢板双面贴厚膜保护。其耐火极限应不低于 1.0小时，提供由国家认可的检测机构依据 GB/T 9978.1 和 GB/T 9978.8 出具的耐火性能检测报告得2分。 </w:t>
            </w:r>
            <w:r>
              <w:rPr>
                <w:rFonts w:hint="eastAsia" w:ascii="宋体" w:hAnsi="宋体" w:cs="宋体"/>
                <w:color w:val="auto"/>
                <w:sz w:val="21"/>
                <w:szCs w:val="21"/>
                <w:highlight w:val="none"/>
                <w:rtl w:val="0"/>
                <w:lang w:val="en-US" w:eastAsia="zh-CN"/>
              </w:rPr>
              <w:br/>
            </w:r>
            <w:r>
              <w:rPr>
                <w:rFonts w:hint="eastAsia" w:ascii="宋体" w:hAnsi="宋体" w:cs="宋体"/>
                <w:color w:val="auto"/>
                <w:sz w:val="21"/>
                <w:szCs w:val="21"/>
                <w:highlight w:val="none"/>
                <w:rtl w:val="0"/>
                <w:lang w:val="en-US" w:eastAsia="zh-CN"/>
              </w:rPr>
              <w:t xml:space="preserve">2、</w:t>
            </w:r>
            <w:r>
              <w:rPr>
                <w:rFonts w:hint="eastAsia" w:ascii="宋体" w:hAnsi="宋体" w:cs="宋体"/>
                <w:b/>
                <w:bCs/>
                <w:color w:val="auto"/>
                <w:sz w:val="21"/>
                <w:szCs w:val="21"/>
                <w:highlight w:val="none"/>
                <w:lang w:val="en-US" w:eastAsia="zh-CN"/>
              </w:rPr>
              <w:t xml:space="preserve">铝扣板：</w:t>
            </w:r>
            <w:r>
              <w:rPr>
                <w:rFonts w:hint="eastAsia" w:ascii="宋体" w:hAnsi="宋体" w:cs="宋体"/>
                <w:color w:val="auto"/>
                <w:sz w:val="21"/>
                <w:szCs w:val="21"/>
                <w:highlight w:val="none"/>
                <w:rtl w:val="0"/>
                <w:lang w:val="en-US" w:eastAsia="zh-CN"/>
              </w:rPr>
              <w:t xml:space="preserve">外观质量合格，附着力0级，漆膜硬度大于等于HB，耐酸性2%HCl(V/V) ，24h无变化，耐碱性饱和 Ca(OH)2 ，24H无变化，提供由国家认可的检测机构依据 GB/T23444-2024 出具的检测报告得2分。 </w:t>
            </w:r>
            <w:r/>
          </w:p>
          <w:p>
            <w:pPr>
              <w:numPr>
                <w:ilvl w:val="0"/>
                <w:numId w:val="0"/>
              </w:numPr>
              <w:jc w:val="left"/>
              <w:keepLines w:val="0"/>
              <w:keepNext w:val="0"/>
              <w:pageBreakBefore w:val="0"/>
              <w:spacing w:line="240" w:lineRule="auto"/>
              <w:widowControl/>
              <w:rPr>
                <w:rFonts w:hint="eastAsia" w:ascii="宋体" w:hAnsi="宋体" w:cs="宋体"/>
                <w:color w:val="auto"/>
                <w:sz w:val="21"/>
                <w:szCs w:val="21"/>
                <w:highlight w:val="none"/>
                <w:rtl w:val="0"/>
                <w:lang w:val="en-US" w:eastAsia="zh-CN"/>
              </w:rPr>
            </w:pPr>
            <w:r>
              <w:rPr>
                <w:rFonts w:hint="eastAsia" w:ascii="宋体" w:hAnsi="宋体" w:cs="宋体"/>
                <w:color w:val="auto"/>
                <w:sz w:val="21"/>
                <w:szCs w:val="21"/>
                <w:highlight w:val="none"/>
                <w:rtl w:val="0"/>
                <w:lang w:val="en-US" w:eastAsia="zh-CN"/>
              </w:rPr>
              <w:t xml:space="preserve">3、</w:t>
            </w:r>
            <w:r>
              <w:rPr>
                <w:rFonts w:hint="eastAsia" w:ascii="宋体" w:hAnsi="宋体" w:cs="宋体"/>
                <w:b/>
                <w:bCs/>
                <w:color w:val="auto"/>
                <w:sz w:val="21"/>
                <w:szCs w:val="21"/>
                <w:highlight w:val="none"/>
                <w:rtl w:val="0"/>
                <w:lang w:val="en-US" w:eastAsia="zh-CN"/>
              </w:rPr>
              <w:t xml:space="preserve">钢化净化门：</w:t>
            </w:r>
            <w:r>
              <w:rPr>
                <w:rFonts w:hint="eastAsia" w:ascii="宋体" w:hAnsi="宋体" w:cs="宋体"/>
                <w:color w:val="auto"/>
                <w:sz w:val="21"/>
                <w:szCs w:val="21"/>
                <w:highlight w:val="none"/>
                <w:rtl w:val="0"/>
                <w:lang w:val="en-US" w:eastAsia="zh-CN"/>
              </w:rPr>
              <w:t xml:space="preserve">防尘试验（IP5X）被试外壳按正常工作位置放入试验箱内，不与真空泵连接，持续8h，内部无尘进入合格。防水试验（IPX6）喷水口直径12.5 mm，喷水距离2.5m~3m水流量100 L/min试验时间3min，试验后样品内部无水进入判定符合。提供由国家认可的检测机构依据 GB/T4208-2017 13.5和14.2.6出具的检测报告得2分。</w:t>
            </w:r>
            <w:r/>
          </w:p>
          <w:p>
            <w:pPr>
              <w:numPr>
                <w:ilvl w:val="0"/>
                <w:numId w:val="0"/>
              </w:numPr>
              <w:jc w:val="left"/>
              <w:keepLines w:val="0"/>
              <w:keepNext w:val="0"/>
              <w:pageBreakBefore w:val="0"/>
              <w:spacing w:line="240" w:lineRule="auto"/>
              <w:widowControl/>
              <w:rPr>
                <w:rFonts w:hint="default"/>
                <w:color w:val="auto"/>
                <w:highlight w:val="none"/>
                <w:lang w:val="en-US" w:eastAsia="zh-CN"/>
              </w:rPr>
            </w:pPr>
            <w:r>
              <w:rPr>
                <w:rFonts w:hint="eastAsia" w:ascii="宋体" w:hAnsi="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lang w:val="en-US" w:eastAsia="zh-CN"/>
              </w:rPr>
              <w:t xml:space="preserve">检测报告原件扫描上传</w:t>
            </w:r>
            <w:r>
              <w:rPr>
                <w:rFonts w:hint="eastAsia" w:ascii="宋体" w:hAnsi="宋体" w:cs="宋体"/>
                <w:b/>
                <w:bCs/>
                <w:color w:val="auto"/>
                <w:sz w:val="21"/>
                <w:szCs w:val="21"/>
                <w:highlight w:val="none"/>
                <w:lang w:val="en-US" w:eastAsia="zh-CN"/>
              </w:rPr>
              <w:t xml:space="preserve">，检测报告中的检测项目必须包含上述技术指标，</w:t>
            </w:r>
            <w:r>
              <w:rPr>
                <w:rFonts w:hint="eastAsia" w:ascii="宋体" w:hAnsi="宋体" w:eastAsia="宋体" w:cs="宋体"/>
                <w:b/>
                <w:bCs/>
                <w:color w:val="auto"/>
                <w:sz w:val="21"/>
                <w:szCs w:val="21"/>
                <w:highlight w:val="none"/>
              </w:rPr>
              <w:t xml:space="preserve">不提供</w:t>
            </w:r>
            <w:r>
              <w:rPr>
                <w:rFonts w:hint="eastAsia" w:ascii="宋体" w:hAnsi="宋体" w:cs="宋体"/>
                <w:b/>
                <w:bCs/>
                <w:color w:val="auto"/>
                <w:sz w:val="21"/>
                <w:szCs w:val="21"/>
                <w:highlight w:val="none"/>
                <w:lang w:val="en-US" w:eastAsia="zh-CN"/>
              </w:rPr>
              <w:t xml:space="preserve">或不符合的</w:t>
            </w:r>
            <w:r>
              <w:rPr>
                <w:rFonts w:hint="eastAsia" w:ascii="宋体" w:hAnsi="宋体" w:eastAsia="宋体" w:cs="宋体"/>
                <w:b/>
                <w:bCs/>
                <w:color w:val="auto"/>
                <w:sz w:val="21"/>
                <w:szCs w:val="21"/>
                <w:highlight w:val="none"/>
              </w:rPr>
              <w:t xml:space="preserve">不得分。</w:t>
            </w:r>
            <w:r/>
          </w:p>
        </w:tc>
      </w:tr>
      <w:tr>
        <w:trPr>
          <w:jc w:val="center"/>
          <w:trHeight w:val="1857" w:hRule="exact"/>
        </w:trPr>
        <w:tc>
          <w:tcPr>
            <w:tcW w:w="335" w:type="pct"/>
            <w:vAlign w:val="center"/>
            <w:vMerge w:val="restart"/>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w:t>
            </w:r>
            <w:r/>
          </w:p>
        </w:tc>
        <w:tc>
          <w:tcPr>
            <w:tcW w:w="584" w:type="pct"/>
            <w:vAlign w:val="center"/>
            <w:textDirection w:val="lrTb"/>
            <w:noWrap w:val="false"/>
          </w:tcPr>
          <w:p>
            <w:pPr>
              <w:jc w:val="center"/>
              <w:spacing w:line="24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企业实力</w:t>
            </w:r>
            <w:r/>
          </w:p>
        </w:tc>
        <w:tc>
          <w:tcPr>
            <w:tcW w:w="502"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4</w:t>
            </w:r>
            <w:r/>
          </w:p>
        </w:tc>
        <w:tc>
          <w:tcPr>
            <w:tcW w:w="3576"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拟派的项目经理具有工程类中级及以上职称证书得2分，具有工程类初级职称证书得1分，满分2分；</w:t>
            </w:r>
            <w:r/>
          </w:p>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拟派的项目组成员（除项目经理外）具有工程类中级及以上职称证书得1分，具有工程类初级职称证书得0.5分，满分2分；</w:t>
            </w:r>
            <w:r/>
          </w:p>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注：提供以上人员相关证书</w:t>
            </w:r>
            <w:r>
              <w:rPr>
                <w:rFonts w:hint="eastAsia" w:ascii="宋体" w:hAnsi="宋体" w:eastAsia="宋体" w:cs="宋体"/>
                <w:b/>
                <w:bCs/>
                <w:sz w:val="21"/>
                <w:szCs w:val="21"/>
                <w:highlight w:val="none"/>
                <w:lang w:eastAsia="zh-CN"/>
              </w:rPr>
              <w:t xml:space="preserve">以及供应商（或联合体成员方）</w:t>
            </w:r>
            <w:r>
              <w:rPr>
                <w:rFonts w:hint="eastAsia" w:ascii="宋体" w:hAnsi="宋体" w:eastAsia="宋体" w:cs="宋体"/>
                <w:b/>
                <w:bCs/>
                <w:color w:val="auto"/>
                <w:sz w:val="21"/>
                <w:szCs w:val="21"/>
                <w:highlight w:val="none"/>
                <w:lang w:eastAsia="zh-CN"/>
              </w:rPr>
              <w:t xml:space="preserve">为其缴纳的近一年</w:t>
            </w:r>
            <w:r>
              <w:rPr>
                <w:rFonts w:hint="eastAsia" w:ascii="宋体" w:hAnsi="宋体" w:eastAsia="宋体" w:cs="宋体"/>
                <w:b/>
                <w:bCs/>
                <w:color w:val="auto"/>
                <w:sz w:val="21"/>
                <w:szCs w:val="21"/>
                <w:highlight w:val="none"/>
                <w:lang w:val="en-US" w:eastAsia="zh-CN"/>
              </w:rPr>
              <w:t xml:space="preserve">任意一份</w:t>
            </w:r>
            <w:r>
              <w:rPr>
                <w:rFonts w:hint="eastAsia" w:ascii="宋体" w:hAnsi="宋体" w:eastAsia="宋体" w:cs="宋体"/>
                <w:b/>
                <w:bCs/>
                <w:color w:val="auto"/>
                <w:sz w:val="21"/>
                <w:szCs w:val="21"/>
                <w:highlight w:val="none"/>
                <w:lang w:eastAsia="zh-CN"/>
              </w:rPr>
              <w:t xml:space="preserve">社保证明</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，不提供不得分。</w:t>
            </w:r>
            <w:r/>
          </w:p>
        </w:tc>
      </w:tr>
      <w:tr>
        <w:trPr>
          <w:jc w:val="center"/>
          <w:trHeight w:val="2600" w:hRule="exact"/>
        </w:trPr>
        <w:tc>
          <w:tcPr>
            <w:tcW w:w="335" w:type="pct"/>
            <w:vAlign w:val="center"/>
            <w:vMerge w:val="continue"/>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类似业绩</w:t>
            </w:r>
            <w:r/>
          </w:p>
        </w:tc>
        <w:tc>
          <w:tcPr>
            <w:tcW w:w="502" w:type="pct"/>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tcW w:w="3576" w:type="pct"/>
            <w:vAlign w:val="center"/>
            <w:textDirection w:val="lrTb"/>
            <w:noWrap w:val="false"/>
          </w:tcPr>
          <w:p>
            <w:pPr>
              <w:numPr>
                <w:ilvl w:val="0"/>
                <w:numId w:val="0"/>
              </w:numPr>
              <w:ind w:firstLine="420"/>
              <w:jc w:val="left"/>
              <w:pageBreakBefore w:val="0"/>
              <w:spacing w:line="360" w:lineRule="auto"/>
              <w:rPr>
                <w:rFonts w:hint="eastAsia" w:ascii="Times New Roman" w:hAnsi="Times New Roman" w:eastAsia="宋体" w:cs="宋体"/>
                <w:color w:val="auto"/>
                <w:sz w:val="21"/>
                <w:szCs w:val="21"/>
                <w:highlight w:val="none"/>
                <w:lang w:bidi="ar"/>
              </w:rPr>
            </w:pPr>
            <w:r>
              <w:rPr>
                <w:rFonts w:hint="eastAsia" w:ascii="Times New Roman" w:hAnsi="Times New Roman" w:eastAsia="宋体" w:cs="宋体"/>
                <w:color w:val="auto"/>
                <w:sz w:val="21"/>
                <w:szCs w:val="21"/>
                <w:highlight w:val="none"/>
                <w:lang w:bidi="ar"/>
              </w:rPr>
              <w:t xml:space="preserve">供应商自202</w:t>
            </w:r>
            <w:r>
              <w:rPr>
                <w:rFonts w:hint="eastAsia" w:ascii="Times New Roman" w:hAnsi="Times New Roman" w:eastAsia="宋体" w:cs="宋体"/>
                <w:color w:val="auto"/>
                <w:sz w:val="21"/>
                <w:szCs w:val="21"/>
                <w:highlight w:val="none"/>
                <w:lang w:val="en-US" w:eastAsia="zh-CN" w:bidi="ar"/>
              </w:rPr>
              <w:t xml:space="preserve">3</w:t>
            </w:r>
            <w:r>
              <w:rPr>
                <w:rFonts w:hint="eastAsia" w:ascii="Times New Roman" w:hAnsi="Times New Roman" w:eastAsia="宋体" w:cs="宋体"/>
                <w:color w:val="auto"/>
                <w:sz w:val="21"/>
                <w:szCs w:val="21"/>
                <w:highlight w:val="none"/>
                <w:lang w:bidi="ar"/>
              </w:rPr>
              <w:t xml:space="preserve">年1月1日以来，承担过类似项目，每有一项得2分，满分</w:t>
            </w:r>
            <w:r>
              <w:rPr>
                <w:rFonts w:hint="eastAsia" w:ascii="Times New Roman" w:hAnsi="Times New Roman" w:eastAsia="宋体" w:cs="宋体"/>
                <w:color w:val="auto"/>
                <w:sz w:val="21"/>
                <w:szCs w:val="21"/>
                <w:highlight w:val="none"/>
                <w:lang w:val="en-US" w:eastAsia="zh-CN" w:bidi="ar"/>
              </w:rPr>
              <w:t xml:space="preserve">6</w:t>
            </w:r>
            <w:r>
              <w:rPr>
                <w:rFonts w:hint="eastAsia" w:ascii="Times New Roman" w:hAnsi="Times New Roman" w:eastAsia="宋体" w:cs="宋体"/>
                <w:color w:val="auto"/>
                <w:sz w:val="21"/>
                <w:szCs w:val="21"/>
                <w:highlight w:val="none"/>
                <w:lang w:bidi="ar"/>
              </w:rPr>
              <w:t xml:space="preserve">分。</w:t>
            </w:r>
            <w:r/>
          </w:p>
          <w:p>
            <w:p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Times New Roman" w:hAnsi="Times New Roman" w:eastAsia="宋体" w:cs="宋体"/>
                <w:b/>
                <w:bCs/>
                <w:color w:val="auto"/>
                <w:sz w:val="21"/>
                <w:szCs w:val="21"/>
                <w:highlight w:val="none"/>
                <w:lang w:bidi="ar"/>
              </w:rPr>
              <w:t xml:space="preserve">注：业绩认定时间以竣工验收时间为准，业绩材料需同时提供：1、依法承发包的交易结果文件；2、合同；3、竣工验收证明材料；4、其他证明资料（如有）。依法承发包的交易结果文件包括中标通知书、直接发包通知书（或备案表）和成交通知书等；依法可以不进行招标</w:t>
            </w:r>
            <w:r>
              <w:rPr>
                <w:rFonts w:hint="eastAsia" w:cs="宋体"/>
                <w:b/>
                <w:bCs/>
                <w:color w:val="auto"/>
                <w:sz w:val="21"/>
                <w:szCs w:val="21"/>
                <w:highlight w:val="none"/>
                <w:lang w:val="en-US" w:eastAsia="zh-CN" w:bidi="ar"/>
              </w:rPr>
              <w:t xml:space="preserve">采购</w:t>
            </w:r>
            <w:r>
              <w:rPr>
                <w:rFonts w:hint="eastAsia" w:ascii="Times New Roman" w:hAnsi="Times New Roman" w:eastAsia="宋体" w:cs="宋体"/>
                <w:b/>
                <w:bCs/>
                <w:color w:val="auto"/>
                <w:sz w:val="21"/>
                <w:szCs w:val="21"/>
                <w:highlight w:val="none"/>
                <w:lang w:bidi="ar"/>
              </w:rPr>
              <w:t xml:space="preserve">的项目，可以提供业主单位或招标代理机构出具的有关中标文件；</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，不提供不得分。</w:t>
            </w:r>
            <w:r/>
          </w:p>
        </w:tc>
      </w:tr>
      <w:tr>
        <w:trPr>
          <w:jc w:val="center"/>
          <w:trHeight w:val="1694" w:hRule="exact"/>
        </w:trPr>
        <w:tc>
          <w:tcPr>
            <w:tcW w:w="335" w:type="pct"/>
            <w:vAlign w:val="center"/>
            <w:vMerge w:val="continue"/>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84" w:type="pct"/>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502" w:type="pct"/>
            <w:vAlign w:val="center"/>
            <w:textDirection w:val="lrTb"/>
            <w:noWrap w:val="false"/>
          </w:tcPr>
          <w:p>
            <w:pPr>
              <w:jc w:val="center"/>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4分</w:t>
            </w:r>
            <w:r/>
          </w:p>
        </w:tc>
        <w:tc>
          <w:tcPr>
            <w:tcW w:w="3576"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供应商承诺的质保期需满足《建设工程质量管理条例》等国家强制性最低保修规定。承诺满足国家规定最低保修年限的，不得分；在此基础上，承诺的保修期每延长一年加2分，最高加4分。满分4分。</w:t>
            </w:r>
            <w:r/>
          </w:p>
          <w:p>
            <w:pPr>
              <w:numPr>
                <w:ilvl w:val="0"/>
                <w:numId w:val="0"/>
              </w:numPr>
              <w:ind w:left="0" w:firstLine="0"/>
              <w:jc w:val="left"/>
              <w:pageBreakBefore w:val="0"/>
              <w:spacing w:line="240" w:lineRule="auto"/>
              <w:rPr>
                <w:rFonts w:hint="eastAsia" w:ascii="Times New Roman" w:hAnsi="Times New Roman" w:eastAsia="宋体" w:cs="宋体"/>
                <w:b/>
                <w:bCs/>
                <w:color w:val="auto"/>
                <w:sz w:val="21"/>
                <w:szCs w:val="21"/>
                <w:highlight w:val="none"/>
                <w:lang w:bidi="ar"/>
              </w:rPr>
            </w:pPr>
            <w:r>
              <w:rPr>
                <w:rFonts w:hint="eastAsia" w:ascii="Times New Roman" w:hAnsi="Times New Roman" w:eastAsia="宋体" w:cs="宋体"/>
                <w:b/>
                <w:bCs/>
                <w:color w:val="auto"/>
                <w:sz w:val="21"/>
                <w:szCs w:val="21"/>
                <w:highlight w:val="none"/>
                <w:lang w:bidi="ar"/>
              </w:rPr>
              <w:t xml:space="preserve">注：提供书面承诺</w:t>
            </w:r>
            <w:r>
              <w:rPr>
                <w:rFonts w:hint="eastAsia" w:ascii="Times New Roman" w:hAnsi="Times New Roman" w:eastAsia="宋体" w:cs="宋体"/>
                <w:b/>
                <w:bCs/>
                <w:color w:val="auto"/>
                <w:sz w:val="21"/>
                <w:szCs w:val="21"/>
                <w:highlight w:val="none"/>
                <w:lang w:eastAsia="zh-CN" w:bidi="ar"/>
              </w:rPr>
              <w:t xml:space="preserve">（</w:t>
            </w:r>
            <w:r>
              <w:rPr>
                <w:rFonts w:hint="eastAsia" w:ascii="Times New Roman" w:hAnsi="Times New Roman" w:eastAsia="宋体" w:cs="宋体"/>
                <w:b/>
                <w:bCs/>
                <w:color w:val="auto"/>
                <w:sz w:val="21"/>
                <w:szCs w:val="21"/>
                <w:highlight w:val="none"/>
                <w:lang w:val="en-US" w:eastAsia="zh-CN" w:bidi="ar"/>
              </w:rPr>
              <w:t xml:space="preserve">格式自拟</w:t>
            </w:r>
            <w:r>
              <w:rPr>
                <w:rFonts w:hint="eastAsia" w:ascii="Times New Roman" w:hAnsi="Times New Roman" w:eastAsia="宋体" w:cs="宋体"/>
                <w:b/>
                <w:bCs/>
                <w:color w:val="auto"/>
                <w:sz w:val="21"/>
                <w:szCs w:val="21"/>
                <w:highlight w:val="none"/>
                <w:lang w:eastAsia="zh-CN" w:bidi="ar"/>
              </w:rPr>
              <w:t xml:space="preserve">）</w:t>
            </w:r>
            <w:r>
              <w:rPr>
                <w:rFonts w:hint="eastAsia" w:ascii="Times New Roman" w:hAnsi="Times New Roman" w:eastAsia="宋体" w:cs="宋体"/>
                <w:b/>
                <w:bCs/>
                <w:color w:val="auto"/>
                <w:sz w:val="21"/>
                <w:szCs w:val="21"/>
                <w:highlight w:val="none"/>
                <w:lang w:bidi="ar"/>
              </w:rPr>
              <w:t xml:space="preserve">加盖供应商公章</w:t>
            </w:r>
            <w:r>
              <w:rPr>
                <w:rFonts w:hint="eastAsia" w:ascii="Times New Roman" w:hAnsi="Times New Roman" w:eastAsia="宋体" w:cs="宋体"/>
                <w:b/>
                <w:bCs/>
                <w:color w:val="auto"/>
                <w:sz w:val="21"/>
                <w:szCs w:val="21"/>
                <w:highlight w:val="none"/>
                <w:lang w:val="en-US" w:eastAsia="zh-CN" w:bidi="ar"/>
              </w:rPr>
              <w:t xml:space="preserve">原件扫描上传</w:t>
            </w:r>
            <w:r>
              <w:rPr>
                <w:rFonts w:hint="eastAsia" w:ascii="Times New Roman" w:hAnsi="Times New Roman" w:eastAsia="宋体" w:cs="宋体"/>
                <w:b/>
                <w:bCs/>
                <w:color w:val="auto"/>
                <w:sz w:val="21"/>
                <w:szCs w:val="21"/>
                <w:highlight w:val="none"/>
                <w:lang w:bidi="ar"/>
              </w:rPr>
              <w:t xml:space="preserve">，未提供承诺的，本项不得分。</w:t>
            </w:r>
            <w:r/>
          </w:p>
        </w:tc>
      </w:tr>
    </w:tbl>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both"/>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r/>
    </w:p>
    <w:p>
      <w:pPr>
        <w:jc w:val="center"/>
        <w:keepNext/>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t xml:space="preserve">第六章  </w:t>
      </w:r>
      <w:bookmarkEnd w:id="123"/>
      <w:r/>
      <w:bookmarkEnd w:id="124"/>
      <w:r/>
      <w:bookmarkEnd w:id="125"/>
      <w:r>
        <w:rPr>
          <w:rFonts w:hint="eastAsia" w:ascii="宋体" w:hAnsi="宋体" w:eastAsia="宋体" w:cs="宋体"/>
          <w:color w:val="auto"/>
          <w:sz w:val="44"/>
          <w:szCs w:val="44"/>
          <w:highlight w:val="none"/>
        </w:rPr>
        <w:t xml:space="preserve">竞争性磋商响应文件格式</w:t>
      </w:r>
      <w:r/>
    </w:p>
    <w:p>
      <w:pPr>
        <w:jc w:val="center"/>
        <w:rPr>
          <w:rFonts w:hint="eastAsia" w:ascii="宋体" w:hAnsi="宋体" w:eastAsia="宋体" w:cs="宋体"/>
          <w:b/>
          <w:color w:val="auto"/>
          <w:sz w:val="72"/>
          <w:szCs w:val="21"/>
          <w:highlight w:val="none"/>
        </w:rPr>
      </w:pPr>
      <w:r/>
      <w:bookmarkStart w:id="127" w:name="_Hlt26955039"/>
      <w:r/>
      <w:bookmarkEnd w:id="127"/>
      <w:r/>
      <w:bookmarkStart w:id="128" w:name="_Hlt26671244"/>
      <w:r/>
      <w:bookmarkEnd w:id="128"/>
      <w:r/>
      <w:bookmarkStart w:id="129" w:name="_Toc120614282"/>
      <w:r/>
      <w:bookmarkStart w:id="130" w:name="_Toc49090576"/>
      <w:r/>
      <w:bookmarkStart w:id="131"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（加盖CA电子公章）</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u w:val="single"/>
          <w:lang w:val="en-US" w:eastAsia="zh-CN"/>
        </w:rPr>
        <w:t xml:space="preserve">    </w:t>
      </w:r>
      <w:r>
        <w:rPr>
          <w:rFonts w:hint="eastAsia" w:ascii="宋体" w:hAnsi="宋体" w:eastAsia="宋体" w:cs="宋体"/>
          <w:b/>
          <w:color w:val="auto"/>
          <w:sz w:val="36"/>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w:t>
      </w:r>
      <w:r>
        <w:rPr>
          <w:rFonts w:hint="eastAsia" w:ascii="宋体" w:hAnsi="宋体" w:eastAsia="宋体" w:cs="宋体"/>
          <w:b/>
          <w:bCs/>
          <w:color w:val="auto"/>
          <w:sz w:val="32"/>
          <w:szCs w:val="32"/>
          <w:highlight w:val="none"/>
          <w:lang w:val="en-US" w:eastAsia="zh-CN"/>
        </w:rPr>
        <w:t xml:space="preserve">的组成</w:t>
      </w:r>
      <w:r/>
    </w:p>
    <w:p>
      <w:pPr>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一、基本目录</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磋商响应报价表（格式见附件1）</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分项报价表（格式见附件2）</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技术要求响应及偏离表（格式见附件3）</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商务要求响应及偏离表（格式见附件4）</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法人授权书（格式见附件5）</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磋商响应函（格式见附件</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主要标的信息（格式见附件</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p>
    <w:p>
      <w:pPr>
        <w:numPr>
          <w:ilvl w:val="0"/>
          <w:numId w:val="0"/>
        </w:numPr>
        <w:ind w:left="425" w:hanging="5"/>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rPr>
        <w:t xml:space="preserve">其他</w:t>
      </w:r>
      <w:r/>
    </w:p>
    <w:p>
      <w:pPr>
        <w:ind w:left="425" w:hanging="5"/>
        <w:spacing w:line="45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****（格式见附件**）</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二、资格审查内容</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rPr>
        <w:t xml:space="preserve">法人或者其他组织的营业执照等证明文件，自然人的身份证明</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bidi="ar-SA"/>
        </w:rPr>
        <w:t xml:space="preserve">2.</w:t>
      </w:r>
      <w:r>
        <w:rPr>
          <w:rFonts w:hint="eastAsia" w:ascii="宋体" w:hAnsi="宋体" w:cs="宋体"/>
          <w:color w:val="auto"/>
          <w:sz w:val="21"/>
          <w:szCs w:val="21"/>
          <w:highlight w:val="none"/>
          <w:lang w:eastAsia="zh-CN"/>
        </w:rPr>
        <w:t xml:space="preserve">2024年度或2025年度</w:t>
      </w:r>
      <w:r>
        <w:rPr>
          <w:rFonts w:hint="eastAsia" w:ascii="宋体" w:hAnsi="宋体" w:eastAsia="宋体" w:cs="宋体"/>
          <w:color w:val="auto"/>
          <w:sz w:val="21"/>
          <w:szCs w:val="21"/>
          <w:highlight w:val="none"/>
        </w:rPr>
        <w:t xml:space="preserve">的财务报告情况</w:t>
      </w:r>
      <w:r>
        <w:rPr>
          <w:rFonts w:hint="eastAsia" w:ascii="宋体" w:hAnsi="宋体" w:eastAsia="宋体" w:cs="宋体"/>
          <w:b/>
          <w:bCs/>
          <w:color w:val="auto"/>
          <w:sz w:val="21"/>
          <w:szCs w:val="21"/>
          <w:highlight w:val="none"/>
        </w:rPr>
        <w:t xml:space="preserve">（成立不满一年不需提供）</w:t>
      </w:r>
      <w:r/>
    </w:p>
    <w:p>
      <w:pPr>
        <w:numPr>
          <w:ilvl w:val="0"/>
          <w:numId w:val="0"/>
        </w:numPr>
        <w:ind w:left="840" w:hanging="425"/>
        <w:spacing w:line="360" w:lineRule="auto"/>
        <w:tabs>
          <w:tab w:val="left" w:pos="1060" w:leader="none"/>
        </w:tabs>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bidi="ar-SA"/>
        </w:rPr>
        <w:t xml:space="preserve">3.</w:t>
      </w:r>
      <w:r>
        <w:rPr>
          <w:rFonts w:hint="eastAsia" w:ascii="宋体" w:hAnsi="宋体" w:eastAsia="宋体" w:cs="宋体"/>
          <w:color w:val="auto"/>
          <w:sz w:val="21"/>
          <w:szCs w:val="21"/>
          <w:highlight w:val="none"/>
        </w:rPr>
        <w:t xml:space="preserve">依法缴纳税收和社会保障资金的相关材料（提供提交</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文件截止时间前一年内任意一个月依法缴纳税收及缴纳社会保障资金的证明材料。</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依法享受缓缴、免缴税收、社会保障资金的提供证明材料）</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rPr>
        <w:t xml:space="preserve">具备履行合同所必需的设备和专业技术能力的书面声明（格式见附件8）</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rPr>
        <w:t xml:space="preserve">参加本次政府采购活动前3年内在经营活动中没有重大违法记录的书面声明</w:t>
      </w:r>
      <w:r>
        <w:rPr>
          <w:rFonts w:hint="eastAsia" w:ascii="宋体" w:hAnsi="宋体" w:eastAsia="宋体" w:cs="宋体"/>
          <w:color w:val="auto"/>
          <w:sz w:val="21"/>
          <w:szCs w:val="21"/>
          <w:highlight w:val="none"/>
        </w:rPr>
        <w:t xml:space="preserve">（格式见附件</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供应商信用承诺函（格式见附件</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p>
    <w:p>
      <w:pPr>
        <w:numPr>
          <w:ilvl w:val="0"/>
          <w:numId w:val="0"/>
        </w:numPr>
        <w:ind w:left="840" w:hanging="425"/>
        <w:spacing w:line="360" w:lineRule="auto"/>
        <w:tabs>
          <w:tab w:val="left" w:pos="1060" w:leader="none"/>
        </w:tabs>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rPr>
        <w:t xml:space="preserve">企业报价折扣证明文件：</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中小企业声明函（格式见附件11）。如果本项目专门面向中小企业采购，则必须提供。</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监狱企业的证明文件。</w:t>
      </w:r>
      <w:r/>
    </w:p>
    <w:p>
      <w:pPr>
        <w:ind w:right="0" w:firstLine="48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8.联合体协议（格式见附件13）。如果本项目接受联合体</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是联合体的，则必须提供。</w:t>
      </w:r>
      <w:r/>
    </w:p>
    <w:p>
      <w:pPr>
        <w:ind w:left="0" w:right="0" w:firstLine="480"/>
        <w:jc w:val="both"/>
        <w:spacing w:before="0" w:after="0"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9.特定资格要求的证明文件。如果本项目对</w:t>
      </w: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做出特定资格要求的，则必须提供。</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在“信用中国”网站（www.creditchina.gov.cn）、“中国政府采购网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文件中无需提供证明材料）</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三、符合性审查内容</w:t>
      </w:r>
      <w:r/>
    </w:p>
    <w:p>
      <w:pPr>
        <w:ind w:firstLine="42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必须对</w:t>
      </w:r>
      <w:r>
        <w:rPr>
          <w:rFonts w:hint="eastAsia" w:ascii="宋体" w:hAnsi="宋体" w:cs="宋体"/>
          <w:color w:val="auto"/>
          <w:sz w:val="21"/>
          <w:szCs w:val="21"/>
          <w:highlight w:val="none"/>
          <w:lang w:val="en-US" w:eastAsia="zh-CN"/>
        </w:rPr>
        <w:t xml:space="preserve">项目需</w:t>
      </w:r>
      <w:r>
        <w:rPr>
          <w:rFonts w:hint="eastAsia" w:ascii="宋体" w:hAnsi="宋体" w:eastAsia="宋体" w:cs="宋体"/>
          <w:color w:val="auto"/>
          <w:sz w:val="21"/>
          <w:szCs w:val="21"/>
          <w:highlight w:val="none"/>
        </w:rPr>
        <w:t xml:space="preserve">求中加斜体下划线的实质性要求逐条做出响应，并按照</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文件要求提供证明材料，否则做无效</w:t>
      </w:r>
      <w:r>
        <w:rPr>
          <w:rFonts w:hint="eastAsia" w:ascii="宋体" w:hAnsi="宋体" w:cs="宋体"/>
          <w:color w:val="auto"/>
          <w:sz w:val="21"/>
          <w:szCs w:val="21"/>
          <w:highlight w:val="none"/>
          <w:lang w:eastAsia="zh-CN"/>
        </w:rPr>
        <w:t xml:space="preserve">投标（响应）</w:t>
      </w:r>
      <w:r>
        <w:rPr>
          <w:rFonts w:hint="eastAsia" w:ascii="宋体" w:hAnsi="宋体" w:eastAsia="宋体" w:cs="宋体"/>
          <w:color w:val="auto"/>
          <w:sz w:val="21"/>
          <w:szCs w:val="21"/>
          <w:highlight w:val="none"/>
        </w:rPr>
        <w:t xml:space="preserve">处理。（格式见附件14）</w:t>
      </w:r>
      <w:r/>
    </w:p>
    <w:p>
      <w:pPr>
        <w:spacing w:line="40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四、价格扣除证明文件</w:t>
      </w:r>
      <w:r/>
    </w:p>
    <w:p>
      <w:pPr>
        <w:ind w:firstLine="48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1.中小企业声明函（格式见附件11）</w:t>
      </w:r>
      <w:r/>
    </w:p>
    <w:p>
      <w:pPr>
        <w:ind w:firstLine="480"/>
        <w:spacing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2.残疾人福利性单位声明函（格式见附件12）</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headerReference w:type="default" r:id="rId12"/>
          <w:footerReference w:type="first" r:id="rId20"/>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附件1 </w:t>
      </w:r>
      <w:r/>
    </w:p>
    <w:p>
      <w:pPr>
        <w:jc w:val="center"/>
        <w:spacing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磋商响应报价表</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0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6"/>
      </w:tblGrid>
      <w:tr>
        <w:trPr>
          <w:cantSplit/>
          <w:jc w:val="center"/>
          <w:trHeight w:val="782"/>
        </w:trPr>
        <w:tc>
          <w:tcPr>
            <w:tcW w:w="792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磋商响应报价表</w:t>
            </w:r>
            <w:r/>
          </w:p>
        </w:tc>
      </w:tr>
      <w:tr>
        <w:trPr>
          <w:cantSplit/>
          <w:jc w:val="center"/>
          <w:trHeight w:val="1054"/>
        </w:trPr>
        <w:tc>
          <w:tcPr>
            <w:tcW w:w="7926" w:type="dxa"/>
            <w:vAlign w:val="center"/>
            <w:textDirection w:val="lrTb"/>
            <w:noWrap w:val="false"/>
          </w:tcPr>
          <w:p>
            <w:pPr>
              <w:pStyle w:val="1247"/>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（人民币：元）</w:t>
            </w:r>
            <w:r/>
          </w:p>
          <w:p>
            <w:pPr>
              <w:pStyle w:val="1247"/>
              <w:ind w:firstLine="480"/>
              <w:spacing w:before="0" w:after="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（人民币：元）</w:t>
            </w:r>
            <w:r/>
          </w:p>
        </w:tc>
      </w:tr>
    </w:tbl>
    <w:p>
      <w:pPr>
        <w:pStyle w:val="1248"/>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48"/>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附件2</w:t>
      </w:r>
      <w:r/>
    </w:p>
    <w:p>
      <w:pPr>
        <w:jc w:val="cente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lang w:eastAsia="zh-CN"/>
        </w:rPr>
        <w:t xml:space="preserve">投标（响应）</w:t>
      </w:r>
      <w:r>
        <w:rPr>
          <w:rFonts w:hint="eastAsia" w:ascii="宋体" w:hAnsi="宋体" w:eastAsia="宋体" w:cs="宋体"/>
          <w:b/>
          <w:color w:val="auto"/>
          <w:sz w:val="24"/>
          <w:highlight w:val="none"/>
        </w:rPr>
        <w:t xml:space="preserve">分项报价表</w:t>
      </w:r>
      <w:r/>
    </w:p>
    <w:p>
      <w:pPr>
        <w:ind w:firstLine="422"/>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供应商全称（</w:t>
      </w:r>
      <w:r>
        <w:rPr>
          <w:rFonts w:hint="eastAsia" w:ascii="宋体" w:hAnsi="宋体" w:cs="宋体"/>
          <w:color w:val="auto"/>
          <w:sz w:val="24"/>
          <w:szCs w:val="24"/>
          <w:highlight w:val="none"/>
          <w:lang w:eastAsia="zh-CN"/>
        </w:rPr>
        <w:t xml:space="preserve">加盖CA电子签章</w:t>
      </w:r>
      <w:r>
        <w:rPr>
          <w:rFonts w:hint="eastAsia" w:ascii="宋体" w:hAnsi="宋体" w:cs="宋体"/>
          <w:color w:val="auto"/>
          <w:sz w:val="24"/>
          <w:szCs w:val="24"/>
          <w:highlight w:val="none"/>
        </w:rPr>
        <w:t xml:space="preserve">）：</w:t>
      </w:r>
      <w:r/>
    </w:p>
    <w:p>
      <w:pP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spacing w:line="400" w:lineRule="exact"/>
        <w:rPr>
          <w:rFonts w:hint="eastAsia" w:ascii="宋体" w:hAnsi="宋体" w:cs="宋体"/>
          <w:b/>
          <w:color w:val="auto"/>
          <w:sz w:val="24"/>
          <w:highlight w:val="none"/>
        </w:rPr>
      </w:pPr>
      <w:r>
        <w:rPr>
          <w:rFonts w:hint="eastAsia" w:ascii="宋体" w:hAnsi="宋体" w:cs="宋体"/>
          <w:color w:val="auto"/>
          <w:sz w:val="24"/>
          <w:szCs w:val="24"/>
          <w:highlight w:val="none"/>
        </w:rPr>
        <w:t xml:space="preserve">项目编号：                                   </w:t>
      </w:r>
      <w:r/>
    </w:p>
    <w:p>
      <w:pPr>
        <w:jc w:val="center"/>
        <w:spacing w:line="360" w:lineRule="auto"/>
        <w:rPr>
          <w:rFonts w:hint="eastAsia" w:ascii="宋体" w:hAnsi="宋体" w:cs="宋体"/>
          <w:b/>
          <w:bCs/>
          <w:color w:val="auto"/>
          <w:sz w:val="32"/>
          <w:szCs w:val="32"/>
          <w:highlight w:val="none"/>
        </w:rPr>
        <w:pBdr>
          <w:top w:val="none" w:color="auto" w:sz="0" w:space="0"/>
          <w:left w:val="none" w:color="auto" w:sz="0" w:space="0"/>
          <w:bottom w:val="none" w:color="auto" w:sz="0" w:space="0"/>
          <w:right w:val="none" w:color="auto" w:sz="0" w:space="0"/>
        </w:pBdr>
      </w:pPr>
      <w:r>
        <w:rPr>
          <w:rFonts w:hint="eastAsia" w:ascii="宋体" w:hAnsi="宋体" w:cs="宋体"/>
          <w:b/>
          <w:bCs/>
          <w:color w:val="auto"/>
          <w:sz w:val="32"/>
          <w:szCs w:val="32"/>
          <w:highlight w:val="none"/>
        </w:rPr>
        <w:t xml:space="preserve">响应分项报价表</w:t>
      </w:r>
      <w:r/>
    </w:p>
    <w:p>
      <w:pPr>
        <w:ind w:firstLine="422"/>
        <w:spacing w:line="360" w:lineRule="auto"/>
        <w:rPr>
          <w:rFonts w:ascii="宋体" w:hAnsi="宋体"/>
          <w:color w:val="auto"/>
          <w:szCs w:val="21"/>
          <w:highlight w:val="none"/>
        </w:rPr>
      </w:pPr>
      <w:r>
        <w:rPr>
          <w:rFonts w:hint="eastAsia" w:ascii="宋体" w:hAnsi="宋体"/>
          <w:b/>
          <w:bCs/>
          <w:color w:val="auto"/>
          <w:szCs w:val="21"/>
          <w:highlight w:val="none"/>
        </w:rPr>
        <w:t xml:space="preserve">1、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color w:val="auto"/>
          <w:szCs w:val="21"/>
          <w:highlight w:val="none"/>
        </w:rPr>
        <w:t xml:space="preserve">                </w:t>
      </w:r>
      <w:r/>
    </w:p>
    <w:p>
      <w:pPr>
        <w:ind w:firstLine="422"/>
        <w:jc w:val="left"/>
        <w:spacing w:line="360" w:lineRule="auto"/>
        <w:rPr>
          <w:rFonts w:hint="eastAsia" w:ascii="Times New Roman" w:hAnsi="Times New Roman" w:eastAsia="宋体"/>
          <w:b/>
          <w:bCs/>
          <w:color w:val="auto"/>
          <w:szCs w:val="21"/>
          <w:highlight w:val="none"/>
        </w:rPr>
      </w:pPr>
      <w:r>
        <w:rPr>
          <w:rFonts w:hint="eastAsia" w:ascii="宋体" w:hAnsi="宋体" w:cs="宋体"/>
          <w:b/>
          <w:bCs/>
          <w:color w:val="auto"/>
          <w:szCs w:val="21"/>
          <w:highlight w:val="none"/>
        </w:rPr>
        <w:t xml:space="preserve">2、特别说明：</w:t>
      </w:r>
      <w:r>
        <w:rPr>
          <w:rFonts w:hint="eastAsia" w:ascii="Times New Roman" w:hAnsi="Times New Roman" w:eastAsia="宋体" w:cs="Times New Roman"/>
          <w:b/>
          <w:bCs/>
          <w:i w:val="0"/>
          <w:iCs w:val="0"/>
          <w:color w:val="auto"/>
          <w:szCs w:val="21"/>
          <w:highlight w:val="none"/>
          <w:u w:val="none"/>
        </w:rPr>
        <w:t xml:space="preserve">本工程供应商需提供</w:t>
      </w:r>
      <w:r>
        <w:rPr>
          <w:rFonts w:hint="eastAsia" w:ascii="Times New Roman" w:hAnsi="Times New Roman" w:eastAsia="宋体" w:cs="Times New Roman"/>
          <w:b/>
          <w:bCs/>
          <w:i w:val="0"/>
          <w:iCs w:val="0"/>
          <w:color w:val="auto"/>
          <w:szCs w:val="21"/>
          <w:highlight w:val="none"/>
          <w:u w:val="none"/>
          <w:lang w:eastAsia="zh-CN"/>
        </w:rPr>
        <w:t xml:space="preserve">jsbgtb</w:t>
      </w:r>
      <w:r>
        <w:rPr>
          <w:rFonts w:hint="eastAsia" w:ascii="Times New Roman" w:hAnsi="Times New Roman" w:eastAsia="宋体" w:cs="Times New Roman"/>
          <w:b/>
          <w:bCs/>
          <w:i w:val="0"/>
          <w:iCs w:val="0"/>
          <w:color w:val="auto"/>
          <w:szCs w:val="21"/>
          <w:highlight w:val="none"/>
          <w:u w:val="none"/>
        </w:rPr>
        <w:t xml:space="preserve">格式的响应报价电子文件拷贝在U盘中，供清标时使用。供应商应在</w:t>
      </w:r>
      <w:r>
        <w:rPr>
          <w:rFonts w:hint="eastAsia" w:ascii="Times New Roman" w:hAnsi="Times New Roman" w:eastAsia="宋体" w:cs="Times New Roman"/>
          <w:b/>
          <w:bCs/>
          <w:i w:val="0"/>
          <w:iCs w:val="0"/>
          <w:color w:val="auto"/>
          <w:szCs w:val="21"/>
          <w:highlight w:val="none"/>
          <w:u w:val="none"/>
          <w:lang w:val="en-US" w:eastAsia="zh-CN"/>
        </w:rPr>
        <w:t xml:space="preserve">投标</w:t>
      </w:r>
      <w:r>
        <w:rPr>
          <w:rFonts w:hint="eastAsia" w:ascii="Times New Roman" w:hAnsi="Times New Roman" w:eastAsia="宋体" w:cs="Times New Roman"/>
          <w:b/>
          <w:bCs/>
          <w:i w:val="0"/>
          <w:iCs w:val="0"/>
          <w:color w:val="auto"/>
          <w:szCs w:val="21"/>
          <w:highlight w:val="none"/>
          <w:u w:val="none"/>
        </w:rPr>
        <w:t xml:space="preserve">响应截止时间前，</w:t>
      </w:r>
      <w:r>
        <w:rPr>
          <w:rFonts w:hint="eastAsia" w:ascii="Times New Roman" w:hAnsi="Times New Roman" w:eastAsia="宋体" w:cs="Times New Roman"/>
          <w:b/>
          <w:bCs/>
          <w:i w:val="0"/>
          <w:iCs w:val="0"/>
          <w:color w:val="auto"/>
          <w:szCs w:val="21"/>
          <w:highlight w:val="none"/>
          <w:u w:val="none"/>
          <w:lang w:val="en-US" w:eastAsia="zh-CN"/>
        </w:rPr>
        <w:t xml:space="preserve">将</w:t>
      </w:r>
      <w:r>
        <w:rPr>
          <w:rFonts w:hint="eastAsia" w:ascii="Times New Roman" w:hAnsi="Times New Roman" w:eastAsia="宋体" w:cs="Times New Roman"/>
          <w:b/>
          <w:bCs/>
          <w:i w:val="0"/>
          <w:iCs w:val="0"/>
          <w:color w:val="auto"/>
          <w:szCs w:val="21"/>
          <w:highlight w:val="none"/>
          <w:u w:val="none"/>
        </w:rPr>
        <w:t xml:space="preserve">U盘密封</w:t>
      </w:r>
      <w:r>
        <w:rPr>
          <w:rFonts w:hint="eastAsia" w:ascii="Times New Roman" w:hAnsi="Times New Roman" w:eastAsia="宋体" w:cs="Times New Roman"/>
          <w:b/>
          <w:bCs/>
          <w:i w:val="0"/>
          <w:iCs w:val="0"/>
          <w:color w:val="auto"/>
          <w:szCs w:val="21"/>
          <w:highlight w:val="none"/>
          <w:u w:val="none"/>
          <w:lang w:val="en-US" w:eastAsia="zh-CN"/>
        </w:rPr>
        <w:t xml:space="preserve">在信封内并</w:t>
      </w:r>
      <w:r>
        <w:rPr>
          <w:rFonts w:hint="eastAsia" w:ascii="Times New Roman" w:hAnsi="Times New Roman" w:eastAsia="宋体" w:cs="Times New Roman"/>
          <w:b/>
          <w:bCs/>
          <w:i w:val="0"/>
          <w:iCs w:val="0"/>
          <w:color w:val="auto"/>
          <w:szCs w:val="21"/>
          <w:highlight w:val="none"/>
          <w:u w:val="none"/>
        </w:rPr>
        <w:t xml:space="preserve">送达到指定地点</w:t>
      </w:r>
      <w:r>
        <w:rPr>
          <w:rFonts w:hint="eastAsia" w:ascii="Times New Roman" w:hAnsi="Times New Roman" w:eastAsia="宋体" w:cs="Times New Roman"/>
          <w:b/>
          <w:bCs/>
          <w:i w:val="0"/>
          <w:iCs w:val="0"/>
          <w:color w:val="auto"/>
          <w:szCs w:val="21"/>
          <w:highlight w:val="none"/>
          <w:u w:val="none"/>
          <w:lang w:eastAsia="zh-CN"/>
        </w:rPr>
        <w:t xml:space="preserve">，</w:t>
      </w:r>
      <w:r>
        <w:rPr>
          <w:rFonts w:hint="eastAsia" w:ascii="Times New Roman" w:hAnsi="Times New Roman" w:eastAsia="宋体" w:cs="Times New Roman"/>
          <w:b/>
          <w:bCs/>
          <w:i w:val="0"/>
          <w:iCs w:val="0"/>
          <w:color w:val="auto"/>
          <w:szCs w:val="21"/>
          <w:highlight w:val="none"/>
          <w:u w:val="none"/>
          <w:lang w:val="en-US" w:eastAsia="zh-CN"/>
        </w:rPr>
        <w:t xml:space="preserve">密封</w:t>
      </w:r>
      <w:r>
        <w:rPr>
          <w:rFonts w:hint="eastAsia" w:ascii="Times New Roman" w:hAnsi="Times New Roman" w:eastAsia="宋体" w:cs="Times New Roman"/>
          <w:b/>
          <w:bCs/>
          <w:i w:val="0"/>
          <w:iCs w:val="0"/>
          <w:color w:val="auto"/>
          <w:szCs w:val="21"/>
          <w:highlight w:val="none"/>
          <w:u w:val="none"/>
        </w:rPr>
        <w:t xml:space="preserve">包装上应写明</w:t>
      </w:r>
      <w:r>
        <w:rPr>
          <w:rFonts w:hint="eastAsia" w:ascii="Times New Roman" w:hAnsi="Times New Roman" w:eastAsia="宋体" w:cs="Times New Roman"/>
          <w:b/>
          <w:bCs/>
          <w:i w:val="0"/>
          <w:iCs w:val="0"/>
          <w:color w:val="auto"/>
          <w:szCs w:val="21"/>
          <w:highlight w:val="none"/>
          <w:u w:val="none"/>
          <w:lang w:val="en-US" w:eastAsia="zh-CN"/>
        </w:rPr>
        <w:t xml:space="preserve">项目名称、</w:t>
      </w:r>
      <w:r>
        <w:rPr>
          <w:rFonts w:hint="eastAsia" w:cs="Times New Roman"/>
          <w:b/>
          <w:bCs/>
          <w:i w:val="0"/>
          <w:iCs w:val="0"/>
          <w:color w:val="auto"/>
          <w:szCs w:val="21"/>
          <w:highlight w:val="none"/>
          <w:u w:val="none"/>
          <w:lang w:val="en-US" w:eastAsia="zh-CN"/>
        </w:rPr>
        <w:t xml:space="preserve">投标（响应）</w:t>
      </w:r>
      <w:r>
        <w:rPr>
          <w:rFonts w:hint="eastAsia" w:ascii="Times New Roman" w:hAnsi="Times New Roman" w:eastAsia="宋体" w:cs="Times New Roman"/>
          <w:b/>
          <w:bCs/>
          <w:i w:val="0"/>
          <w:iCs w:val="0"/>
          <w:color w:val="auto"/>
          <w:szCs w:val="21"/>
          <w:highlight w:val="none"/>
          <w:u w:val="none"/>
        </w:rPr>
        <w:t xml:space="preserve">供应商名称</w:t>
      </w:r>
      <w:r>
        <w:rPr>
          <w:rFonts w:hint="eastAsia" w:ascii="Times New Roman" w:hAnsi="Times New Roman" w:eastAsia="宋体" w:cs="Times New Roman"/>
          <w:b/>
          <w:bCs/>
          <w:i w:val="0"/>
          <w:iCs w:val="0"/>
          <w:color w:val="auto"/>
          <w:szCs w:val="21"/>
          <w:highlight w:val="none"/>
          <w:u w:val="none"/>
          <w:lang w:eastAsia="zh-CN"/>
        </w:rPr>
        <w:t xml:space="preserve">、</w:t>
      </w:r>
      <w:r>
        <w:rPr>
          <w:rFonts w:hint="eastAsia" w:ascii="Times New Roman" w:hAnsi="Times New Roman" w:eastAsia="宋体" w:cs="Times New Roman"/>
          <w:b/>
          <w:bCs/>
          <w:i w:val="0"/>
          <w:iCs w:val="0"/>
          <w:color w:val="auto"/>
          <w:szCs w:val="21"/>
          <w:highlight w:val="none"/>
          <w:u w:val="none"/>
          <w:lang w:val="en-US" w:eastAsia="zh-CN"/>
        </w:rPr>
        <w:t xml:space="preserve">联系人及电话并加盖公章</w:t>
      </w:r>
      <w:r>
        <w:rPr>
          <w:rFonts w:hint="eastAsia" w:ascii="Times New Roman" w:hAnsi="Times New Roman" w:eastAsia="宋体" w:cs="Times New Roman"/>
          <w:b/>
          <w:bCs/>
          <w:i w:val="0"/>
          <w:iCs w:val="0"/>
          <w:color w:val="auto"/>
          <w:szCs w:val="21"/>
          <w:highlight w:val="none"/>
          <w:u w:val="none"/>
        </w:rPr>
        <w:t xml:space="preserve">。如果密封包装未按要求密封和加写标记，代理机构对误投或过早启封概不负责。未在规定时间内送达的，视为逾期提交，不予接受。供应商所提供的U盘须确保可正常读取、打开、无加密、无病毒，因U盘无法读取、打不开、损坏等原因导致无法进行清标工作的，视为无效响应。清标软件中的价格信息，必须与苏采云平台上传的响应文件内容完全一致，若存在不一致、漏项、错项或弄虚作假情形的，视为无效响应。</w:t>
      </w:r>
      <w:r/>
    </w:p>
    <w:p>
      <w:pPr>
        <w:contextualSpacing/>
        <w:ind w:firstLine="422"/>
        <w:spacing w:line="360" w:lineRule="auto"/>
        <w:tabs>
          <w:tab w:val="left" w:pos="-993" w:leader="none"/>
          <w:tab w:val="left" w:pos="-851" w:leader="none"/>
          <w:tab w:val="left" w:pos="0" w:leader="none"/>
        </w:tabs>
        <w:rPr>
          <w:rFonts w:ascii="宋体" w:hAnsi="宋体"/>
          <w:color w:val="auto"/>
          <w:szCs w:val="21"/>
          <w:highlight w:val="none"/>
        </w:rPr>
      </w:pPr>
      <w:r>
        <w:rPr>
          <w:rFonts w:hint="eastAsia" w:ascii="宋体" w:hAnsi="宋体" w:cs="宋体"/>
          <w:b/>
          <w:bCs/>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484505</wp:posOffset>
                </wp:positionH>
                <wp:positionV relativeFrom="paragraph">
                  <wp:posOffset>840740</wp:posOffset>
                </wp:positionV>
                <wp:extent cx="5211445" cy="2284730"/>
                <wp:effectExtent l="0" t="0" r="8255" b="1270"/>
                <wp:wrapTopAndBottom/>
                <wp:docPr id="9" name="图片 2" descr="fd473355216468bb0cf77a2bfcc5b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fd473355216468bb0cf77a2bfcc5bd3"/>
                        <pic:cNvPicPr>
                          <a:picLocks noChangeAspect="1"/>
                        </pic:cNvPicPr>
                        <pic:nvPr/>
                      </pic:nvPicPr>
                      <pic:blipFill>
                        <a:blip r:embed="rId23"/>
                        <a:stretch/>
                      </pic:blipFill>
                      <pic:spPr bwMode="auto">
                        <a:xfrm>
                          <a:off x="0" y="0"/>
                          <a:ext cx="5211445" cy="2284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38.1pt;mso-position-horizontal:absolute;mso-position-vertical-relative:text;margin-top:66.2pt;mso-position-vertical:absolute;width:410.3pt;height:179.9pt;mso-wrap-distance-left:9.0pt;mso-wrap-distance-top:0.0pt;mso-wrap-distance-right:9.0pt;mso-wrap-distance-bottom:0.0pt;" stroked="f">
                <v:path textboxrect="0,0,0,0"/>
                <w10:wrap type="topAndBottom"/>
                <v:imagedata r:id="rId23" o:title=""/>
              </v:shape>
            </w:pict>
          </mc:Fallback>
        </mc:AlternateContent>
      </w:r>
      <w:r>
        <w:rPr>
          <w:rFonts w:hint="eastAsia" w:ascii="宋体" w:hAnsi="宋体" w:cs="宋体"/>
          <w:b/>
          <w:bCs/>
          <w:color w:val="auto"/>
          <w:szCs w:val="21"/>
          <w:highlight w:val="none"/>
        </w:rPr>
        <w:t xml:space="preserve">注：本次</w:t>
      </w:r>
      <w:r>
        <w:rPr>
          <w:rFonts w:hint="eastAsia" w:ascii="宋体" w:hAnsi="宋体" w:cs="宋体"/>
          <w:b/>
          <w:bCs/>
          <w:color w:val="auto"/>
          <w:szCs w:val="21"/>
          <w:highlight w:val="none"/>
          <w:lang w:eastAsia="zh-CN"/>
        </w:rPr>
        <w:t xml:space="preserve">投标（响应）</w:t>
      </w:r>
      <w:r>
        <w:rPr>
          <w:rFonts w:hint="eastAsia" w:ascii="宋体" w:hAnsi="宋体" w:cs="宋体"/>
          <w:b/>
          <w:bCs/>
          <w:color w:val="auto"/>
          <w:szCs w:val="21"/>
          <w:highlight w:val="none"/>
        </w:rPr>
        <w:t xml:space="preserve">要使用新点2013清单造价江苏版软件生成投标文件，并且生成投标文件时要选择标管接口而非常用的省接口。</w:t>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r>
      <w:r/>
    </w:p>
    <w:p>
      <w:pPr>
        <w:ind w:firstLine="422"/>
        <w:spacing w:line="480" w:lineRule="auto"/>
        <w:rPr>
          <w:rFonts w:hint="eastAsia" w:ascii="宋体" w:hAnsi="宋体" w:eastAsia="宋体" w:cs="宋体"/>
          <w:b/>
          <w:bCs/>
          <w:color w:val="auto"/>
          <w:sz w:val="22"/>
          <w:szCs w:val="24"/>
          <w:highlight w:val="none"/>
        </w:rPr>
      </w:pPr>
      <w:r>
        <w:rPr>
          <w:rFonts w:hint="eastAsia" w:ascii="宋体" w:hAnsi="宋体" w:eastAsia="宋体" w:cs="宋体"/>
          <w:b/>
          <w:bCs/>
          <w:color w:val="auto"/>
          <w:sz w:val="22"/>
          <w:szCs w:val="24"/>
          <w:highlight w:val="none"/>
        </w:rPr>
        <w:t xml:space="preserve">4、供应商成交后根据本单位的最终总报价和首轮明细报价，自行调整各明细单价（原则上除不可竞争费外，其他各分项报价同比例下浮）直至</w:t>
      </w:r>
      <w:r>
        <w:rPr>
          <w:rFonts w:hint="eastAsia" w:ascii="宋体" w:hAnsi="宋体" w:eastAsia="宋体" w:cs="宋体"/>
          <w:b/>
          <w:bCs/>
          <w:color w:val="auto"/>
          <w:sz w:val="22"/>
          <w:szCs w:val="24"/>
          <w:highlight w:val="none"/>
          <w:lang w:eastAsia="zh-CN"/>
        </w:rPr>
        <w:t xml:space="preserve">合计</w:t>
      </w:r>
      <w:r>
        <w:rPr>
          <w:rFonts w:hint="eastAsia" w:ascii="宋体" w:hAnsi="宋体" w:eastAsia="宋体" w:cs="宋体"/>
          <w:b/>
          <w:bCs/>
          <w:color w:val="auto"/>
          <w:sz w:val="22"/>
          <w:szCs w:val="24"/>
          <w:highlight w:val="none"/>
        </w:rPr>
        <w:t xml:space="preserve">价和最终总报价相符，报采购人和预算编制单位审核，审核通过后，后期根据审核后的明细报价，按实结算。</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附件3 </w:t>
      </w:r>
      <w:r/>
    </w:p>
    <w:p>
      <w:pPr>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技术要求响应及偏离表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5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附件3-1  证明材料1，证明材料2，……</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需对技术要求（未加斜体下划线的非实质性要求）逐条做出明确响应。</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附件4</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商务要求响应及偏离表</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1051"/>
        <w:tblW w:w="0" w:type="auto"/>
        <w:jc w:val="center"/>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jc w:val="cente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jc w:val="center"/>
          <w:trHeight w:val="640"/>
        </w:trPr>
        <w:tc>
          <w:tcPr>
            <w:tcBorders>
              <w:top w:val="none" w:color="000000" w:sz="4" w:space="0"/>
              <w:left w:val="single" w:color="000000" w:sz="8" w:space="0"/>
              <w:bottom w:val="single" w:color="auto" w:sz="4" w:space="0"/>
              <w:right w:val="single" w:color="000000" w:sz="8"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000000" w:sz="8"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none" w:color="000000" w:sz="4" w:space="0"/>
              <w:left w:val="none" w:color="000000" w:sz="4" w:space="0"/>
              <w:bottom w:val="single" w:color="auto" w:sz="4" w:space="0"/>
              <w:right w:val="single" w:color="000000" w:sz="8"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000000" w:sz="8"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0"/>
        </w:trPr>
        <w:tc>
          <w:tcPr>
            <w:tcBorders>
              <w:top w:val="single" w:color="auto" w:sz="4" w:space="0"/>
              <w:left w:val="single" w:color="auto" w:sz="4" w:space="0"/>
              <w:bottom w:val="single" w:color="auto" w:sz="4" w:space="0"/>
              <w:right w:val="single" w:color="auto" w:sz="4" w:space="0"/>
            </w:tcBorders>
            <w:tcW w:w="456"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top"/>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1343"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995" w:type="dxa"/>
            <w:vAlign w:val="top"/>
            <w:textDirection w:val="lrTb"/>
            <w:noWrap w:val="false"/>
          </w:tcPr>
          <w:p>
            <w:pPr>
              <w:jc w:val="cente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附件4-1  证明材料1，证明材料2，……</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需对商务要求（未加斜体下划线的非实质性要求）逐条做出明确响应。</w:t>
      </w:r>
      <w:r/>
    </w:p>
    <w:p>
      <w:pPr>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需将证明材料列于该表之下。</w:t>
      </w:r>
      <w:r/>
    </w:p>
    <w:p>
      <w:pPr>
        <w:jc w:val="center"/>
        <w:spacing w:line="360" w:lineRule="auto"/>
        <w:rPr>
          <w:rFonts w:hint="eastAsia" w:ascii="宋体" w:hAnsi="宋体" w:eastAsia="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spacing w:line="460"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5</w:t>
      </w:r>
      <w:r/>
    </w:p>
    <w:p>
      <w:pPr>
        <w:jc w:val="center"/>
        <w:spacing w:line="46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法人授权书</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本授权书声明：___________（</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名称）授权______（被授权人的姓名）为我方就</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left="0" w:right="0" w:firstLine="48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本授权书于______年____月____日起生效，特此声明。</w:t>
      </w:r>
      <w:r/>
    </w:p>
    <w:p>
      <w:pPr>
        <w:pStyle w:val="125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被授权人身份证号码：           </w:t>
      </w:r>
      <w:r/>
    </w:p>
    <w:p>
      <w:pPr>
        <w:ind w:left="0"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被授权人联系电话：（手机）           </w:t>
      </w:r>
      <w:r/>
    </w:p>
    <w:p>
      <w:pPr>
        <w:ind w:left="0" w:right="0" w:firstLine="120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被授权人电子邮箱：</w:t>
      </w:r>
      <w:r>
        <w:rPr>
          <w:rFonts w:hint="eastAsia" w:ascii="宋体" w:hAnsi="宋体" w:eastAsia="宋体" w:cs="宋体"/>
          <w:color w:val="auto"/>
          <w:sz w:val="24"/>
          <w:szCs w:val="24"/>
          <w:highlight w:val="none"/>
          <w:u w:val="single"/>
        </w:rPr>
        <w:t xml:space="preserve">           </w:t>
      </w:r>
      <w:r/>
    </w:p>
    <w:p>
      <w:pPr>
        <w:ind w:left="0" w:right="0" w:firstLine="120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left="0" w:right="0" w:firstLine="1200"/>
        <w:jc w:val="both"/>
        <w:spacing w:before="0" w:after="0" w:line="400" w:lineRule="atLeast"/>
        <w:rPr>
          <w:rFonts w:hint="eastAsia" w:ascii="宋体" w:hAnsi="宋体" w:eastAsia="宋体" w:cs="宋体"/>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           </w:t>
      </w:r>
      <w:r/>
    </w:p>
    <w:p>
      <w:pPr>
        <w:ind w:firstLine="1200"/>
        <w:spacing w:line="46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附件6 </w:t>
      </w:r>
      <w:r/>
    </w:p>
    <w:p>
      <w:pPr>
        <w:jc w:val="center"/>
        <w:spacing w:line="45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磋商响应函</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江苏万达工程造价事务所有限公司</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shd w:val="clear" w:color="auto" w:fill="auto"/>
        </w:rPr>
        <w:t xml:space="preserve">贵方的</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号磋</w:t>
      </w:r>
      <w:r>
        <w:rPr>
          <w:rFonts w:hint="eastAsia" w:ascii="宋体" w:hAnsi="宋体" w:eastAsia="宋体" w:cs="宋体"/>
          <w:color w:val="auto"/>
          <w:sz w:val="24"/>
          <w:szCs w:val="24"/>
          <w:highlight w:val="none"/>
        </w:rPr>
        <w:t xml:space="preserve">商文件，正式授权下述签字人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（供应商的名称），全权处理本次项目磋商的有关事宜。</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签字人兹宣布同意如下：</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1.按磋商文件规定的各项要求，向买方提供所需服务。</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2.我们已详细审核全部磋商文件及其有效补充文件，我们知道必须放弃提出含糊不清或误解问题的权利。</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3.我们同意从规定的响应文件接收截止时间起遵循本响应文件，并在规定的磋商有效期期满之前均具有约束力。</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4.同意向贵方提供贵方可能另外要求的与磋商采购有关的任何证据或资料，并保证我方已提供和将要提供的文件是真实的、准确的。</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5.一旦我方成交，我方将根据磋商文件的规定，严格履行合同的责任和义务，并保证在磋商文件规定的时间完成项目，交付买方验收、使用。</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6.遵守磋商文件中要求的收费项目和标准。</w:t>
      </w:r>
      <w:r/>
    </w:p>
    <w:p>
      <w:pPr>
        <w:pStyle w:val="125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7.与本磋商采购有关的正式通讯地址为：</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firstLine="42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日          期：</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45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 </w:t>
      </w:r>
      <w:r/>
    </w:p>
    <w:p>
      <w:pPr>
        <w:jc w:val="center"/>
        <w:spacing w:line="45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主要标的信息（</w:t>
      </w:r>
      <w:r>
        <w:rPr>
          <w:rFonts w:hint="eastAsia" w:ascii="宋体" w:hAnsi="宋体" w:cs="宋体"/>
          <w:b/>
          <w:color w:val="auto"/>
          <w:sz w:val="24"/>
          <w:szCs w:val="24"/>
          <w:highlight w:val="none"/>
          <w:lang w:eastAsia="zh-CN"/>
        </w:rPr>
        <w:t xml:space="preserve">成交</w:t>
      </w:r>
      <w:r>
        <w:rPr>
          <w:rFonts w:hint="eastAsia" w:ascii="宋体" w:hAnsi="宋体" w:eastAsia="宋体" w:cs="宋体"/>
          <w:b/>
          <w:color w:val="auto"/>
          <w:sz w:val="24"/>
          <w:szCs w:val="24"/>
          <w:highlight w:val="none"/>
        </w:rPr>
        <w:t xml:space="preserve">后将公示）</w:t>
      </w:r>
      <w:r/>
    </w:p>
    <w:p>
      <w:pPr>
        <w:spacing w:after="31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10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7"/>
      </w:tblGrid>
      <w:tr>
        <w:trPr>
          <w:trHeight w:val="589"/>
        </w:trPr>
        <w:tc>
          <w:tcPr>
            <w:tcW w:w="82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工程类</w:t>
            </w:r>
            <w:r/>
          </w:p>
        </w:tc>
      </w:tr>
      <w:tr>
        <w:trPr>
          <w:trHeight w:val="589"/>
        </w:trPr>
        <w:tc>
          <w:tcPr>
            <w:tcW w:w="8217" w:type="dxa"/>
            <w:vAlign w:val="center"/>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施工范围：</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施工工期：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执业证书信息：</w:t>
            </w:r>
            <w:r/>
          </w:p>
        </w:tc>
      </w:tr>
    </w:tbl>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ind w:left="0" w:right="0" w:firstLine="0"/>
        <w:jc w:val="both"/>
        <w:spacing w:before="0" w:after="0" w:line="45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附件8</w:t>
      </w:r>
      <w:r/>
    </w:p>
    <w:p>
      <w:pPr>
        <w:ind w:left="0" w:right="0" w:firstLine="1205"/>
        <w:jc w:val="both"/>
        <w:spacing w:before="0" w:after="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具备履行合同所必需的设备和专业技术能力的书面声明</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492"/>
        <w:jc w:val="both"/>
        <w:spacing w:before="0" w:after="0" w:line="4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rPr>
        <w:b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附件9</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声  明</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供应商名称（</w:t>
      </w:r>
      <w:r>
        <w:rPr>
          <w:rFonts w:hint="eastAsia" w:ascii="宋体" w:hAnsi="宋体" w:eastAsia="宋体" w:cs="宋体"/>
          <w:color w:val="auto"/>
          <w:sz w:val="24"/>
          <w:szCs w:val="24"/>
          <w:highlight w:val="none"/>
          <w:lang w:eastAsia="zh-CN"/>
        </w:rPr>
        <w:t xml:space="preserve">加盖CA电子公章</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 w:val="24"/>
          <w:szCs w:val="24"/>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 w:val="24"/>
          <w:szCs w:val="24"/>
          <w:highlight w:val="none"/>
          <w:u w:val="singl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附件10</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供应商信用承诺书</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承诺主体名称：</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统一社会信用代码：</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为维护公平竞争、规范有序的市场秩序，营造诚实守信的信用环境，共同推进社会信用体系建设完善，树立企业诚信守法形象，本企业对_____________项目政府采购活动郑重承诺如下：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二、严格按照国家</w:t>
      </w:r>
      <w:r>
        <w:rPr>
          <w:rFonts w:hint="eastAsia" w:ascii="宋体" w:hAnsi="宋体" w:eastAsia="宋体" w:cs="宋体"/>
          <w:color w:val="auto"/>
          <w:sz w:val="22"/>
          <w:szCs w:val="22"/>
          <w:highlight w:val="none"/>
          <w:lang w:eastAsia="zh-CN"/>
        </w:rPr>
        <w:t xml:space="preserve">法律法规</w:t>
      </w:r>
      <w:r>
        <w:rPr>
          <w:rFonts w:hint="eastAsia" w:ascii="宋体" w:hAnsi="宋体" w:eastAsia="宋体" w:cs="宋体"/>
          <w:color w:val="auto"/>
          <w:sz w:val="22"/>
          <w:szCs w:val="22"/>
          <w:highlight w:val="none"/>
        </w:rPr>
        <w:t xml:space="preserve">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十、本承诺书自签订之日起生效。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（注：法定代表人或负责人、主体名称发生变更的应当重新做出承诺）</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承诺单位（加盖CA电子公章）：</w:t>
      </w:r>
      <w:r/>
    </w:p>
    <w:p>
      <w:pPr>
        <w:spacing w:line="360" w:lineRule="auto"/>
        <w:rPr>
          <w:rFonts w:hint="eastAsia" w:ascii="宋体" w:hAnsi="宋体" w:eastAsia="宋体" w:cs="宋体"/>
          <w:b/>
          <w:color w:val="auto"/>
          <w:sz w:val="22"/>
          <w:szCs w:val="21"/>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
          <w:bCs/>
          <w:i/>
          <w:color w:val="auto"/>
          <w:sz w:val="24"/>
          <w:szCs w:val="24"/>
          <w:highlight w:val="none"/>
          <w:u w:val="single"/>
        </w:rPr>
        <w:br w:type="page" w:clear="all"/>
      </w:r>
      <w:r>
        <w:rPr>
          <w:rFonts w:hint="eastAsia" w:ascii="宋体" w:hAnsi="宋体" w:eastAsia="宋体" w:cs="宋体"/>
          <w:b/>
          <w:color w:val="auto"/>
          <w:sz w:val="22"/>
          <w:szCs w:val="21"/>
          <w:highlight w:val="none"/>
        </w:rPr>
        <w:t xml:space="preserve">附件11 </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中小企业声明函（工程）</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pacing w:val="-1"/>
          <w:sz w:val="24"/>
          <w:szCs w:val="24"/>
          <w:highlight w:val="none"/>
          <w:vertAlign w:val="superscript"/>
        </w:rPr>
        <w:instrText xml:space="preserve"> HYPERLINK \l "br1"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pacing w:val="-1"/>
          <w:sz w:val="24"/>
          <w:szCs w:val="24"/>
          <w:highlight w:val="none"/>
          <w:vertAlign w:val="superscript"/>
        </w:rPr>
        <w:t xml:space="preserve">1</w:t>
      </w:r>
      <w:r>
        <w:rPr>
          <w:rFonts w:hint="eastAsia" w:ascii="宋体" w:hAnsi="宋体" w:eastAsia="宋体" w:cs="宋体"/>
          <w:color w:val="auto"/>
          <w:sz w:val="24"/>
          <w:szCs w:val="24"/>
          <w:highlight w:val="none"/>
          <w:lang w:eastAsia="en-US"/>
        </w:rPr>
        <w:fldChar w:fldCharType="end"/>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u w:val="single"/>
        </w:rPr>
        <w:t xml:space="preserve">）（该行业类别不可修改）</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：1、从业人员（不仅指在职职工）、营业收入、资产总额填报</w:t>
      </w:r>
      <w:r>
        <w:rPr>
          <w:rFonts w:hint="eastAsia" w:ascii="宋体" w:hAnsi="宋体" w:cs="宋体"/>
          <w:color w:val="auto"/>
          <w:sz w:val="24"/>
          <w:szCs w:val="24"/>
          <w:highlight w:val="none"/>
          <w:lang w:eastAsia="zh-CN"/>
        </w:rPr>
        <w:t xml:space="preserve">2024年度或2025年度</w:t>
      </w:r>
      <w:r>
        <w:rPr>
          <w:rFonts w:hint="eastAsia" w:ascii="宋体" w:hAnsi="宋体" w:eastAsia="宋体" w:cs="宋体"/>
          <w:color w:val="auto"/>
          <w:sz w:val="24"/>
          <w:szCs w:val="24"/>
          <w:highlight w:val="none"/>
        </w:rPr>
        <w:t xml:space="preserve">数据，无</w:t>
      </w:r>
      <w:r>
        <w:rPr>
          <w:rFonts w:hint="eastAsia" w:ascii="宋体" w:hAnsi="宋体" w:cs="宋体"/>
          <w:color w:val="auto"/>
          <w:sz w:val="24"/>
          <w:szCs w:val="24"/>
          <w:highlight w:val="none"/>
          <w:lang w:eastAsia="zh-CN"/>
        </w:rPr>
        <w:t xml:space="preserve">2024年度或2025年度</w:t>
      </w:r>
      <w:r>
        <w:rPr>
          <w:rFonts w:hint="eastAsia" w:ascii="宋体" w:hAnsi="宋体" w:eastAsia="宋体" w:cs="宋体"/>
          <w:color w:val="auto"/>
          <w:sz w:val="24"/>
          <w:szCs w:val="24"/>
          <w:highlight w:val="none"/>
        </w:rPr>
        <w:t xml:space="preserve">数据的新成立企业可不填报。</w:t>
      </w:r>
      <w:r/>
    </w:p>
    <w:p>
      <w:pPr>
        <w:ind w:firstLine="4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2、供应商如不提供此声明函</w:t>
      </w:r>
      <w:r>
        <w:rPr>
          <w:rFonts w:hint="eastAsia" w:ascii="宋体" w:hAnsi="宋体" w:eastAsia="宋体" w:cs="宋体"/>
          <w:b/>
          <w:color w:val="auto"/>
          <w:sz w:val="24"/>
          <w:szCs w:val="24"/>
          <w:highlight w:val="none"/>
        </w:rPr>
        <w:t xml:space="preserve">，视为无效</w:t>
      </w:r>
      <w:r>
        <w:rPr>
          <w:rFonts w:hint="eastAsia" w:ascii="宋体" w:hAnsi="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r>
        <w:rPr>
          <w:rFonts w:hint="eastAsia" w:ascii="宋体" w:hAnsi="宋体" w:eastAsia="宋体" w:cs="宋体"/>
          <w:bCs/>
          <w:color w:val="auto"/>
          <w:sz w:val="24"/>
          <w:szCs w:val="24"/>
          <w:highlight w:val="none"/>
        </w:rPr>
        <w:t xml:space="preserve">采购文件中已明确所属行业</w:t>
      </w:r>
      <w:r>
        <w:rPr>
          <w:rFonts w:hint="eastAsia" w:ascii="宋体" w:hAnsi="宋体" w:eastAsia="宋体" w:cs="宋体"/>
          <w:color w:val="auto"/>
          <w:sz w:val="24"/>
          <w:szCs w:val="24"/>
          <w:highlight w:val="none"/>
        </w:rPr>
        <w:t xml:space="preserve">的，</w:t>
      </w:r>
      <w:r>
        <w:rPr>
          <w:rFonts w:hint="eastAsia" w:ascii="宋体" w:hAnsi="宋体" w:eastAsia="宋体" w:cs="宋体"/>
          <w:b/>
          <w:color w:val="auto"/>
          <w:sz w:val="24"/>
          <w:szCs w:val="24"/>
          <w:highlight w:val="none"/>
        </w:rPr>
        <w:t xml:space="preserve">不得对行业类别修改</w:t>
      </w:r>
      <w:r>
        <w:rPr>
          <w:rFonts w:hint="eastAsia" w:ascii="宋体" w:hAnsi="宋体" w:eastAsia="宋体" w:cs="宋体"/>
          <w:color w:val="auto"/>
          <w:sz w:val="24"/>
          <w:szCs w:val="24"/>
          <w:highlight w:val="none"/>
        </w:rPr>
        <w:t xml:space="preserve">。企业声明函请完整填写，成交后将公示。</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供应商名称</w:t>
      </w:r>
      <w:r>
        <w:rPr>
          <w:rFonts w:hint="eastAsia" w:ascii="宋体" w:hAnsi="宋体" w:eastAsia="宋体" w:cs="宋体"/>
          <w:color w:val="auto"/>
          <w:szCs w:val="21"/>
          <w:highlight w:val="none"/>
        </w:rPr>
        <w:t xml:space="preserve">（加盖CA电子公章）：</w:t>
      </w:r>
      <w:r/>
    </w:p>
    <w:p>
      <w:pPr>
        <w:ind w:firstLine="4620"/>
        <w:jc w:val="left"/>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Cs w:val="21"/>
          <w:highlight w:val="none"/>
        </w:rPr>
        <w:t xml:space="preserve">中小微企业划型标准</w:t>
      </w:r>
      <w:r/>
    </w:p>
    <w:p>
      <w:pPr>
        <w:ind w:firstLine="422"/>
        <w:rPr>
          <w:rFonts w:hint="eastAsia" w:ascii="宋体" w:hAnsi="宋体" w:eastAsia="宋体" w:cs="宋体"/>
          <w:b/>
          <w:bCs/>
          <w:color w:val="auto"/>
          <w:szCs w:val="21"/>
          <w:highlight w:val="none"/>
        </w:rPr>
      </w:pPr>
      <w:r>
        <w:rPr>
          <w:rStyle w:val="1251"/>
          <w:rFonts w:hint="eastAsia" w:ascii="宋体" w:hAnsi="宋体" w:eastAsia="宋体" w:cs="宋体"/>
          <w:color w:val="auto"/>
          <w:szCs w:val="21"/>
          <w:highlight w:val="none"/>
        </w:rPr>
        <w:t xml:space="preserve">中小微企业划型标准如下：</w:t>
      </w:r>
      <w:r/>
    </w:p>
    <w:tbl>
      <w:tblPr>
        <w:tblStyle w:val="1051"/>
        <w:tblW w:w="0" w:type="auto"/>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4"/>
        <w:gridCol w:w="1739"/>
        <w:gridCol w:w="1112"/>
        <w:gridCol w:w="1843"/>
        <w:gridCol w:w="1701"/>
        <w:gridCol w:w="1146"/>
      </w:tblGrid>
      <w:tr>
        <w:trPr>
          <w:jc w:val="center"/>
          <w:tblCellSpacing w:w="15" w:type="dxa"/>
          <w:trHeight w:val="285"/>
        </w:trPr>
        <w:tc>
          <w:tcPr>
            <w:tcMar>
              <w:left w:w="105" w:type="dxa"/>
              <w:top w:w="0" w:type="dxa"/>
              <w:right w:w="105" w:type="dxa"/>
              <w:bottom w:w="0" w:type="dxa"/>
            </w:tcMar>
            <w:tcW w:w="139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082" w:type="dxa"/>
            <w:vAlign w:val="center"/>
            <w:textDirection w:val="lrTb"/>
            <w:noWrap w:val="false"/>
          </w:tcPr>
          <w:p>
            <w:pPr>
              <w:pStyle w:val="1249"/>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Y＜300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X＜5</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082"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813"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101" w:type="dxa"/>
            <w:vAlign w:val="center"/>
            <w:textDirection w:val="lrTb"/>
            <w:noWrap w:val="false"/>
          </w:tcPr>
          <w:p>
            <w:pPr>
              <w:pStyle w:val="1249"/>
              <w:jc w:val="center"/>
              <w:spacing w:after="150" w:line="360" w:lineRule="auto"/>
              <w:rPr>
                <w:rFonts w:hint="eastAsia" w:ascii="宋体" w:hAnsi="宋体" w:eastAsia="宋体" w:cs="宋体"/>
                <w:color w:val="auto"/>
                <w:sz w:val="21"/>
                <w:szCs w:val="21"/>
                <w:highlight w:val="none"/>
              </w:rPr>
            </w:pPr>
            <w:r>
              <w:rPr>
                <w:rStyle w:val="1251"/>
                <w:rFonts w:hint="eastAsia" w:ascii="宋体" w:hAnsi="宋体" w:eastAsia="宋体" w:cs="宋体"/>
                <w:color w:val="auto"/>
                <w:sz w:val="21"/>
                <w:szCs w:val="21"/>
                <w:highlight w:val="none"/>
              </w:rPr>
              <w:t xml:space="preserve">X＜10</w:t>
            </w:r>
            <w:r/>
          </w:p>
        </w:tc>
      </w:tr>
    </w:tbl>
    <w:p>
      <w:pPr>
        <w:pStyle w:val="1235"/>
        <w:ind w:firstLine="422"/>
        <w:spacing w:line="360" w:lineRule="auto"/>
        <w:rPr>
          <w:rFonts w:hint="eastAsia" w:ascii="宋体" w:hAnsi="宋体" w:eastAsia="宋体" w:cs="宋体"/>
          <w:color w:val="auto"/>
          <w:szCs w:val="21"/>
          <w:highlight w:val="none"/>
        </w:rPr>
      </w:pPr>
      <w:r>
        <w:rPr>
          <w:rStyle w:val="1251"/>
          <w:rFonts w:hint="eastAsia" w:ascii="宋体" w:hAnsi="宋体" w:eastAsia="宋体" w:cs="宋体"/>
          <w:color w:val="auto"/>
          <w:szCs w:val="21"/>
          <w:highlight w:val="none"/>
        </w:rPr>
        <w:t xml:space="preserve">说明：上述标准参照《关于印发中小企业划型标准规定的通知》（工信部联企业</w:t>
      </w:r>
      <w:r>
        <w:rPr>
          <w:rStyle w:val="1251"/>
          <w:rFonts w:hint="eastAsia" w:ascii="宋体" w:hAnsi="宋体" w:eastAsia="宋体" w:cs="宋体"/>
          <w:color w:val="auto"/>
          <w:szCs w:val="21"/>
          <w:highlight w:val="none"/>
          <w:lang w:eastAsia="zh-CN"/>
        </w:rPr>
        <w:t xml:space="preserve">〔2011〕300号</w:t>
      </w:r>
      <w:r>
        <w:rPr>
          <w:rStyle w:val="1251"/>
          <w:rFonts w:hint="eastAsia" w:ascii="宋体" w:hAnsi="宋体" w:eastAsia="宋体" w:cs="宋体"/>
          <w:color w:val="auto"/>
          <w:szCs w:val="21"/>
          <w:highlight w:val="none"/>
        </w:rPr>
        <w:t xml:space="preserve">），大型、中型和小型企业须同时满足所列指标的下限，否则下划一档；微型企业只</w:t>
      </w:r>
      <w:r>
        <w:rPr>
          <w:rStyle w:val="1251"/>
          <w:rFonts w:hint="eastAsia" w:ascii="宋体" w:hAnsi="宋体" w:eastAsia="宋体" w:cs="宋体"/>
          <w:color w:val="auto"/>
          <w:szCs w:val="21"/>
          <w:highlight w:val="none"/>
          <w:lang w:eastAsia="zh-CN"/>
        </w:rPr>
        <w:t xml:space="preserve">需</w:t>
      </w:r>
      <w:r>
        <w:rPr>
          <w:rStyle w:val="1251"/>
          <w:rFonts w:hint="eastAsia" w:ascii="宋体" w:hAnsi="宋体" w:eastAsia="宋体" w:cs="宋体"/>
          <w:color w:val="auto"/>
          <w:szCs w:val="21"/>
          <w:highlight w:val="none"/>
        </w:rPr>
        <w:t xml:space="preserve">满足所列指标中的一项即可。</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spacing w:line="460" w:lineRule="exact"/>
        <w:rPr>
          <w:rFonts w:hint="eastAsia" w:ascii="宋体" w:hAnsi="宋体" w:eastAsia="宋体" w:cs="宋体"/>
          <w:b/>
          <w:color w:val="auto"/>
          <w:sz w:val="22"/>
          <w:szCs w:val="21"/>
          <w:highlight w:val="none"/>
        </w:rPr>
      </w:pPr>
      <w:r>
        <w:rPr>
          <w:rFonts w:hint="eastAsia" w:ascii="宋体" w:hAnsi="宋体" w:eastAsia="宋体" w:cs="宋体"/>
          <w:b/>
          <w:color w:val="auto"/>
          <w:sz w:val="22"/>
          <w:szCs w:val="21"/>
          <w:highlight w:val="none"/>
        </w:rPr>
        <w:t xml:space="preserve">附件12 </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残疾人福利性单位声明函</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非专门面向中小企业采购的项目，供应商如不提供此声明函，价格将不做相应扣除。</w:t>
      </w:r>
      <w:r/>
    </w:p>
    <w:p>
      <w:pPr>
        <w:ind w:firstLine="480"/>
        <w:spacing w:line="40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3.中标/成交供应商为残疾人福利性单位的，此声明函将随中标/成交结果同时公告，接受社会监督。</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（加盖CA电子公章）：</w:t>
      </w:r>
      <w:r/>
    </w:p>
    <w:p>
      <w:pPr>
        <w:ind w:firstLine="462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20"/>
        <w:spacing w:line="360" w:lineRule="auto"/>
        <w:rPr>
          <w:rFonts w:hint="eastAsia" w:ascii="宋体" w:hAnsi="宋体" w:eastAsia="宋体" w:cs="宋体"/>
          <w:i/>
          <w:color w:val="auto"/>
          <w:szCs w:val="18"/>
          <w:highlight w:val="none"/>
          <w:u w:val="single"/>
        </w:rPr>
      </w:pPr>
      <w:r>
        <w:rPr>
          <w:rFonts w:hint="eastAsia" w:ascii="宋体" w:hAnsi="宋体" w:eastAsia="宋体" w:cs="宋体"/>
          <w:i/>
          <w:color w:val="auto"/>
          <w:szCs w:val="18"/>
          <w:highlight w:val="none"/>
          <w:u w:val="single"/>
        </w:rPr>
      </w:r>
      <w:r/>
    </w:p>
    <w:p>
      <w:pPr>
        <w:ind w:firstLine="420"/>
        <w:spacing w:line="360" w:lineRule="auto"/>
        <w:rPr>
          <w:rFonts w:hint="eastAsia" w:ascii="宋体" w:hAnsi="宋体" w:eastAsia="宋体" w:cs="宋体"/>
          <w:i/>
          <w:color w:val="auto"/>
          <w:szCs w:val="18"/>
          <w:highlight w:val="none"/>
          <w:u w:val="singl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i/>
          <w:color w:val="auto"/>
          <w:szCs w:val="18"/>
          <w:highlight w:val="none"/>
          <w:u w:val="single"/>
        </w:rPr>
      </w:r>
      <w:r/>
    </w:p>
    <w:p>
      <w:pPr>
        <w:ind w:left="0" w:right="0" w:firstLine="0"/>
        <w:jc w:val="both"/>
        <w:spacing w:before="0" w:after="0" w:line="40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附件13          </w:t>
      </w:r>
      <w:r/>
    </w:p>
    <w:p>
      <w:pPr>
        <w:ind w:left="0" w:right="0" w:firstLine="0"/>
        <w:jc w:val="center"/>
        <w:spacing w:before="0" w:after="0"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联合体协议（参考格式）</w:t>
      </w:r>
      <w:r/>
    </w:p>
    <w:p>
      <w:pPr>
        <w:ind w:left="0" w:right="0" w:firstLine="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left="0" w:right="0" w:firstLine="0"/>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（联合体中各</w:t>
      </w: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）在此达成以下协议：</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cs="宋体"/>
          <w:color w:val="auto"/>
          <w:sz w:val="24"/>
          <w:szCs w:val="24"/>
          <w:highlight w:val="none"/>
          <w:lang w:eastAsia="zh-CN"/>
        </w:rPr>
        <w:t xml:space="preserve">江苏万达工程造价事务所有限公司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项目（采购包号：**）的政府采购活动，我联合体指定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right="0" w:firstLine="645"/>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645"/>
        <w:jc w:val="both"/>
        <w:spacing w:before="0" w:after="0" w:line="558"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left="0" w:right="0" w:firstLine="646"/>
        <w:jc w:val="right"/>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联合体中各</w:t>
      </w: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（公章）：     </w:t>
      </w:r>
      <w:r/>
    </w:p>
    <w:p>
      <w:pPr>
        <w:ind w:left="0" w:right="0" w:firstLine="646"/>
        <w:jc w:val="both"/>
        <w:spacing w:before="0" w:after="0"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left="0" w:right="0" w:firstLine="645"/>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645"/>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right="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备注：本</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文件中要求</w:t>
      </w:r>
      <w:r>
        <w:rPr>
          <w:rFonts w:hint="eastAsia" w:ascii="宋体" w:hAnsi="宋体" w:eastAsia="宋体" w:cs="宋体"/>
          <w:color w:val="auto"/>
          <w:sz w:val="24"/>
          <w:highlight w:val="none"/>
          <w:lang w:eastAsia="zh-CN"/>
        </w:rPr>
        <w:t xml:space="preserve">加盖CA电子公章</w:t>
      </w:r>
      <w:r>
        <w:rPr>
          <w:rFonts w:hint="eastAsia" w:ascii="宋体" w:hAnsi="宋体" w:eastAsia="宋体" w:cs="宋体"/>
          <w:color w:val="auto"/>
          <w:sz w:val="24"/>
          <w:highlight w:val="none"/>
        </w:rPr>
        <w:t xml:space="preserve">的地方，仅需加盖牵头单位的CA电子签章。</w:t>
      </w:r>
      <w:r/>
    </w:p>
    <w:p>
      <w:pPr>
        <w:spacing w:line="460" w:lineRule="exact"/>
        <w:rPr>
          <w:rFonts w:hint="eastAsia" w:ascii="宋体" w:hAnsi="宋体" w:eastAsia="宋体" w:cs="宋体"/>
          <w:b/>
          <w:color w:val="auto"/>
          <w:sz w:val="22"/>
          <w:szCs w:val="21"/>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hAnsi="宋体" w:eastAsia="宋体" w:cs="宋体"/>
          <w:b/>
          <w:color w:val="auto"/>
          <w:sz w:val="22"/>
          <w:szCs w:val="21"/>
          <w:highlight w:val="none"/>
        </w:rPr>
      </w:r>
      <w:r/>
    </w:p>
    <w:p>
      <w:pPr>
        <w:spacing w:line="46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 </w:t>
      </w:r>
      <w:r/>
    </w:p>
    <w:p>
      <w:pPr>
        <w:jc w:val="center"/>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实质性要求响应及偏离表</w:t>
      </w:r>
      <w:r>
        <w:rPr>
          <w:rFonts w:hint="eastAsia" w:ascii="宋体" w:hAnsi="宋体" w:eastAsia="宋体" w:cs="宋体"/>
          <w:b/>
          <w:bCs/>
          <w:color w:val="auto"/>
          <w:sz w:val="24"/>
          <w:szCs w:val="24"/>
          <w:highlight w:val="none"/>
        </w:rPr>
        <w:br/>
      </w:r>
      <w:r/>
    </w:p>
    <w:tbl>
      <w:tblPr>
        <w:tblStyle w:val="10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rPr>
              <w:t xml:space="preserve">和技术要求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14-1  </w:t>
      </w:r>
      <w:r>
        <w:rPr>
          <w:rFonts w:hint="eastAsia" w:ascii="宋体" w:hAnsi="宋体" w:eastAsia="宋体" w:cs="宋体"/>
          <w:color w:val="auto"/>
          <w:sz w:val="24"/>
          <w:szCs w:val="24"/>
          <w:highlight w:val="none"/>
        </w:rPr>
        <w:t xml:space="preserve">证明材料1，证明材料2，……</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必须对商务要求</w:t>
      </w:r>
      <w:r>
        <w:rPr>
          <w:rFonts w:hint="eastAsia" w:ascii="宋体" w:hAnsi="宋体" w:cs="宋体"/>
          <w:color w:val="auto"/>
          <w:sz w:val="24"/>
          <w:szCs w:val="24"/>
          <w:highlight w:val="none"/>
          <w:lang w:val="en-US" w:eastAsia="zh-CN"/>
        </w:rPr>
        <w:t xml:space="preserve">和技术要求</w:t>
      </w:r>
      <w:r>
        <w:rPr>
          <w:rFonts w:hint="eastAsia" w:ascii="宋体" w:hAnsi="宋体" w:eastAsia="宋体" w:cs="宋体"/>
          <w:color w:val="auto"/>
          <w:sz w:val="24"/>
          <w:szCs w:val="24"/>
          <w:highlight w:val="none"/>
        </w:rPr>
        <w:t xml:space="preserve">中的实质性要求</w:t>
      </w:r>
      <w:r>
        <w:rPr>
          <w:rFonts w:hint="eastAsia" w:ascii="宋体" w:hAnsi="宋体" w:eastAsia="宋体" w:cs="宋体"/>
          <w:b/>
          <w:bCs/>
          <w:color w:val="auto"/>
          <w:sz w:val="24"/>
          <w:szCs w:val="24"/>
          <w:highlight w:val="none"/>
        </w:rPr>
        <w:t xml:space="preserve">（</w:t>
      </w:r>
      <w:r>
        <w:rPr>
          <w:rFonts w:hint="eastAsia" w:ascii="宋体" w:hAnsi="宋体" w:eastAsia="宋体" w:cs="宋体"/>
          <w:b/>
          <w:bCs/>
          <w:i/>
          <w:color w:val="auto"/>
          <w:sz w:val="24"/>
          <w:szCs w:val="24"/>
          <w:highlight w:val="none"/>
          <w:u w:val="single"/>
        </w:rPr>
        <w:t xml:space="preserve">斜体且有下划线部分</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逐条做出明确响应。</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必须将证明材料列于该表之下。</w:t>
      </w:r>
      <w:r/>
    </w:p>
    <w:p>
      <w:pPr>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未对实质性要求逐条作出明确响应的，或未按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文件要求提供证明材料的，该采购包作无效</w:t>
      </w:r>
      <w:r>
        <w:rPr>
          <w:rFonts w:hint="eastAsia" w:ascii="宋体" w:hAnsi="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处理。</w:t>
      </w:r>
      <w:bookmarkEnd w:id="60"/>
      <w:r/>
      <w:bookmarkEnd w:id="61"/>
      <w:r/>
      <w:bookmarkEnd w:id="129"/>
      <w:r/>
      <w:bookmarkEnd w:id="130"/>
      <w:r/>
      <w:bookmarkEnd w:id="131"/>
      <w:r/>
      <w:bookmarkStart w:id="132" w:name="_Hlt26955054"/>
      <w:r/>
      <w:bookmarkEnd w:id="132"/>
      <w:r/>
      <w:bookmarkEnd w:id="133"/>
      <w:r/>
      <w:r/>
    </w:p>
    <w:sectPr>
      <w:footnotePr/>
      <w:endnotePr/>
      <w:type w:val="nextPage"/>
      <w:pgSz w:w="11906" w:h="16838" w:orient="portrait"/>
      <w:pgMar w:top="1440" w:right="1800" w:bottom="1440" w:left="180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等线 Light">
    <w:panose1 w:val="02010600030101010101"/>
  </w:font>
  <w:font w:name="微软雅黑">
    <w:panose1 w:val="020B0503020204020204"/>
  </w:font>
  <w:font w:name="Calibri">
    <w:panose1 w:val="020F0502020204030204"/>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rPr>
        <w:rStyle w:val="1258"/>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5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rPr>
        <w:rStyle w:val="1258"/>
      </w:rPr>
      <w:framePr w:wrap="around" w:vAnchor="text" w:hAnchor="margin" w:xAlign="center" w:y="1"/>
    </w:pPr>
    <w:r>
      <w:fldChar w:fldCharType="begin"/>
    </w:r>
    <w:r>
      <w:rPr>
        <w:rStyle w:val="1258"/>
      </w:rPr>
      <w:instrText xml:space="preserve">PAGE  </w:instrText>
    </w:r>
    <w:r>
      <w:fldChar w:fldCharType="separate"/>
    </w:r>
    <w:r>
      <w:rPr>
        <w:rStyle w:val="1258"/>
      </w:rPr>
      <w:t xml:space="preserve">1</w:t>
    </w:r>
    <w:r>
      <w:fldChar w:fldCharType="end"/>
    </w:r>
    <w:r/>
  </w:p>
  <w:p>
    <w:pPr>
      <w:pStyle w:val="12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57"/>
      <w:jc w:val="center"/>
      <w:rPr>
        <w:rFonts w:hint="eastAsia"/>
        <w:b/>
        <w:i/>
      </w:rPr>
    </w:pP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063"/>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18</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3"/>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3"/>
                    </w:pPr>
                    <w:r>
                      <w:t xml:space="preserve">第 </w:t>
                    </w:r>
                    <w:r>
                      <w:fldChar w:fldCharType="begin"/>
                    </w:r>
                    <w:r>
                      <w:instrText xml:space="preserve"> PAGE  \* MERGEFORMAT </w:instrText>
                    </w:r>
                    <w:r>
                      <w:fldChar w:fldCharType="separate"/>
                    </w:r>
                    <w:r>
                      <w:t xml:space="preserve">45</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p>
    <w:pPr>
      <w:pStyle w:val="12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180"/>
      <w:jc w:val="both"/>
      <w:rPr>
        <w:rFonts w:hint="eastAsia"/>
        <w:color w:val="0000ff"/>
        <w:lang w:val="en-US" w:eastAsia="zh-CN"/>
      </w:rPr>
    </w:pPr>
    <w:r>
      <w:rPr>
        <w:rFonts w:hint="eastAsia"/>
        <w:color w:val="0000ff"/>
        <w:lang w:val="en-US" w:eastAsia="zh-CN"/>
      </w:rPr>
    </w:r>
    <w:r/>
  </w:p>
  <w:p>
    <w:pPr>
      <w:pStyle w:val="1256"/>
      <w:ind w:firstLine="180"/>
      <w:jc w:val="both"/>
    </w:pPr>
    <w:r>
      <w:rPr>
        <w:rFonts w:hint="eastAsia"/>
        <w:color w:val="auto"/>
        <w:highlight w:val="none"/>
        <w:lang w:val="en-US" w:eastAsia="zh-CN"/>
      </w:rPr>
      <w:t xml:space="preserve">JSZC-320000-JSWD-C2026-0016 </w:t>
    </w:r>
    <w:r>
      <w:rPr>
        <w:rFonts w:hint="eastAsia"/>
        <w:lang w:val="en-US" w:eastAsia="zh-CN"/>
      </w:rPr>
      <w:t xml:space="preserve">                              </w:t>
    </w:r>
    <w:r>
      <w:rPr>
        <w:rFonts w:hint="eastAsia"/>
        <w:lang w:eastAsia="zh-CN"/>
      </w:rPr>
      <w:t xml:space="preserve">江苏万达工程造价事务所有限公司</w:t>
    </w:r>
    <w:r/>
  </w:p>
  <w:p>
    <w:pPr>
      <w:pStyle w:val="125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ind w:firstLine="360"/>
      <w:jc w:val="both"/>
      <w:rPr>
        <w:rFonts w:hint="eastAsia"/>
        <w:lang w:val="en-US" w:eastAsia="zh-CN"/>
      </w:rPr>
    </w:pPr>
    <w:r>
      <w:rPr>
        <w:rFonts w:hint="eastAsia"/>
        <w:lang w:val="en-US" w:eastAsia="zh-CN"/>
      </w:rPr>
    </w:r>
    <w:r/>
  </w:p>
  <w:p>
    <w:pPr>
      <w:pStyle w:val="1256"/>
      <w:ind w:firstLine="360"/>
      <w:jc w:val="both"/>
    </w:pPr>
    <w:r>
      <w:rPr>
        <w:rFonts w:hint="eastAsia"/>
        <w:color w:val="auto"/>
        <w:lang w:val="en-US" w:eastAsia="zh-CN"/>
      </w:rPr>
      <w:t xml:space="preserve">JSZC-320000-JSWD-C2026-0016  </w:t>
    </w:r>
    <w:r>
      <w:rPr>
        <w:rFonts w:hint="eastAsia"/>
        <w:lang w:val="en-US" w:eastAsia="zh-CN"/>
      </w:rPr>
      <w:t xml:space="preserve">                           </w:t>
    </w:r>
    <w:r>
      <w:rPr>
        <w:rFonts w:hint="eastAsia"/>
        <w:lang w:eastAsia="zh-CN"/>
      </w:rPr>
      <w:t xml:space="preserve">江苏万达工程造价事务所有限公司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6"/>
      <w:jc w:val="both"/>
      <w:rPr>
        <w:rFonts w:hint="eastAsia"/>
        <w:lang w:val="en-US" w:eastAsia="zh-CN"/>
      </w:rPr>
    </w:pPr>
    <w:r>
      <w:rPr>
        <w:rFonts w:hint="eastAsia"/>
        <w:lang w:val="en-US" w:eastAsia="zh-CN"/>
      </w:rPr>
    </w:r>
    <w:r/>
  </w:p>
  <w:p>
    <w:pPr>
      <w:pStyle w:val="1256"/>
      <w:jc w:val="both"/>
    </w:pPr>
    <w:r>
      <w:rPr>
        <w:rFonts w:hint="eastAsia"/>
        <w:lang w:val="en-US" w:eastAsia="zh-CN"/>
      </w:rPr>
      <w:t xml:space="preserve">JSZC-320000-JSWD-C2026-0016                                  </w:t>
    </w:r>
    <w:r>
      <w:rPr>
        <w:rFonts w:hint="eastAsia"/>
        <w:lang w:eastAsia="zh-CN"/>
      </w:rPr>
      <w:t xml:space="preserve">江苏万达工程造价事务所有限公司</w:t>
    </w:r>
    <w:r/>
  </w:p>
  <w:p>
    <w:pPr>
      <w:pStyle w:val="12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5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0" w:default="1">
    <w:name w:val="Normal"/>
    <w:link w:val="12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1">
    <w:name w:val="Heading 1"/>
    <w:basedOn w:val="1040"/>
    <w:next w:val="1040"/>
    <w:link w:val="1079"/>
    <w:uiPriority w:val="9"/>
    <w:qFormat/>
    <w:pPr>
      <w:keepLines/>
      <w:keepNext/>
      <w:spacing w:before="480" w:after="200"/>
      <w:outlineLvl w:val="0"/>
    </w:pPr>
    <w:rPr>
      <w:rFonts w:ascii="Arial" w:hAnsi="Arial" w:eastAsia="Arial" w:cs="Arial"/>
      <w:sz w:val="40"/>
      <w:szCs w:val="40"/>
    </w:rPr>
  </w:style>
  <w:style w:type="paragraph" w:styleId="1042">
    <w:name w:val="Heading 2"/>
    <w:basedOn w:val="1040"/>
    <w:next w:val="1040"/>
    <w:link w:val="1080"/>
    <w:uiPriority w:val="9"/>
    <w:unhideWhenUsed/>
    <w:qFormat/>
    <w:pPr>
      <w:keepLines/>
      <w:keepNext/>
      <w:spacing w:before="360" w:after="200"/>
      <w:outlineLvl w:val="1"/>
    </w:pPr>
    <w:rPr>
      <w:rFonts w:ascii="Arial" w:hAnsi="Arial" w:eastAsia="Arial" w:cs="Arial"/>
      <w:sz w:val="34"/>
    </w:rPr>
  </w:style>
  <w:style w:type="paragraph" w:styleId="1043">
    <w:name w:val="Heading 3"/>
    <w:basedOn w:val="1040"/>
    <w:next w:val="1040"/>
    <w:link w:val="1081"/>
    <w:uiPriority w:val="9"/>
    <w:unhideWhenUsed/>
    <w:qFormat/>
    <w:pPr>
      <w:keepLines/>
      <w:keepNext/>
      <w:spacing w:before="320" w:after="200"/>
      <w:outlineLvl w:val="2"/>
    </w:pPr>
    <w:rPr>
      <w:rFonts w:ascii="Arial" w:hAnsi="Arial" w:eastAsia="Arial" w:cs="Arial"/>
      <w:sz w:val="30"/>
      <w:szCs w:val="30"/>
    </w:rPr>
  </w:style>
  <w:style w:type="paragraph" w:styleId="1044">
    <w:name w:val="Heading 4"/>
    <w:basedOn w:val="1040"/>
    <w:next w:val="1040"/>
    <w:uiPriority w:val="9"/>
    <w:unhideWhenUsed/>
    <w:qFormat/>
    <w:pPr>
      <w:keepLines/>
      <w:keepNext/>
      <w:spacing w:before="320" w:after="200"/>
      <w:outlineLvl w:val="3"/>
    </w:pPr>
    <w:rPr>
      <w:rFonts w:ascii="Arial" w:hAnsi="Arial" w:eastAsia="Arial" w:cs="Arial"/>
      <w:b/>
      <w:bCs/>
      <w:sz w:val="26"/>
      <w:szCs w:val="26"/>
    </w:rPr>
  </w:style>
  <w:style w:type="paragraph" w:styleId="1045">
    <w:name w:val="Heading 5"/>
    <w:basedOn w:val="1040"/>
    <w:next w:val="1040"/>
    <w:link w:val="1083"/>
    <w:uiPriority w:val="9"/>
    <w:unhideWhenUsed/>
    <w:qFormat/>
    <w:pPr>
      <w:keepLines/>
      <w:keepNext/>
      <w:spacing w:before="320" w:after="200"/>
      <w:outlineLvl w:val="4"/>
    </w:pPr>
    <w:rPr>
      <w:rFonts w:ascii="Arial" w:hAnsi="Arial" w:eastAsia="Arial" w:cs="Arial"/>
      <w:b/>
      <w:bCs/>
      <w:sz w:val="24"/>
      <w:szCs w:val="24"/>
    </w:rPr>
  </w:style>
  <w:style w:type="paragraph" w:styleId="1046">
    <w:name w:val="Heading 6"/>
    <w:basedOn w:val="1040"/>
    <w:next w:val="1040"/>
    <w:link w:val="1084"/>
    <w:uiPriority w:val="9"/>
    <w:unhideWhenUsed/>
    <w:qFormat/>
    <w:pPr>
      <w:keepLines/>
      <w:keepNext/>
      <w:spacing w:before="320" w:after="200"/>
      <w:outlineLvl w:val="5"/>
    </w:pPr>
    <w:rPr>
      <w:rFonts w:ascii="Arial" w:hAnsi="Arial" w:eastAsia="Arial" w:cs="Arial"/>
      <w:b/>
      <w:bCs/>
      <w:sz w:val="22"/>
      <w:szCs w:val="22"/>
    </w:rPr>
  </w:style>
  <w:style w:type="paragraph" w:styleId="1047">
    <w:name w:val="Heading 7"/>
    <w:basedOn w:val="1040"/>
    <w:next w:val="1040"/>
    <w:link w:val="1085"/>
    <w:uiPriority w:val="9"/>
    <w:unhideWhenUsed/>
    <w:qFormat/>
    <w:pPr>
      <w:keepLines/>
      <w:keepNext/>
      <w:spacing w:before="320" w:after="200"/>
      <w:outlineLvl w:val="6"/>
    </w:pPr>
    <w:rPr>
      <w:rFonts w:ascii="Arial" w:hAnsi="Arial" w:eastAsia="Arial" w:cs="Arial"/>
      <w:b/>
      <w:bCs/>
      <w:i/>
      <w:iCs/>
      <w:sz w:val="22"/>
      <w:szCs w:val="22"/>
    </w:rPr>
  </w:style>
  <w:style w:type="paragraph" w:styleId="1048">
    <w:name w:val="Heading 8"/>
    <w:basedOn w:val="1040"/>
    <w:next w:val="1040"/>
    <w:link w:val="1086"/>
    <w:uiPriority w:val="9"/>
    <w:unhideWhenUsed/>
    <w:qFormat/>
    <w:pPr>
      <w:keepLines/>
      <w:keepNext/>
      <w:spacing w:before="320" w:after="200"/>
      <w:outlineLvl w:val="7"/>
    </w:pPr>
    <w:rPr>
      <w:rFonts w:ascii="Arial" w:hAnsi="Arial" w:eastAsia="Arial" w:cs="Arial"/>
      <w:i/>
      <w:iCs/>
      <w:sz w:val="22"/>
      <w:szCs w:val="22"/>
    </w:rPr>
  </w:style>
  <w:style w:type="paragraph" w:styleId="1049">
    <w:name w:val="Heading 9"/>
    <w:basedOn w:val="1040"/>
    <w:next w:val="1040"/>
    <w:link w:val="1087"/>
    <w:uiPriority w:val="9"/>
    <w:unhideWhenUsed/>
    <w:qFormat/>
    <w:pPr>
      <w:keepLines/>
      <w:keepNext/>
      <w:spacing w:before="320" w:after="200"/>
      <w:outlineLvl w:val="8"/>
    </w:pPr>
    <w:rPr>
      <w:rFonts w:ascii="Arial" w:hAnsi="Arial" w:eastAsia="Arial" w:cs="Arial"/>
      <w:i/>
      <w:iCs/>
      <w:sz w:val="21"/>
      <w:szCs w:val="21"/>
    </w:rPr>
  </w:style>
  <w:style w:type="character" w:styleId="1050" w:default="1">
    <w:name w:val="Default Paragraph Font"/>
    <w:uiPriority w:val="0"/>
    <w:semiHidden/>
    <w:qFormat/>
  </w:style>
  <w:style w:type="table" w:styleId="1051" w:default="1">
    <w:name w:val="Normal Table"/>
    <w:uiPriority w:val="0"/>
    <w:semiHidden/>
    <w:qFormat/>
    <w:tblPr>
      <w:tblCellMar>
        <w:left w:w="108" w:type="dxa"/>
        <w:top w:w="0" w:type="dxa"/>
        <w:right w:w="108" w:type="dxa"/>
        <w:bottom w:w="0" w:type="dxa"/>
      </w:tblCellMar>
    </w:tblPr>
  </w:style>
  <w:style w:type="paragraph" w:styleId="1052">
    <w:name w:val="toc 7"/>
    <w:basedOn w:val="1040"/>
    <w:next w:val="1040"/>
    <w:uiPriority w:val="39"/>
    <w:unhideWhenUsed/>
    <w:qFormat/>
    <w:pPr>
      <w:ind w:left="1701" w:right="0" w:firstLine="0"/>
      <w:spacing w:after="57"/>
    </w:pPr>
  </w:style>
  <w:style w:type="paragraph" w:styleId="1053">
    <w:name w:val="Normal Indent"/>
    <w:basedOn w:val="1040"/>
    <w:uiPriority w:val="0"/>
    <w:unhideWhenUsed/>
    <w:qFormat/>
    <w:pPr>
      <w:ind w:firstLine="420"/>
    </w:pPr>
  </w:style>
  <w:style w:type="paragraph" w:styleId="1054">
    <w:name w:val="Caption"/>
    <w:basedOn w:val="1040"/>
    <w:next w:val="104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55">
    <w:name w:val="Body Text"/>
    <w:basedOn w:val="1040"/>
    <w:uiPriority w:val="0"/>
    <w:qFormat/>
    <w:rPr>
      <w:rFonts w:ascii="楷体_GB2312" w:hAnsi="Arial" w:eastAsia="楷体_GB2312"/>
      <w:sz w:val="28"/>
      <w:szCs w:val="28"/>
    </w:rPr>
  </w:style>
  <w:style w:type="paragraph" w:styleId="1056">
    <w:name w:val="List Bullet 2"/>
    <w:basedOn w:val="1040"/>
    <w:uiPriority w:val="99"/>
    <w:semiHidden/>
    <w:unhideWhenUsed/>
    <w:qFormat/>
    <w:pPr>
      <w:numPr>
        <w:ilvl w:val="0"/>
        <w:numId w:val="1"/>
      </w:numPr>
    </w:pPr>
  </w:style>
  <w:style w:type="paragraph" w:styleId="1057">
    <w:name w:val="toc 5"/>
    <w:basedOn w:val="1040"/>
    <w:next w:val="1040"/>
    <w:uiPriority w:val="39"/>
    <w:unhideWhenUsed/>
    <w:qFormat/>
    <w:pPr>
      <w:ind w:left="1134" w:right="0" w:firstLine="0"/>
      <w:spacing w:after="57"/>
    </w:pPr>
  </w:style>
  <w:style w:type="paragraph" w:styleId="1058">
    <w:name w:val="toc 3"/>
    <w:basedOn w:val="1040"/>
    <w:next w:val="1040"/>
    <w:uiPriority w:val="39"/>
    <w:unhideWhenUsed/>
    <w:qFormat/>
    <w:pPr>
      <w:ind w:left="567" w:right="0" w:firstLine="0"/>
      <w:spacing w:after="57"/>
    </w:pPr>
  </w:style>
  <w:style w:type="paragraph" w:styleId="1059">
    <w:name w:val="Plain Text"/>
    <w:basedOn w:val="1040"/>
    <w:next w:val="1053"/>
    <w:uiPriority w:val="99"/>
    <w:qFormat/>
    <w:rPr>
      <w:rFonts w:ascii="宋体" w:hAnsi="Courier New"/>
      <w:sz w:val="20"/>
      <w:szCs w:val="21"/>
    </w:rPr>
  </w:style>
  <w:style w:type="paragraph" w:styleId="1060">
    <w:name w:val="toc 8"/>
    <w:basedOn w:val="1040"/>
    <w:next w:val="1040"/>
    <w:uiPriority w:val="39"/>
    <w:unhideWhenUsed/>
    <w:qFormat/>
    <w:pPr>
      <w:ind w:left="1984" w:right="0" w:firstLine="0"/>
      <w:spacing w:after="57"/>
    </w:pPr>
  </w:style>
  <w:style w:type="paragraph" w:styleId="1061">
    <w:name w:val="Body Text Indent 2"/>
    <w:basedOn w:val="1040"/>
    <w:uiPriority w:val="99"/>
    <w:unhideWhenUsed/>
    <w:qFormat/>
    <w:pPr>
      <w:ind w:firstLine="562"/>
      <w:spacing w:line="480" w:lineRule="exact"/>
    </w:pPr>
    <w:rPr>
      <w:rFonts w:ascii="楷体_GB2312" w:eastAsia="楷体_GB2312"/>
      <w:b/>
      <w:bCs/>
      <w:sz w:val="28"/>
      <w:szCs w:val="24"/>
    </w:rPr>
  </w:style>
  <w:style w:type="paragraph" w:styleId="1062">
    <w:name w:val="endnote text"/>
    <w:basedOn w:val="1040"/>
    <w:link w:val="1225"/>
    <w:uiPriority w:val="99"/>
    <w:semiHidden/>
    <w:unhideWhenUsed/>
    <w:qFormat/>
    <w:pPr>
      <w:spacing w:after="0" w:line="240" w:lineRule="auto"/>
    </w:pPr>
    <w:rPr>
      <w:sz w:val="20"/>
    </w:rPr>
  </w:style>
  <w:style w:type="paragraph" w:styleId="1063">
    <w:name w:val="Footer"/>
    <w:basedOn w:val="1040"/>
    <w:uiPriority w:val="99"/>
    <w:unhideWhenUsed/>
    <w:qFormat/>
    <w:pPr>
      <w:spacing w:after="0" w:line="240" w:lineRule="auto"/>
      <w:tabs>
        <w:tab w:val="center" w:pos="7143" w:leader="none"/>
        <w:tab w:val="right" w:pos="14287" w:leader="none"/>
      </w:tabs>
    </w:pPr>
  </w:style>
  <w:style w:type="paragraph" w:styleId="1064">
    <w:name w:val="Header"/>
    <w:basedOn w:val="1040"/>
    <w:link w:val="1096"/>
    <w:uiPriority w:val="99"/>
    <w:unhideWhenUsed/>
    <w:qFormat/>
    <w:pPr>
      <w:spacing w:after="0" w:line="240" w:lineRule="auto"/>
      <w:tabs>
        <w:tab w:val="center" w:pos="7143" w:leader="none"/>
        <w:tab w:val="right" w:pos="14287" w:leader="none"/>
      </w:tabs>
    </w:pPr>
  </w:style>
  <w:style w:type="paragraph" w:styleId="1065">
    <w:name w:val="toc 1"/>
    <w:basedOn w:val="1040"/>
    <w:next w:val="1040"/>
    <w:uiPriority w:val="39"/>
    <w:unhideWhenUsed/>
    <w:qFormat/>
    <w:rPr>
      <w:rFonts w:ascii="Calibri" w:hAnsi="Calibri"/>
    </w:rPr>
  </w:style>
  <w:style w:type="paragraph" w:styleId="1066">
    <w:name w:val="toc 4"/>
    <w:basedOn w:val="1040"/>
    <w:next w:val="1040"/>
    <w:uiPriority w:val="39"/>
    <w:unhideWhenUsed/>
    <w:qFormat/>
    <w:pPr>
      <w:ind w:left="850" w:right="0" w:firstLine="0"/>
      <w:spacing w:after="57"/>
    </w:pPr>
  </w:style>
  <w:style w:type="paragraph" w:styleId="1067">
    <w:name w:val="Subtitle"/>
    <w:basedOn w:val="1040"/>
    <w:next w:val="1040"/>
    <w:link w:val="1091"/>
    <w:uiPriority w:val="11"/>
    <w:qFormat/>
    <w:pPr>
      <w:spacing w:before="200" w:after="200"/>
    </w:pPr>
    <w:rPr>
      <w:sz w:val="24"/>
      <w:szCs w:val="24"/>
    </w:rPr>
  </w:style>
  <w:style w:type="paragraph" w:styleId="1068">
    <w:name w:val="footnote text"/>
    <w:basedOn w:val="1040"/>
    <w:link w:val="1224"/>
    <w:uiPriority w:val="99"/>
    <w:semiHidden/>
    <w:unhideWhenUsed/>
    <w:qFormat/>
    <w:pPr>
      <w:spacing w:after="40" w:line="240" w:lineRule="auto"/>
    </w:pPr>
    <w:rPr>
      <w:sz w:val="18"/>
    </w:rPr>
  </w:style>
  <w:style w:type="paragraph" w:styleId="1069">
    <w:name w:val="toc 6"/>
    <w:basedOn w:val="1040"/>
    <w:next w:val="1040"/>
    <w:uiPriority w:val="39"/>
    <w:unhideWhenUsed/>
    <w:qFormat/>
    <w:pPr>
      <w:ind w:left="1417" w:right="0" w:firstLine="0"/>
      <w:spacing w:after="57"/>
    </w:pPr>
  </w:style>
  <w:style w:type="paragraph" w:styleId="1070">
    <w:name w:val="table of figures"/>
    <w:basedOn w:val="1040"/>
    <w:next w:val="1040"/>
    <w:uiPriority w:val="99"/>
    <w:unhideWhenUsed/>
    <w:qFormat/>
    <w:pPr>
      <w:spacing w:after="0" w:afterAutospacing="0"/>
    </w:pPr>
  </w:style>
  <w:style w:type="paragraph" w:styleId="1071">
    <w:name w:val="toc 2"/>
    <w:basedOn w:val="1040"/>
    <w:next w:val="1040"/>
    <w:uiPriority w:val="39"/>
    <w:unhideWhenUsed/>
    <w:qFormat/>
    <w:pPr>
      <w:ind w:left="283" w:right="0" w:firstLine="0"/>
      <w:spacing w:after="57"/>
    </w:pPr>
  </w:style>
  <w:style w:type="paragraph" w:styleId="1072">
    <w:name w:val="toc 9"/>
    <w:basedOn w:val="1040"/>
    <w:next w:val="1040"/>
    <w:uiPriority w:val="39"/>
    <w:unhideWhenUsed/>
    <w:qFormat/>
    <w:pPr>
      <w:ind w:left="2268" w:right="0" w:firstLine="0"/>
      <w:spacing w:after="57"/>
    </w:pPr>
  </w:style>
  <w:style w:type="paragraph" w:styleId="1073">
    <w:name w:val="Title"/>
    <w:basedOn w:val="1040"/>
    <w:next w:val="1040"/>
    <w:link w:val="1090"/>
    <w:uiPriority w:val="10"/>
    <w:qFormat/>
    <w:pPr>
      <w:contextualSpacing/>
      <w:spacing w:before="300" w:after="200"/>
    </w:pPr>
    <w:rPr>
      <w:sz w:val="48"/>
      <w:szCs w:val="48"/>
    </w:rPr>
  </w:style>
  <w:style w:type="table" w:styleId="10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75">
    <w:name w:val="Strong"/>
    <w:basedOn w:val="1050"/>
    <w:uiPriority w:val="0"/>
    <w:qFormat/>
    <w:rPr>
      <w:b/>
    </w:rPr>
  </w:style>
  <w:style w:type="character" w:styleId="1076">
    <w:name w:val="endnote reference"/>
    <w:basedOn w:val="1050"/>
    <w:uiPriority w:val="99"/>
    <w:semiHidden/>
    <w:unhideWhenUsed/>
    <w:qFormat/>
    <w:rPr>
      <w:vertAlign w:val="superscript"/>
    </w:rPr>
  </w:style>
  <w:style w:type="character" w:styleId="1077">
    <w:name w:val="Hyperlink"/>
    <w:uiPriority w:val="99"/>
    <w:unhideWhenUsed/>
    <w:qFormat/>
    <w:rPr>
      <w:color w:val="0026e5" w:themeColor="hyperlink"/>
      <w:u w:val="single"/>
      <w14:textFill>
        <w14:solidFill>
          <w14:schemeClr w14:val="hlink"/>
        </w14:solidFill>
      </w14:textFill>
    </w:rPr>
  </w:style>
  <w:style w:type="character" w:styleId="1078">
    <w:name w:val="footnote reference"/>
    <w:basedOn w:val="1050"/>
    <w:uiPriority w:val="99"/>
    <w:unhideWhenUsed/>
    <w:qFormat/>
    <w:rPr>
      <w:vertAlign w:val="superscript"/>
    </w:rPr>
  </w:style>
  <w:style w:type="character" w:styleId="1079" w:customStyle="1">
    <w:name w:val="Heading 1 Char"/>
    <w:basedOn w:val="1050"/>
    <w:link w:val="1041"/>
    <w:uiPriority w:val="9"/>
    <w:qFormat/>
    <w:rPr>
      <w:rFonts w:ascii="Arial" w:hAnsi="Arial" w:eastAsia="Arial" w:cs="Arial"/>
      <w:sz w:val="40"/>
      <w:szCs w:val="40"/>
    </w:rPr>
  </w:style>
  <w:style w:type="character" w:styleId="1080" w:customStyle="1">
    <w:name w:val="Heading 2 Char"/>
    <w:basedOn w:val="1050"/>
    <w:link w:val="1042"/>
    <w:uiPriority w:val="9"/>
    <w:qFormat/>
    <w:rPr>
      <w:rFonts w:ascii="Arial" w:hAnsi="Arial" w:eastAsia="Arial" w:cs="Arial"/>
      <w:sz w:val="34"/>
    </w:rPr>
  </w:style>
  <w:style w:type="character" w:styleId="1081" w:customStyle="1">
    <w:name w:val="Heading 3 Char"/>
    <w:basedOn w:val="1050"/>
    <w:link w:val="1043"/>
    <w:uiPriority w:val="9"/>
    <w:qFormat/>
    <w:rPr>
      <w:rFonts w:ascii="Arial" w:hAnsi="Arial" w:eastAsia="Arial" w:cs="Arial"/>
      <w:sz w:val="30"/>
      <w:szCs w:val="30"/>
    </w:rPr>
  </w:style>
  <w:style w:type="character" w:styleId="1082" w:customStyle="1">
    <w:name w:val="Heading 4 Char"/>
    <w:basedOn w:val="1050"/>
    <w:uiPriority w:val="9"/>
    <w:qFormat/>
    <w:rPr>
      <w:rFonts w:ascii="Arial" w:hAnsi="Arial" w:eastAsia="Arial" w:cs="Arial"/>
      <w:b/>
      <w:bCs/>
      <w:sz w:val="26"/>
      <w:szCs w:val="26"/>
    </w:rPr>
  </w:style>
  <w:style w:type="character" w:styleId="1083" w:customStyle="1">
    <w:name w:val="Heading 5 Char"/>
    <w:basedOn w:val="1050"/>
    <w:link w:val="1045"/>
    <w:uiPriority w:val="9"/>
    <w:qFormat/>
    <w:rPr>
      <w:rFonts w:ascii="Arial" w:hAnsi="Arial" w:eastAsia="Arial" w:cs="Arial"/>
      <w:b/>
      <w:bCs/>
      <w:sz w:val="24"/>
      <w:szCs w:val="24"/>
    </w:rPr>
  </w:style>
  <w:style w:type="character" w:styleId="1084" w:customStyle="1">
    <w:name w:val="Heading 6 Char"/>
    <w:basedOn w:val="1050"/>
    <w:link w:val="1046"/>
    <w:uiPriority w:val="9"/>
    <w:qFormat/>
    <w:rPr>
      <w:rFonts w:ascii="Arial" w:hAnsi="Arial" w:eastAsia="Arial" w:cs="Arial"/>
      <w:b/>
      <w:bCs/>
      <w:sz w:val="22"/>
      <w:szCs w:val="22"/>
    </w:rPr>
  </w:style>
  <w:style w:type="character" w:styleId="1085" w:customStyle="1">
    <w:name w:val="Heading 7 Char"/>
    <w:basedOn w:val="1050"/>
    <w:link w:val="1047"/>
    <w:uiPriority w:val="9"/>
    <w:qFormat/>
    <w:rPr>
      <w:rFonts w:ascii="Arial" w:hAnsi="Arial" w:eastAsia="Arial" w:cs="Arial"/>
      <w:b/>
      <w:bCs/>
      <w:i/>
      <w:iCs/>
      <w:sz w:val="22"/>
      <w:szCs w:val="22"/>
    </w:rPr>
  </w:style>
  <w:style w:type="character" w:styleId="1086" w:customStyle="1">
    <w:name w:val="Heading 8 Char"/>
    <w:basedOn w:val="1050"/>
    <w:link w:val="1048"/>
    <w:uiPriority w:val="9"/>
    <w:qFormat/>
    <w:rPr>
      <w:rFonts w:ascii="Arial" w:hAnsi="Arial" w:eastAsia="Arial" w:cs="Arial"/>
      <w:i/>
      <w:iCs/>
      <w:sz w:val="22"/>
      <w:szCs w:val="22"/>
    </w:rPr>
  </w:style>
  <w:style w:type="character" w:styleId="1087" w:customStyle="1">
    <w:name w:val="Heading 9 Char"/>
    <w:basedOn w:val="1050"/>
    <w:link w:val="1049"/>
    <w:uiPriority w:val="9"/>
    <w:qFormat/>
    <w:rPr>
      <w:rFonts w:ascii="Arial" w:hAnsi="Arial" w:eastAsia="Arial" w:cs="Arial"/>
      <w:i/>
      <w:iCs/>
      <w:sz w:val="21"/>
      <w:szCs w:val="21"/>
    </w:rPr>
  </w:style>
  <w:style w:type="paragraph" w:styleId="1088">
    <w:name w:val="List Paragraph"/>
    <w:basedOn w:val="1040"/>
    <w:uiPriority w:val="34"/>
    <w:qFormat/>
    <w:pPr>
      <w:contextualSpacing/>
      <w:ind w:left="720"/>
    </w:pPr>
  </w:style>
  <w:style w:type="paragraph" w:styleId="1089">
    <w:name w:val="No Spacing"/>
    <w:uiPriority w:val="1"/>
    <w:qFormat/>
    <w:pPr>
      <w:spacing w:before="0" w:after="0" w:line="240" w:lineRule="auto"/>
    </w:pPr>
    <w:rPr>
      <w:rFonts w:hint="default" w:ascii="Times New Roman" w:hAnsi="Times New Roman" w:eastAsia="宋体" w:cs="Times New Roman"/>
    </w:rPr>
  </w:style>
  <w:style w:type="character" w:styleId="1090" w:customStyle="1">
    <w:name w:val="Title Char"/>
    <w:basedOn w:val="1050"/>
    <w:link w:val="1073"/>
    <w:uiPriority w:val="10"/>
    <w:qFormat/>
    <w:rPr>
      <w:sz w:val="48"/>
      <w:szCs w:val="48"/>
    </w:rPr>
  </w:style>
  <w:style w:type="character" w:styleId="1091" w:customStyle="1">
    <w:name w:val="Subtitle Char"/>
    <w:basedOn w:val="1050"/>
    <w:link w:val="1067"/>
    <w:uiPriority w:val="11"/>
    <w:qFormat/>
    <w:rPr>
      <w:sz w:val="24"/>
      <w:szCs w:val="24"/>
    </w:rPr>
  </w:style>
  <w:style w:type="paragraph" w:styleId="1092">
    <w:name w:val="Quote"/>
    <w:basedOn w:val="1040"/>
    <w:next w:val="1040"/>
    <w:link w:val="1093"/>
    <w:uiPriority w:val="29"/>
    <w:qFormat/>
    <w:pPr>
      <w:ind w:left="720" w:right="720"/>
    </w:pPr>
    <w:rPr>
      <w:i/>
    </w:rPr>
  </w:style>
  <w:style w:type="character" w:styleId="1093" w:customStyle="1">
    <w:name w:val="Quote Char"/>
    <w:link w:val="1092"/>
    <w:uiPriority w:val="29"/>
    <w:qFormat/>
    <w:rPr>
      <w:i/>
    </w:rPr>
  </w:style>
  <w:style w:type="paragraph" w:styleId="1094">
    <w:name w:val="Intense Quote"/>
    <w:basedOn w:val="1040"/>
    <w:next w:val="1040"/>
    <w:link w:val="10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Intense Quote Char"/>
    <w:link w:val="1094"/>
    <w:uiPriority w:val="30"/>
    <w:qFormat/>
    <w:rPr>
      <w:i/>
    </w:rPr>
  </w:style>
  <w:style w:type="character" w:styleId="1096" w:customStyle="1">
    <w:name w:val="Header Char"/>
    <w:basedOn w:val="1050"/>
    <w:link w:val="1064"/>
    <w:uiPriority w:val="99"/>
    <w:qFormat/>
  </w:style>
  <w:style w:type="character" w:styleId="1097" w:customStyle="1">
    <w:name w:val="Footer Char"/>
    <w:basedOn w:val="1050"/>
    <w:uiPriority w:val="99"/>
    <w:qFormat/>
  </w:style>
  <w:style w:type="character" w:styleId="1098" w:customStyle="1">
    <w:name w:val="Caption Char"/>
    <w:uiPriority w:val="99"/>
    <w:qFormat/>
  </w:style>
  <w:style w:type="table" w:styleId="1099" w:customStyle="1">
    <w:name w:val="Table Grid Light"/>
    <w:basedOn w:val="10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0" w:customStyle="1">
    <w:name w:val="Plain Table 1"/>
    <w:basedOn w:val="10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1" w:customStyle="1">
    <w:name w:val="Plain Table 2"/>
    <w:basedOn w:val="10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2" w:customStyle="1">
    <w:name w:val="Plain Table 3"/>
    <w:basedOn w:val="10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3" w:customStyle="1">
    <w:name w:val="Plain Table 4"/>
    <w:basedOn w:val="10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4" w:customStyle="1">
    <w:name w:val="Plain Table 5"/>
    <w:basedOn w:val="10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5" w:customStyle="1">
    <w:name w:val="Grid Table 1 Light"/>
    <w:basedOn w:val="10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06" w:customStyle="1">
    <w:name w:val="Grid Table 1 Light - Accent 1"/>
    <w:basedOn w:val="105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07" w:customStyle="1">
    <w:name w:val="Grid Table 1 Light - Accent 2"/>
    <w:basedOn w:val="105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08" w:customStyle="1">
    <w:name w:val="Grid Table 1 Light - Accent 3"/>
    <w:basedOn w:val="105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09" w:customStyle="1">
    <w:name w:val="Grid Table 1 Light - Accent 4"/>
    <w:basedOn w:val="105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10" w:customStyle="1">
    <w:name w:val="Grid Table 1 Light - Accent 5"/>
    <w:basedOn w:val="105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11" w:customStyle="1">
    <w:name w:val="Grid Table 1 Light - Accent 6"/>
    <w:basedOn w:val="105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12" w:customStyle="1">
    <w:name w:val="Grid Table 2"/>
    <w:basedOn w:val="10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3" w:customStyle="1">
    <w:name w:val="Grid Table 2 - Accent 1"/>
    <w:basedOn w:val="105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14" w:customStyle="1">
    <w:name w:val="Grid Table 2 - Accent 2"/>
    <w:basedOn w:val="105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15" w:customStyle="1">
    <w:name w:val="Grid Table 2 - Accent 3"/>
    <w:basedOn w:val="105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16" w:customStyle="1">
    <w:name w:val="Grid Table 2 - Accent 4"/>
    <w:basedOn w:val="105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17" w:customStyle="1">
    <w:name w:val="Grid Table 2 - Accent 5"/>
    <w:basedOn w:val="105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18" w:customStyle="1">
    <w:name w:val="Grid Table 2 - Accent 6"/>
    <w:basedOn w:val="105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19" w:customStyle="1">
    <w:name w:val="Grid Table 3"/>
    <w:basedOn w:val="10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1"/>
    <w:basedOn w:val="105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2"/>
    <w:basedOn w:val="105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3 - Accent 3"/>
    <w:basedOn w:val="105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3" w:customStyle="1">
    <w:name w:val="Grid Table 3 - Accent 4"/>
    <w:basedOn w:val="105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4" w:customStyle="1">
    <w:name w:val="Grid Table 3 - Accent 5"/>
    <w:basedOn w:val="105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5" w:customStyle="1">
    <w:name w:val="Grid Table 3 - Accent 6"/>
    <w:basedOn w:val="105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4"/>
    <w:basedOn w:val="10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7" w:customStyle="1">
    <w:name w:val="Grid Table 4 - Accent 1"/>
    <w:basedOn w:val="105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28" w:customStyle="1">
    <w:name w:val="Grid Table 4 - Accent 2"/>
    <w:basedOn w:val="105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29" w:customStyle="1">
    <w:name w:val="Grid Table 4 - Accent 3"/>
    <w:basedOn w:val="105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30" w:customStyle="1">
    <w:name w:val="Grid Table 4 - Accent 4"/>
    <w:basedOn w:val="105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31" w:customStyle="1">
    <w:name w:val="Grid Table 4 - Accent 5"/>
    <w:basedOn w:val="1051"/>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32" w:customStyle="1">
    <w:name w:val="Grid Table 4 - Accent 6"/>
    <w:basedOn w:val="105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33" w:customStyle="1">
    <w:name w:val="Grid Table 5 Dark"/>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34" w:customStyle="1">
    <w:name w:val="Grid Table 5 Dark- Accent 1"/>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35" w:customStyle="1">
    <w:name w:val="Grid Table 5 Dark - Accent 2"/>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36" w:customStyle="1">
    <w:name w:val="Grid Table 5 Dark - Accent 3"/>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37" w:customStyle="1">
    <w:name w:val="Grid Table 5 Dark- Accent 4"/>
    <w:basedOn w:val="105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38" w:customStyle="1">
    <w:name w:val="Grid Table 5 Dark - Accent 5"/>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39" w:customStyle="1">
    <w:name w:val="Grid Table 5 Dark - Accent 6"/>
    <w:basedOn w:val="10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40" w:customStyle="1">
    <w:name w:val="Grid Table 6 Colorful"/>
    <w:basedOn w:val="10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1" w:customStyle="1">
    <w:name w:val="Grid Table 6 Colorful - Accent 1"/>
    <w:basedOn w:val="105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42" w:customStyle="1">
    <w:name w:val="Grid Table 6 Colorful - Accent 2"/>
    <w:basedOn w:val="1051"/>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43" w:customStyle="1">
    <w:name w:val="Grid Table 6 Colorful - Accent 3"/>
    <w:basedOn w:val="105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44" w:customStyle="1">
    <w:name w:val="Grid Table 6 Colorful - Accent 4"/>
    <w:basedOn w:val="105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45" w:customStyle="1">
    <w:name w:val="Grid Table 6 Colorful - Accent 5"/>
    <w:basedOn w:val="105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46" w:customStyle="1">
    <w:name w:val="Grid Table 6 Colorful - Accent 6"/>
    <w:basedOn w:val="105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47" w:customStyle="1">
    <w:name w:val="Grid Table 7 Colorful"/>
    <w:basedOn w:val="10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8" w:customStyle="1">
    <w:name w:val="Grid Table 7 Colorful - Accent 1"/>
    <w:basedOn w:val="105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49" w:customStyle="1">
    <w:name w:val="Grid Table 7 Colorful - Accent 2"/>
    <w:basedOn w:val="105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50" w:customStyle="1">
    <w:name w:val="Grid Table 7 Colorful - Accent 3"/>
    <w:basedOn w:val="105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51" w:customStyle="1">
    <w:name w:val="Grid Table 7 Colorful - Accent 4"/>
    <w:basedOn w:val="105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52" w:customStyle="1">
    <w:name w:val="Grid Table 7 Colorful - Accent 5"/>
    <w:basedOn w:val="105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53" w:customStyle="1">
    <w:name w:val="Grid Table 7 Colorful - Accent 6"/>
    <w:basedOn w:val="105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54" w:customStyle="1">
    <w:name w:val="List Table 1 Light"/>
    <w:basedOn w:val="10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5" w:customStyle="1">
    <w:name w:val="List Table 1 Light - Accent 1"/>
    <w:basedOn w:val="105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56" w:customStyle="1">
    <w:name w:val="List Table 1 Light - Accent 2"/>
    <w:basedOn w:val="1051"/>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57" w:customStyle="1">
    <w:name w:val="List Table 1 Light - Accent 3"/>
    <w:basedOn w:val="105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58" w:customStyle="1">
    <w:name w:val="List Table 1 Light - Accent 4"/>
    <w:basedOn w:val="105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59" w:customStyle="1">
    <w:name w:val="List Table 1 Light - Accent 5"/>
    <w:basedOn w:val="105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60" w:customStyle="1">
    <w:name w:val="List Table 1 Light - Accent 6"/>
    <w:basedOn w:val="105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61" w:customStyle="1">
    <w:name w:val="List Table 2"/>
    <w:basedOn w:val="10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2" w:customStyle="1">
    <w:name w:val="List Table 2 - Accent 1"/>
    <w:basedOn w:val="105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63" w:customStyle="1">
    <w:name w:val="List Table 2 - Accent 2"/>
    <w:basedOn w:val="105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64" w:customStyle="1">
    <w:name w:val="List Table 2 - Accent 3"/>
    <w:basedOn w:val="105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65" w:customStyle="1">
    <w:name w:val="List Table 2 - Accent 4"/>
    <w:basedOn w:val="105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66" w:customStyle="1">
    <w:name w:val="List Table 2 - Accent 5"/>
    <w:basedOn w:val="105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67" w:customStyle="1">
    <w:name w:val="List Table 2 - Accent 6"/>
    <w:basedOn w:val="105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68" w:customStyle="1">
    <w:name w:val="List Table 3"/>
    <w:basedOn w:val="10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9" w:customStyle="1">
    <w:name w:val="List Table 3 - Accent 1"/>
    <w:basedOn w:val="105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70" w:customStyle="1">
    <w:name w:val="List Table 3 - Accent 2"/>
    <w:basedOn w:val="105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71" w:customStyle="1">
    <w:name w:val="List Table 3 - Accent 3"/>
    <w:basedOn w:val="105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72" w:customStyle="1">
    <w:name w:val="List Table 3 - Accent 4"/>
    <w:basedOn w:val="105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73" w:customStyle="1">
    <w:name w:val="List Table 3 - Accent 5"/>
    <w:basedOn w:val="1051"/>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74" w:customStyle="1">
    <w:name w:val="List Table 3 - Accent 6"/>
    <w:basedOn w:val="105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75" w:customStyle="1">
    <w:name w:val="List Table 4"/>
    <w:basedOn w:val="10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6" w:customStyle="1">
    <w:name w:val="List Table 4 - Accent 1"/>
    <w:basedOn w:val="105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77" w:customStyle="1">
    <w:name w:val="List Table 4 - Accent 2"/>
    <w:basedOn w:val="105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78" w:customStyle="1">
    <w:name w:val="List Table 4 - Accent 3"/>
    <w:basedOn w:val="105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79" w:customStyle="1">
    <w:name w:val="List Table 4 - Accent 4"/>
    <w:basedOn w:val="105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80" w:customStyle="1">
    <w:name w:val="List Table 4 - Accent 5"/>
    <w:basedOn w:val="105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81" w:customStyle="1">
    <w:name w:val="List Table 4 - Accent 6"/>
    <w:basedOn w:val="105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82" w:customStyle="1">
    <w:name w:val="List Table 5 Dark"/>
    <w:basedOn w:val="10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3" w:customStyle="1">
    <w:name w:val="List Table 5 Dark - Accent 1"/>
    <w:basedOn w:val="105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4" w:customStyle="1">
    <w:name w:val="List Table 5 Dark - Accent 2"/>
    <w:basedOn w:val="105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5" w:customStyle="1">
    <w:name w:val="List Table 5 Dark - Accent 3"/>
    <w:basedOn w:val="105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6" w:customStyle="1">
    <w:name w:val="List Table 5 Dark - Accent 4"/>
    <w:basedOn w:val="105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7" w:customStyle="1">
    <w:name w:val="List Table 5 Dark - Accent 5"/>
    <w:basedOn w:val="105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8" w:customStyle="1">
    <w:name w:val="List Table 5 Dark - Accent 6"/>
    <w:basedOn w:val="105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6 Colorful"/>
    <w:basedOn w:val="10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0" w:customStyle="1">
    <w:name w:val="List Table 6 Colorful - Accent 1"/>
    <w:basedOn w:val="105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91" w:customStyle="1">
    <w:name w:val="List Table 6 Colorful - Accent 2"/>
    <w:basedOn w:val="105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92" w:customStyle="1">
    <w:name w:val="List Table 6 Colorful - Accent 3"/>
    <w:basedOn w:val="105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93" w:customStyle="1">
    <w:name w:val="List Table 6 Colorful - Accent 4"/>
    <w:basedOn w:val="105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94" w:customStyle="1">
    <w:name w:val="List Table 6 Colorful - Accent 5"/>
    <w:basedOn w:val="105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95" w:customStyle="1">
    <w:name w:val="List Table 6 Colorful - Accent 6"/>
    <w:basedOn w:val="105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96" w:customStyle="1">
    <w:name w:val="List Table 7 Colorful"/>
    <w:basedOn w:val="10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7" w:customStyle="1">
    <w:name w:val="List Table 7 Colorful - Accent 1"/>
    <w:basedOn w:val="105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98" w:customStyle="1">
    <w:name w:val="List Table 7 Colorful - Accent 2"/>
    <w:basedOn w:val="105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99" w:customStyle="1">
    <w:name w:val="List Table 7 Colorful - Accent 3"/>
    <w:basedOn w:val="105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00" w:customStyle="1">
    <w:name w:val="List Table 7 Colorful - Accent 4"/>
    <w:basedOn w:val="105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01" w:customStyle="1">
    <w:name w:val="List Table 7 Colorful - Accent 5"/>
    <w:basedOn w:val="105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02" w:customStyle="1">
    <w:name w:val="List Table 7 Colorful - Accent 6"/>
    <w:basedOn w:val="105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03" w:customStyle="1">
    <w:name w:val="Lined - Accent"/>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4" w:customStyle="1">
    <w:name w:val="Lined - Accent 1"/>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05" w:customStyle="1">
    <w:name w:val="Lined - Accent 2"/>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06" w:customStyle="1">
    <w:name w:val="Lined - Accent 3"/>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07" w:customStyle="1">
    <w:name w:val="Lined - Accent 4"/>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08" w:customStyle="1">
    <w:name w:val="Lined - Accent 5"/>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09" w:customStyle="1">
    <w:name w:val="Lined - Accent 6"/>
    <w:basedOn w:val="10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10" w:customStyle="1">
    <w:name w:val="Bordered &amp; Lined - Accent"/>
    <w:basedOn w:val="10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1" w:customStyle="1">
    <w:name w:val="Bordered &amp; Lined - Accent 1"/>
    <w:basedOn w:val="105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12" w:customStyle="1">
    <w:name w:val="Bordered &amp; Lined - Accent 2"/>
    <w:basedOn w:val="105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13" w:customStyle="1">
    <w:name w:val="Bordered &amp; Lined - Accent 3"/>
    <w:basedOn w:val="105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14" w:customStyle="1">
    <w:name w:val="Bordered &amp; Lined - Accent 4"/>
    <w:basedOn w:val="105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15" w:customStyle="1">
    <w:name w:val="Bordered &amp; Lined - Accent 5"/>
    <w:basedOn w:val="105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16" w:customStyle="1">
    <w:name w:val="Bordered &amp; Lined - Accent 6"/>
    <w:basedOn w:val="105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17" w:customStyle="1">
    <w:name w:val="Bordered"/>
    <w:basedOn w:val="10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18" w:customStyle="1">
    <w:name w:val="Bordered - Accent 1"/>
    <w:basedOn w:val="105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19" w:customStyle="1">
    <w:name w:val="Bordered - Accent 2"/>
    <w:basedOn w:val="105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20" w:customStyle="1">
    <w:name w:val="Bordered - Accent 3"/>
    <w:basedOn w:val="105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21" w:customStyle="1">
    <w:name w:val="Bordered - Accent 4"/>
    <w:basedOn w:val="105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22" w:customStyle="1">
    <w:name w:val="Bordered - Accent 5"/>
    <w:basedOn w:val="1051"/>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23" w:customStyle="1">
    <w:name w:val="Bordered - Accent 6"/>
    <w:basedOn w:val="105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24" w:customStyle="1">
    <w:name w:val="Footnote Text Char"/>
    <w:link w:val="1068"/>
    <w:uiPriority w:val="99"/>
    <w:qFormat/>
    <w:rPr>
      <w:sz w:val="18"/>
    </w:rPr>
  </w:style>
  <w:style w:type="character" w:styleId="1225" w:customStyle="1">
    <w:name w:val="Endnote Text Char"/>
    <w:link w:val="1062"/>
    <w:uiPriority w:val="99"/>
    <w:qFormat/>
    <w:rPr>
      <w:sz w:val="20"/>
    </w:rPr>
  </w:style>
  <w:style w:type="paragraph" w:styleId="1226" w:customStyle="1">
    <w:name w:val="TOC Heading"/>
    <w:uiPriority w:val="39"/>
    <w:unhideWhenUsed/>
    <w:qFormat/>
    <w:rPr>
      <w:rFonts w:hint="default" w:ascii="Times New Roman" w:hAnsi="Times New Roman" w:eastAsia="宋体" w:cs="Times New Roman"/>
    </w:rPr>
  </w:style>
  <w:style w:type="paragraph" w:styleId="1227"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228" w:customStyle="1">
    <w:name w:val="正文1"/>
    <w:next w:val="1229"/>
    <w:uiPriority w:val="0"/>
    <w:qFormat/>
    <w:rPr>
      <w:rFonts w:hint="default" w:ascii="Times New Roman" w:hAnsi="Times New Roman" w:eastAsia="宋体" w:cs="Times New Roman"/>
      <w:lang w:val="en-US" w:eastAsia="zh-CN" w:bidi="ar-SA"/>
    </w:rPr>
  </w:style>
  <w:style w:type="paragraph" w:styleId="1229" w:customStyle="1">
    <w:name w:val="正文文本1"/>
    <w:basedOn w:val="1228"/>
    <w:next w:val="1230"/>
    <w:uiPriority w:val="0"/>
    <w:qFormat/>
    <w:pPr>
      <w:spacing w:after="120"/>
    </w:pPr>
    <w:rPr>
      <w:lang w:eastAsia="en-US"/>
    </w:rPr>
  </w:style>
  <w:style w:type="paragraph" w:styleId="1230" w:customStyle="1">
    <w:name w:val="目录 21"/>
    <w:basedOn w:val="1040"/>
    <w:next w:val="1040"/>
    <w:uiPriority w:val="39"/>
    <w:qFormat/>
    <w:pPr>
      <w:ind w:left="210"/>
    </w:pPr>
    <w:rPr>
      <w:smallCaps/>
    </w:rPr>
  </w:style>
  <w:style w:type="paragraph" w:styleId="1231" w:customStyle="1">
    <w:name w:val="TOC 标题"/>
    <w:basedOn w:val="1232"/>
    <w:next w:val="1040"/>
    <w:uiPriority w:val="39"/>
    <w:unhideWhenUsed/>
    <w:qFormat/>
    <w:pPr>
      <w:jc w:val="left"/>
      <w:keepLines/>
      <w:spacing w:before="240" w:line="259" w:lineRule="auto"/>
      <w:widowControl/>
      <w:outlineLvl w:val="9"/>
    </w:pPr>
    <w:rPr>
      <w:rFonts w:ascii="等线 Light" w:hAnsi="等线 Light" w:eastAsia="等线 Light" w:cs="Times New Roman"/>
      <w:color w:val="0f4761"/>
      <w:sz w:val="32"/>
      <w:szCs w:val="32"/>
    </w:rPr>
  </w:style>
  <w:style w:type="paragraph" w:styleId="1232" w:customStyle="1">
    <w:name w:val="标题 11"/>
    <w:basedOn w:val="1040"/>
    <w:next w:val="1040"/>
    <w:uiPriority w:val="0"/>
    <w:qFormat/>
    <w:pPr>
      <w:jc w:val="center"/>
      <w:keepNext/>
      <w:outlineLvl w:val="0"/>
    </w:pPr>
    <w:rPr>
      <w:rFonts w:ascii="楷体_GB2312" w:hAnsi="Times New Roman" w:eastAsia="楷体_GB2312" w:cs="Times New Roman"/>
      <w:sz w:val="28"/>
      <w:szCs w:val="28"/>
    </w:rPr>
  </w:style>
  <w:style w:type="paragraph" w:styleId="1233" w:customStyle="1">
    <w:name w:val="目录 11"/>
    <w:basedOn w:val="1040"/>
    <w:next w:val="1040"/>
    <w:uiPriority w:val="39"/>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1234" w:customStyle="1">
    <w:name w:val="超链接1"/>
    <w:link w:val="1040"/>
    <w:uiPriority w:val="99"/>
    <w:qFormat/>
    <w:rPr>
      <w:rFonts w:hint="default" w:ascii="Times New Roman" w:hAnsi="Times New Roman" w:eastAsia="宋体" w:cs="Times New Roman"/>
      <w:sz w:val="21"/>
      <w:szCs w:val="22"/>
      <w:lang w:val="en-US" w:eastAsia="zh-CN" w:bidi="ar-SA"/>
    </w:rPr>
  </w:style>
  <w:style w:type="paragraph" w:styleId="1235" w:customStyle="1">
    <w:name w:val="正文（缩进）"/>
    <w:basedOn w:val="1040"/>
    <w:next w:val="1236"/>
    <w:uiPriority w:val="99"/>
    <w:qFormat/>
    <w:pPr>
      <w:ind w:firstLine="480"/>
    </w:pPr>
  </w:style>
  <w:style w:type="paragraph" w:styleId="1236" w:customStyle="1">
    <w:name w:val="Char Char Char Char Char Char Char Char Char"/>
    <w:basedOn w:val="1040"/>
    <w:next w:val="1237"/>
    <w:uiPriority w:val="0"/>
    <w:qFormat/>
    <w:pPr>
      <w:ind w:left="360" w:firstLine="5784"/>
      <w:jc w:val="both"/>
      <w:spacing w:before="0" w:after="0" w:line="240" w:lineRule="auto"/>
      <w:widowControl w:val="off"/>
    </w:pPr>
  </w:style>
  <w:style w:type="paragraph" w:styleId="1237" w:customStyle="1">
    <w:name w:val="正文文本 21"/>
    <w:basedOn w:val="1040"/>
    <w:next w:val="1238"/>
    <w:uiPriority w:val="0"/>
    <w:qFormat/>
    <w:pPr>
      <w:spacing w:after="120" w:line="480" w:lineRule="auto"/>
    </w:pPr>
  </w:style>
  <w:style w:type="paragraph" w:styleId="1238" w:customStyle="1">
    <w:name w:val="默认段落字体 Para Char Char Char Char Char Char Char"/>
    <w:basedOn w:val="1040"/>
    <w:next w:val="1239"/>
    <w:uiPriority w:val="1723"/>
    <w:qFormat/>
    <w:pPr>
      <w:ind w:firstLine="200"/>
    </w:pPr>
    <w:rPr>
      <w:rFonts w:cs="Arial"/>
    </w:rPr>
  </w:style>
  <w:style w:type="paragraph" w:styleId="1239" w:customStyle="1">
    <w:name w:val="样式 首行缩进:  2 字符"/>
    <w:basedOn w:val="1040"/>
    <w:next w:val="1240"/>
    <w:uiPriority w:val="0"/>
    <w:qFormat/>
    <w:pPr>
      <w:ind w:left="480" w:firstLine="5856"/>
      <w:jc w:val="both"/>
      <w:spacing w:before="0" w:after="0" w:line="360" w:lineRule="auto"/>
      <w:widowControl w:val="off"/>
    </w:pPr>
  </w:style>
  <w:style w:type="paragraph" w:styleId="1240" w:customStyle="1">
    <w:name w:val="样式 段后: 0.25 行"/>
    <w:basedOn w:val="1040"/>
    <w:next w:val="1241"/>
    <w:uiPriority w:val="0"/>
    <w:qFormat/>
    <w:pPr>
      <w:ind w:left="420" w:firstLine="5796"/>
      <w:spacing w:before="0" w:after="0" w:line="300" w:lineRule="auto"/>
      <w:widowControl/>
    </w:pPr>
  </w:style>
  <w:style w:type="paragraph" w:styleId="1241" w:customStyle="1">
    <w:name w:val="正文 New New New New New New New New New New New New New New"/>
    <w:next w:val="1072"/>
    <w:uiPriority w:val="0"/>
    <w:qFormat/>
    <w:pPr>
      <w:ind w:firstLine="2048"/>
      <w:jc w:val="both"/>
      <w:widowControl w:val="off"/>
    </w:pPr>
    <w:rPr>
      <w:rFonts w:hint="default" w:ascii="Calibri" w:hAnsi="Calibri" w:eastAsia="宋体" w:cs="Times New Roman"/>
      <w:lang w:val="en-US" w:eastAsia="zh-CN" w:bidi="ar-SA"/>
    </w:rPr>
  </w:style>
  <w:style w:type="paragraph" w:styleId="1242" w:customStyle="1">
    <w:name w:val="纯文本1"/>
    <w:basedOn w:val="1040"/>
    <w:uiPriority w:val="99"/>
    <w:qFormat/>
    <w:rPr>
      <w:rFonts w:ascii="宋体" w:hAnsi="Courier New" w:eastAsia="宋体" w:cs="Courier New"/>
      <w:szCs w:val="21"/>
    </w:rPr>
  </w:style>
  <w:style w:type="paragraph" w:styleId="1243" w:customStyle="1">
    <w:name w:val="Table Text"/>
    <w:basedOn w:val="1040"/>
    <w:uiPriority w:val="0"/>
    <w:semiHidden/>
    <w:qFormat/>
    <w:rPr>
      <w:rFonts w:ascii="微软雅黑" w:hAnsi="微软雅黑" w:eastAsia="微软雅黑" w:cs="微软雅黑"/>
      <w:sz w:val="20"/>
      <w:szCs w:val="20"/>
      <w:lang w:val="en-US" w:eastAsia="en-US" w:bidi="ar-SA"/>
    </w:rPr>
  </w:style>
  <w:style w:type="paragraph" w:styleId="124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5" w:customStyle="1">
    <w:name w:val="正文首行缩进 21"/>
    <w:basedOn w:val="1246"/>
    <w:uiPriority w:val="0"/>
    <w:qFormat/>
    <w:pPr>
      <w:ind w:left="0" w:firstLine="420"/>
      <w:spacing w:after="0" w:line="360" w:lineRule="auto"/>
    </w:pPr>
    <w:rPr>
      <w:rFonts w:ascii="宋体" w:hAnsi="宋体" w:eastAsia="宋体" w:cs="Times New Roman"/>
      <w:szCs w:val="20"/>
    </w:rPr>
  </w:style>
  <w:style w:type="paragraph" w:styleId="1246" w:customStyle="1">
    <w:name w:val="正文文本缩进1"/>
    <w:basedOn w:val="1040"/>
    <w:uiPriority w:val="0"/>
    <w:unhideWhenUsed/>
    <w:qFormat/>
    <w:pPr>
      <w:ind w:left="420"/>
      <w:spacing w:after="120"/>
    </w:pPr>
  </w:style>
  <w:style w:type="paragraph" w:styleId="1247" w:customStyle="1">
    <w:name w:val="普通正文"/>
    <w:basedOn w:val="1040"/>
    <w:uiPriority w:val="0"/>
    <w:qFormat/>
    <w:pPr>
      <w:ind w:firstLine="480"/>
      <w:jc w:val="left"/>
      <w:spacing w:before="120" w:after="120" w:line="360" w:lineRule="auto"/>
    </w:pPr>
    <w:rPr>
      <w:rFonts w:ascii="Arial" w:hAnsi="Arial" w:eastAsia="宋体" w:cs="Times New Roman"/>
      <w:sz w:val="24"/>
      <w:szCs w:val="24"/>
    </w:rPr>
  </w:style>
  <w:style w:type="paragraph" w:styleId="1248" w:customStyle="1">
    <w:name w:val="正文文本11"/>
    <w:basedOn w:val="1040"/>
    <w:uiPriority w:val="0"/>
    <w:qFormat/>
    <w:rPr>
      <w:rFonts w:ascii="楷体_GB2312" w:hAnsi="Arial" w:eastAsia="楷体_GB2312" w:cs="Times New Roman"/>
      <w:sz w:val="28"/>
      <w:szCs w:val="28"/>
    </w:rPr>
  </w:style>
  <w:style w:type="paragraph" w:styleId="1249" w:customStyle="1">
    <w:name w:val="普通(网站)1"/>
    <w:basedOn w:val="1040"/>
    <w:uiPriority w:val="0"/>
    <w:qFormat/>
    <w:pPr>
      <w:jc w:val="left"/>
      <w:spacing w:before="100" w:beforeAutospacing="1" w:after="100" w:afterAutospacing="1"/>
      <w:widowControl/>
    </w:pPr>
    <w:rPr>
      <w:rFonts w:ascii="宋体" w:hAnsi="宋体" w:eastAsia="宋体" w:cs="宋体"/>
      <w:sz w:val="24"/>
      <w:szCs w:val="24"/>
    </w:rPr>
  </w:style>
  <w:style w:type="paragraph" w:styleId="1250" w:customStyle="1">
    <w:name w:val="Char"/>
    <w:basedOn w:val="1040"/>
    <w:uiPriority w:val="0"/>
    <w:qFormat/>
    <w:pPr>
      <w:ind w:firstLine="200"/>
      <w:tabs>
        <w:tab w:val="left" w:pos="360" w:leader="none"/>
      </w:tabs>
    </w:pPr>
    <w:rPr>
      <w:rFonts w:ascii="Times New Roman" w:hAnsi="Times New Roman" w:eastAsia="宋体" w:cs="Times New Roman"/>
      <w:sz w:val="28"/>
      <w:szCs w:val="30"/>
    </w:rPr>
  </w:style>
  <w:style w:type="character" w:styleId="1251" w:customStyle="1">
    <w:name w:val="要点1"/>
    <w:link w:val="1040"/>
    <w:uiPriority w:val="0"/>
    <w:qFormat/>
    <w:rPr>
      <w:b/>
      <w:bCs/>
    </w:rPr>
  </w:style>
  <w:style w:type="paragraph" w:styleId="1252" w:customStyle="1">
    <w:name w:val="日期1"/>
    <w:basedOn w:val="1228"/>
    <w:next w:val="1228"/>
    <w:uiPriority w:val="99"/>
    <w:qFormat/>
    <w:rPr>
      <w:rFonts w:ascii="Calibri" w:hAnsi="Calibri" w:eastAsia="仿宋_GB2312"/>
      <w:sz w:val="30"/>
    </w:rPr>
  </w:style>
  <w:style w:type="paragraph" w:styleId="1253" w:customStyle="1">
    <w:name w:val="一级条标题"/>
    <w:basedOn w:val="1254"/>
    <w:next w:val="125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54" w:customStyle="1">
    <w:name w:val="章标题"/>
    <w:next w:val="104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255" w:customStyle="1">
    <w:name w:val="段"/>
    <w:basedOn w:val="1228"/>
    <w:next w:val="1040"/>
    <w:uiPriority w:val="0"/>
    <w:qFormat/>
    <w:pPr>
      <w:ind w:firstLine="200"/>
      <w:widowControl/>
    </w:pPr>
    <w:rPr>
      <w:sz w:val="20"/>
    </w:rPr>
  </w:style>
  <w:style w:type="paragraph" w:styleId="1256" w:customStyle="1">
    <w:name w:val="页眉1"/>
    <w:basedOn w:val="1040"/>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57" w:customStyle="1">
    <w:name w:val="页脚1"/>
    <w:basedOn w:val="1040"/>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258" w:customStyle="1">
    <w:name w:val="页码1"/>
    <w:link w:val="1040"/>
    <w:uiPriority w:val="0"/>
    <w:qFormat/>
  </w:style>
  <w:style w:type="paragraph" w:styleId="1259" w:customStyle="1">
    <w:name w:val="*正文"/>
    <w:basedOn w:val="1040"/>
    <w:uiPriority w:val="0"/>
    <w:qFormat/>
    <w:pPr>
      <w:ind w:firstLine="200"/>
      <w:jc w:val="left"/>
      <w:spacing w:line="360" w:lineRule="auto"/>
    </w:pPr>
    <w:rPr>
      <w:rFonts w:ascii="仿宋_GB2312"/>
      <w:color w:val="000000"/>
      <w:szCs w:val="28"/>
    </w:rPr>
  </w:style>
  <w:style w:type="paragraph" w:styleId="1260" w:customStyle="1">
    <w:name w:val="Default"/>
    <w:next w:val="1040"/>
    <w:uiPriority w:val="0"/>
    <w:qFormat/>
    <w:pPr>
      <w:widowControl w:val="off"/>
    </w:pPr>
    <w:rPr>
      <w:rFonts w:hint="default" w:ascii="宋体" w:hAnsi="宋体" w:eastAsia="宋体" w:cs="宋体"/>
      <w:color w:val="000000"/>
      <w:lang w:val="en-US" w:eastAsia="zh-CN" w:bidi="ar-SA"/>
    </w:rPr>
  </w:style>
  <w:style w:type="paragraph" w:styleId="126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262" w:customStyle="1">
    <w:name w:val="标题 31"/>
    <w:basedOn w:val="1040"/>
    <w:next w:val="1228"/>
    <w:uiPriority w:val="99"/>
    <w:qFormat/>
    <w:pPr>
      <w:keepLines/>
      <w:keepNext/>
      <w:spacing w:before="260" w:after="260" w:line="416" w:lineRule="auto"/>
      <w:outlineLvl w:val="2"/>
    </w:pPr>
    <w:rPr>
      <w:b/>
      <w:bCs/>
      <w:sz w:val="32"/>
      <w:szCs w:val="32"/>
    </w:rPr>
  </w:style>
  <w:style w:type="numbering" w:styleId="12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小刘</dc:creator>
  <cp:lastModifiedBy>胡祖云</cp:lastModifiedBy>
  <cp:revision>11</cp:revision>
  <dcterms:created xsi:type="dcterms:W3CDTF">2026-03-02T03:30:00Z</dcterms:created>
  <dcterms:modified xsi:type="dcterms:W3CDTF">2026-05-18T07:27:00Z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26307165F1E543E0B1637F28AC9E9237_11</vt:lpwstr>
  </property>
  <property fmtid="{D5CDD505-2E9C-101B-9397-08002B2CF9AE}" pid="4" name="KSOTemplateDocerSaveRecord">
    <vt:lpwstr>eyJoZGlkIjoiZTllYWMzNjRlYTQzZDgyYTY5Yjk4MTM4ZTAxZDYwNjIiLCJ1c2VySWQiOiI0NTMzOTAxNjAifQ==</vt:lpwstr>
  </property>
</Properties>
</file>