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cs="宋体"/>
          <w:sz w:val="36"/>
          <w:highlight w:val="none"/>
        </w:rPr>
      </w:pPr>
      <w:r>
        <w:rPr>
          <w:rFonts w:ascii="宋体" w:hAnsi="宋体" w:cs="宋体"/>
          <w:sz w:val="36"/>
          <w:highlight w:val="none"/>
        </w:rPr>
      </w:r>
      <w:r/>
    </w:p>
    <w:p>
      <w:pPr>
        <w:jc w:val="right"/>
        <w:spacing w:line="360" w:lineRule="auto"/>
        <w:rPr>
          <w:rFonts w:ascii="宋体" w:hAnsi="宋体" w:cs="宋体"/>
          <w:b/>
          <w:bCs/>
          <w:sz w:val="36"/>
          <w:highlight w:val="none"/>
        </w:rPr>
      </w:pPr>
      <w:r>
        <w:rPr>
          <w:rFonts w:hint="eastAsia" w:ascii="宋体" w:hAnsi="宋体" w:cs="宋体"/>
          <w:b/>
          <w:bCs/>
          <w:sz w:val="36"/>
          <w:highlight w:val="none"/>
        </w:rPr>
        <w:t xml:space="preserve">编号：</w:t>
      </w:r>
      <w:r>
        <w:rPr>
          <w:rFonts w:hint="eastAsia" w:ascii="宋体" w:hAnsi="宋体" w:cs="宋体"/>
          <w:b/>
          <w:bCs/>
          <w:sz w:val="36"/>
          <w:highlight w:val="none"/>
          <w:lang w:eastAsia="zh-CN"/>
        </w:rPr>
        <w:t xml:space="preserve">JSZC-321000-HYZC-G2026-0001</w:t>
      </w:r>
      <w:r>
        <w:rPr>
          <w:rFonts w:hint="eastAsia" w:ascii="宋体" w:hAnsi="宋体" w:cs="宋体"/>
          <w:b/>
          <w:bCs/>
          <w:sz w:val="36"/>
          <w:highlight w:val="none"/>
        </w:rPr>
        <w:t xml:space="preserve">号       </w:t>
      </w:r>
      <w:r/>
    </w:p>
    <w:p>
      <w:pPr>
        <w:jc w:val="left"/>
        <w:spacing w:line="360" w:lineRule="auto"/>
        <w:tabs>
          <w:tab w:val="left" w:pos="2880" w:leader="none"/>
        </w:tabs>
        <w:rPr>
          <w:rFonts w:ascii="宋体" w:hAnsi="宋体" w:cs="宋体"/>
          <w:b/>
          <w:bCs/>
          <w:sz w:val="36"/>
          <w:highlight w:val="none"/>
        </w:rPr>
      </w:pPr>
      <w:r>
        <w:rPr>
          <w:rFonts w:hint="eastAsia" w:ascii="宋体" w:hAnsi="宋体" w:cs="宋体"/>
          <w:b/>
          <w:bCs/>
          <w:sz w:val="36"/>
          <w:highlight w:val="none"/>
        </w:rPr>
        <w:tab/>
      </w:r>
      <w:r/>
    </w:p>
    <w:p>
      <w:pPr>
        <w:jc w:val="center"/>
        <w:spacing w:line="360" w:lineRule="auto"/>
        <w:rPr>
          <w:rFonts w:ascii="宋体" w:hAnsi="宋体" w:cs="宋体"/>
          <w:sz w:val="44"/>
          <w:szCs w:val="44"/>
          <w:highlight w:val="none"/>
        </w:rPr>
      </w:pPr>
      <w:r>
        <w:rPr>
          <w:rFonts w:hint="eastAsia" w:ascii="宋体" w:hAnsi="宋体" w:cs="宋体"/>
          <w:b/>
          <w:bCs/>
          <w:sz w:val="44"/>
          <w:szCs w:val="44"/>
          <w:highlight w:val="none"/>
        </w:rPr>
        <w:t xml:space="preserve">扬州市城镇房屋体检服务项目公开招标文件</w:t>
      </w:r>
      <w:r/>
    </w:p>
    <w:p>
      <w:pPr>
        <w:jc w:val="center"/>
        <w:spacing w:line="360" w:lineRule="auto"/>
        <w:rPr>
          <w:rFonts w:ascii="宋体" w:hAnsi="宋体" w:cs="宋体"/>
          <w:sz w:val="36"/>
          <w:highlight w:val="none"/>
        </w:rPr>
      </w:pPr>
      <w:r>
        <w:rPr>
          <w:rFonts w:ascii="宋体" w:hAnsi="宋体" w:cs="宋体"/>
          <w:sz w:val="36"/>
          <w:highlight w:val="none"/>
        </w:rPr>
      </w:r>
      <w:r/>
    </w:p>
    <w:p>
      <w:pPr>
        <w:jc w:val="center"/>
        <w:spacing w:line="360" w:lineRule="auto"/>
        <w:rPr>
          <w:rFonts w:ascii="宋体" w:hAnsi="宋体" w:cs="宋体"/>
          <w:sz w:val="36"/>
          <w:highlight w:val="none"/>
        </w:rPr>
      </w:pPr>
      <w:r>
        <w:rPr>
          <w:rFonts w:hint="eastAsia" w:ascii="宋体" w:hAnsi="宋体" w:cs="宋体"/>
          <w:sz w:val="36"/>
          <w:highlight w:val="none"/>
        </w:rPr>
        <mc:AlternateContent>
          <mc:Choice Requires="wpg">
            <w:drawing>
              <wp:inline xmlns:wp="http://schemas.openxmlformats.org/drawingml/2006/wordprocessingDrawing" distT="0" distB="0" distL="0" distR="0">
                <wp:extent cx="5400040" cy="3328035"/>
                <wp:effectExtent l="0" t="0" r="10160" b="5715"/>
                <wp:docPr id="8" name="图片 6" descr="华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华屹"/>
                        <pic:cNvPicPr>
                          <a:picLocks noChangeAspect="1"/>
                        </pic:cNvPicPr>
                        <pic:nvPr/>
                      </pic:nvPicPr>
                      <pic:blipFill>
                        <a:blip r:embed="rId19">
                          <a:lum contrast="17998"/>
                        </a:blip>
                        <a:stretch/>
                      </pic:blipFill>
                      <pic:spPr bwMode="auto">
                        <a:xfrm>
                          <a:off x="0" y="0"/>
                          <a:ext cx="5400040" cy="3328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5.2pt;height:262.1pt;mso-wrap-distance-left:0.0pt;mso-wrap-distance-top:0.0pt;mso-wrap-distance-right:0.0pt;mso-wrap-distance-bottom:0.0pt;" stroked="f">
                <v:path textboxrect="0,0,0,0"/>
                <v:imagedata r:id="rId19" o:title=""/>
              </v:shape>
            </w:pict>
          </mc:Fallback>
        </mc:AlternateContent>
      </w:r>
      <w:r/>
    </w:p>
    <w:p>
      <w:pPr>
        <w:ind w:left="1470"/>
        <w:jc w:val="left"/>
        <w:spacing w:line="360" w:lineRule="auto"/>
        <w:rPr>
          <w:rFonts w:ascii="宋体" w:hAnsi="宋体" w:cs="宋体"/>
          <w:b/>
          <w:bCs/>
          <w:sz w:val="32"/>
          <w:szCs w:val="32"/>
          <w:highlight w:val="none"/>
        </w:rPr>
      </w:pPr>
      <w:r>
        <w:rPr>
          <w:rFonts w:ascii="宋体" w:hAnsi="宋体" w:cs="宋体"/>
          <w:b/>
          <w:bCs/>
          <w:sz w:val="32"/>
          <w:szCs w:val="32"/>
          <w:highlight w:val="none"/>
        </w:rPr>
      </w:r>
      <w:r/>
    </w:p>
    <w:p>
      <w:pPr>
        <w:ind w:left="1470"/>
        <w:jc w:val="left"/>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采购人：扬州市住房和城乡建设局</w:t>
      </w:r>
      <w:r/>
    </w:p>
    <w:p>
      <w:pPr>
        <w:ind w:left="1470"/>
        <w:jc w:val="left"/>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代理机构：江苏华屹工程咨询管理有限公司</w:t>
      </w:r>
      <w:r/>
    </w:p>
    <w:p>
      <w:pPr>
        <w:ind w:left="1470"/>
        <w:jc w:val="left"/>
        <w:spacing w:line="360" w:lineRule="auto"/>
        <w:rPr>
          <w:rFonts w:ascii="宋体" w:hAnsi="宋体" w:cs="宋体"/>
          <w:b/>
          <w:bCs/>
          <w:sz w:val="30"/>
          <w:szCs w:val="30"/>
          <w:highlight w:val="none"/>
        </w:rPr>
      </w:pPr>
      <w:r>
        <w:rPr>
          <w:rFonts w:hint="eastAsia" w:ascii="宋体" w:hAnsi="宋体" w:cs="宋体"/>
          <w:b/>
          <w:bCs/>
          <w:sz w:val="30"/>
          <w:szCs w:val="30"/>
          <w:highlight w:val="none"/>
        </w:rPr>
        <w:t xml:space="preserve">日期：2026年</w:t>
      </w:r>
      <w:r>
        <w:rPr>
          <w:rFonts w:hint="eastAsia" w:ascii="宋体" w:hAnsi="宋体" w:cs="宋体"/>
          <w:b/>
          <w:bCs/>
          <w:sz w:val="30"/>
          <w:szCs w:val="30"/>
          <w:highlight w:val="none"/>
          <w:lang w:val="en-US" w:eastAsia="zh-CN"/>
        </w:rPr>
        <w:t xml:space="preserve">5</w:t>
      </w:r>
      <w:r>
        <w:rPr>
          <w:rFonts w:hint="eastAsia" w:ascii="宋体" w:hAnsi="宋体" w:cs="宋体"/>
          <w:b/>
          <w:bCs/>
          <w:sz w:val="30"/>
          <w:szCs w:val="30"/>
          <w:highlight w:val="none"/>
        </w:rPr>
        <w:t xml:space="preserve">月</w:t>
      </w:r>
      <w:r>
        <w:rPr>
          <w:rFonts w:hint="eastAsia" w:ascii="宋体" w:hAnsi="宋体" w:cs="宋体"/>
          <w:b/>
          <w:bCs/>
          <w:sz w:val="30"/>
          <w:szCs w:val="30"/>
          <w:highlight w:val="none"/>
          <w:lang w:val="en-US" w:eastAsia="zh-CN"/>
        </w:rPr>
        <w:t xml:space="preserve">9</w:t>
      </w:r>
      <w:r>
        <w:rPr>
          <w:rFonts w:hint="eastAsia" w:ascii="宋体" w:hAnsi="宋体" w:cs="宋体"/>
          <w:b/>
          <w:bCs/>
          <w:sz w:val="30"/>
          <w:szCs w:val="30"/>
          <w:highlight w:val="none"/>
        </w:rPr>
        <w:t xml:space="preserve">日</w:t>
      </w:r>
      <w:r/>
    </w:p>
    <w:p>
      <w:pPr>
        <w:ind w:left="1470"/>
        <w:jc w:val="left"/>
        <w:spacing w:line="360" w:lineRule="auto"/>
        <w:rPr>
          <w:rFonts w:ascii="宋体" w:hAnsi="宋体" w:cs="宋体"/>
          <w:sz w:val="32"/>
          <w:highlight w:val="none"/>
        </w:rPr>
        <w:sectPr>
          <w:head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sz w:val="32"/>
          <w:highlight w:val="none"/>
        </w:rPr>
      </w:r>
      <w:r/>
    </w:p>
    <w:p>
      <w:pPr>
        <w:pStyle w:val="1128"/>
        <w:spacing w:line="360" w:lineRule="auto"/>
        <w:rPr>
          <w:rFonts w:ascii="宋体" w:hAnsi="宋体" w:cs="宋体"/>
          <w:highlight w:val="none"/>
        </w:rPr>
      </w:pPr>
      <w:r>
        <w:rPr>
          <w:rFonts w:ascii="宋体" w:hAnsi="宋体" w:cs="宋体"/>
          <w:highlight w:val="none"/>
        </w:rPr>
      </w:r>
      <w:r/>
    </w:p>
    <w:p>
      <w:pPr>
        <w:jc w:val="center"/>
        <w:spacing w:line="360" w:lineRule="auto"/>
        <w:rPr>
          <w:rFonts w:ascii="宋体" w:hAnsi="宋体" w:cs="宋体"/>
          <w:b/>
          <w:bCs/>
          <w:sz w:val="36"/>
          <w:szCs w:val="36"/>
          <w:highlight w:val="none"/>
        </w:rPr>
      </w:pPr>
      <w:r/>
      <w:bookmarkStart w:id="0" w:name="_Toc30208"/>
      <w:r/>
      <w:bookmarkStart w:id="1" w:name="_Toc55204177"/>
      <w:r/>
      <w:r/>
    </w:p>
    <w:p>
      <w:pPr>
        <w:jc w:val="center"/>
        <w:spacing w:line="360" w:lineRule="auto"/>
        <w:rPr>
          <w:rFonts w:ascii="宋体" w:hAnsi="宋体" w:cs="宋体"/>
          <w:b/>
          <w:bCs/>
          <w:sz w:val="36"/>
          <w:szCs w:val="36"/>
          <w:highlight w:val="none"/>
        </w:rPr>
      </w:pPr>
      <w:r>
        <w:rPr>
          <w:rFonts w:hint="eastAsia" w:ascii="宋体" w:hAnsi="宋体" w:cs="宋体"/>
          <w:b/>
          <w:bCs/>
          <w:sz w:val="36"/>
          <w:szCs w:val="36"/>
          <w:highlight w:val="none"/>
        </w:rPr>
        <w:t xml:space="preserve">目   录</w:t>
      </w:r>
      <w:r/>
    </w:p>
    <w:p>
      <w:pPr>
        <w:jc w:val="center"/>
        <w:spacing w:line="360" w:lineRule="auto"/>
        <w:rPr>
          <w:rFonts w:ascii="宋体" w:hAnsi="宋体" w:cs="宋体"/>
          <w:b/>
          <w:bCs/>
          <w:sz w:val="36"/>
          <w:szCs w:val="36"/>
          <w:highlight w:val="none"/>
        </w:rPr>
      </w:pPr>
      <w:r>
        <w:rPr>
          <w:rFonts w:ascii="宋体" w:hAnsi="宋体" w:cs="宋体"/>
          <w:b/>
          <w:bCs/>
          <w:sz w:val="36"/>
          <w:szCs w:val="36"/>
          <w:highlight w:val="none"/>
        </w:rPr>
      </w:r>
      <w:r/>
    </w:p>
    <w:p>
      <w:pPr>
        <w:pStyle w:val="926"/>
        <w:spacing w:line="360" w:lineRule="auto"/>
        <w:tabs>
          <w:tab w:val="right" w:pos="9746" w:leader="dot"/>
        </w:tabs>
        <w:rPr>
          <w:rFonts w:ascii="宋体" w:hAnsi="宋体" w:cs="宋体"/>
          <w:sz w:val="32"/>
          <w:szCs w:val="32"/>
          <w:highlight w:val="none"/>
        </w:rPr>
      </w:pP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TOC \o "1-1" \h \u </w:instrText>
      </w:r>
      <w:r>
        <w:rPr>
          <w:rFonts w:hint="eastAsia" w:ascii="宋体" w:hAnsi="宋体" w:cs="宋体"/>
          <w:sz w:val="32"/>
          <w:szCs w:val="32"/>
          <w:highlight w:val="none"/>
        </w:rPr>
        <w:fldChar w:fldCharType="separate"/>
      </w:r>
      <w:r>
        <w:rPr>
          <w:highlight w:val="none"/>
        </w:rPr>
        <w:fldChar w:fldCharType="begin"/>
      </w:r>
      <w:r>
        <w:rPr>
          <w:highlight w:val="none"/>
        </w:rPr>
        <w:instrText xml:space="preserve"> HYPERLINK \l "_Toc23175" </w:instrText>
      </w:r>
      <w:r>
        <w:rPr>
          <w:highlight w:val="none"/>
        </w:rPr>
        <w:fldChar w:fldCharType="separate"/>
      </w:r>
      <w:r>
        <w:rPr>
          <w:rFonts w:hint="eastAsia" w:ascii="宋体" w:hAnsi="宋体" w:cs="宋体"/>
          <w:sz w:val="32"/>
          <w:szCs w:val="32"/>
          <w:highlight w:val="none"/>
        </w:rPr>
        <w:t xml:space="preserve">第一章 扬州市城镇房屋体检服务项目采购公告</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_Toc23175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2</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26"/>
        <w:spacing w:line="360" w:lineRule="auto"/>
        <w:tabs>
          <w:tab w:val="right" w:pos="9746" w:leader="dot"/>
        </w:tabs>
        <w:rPr>
          <w:rFonts w:ascii="宋体" w:hAnsi="宋体" w:cs="宋体"/>
          <w:sz w:val="32"/>
          <w:szCs w:val="32"/>
          <w:highlight w:val="none"/>
        </w:rPr>
      </w:pPr>
      <w:r>
        <w:rPr>
          <w:highlight w:val="none"/>
        </w:rPr>
        <w:fldChar w:fldCharType="begin"/>
      </w:r>
      <w:r>
        <w:rPr>
          <w:highlight w:val="none"/>
        </w:rPr>
        <w:instrText xml:space="preserve"> HYPERLINK \l "_Toc14520" </w:instrText>
      </w:r>
      <w:r>
        <w:rPr>
          <w:highlight w:val="none"/>
        </w:rPr>
        <w:fldChar w:fldCharType="separate"/>
      </w:r>
      <w:r>
        <w:rPr>
          <w:rFonts w:hint="eastAsia" w:ascii="宋体" w:hAnsi="宋体" w:cs="宋体"/>
          <w:sz w:val="32"/>
          <w:szCs w:val="32"/>
          <w:highlight w:val="none"/>
        </w:rPr>
        <w:t xml:space="preserve">第二章 投标人须知</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_Toc14520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6</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26"/>
        <w:spacing w:line="360" w:lineRule="auto"/>
        <w:tabs>
          <w:tab w:val="right" w:pos="9746" w:leader="dot"/>
        </w:tabs>
        <w:rPr>
          <w:rFonts w:ascii="宋体" w:hAnsi="宋体" w:cs="宋体"/>
          <w:sz w:val="32"/>
          <w:szCs w:val="32"/>
          <w:highlight w:val="none"/>
        </w:rPr>
      </w:pPr>
      <w:r>
        <w:rPr>
          <w:highlight w:val="none"/>
        </w:rPr>
        <w:fldChar w:fldCharType="begin"/>
      </w:r>
      <w:r>
        <w:rPr>
          <w:highlight w:val="none"/>
        </w:rPr>
        <w:instrText xml:space="preserve"> HYPERLINK \l "_Toc4651" </w:instrText>
      </w:r>
      <w:r>
        <w:rPr>
          <w:highlight w:val="none"/>
        </w:rPr>
        <w:fldChar w:fldCharType="separate"/>
      </w:r>
      <w:r>
        <w:rPr>
          <w:rFonts w:hint="eastAsia" w:ascii="宋体" w:hAnsi="宋体" w:cs="宋体"/>
          <w:sz w:val="32"/>
          <w:szCs w:val="32"/>
          <w:highlight w:val="none"/>
        </w:rPr>
        <w:t xml:space="preserve">第三章 合同条款及格式</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_Toc4651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15</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26"/>
        <w:spacing w:line="360" w:lineRule="auto"/>
        <w:tabs>
          <w:tab w:val="right" w:pos="9746" w:leader="dot"/>
        </w:tabs>
        <w:rPr>
          <w:rFonts w:ascii="宋体" w:hAnsi="宋体" w:cs="宋体"/>
          <w:sz w:val="32"/>
          <w:szCs w:val="32"/>
          <w:highlight w:val="none"/>
        </w:rPr>
      </w:pPr>
      <w:r>
        <w:rPr>
          <w:highlight w:val="none"/>
        </w:rPr>
        <w:fldChar w:fldCharType="begin"/>
      </w:r>
      <w:r>
        <w:rPr>
          <w:highlight w:val="none"/>
        </w:rPr>
        <w:instrText xml:space="preserve"> HYPERLINK \l "_Toc31536" </w:instrText>
      </w:r>
      <w:r>
        <w:rPr>
          <w:highlight w:val="none"/>
        </w:rPr>
        <w:fldChar w:fldCharType="separate"/>
      </w:r>
      <w:r>
        <w:rPr>
          <w:rFonts w:hint="eastAsia" w:ascii="宋体" w:hAnsi="宋体" w:cs="宋体"/>
          <w:sz w:val="32"/>
          <w:szCs w:val="32"/>
          <w:highlight w:val="none"/>
        </w:rPr>
        <w:t xml:space="preserve">第四章 项目需求</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_Toc31536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21</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26"/>
        <w:spacing w:line="360" w:lineRule="auto"/>
        <w:tabs>
          <w:tab w:val="right" w:pos="9746" w:leader="dot"/>
        </w:tabs>
        <w:rPr>
          <w:rFonts w:ascii="宋体" w:hAnsi="宋体" w:cs="宋体"/>
          <w:sz w:val="32"/>
          <w:szCs w:val="32"/>
          <w:highlight w:val="none"/>
        </w:rPr>
      </w:pPr>
      <w:r>
        <w:rPr>
          <w:highlight w:val="none"/>
        </w:rPr>
        <w:fldChar w:fldCharType="begin"/>
      </w:r>
      <w:r>
        <w:rPr>
          <w:highlight w:val="none"/>
        </w:rPr>
        <w:instrText xml:space="preserve"> HYPERLINK \l "_Toc29930" </w:instrText>
      </w:r>
      <w:r>
        <w:rPr>
          <w:highlight w:val="none"/>
        </w:rPr>
        <w:fldChar w:fldCharType="separate"/>
      </w:r>
      <w:r>
        <w:rPr>
          <w:rFonts w:hint="eastAsia" w:ascii="宋体" w:hAnsi="宋体" w:cs="宋体"/>
          <w:sz w:val="32"/>
          <w:szCs w:val="32"/>
          <w:highlight w:val="none"/>
        </w:rPr>
        <w:t xml:space="preserve">第五章 评标方法及评标标准</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_Toc29930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38</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26"/>
        <w:spacing w:line="360" w:lineRule="auto"/>
        <w:tabs>
          <w:tab w:val="right" w:pos="9746" w:leader="dot"/>
        </w:tabs>
        <w:rPr>
          <w:rFonts w:ascii="宋体" w:hAnsi="宋体" w:cs="宋体"/>
          <w:sz w:val="32"/>
          <w:szCs w:val="32"/>
          <w:highlight w:val="none"/>
        </w:rPr>
      </w:pPr>
      <w:r>
        <w:rPr>
          <w:highlight w:val="none"/>
        </w:rPr>
        <w:fldChar w:fldCharType="begin"/>
      </w:r>
      <w:r>
        <w:rPr>
          <w:highlight w:val="none"/>
        </w:rPr>
        <w:instrText xml:space="preserve"> HYPERLINK \l "_Toc26659" </w:instrText>
      </w:r>
      <w:r>
        <w:rPr>
          <w:highlight w:val="none"/>
        </w:rPr>
        <w:fldChar w:fldCharType="separate"/>
      </w:r>
      <w:r>
        <w:rPr>
          <w:rFonts w:hint="eastAsia" w:ascii="宋体" w:hAnsi="宋体" w:cs="宋体"/>
          <w:sz w:val="32"/>
          <w:szCs w:val="32"/>
          <w:highlight w:val="none"/>
        </w:rPr>
        <w:t xml:space="preserve">第六章 投标文件格式</w:t>
      </w:r>
      <w:r>
        <w:rPr>
          <w:rFonts w:hint="eastAsia" w:ascii="宋体" w:hAnsi="宋体" w:cs="宋体"/>
          <w:sz w:val="32"/>
          <w:szCs w:val="32"/>
          <w:highlight w:val="none"/>
        </w:rPr>
        <w:tab/>
      </w:r>
      <w:r>
        <w:rPr>
          <w:rFonts w:hint="eastAsia" w:ascii="宋体" w:hAnsi="宋体" w:cs="宋体"/>
          <w:sz w:val="32"/>
          <w:szCs w:val="32"/>
          <w:highlight w:val="none"/>
        </w:rPr>
        <w:fldChar w:fldCharType="begin"/>
      </w:r>
      <w:r>
        <w:rPr>
          <w:rFonts w:hint="eastAsia" w:ascii="宋体" w:hAnsi="宋体" w:cs="宋体"/>
          <w:sz w:val="32"/>
          <w:szCs w:val="32"/>
          <w:highlight w:val="none"/>
        </w:rPr>
        <w:instrText xml:space="preserve"> PAGEREF _Toc26659 \h </w:instrText>
      </w:r>
      <w:r>
        <w:rPr>
          <w:rFonts w:hint="eastAsia" w:ascii="宋体" w:hAnsi="宋体" w:cs="宋体"/>
          <w:sz w:val="32"/>
          <w:szCs w:val="32"/>
          <w:highlight w:val="none"/>
        </w:rPr>
        <w:fldChar w:fldCharType="separate"/>
      </w:r>
      <w:r>
        <w:rPr>
          <w:rFonts w:hint="eastAsia" w:ascii="宋体" w:hAnsi="宋体" w:cs="宋体"/>
          <w:sz w:val="32"/>
          <w:szCs w:val="32"/>
          <w:highlight w:val="none"/>
        </w:rPr>
        <w:t xml:space="preserve">42</w:t>
      </w:r>
      <w:r>
        <w:rPr>
          <w:rFonts w:hint="eastAsia" w:ascii="宋体" w:hAnsi="宋体" w:cs="宋体"/>
          <w:sz w:val="32"/>
          <w:szCs w:val="32"/>
          <w:highlight w:val="none"/>
        </w:rPr>
        <w:fldChar w:fldCharType="end"/>
      </w:r>
      <w:r>
        <w:rPr>
          <w:rFonts w:hint="eastAsia" w:ascii="宋体" w:hAnsi="宋体" w:cs="宋体"/>
          <w:sz w:val="32"/>
          <w:szCs w:val="32"/>
          <w:highlight w:val="none"/>
        </w:rPr>
        <w:fldChar w:fldCharType="end"/>
      </w:r>
      <w:r/>
    </w:p>
    <w:p>
      <w:pPr>
        <w:pStyle w:val="937"/>
        <w:spacing w:line="360" w:lineRule="auto"/>
        <w:rPr>
          <w:rFonts w:ascii="宋体" w:hAnsi="宋体" w:eastAsia="宋体" w:cs="宋体"/>
          <w:sz w:val="32"/>
          <w:szCs w:val="32"/>
          <w:highlight w:val="none"/>
        </w:rPr>
      </w:pPr>
      <w:r>
        <w:rPr>
          <w:rFonts w:hint="eastAsia" w:ascii="宋体" w:hAnsi="宋体" w:eastAsia="宋体" w:cs="宋体"/>
          <w:sz w:val="32"/>
          <w:szCs w:val="32"/>
          <w:highlight w:val="none"/>
        </w:rPr>
        <w:fldChar w:fldCharType="end"/>
      </w:r>
      <w:r/>
    </w:p>
    <w:p>
      <w:pPr>
        <w:pStyle w:val="937"/>
        <w:spacing w:line="360" w:lineRule="auto"/>
        <w:rPr>
          <w:rFonts w:ascii="宋体" w:hAnsi="宋体" w:eastAsia="宋体" w:cs="宋体"/>
          <w:highlight w:val="none"/>
        </w:rPr>
      </w:pPr>
      <w:r>
        <w:rPr>
          <w:rFonts w:ascii="宋体" w:hAnsi="宋体" w:eastAsia="宋体" w:cs="宋体"/>
          <w:highlight w:val="none"/>
        </w:rPr>
      </w:r>
      <w:r/>
    </w:p>
    <w:p>
      <w:pPr>
        <w:pStyle w:val="937"/>
        <w:spacing w:line="360" w:lineRule="auto"/>
        <w:rPr>
          <w:rFonts w:ascii="宋体" w:hAnsi="宋体" w:eastAsia="宋体" w:cs="宋体"/>
          <w:highlight w:val="none"/>
        </w:rPr>
      </w:pPr>
      <w:r>
        <w:rPr>
          <w:rFonts w:ascii="宋体" w:hAnsi="宋体" w:eastAsia="宋体" w:cs="宋体"/>
          <w:highlight w:val="none"/>
        </w:rPr>
      </w:r>
      <w:r/>
    </w:p>
    <w:p>
      <w:pPr>
        <w:pStyle w:val="898"/>
        <w:rPr>
          <w:rFonts w:ascii="宋体" w:hAnsi="宋体" w:cs="宋体"/>
          <w:highlight w:val="none"/>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bookmarkStart w:id="2" w:name="_Toc2105"/>
      <w:r/>
      <w:r/>
    </w:p>
    <w:p>
      <w:pPr>
        <w:pStyle w:val="898"/>
        <w:rPr>
          <w:rFonts w:ascii="宋体" w:hAnsi="宋体" w:cs="宋体"/>
          <w:highlight w:val="none"/>
        </w:rPr>
      </w:pPr>
      <w:r/>
      <w:bookmarkStart w:id="3" w:name="_Toc21588"/>
      <w:r/>
      <w:bookmarkStart w:id="4" w:name="_Toc23175"/>
      <w:r/>
      <w:bookmarkStart w:id="5" w:name="_Toc18731"/>
      <w:r/>
      <w:bookmarkStart w:id="6" w:name="_Toc11592"/>
      <w:r>
        <w:rPr>
          <w:rFonts w:hint="eastAsia" w:ascii="宋体" w:hAnsi="宋体" w:cs="宋体"/>
          <w:highlight w:val="none"/>
        </w:rPr>
        <w:t xml:space="preserve">第一章 </w:t>
      </w:r>
      <w:bookmarkEnd w:id="0"/>
      <w:r/>
      <w:bookmarkEnd w:id="2"/>
      <w:r/>
      <w:bookmarkEnd w:id="3"/>
      <w:r/>
      <w:bookmarkStart w:id="7" w:name="_Toc27417"/>
      <w:r/>
      <w:bookmarkStart w:id="8" w:name="_Toc31943"/>
      <w:r/>
      <w:bookmarkStart w:id="9" w:name="_Toc20055"/>
      <w:r>
        <w:rPr>
          <w:rFonts w:hint="eastAsia" w:ascii="宋体" w:hAnsi="宋体" w:cs="宋体"/>
          <w:highlight w:val="none"/>
        </w:rPr>
        <w:t xml:space="preserve">扬州市城镇房屋体检服务项目采购公告</w:t>
      </w:r>
      <w:bookmarkEnd w:id="1"/>
      <w:r/>
      <w:bookmarkEnd w:id="4"/>
      <w:r/>
      <w:bookmarkEnd w:id="5"/>
      <w:r/>
      <w:bookmarkEnd w:id="6"/>
      <w:r/>
      <w:bookmarkEnd w:id="7"/>
      <w:r/>
      <w:bookmarkEnd w:id="8"/>
      <w:r/>
      <w:bookmarkEnd w:id="9"/>
      <w:r/>
      <w:r/>
    </w:p>
    <w:p>
      <w:pPr>
        <w:ind w:firstLine="420"/>
        <w:jc w:val="left"/>
        <w:spacing w:line="360" w:lineRule="auto"/>
        <w:tabs>
          <w:tab w:val="left" w:pos="266" w:leader="none"/>
        </w:tabs>
        <w:rPr>
          <w:rFonts w:ascii="宋体" w:hAnsi="宋体" w:cs="宋体"/>
          <w:szCs w:val="21"/>
          <w:highlight w:val="none"/>
        </w:rPr>
      </w:pPr>
      <w:r>
        <w:rPr>
          <w:rFonts w:hint="eastAsia" w:ascii="宋体" w:hAnsi="宋体" w:cs="宋体"/>
          <w:highlight w:val="none"/>
        </w:rPr>
        <w:t xml:space="preserve">受扬州市住房和城乡建设局的委托，江苏华屹工程咨询管理有限公司就扬州市城镇房屋体检服务项目(</w:t>
      </w:r>
      <w:r>
        <w:rPr>
          <w:rFonts w:hint="eastAsia" w:ascii="宋体" w:hAnsi="宋体" w:cs="宋体"/>
          <w:highlight w:val="none"/>
          <w:lang w:eastAsia="zh-CN"/>
        </w:rPr>
        <w:t xml:space="preserve">JSZC-321000-HYZC-G2026-0001</w:t>
      </w:r>
      <w:r>
        <w:rPr>
          <w:rFonts w:hint="eastAsia" w:ascii="宋体" w:hAnsi="宋体" w:cs="宋体"/>
          <w:highlight w:val="none"/>
        </w:rPr>
        <w:t xml:space="preserve">号)进行公开招标采购，欢迎符合条件的投标人投标。</w:t>
      </w:r>
      <w:r/>
    </w:p>
    <w:p>
      <w:pPr>
        <w:ind w:firstLine="422"/>
        <w:spacing w:line="360" w:lineRule="auto"/>
        <w:rPr>
          <w:rFonts w:ascii="宋体" w:hAnsi="宋体" w:cs="宋体"/>
          <w:b/>
          <w:bCs/>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highlight w:val="none"/>
        </w:rPr>
        <w:t xml:space="preserve">项目概况</w:t>
      </w:r>
      <w:r/>
    </w:p>
    <w:p>
      <w:pPr>
        <w:ind w:firstLine="420"/>
        <w:spacing w:line="360" w:lineRule="auto"/>
        <w:rPr>
          <w:rFonts w:ascii="宋体" w:hAnsi="宋体" w:cs="宋体"/>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highlight w:val="none"/>
          <w:u w:val="single"/>
        </w:rPr>
        <w:t xml:space="preserve">扬州市城镇房屋体检服务项目</w:t>
      </w:r>
      <w:r>
        <w:rPr>
          <w:rFonts w:hint="eastAsia" w:ascii="宋体" w:hAnsi="宋体" w:cs="宋体"/>
          <w:highlight w:val="none"/>
        </w:rPr>
        <w:t xml:space="preserve">的潜在投标人可在</w:t>
      </w:r>
      <w:r>
        <w:rPr>
          <w:rFonts w:hint="eastAsia" w:ascii="宋体" w:hAnsi="宋体" w:cs="宋体"/>
          <w:highlight w:val="none"/>
          <w:u w:val="single"/>
        </w:rPr>
        <w:t xml:space="preserve">“扬州市政府采购网”、“江苏省政府采购网”和“中国政府采购网”自行免费下载</w:t>
      </w:r>
      <w:r>
        <w:rPr>
          <w:rFonts w:hint="eastAsia" w:ascii="宋体" w:hAnsi="宋体" w:cs="宋体"/>
          <w:highlight w:val="none"/>
        </w:rPr>
        <w:t xml:space="preserve">招标文件，并于</w:t>
      </w:r>
      <w:r>
        <w:rPr>
          <w:rFonts w:hint="eastAsia" w:ascii="宋体" w:hAnsi="宋体" w:cs="宋体"/>
          <w:bCs/>
          <w:highlight w:val="none"/>
          <w:u w:val="single"/>
        </w:rPr>
        <w:t xml:space="preserve">2026年</w:t>
      </w:r>
      <w:r>
        <w:rPr>
          <w:rFonts w:hint="eastAsia" w:ascii="宋体" w:hAnsi="宋体" w:cs="宋体"/>
          <w:bCs/>
          <w:highlight w:val="none"/>
          <w:u w:val="single"/>
          <w:lang w:val="en-US" w:eastAsia="zh-CN"/>
        </w:rPr>
        <w:t xml:space="preserve">6</w:t>
      </w:r>
      <w:r>
        <w:rPr>
          <w:rFonts w:hint="eastAsia" w:ascii="宋体" w:hAnsi="宋体" w:cs="宋体"/>
          <w:bCs/>
          <w:highlight w:val="none"/>
          <w:u w:val="single"/>
        </w:rPr>
        <w:t xml:space="preserve">月</w:t>
      </w:r>
      <w:r>
        <w:rPr>
          <w:rFonts w:hint="eastAsia" w:ascii="宋体" w:hAnsi="宋体" w:cs="宋体"/>
          <w:bCs/>
          <w:highlight w:val="none"/>
          <w:u w:val="single"/>
          <w:lang w:val="en-US" w:eastAsia="zh-CN"/>
        </w:rPr>
        <w:t xml:space="preserve">1</w:t>
      </w:r>
      <w:r>
        <w:rPr>
          <w:rFonts w:hint="eastAsia" w:ascii="宋体" w:hAnsi="宋体" w:cs="宋体"/>
          <w:bCs/>
          <w:highlight w:val="none"/>
          <w:u w:val="single"/>
        </w:rPr>
        <w:t xml:space="preserve">日上午9:</w:t>
      </w:r>
      <w:r>
        <w:rPr>
          <w:rFonts w:hint="eastAsia" w:ascii="宋体" w:hAnsi="宋体" w:cs="宋体"/>
          <w:bCs/>
          <w:highlight w:val="none"/>
          <w:u w:val="single"/>
          <w:lang w:val="en-US" w:eastAsia="zh-CN"/>
        </w:rPr>
        <w:t xml:space="preserve">0</w:t>
      </w:r>
      <w:r>
        <w:rPr>
          <w:rFonts w:hint="eastAsia" w:ascii="宋体" w:hAnsi="宋体" w:cs="宋体"/>
          <w:bCs/>
          <w:highlight w:val="none"/>
          <w:u w:val="single"/>
        </w:rPr>
        <w:t xml:space="preserve">0</w:t>
      </w:r>
      <w:r>
        <w:rPr>
          <w:rFonts w:hint="eastAsia" w:ascii="宋体" w:hAnsi="宋体" w:cs="宋体"/>
          <w:bCs/>
          <w:highlight w:val="none"/>
        </w:rPr>
        <w:t xml:space="preserve">（北京时间）前递交投标文件</w:t>
      </w:r>
      <w:r>
        <w:rPr>
          <w:rFonts w:hint="eastAsia" w:ascii="宋体" w:hAnsi="宋体" w:cs="宋体"/>
          <w:highlight w:val="none"/>
        </w:rPr>
        <w:t xml:space="preserve">。</w:t>
      </w:r>
      <w:r/>
    </w:p>
    <w:p>
      <w:pPr>
        <w:ind w:firstLine="422"/>
        <w:spacing w:line="360" w:lineRule="auto"/>
        <w:tabs>
          <w:tab w:val="left" w:pos="266" w:leader="none"/>
        </w:tabs>
        <w:rPr>
          <w:rFonts w:ascii="宋体" w:hAnsi="宋体" w:cs="宋体"/>
          <w:b/>
          <w:bCs/>
          <w:highlight w:val="none"/>
        </w:rPr>
      </w:pPr>
      <w:r/>
      <w:bookmarkStart w:id="10" w:name="_Toc38985263"/>
      <w:r/>
      <w:bookmarkStart w:id="11" w:name="_Toc28359002"/>
      <w:r/>
      <w:bookmarkStart w:id="12" w:name="_Toc28359079"/>
      <w:r/>
      <w:bookmarkStart w:id="13" w:name="_Toc35393790"/>
      <w:r/>
      <w:bookmarkStart w:id="14" w:name="_Toc35393621"/>
      <w:r/>
      <w:bookmarkStart w:id="15" w:name="_Hlk24379207"/>
      <w:r>
        <w:rPr>
          <w:rFonts w:hint="eastAsia" w:ascii="宋体" w:hAnsi="宋体" w:cs="宋体"/>
          <w:b/>
          <w:bCs/>
          <w:highlight w:val="none"/>
        </w:rPr>
        <w:t xml:space="preserve">一、项目基本情况</w:t>
      </w:r>
      <w:bookmarkEnd w:id="10"/>
      <w:r/>
      <w:bookmarkEnd w:id="11"/>
      <w:r/>
      <w:bookmarkEnd w:id="12"/>
      <w:r/>
      <w:bookmarkEnd w:id="13"/>
      <w:r/>
      <w:bookmarkEnd w:id="14"/>
      <w:r/>
      <w:r/>
    </w:p>
    <w:p>
      <w:pPr>
        <w:ind w:firstLine="420"/>
        <w:spacing w:line="360" w:lineRule="auto"/>
        <w:rPr>
          <w:rFonts w:ascii="宋体" w:hAnsi="宋体" w:cs="宋体"/>
          <w:szCs w:val="21"/>
          <w:highlight w:val="none"/>
        </w:rPr>
      </w:pPr>
      <w:r>
        <w:rPr>
          <w:rFonts w:hint="eastAsia" w:ascii="宋体" w:hAnsi="宋体" w:cs="宋体"/>
          <w:highlight w:val="none"/>
        </w:rPr>
        <w:t xml:space="preserve">1.项目编号：</w:t>
      </w:r>
      <w:r>
        <w:rPr>
          <w:rFonts w:hint="eastAsia" w:ascii="宋体" w:hAnsi="宋体" w:cs="宋体"/>
          <w:highlight w:val="none"/>
          <w:lang w:eastAsia="zh-CN"/>
        </w:rPr>
        <w:t xml:space="preserve">JSZC-321000-HYZC-G2026-0001</w:t>
      </w:r>
      <w:r>
        <w:rPr>
          <w:rFonts w:hint="eastAsia" w:ascii="宋体" w:hAnsi="宋体" w:cs="宋体"/>
          <w:highlight w:val="none"/>
        </w:rPr>
        <w:t xml:space="preserve">号</w:t>
      </w:r>
      <w:r/>
    </w:p>
    <w:p>
      <w:pPr>
        <w:ind w:firstLine="420"/>
        <w:spacing w:line="360" w:lineRule="auto"/>
        <w:rPr>
          <w:rFonts w:ascii="宋体" w:hAnsi="宋体" w:cs="宋体"/>
          <w:highlight w:val="none"/>
        </w:rPr>
      </w:pPr>
      <w:r>
        <w:rPr>
          <w:rFonts w:hint="eastAsia" w:ascii="宋体" w:hAnsi="宋体" w:cs="宋体"/>
          <w:highlight w:val="none"/>
        </w:rPr>
        <w:t xml:space="preserve">2.项目名称：</w:t>
      </w:r>
      <w:bookmarkEnd w:id="15"/>
      <w:r>
        <w:rPr>
          <w:rFonts w:hint="eastAsia" w:ascii="宋体" w:hAnsi="宋体" w:cs="宋体"/>
          <w:highlight w:val="none"/>
        </w:rPr>
        <w:t xml:space="preserve">扬州市城镇房屋体检服务项目</w:t>
      </w:r>
      <w:r/>
    </w:p>
    <w:p>
      <w:pPr>
        <w:ind w:left="420"/>
        <w:spacing w:line="360" w:lineRule="auto"/>
        <w:tabs>
          <w:tab w:val="left" w:pos="266" w:leader="none"/>
        </w:tabs>
        <w:rPr>
          <w:rFonts w:ascii="宋体" w:hAnsi="宋体" w:cs="宋体"/>
          <w:highlight w:val="none"/>
        </w:rPr>
      </w:pPr>
      <w:r/>
      <w:bookmarkStart w:id="16" w:name="OLE_LINK2"/>
      <w:r/>
      <w:bookmarkStart w:id="17" w:name="_Toc35393791"/>
      <w:r/>
      <w:bookmarkStart w:id="18" w:name="_Toc28359080"/>
      <w:r/>
      <w:bookmarkStart w:id="19" w:name="_Toc35393622"/>
      <w:r/>
      <w:bookmarkStart w:id="20" w:name="_Toc38985264"/>
      <w:r/>
      <w:bookmarkStart w:id="21" w:name="_Toc28359003"/>
      <w:r>
        <w:rPr>
          <w:rFonts w:hint="eastAsia" w:ascii="宋体" w:hAnsi="宋体" w:cs="宋体"/>
          <w:highlight w:val="none"/>
        </w:rPr>
        <w:t xml:space="preserve">3.预算金额：项目总预算600万元，包一150万元，包二160万元，包三150万元,包四140万元。</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4.本项目设置最高限价：项目</w:t>
      </w:r>
      <w:r>
        <w:rPr>
          <w:rFonts w:hint="eastAsia" w:ascii="宋体" w:hAnsi="宋体" w:cs="宋体"/>
          <w:highlight w:val="none"/>
          <w:lang w:eastAsia="zh-CN"/>
        </w:rPr>
        <w:t xml:space="preserve">总预算</w:t>
      </w:r>
      <w:r>
        <w:rPr>
          <w:rFonts w:hint="eastAsia" w:ascii="宋体" w:hAnsi="宋体" w:cs="宋体"/>
          <w:highlight w:val="none"/>
        </w:rPr>
        <w:t xml:space="preserve">最高限价600万元，包一150万元，包二160万元，包三150万元,包四140万元。最高限价同预算价，报价超过最高限价的为无效投标文件。</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5.项目简要说明：本项目通过开展房屋体检试点工作，全面掌握试点地区房屋安全状况，探索建立房屋安全管理长效机制，形成可复制、可推广的本地经验，为健全我市房屋全生命周期安全管理机制，完善房屋安全治理体系，提升城市安全治理能力提供实践支撑与方法参考。本次招标拟招4个包。</w:t>
      </w:r>
      <w:r/>
    </w:p>
    <w:p>
      <w:pPr>
        <w:ind w:left="420"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注：包一、包二、包三、包四，投标人可兼投但不可兼中，每个投标人只能中一个包；定标顺序为包一、包二、包三、包四；如后面包号的中标人与前面包号的中标人相同，则后面包号的中标人顺延至下一个中标候选人。</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6.采购需求：见招标文件第四章</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7.合同履行期限：</w:t>
      </w:r>
      <w:bookmarkEnd w:id="16"/>
      <w:r>
        <w:rPr>
          <w:rFonts w:hint="eastAsia" w:ascii="宋体" w:hAnsi="宋体" w:cs="宋体"/>
          <w:highlight w:val="none"/>
        </w:rPr>
        <w:t xml:space="preserve">采购人通知进场后，中标人3个月内完成全部服务内容并出具体检报告上传系统。</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8.本项目</w:t>
      </w:r>
      <w:r>
        <w:rPr>
          <w:rFonts w:hint="eastAsia" w:ascii="宋体" w:hAnsi="宋体" w:cs="宋体"/>
          <w:i/>
          <w:iCs/>
          <w:highlight w:val="none"/>
          <w:u w:val="single"/>
        </w:rPr>
        <w:t xml:space="preserve">不接受</w:t>
      </w:r>
      <w:r>
        <w:rPr>
          <w:rFonts w:hint="eastAsia" w:ascii="宋体" w:hAnsi="宋体" w:cs="宋体"/>
          <w:highlight w:val="none"/>
        </w:rPr>
        <w:t xml:space="preserve">联合体投标。</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9.本项目</w:t>
      </w:r>
      <w:r>
        <w:rPr>
          <w:rFonts w:hint="eastAsia" w:ascii="宋体" w:hAnsi="宋体" w:cs="宋体"/>
          <w:i/>
          <w:iCs/>
          <w:highlight w:val="none"/>
          <w:u w:val="single"/>
        </w:rPr>
        <w:t xml:space="preserve">不接受</w:t>
      </w:r>
      <w:r>
        <w:rPr>
          <w:rFonts w:hint="eastAsia" w:ascii="宋体" w:hAnsi="宋体" w:cs="宋体"/>
          <w:highlight w:val="none"/>
        </w:rPr>
        <w:t xml:space="preserve">进口产品投标。</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二、申请人的资格要求：</w:t>
      </w:r>
      <w:bookmarkEnd w:id="17"/>
      <w:r/>
      <w:bookmarkEnd w:id="18"/>
      <w:r/>
      <w:bookmarkEnd w:id="19"/>
      <w:r/>
      <w:bookmarkEnd w:id="20"/>
      <w:r/>
      <w:bookmarkEnd w:id="21"/>
      <w:r/>
      <w:r/>
    </w:p>
    <w:p>
      <w:pPr>
        <w:ind w:firstLine="420"/>
        <w:spacing w:line="360" w:lineRule="auto"/>
        <w:rPr>
          <w:rFonts w:ascii="宋体" w:hAnsi="宋体" w:cs="宋体"/>
          <w:szCs w:val="21"/>
          <w:highlight w:val="none"/>
        </w:rPr>
      </w:pPr>
      <w:r/>
      <w:bookmarkStart w:id="22" w:name="_Toc35393792"/>
      <w:r/>
      <w:bookmarkStart w:id="23" w:name="_Toc35393623"/>
      <w:r/>
      <w:bookmarkStart w:id="24" w:name="_Toc28359081"/>
      <w:r/>
      <w:bookmarkStart w:id="25" w:name="_Toc38985265"/>
      <w:r/>
      <w:bookmarkStart w:id="26" w:name="_Toc28359004"/>
      <w:r>
        <w:rPr>
          <w:rFonts w:hint="eastAsia" w:ascii="宋体" w:hAnsi="宋体" w:cs="宋体"/>
          <w:szCs w:val="21"/>
          <w:highlight w:val="none"/>
        </w:rPr>
        <w:t xml:space="preserve">1.满足《中华人民共和国政府采购法》第二十二条规定：</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1.1 法人或者其他组织的营业执照等证明文件，自然人的身份证明；</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1.2 2024或2025年度的财务报告情况</w:t>
      </w:r>
      <w:r>
        <w:rPr>
          <w:rFonts w:hint="eastAsia" w:ascii="宋体" w:hAnsi="宋体" w:cs="宋体"/>
          <w:b/>
          <w:bCs/>
          <w:i/>
          <w:iCs/>
          <w:szCs w:val="21"/>
          <w:highlight w:val="none"/>
          <w:u w:val="single"/>
        </w:rPr>
        <w:t xml:space="preserve">（成立不满一年无需提供）</w:t>
      </w:r>
      <w:r>
        <w:rPr>
          <w:rFonts w:hint="eastAsia" w:ascii="宋体" w:hAnsi="宋体" w:cs="宋体"/>
          <w:i/>
          <w:iCs/>
          <w:szCs w:val="21"/>
          <w:highlight w:val="none"/>
          <w:u w:val="single"/>
        </w:rPr>
        <w:t xml:space="preserve">；</w:t>
      </w:r>
      <w:r/>
    </w:p>
    <w:p>
      <w:pPr>
        <w:ind w:firstLine="420"/>
        <w:spacing w:line="360" w:lineRule="auto"/>
        <w:rPr>
          <w:rFonts w:ascii="宋体" w:hAnsi="宋体" w:cs="宋体"/>
          <w:b/>
          <w:bCs/>
          <w:i/>
          <w:iCs/>
          <w:highlight w:val="none"/>
          <w:u w:val="single"/>
        </w:rPr>
      </w:pPr>
      <w:r>
        <w:rPr>
          <w:rFonts w:hint="eastAsia" w:ascii="宋体" w:hAnsi="宋体" w:cs="宋体"/>
          <w:i/>
          <w:iCs/>
          <w:szCs w:val="21"/>
          <w:highlight w:val="none"/>
          <w:u w:val="single"/>
        </w:rPr>
        <w:t xml:space="preserve">1.3 依法缴纳税收和社会保障资金的相关材料</w:t>
      </w:r>
      <w:r>
        <w:rPr>
          <w:rFonts w:hint="eastAsia" w:ascii="宋体" w:hAnsi="宋体" w:cs="宋体"/>
          <w:b/>
          <w:bCs/>
          <w:i/>
          <w:iCs/>
          <w:szCs w:val="21"/>
          <w:highlight w:val="none"/>
          <w:u w:val="single"/>
        </w:rPr>
        <w:t xml:space="preserve">（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1.4 具备履行合同所必需的设备和专业技术能力的书面声明；</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1.5 参加政府采购活动前3年内在经营活动中没有重大违法记录的书面声明；</w:t>
      </w:r>
      <w:r/>
    </w:p>
    <w:p>
      <w:pPr>
        <w:ind w:firstLine="420"/>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1.6 供应商信用承诺函；</w:t>
      </w:r>
      <w:r/>
    </w:p>
    <w:p>
      <w:pPr>
        <w:ind w:firstLine="420"/>
        <w:spacing w:line="360" w:lineRule="auto"/>
        <w:rPr>
          <w:rFonts w:ascii="宋体" w:hAnsi="宋体" w:cs="宋体"/>
          <w:b/>
          <w:bCs/>
          <w:i/>
          <w:iCs/>
          <w:szCs w:val="21"/>
          <w:highlight w:val="none"/>
          <w:u w:val="single"/>
        </w:rPr>
      </w:pPr>
      <w:r>
        <w:rPr>
          <w:rFonts w:hint="eastAsia" w:ascii="宋体" w:hAnsi="宋体" w:cs="宋体"/>
          <w:i/>
          <w:iCs/>
          <w:szCs w:val="21"/>
          <w:highlight w:val="none"/>
          <w:u w:val="single"/>
        </w:rPr>
        <w:t xml:space="preserve">1.7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szCs w:val="21"/>
          <w:highlight w:val="none"/>
          <w:u w:val="single"/>
        </w:rPr>
        <w:t xml:space="preserve">（投标文件中无需提供证明材料）</w:t>
      </w:r>
      <w:r>
        <w:rPr>
          <w:rFonts w:hint="eastAsia" w:ascii="宋体" w:hAnsi="宋体" w:cs="宋体"/>
          <w:i/>
          <w:iCs/>
          <w:szCs w:val="21"/>
          <w:highlight w:val="none"/>
          <w:u w:val="single"/>
        </w:rPr>
        <w:t xml:space="preserve">。</w:t>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2.落实政府采购政策需满足的资格要求：</w:t>
      </w:r>
      <w:r>
        <w:rPr>
          <w:rFonts w:hint="eastAsia" w:ascii="宋体" w:hAnsi="宋体" w:cs="宋体"/>
          <w:i/>
          <w:iCs/>
          <w:szCs w:val="21"/>
          <w:highlight w:val="none"/>
          <w:u w:val="single"/>
        </w:rPr>
        <w:t xml:space="preserve">本项目非预留份额的采购项目或采购包，执行价格扣除优惠政策，</w:t>
      </w:r>
      <w:r>
        <w:rPr>
          <w:rFonts w:hint="eastAsia" w:ascii="宋体" w:hAnsi="宋体" w:cs="宋体"/>
          <w:i/>
          <w:iCs/>
          <w:szCs w:val="21"/>
          <w:highlight w:val="none"/>
          <w:u w:val="single"/>
          <w:lang w:eastAsia="zh-CN"/>
        </w:rPr>
        <w:t xml:space="preserve">投标人</w:t>
      </w:r>
      <w:r>
        <w:rPr>
          <w:rFonts w:hint="eastAsia" w:ascii="宋体" w:hAnsi="宋体" w:cs="宋体"/>
          <w:i/>
          <w:iCs/>
          <w:szCs w:val="21"/>
          <w:highlight w:val="none"/>
          <w:u w:val="single"/>
        </w:rPr>
        <w:t xml:space="preserve">投标时提供《中小企业声明函》</w:t>
      </w:r>
      <w:r>
        <w:rPr>
          <w:rFonts w:hint="eastAsia" w:ascii="宋体" w:hAnsi="宋体" w:cs="宋体"/>
          <w:i/>
          <w:iCs/>
          <w:szCs w:val="21"/>
          <w:highlight w:val="none"/>
          <w:u w:val="single"/>
          <w:lang w:eastAsia="zh-CN"/>
        </w:rPr>
        <w:t xml:space="preserve">，</w:t>
      </w:r>
      <w:r>
        <w:rPr>
          <w:rFonts w:hint="eastAsia" w:ascii="宋体" w:hAnsi="宋体" w:cs="宋体"/>
          <w:i/>
          <w:iCs/>
          <w:szCs w:val="21"/>
          <w:highlight w:val="none"/>
          <w:u w:val="single"/>
        </w:rPr>
        <w:t xml:space="preserve">给予小微型企业、监狱企业或残疾人福利性单位报价20%的扣除，用扣除后的价格参加评审。价格扣除比例对小型企业和微型企业同等对待，不作区分。监狱企业、残疾人福利单位属于小型、微型企业的，不重复享受政策。</w:t>
      </w:r>
      <w:r/>
    </w:p>
    <w:p>
      <w:pPr>
        <w:ind w:firstLine="420"/>
        <w:spacing w:line="360" w:lineRule="auto"/>
        <w:rPr>
          <w:rFonts w:ascii="宋体" w:hAnsi="宋体" w:cs="宋体"/>
          <w:b/>
          <w:bCs/>
          <w:szCs w:val="21"/>
          <w:highlight w:val="none"/>
        </w:rPr>
      </w:pPr>
      <w:r>
        <w:rPr>
          <w:rFonts w:hint="eastAsia" w:ascii="宋体" w:hAnsi="宋体" w:cs="宋体"/>
          <w:szCs w:val="21"/>
          <w:highlight w:val="none"/>
        </w:rPr>
        <w:t xml:space="preserve">3.本项目的特定资格要求：</w:t>
      </w:r>
      <w:r>
        <w:rPr>
          <w:rFonts w:hint="eastAsia" w:ascii="宋体" w:hAnsi="宋体" w:cs="宋体"/>
          <w:b/>
          <w:bCs/>
          <w:szCs w:val="21"/>
          <w:highlight w:val="none"/>
        </w:rPr>
        <w:t xml:space="preserve">无。</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4.其它资格条件：</w:t>
      </w:r>
      <w:r/>
    </w:p>
    <w:p>
      <w:pPr>
        <w:ind w:firstLine="420"/>
        <w:spacing w:line="360" w:lineRule="auto"/>
        <w:rPr>
          <w:rFonts w:ascii="宋体" w:hAnsi="宋体" w:cs="宋体"/>
          <w:bCs/>
          <w:szCs w:val="21"/>
          <w:highlight w:val="none"/>
        </w:rPr>
      </w:pPr>
      <w:r/>
      <w:bookmarkStart w:id="27" w:name="OLE_LINK39"/>
      <w:r>
        <w:rPr>
          <w:rFonts w:hint="eastAsia" w:ascii="宋体" w:hAnsi="宋体" w:cs="宋体"/>
          <w:bCs/>
          <w:szCs w:val="21"/>
          <w:highlight w:val="none"/>
        </w:rPr>
        <w:t xml:space="preserve">4.1投标人未被列入失信被执行人、重大税收违法案件当事人名单、政府采购严重失信行为记录名单；</w:t>
      </w:r>
      <w:bookmarkEnd w:id="27"/>
      <w:r/>
      <w:r/>
    </w:p>
    <w:p>
      <w:pPr>
        <w:ind w:firstLine="420"/>
        <w:spacing w:line="360" w:lineRule="auto"/>
        <w:rPr>
          <w:rFonts w:ascii="宋体" w:hAnsi="宋体" w:cs="宋体"/>
          <w:bCs/>
          <w:szCs w:val="21"/>
          <w:highlight w:val="none"/>
        </w:rPr>
      </w:pPr>
      <w:r/>
      <w:bookmarkStart w:id="28" w:name="OLE_LINK41"/>
      <w:r>
        <w:rPr>
          <w:rFonts w:hint="eastAsia" w:ascii="宋体" w:hAnsi="宋体" w:cs="宋体"/>
          <w:bCs/>
          <w:szCs w:val="21"/>
          <w:highlight w:val="none"/>
        </w:rPr>
        <w:t xml:space="preserve">4.2投标人单位负责人为同一人或者存在直接控股、管理关系的不同投标人（包含法定代表人为同一个人的两个及两个以上法人，母公司、全资子公司及其控股公司），不得参加同一合同项下的政府采购活动。</w:t>
      </w:r>
      <w:bookmarkEnd w:id="28"/>
      <w:r/>
      <w:r/>
    </w:p>
    <w:p>
      <w:pPr>
        <w:ind w:firstLine="420"/>
        <w:spacing w:line="360" w:lineRule="auto"/>
        <w:rPr>
          <w:rFonts w:ascii="宋体" w:hAnsi="宋体" w:cs="宋体"/>
          <w:i/>
          <w:iCs/>
          <w:szCs w:val="21"/>
          <w:highlight w:val="none"/>
          <w:u w:val="single"/>
        </w:rPr>
      </w:pPr>
      <w:r/>
      <w:bookmarkStart w:id="29" w:name="OLE_LINK43"/>
      <w:r>
        <w:rPr>
          <w:rFonts w:hint="eastAsia" w:ascii="宋体" w:hAnsi="宋体" w:cs="宋体"/>
          <w:bCs/>
          <w:szCs w:val="21"/>
          <w:highlight w:val="none"/>
        </w:rPr>
        <w:t xml:space="preserve">4.3为采购项目提供整体设计、规范编制或者项目管理、监理、检测等服务的投标人，不得再参加该采购项目的其他采购活动。</w:t>
      </w:r>
      <w:bookmarkEnd w:id="29"/>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三、获取招标文件</w:t>
      </w:r>
      <w:bookmarkEnd w:id="22"/>
      <w:r/>
      <w:bookmarkEnd w:id="23"/>
      <w:r/>
      <w:bookmarkEnd w:id="24"/>
      <w:r/>
      <w:bookmarkEnd w:id="25"/>
      <w:r/>
      <w:bookmarkEnd w:id="26"/>
      <w:r/>
      <w:r/>
    </w:p>
    <w:p>
      <w:pPr>
        <w:ind w:firstLine="420"/>
        <w:spacing w:line="360" w:lineRule="auto"/>
        <w:rPr>
          <w:rFonts w:ascii="宋体" w:hAnsi="宋体" w:cs="宋体"/>
          <w:highlight w:val="none"/>
        </w:rPr>
      </w:pPr>
      <w:r/>
      <w:bookmarkStart w:id="30" w:name="_Toc28359082"/>
      <w:r/>
      <w:bookmarkStart w:id="31" w:name="_Toc28359005"/>
      <w:r/>
      <w:bookmarkStart w:id="32" w:name="_Toc35393624"/>
      <w:r/>
      <w:bookmarkStart w:id="33" w:name="_Toc38985266"/>
      <w:r/>
      <w:bookmarkStart w:id="34" w:name="_Toc35393793"/>
      <w:r>
        <w:rPr>
          <w:rFonts w:hint="eastAsia" w:ascii="宋体" w:hAnsi="宋体" w:cs="宋体"/>
          <w:highlight w:val="none"/>
        </w:rPr>
        <w:t xml:space="preserve">1.时间：自招标文件公告发布之日起5个工作日。5个工作日后仍可下载招标文件，但不作为投标人权益受到损害的证明材料和依据。</w:t>
      </w:r>
      <w:r/>
    </w:p>
    <w:p>
      <w:pPr>
        <w:ind w:firstLine="422"/>
        <w:spacing w:line="360" w:lineRule="auto"/>
        <w:rPr>
          <w:rFonts w:ascii="宋体" w:hAnsi="宋体" w:cs="宋体"/>
          <w:szCs w:val="21"/>
          <w:highlight w:val="none"/>
        </w:rPr>
      </w:pPr>
      <w:r>
        <w:rPr>
          <w:rFonts w:hint="eastAsia" w:ascii="宋体" w:hAnsi="宋体" w:cs="宋体"/>
          <w:szCs w:val="21"/>
          <w:highlight w:val="none"/>
        </w:rPr>
        <w:t xml:space="preserve">2.获取方式：在“扬州市政府采购网”、“江苏省政府采购网”和“中国政府采购网”项目招标公告附件处自行免费下载电子版招标文件，“苏采云”系统内免费下载软件版招标文件（投标人必须在苏采云系统中获取采购文件，方能参与政府采购项目）。投标人登录“扬州市政府采购网”、“江苏省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3.潜在投标人访问政府采购管理交易系统（苏采云）的网络地址和方法：</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（2）“CA数字证书”的获取：投标人需办理CA锁，“苏采云”系统目前仅支持“苏采云”系统下的政务CA，省内各地区办理的“苏采云”系统下的政务CA全省通用。</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（3）“CA数字证书”的办理材料以及供应商操作手册详见：</w:t>
      </w:r>
      <w:r/>
    </w:p>
    <w:p>
      <w:pPr>
        <w:ind w:firstLine="422"/>
        <w:jc w:val="left"/>
        <w:spacing w:line="360" w:lineRule="auto"/>
        <w:rPr>
          <w:rFonts w:ascii="宋体" w:hAnsi="宋体" w:cs="宋体"/>
          <w:b/>
          <w:bCs/>
          <w:szCs w:val="21"/>
          <w:highlight w:val="none"/>
        </w:rPr>
      </w:pPr>
      <w:r>
        <w:rPr>
          <w:rFonts w:hint="eastAsia" w:ascii="宋体" w:hAnsi="宋体" w:cs="宋体"/>
          <w:b/>
          <w:bCs/>
          <w:szCs w:val="21"/>
          <w:highlight w:val="none"/>
        </w:rPr>
        <w:t xml:space="preserve">http//zfcg.yangzhou.gov.cn/zfcg/xzzx/202309/4d7de1f7865f4a2894fc22bc452f94d8.shtml。</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（4）潜在供应商访问“苏采云”系统的网络地址和方法：“苏采云”系统的网址：http：//jszfcg.jsczt.cn/。</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（6）招标代理机构（采购代理机构）将数据电文形式的采购文件加载至“苏采云”系统，供潜在供应商下载或者查阅。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（7）苏采云系统使用谷歌浏览器参与不见面开标。</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四、提交投标文件</w:t>
      </w:r>
      <w:bookmarkEnd w:id="30"/>
      <w:r/>
      <w:bookmarkEnd w:id="31"/>
      <w:r>
        <w:rPr>
          <w:rFonts w:hint="eastAsia" w:ascii="宋体" w:hAnsi="宋体" w:cs="宋体"/>
          <w:b/>
          <w:bCs/>
          <w:highlight w:val="none"/>
        </w:rPr>
        <w:t xml:space="preserve">截止时间、开标时间和地点</w:t>
      </w:r>
      <w:bookmarkEnd w:id="32"/>
      <w:r/>
      <w:bookmarkEnd w:id="33"/>
      <w:r/>
      <w:bookmarkEnd w:id="34"/>
      <w:r/>
      <w:r/>
    </w:p>
    <w:p>
      <w:pPr>
        <w:ind w:firstLine="420"/>
        <w:spacing w:line="360" w:lineRule="auto"/>
        <w:rPr>
          <w:rFonts w:ascii="宋体" w:hAnsi="宋体" w:cs="宋体"/>
          <w:bCs/>
          <w:szCs w:val="21"/>
          <w:highlight w:val="none"/>
          <w:u w:val="single"/>
        </w:rPr>
      </w:pPr>
      <w:r>
        <w:rPr>
          <w:rFonts w:hint="eastAsia" w:ascii="宋体" w:hAnsi="宋体" w:cs="宋体"/>
          <w:highlight w:val="none"/>
        </w:rPr>
        <w:t xml:space="preserve">1.时间：2026年</w:t>
      </w:r>
      <w:r>
        <w:rPr>
          <w:rFonts w:hint="eastAsia" w:ascii="宋体" w:hAnsi="宋体" w:cs="宋体"/>
          <w:highlight w:val="none"/>
          <w:lang w:val="en-US" w:eastAsia="zh-CN"/>
        </w:rPr>
        <w:t xml:space="preserve">6</w:t>
      </w:r>
      <w:r>
        <w:rPr>
          <w:rFonts w:hint="eastAsia" w:ascii="宋体" w:hAnsi="宋体" w:cs="宋体"/>
          <w:highlight w:val="none"/>
        </w:rPr>
        <w:t xml:space="preserve">月</w:t>
      </w:r>
      <w:r>
        <w:rPr>
          <w:rFonts w:hint="eastAsia" w:ascii="宋体" w:hAnsi="宋体" w:cs="宋体"/>
          <w:highlight w:val="none"/>
          <w:lang w:val="en-US" w:eastAsia="zh-CN"/>
        </w:rPr>
        <w:t xml:space="preserve">1</w:t>
      </w:r>
      <w:r>
        <w:rPr>
          <w:rFonts w:hint="eastAsia" w:ascii="宋体" w:hAnsi="宋体" w:cs="宋体"/>
          <w:highlight w:val="none"/>
        </w:rPr>
        <w:t xml:space="preserve">日上午9:</w:t>
      </w:r>
      <w:r>
        <w:rPr>
          <w:rFonts w:hint="eastAsia" w:ascii="宋体" w:hAnsi="宋体" w:cs="宋体"/>
          <w:highlight w:val="none"/>
          <w:lang w:val="en-US" w:eastAsia="zh-CN"/>
        </w:rPr>
        <w:t xml:space="preserve">0</w:t>
      </w:r>
      <w:r>
        <w:rPr>
          <w:rFonts w:hint="eastAsia" w:ascii="宋体" w:hAnsi="宋体" w:cs="宋体"/>
          <w:highlight w:val="none"/>
        </w:rPr>
        <w:t xml:space="preserve">0 （北京时间）</w:t>
      </w:r>
      <w:r/>
    </w:p>
    <w:p>
      <w:pPr>
        <w:ind w:firstLine="420"/>
        <w:spacing w:line="360" w:lineRule="auto"/>
        <w:rPr>
          <w:rFonts w:ascii="宋体" w:hAnsi="宋体" w:cs="宋体"/>
          <w:b/>
          <w:szCs w:val="21"/>
          <w:highlight w:val="none"/>
        </w:rPr>
      </w:pPr>
      <w:r>
        <w:rPr>
          <w:rFonts w:hint="eastAsia" w:ascii="宋体" w:hAnsi="宋体" w:cs="宋体"/>
          <w:highlight w:val="none"/>
        </w:rPr>
        <w:t xml:space="preserve">2.开标地点：</w:t>
      </w:r>
      <w:r>
        <w:rPr>
          <w:rFonts w:hint="eastAsia" w:ascii="宋体" w:hAnsi="宋体" w:cs="宋体"/>
          <w:szCs w:val="21"/>
          <w:highlight w:val="none"/>
        </w:rPr>
        <w:t xml:space="preserve">“苏采云”系统（网址：http：//jszfcg.jsczt.cn/）</w:t>
      </w:r>
      <w:r/>
    </w:p>
    <w:p>
      <w:pPr>
        <w:ind w:firstLine="422"/>
        <w:spacing w:line="360" w:lineRule="auto"/>
        <w:tabs>
          <w:tab w:val="left" w:pos="266" w:leader="none"/>
        </w:tabs>
        <w:rPr>
          <w:rFonts w:ascii="宋体" w:hAnsi="宋体" w:cs="宋体"/>
          <w:b/>
          <w:bCs/>
          <w:highlight w:val="none"/>
        </w:rPr>
      </w:pPr>
      <w:r/>
      <w:bookmarkStart w:id="35" w:name="_Toc28359007"/>
      <w:r/>
      <w:bookmarkStart w:id="36" w:name="_Toc28359084"/>
      <w:r/>
      <w:bookmarkStart w:id="37" w:name="_Toc38985267"/>
      <w:r/>
      <w:bookmarkStart w:id="38" w:name="_Toc35393794"/>
      <w:r/>
      <w:bookmarkStart w:id="39" w:name="_Toc35393625"/>
      <w:r>
        <w:rPr>
          <w:rFonts w:hint="eastAsia" w:ascii="宋体" w:hAnsi="宋体" w:cs="宋体"/>
          <w:b/>
          <w:bCs/>
          <w:highlight w:val="none"/>
        </w:rPr>
        <w:t xml:space="preserve">五、公告期限</w:t>
      </w:r>
      <w:bookmarkEnd w:id="35"/>
      <w:r/>
      <w:bookmarkEnd w:id="36"/>
      <w:r/>
      <w:bookmarkEnd w:id="37"/>
      <w:r/>
      <w:bookmarkEnd w:id="38"/>
      <w:r/>
      <w:bookmarkEnd w:id="39"/>
      <w:r/>
      <w:r/>
    </w:p>
    <w:p>
      <w:pPr>
        <w:ind w:firstLine="420"/>
        <w:spacing w:line="360" w:lineRule="auto"/>
        <w:rPr>
          <w:rFonts w:ascii="宋体" w:hAnsi="宋体" w:cs="宋体"/>
          <w:highlight w:val="none"/>
        </w:rPr>
      </w:pPr>
      <w:r/>
      <w:bookmarkStart w:id="40" w:name="_Toc35393795"/>
      <w:r/>
      <w:bookmarkStart w:id="41" w:name="_Toc38985268"/>
      <w:r/>
      <w:bookmarkStart w:id="42" w:name="_Toc35393626"/>
      <w:r>
        <w:rPr>
          <w:rFonts w:hint="eastAsia" w:ascii="宋体" w:hAnsi="宋体" w:cs="宋体"/>
          <w:highlight w:val="none"/>
        </w:rPr>
        <w:t xml:space="preserve">招标公告及招标文件公告期限为自本公告发布之日起5个工作日。</w:t>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六、其他补充事宜</w:t>
      </w:r>
      <w:bookmarkEnd w:id="40"/>
      <w:r/>
      <w:bookmarkEnd w:id="41"/>
      <w:r/>
      <w:bookmarkEnd w:id="42"/>
      <w:r/>
      <w:r/>
    </w:p>
    <w:p>
      <w:pPr>
        <w:ind w:firstLine="422"/>
        <w:spacing w:line="360" w:lineRule="auto"/>
        <w:rPr>
          <w:rFonts w:ascii="宋体" w:hAnsi="宋体" w:cs="宋体"/>
          <w:b/>
          <w:bCs/>
          <w:highlight w:val="none"/>
        </w:rPr>
      </w:pPr>
      <w:r/>
      <w:bookmarkStart w:id="43" w:name="_Toc35393627"/>
      <w:r/>
      <w:bookmarkStart w:id="44" w:name="_Toc28359085"/>
      <w:r/>
      <w:bookmarkStart w:id="45" w:name="_Toc28359008"/>
      <w:r/>
      <w:bookmarkStart w:id="46" w:name="_Toc35393796"/>
      <w:r/>
      <w:bookmarkStart w:id="47" w:name="_Toc38985269"/>
      <w:r>
        <w:rPr>
          <w:rFonts w:hint="eastAsia" w:ascii="宋体" w:hAnsi="宋体" w:cs="宋体"/>
          <w:b/>
          <w:bCs/>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ascii="宋体" w:hAnsi="宋体" w:cs="宋体"/>
          <w:b/>
          <w:bCs/>
          <w:szCs w:val="21"/>
          <w:highlight w:val="none"/>
        </w:rPr>
      </w:pPr>
      <w:r>
        <w:rPr>
          <w:rFonts w:hint="eastAsia" w:ascii="宋体" w:hAnsi="宋体" w:cs="宋体"/>
          <w:b/>
          <w:bCs/>
          <w:highlight w:val="none"/>
        </w:rPr>
        <w:t xml:space="preserve">2.投标人如确定参加投标，可自行下载采购文件及有关资料，按照《操作手册》进行注册，领取CA和办理电子签章，并按《操作手册》要求制作、上传电子投标文件，技术支持联系方式：13813140731。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ascii="宋体" w:hAnsi="宋体" w:cs="宋体"/>
          <w:bCs/>
          <w:highlight w:val="none"/>
        </w:rPr>
      </w:pPr>
      <w:r>
        <w:rPr>
          <w:rFonts w:hint="eastAsia" w:ascii="宋体" w:hAnsi="宋体" w:cs="宋体"/>
          <w:bCs/>
          <w:szCs w:val="21"/>
          <w:highlight w:val="none"/>
        </w:rPr>
        <w:t xml:space="preserve">3.</w:t>
      </w:r>
      <w:r>
        <w:rPr>
          <w:rFonts w:hint="eastAsia" w:ascii="宋体" w:hAnsi="宋体" w:cs="宋体"/>
          <w:highlight w:val="none"/>
        </w:rPr>
        <w:t xml:space="preserve">本次招标</w:t>
      </w:r>
      <w:r>
        <w:rPr>
          <w:rFonts w:hint="eastAsia" w:ascii="宋体" w:hAnsi="宋体" w:cs="宋体"/>
          <w:highlight w:val="none"/>
          <w:u w:val="single"/>
        </w:rPr>
        <w:t xml:space="preserve">不收取</w:t>
      </w:r>
      <w:r>
        <w:rPr>
          <w:rFonts w:hint="eastAsia" w:ascii="宋体" w:hAnsi="宋体" w:cs="宋体"/>
          <w:highlight w:val="none"/>
        </w:rPr>
        <w:t xml:space="preserve">投标保证金。</w:t>
      </w:r>
      <w:r/>
    </w:p>
    <w:p>
      <w:pPr>
        <w:ind w:firstLine="420"/>
        <w:spacing w:line="360" w:lineRule="auto"/>
        <w:rPr>
          <w:rFonts w:ascii="宋体" w:hAnsi="宋体" w:cs="宋体"/>
          <w:bCs/>
          <w:highlight w:val="none"/>
        </w:rPr>
      </w:pPr>
      <w:r>
        <w:rPr>
          <w:rFonts w:hint="eastAsia" w:ascii="宋体" w:hAnsi="宋体" w:cs="宋体"/>
          <w:szCs w:val="21"/>
          <w:highlight w:val="none"/>
        </w:rPr>
        <w:t xml:space="preserve">4.</w:t>
      </w:r>
      <w:r>
        <w:rPr>
          <w:rFonts w:hint="eastAsia" w:ascii="宋体" w:hAnsi="宋体" w:cs="宋体"/>
          <w:bCs/>
          <w:highlight w:val="none"/>
        </w:rPr>
        <w:t xml:space="preserve">有关本次招标的事项若存在变动或修改，敬请及时关注</w:t>
      </w:r>
      <w:r>
        <w:rPr>
          <w:rFonts w:hint="eastAsia" w:ascii="宋体" w:hAnsi="宋体" w:cs="宋体"/>
          <w:bCs/>
          <w:szCs w:val="21"/>
          <w:highlight w:val="none"/>
        </w:rPr>
        <w:t xml:space="preserve">“扬州市政府采购网”、“江苏省政府采购网”和“中国政府采购网”</w:t>
      </w:r>
      <w:r>
        <w:rPr>
          <w:rFonts w:hint="eastAsia" w:ascii="宋体" w:hAnsi="宋体" w:cs="宋体"/>
          <w:bCs/>
          <w:highlight w:val="none"/>
        </w:rPr>
        <w:t xml:space="preserve">发布的信息。</w:t>
      </w:r>
      <w:r/>
    </w:p>
    <w:p>
      <w:pPr>
        <w:ind w:firstLine="422"/>
        <w:spacing w:line="360" w:lineRule="auto"/>
        <w:tabs>
          <w:tab w:val="left" w:pos="266" w:leader="none"/>
        </w:tabs>
        <w:rPr>
          <w:rFonts w:ascii="宋体" w:hAnsi="宋体" w:cs="宋体"/>
          <w:b/>
          <w:i/>
          <w:iCs/>
          <w:highlight w:val="none"/>
          <w:u w:val="single"/>
        </w:rPr>
      </w:pPr>
      <w:r>
        <w:rPr>
          <w:rFonts w:hint="eastAsia" w:ascii="宋体" w:hAnsi="宋体" w:cs="宋体"/>
          <w:b/>
          <w:i/>
          <w:iCs/>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8.本项目严格执行政府采购关于支持节能产品</w:t>
      </w:r>
      <w:r>
        <w:rPr>
          <w:rFonts w:hint="eastAsia" w:ascii="宋体" w:hAnsi="宋体" w:cs="宋体"/>
          <w:bCs/>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投标采购要求。其他条件相同情况下，本项目优先采购节能产品、环境标志产品。</w:t>
      </w:r>
      <w:r/>
    </w:p>
    <w:p>
      <w:pPr>
        <w:ind w:firstLine="420"/>
        <w:spacing w:line="360" w:lineRule="auto"/>
        <w:tabs>
          <w:tab w:val="left" w:pos="266" w:leader="none"/>
        </w:tabs>
        <w:rPr>
          <w:rFonts w:ascii="宋体" w:hAnsi="宋体" w:cs="宋体"/>
          <w:bCs/>
          <w:highlight w:val="none"/>
        </w:rPr>
      </w:pPr>
      <w:r>
        <w:rPr>
          <w:rFonts w:hint="eastAsia" w:ascii="宋体" w:hAnsi="宋体" w:cs="宋体"/>
          <w:bCs/>
          <w:highlight w:val="none"/>
        </w:rPr>
        <w:t xml:space="preserve">9.供应商对于所投产品的包装应按照“财办库〔2020〕123号《关于印发《商品包装政府采购需求标准（试行）》、《快递包装政府采购需求标准（试行）》的通知》”执行。</w:t>
      </w:r>
      <w:r/>
    </w:p>
    <w:p>
      <w:pPr>
        <w:ind w:firstLine="420"/>
        <w:spacing w:line="360" w:lineRule="auto"/>
        <w:rPr>
          <w:rFonts w:ascii="宋体" w:hAnsi="宋体" w:cs="宋体"/>
          <w:szCs w:val="21"/>
          <w:highlight w:val="none"/>
        </w:rPr>
      </w:pPr>
      <w:r/>
      <w:bookmarkStart w:id="48" w:name="OLE_LINK46"/>
      <w:r/>
      <w:bookmarkStart w:id="49" w:name="OLE_LINK50"/>
      <w:r/>
      <w:bookmarkStart w:id="50" w:name="OLE_LINK45"/>
      <w:r>
        <w:rPr>
          <w:rFonts w:hint="eastAsia" w:ascii="宋体" w:hAnsi="宋体" w:cs="宋体"/>
          <w:szCs w:val="21"/>
          <w:highlight w:val="none"/>
        </w:rPr>
        <w:t xml:space="preserve">10.</w:t>
      </w:r>
      <w:bookmarkEnd w:id="48"/>
      <w:r/>
      <w:bookmarkStart w:id="51" w:name="OLE_LINK47"/>
      <w:r>
        <w:rPr>
          <w:rFonts w:hint="eastAsia" w:ascii="宋体" w:hAnsi="宋体" w:cs="宋体"/>
          <w:szCs w:val="21"/>
          <w:highlight w:val="none"/>
        </w:rPr>
        <w:t xml:space="preserve">在合同签订之前，若某包号因质疑、投诉等事项导致成交结果改变的，不影响其它任何的成交结果。</w:t>
      </w:r>
      <w:bookmarkEnd w:id="49"/>
      <w:r/>
      <w:bookmarkEnd w:id="50"/>
      <w:r/>
      <w:bookmarkEnd w:id="51"/>
      <w:r/>
      <w:r/>
    </w:p>
    <w:p>
      <w:pPr>
        <w:ind w:firstLine="422"/>
        <w:spacing w:line="360" w:lineRule="auto"/>
        <w:tabs>
          <w:tab w:val="left" w:pos="266" w:leader="none"/>
        </w:tabs>
        <w:rPr>
          <w:rFonts w:ascii="宋体" w:hAnsi="宋体" w:cs="宋体"/>
          <w:b/>
          <w:bCs/>
          <w:highlight w:val="none"/>
        </w:rPr>
      </w:pPr>
      <w:r>
        <w:rPr>
          <w:rFonts w:hint="eastAsia" w:ascii="宋体" w:hAnsi="宋体" w:cs="宋体"/>
          <w:b/>
          <w:bCs/>
          <w:highlight w:val="none"/>
        </w:rPr>
        <w:t xml:space="preserve">七、本次招标联系方式</w:t>
      </w:r>
      <w:bookmarkEnd w:id="43"/>
      <w:r/>
      <w:bookmarkEnd w:id="44"/>
      <w:r/>
      <w:bookmarkEnd w:id="45"/>
      <w:r/>
      <w:bookmarkEnd w:id="46"/>
      <w:r/>
      <w:bookmarkEnd w:id="47"/>
      <w:r/>
      <w:r/>
    </w:p>
    <w:p>
      <w:pPr>
        <w:ind w:firstLine="420"/>
        <w:jc w:val="left"/>
        <w:spacing w:line="360" w:lineRule="auto"/>
        <w:widowControl/>
        <w:rPr>
          <w:rFonts w:ascii="宋体" w:hAnsi="宋体" w:cs="宋体"/>
          <w:szCs w:val="21"/>
          <w:highlight w:val="none"/>
        </w:rPr>
      </w:pPr>
      <w:r/>
      <w:bookmarkStart w:id="52" w:name="_Toc28359010"/>
      <w:r/>
      <w:bookmarkStart w:id="53" w:name="_Toc28359087"/>
      <w:r>
        <w:rPr>
          <w:rFonts w:hint="eastAsia" w:ascii="宋体" w:hAnsi="宋体" w:cs="宋体"/>
          <w:highlight w:val="none"/>
        </w:rPr>
        <w:t xml:space="preserve">1.采购人信息</w:t>
      </w:r>
      <w:r/>
    </w:p>
    <w:p>
      <w:pPr>
        <w:ind w:firstLine="420"/>
        <w:spacing w:line="360" w:lineRule="auto"/>
        <w:rPr>
          <w:rFonts w:ascii="宋体" w:hAnsi="宋体" w:cs="宋体"/>
          <w:highlight w:val="none"/>
        </w:rPr>
      </w:pPr>
      <w:r/>
      <w:bookmarkStart w:id="54" w:name="_Toc28359009"/>
      <w:r/>
      <w:bookmarkStart w:id="55" w:name="_Toc28359086"/>
      <w:r>
        <w:rPr>
          <w:rFonts w:hint="eastAsia" w:ascii="宋体" w:hAnsi="宋体" w:cs="宋体"/>
          <w:highlight w:val="none"/>
        </w:rPr>
        <w:t xml:space="preserve">名    称：扬州市住房和城乡建设局</w:t>
      </w:r>
      <w:r/>
    </w:p>
    <w:p>
      <w:pPr>
        <w:ind w:firstLine="420"/>
        <w:jc w:val="left"/>
        <w:spacing w:line="360" w:lineRule="auto"/>
        <w:rPr>
          <w:rFonts w:ascii="宋体" w:hAnsi="宋体" w:cs="宋体"/>
          <w:highlight w:val="none"/>
        </w:rPr>
      </w:pPr>
      <w:r>
        <w:rPr>
          <w:rFonts w:hint="eastAsia" w:ascii="宋体" w:hAnsi="宋体" w:cs="宋体"/>
          <w:highlight w:val="none"/>
          <w:lang w:val="zh-CN"/>
        </w:rPr>
        <w:t xml:space="preserve">地</w:t>
      </w:r>
      <w:r>
        <w:rPr>
          <w:rFonts w:hint="eastAsia" w:ascii="宋体" w:hAnsi="宋体" w:cs="宋体"/>
          <w:highlight w:val="none"/>
        </w:rPr>
        <w:t xml:space="preserve">    </w:t>
      </w:r>
      <w:r>
        <w:rPr>
          <w:rFonts w:hint="eastAsia" w:ascii="宋体" w:hAnsi="宋体" w:cs="宋体"/>
          <w:highlight w:val="none"/>
          <w:lang w:val="zh-CN"/>
        </w:rPr>
        <w:t xml:space="preserve">址：扬州市文昌中路1号运河城市广场5#</w:t>
      </w:r>
      <w:r/>
    </w:p>
    <w:p>
      <w:pPr>
        <w:ind w:firstLine="420"/>
        <w:spacing w:line="360" w:lineRule="auto"/>
        <w:rPr>
          <w:rFonts w:ascii="宋体" w:hAnsi="宋体" w:cs="宋体"/>
          <w:szCs w:val="21"/>
          <w:highlight w:val="none"/>
        </w:rPr>
      </w:pPr>
      <w:r>
        <w:rPr>
          <w:rFonts w:hint="eastAsia" w:ascii="宋体" w:hAnsi="宋体" w:cs="宋体"/>
          <w:highlight w:val="none"/>
        </w:rPr>
        <w:t xml:space="preserve">联系方式：0514-87316572</w:t>
      </w:r>
      <w:bookmarkEnd w:id="52"/>
      <w:r/>
      <w:bookmarkEnd w:id="53"/>
      <w:r/>
      <w:bookmarkEnd w:id="54"/>
      <w:r/>
      <w:bookmarkEnd w:id="55"/>
      <w:r/>
      <w:r/>
    </w:p>
    <w:p>
      <w:pPr>
        <w:ind w:firstLine="420"/>
        <w:jc w:val="left"/>
        <w:spacing w:line="360" w:lineRule="auto"/>
        <w:rPr>
          <w:rFonts w:ascii="宋体" w:hAnsi="宋体" w:cs="宋体"/>
          <w:szCs w:val="21"/>
          <w:highlight w:val="none"/>
        </w:rPr>
      </w:pPr>
      <w:r/>
      <w:bookmarkStart w:id="56" w:name="_Toc55204178"/>
      <w:r>
        <w:rPr>
          <w:rFonts w:hint="eastAsia" w:ascii="宋体" w:hAnsi="宋体" w:cs="宋体"/>
          <w:szCs w:val="21"/>
          <w:highlight w:val="none"/>
        </w:rPr>
        <w:t xml:space="preserve">2.代理机构信息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名  称：江苏华屹工程咨询管理有限公司</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地　址：扬州市邗江区邗江中路330号，星座国际大厦6楼</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eastAsia="zh-CN"/>
        </w:rPr>
        <w:t xml:space="preserve">毛</w:t>
      </w:r>
      <w:r>
        <w:rPr>
          <w:rFonts w:hint="eastAsia" w:ascii="宋体" w:hAnsi="宋体" w:cs="宋体"/>
          <w:szCs w:val="21"/>
          <w:highlight w:val="none"/>
        </w:rPr>
        <w:t xml:space="preserve">工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联系方式：0514-89981319</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3.项目联系方式</w:t>
      </w:r>
      <w:r/>
    </w:p>
    <w:p>
      <w:pPr>
        <w:pStyle w:val="934"/>
        <w:ind w:firstLine="420"/>
        <w:spacing w:beforeAutospacing="0" w:afterAutospacing="0" w:line="360" w:lineRule="auto"/>
        <w:widowControl/>
        <w:rPr>
          <w:rFonts w:ascii="宋体" w:hAnsi="宋体" w:cs="宋体"/>
          <w:sz w:val="21"/>
          <w:szCs w:val="21"/>
          <w:highlight w:val="none"/>
        </w:rPr>
      </w:pPr>
      <w:r>
        <w:rPr>
          <w:rFonts w:hint="eastAsia" w:ascii="宋体" w:hAnsi="宋体" w:cs="宋体"/>
          <w:sz w:val="21"/>
          <w:szCs w:val="21"/>
          <w:highlight w:val="none"/>
        </w:rPr>
        <w:t xml:space="preserve">项目联系</w:t>
      </w:r>
      <w:r>
        <w:rPr>
          <w:rFonts w:hint="eastAsia" w:ascii="宋体" w:hAnsi="宋体" w:cs="宋体"/>
          <w:sz w:val="21"/>
          <w:szCs w:val="21"/>
          <w:highlight w:val="none"/>
        </w:rPr>
        <w:t xml:space="preserve">人：</w:t>
      </w:r>
      <w:r>
        <w:rPr>
          <w:rFonts w:hint="eastAsia" w:ascii="宋体" w:hAnsi="宋体" w:cs="宋体"/>
          <w:sz w:val="21"/>
          <w:szCs w:val="21"/>
          <w:highlight w:val="none"/>
          <w:lang w:eastAsia="zh-CN"/>
        </w:rPr>
        <w:t xml:space="preserve">毛</w:t>
      </w:r>
      <w:r>
        <w:rPr>
          <w:rFonts w:hint="eastAsia" w:ascii="宋体" w:hAnsi="宋体" w:cs="宋体"/>
          <w:sz w:val="21"/>
          <w:szCs w:val="21"/>
          <w:highlight w:val="none"/>
        </w:rPr>
        <w:t xml:space="preserve">工</w:t>
      </w:r>
      <w:r/>
    </w:p>
    <w:p>
      <w:pPr>
        <w:ind w:firstLine="420"/>
        <w:jc w:val="left"/>
        <w:spacing w:line="360" w:lineRule="auto"/>
        <w:rPr>
          <w:rFonts w:ascii="宋体" w:hAnsi="宋体" w:cs="宋体"/>
          <w:szCs w:val="21"/>
          <w:highlight w:val="none"/>
        </w:rPr>
      </w:pPr>
      <w:r>
        <w:rPr>
          <w:rFonts w:hint="eastAsia" w:ascii="宋体" w:hAnsi="宋体" w:cs="宋体"/>
          <w:highlight w:val="none"/>
        </w:rPr>
        <w:t xml:space="preserve">联系方式：</w:t>
      </w:r>
      <w:r>
        <w:rPr>
          <w:rFonts w:hint="eastAsia" w:ascii="宋体" w:hAnsi="宋体" w:cs="宋体"/>
          <w:szCs w:val="21"/>
          <w:highlight w:val="none"/>
        </w:rPr>
        <w:t xml:space="preserve">0514-89981319</w:t>
      </w:r>
      <w:r/>
    </w:p>
    <w:p>
      <w:pPr>
        <w:ind w:firstLine="420"/>
        <w:spacing w:line="360" w:lineRule="auto"/>
        <w:rPr>
          <w:rFonts w:ascii="宋体" w:hAnsi="宋体" w:cs="宋体"/>
          <w:highlight w:val="none"/>
        </w:rPr>
      </w:pPr>
      <w:r>
        <w:rPr>
          <w:rFonts w:ascii="宋体" w:hAnsi="宋体" w:cs="宋体"/>
          <w:highlight w:val="none"/>
        </w:rPr>
      </w:r>
      <w:r/>
    </w:p>
    <w:p>
      <w:pPr>
        <w:ind w:firstLine="420"/>
        <w:spacing w:line="360" w:lineRule="auto"/>
        <w:rPr>
          <w:rFonts w:ascii="宋体" w:hAnsi="宋体" w:cs="宋体"/>
          <w:szCs w:val="21"/>
          <w:highlight w:val="none"/>
        </w:rPr>
      </w:pPr>
      <w:r>
        <w:rPr>
          <w:rFonts w:ascii="宋体" w:hAnsi="宋体" w:cs="宋体"/>
          <w:szCs w:val="21"/>
          <w:highlight w:val="none"/>
        </w:rPr>
      </w:r>
      <w:bookmarkEnd w:id="56"/>
      <w:r/>
      <w:r/>
    </w:p>
    <w:p>
      <w:pPr>
        <w:pStyle w:val="898"/>
        <w:rPr>
          <w:rFonts w:ascii="宋体" w:hAnsi="宋体" w:cs="宋体"/>
          <w:szCs w:val="36"/>
          <w:highlight w:val="none"/>
        </w:rPr>
        <w:sectPr>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bookmarkStart w:id="57" w:name="_Toc21975"/>
      <w:r/>
      <w:bookmarkStart w:id="58" w:name="_Toc3597"/>
      <w:r/>
      <w:r/>
    </w:p>
    <w:p>
      <w:pPr>
        <w:pStyle w:val="898"/>
        <w:rPr>
          <w:rFonts w:ascii="宋体" w:hAnsi="宋体" w:cs="宋体"/>
          <w:szCs w:val="36"/>
          <w:highlight w:val="none"/>
        </w:rPr>
      </w:pPr>
      <w:r/>
      <w:bookmarkStart w:id="59" w:name="_Toc23181"/>
      <w:r/>
      <w:bookmarkStart w:id="60" w:name="_Toc8061"/>
      <w:r/>
      <w:bookmarkStart w:id="61" w:name="_Toc14520"/>
      <w:r>
        <w:rPr>
          <w:rFonts w:hint="eastAsia" w:ascii="宋体" w:hAnsi="宋体" w:cs="宋体"/>
          <w:szCs w:val="36"/>
          <w:highlight w:val="none"/>
        </w:rPr>
        <w:t xml:space="preserve">第二章 投标人须知</w:t>
      </w:r>
      <w:bookmarkEnd w:id="57"/>
      <w:r/>
      <w:bookmarkEnd w:id="58"/>
      <w:r/>
      <w:bookmarkEnd w:id="59"/>
      <w:r/>
      <w:bookmarkEnd w:id="60"/>
      <w:r/>
      <w:bookmarkEnd w:id="61"/>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1.招标方式</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 本次招标采取公开招标方式，本招标文件仅适用于</w:t>
      </w:r>
      <w:r>
        <w:rPr>
          <w:rFonts w:hint="eastAsia" w:ascii="宋体" w:hAnsi="宋体" w:cs="宋体"/>
          <w:highlight w:val="none"/>
          <w:lang w:eastAsia="zh-CN"/>
        </w:rPr>
        <w:t xml:space="preserve">JSZC-321000-HYZC-G2026-0001</w:t>
      </w:r>
      <w:r>
        <w:rPr>
          <w:rFonts w:hint="eastAsia" w:ascii="宋体" w:hAnsi="宋体" w:cs="宋体"/>
          <w:highlight w:val="none"/>
        </w:rPr>
        <w:t xml:space="preserve">号</w:t>
      </w:r>
      <w:r>
        <w:rPr>
          <w:rFonts w:hint="eastAsia" w:ascii="宋体" w:hAnsi="宋体" w:cs="宋体"/>
          <w:bCs/>
          <w:szCs w:val="21"/>
          <w:highlight w:val="none"/>
        </w:rPr>
        <w:t xml:space="preserve">项目。</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2.投标人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 本招标文件中“供应商”，即“投标人”，是指参加投标竞争，并符合招标文件规定资格条件的法人、其他组织或者自然人。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2.2合格的投标人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2.2.1 满足招标公告中投标人的资格条件要求的规定。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2.2.2 满足本文件实质性条款的规定。</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3.适用法律</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3.1 本次招标及由此产生的合同受中华人民共和国有关的法律法规制约和保护。</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4.投标费用</w:t>
      </w:r>
      <w:r/>
    </w:p>
    <w:p>
      <w:pPr>
        <w:ind w:firstLine="420"/>
        <w:spacing w:line="360" w:lineRule="auto"/>
        <w:rPr>
          <w:rFonts w:ascii="宋体" w:hAnsi="宋体" w:cs="宋体"/>
          <w:highlight w:val="none"/>
        </w:rPr>
      </w:pPr>
      <w:r>
        <w:rPr>
          <w:rFonts w:hint="eastAsia" w:ascii="宋体" w:hAnsi="宋体" w:cs="宋体"/>
          <w:highlight w:val="none"/>
        </w:rPr>
        <w:t xml:space="preserve">4.1 投标人应自行承担所有与参加投标有关的费用，无论投标过程中的做法和结果如何，代理机构在任何情况下均无义务和责任承担这些费用。 </w:t>
      </w:r>
      <w:r/>
    </w:p>
    <w:p>
      <w:pPr>
        <w:ind w:firstLine="422"/>
        <w:spacing w:line="360" w:lineRule="auto"/>
        <w:rPr>
          <w:rFonts w:ascii="宋体" w:hAnsi="宋体" w:cs="宋体"/>
          <w:b/>
          <w:bCs/>
          <w:szCs w:val="21"/>
          <w:highlight w:val="none"/>
        </w:rPr>
      </w:pPr>
      <w:r>
        <w:rPr>
          <w:rFonts w:hint="eastAsia" w:ascii="宋体" w:hAnsi="宋体" w:cs="宋体"/>
          <w:b/>
          <w:bCs/>
          <w:szCs w:val="21"/>
          <w:highlight w:val="none"/>
        </w:rPr>
        <w:t xml:space="preserve">4.2本次采购由中标人在领取中标通知书前按照苏政采协[2024]20号关于印发《江苏省政府采购代理服务收费指导意见》的通知标准一次性支付给招标代理机构代理服务费（不满伍仟元按伍仟元计算）。每包代理服务费不满 5000元按 5000元计取。</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（1）代理服务费以人民币支付；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（2）代理服务费一次性以电汇或转账等非现金形式支付。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（3）代理服务费不在报价中单列，由中标人支付给代理机构。</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代理服务费开户银行：中国工商银行股份有限公司扬州邗江支行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       开户名称：江苏华屹工程咨询管理有限公司</w:t>
      </w:r>
      <w:r/>
    </w:p>
    <w:p>
      <w:pPr>
        <w:ind w:firstLine="422"/>
        <w:spacing w:line="360" w:lineRule="auto"/>
        <w:rPr>
          <w:rFonts w:ascii="宋体" w:hAnsi="宋体" w:cs="宋体"/>
          <w:highlight w:val="none"/>
        </w:rPr>
      </w:pPr>
      <w:r>
        <w:rPr>
          <w:rFonts w:hint="eastAsia" w:ascii="宋体" w:hAnsi="宋体" w:cs="宋体"/>
          <w:b/>
          <w:szCs w:val="21"/>
          <w:highlight w:val="none"/>
        </w:rPr>
        <w:t xml:space="preserve">       开户账号：1108260319100638664</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4.3专家评审费按《扬州市财政局关于进一步规范扬州市政府采购专家评审费标准的通知》（扬财购〔2020〕40号）执行。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5.招标文件的约束力</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5.1 投标人一旦参加本项目采购活动，即被认为接受了本招标文件的规定和约束。</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6.招标文件构成</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6.1 招标文件有以下部分组成：</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（1）招标公告</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（2）投标人须知</w:t>
      </w:r>
      <w:r>
        <w:rPr>
          <w:rFonts w:hint="eastAsia" w:ascii="宋体" w:hAnsi="宋体" w:cs="宋体"/>
          <w:bCs/>
          <w:szCs w:val="21"/>
          <w:highlight w:val="none"/>
        </w:rPr>
        <w:tab/>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（3）合同条款及格式</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（4）项目需求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（5）评标方法与评标标准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（6）投标文件格式</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请仔细检查招标文件是否齐全，如有缺漏请立即与代理机构联系解决。</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6.3 招标文件如果要求供应商提交备选投标方案的，供应商可以提交备选方案；否则，备选方案将被拒绝。</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投标，否则其风险由投标人自行承担。</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7.招标文件的澄清</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任何要求对招标文件进行澄清的投标人，应在投标截止日期的十日前按招标公告中的通讯地址，以书面形式通知代理机构。</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8.招标文件的修改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8.1 在投标截止时间之前，代理机构可以对招标文件进行修改。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8.2代理机构在招标文件要求提交投标文件截止时间前，有权按照法定要求推迟投标截止时间和开标时间。</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9.投标文件的语言、度量衡单位、货币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9.2 除技术性能另有规定外，投标文件所使用的度量衡单位，均须采用国家法定计量单位。</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9.3投标人应使用人民币报价。</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10.投标文件构成</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10.1投标文件由以下部分组成</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（1）资格审查响应对照表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（2）符合性审查响应对照表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（3）非实质性响应对照表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（4）开标一览表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（5）分项报价表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（6）技术参数响应及偏离表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（7）商务条款响应及偏离表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（8）其他 （投标人认为有必要提供的声明和文件，如有自拟并自行添加）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11.证明投标人资格及符合招标文件规定的文件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11.1投标人应按要求提交资格证明文件及符合招标文件规定的文件。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11.2投标人应提交证明其有资格参加投标和中标后有能力独立履行合同的文件。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11.3投标人除必须具有履行合同所需提供的产品或服务的能力外，还必须具备相应的财务、技术方面的能力。</w:t>
      </w:r>
      <w:r/>
    </w:p>
    <w:p>
      <w:pPr>
        <w:spacing w:line="360" w:lineRule="auto"/>
        <w:rPr>
          <w:rFonts w:ascii="宋体" w:hAnsi="宋体" w:cs="宋体"/>
          <w:bCs/>
          <w:szCs w:val="21"/>
          <w:highlight w:val="none"/>
        </w:rPr>
      </w:pPr>
      <w:r>
        <w:rPr>
          <w:rFonts w:hint="eastAsia" w:ascii="宋体" w:hAnsi="宋体" w:cs="宋体"/>
          <w:bCs/>
          <w:szCs w:val="21"/>
          <w:highlight w:val="none"/>
        </w:rPr>
        <w:t xml:space="preserve">    11.4投标人应提交根据合同要求提供的证明服务质量合格以及符合招标文件规定的证明文件。</w:t>
      </w:r>
      <w:r/>
    </w:p>
    <w:p>
      <w:pPr>
        <w:spacing w:line="360" w:lineRule="auto"/>
        <w:rPr>
          <w:rFonts w:ascii="宋体" w:hAnsi="宋体" w:cs="宋体"/>
          <w:bCs/>
          <w:szCs w:val="21"/>
          <w:highlight w:val="none"/>
        </w:rPr>
      </w:pPr>
      <w:r>
        <w:rPr>
          <w:rFonts w:hint="eastAsia" w:ascii="宋体" w:hAnsi="宋体" w:cs="宋体"/>
          <w:bCs/>
          <w:szCs w:val="21"/>
          <w:highlight w:val="none"/>
        </w:rPr>
        <w:t xml:space="preserve">    11.5证明投标人所提供服务与招标文件的要求相一致的文件可以是手册、图纸、文字资料和数据。</w:t>
      </w:r>
      <w:r/>
    </w:p>
    <w:p>
      <w:pPr>
        <w:ind w:left="420"/>
        <w:spacing w:line="360" w:lineRule="auto"/>
        <w:rPr>
          <w:rFonts w:ascii="宋体" w:hAnsi="宋体" w:cs="宋体"/>
          <w:b/>
          <w:szCs w:val="21"/>
          <w:highlight w:val="none"/>
        </w:rPr>
      </w:pPr>
      <w:r>
        <w:rPr>
          <w:rFonts w:hint="eastAsia" w:ascii="宋体" w:hAnsi="宋体" w:cs="宋体"/>
          <w:b/>
          <w:szCs w:val="21"/>
          <w:highlight w:val="none"/>
        </w:rPr>
        <w:t xml:space="preserve">12.</w:t>
      </w:r>
      <w:r>
        <w:rPr>
          <w:rFonts w:hint="eastAsia" w:ascii="宋体" w:hAnsi="宋体" w:cs="宋体"/>
          <w:b/>
          <w:bCs/>
          <w:highlight w:val="none"/>
        </w:rPr>
        <w:t xml:space="preserve">分项报价表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12.2 标的物</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采购人需求的服务供应、安装，调试及有关技术服务等。</w:t>
      </w:r>
      <w:r/>
    </w:p>
    <w:p>
      <w:pPr>
        <w:ind w:firstLine="420"/>
        <w:spacing w:line="360" w:lineRule="auto"/>
        <w:rPr>
          <w:rFonts w:ascii="宋体" w:hAnsi="宋体" w:cs="宋体"/>
          <w:highlight w:val="none"/>
        </w:rPr>
      </w:pPr>
      <w:r>
        <w:rPr>
          <w:rFonts w:hint="eastAsia" w:ascii="宋体" w:hAnsi="宋体" w:cs="宋体"/>
          <w:highlight w:val="none"/>
        </w:rPr>
        <w:t xml:space="preserve">12.3其它费用处理</w:t>
      </w:r>
      <w:r/>
    </w:p>
    <w:p>
      <w:pPr>
        <w:ind w:firstLine="420"/>
        <w:spacing w:line="360" w:lineRule="auto"/>
        <w:rPr>
          <w:rFonts w:ascii="宋体" w:hAnsi="宋体" w:cs="宋体"/>
          <w:highlight w:val="none"/>
        </w:rPr>
      </w:pPr>
      <w:r>
        <w:rPr>
          <w:rFonts w:hint="eastAsia" w:ascii="宋体" w:hAnsi="宋体" w:cs="宋体"/>
          <w:highlight w:val="none"/>
        </w:rPr>
        <w:t xml:space="preserve">招标文件未列明，而投标人认为必需的费用也需列入报价。</w:t>
      </w:r>
      <w:r/>
    </w:p>
    <w:p>
      <w:pPr>
        <w:ind w:firstLine="420"/>
        <w:spacing w:line="360" w:lineRule="auto"/>
        <w:rPr>
          <w:rFonts w:ascii="宋体" w:hAnsi="宋体" w:cs="宋体"/>
          <w:highlight w:val="none"/>
        </w:rPr>
      </w:pPr>
      <w:r>
        <w:rPr>
          <w:rFonts w:hint="eastAsia" w:ascii="宋体" w:hAnsi="宋体" w:cs="宋体"/>
          <w:highlight w:val="none"/>
        </w:rPr>
        <w:t xml:space="preserve">12.4投标货币</w:t>
      </w:r>
      <w:r/>
    </w:p>
    <w:p>
      <w:pPr>
        <w:ind w:firstLine="420"/>
        <w:spacing w:line="360" w:lineRule="auto"/>
        <w:rPr>
          <w:rFonts w:ascii="宋体" w:hAnsi="宋体" w:cs="宋体"/>
          <w:highlight w:val="none"/>
        </w:rPr>
      </w:pPr>
      <w:r>
        <w:rPr>
          <w:rFonts w:hint="eastAsia" w:ascii="宋体" w:hAnsi="宋体" w:cs="宋体"/>
          <w:highlight w:val="none"/>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13.技术参数响应及偏离表、商务条款响应及偏离表及投标货物说明</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13.1 对招标文件中的技术与商务条款要求逐项作出响应或偏离，并说明原因；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13.2 提供参加本项目类似案例简介；</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13.3 培训计划；</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13.4 投标人认为需要的其他技术文件或说明。</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14.服务承诺及售后服务机构、人员的情况介绍</w:t>
      </w:r>
      <w:r/>
    </w:p>
    <w:p>
      <w:pPr>
        <w:spacing w:line="360" w:lineRule="auto"/>
        <w:rPr>
          <w:rFonts w:ascii="宋体" w:hAnsi="宋体" w:cs="宋体"/>
          <w:bCs/>
          <w:szCs w:val="21"/>
          <w:highlight w:val="none"/>
        </w:rPr>
      </w:pPr>
      <w:r>
        <w:rPr>
          <w:rFonts w:hint="eastAsia" w:ascii="宋体" w:hAnsi="宋体" w:cs="宋体"/>
          <w:bCs/>
          <w:szCs w:val="21"/>
          <w:highlight w:val="none"/>
        </w:rPr>
        <w:t xml:space="preserve">    14.1投标人的服务承诺应按不低于招标文件中商务要求的标准。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15.投标函和开标一览表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15.1 投标人应按照招标文件中提供的格式完整、正确填写投标函、开标一览表。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15.2开标一览表中的价格应与投标文件中分项报价表中的价格一致，如不一致，不作为无效投标处理，但评标时按开标一览表中价格为准。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16.投标有效期</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16.1投标有效期为开标之日起六十（60）天。投标有效期比规定短的将被视为非响应性投标而予以拒绝。</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cs="宋体"/>
          <w:b/>
          <w:szCs w:val="21"/>
          <w:highlight w:val="none"/>
        </w:rPr>
      </w:pPr>
      <w:r/>
      <w:bookmarkStart w:id="62" w:name="_Toc20823297"/>
      <w:r/>
      <w:bookmarkStart w:id="63" w:name="_Toc16938541"/>
      <w:r/>
      <w:bookmarkStart w:id="64" w:name="_Toc462564084"/>
      <w:r/>
      <w:bookmarkStart w:id="65" w:name="_Toc513029225"/>
      <w:r>
        <w:rPr>
          <w:rFonts w:hint="eastAsia" w:ascii="宋体" w:hAnsi="宋体" w:cs="宋体"/>
          <w:b/>
          <w:szCs w:val="21"/>
          <w:highlight w:val="none"/>
        </w:rPr>
        <w:t xml:space="preserve">17.投标文件</w:t>
      </w:r>
      <w:bookmarkEnd w:id="62"/>
      <w:r/>
      <w:bookmarkEnd w:id="63"/>
      <w:r/>
      <w:bookmarkEnd w:id="64"/>
      <w:r/>
      <w:bookmarkEnd w:id="65"/>
      <w:r>
        <w:rPr>
          <w:rFonts w:hint="eastAsia" w:ascii="宋体" w:hAnsi="宋体" w:cs="宋体"/>
          <w:b/>
          <w:szCs w:val="21"/>
          <w:highlight w:val="none"/>
        </w:rPr>
        <w:t xml:space="preserve">的递交</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17.1电子投标文件的递交投标人应当按照《操作手册》规定，在投标截止时间前制作并上传电子投标文件。</w:t>
      </w:r>
      <w:bookmarkStart w:id="66" w:name="_Toc16938542"/>
      <w:r/>
      <w:bookmarkStart w:id="67" w:name="_Toc513029226"/>
      <w:r/>
      <w:bookmarkStart w:id="68" w:name="_Toc20823298"/>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17.2</w:t>
      </w:r>
      <w:r>
        <w:rPr>
          <w:rFonts w:hint="eastAsia" w:ascii="宋体" w:hAnsi="宋体" w:cs="宋体"/>
          <w:b/>
          <w:bCs/>
          <w:szCs w:val="21"/>
          <w:highlight w:val="none"/>
        </w:rPr>
        <w:t xml:space="preserve">政府采购管理交易系统（苏采云）</w:t>
      </w:r>
      <w:r>
        <w:rPr>
          <w:rFonts w:hint="eastAsia" w:ascii="宋体" w:hAnsi="宋体" w:cs="宋体"/>
          <w:b/>
          <w:szCs w:val="21"/>
          <w:highlight w:val="none"/>
        </w:rPr>
        <w:t xml:space="preserve">相关要求是本招标文件的组成部分。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17.3投标人应对 CA 证书妥善保管，如被他人盗用投标，因此带来的结果均由投标人自行承担。</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17.4投标人应当对招标文件提出的要求和条件作出实质性响应，并在电子投标系统逐条应答。</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ascii="宋体" w:hAnsi="宋体" w:cs="宋体"/>
          <w:highlight w:val="none"/>
        </w:rPr>
      </w:pPr>
      <w:r>
        <w:rPr>
          <w:rFonts w:hint="eastAsia" w:ascii="宋体" w:hAnsi="宋体" w:cs="宋体"/>
          <w:b/>
          <w:szCs w:val="21"/>
          <w:highlight w:val="none"/>
        </w:rPr>
        <w:t xml:space="preserve">17.7各投标人应在规定时间内凭CA证书进行网上解密。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18.投标截止日期</w:t>
      </w:r>
      <w:bookmarkEnd w:id="66"/>
      <w:r/>
      <w:bookmarkEnd w:id="67"/>
      <w:r/>
      <w:bookmarkEnd w:id="68"/>
      <w:r/>
      <w:r/>
    </w:p>
    <w:p>
      <w:pPr>
        <w:ind w:firstLine="420"/>
        <w:spacing w:line="360" w:lineRule="auto"/>
        <w:rPr>
          <w:rFonts w:ascii="宋体" w:hAnsi="宋体" w:cs="宋体"/>
          <w:bCs/>
          <w:i/>
          <w:iCs/>
          <w:szCs w:val="21"/>
          <w:highlight w:val="none"/>
          <w:u w:val="single"/>
        </w:rPr>
      </w:pPr>
      <w:r>
        <w:rPr>
          <w:rFonts w:hint="eastAsia" w:ascii="宋体" w:hAnsi="宋体" w:cs="宋体"/>
          <w:bCs/>
          <w:i/>
          <w:iCs/>
          <w:szCs w:val="21"/>
          <w:highlight w:val="none"/>
          <w:u w:val="single"/>
        </w:rPr>
        <w:t xml:space="preserve">18.1 投标人上传电子投标文件的时间不得迟于招标公告中规定的投标截止时间。</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cs="宋体"/>
          <w:b/>
          <w:szCs w:val="21"/>
          <w:highlight w:val="none"/>
        </w:rPr>
      </w:pPr>
      <w:r/>
      <w:bookmarkStart w:id="69" w:name="_Toc16938543"/>
      <w:r/>
      <w:bookmarkStart w:id="70" w:name="_Toc513029227"/>
      <w:r/>
      <w:bookmarkStart w:id="71" w:name="_Toc20823299"/>
      <w:r>
        <w:rPr>
          <w:rFonts w:hint="eastAsia" w:ascii="宋体" w:hAnsi="宋体" w:cs="宋体"/>
          <w:b/>
          <w:szCs w:val="21"/>
          <w:highlight w:val="none"/>
        </w:rPr>
        <w:t xml:space="preserve">19.投标文件</w:t>
      </w:r>
      <w:bookmarkEnd w:id="69"/>
      <w:r/>
      <w:bookmarkEnd w:id="70"/>
      <w:r/>
      <w:bookmarkEnd w:id="71"/>
      <w:r>
        <w:rPr>
          <w:rFonts w:hint="eastAsia" w:ascii="宋体" w:hAnsi="宋体" w:cs="宋体"/>
          <w:b/>
          <w:szCs w:val="21"/>
          <w:highlight w:val="none"/>
        </w:rPr>
        <w:t xml:space="preserve">的拒收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19.1代理机构拒绝接收在其规定的投标截止时间后上传的任何投标文件。</w:t>
      </w:r>
      <w:r/>
    </w:p>
    <w:p>
      <w:pPr>
        <w:ind w:firstLine="422"/>
        <w:spacing w:line="360" w:lineRule="auto"/>
        <w:rPr>
          <w:rFonts w:ascii="宋体" w:hAnsi="宋体" w:cs="宋体"/>
          <w:b/>
          <w:szCs w:val="21"/>
          <w:highlight w:val="none"/>
        </w:rPr>
      </w:pPr>
      <w:r/>
      <w:bookmarkStart w:id="72" w:name="_Toc16938544"/>
      <w:r/>
      <w:bookmarkStart w:id="73" w:name="_Toc513029228"/>
      <w:r/>
      <w:bookmarkStart w:id="74" w:name="_Toc20823300"/>
      <w:r>
        <w:rPr>
          <w:rFonts w:hint="eastAsia" w:ascii="宋体" w:hAnsi="宋体" w:cs="宋体"/>
          <w:b/>
          <w:szCs w:val="21"/>
          <w:highlight w:val="none"/>
        </w:rPr>
        <w:t xml:space="preserve">20.投标文件的撤回和修改</w:t>
      </w:r>
      <w:bookmarkEnd w:id="72"/>
      <w:r/>
      <w:bookmarkEnd w:id="73"/>
      <w:r/>
      <w:bookmarkEnd w:id="74"/>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 投标文件的撤回</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20.1.1 电子投标文件的撤回</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投标人可在投标截止时间前，撤回其电子投标文件，具体操作方法见《操作手册》。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20.1.2 投标人撤回电子投标文件，则认为其不再参与本项目投标活动。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20.2 投标文件的修改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投标人可在投标截止时间前，对其电子投标文件进行修改，具体操作方法见《操作手册》。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20.3 在投标截止时间之后，投标人不得对其电子投标文件作任何修改。</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20.4在投标截止时间至招标文件中规定的投标有效期满之间的这段时间内，投标人不得撤回其投标。</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21.开标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21.2每个包投标人不足3家的，不得开标。</w:t>
      </w:r>
      <w:r/>
    </w:p>
    <w:p>
      <w:pPr>
        <w:spacing w:line="360" w:lineRule="auto"/>
        <w:rPr>
          <w:rFonts w:ascii="宋体" w:hAnsi="宋体" w:cs="宋体"/>
          <w:bCs/>
          <w:szCs w:val="21"/>
          <w:highlight w:val="none"/>
        </w:rPr>
      </w:pPr>
      <w:r>
        <w:rPr>
          <w:rFonts w:hint="eastAsia" w:ascii="宋体" w:hAnsi="宋体" w:cs="宋体"/>
          <w:bCs/>
          <w:szCs w:val="21"/>
          <w:highlight w:val="none"/>
        </w:rPr>
        <w:t xml:space="preserve">    </w:t>
      </w:r>
      <w:r>
        <w:rPr>
          <w:rFonts w:hint="eastAsia" w:ascii="宋体" w:hAnsi="宋体" w:cs="宋体"/>
          <w:b/>
          <w:szCs w:val="21"/>
          <w:highlight w:val="none"/>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21.4投标人在开标过程中涉及到的投标文件解密、开标结果确认等工作，应按照《操作手册》规定执行。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22.评标委员会</w:t>
      </w:r>
      <w:r/>
    </w:p>
    <w:p>
      <w:pPr>
        <w:spacing w:line="360" w:lineRule="auto"/>
        <w:rPr>
          <w:rFonts w:ascii="宋体" w:hAnsi="宋体" w:cs="宋体"/>
          <w:bCs/>
          <w:szCs w:val="21"/>
          <w:highlight w:val="none"/>
        </w:rPr>
      </w:pPr>
      <w:r>
        <w:rPr>
          <w:rFonts w:hint="eastAsia" w:ascii="宋体" w:hAnsi="宋体" w:cs="宋体"/>
          <w:bCs/>
          <w:szCs w:val="21"/>
          <w:highlight w:val="none"/>
        </w:rPr>
        <w:t xml:space="preserve">    22.1 开标后，代理机构将立即组织评标委员会（以下简称评委会）进行评标。</w:t>
      </w:r>
      <w:r/>
    </w:p>
    <w:p>
      <w:pPr>
        <w:spacing w:line="360" w:lineRule="auto"/>
        <w:rPr>
          <w:rFonts w:ascii="宋体" w:hAnsi="宋体" w:cs="宋体"/>
          <w:bCs/>
          <w:szCs w:val="21"/>
          <w:highlight w:val="none"/>
        </w:rPr>
      </w:pPr>
      <w:r>
        <w:rPr>
          <w:rFonts w:hint="eastAsia" w:ascii="宋体" w:hAnsi="宋体" w:cs="宋体"/>
          <w:bCs/>
          <w:szCs w:val="21"/>
          <w:highlight w:val="none"/>
        </w:rPr>
        <w:t xml:space="preserve">    22.2评委会由采购人代表和有关技术、经济等方面的专家组成，且人员构成符合政府采购有关规定。</w:t>
      </w:r>
      <w:r/>
    </w:p>
    <w:p>
      <w:pPr>
        <w:spacing w:line="360" w:lineRule="auto"/>
        <w:rPr>
          <w:rFonts w:ascii="宋体" w:hAnsi="宋体" w:cs="宋体"/>
          <w:bCs/>
          <w:szCs w:val="21"/>
          <w:highlight w:val="none"/>
        </w:rPr>
      </w:pPr>
      <w:r>
        <w:rPr>
          <w:rFonts w:hint="eastAsia" w:ascii="宋体" w:hAnsi="宋体" w:cs="宋体"/>
          <w:bCs/>
          <w:szCs w:val="21"/>
          <w:highlight w:val="none"/>
        </w:rPr>
        <w:t xml:space="preserve">    22.3评委会独立工作，负责评审所有投标文件并确定中标候选人。</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23.评标过程的保密与公正</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23.2在评标过程中，投标人不得以任何行为影响评标过程，否则其投标文件将被作为无效投标文件。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23.3 在评标期间，代理机构将设专门工作人员与投标人联系。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23.4 代理机构和评委会不向未中标的投标人解释未中标原因，也不公布评标过程中的相关细节。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24.投标的澄清</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24.2接到评委会澄清要求的投标人应派人按评委会规定的时间和格式在“政府采购管理交易系统（苏采云）”中作出澄清，澄清的内容作为投标文件的补充部分，但投标的价格和实质性的内容不得做任何更改。具体操作方式见《操作手册》。</w:t>
      </w:r>
      <w:r/>
    </w:p>
    <w:p>
      <w:pPr>
        <w:spacing w:line="360" w:lineRule="auto"/>
        <w:rPr>
          <w:rFonts w:ascii="宋体" w:hAnsi="宋体" w:cs="宋体"/>
          <w:bCs/>
          <w:szCs w:val="21"/>
          <w:highlight w:val="none"/>
        </w:rPr>
      </w:pPr>
      <w:r>
        <w:rPr>
          <w:rFonts w:hint="eastAsia" w:ascii="宋体" w:hAnsi="宋体" w:cs="宋体"/>
          <w:bCs/>
          <w:szCs w:val="21"/>
          <w:highlight w:val="none"/>
        </w:rPr>
        <w:t xml:space="preserve">    24.3 接到评委会澄清要求的投标人如未按规定作出澄清，其风险由投标人自行承担。</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25.对投标文件的初审</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25.1投标文件初审分为资格审查和符合性审查。</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（1）投标文件中开标一览表内容与投标文件中相应内容不一致的，以开标一览表为准。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（2）大写金额与小写金额不一致的，以大写金额为准。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（3）单价金额小数点或者百分比有明显错位的，以开标一览表的总价为准，并修改单价。</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（4）总价金额与按单价汇总金额不一致的，以单价金额计算结果为准。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同时出现两种以上错误的，按照前款规定的顺序修正。</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s="宋体"/>
          <w:highlight w:val="none"/>
        </w:rPr>
      </w:pPr>
      <w:r>
        <w:rPr>
          <w:rFonts w:hint="eastAsia" w:ascii="宋体" w:hAnsi="宋体" w:cs="宋体"/>
          <w:highlight w:val="none"/>
        </w:rPr>
        <w:t xml:space="preserve">25.7 投标人在开、评标全过程中应保持通讯畅通，并安排专人与代理机构及评委会联系。</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26.无效投标、废标及投标人不足三家的处理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26.1无效投标条款</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26.1.1 投标人未成功解密电子投标文件的。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26.1.2 投标人未按照招标文件要求上传电子投标文件的。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26.1.3投标人在报价时采用选择性报价的。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26.1.4投标人不具备招标文件中规定资格要求的。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26.1.5投标人的报价超过了采购预算或最高限价的。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26.1.6未通过符合性审查的。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26.1.7不符合招标文件中规定的其他实质性要求和条件的（</w:t>
      </w:r>
      <w:r>
        <w:rPr>
          <w:rFonts w:hint="eastAsia" w:ascii="宋体" w:hAnsi="宋体" w:cs="宋体"/>
          <w:bCs/>
          <w:i/>
          <w:iCs/>
          <w:szCs w:val="21"/>
          <w:highlight w:val="none"/>
          <w:u w:val="single"/>
        </w:rPr>
        <w:t xml:space="preserve">本招标文件中斜体且有下划线部分为实质性要求和条件</w:t>
      </w:r>
      <w:r>
        <w:rPr>
          <w:rFonts w:hint="eastAsia" w:ascii="宋体" w:hAnsi="宋体" w:cs="宋体"/>
          <w:bCs/>
          <w:szCs w:val="21"/>
          <w:highlight w:val="none"/>
        </w:rPr>
        <w:t xml:space="preserve">）。</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26.1.8投标人被“信用中国”网站（www.creditchina.gov.cn）、“中国政府采购网"(www.ccgp.gov.cn)列入失信被执行人或重大税收违法案件当事人名单或政府采购严重失信行为记录名单。</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26.1.9  投标文件含有采购人不能接受的附加条件的。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26.1.11本项目采购产品被财政部、国家发展改革委、生态环境部等列入“节能产品品目清单”、“环境标志产品品目清单”强制采购范围，而投标人所投标产品不在强制采购范围内的。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26.1.12 投标文件未按照招标文件要求加盖电子签章。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26.1.13其他法律、法规及本招标文件规定的属无效投标的情形。</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26.2废标条款：</w:t>
      </w:r>
      <w:r/>
    </w:p>
    <w:p>
      <w:pPr>
        <w:ind w:left="420"/>
        <w:spacing w:line="360" w:lineRule="auto"/>
        <w:rPr>
          <w:rFonts w:ascii="宋体" w:hAnsi="宋体" w:cs="宋体"/>
          <w:bCs/>
          <w:szCs w:val="21"/>
          <w:highlight w:val="none"/>
        </w:rPr>
      </w:pPr>
      <w:r>
        <w:rPr>
          <w:rFonts w:hint="eastAsia" w:ascii="宋体" w:hAnsi="宋体" w:cs="宋体"/>
          <w:bCs/>
          <w:szCs w:val="21"/>
          <w:highlight w:val="none"/>
        </w:rPr>
        <w:t xml:space="preserve">26.2.1符合专业条件的供应商或者对招标文件作实质响应的供应商不足三家的。</w:t>
      </w:r>
      <w:r/>
    </w:p>
    <w:p>
      <w:pPr>
        <w:ind w:left="420"/>
        <w:spacing w:line="360" w:lineRule="auto"/>
        <w:rPr>
          <w:rFonts w:ascii="宋体" w:hAnsi="宋体" w:cs="宋体"/>
          <w:bCs/>
          <w:szCs w:val="21"/>
          <w:highlight w:val="none"/>
        </w:rPr>
      </w:pPr>
      <w:r>
        <w:rPr>
          <w:rFonts w:hint="eastAsia" w:ascii="宋体" w:hAnsi="宋体" w:cs="宋体"/>
          <w:bCs/>
          <w:szCs w:val="21"/>
          <w:highlight w:val="none"/>
        </w:rPr>
        <w:t xml:space="preserve">26.2.2出现影响采购公正的违法、违规行为的。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26.2.3因重大变故，采购任务取消的。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26.2.4评委会认定招标文件存在歧义、重大缺陷导致评审工作无法进行。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26.3 投标截止时间结束后参加投标的供应商不足三家的处理：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27.确定中标单位</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27.1评委会根据本招标文件规定评标方法与评标标准向采购人推荐出中标候选人。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27.2 采购人应根据评委会推荐的中标候选人确定中标人。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27.3代理机构将在“扬州市政府采购网”、“江苏省政府采购网”和“中国政府采购网”发布中标公告，公告期限为1个工作日。</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27.4若有充分证据证明，中标人出现下列情况之一的，一经查实，将被取消中标资格：</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27.4.1提供虚假材料谋取中标的；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27.4.2向采购人、代理机构行贿或者提供其他不正当利益的；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27.4.3恶意竞争，投标总报价明显低于其自身合理成本且又无法提供证明的；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27.4.4属于本文件规定的无效条件，但在评标过程中又未被评委会发现的；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27.4.5与采购人或者其他投标人恶意串通的；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27.4.6采取不正当手段诋毁、排挤其他供应商的；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27.4.7不符合法律、法规的规定的。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 有下列情形之一的，视为投标人串通投标，投标无效：</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27.5.1不同投标人的投标文件由同一单位或者个人编制。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27.5.2不同投标人委托同一单位或者个人办理投标事宜。</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27.5.3 不同投标人的投标文件载明的项目管理成员或者联系人员为同一人。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27.5.4不同投标人的投标文件异常一致或者投标报价呈规律性差异。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27.5.5不同投标人的投标文件相互混装。</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28.质疑处理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对项目需求部分的质疑，潜在供应商应向采购人提出，由采购人负责答复。</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28.2.1对采购文件提出质疑的，应当在获取采购文件之日或者采购文件公告期限届满之日起7个工作日内提出。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28.2.2对采购过程提出质疑的，为各采购程序环节结束之日起7个工作日内提出。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28.2.3对中标结果提出质疑的，为中标结果公告期限届满之日起7个工作日内提出。</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28.4质疑函必须按照《质疑函范本》及《授权委托书》要求的格式和内容进行填写，格式见网址：</w:t>
      </w:r>
      <w:r>
        <w:rPr>
          <w:highlight w:val="none"/>
        </w:rPr>
        <w:fldChar w:fldCharType="begin"/>
      </w:r>
      <w:r>
        <w:rPr>
          <w:highlight w:val="none"/>
        </w:rPr>
        <w:instrText xml:space="preserve"> HYPERLINK "http://zfcg.yangzhou.gov.cn。" </w:instrText>
      </w:r>
      <w:r>
        <w:rPr>
          <w:highlight w:val="none"/>
        </w:rPr>
        <w:fldChar w:fldCharType="separate"/>
      </w:r>
      <w:r>
        <w:rPr>
          <w:rStyle w:val="941"/>
          <w:rFonts w:hint="eastAsia" w:ascii="宋体" w:hAnsi="宋体" w:cs="宋体"/>
          <w:bCs/>
          <w:color w:val="auto"/>
          <w:szCs w:val="21"/>
          <w:highlight w:val="none"/>
        </w:rPr>
        <w:t xml:space="preserve">http://zfcg.yangzhou.gov.cn。</w:t>
      </w:r>
      <w:r>
        <w:rPr>
          <w:rStyle w:val="941"/>
          <w:rFonts w:hint="eastAsia" w:ascii="宋体" w:hAnsi="宋体" w:cs="宋体"/>
          <w:bCs/>
          <w:color w:val="auto"/>
          <w:szCs w:val="21"/>
          <w:highlight w:val="none"/>
        </w:rPr>
        <w:fldChar w:fldCharType="end"/>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28.5 代理机构及采购人只接收以纸质原件形式送达的质疑，</w:t>
      </w:r>
      <w:r>
        <w:rPr>
          <w:rFonts w:hint="eastAsia" w:ascii="宋体" w:hAnsi="宋体" w:cs="宋体"/>
          <w:b/>
          <w:szCs w:val="21"/>
          <w:highlight w:val="none"/>
          <w:u w:val="single"/>
        </w:rPr>
        <w:t xml:space="preserve">同时需与采购代理机构经办人确认是否收到《质疑函》，如供应商未按上述要求去做，将自行承担所产生的风险。</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采购人质疑接收人及联系方式见招标文件第一章。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28.7质疑人应当在法定质疑期限内进行补正并重新提交质疑函。</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28.8 以下情形的质疑不予受理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28.8.1 内容不符合《政府采购质疑和投诉办法》第十二条规定的质疑。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28.8.2 超出政府采购法定期限的质疑。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28.8.3 以传真、电子邮件等方式递交的非原件形式的质疑。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28.8.4 未参加投标活动的供应商或在投标活动中自身权益未受到损害的供应商所提出的质疑。</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29.中标通知书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29.l 中标结果确定后，代理机构将向中标人发出中标通知书。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29.2 中标人可在“政府采购管理交易系统（苏采云）”中标通知书下载模块中自行下载中标通知书。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30. 签订合同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30.l中标人应在中标通知书发出之日起</w:t>
      </w:r>
      <w:r>
        <w:rPr>
          <w:rFonts w:hint="eastAsia" w:ascii="宋体" w:hAnsi="宋体" w:cs="宋体"/>
          <w:bCs/>
          <w:szCs w:val="21"/>
          <w:highlight w:val="none"/>
          <w:lang w:eastAsia="zh-CN"/>
        </w:rPr>
        <w:t xml:space="preserve">三十</w:t>
      </w:r>
      <w:r>
        <w:rPr>
          <w:rFonts w:hint="eastAsia" w:ascii="宋体" w:hAnsi="宋体" w:cs="宋体"/>
          <w:bCs/>
          <w:szCs w:val="21"/>
          <w:highlight w:val="none"/>
        </w:rPr>
        <w:t xml:space="preserve">日内，按照招标文件确定的事项与采购人签订政府采购合同。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30.2 招标文件、中标人的投标文件及招标过程中有关澄清、承诺文件均应作为合同附件。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30.3 合同在“政府采购管理交易系统（苏采云）”中签订，签订合同后，</w:t>
      </w:r>
      <w:r>
        <w:rPr>
          <w:rFonts w:hint="eastAsia" w:ascii="宋体" w:hAnsi="宋体" w:cs="宋体"/>
          <w:bCs/>
          <w:i/>
          <w:iCs/>
          <w:szCs w:val="21"/>
          <w:highlight w:val="none"/>
          <w:u w:val="single"/>
        </w:rPr>
        <w:t xml:space="preserve">中标人不得将货物或服务及其他服务进行转包</w:t>
      </w:r>
      <w:r>
        <w:rPr>
          <w:rFonts w:hint="eastAsia" w:ascii="宋体" w:hAnsi="宋体" w:cs="宋体"/>
          <w:bCs/>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30.4采购人不得向中标人提出任何不合理的要求作为签订合同的条件，不得与中标人私下订立背离合同实质性内容的协议。中标人不得更改采购人确定的合同条款和内容，本</w:t>
      </w:r>
      <w:r>
        <w:rPr>
          <w:rFonts w:hint="eastAsia" w:ascii="宋体" w:hAnsi="宋体" w:cs="宋体"/>
          <w:bCs/>
          <w:szCs w:val="21"/>
          <w:highlight w:val="none"/>
          <w:lang w:eastAsia="zh-CN"/>
        </w:rPr>
        <w:t xml:space="preserve">招标</w:t>
      </w:r>
      <w:r>
        <w:rPr>
          <w:rFonts w:hint="eastAsia" w:ascii="宋体" w:hAnsi="宋体" w:cs="宋体"/>
          <w:bCs/>
          <w:szCs w:val="21"/>
          <w:highlight w:val="none"/>
        </w:rPr>
        <w:t xml:space="preserve">文件后附的“合同条款”条款，采购人有权根据需要作出变更和修改。若中标人未能按上述规定签约，视为放弃，采购人有权取消该</w:t>
      </w:r>
      <w:r>
        <w:rPr>
          <w:rFonts w:hint="eastAsia" w:ascii="宋体" w:hAnsi="宋体" w:cs="宋体"/>
          <w:bCs/>
          <w:szCs w:val="21"/>
          <w:highlight w:val="none"/>
          <w:lang w:eastAsia="zh-CN"/>
        </w:rPr>
        <w:t xml:space="preserve">中标</w:t>
      </w:r>
      <w:r>
        <w:rPr>
          <w:rFonts w:hint="eastAsia" w:ascii="宋体" w:hAnsi="宋体" w:cs="宋体"/>
          <w:bCs/>
          <w:szCs w:val="21"/>
          <w:highlight w:val="none"/>
        </w:rPr>
        <w:t xml:space="preserve">决定，由此给采购人造成损失的，中标人还应承担赔偿责任。在此情况下，采购人将按国家有关规定另选中标人。对未能</w:t>
      </w:r>
      <w:r>
        <w:rPr>
          <w:rFonts w:hint="eastAsia" w:ascii="宋体" w:hAnsi="宋体" w:cs="宋体"/>
          <w:bCs/>
          <w:szCs w:val="21"/>
          <w:highlight w:val="none"/>
          <w:lang w:eastAsia="zh-CN"/>
        </w:rPr>
        <w:t xml:space="preserve">中标</w:t>
      </w:r>
      <w:r>
        <w:rPr>
          <w:rFonts w:hint="eastAsia" w:ascii="宋体" w:hAnsi="宋体" w:cs="宋体"/>
          <w:bCs/>
          <w:szCs w:val="21"/>
          <w:highlight w:val="none"/>
        </w:rPr>
        <w:t xml:space="preserve">的</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，采购人无任何义务和责任对其未能</w:t>
      </w:r>
      <w:r>
        <w:rPr>
          <w:rFonts w:hint="eastAsia" w:ascii="宋体" w:hAnsi="宋体" w:cs="宋体"/>
          <w:bCs/>
          <w:szCs w:val="21"/>
          <w:highlight w:val="none"/>
          <w:lang w:eastAsia="zh-CN"/>
        </w:rPr>
        <w:t xml:space="preserve">中标</w:t>
      </w:r>
      <w:r>
        <w:rPr>
          <w:rFonts w:hint="eastAsia" w:ascii="宋体" w:hAnsi="宋体" w:cs="宋体"/>
          <w:bCs/>
          <w:szCs w:val="21"/>
          <w:highlight w:val="none"/>
        </w:rPr>
        <w:t xml:space="preserve">的原因作出说明和解释，</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不得提出任何异议。</w:t>
      </w:r>
      <w:r/>
    </w:p>
    <w:p>
      <w:pPr>
        <w:ind w:firstLine="422"/>
        <w:spacing w:line="360" w:lineRule="auto"/>
        <w:rPr>
          <w:rFonts w:ascii="宋体" w:hAnsi="宋体" w:cs="宋体"/>
          <w:b/>
          <w:bCs/>
          <w:highlight w:val="none"/>
        </w:rPr>
      </w:pPr>
      <w:r>
        <w:rPr>
          <w:rFonts w:hint="eastAsia" w:ascii="宋体" w:hAnsi="宋体" w:cs="宋体"/>
          <w:b/>
          <w:bCs/>
          <w:highlight w:val="none"/>
        </w:rPr>
        <w:t xml:space="preserve">31其他</w:t>
      </w:r>
      <w:r/>
    </w:p>
    <w:p>
      <w:pPr>
        <w:ind w:firstLine="420"/>
        <w:spacing w:line="360" w:lineRule="auto"/>
        <w:rPr>
          <w:rFonts w:ascii="宋体" w:hAnsi="宋体" w:cs="宋体"/>
          <w:bCs/>
          <w:szCs w:val="21"/>
          <w:highlight w:val="none"/>
        </w:rPr>
      </w:pPr>
      <w:r>
        <w:rPr>
          <w:rFonts w:hint="eastAsia" w:ascii="宋体" w:hAnsi="宋体" w:cs="宋体"/>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spacing w:line="360" w:lineRule="auto"/>
        <w:rPr>
          <w:rFonts w:ascii="宋体" w:hAnsi="宋体" w:cs="宋体"/>
          <w:bCs/>
          <w:szCs w:val="21"/>
          <w:highlight w:val="none"/>
        </w:rPr>
      </w:pPr>
      <w:r>
        <w:rPr>
          <w:rFonts w:hint="eastAsia" w:ascii="宋体" w:hAnsi="宋体" w:cs="宋体"/>
          <w:bCs/>
          <w:szCs w:val="21"/>
          <w:highlight w:val="none"/>
        </w:rPr>
        <w:br w:type="page" w:clear="all"/>
      </w:r>
      <w:r/>
    </w:p>
    <w:p>
      <w:pPr>
        <w:pStyle w:val="898"/>
        <w:rPr>
          <w:rFonts w:ascii="宋体" w:hAnsi="宋体" w:cs="宋体"/>
          <w:highlight w:val="none"/>
        </w:rPr>
      </w:pPr>
      <w:r/>
      <w:bookmarkStart w:id="75" w:name="_Toc31147"/>
      <w:r/>
      <w:bookmarkStart w:id="76" w:name="_Toc18427"/>
      <w:r/>
      <w:bookmarkStart w:id="77" w:name="_Toc55204179"/>
      <w:r/>
      <w:bookmarkStart w:id="78" w:name="_Toc14201"/>
      <w:r/>
      <w:bookmarkStart w:id="79" w:name="_Toc8416"/>
      <w:r/>
      <w:bookmarkStart w:id="80" w:name="_Toc4651"/>
      <w:r/>
      <w:bookmarkStart w:id="81" w:name="_Toc7953"/>
      <w:r/>
      <w:bookmarkStart w:id="82" w:name="_Hlk69392822"/>
      <w:r>
        <w:rPr>
          <w:rFonts w:hint="eastAsia" w:ascii="宋体" w:hAnsi="宋体" w:cs="宋体"/>
          <w:highlight w:val="none"/>
        </w:rPr>
        <w:t xml:space="preserve">第三章 合同条款及格式</w:t>
      </w:r>
      <w:bookmarkEnd w:id="75"/>
      <w:r/>
      <w:bookmarkEnd w:id="76"/>
      <w:r/>
      <w:bookmarkEnd w:id="77"/>
      <w:r/>
      <w:bookmarkEnd w:id="78"/>
      <w:r/>
      <w:bookmarkEnd w:id="79"/>
      <w:r/>
      <w:bookmarkEnd w:id="80"/>
      <w:r/>
      <w:bookmarkEnd w:id="81"/>
      <w:r/>
      <w:r/>
    </w:p>
    <w:p>
      <w:pPr>
        <w:pStyle w:val="1124"/>
        <w:ind w:firstLine="420"/>
        <w:spacing w:line="360" w:lineRule="auto"/>
        <w:rPr>
          <w:rFonts w:hAnsi="宋体" w:cs="宋体"/>
          <w:sz w:val="21"/>
          <w:highlight w:val="none"/>
        </w:rPr>
      </w:pPr>
      <w:r>
        <w:rPr>
          <w:rFonts w:hint="eastAsia" w:hAnsi="宋体" w:cs="宋体"/>
          <w:sz w:val="21"/>
          <w:highlight w:val="none"/>
        </w:rPr>
        <w:t xml:space="preserve">以下为中标后签订本项目合同的通用条款，中标人不得提出实质性的修改，关于专用条款将由采购人与中标人结合本项目具体情况协商后签订。</w:t>
      </w:r>
      <w:r/>
    </w:p>
    <w:p>
      <w:pPr>
        <w:pStyle w:val="1124"/>
        <w:ind w:firstLine="422"/>
        <w:jc w:val="center"/>
        <w:spacing w:line="360" w:lineRule="auto"/>
        <w:rPr>
          <w:rFonts w:hAnsi="宋体" w:cs="宋体"/>
          <w:b/>
          <w:bCs/>
          <w:sz w:val="21"/>
          <w:highlight w:val="none"/>
        </w:rPr>
      </w:pPr>
      <w:r>
        <w:rPr>
          <w:rFonts w:hAnsi="宋体" w:cs="宋体"/>
          <w:b/>
          <w:bCs/>
          <w:sz w:val="21"/>
          <w:highlight w:val="none"/>
        </w:rPr>
      </w:r>
      <w:r/>
    </w:p>
    <w:p>
      <w:pPr>
        <w:pStyle w:val="1124"/>
        <w:ind w:firstLine="422"/>
        <w:jc w:val="center"/>
        <w:spacing w:before="120" w:after="120" w:line="360" w:lineRule="auto"/>
        <w:rPr>
          <w:rFonts w:hAnsi="宋体" w:cs="宋体"/>
          <w:b/>
          <w:bCs/>
          <w:sz w:val="21"/>
          <w:highlight w:val="none"/>
        </w:rPr>
      </w:pPr>
      <w:r>
        <w:rPr>
          <w:rFonts w:hint="eastAsia" w:hAnsi="宋体" w:cs="宋体"/>
          <w:b/>
          <w:bCs/>
          <w:sz w:val="21"/>
          <w:highlight w:val="none"/>
        </w:rPr>
        <w:t xml:space="preserve">扬州市政府采购合同（服务）（合同编号）</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项目名称：扬州市城镇房屋体检服务项目（包一/包二/包三/包四） </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项目编号：</w:t>
      </w:r>
      <w:r>
        <w:rPr>
          <w:rFonts w:hint="eastAsia" w:hAnsi="宋体" w:cs="宋体"/>
          <w:sz w:val="21"/>
          <w:highlight w:val="none"/>
          <w:u w:val="single"/>
          <w:lang w:eastAsia="zh-CN"/>
        </w:rPr>
        <w:t xml:space="preserve">JSZC-321000-HYZC-G2026-0001</w:t>
      </w:r>
      <w:r>
        <w:rPr>
          <w:rFonts w:hint="eastAsia" w:hAnsi="宋体" w:cs="宋体"/>
          <w:sz w:val="21"/>
          <w:highlight w:val="none"/>
          <w:u w:val="single"/>
        </w:rPr>
        <w:t xml:space="preserve">号</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甲方：（买方）</w:t>
      </w:r>
      <w:r>
        <w:rPr>
          <w:rFonts w:hint="eastAsia" w:hAnsi="宋体" w:cs="宋体"/>
          <w:sz w:val="21"/>
          <w:highlight w:val="none"/>
          <w:u w:val="single"/>
        </w:rPr>
        <w:t xml:space="preserve">扬州市住房和城乡建设局</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乙方：（卖方）_______________________</w:t>
      </w:r>
      <w:r/>
    </w:p>
    <w:p>
      <w:pPr>
        <w:pStyle w:val="1124"/>
        <w:ind w:firstLine="420"/>
        <w:spacing w:before="120" w:after="120" w:line="360" w:lineRule="auto"/>
        <w:rPr>
          <w:rFonts w:hAnsi="宋体" w:cs="宋体"/>
          <w:sz w:val="21"/>
          <w:highlight w:val="none"/>
          <w:u w:val="single"/>
        </w:rPr>
      </w:pPr>
      <w:r>
        <w:rPr>
          <w:rFonts w:hint="eastAsia" w:hAnsi="宋体" w:cs="宋体"/>
          <w:sz w:val="21"/>
          <w:highlight w:val="none"/>
        </w:rPr>
        <w:t xml:space="preserve">见证方：</w:t>
      </w:r>
      <w:r>
        <w:rPr>
          <w:rFonts w:hint="eastAsia" w:hAnsi="宋体" w:cs="宋体"/>
          <w:sz w:val="21"/>
          <w:highlight w:val="none"/>
          <w:u w:val="single"/>
        </w:rPr>
        <w:t xml:space="preserve">江苏华屹工程咨询管理有限公司</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甲、乙双方根据江苏华屹工程咨询管理有限公司</w:t>
      </w:r>
      <w:r>
        <w:rPr>
          <w:rFonts w:hint="eastAsia" w:hAnsi="宋体" w:cs="宋体"/>
          <w:sz w:val="21"/>
          <w:highlight w:val="none"/>
          <w:u w:val="single"/>
        </w:rPr>
        <w:t xml:space="preserve"> 扬州市城镇房屋体检服务项目</w:t>
      </w:r>
      <w:r>
        <w:rPr>
          <w:rFonts w:hint="eastAsia" w:hAnsi="宋体" w:cs="宋体"/>
          <w:sz w:val="21"/>
          <w:highlight w:val="none"/>
        </w:rPr>
        <w:t xml:space="preserve">招标的结果，签署本合同。</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一、服务及产品内容</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1.1 项目（产品）名称：___________________</w:t>
      </w:r>
      <w:r/>
    </w:p>
    <w:p>
      <w:pPr>
        <w:ind w:firstLine="420"/>
        <w:spacing w:line="360" w:lineRule="auto"/>
        <w:rPr>
          <w:rFonts w:ascii="宋体" w:hAnsi="宋体" w:cs="宋体"/>
          <w:bCs/>
          <w:szCs w:val="21"/>
          <w:highlight w:val="none"/>
        </w:rPr>
      </w:pPr>
      <w:r>
        <w:rPr>
          <w:rFonts w:hint="eastAsia" w:ascii="宋体" w:hAnsi="宋体" w:cs="宋体"/>
          <w:highlight w:val="none"/>
        </w:rPr>
        <w:t xml:space="preserve">1.2 项目服务内容：按照《扬州市房屋体检试点工作方案（试行）》、《扬州市城镇房屋体检技术指南（试行）》，通过建筑信息采集、现场安全排查和辅助检测，对体检范围内全部建、构筑物进行技术分析和综合研判，并对其整体安全状况进行评估，形成体检报告。</w:t>
      </w:r>
      <w:r/>
    </w:p>
    <w:p>
      <w:pPr>
        <w:ind w:firstLine="420"/>
        <w:spacing w:line="360" w:lineRule="auto"/>
        <w:rPr>
          <w:highlight w:val="none"/>
        </w:rPr>
      </w:pPr>
      <w:r>
        <w:rPr>
          <w:rFonts w:hint="eastAsia" w:ascii="宋体" w:hAnsi="宋体" w:cs="宋体"/>
          <w:bCs/>
          <w:szCs w:val="21"/>
          <w:highlight w:val="none"/>
        </w:rPr>
        <w:t xml:space="preserve">1.3项目服务要求：房屋体检报告须签字盖章并上传系统。入户率要达到70%，且三层及以上多产权房屋的底层及顶层必须入户。投标文件内提供的项目组成员须如实到场履职，如若更换人员，须经过甲方同意。最终成果应装订成册，每栋房屋须提供2份纸质体检报告，A4规格，成果电子文本（含光盘）一份。乙方在项目结束前要提交一份详实具体高质量的综合分析报告。</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1.4其他详见项目需求和相关投标文件内容。</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二、合同金额</w:t>
      </w:r>
      <w:r/>
    </w:p>
    <w:p>
      <w:pPr>
        <w:pStyle w:val="1124"/>
        <w:ind w:firstLine="422"/>
        <w:spacing w:before="120" w:after="120" w:line="360" w:lineRule="auto"/>
        <w:rPr>
          <w:rFonts w:hAnsi="宋体" w:cs="宋体"/>
          <w:sz w:val="21"/>
          <w:highlight w:val="none"/>
        </w:rPr>
      </w:pPr>
      <w:r>
        <w:rPr>
          <w:rFonts w:hint="eastAsia" w:hAnsi="宋体" w:cs="宋体"/>
          <w:b/>
          <w:bCs/>
          <w:sz w:val="21"/>
          <w:highlight w:val="none"/>
        </w:rPr>
        <w:t xml:space="preserve">包一/包二/包三/包四</w:t>
      </w:r>
      <w:r>
        <w:rPr>
          <w:rFonts w:hint="eastAsia" w:hAnsi="宋体" w:cs="宋体"/>
          <w:sz w:val="21"/>
          <w:highlight w:val="none"/>
        </w:rPr>
        <w:t xml:space="preserve">：本合同为固定总价合同，合同金额为（大写）：人民币__</w:t>
      </w:r>
      <w:r>
        <w:rPr>
          <w:rFonts w:hint="eastAsia" w:hAnsi="宋体" w:cs="宋体"/>
          <w:sz w:val="21"/>
          <w:highlight w:val="none"/>
        </w:rPr>
        <w:t xml:space="preserve">_________圆（小写：_______元）人民币。本合同总金额包括但不限于乙方提供的服务、人工费、辅助材料、工机具及仪器仪表使用费用、培训指导费、税金及其他有关的为完成本项目发生的所有费用，除此之外，甲方无需向乙方支付其他任何费用。乙方已经充分考虑其与合同相关的一切事宜的工作量，故即使因误解、遗漏、考虑不周等原因而导致其工作量和项目增加的，乙方均不得要求甲方增加费用，同时其仍然应当保质保量地完成合同文件所涉项目，不得减损工作量。最终因结算金额发生争议的，以甲方指定部门审定结果为准，乙方放弃提出任何异议。</w:t>
      </w:r>
      <w:r/>
    </w:p>
    <w:p>
      <w:pPr>
        <w:pStyle w:val="1124"/>
        <w:ind w:firstLine="420"/>
        <w:spacing w:before="120" w:after="120" w:line="360" w:lineRule="auto"/>
        <w:rPr>
          <w:rFonts w:hint="eastAsia" w:hAnsi="宋体" w:cs="宋体"/>
          <w:sz w:val="21"/>
          <w:highlight w:val="none"/>
        </w:rPr>
      </w:pPr>
      <w:r>
        <w:rPr>
          <w:rFonts w:hint="eastAsia" w:hAnsi="宋体" w:cs="宋体"/>
          <w:sz w:val="21"/>
          <w:highlight w:val="none"/>
        </w:rPr>
        <w:t xml:space="preserve">在本合同及投标文件未列明，而乙方认为履行本合同必需的费用及不可预见费用也包含在合同总金额中。</w:t>
      </w:r>
      <w:r/>
    </w:p>
    <w:p>
      <w:pPr>
        <w:pStyle w:val="1124"/>
        <w:ind w:firstLine="420"/>
        <w:spacing w:before="120" w:after="120" w:line="360" w:lineRule="auto"/>
        <w:rPr>
          <w:rFonts w:hint="eastAsia" w:hAnsi="宋体" w:cs="宋体"/>
          <w:sz w:val="21"/>
          <w:highlight w:val="none"/>
        </w:rPr>
      </w:pPr>
      <w:r>
        <w:rPr>
          <w:rFonts w:hint="eastAsia" w:hAnsi="宋体" w:cs="宋体"/>
          <w:sz w:val="21"/>
          <w:highlight w:val="none"/>
        </w:rPr>
        <w:t xml:space="preserve">本合同总金额还包含乙方提供的伴随服务/售后服务费用。</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三、服务期、服务方式及服务地点</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3</w:t>
      </w:r>
      <w:r>
        <w:rPr>
          <w:rFonts w:hAnsi="宋体" w:cs="宋体"/>
          <w:sz w:val="21"/>
          <w:highlight w:val="none"/>
        </w:rPr>
        <w:t xml:space="preserve">.1 </w:t>
      </w:r>
      <w:r>
        <w:rPr>
          <w:rFonts w:hint="eastAsia" w:hAnsi="宋体" w:cs="宋体"/>
          <w:sz w:val="21"/>
          <w:highlight w:val="none"/>
        </w:rPr>
        <w:t xml:space="preserve">服务期限：采购人通知进场后，中标人3个月内完成全部服务内容并出具体检报告上传系统。</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3</w:t>
      </w:r>
      <w:r>
        <w:rPr>
          <w:rFonts w:hAnsi="宋体" w:cs="宋体"/>
          <w:sz w:val="21"/>
          <w:highlight w:val="none"/>
        </w:rPr>
        <w:t xml:space="preserve">.2 </w:t>
      </w:r>
      <w:r>
        <w:rPr>
          <w:rFonts w:hint="eastAsia" w:hAnsi="宋体" w:cs="宋体"/>
          <w:sz w:val="21"/>
          <w:highlight w:val="none"/>
        </w:rPr>
        <w:t xml:space="preserve">服务方式：甲方指定方式</w:t>
      </w:r>
      <w:r/>
    </w:p>
    <w:p>
      <w:pPr>
        <w:pStyle w:val="1124"/>
        <w:ind w:firstLine="420"/>
        <w:spacing w:before="120" w:after="120" w:line="360" w:lineRule="auto"/>
        <w:rPr>
          <w:rFonts w:hint="eastAsia" w:hAnsi="宋体" w:cs="宋体"/>
          <w:sz w:val="21"/>
          <w:highlight w:val="none"/>
        </w:rPr>
      </w:pPr>
      <w:r>
        <w:rPr>
          <w:rFonts w:hint="eastAsia" w:hAnsi="宋体" w:cs="宋体"/>
          <w:sz w:val="21"/>
          <w:highlight w:val="none"/>
        </w:rPr>
        <w:t xml:space="preserve">3</w:t>
      </w:r>
      <w:r>
        <w:rPr>
          <w:rFonts w:hAnsi="宋体" w:cs="宋体"/>
          <w:sz w:val="21"/>
          <w:highlight w:val="none"/>
        </w:rPr>
        <w:t xml:space="preserve">.3 </w:t>
      </w:r>
      <w:r>
        <w:rPr>
          <w:rFonts w:hint="eastAsia" w:hAnsi="宋体" w:cs="宋体"/>
          <w:sz w:val="21"/>
          <w:highlight w:val="none"/>
        </w:rPr>
        <w:t xml:space="preserve">服务地点：甲方指定地点</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四、款项支付</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4.1 本合同项下所有款项均以人民币支付。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4.2 本合同项下的采购资金由甲方支付，付款前须乙方向甲方开具发票并提交扬州市城镇房屋体检服务项目履约验收考核表、其他甲方要求提供的相关证明材料。</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4.3 甲方付款方式：</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合同签订后预付合同总价的30%；经甲方确认，完成不少于对应包号60%工作量（以栋为单位）支付至合同总价的60%；完成全部工作量出具房屋体检报告并上传系统，</w:t>
      </w:r>
      <w:r>
        <w:rPr>
          <w:rFonts w:hint="eastAsia" w:ascii="宋体" w:hAnsi="宋体" w:cs="宋体"/>
          <w:szCs w:val="21"/>
          <w:highlight w:val="none"/>
        </w:rPr>
        <w:t xml:space="preserve">且</w:t>
      </w:r>
      <w:r>
        <w:rPr>
          <w:rFonts w:hint="eastAsia" w:ascii="宋体" w:hAnsi="宋体" w:cs="宋体"/>
          <w:bCs/>
          <w:szCs w:val="21"/>
          <w:highlight w:val="none"/>
        </w:rPr>
        <w:t xml:space="preserve">经甲方和专家组评审验收后支付至合同金额的100%。每次款项支付前，需根据考核结果支付且乙方需提交相应成果文件，经甲方确认无误后，乙方开具正式发票向甲方请款，否则，视为付款条件不成就，甲方有权拒绝付款且不承担责任。</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五、转包或分包</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5.1本合同范围的服务，应由乙方直接供应，不得转让他人供应；乙方不得将乙方因本合同所形成的债权全部或部分转让给第三方。</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5.2 除非得到甲方的书面同意，否则乙方不得分包给他人供应。</w:t>
      </w:r>
      <w:r/>
    </w:p>
    <w:p>
      <w:pPr>
        <w:pStyle w:val="1124"/>
        <w:ind w:firstLine="420"/>
        <w:spacing w:before="120" w:after="120" w:line="360" w:lineRule="auto"/>
        <w:rPr>
          <w:highlight w:val="none"/>
        </w:rPr>
      </w:pPr>
      <w:r>
        <w:rPr>
          <w:rFonts w:hint="eastAsia" w:hAnsi="宋体" w:cs="宋体"/>
          <w:sz w:val="21"/>
          <w:highlight w:val="none"/>
        </w:rPr>
        <w:t xml:space="preserve">5.3如有转让和未经甲方同意的分包行为，甲方有权解除合同并有权要求乙方按照本合同总金额的20%向甲方支付违约金，并赔偿因此给甲方造成的全部损失，包括但不限于因此而导致的赔偿费、诉讼费、保全费、保险保险费、律师费等。</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六、税</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本合同执行中相关的一切税费均由乙方负担。</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七、甲方承担的工作及责任</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7.1提供甲方认为可以提供的其他文件作为参考基础资料；</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7.2甲方指派人员对乙方开展房屋体检服务进行全过程配合。</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7.3甲方对乙方派出的服务人员加强管理，对服务不到位或工作不负责任者，有权要求乙方调换人员。</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八、乙方承担的工作及责任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8.1乙方针对甲方委托要求，选派专业对口的技术骨干人员或专家组成项目组，明确一名负责人加强服务管理，并配备相应的检查工具、联络通讯器材等硬件设施。</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8.2乙方对甲方委托的体检服务，及时发现安全隐患和管理缺陷，汇总专项检查情况，出具报告。</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8.3乙方加强对派出服务人员培训与考核管理，征询甲方对乙方提供服务的意见，加强沟通与联系，保持信息畅通,有事要向甲方书面请假，对不能胜任或反映意见大的人员进行更换。</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8.4乙方应全面履行项目采购文件规定及甲方今后通知要求，按照国家及省市有关规定、标准进行房屋体检，并参加甲方组织的有关规划论证、评审、技术审查、验收评议等活动，按合同规定时间提交服务最终成果。</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8.5无论乙方提供的服务是否经甲方验收通过，乙方均应当对其提供的服务成果真实性、准确性、完整性、合规性和有效性负责，并保证乙方提供的服务行为及服务成果不</w:t>
      </w:r>
      <w:r>
        <w:rPr>
          <w:rFonts w:hint="eastAsia" w:hAnsi="宋体" w:cs="宋体"/>
          <w:sz w:val="21"/>
          <w:highlight w:val="none"/>
        </w:rPr>
        <w:t xml:space="preserve">侵犯第三方专利权、版权、商标权和工业设计权等知识产权及其他合法权益，保证甲方无论在成果验收前还是成果验收后使用过程中免受因采用乙方的服务成果而在知识产权等任何方面所引起的任何第三方追责（包括但不限于法务函、律师函交涉；诉讼；仲裁；负面舆情等）和投诉。一旦出现侵权，由乙方出面解决并负全部责任。若甲方先行支付赔偿费、使用费、补偿款等各项费用，甲方有权向乙方全额追偿并追究乙方违约责任。任何时候若甲方需乙方提供证据证明其交付的服务成果真实性、准确性、完整性、合规性和有效性的，乙方应按照甲方通知及时提供履约证据材料。</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8.6乙方提供的最终成果按城市规划、建筑等法律法规、城市规划编制办法及甲方要求深度细化，并应通过甲方组织的有关规划论证、评审、技术审查或验收评议，乙方确保验收通过。</w:t>
      </w:r>
      <w:r/>
    </w:p>
    <w:p>
      <w:pPr>
        <w:pStyle w:val="1124"/>
        <w:ind w:firstLine="420"/>
        <w:spacing w:before="120" w:after="120" w:line="360" w:lineRule="auto"/>
        <w:rPr>
          <w:rFonts w:hAnsi="宋体" w:cs="宋体"/>
          <w:bCs/>
          <w:sz w:val="21"/>
          <w:highlight w:val="none"/>
        </w:rPr>
      </w:pPr>
      <w:r>
        <w:rPr>
          <w:rFonts w:hint="eastAsia" w:hAnsi="宋体" w:cs="宋体"/>
          <w:sz w:val="21"/>
          <w:highlight w:val="none"/>
        </w:rPr>
        <w:t xml:space="preserve">8.7乙方对体</w:t>
      </w:r>
      <w:r>
        <w:rPr>
          <w:rFonts w:hint="eastAsia" w:hAnsi="宋体" w:cs="宋体"/>
          <w:sz w:val="21"/>
          <w:highlight w:val="none"/>
        </w:rPr>
        <w:t xml:space="preserve">检过程中房屋场所涉及影响安全使用的各类情形、房屋装修或改造情形以及本项目所需检查或收集的其他信息应当如实、完整记载在书面报告中。乙方在本合同约定的服务实施全过程中，应严格遵守国家及地方安全生产相关法律法规、行业安全操作规范及甲方安全管理要求，自行承担因乙方工作人员操作不当、设备故障、安全防护措施不到位等乙方原因造成的甲乙双方及其人员或任何第三方的人身伤亡、财产损失、第三方索赔及相关行政处罚等全部安全责任。若因上述乙方原因引发安全问题，甲方不承担任何赔偿、补偿或连带责任，且有权就甲方因此遭受的损失向乙方追偿。</w:t>
      </w:r>
      <w:r>
        <w:rPr>
          <w:rFonts w:hint="eastAsia" w:hAnsi="宋体" w:cs="宋体"/>
          <w:bCs/>
          <w:sz w:val="21"/>
          <w:highlight w:val="none"/>
        </w:rPr>
        <w:t xml:space="preserve">与本次采购项目有关的质量、安全问题均由乙方终身负责，相关的人员、财产责任风险均由乙方全部承担，与他人无涉。</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8.8没有甲方事先书面</w:t>
      </w:r>
      <w:r>
        <w:rPr>
          <w:rFonts w:hint="eastAsia" w:hAnsi="宋体" w:cs="宋体"/>
          <w:sz w:val="21"/>
          <w:highlight w:val="none"/>
        </w:rPr>
        <w:t xml:space="preserve">同意，乙方不得将由甲方提供的、自甲方处获悉的或者因履行本合同而形成的有关合同或任何合同条文、规格、计划、图纸、样品或资料、信息、工作成果提供给与履行本合同无关的任何其他人。即使向履行本合同有关的人员提供，也应注意保密并限于履行合同的必需范围，非经甲方书面同意，不得擅自利用或对外发表或披露。保密期限自乙方接收或知悉甲方信息资料等之日起至该信息资料等被依法公开之日或甲方书面解除乙方保密义务之日止。乙方违反保密条款的，应当承担违约责任。甲方有权根据需要，要求乙方另行签署保密协议或保密承诺，乙方应无条件执行和配合。</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8.9本项目全部知识产权均归采购单位所有（独有），未经甲方书面同意，无论是否被甲方所采用，供应商不得对外发布。</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8.10乙方为本项目而引用、收集其他社会上的文件、软件所涉及的知识产权费用和法律纠纷由乙方自行负责，由此而引起的法律纠纷以及费用须由乙方全部承担。</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九、履约验收</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9.1 甲方按采购文件要求及国家相关法律法规组织履约验收工作。</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9.2甲方按照采购文件确定的验收方案或分期考核方案(包括履约验收的时间、方式、程序、范围等内容)，综合考核情况和服务效果进行验收。乙方应根据验收方案内容做好相应配合工作。</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9.3对于实际使用人和甲方分离的项目，甲方邀请实际使用人参与验收。</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9.4如有必要，甲方邀请参加本项目的其他供应商或第三方专业机构及专家参与验收，相关意见将作为验收书的参考资料。</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9.6 验收合格的项目,甲方根据采购合同的约定及时向乙方支付合同款项。验收不合格的项目，甲方依法及时处理，有权终止合同，一切损失及专家费用等由乙方承担。</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十三、违约责任</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10.1甲方未按合同约定的时间向乙方支付合同款项的，每逾期支付一天，应承担逾期支付金额万分之二的逾期违约金，逾期30天以上时，乙方有权暂停履行下阶段工作，并书面通知甲方。</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10.2乙方未按照本合同约定的期限或甲方通知的期限提交符合本合同规定及甲方要求的服务成果文件或履行本合同规定的其他义务，每延误一天，则乙方应按照合同总金额万分之二支付违约金。若乙方延迟履行合同任何规定超过十天未主动整改纠正或在甲方要求期限内未整改纠正完毕的，甲方有权解除本合同。</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10.3无论服务成果是否经甲方确认，任何时候若发现服务成果存在侵犯他人知识产权等不符合本合同规定情形的，甲方有权要求乙方返还已收取的合同款项并对工作成果使用造成的甲方损失等全部后果或无法使用的损失等全部后果承担赔偿责任，并要求乙方按合同价款的10%支付违约金。</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10.4合同生效后，因乙方逾期交付合同标的或因乙方违约导致甲方解除合同的或乙方因自身原因单方面要求终止或解除合同的，则乙方应按照合同总金额的10%向甲方支付违约金。</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10.5在合同履行期间，甲方若因自身原因，要求终止或解除合同，本合同自甲方通知送达之日提前终止，乙方未开始体检工作的，甲方与乙方不再结算付款；已开始体检工作的，甲方应根据乙方已进行的实际工作量进行结算。甲方若因乙方原因，要求终止或解除合同的，有权不向乙方支付任何款项，且有权要求乙方全额退还已收取的合同预付款，同时甲方有权按本合同约定追究乙方责任。</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10.6乙方人员无故缺席的，按每人每次扣除合同总金额的万分之五（以不超过一天为一次）；累计请假次数每达20人次的（以不超过一天为一次），扣除合同总金额的万分之五。</w:t>
      </w:r>
      <w:r/>
    </w:p>
    <w:p>
      <w:pPr>
        <w:pStyle w:val="1124"/>
        <w:ind w:firstLine="422"/>
        <w:spacing w:before="120" w:after="120" w:line="360" w:lineRule="auto"/>
        <w:rPr>
          <w:rFonts w:hAnsi="宋体" w:cs="宋体"/>
          <w:b/>
          <w:bCs/>
          <w:sz w:val="21"/>
          <w:highlight w:val="none"/>
        </w:rPr>
      </w:pPr>
      <w:r>
        <w:rPr>
          <w:rFonts w:hint="eastAsia" w:hAnsi="宋体" w:cs="宋体"/>
          <w:b/>
          <w:bCs/>
          <w:sz w:val="21"/>
          <w:highlight w:val="none"/>
        </w:rPr>
        <w:t xml:space="preserve">十一、合同生效及其它</w:t>
      </w:r>
      <w:r/>
    </w:p>
    <w:p>
      <w:pPr>
        <w:ind w:firstLine="420"/>
        <w:spacing w:line="360" w:lineRule="auto"/>
        <w:rPr>
          <w:rFonts w:ascii="宋体" w:hAnsi="宋体" w:cs="宋体"/>
          <w:bCs/>
          <w:szCs w:val="21"/>
          <w:highlight w:val="none"/>
        </w:rPr>
      </w:pPr>
      <w:r/>
      <w:bookmarkStart w:id="83" w:name="_Hlk190380560"/>
      <w:r>
        <w:rPr>
          <w:rFonts w:hint="eastAsia" w:ascii="宋体" w:hAnsi="宋体" w:cs="宋体"/>
          <w:bCs/>
          <w:szCs w:val="21"/>
          <w:highlight w:val="none"/>
        </w:rPr>
        <w:t xml:space="preserve">11.1由于不可抗力因素致使合同无法履行或如合同超过有效期仍未履行完毕时，双方应根据具体情况及时协商解决。</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11.2乙方应严格履行响应采购文件规定的保密要求等各项规定，</w:t>
      </w:r>
      <w:r>
        <w:rPr>
          <w:rFonts w:hint="eastAsia" w:ascii="宋体" w:hAnsi="宋体" w:cs="宋体"/>
          <w:bCs/>
          <w:highlight w:val="none"/>
        </w:rPr>
        <w:t xml:space="preserve">本项目最终成果所有权归属甲方，乙方及其工作人员不得将本项目资料及成果向任何第三方披露，</w:t>
      </w:r>
      <w:r>
        <w:rPr>
          <w:rFonts w:hint="eastAsia" w:ascii="宋体" w:hAnsi="宋体" w:cs="宋体"/>
          <w:bCs/>
          <w:szCs w:val="21"/>
          <w:highlight w:val="none"/>
        </w:rPr>
        <w:t xml:space="preserve">未经甲方同意，不得将项目资料及成果文件全部或部分擅自修改、复制或向第三人转让或用于本项目以外的项目，如发生上述情况，乙方应向甲方返还已收取的全部合同款项并承担一切由此引起的后果并承担赔偿责任。</w:t>
      </w:r>
      <w:r/>
    </w:p>
    <w:p>
      <w:pPr>
        <w:ind w:firstLine="420"/>
        <w:spacing w:line="360" w:lineRule="auto"/>
        <w:rPr>
          <w:rFonts w:ascii="宋体" w:hAnsi="宋体" w:cs="宋体"/>
          <w:b/>
          <w:bCs/>
          <w:szCs w:val="21"/>
          <w:highlight w:val="none"/>
        </w:rPr>
      </w:pPr>
      <w:r>
        <w:rPr>
          <w:rFonts w:hint="eastAsia" w:ascii="宋体" w:hAnsi="宋体" w:cs="宋体"/>
          <w:bCs/>
          <w:szCs w:val="21"/>
          <w:highlight w:val="none"/>
        </w:rPr>
        <w:t xml:space="preserve">11.3本合同组成部分包括以下：①本合同书及附件、补充协议；②中标通知书；③政府采购文件及甲方要求或通知文件；④乙方中标的投标响应文件及书面承诺。</w:t>
      </w:r>
      <w:bookmarkEnd w:id="83"/>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11.4双方在执行合同中所发生的一切争议，应通过协商解决。如协商不成，可向扬州仲裁委员会按其仲裁规则申请仲裁。</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11.5合同经双方法定代表人签章、加盖单位公章，并经江苏华屹工程咨询管理有限公司见证盖章后生效。</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11.6本合同未尽事宜，遵照《中华人民共和国民法典》有关条文执行。</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11.7 本合同正本一式柒份，具有同等法律效力，甲方肆份、乙方贰份、见证方壹份。  </w:t>
      </w:r>
      <w:r/>
    </w:p>
    <w:tbl>
      <w:tblPr>
        <w:tblStyle w:val="908"/>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809"/>
        <w:gridCol w:w="4250"/>
      </w:tblGrid>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乙方： </w:t>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地址： </w:t>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法定代表人或授权代表：</w:t>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见证方：江苏华屹工程咨询管理有限公司</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r>
        <w:trPr>
          <w:trHeight w:val="602"/>
        </w:trPr>
        <w:tc>
          <w:tcPr>
            <w:tcBorders>
              <w:top w:val="none" w:color="000000" w:sz="4" w:space="0"/>
              <w:left w:val="none" w:color="000000" w:sz="4" w:space="0"/>
              <w:bottom w:val="none" w:color="000000" w:sz="4" w:space="0"/>
              <w:right w:val="none" w:color="000000" w:sz="4" w:space="0"/>
            </w:tcBorders>
            <w:tcW w:w="4809" w:type="dxa"/>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tc>
        <w:tc>
          <w:tcPr>
            <w:tcBorders>
              <w:top w:val="none" w:color="000000" w:sz="4" w:space="0"/>
              <w:left w:val="none" w:color="000000" w:sz="4" w:space="0"/>
              <w:bottom w:val="none" w:color="000000" w:sz="4" w:space="0"/>
              <w:right w:val="none" w:color="000000" w:sz="4" w:space="0"/>
            </w:tcBorders>
            <w:tcW w:w="4250" w:type="dxa"/>
            <w:vAlign w:val="center"/>
            <w:textDirection w:val="lrTb"/>
            <w:noWrap w:val="false"/>
          </w:tcPr>
          <w:p>
            <w:pPr>
              <w:pStyle w:val="11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r>
    </w:tbl>
    <w:p>
      <w:pPr>
        <w:pStyle w:val="1124"/>
        <w:spacing w:before="120" w:after="120" w:line="360" w:lineRule="auto"/>
        <w:rPr>
          <w:rFonts w:hAnsi="宋体" w:cs="宋体"/>
          <w:sz w:val="21"/>
          <w:highlight w:val="none"/>
        </w:rPr>
      </w:pPr>
      <w:r>
        <w:rPr>
          <w:rFonts w:hint="eastAsia" w:hAnsi="宋体" w:cs="宋体"/>
          <w:sz w:val="21"/>
          <w:highlight w:val="none"/>
        </w:rPr>
        <w:t xml:space="preserve"> </w:t>
      </w:r>
      <w:r/>
    </w:p>
    <w:p>
      <w:pPr>
        <w:spacing w:line="360" w:lineRule="auto"/>
        <w:rPr>
          <w:rFonts w:ascii="宋体" w:hAnsi="宋体" w:cs="宋体"/>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szCs w:val="21"/>
          <w:highlight w:val="none"/>
        </w:rPr>
      </w:r>
      <w:r/>
    </w:p>
    <w:p>
      <w:pPr>
        <w:ind w:firstLine="422"/>
        <w:spacing w:line="360" w:lineRule="auto"/>
        <w:rPr>
          <w:rFonts w:ascii="宋体" w:hAnsi="宋体" w:cs="宋体"/>
          <w:b/>
          <w:bCs/>
          <w:szCs w:val="20"/>
          <w:highlight w:val="none"/>
        </w:rPr>
      </w:pPr>
      <w:r>
        <w:rPr>
          <w:rFonts w:hint="eastAsia" w:ascii="宋体" w:hAnsi="宋体" w:cs="宋体"/>
          <w:b/>
          <w:bCs/>
          <w:szCs w:val="20"/>
          <w:highlight w:val="none"/>
        </w:rPr>
        <w:t xml:space="preserve">附件：考核表</w:t>
      </w:r>
      <w:r/>
    </w:p>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扬州市城镇房屋体检服务项目履约验收考核表</w:t>
      </w:r>
      <w:r/>
    </w:p>
    <w:p>
      <w:pPr>
        <w:spacing w:line="360" w:lineRule="auto"/>
        <w:rPr>
          <w:rFonts w:ascii="宋体" w:hAnsi="宋体" w:cs="宋体"/>
          <w:szCs w:val="21"/>
          <w:highlight w:val="none"/>
        </w:rPr>
      </w:pPr>
      <w:r>
        <w:rPr>
          <w:rFonts w:hint="eastAsia" w:ascii="宋体" w:hAnsi="宋体" w:cs="宋体"/>
          <w:szCs w:val="21"/>
          <w:highlight w:val="none"/>
        </w:rPr>
        <w:t xml:space="preserve">考核对象：__________________考核日期：____年____月____日 考核人：________</w:t>
      </w:r>
      <w:r/>
    </w:p>
    <w:tbl>
      <w:tblPr>
        <w:tblStyle w:val="908"/>
        <w:tblW w:w="9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66"/>
        <w:gridCol w:w="1289"/>
        <w:gridCol w:w="5111"/>
        <w:gridCol w:w="966"/>
        <w:gridCol w:w="1166"/>
      </w:tblGrid>
      <w:tr>
        <w:trPr>
          <w:jc w:val="center"/>
          <w:trHeight w:val="223"/>
        </w:trPr>
        <w:tc>
          <w:tcPr>
            <w:tcMar>
              <w:left w:w="120" w:type="dxa"/>
              <w:top w:w="60" w:type="dxa"/>
              <w:right w:w="120" w:type="dxa"/>
              <w:bottom w:w="30" w:type="dxa"/>
            </w:tcMar>
            <w:tcW w:w="866" w:type="dxa"/>
            <w:vAlign w:val="center"/>
            <w:textDirection w:val="lrTb"/>
            <w:noWrap w:val="false"/>
          </w:tcPr>
          <w:p>
            <w:pPr>
              <w:spacing w:line="360" w:lineRule="auto"/>
              <w:rPr>
                <w:sz w:val="18"/>
                <w:szCs w:val="18"/>
                <w:highlight w:val="none"/>
              </w:rPr>
            </w:pPr>
            <w:r>
              <w:rPr>
                <w:rFonts w:hint="eastAsia"/>
                <w:sz w:val="18"/>
                <w:szCs w:val="18"/>
                <w:highlight w:val="none"/>
              </w:rPr>
              <w:t xml:space="preserve">考核项</w:t>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考核内容</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评分标准（满分100分）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分值</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实得分</w:t>
            </w:r>
            <w:r/>
          </w:p>
        </w:tc>
      </w:tr>
      <w:tr>
        <w:trPr>
          <w:jc w:val="center"/>
          <w:trHeight w:val="380"/>
        </w:trPr>
        <w:tc>
          <w:tcPr>
            <w:tcMar>
              <w:left w:w="120" w:type="dxa"/>
              <w:top w:w="60" w:type="dxa"/>
              <w:right w:w="120" w:type="dxa"/>
              <w:bottom w:w="30" w:type="dxa"/>
            </w:tcMar>
            <w:tcW w:w="866" w:type="dxa"/>
            <w:vAlign w:val="center"/>
            <w:vMerge w:val="restart"/>
            <w:textDirection w:val="lrTb"/>
            <w:noWrap w:val="false"/>
          </w:tcPr>
          <w:p>
            <w:pPr>
              <w:spacing w:line="360" w:lineRule="auto"/>
              <w:rPr>
                <w:sz w:val="18"/>
                <w:szCs w:val="18"/>
                <w:highlight w:val="none"/>
              </w:rPr>
            </w:pPr>
            <w:r>
              <w:rPr>
                <w:rFonts w:hint="eastAsia"/>
                <w:sz w:val="18"/>
                <w:szCs w:val="18"/>
                <w:highlight w:val="none"/>
              </w:rPr>
              <w:t xml:space="preserve">一、服务质量</w:t>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1.1 资质与人员配置</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项目组人员配备数量及岗位设置符合要求，持证上岗。</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20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549"/>
        </w:trPr>
        <w:tc>
          <w:tcPr>
            <w:tcMar>
              <w:left w:w="120" w:type="dxa"/>
              <w:top w:w="60" w:type="dxa"/>
              <w:right w:w="120" w:type="dxa"/>
              <w:bottom w:w="30" w:type="dxa"/>
            </w:tcMar>
            <w:tcW w:w="866" w:type="dxa"/>
            <w:vAlign w:val="center"/>
            <w:vMerge w:val="continue"/>
            <w:textDirection w:val="lrTb"/>
            <w:noWrap w:val="false"/>
          </w:tcPr>
          <w:p>
            <w:pPr>
              <w:spacing w:line="360" w:lineRule="auto"/>
              <w:rPr>
                <w:sz w:val="18"/>
                <w:szCs w:val="18"/>
                <w:highlight w:val="none"/>
              </w:rPr>
            </w:pPr>
            <w:r>
              <w:rPr>
                <w:sz w:val="18"/>
                <w:szCs w:val="18"/>
                <w:highlight w:val="none"/>
              </w:rPr>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1.2体检过程规范性</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体检方案科学；入户率要达到70%，且三层及以上多产权房屋的底层及顶层必须入户；记录完整可追溯无篡改。</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549"/>
        </w:trPr>
        <w:tc>
          <w:tcPr>
            <w:tcMar>
              <w:left w:w="120" w:type="dxa"/>
              <w:top w:w="60" w:type="dxa"/>
              <w:right w:w="120" w:type="dxa"/>
              <w:bottom w:w="30" w:type="dxa"/>
            </w:tcMar>
            <w:tcW w:w="866" w:type="dxa"/>
            <w:vAlign w:val="center"/>
            <w:vMerge w:val="continue"/>
            <w:textDirection w:val="lrTb"/>
            <w:noWrap w:val="false"/>
          </w:tcPr>
          <w:p>
            <w:pPr>
              <w:spacing w:line="360" w:lineRule="auto"/>
              <w:rPr>
                <w:sz w:val="18"/>
                <w:szCs w:val="18"/>
                <w:highlight w:val="none"/>
              </w:rPr>
            </w:pPr>
            <w:r>
              <w:rPr>
                <w:sz w:val="18"/>
                <w:szCs w:val="18"/>
                <w:highlight w:val="none"/>
              </w:rPr>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1.3单幢房屋体检记录规范性</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单幢体检报告完整，无遗漏；签字盖章规范无代漏签。</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888"/>
        </w:trPr>
        <w:tc>
          <w:tcPr>
            <w:tcMar>
              <w:left w:w="120" w:type="dxa"/>
              <w:top w:w="60" w:type="dxa"/>
              <w:right w:w="120" w:type="dxa"/>
              <w:bottom w:w="30" w:type="dxa"/>
            </w:tcMar>
            <w:tcW w:w="866" w:type="dxa"/>
            <w:vAlign w:val="center"/>
            <w:vMerge w:val="continue"/>
            <w:textDirection w:val="lrTb"/>
            <w:noWrap w:val="false"/>
          </w:tcPr>
          <w:p>
            <w:pPr>
              <w:spacing w:line="360" w:lineRule="auto"/>
              <w:rPr>
                <w:sz w:val="18"/>
                <w:szCs w:val="18"/>
                <w:highlight w:val="none"/>
              </w:rPr>
            </w:pPr>
            <w:r>
              <w:rPr>
                <w:sz w:val="18"/>
                <w:szCs w:val="18"/>
                <w:highlight w:val="none"/>
              </w:rPr>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1.4专项体检达标率</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建筑信息采集体检指标达标、房屋结构体系体检指标达标、改扩建情况体检指标达标、地基基础情况体检指标达标、承重构件损伤情况体检指标达标、房屋的围护系统损伤变形情况体检指标达标、房屋渗漏情况体检指标达标，判定准确。</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20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380"/>
        </w:trPr>
        <w:tc>
          <w:tcPr>
            <w:tcMar>
              <w:left w:w="120" w:type="dxa"/>
              <w:top w:w="60" w:type="dxa"/>
              <w:right w:w="120" w:type="dxa"/>
              <w:bottom w:w="30" w:type="dxa"/>
            </w:tcMar>
            <w:tcW w:w="866" w:type="dxa"/>
            <w:vAlign w:val="center"/>
            <w:vMerge w:val="restart"/>
            <w:textDirection w:val="lrTb"/>
            <w:noWrap w:val="false"/>
          </w:tcPr>
          <w:p>
            <w:pPr>
              <w:spacing w:line="360" w:lineRule="auto"/>
              <w:rPr>
                <w:sz w:val="18"/>
                <w:szCs w:val="18"/>
                <w:highlight w:val="none"/>
              </w:rPr>
            </w:pPr>
            <w:r>
              <w:rPr>
                <w:rFonts w:hint="eastAsia"/>
                <w:sz w:val="18"/>
                <w:szCs w:val="18"/>
                <w:highlight w:val="none"/>
              </w:rPr>
              <w:t xml:space="preserve">二、进度与安全管理</w:t>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2.1进度管控</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在规定时间内完成体检工作，延误提前3日报备并获得同意。超期未报备此项不得分。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380"/>
        </w:trPr>
        <w:tc>
          <w:tcPr>
            <w:tcMar>
              <w:left w:w="120" w:type="dxa"/>
              <w:top w:w="60" w:type="dxa"/>
              <w:right w:w="120" w:type="dxa"/>
              <w:bottom w:w="30" w:type="dxa"/>
            </w:tcMar>
            <w:tcW w:w="866" w:type="dxa"/>
            <w:vAlign w:val="center"/>
            <w:vMerge w:val="continue"/>
            <w:textDirection w:val="lrTb"/>
            <w:noWrap w:val="false"/>
          </w:tcPr>
          <w:p>
            <w:pPr>
              <w:spacing w:line="360" w:lineRule="auto"/>
              <w:rPr>
                <w:sz w:val="18"/>
                <w:szCs w:val="18"/>
                <w:highlight w:val="none"/>
              </w:rPr>
            </w:pPr>
            <w:r>
              <w:rPr>
                <w:sz w:val="18"/>
                <w:szCs w:val="18"/>
                <w:highlight w:val="none"/>
              </w:rPr>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2.2 安全应急</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无安全事故及投诉；重大隐患24小时内报告。发生安全事故此项不得分。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380"/>
        </w:trPr>
        <w:tc>
          <w:tcPr>
            <w:tcMar>
              <w:left w:w="120" w:type="dxa"/>
              <w:top w:w="60" w:type="dxa"/>
              <w:right w:w="120" w:type="dxa"/>
              <w:bottom w:w="30" w:type="dxa"/>
            </w:tcMar>
            <w:tcW w:w="866" w:type="dxa"/>
            <w:vAlign w:val="center"/>
            <w:vMerge w:val="restart"/>
            <w:textDirection w:val="lrTb"/>
            <w:noWrap w:val="false"/>
          </w:tcPr>
          <w:p>
            <w:pPr>
              <w:spacing w:line="360" w:lineRule="auto"/>
              <w:rPr>
                <w:sz w:val="18"/>
                <w:szCs w:val="18"/>
                <w:highlight w:val="none"/>
              </w:rPr>
            </w:pPr>
            <w:r>
              <w:rPr>
                <w:rFonts w:hint="eastAsia"/>
                <w:sz w:val="18"/>
                <w:szCs w:val="18"/>
                <w:highlight w:val="none"/>
              </w:rPr>
              <w:t xml:space="preserve">三、数据归档与保密</w:t>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3.1档案管理</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电子及纸质档案完整并装订归档。档案缺失或未加密扣对应分值。</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380"/>
        </w:trPr>
        <w:tc>
          <w:tcPr>
            <w:tcMar>
              <w:left w:w="120" w:type="dxa"/>
              <w:top w:w="60" w:type="dxa"/>
              <w:right w:w="120" w:type="dxa"/>
              <w:bottom w:w="30" w:type="dxa"/>
            </w:tcMar>
            <w:tcW w:w="866" w:type="dxa"/>
            <w:vAlign w:val="center"/>
            <w:vMerge w:val="continue"/>
            <w:textDirection w:val="lrTb"/>
            <w:noWrap w:val="false"/>
          </w:tcPr>
          <w:p>
            <w:pPr>
              <w:spacing w:line="360" w:lineRule="auto"/>
              <w:rPr>
                <w:sz w:val="18"/>
                <w:szCs w:val="18"/>
                <w:highlight w:val="none"/>
              </w:rPr>
            </w:pPr>
            <w:r>
              <w:rPr>
                <w:sz w:val="18"/>
                <w:szCs w:val="18"/>
                <w:highlight w:val="none"/>
              </w:rPr>
            </w:r>
            <w:r/>
          </w:p>
        </w:tc>
        <w:tc>
          <w:tcPr>
            <w:tcMar>
              <w:left w:w="120" w:type="dxa"/>
              <w:top w:w="60" w:type="dxa"/>
              <w:right w:w="120" w:type="dxa"/>
              <w:bottom w:w="30" w:type="dxa"/>
            </w:tcMar>
            <w:tcW w:w="1289" w:type="dxa"/>
            <w:vAlign w:val="center"/>
            <w:textDirection w:val="lrTb"/>
            <w:noWrap w:val="false"/>
          </w:tcPr>
          <w:p>
            <w:pPr>
              <w:spacing w:line="360" w:lineRule="auto"/>
              <w:rPr>
                <w:sz w:val="18"/>
                <w:szCs w:val="18"/>
                <w:highlight w:val="none"/>
              </w:rPr>
            </w:pPr>
            <w:r>
              <w:rPr>
                <w:rFonts w:hint="eastAsia"/>
                <w:sz w:val="18"/>
                <w:szCs w:val="18"/>
                <w:highlight w:val="none"/>
              </w:rPr>
              <w:t xml:space="preserve">3.2 保密管理</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无信息泄露投诉；未泄露居民及体检敏感数据。发生泄漏此项不得分。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211"/>
        </w:trPr>
        <w:tc>
          <w:tcPr>
            <w:gridSpan w:val="3"/>
            <w:tcMar>
              <w:left w:w="120" w:type="dxa"/>
              <w:top w:w="60" w:type="dxa"/>
              <w:right w:w="120" w:type="dxa"/>
              <w:bottom w:w="30" w:type="dxa"/>
            </w:tcMar>
            <w:tcW w:w="7266" w:type="dxa"/>
            <w:vAlign w:val="center"/>
            <w:textDirection w:val="lrTb"/>
            <w:noWrap w:val="false"/>
          </w:tcPr>
          <w:p>
            <w:pPr>
              <w:spacing w:line="360" w:lineRule="auto"/>
              <w:rPr>
                <w:sz w:val="18"/>
                <w:szCs w:val="18"/>
                <w:highlight w:val="none"/>
              </w:rPr>
            </w:pPr>
            <w:r>
              <w:rPr>
                <w:rFonts w:hint="eastAsia"/>
                <w:sz w:val="18"/>
                <w:szCs w:val="18"/>
                <w:highlight w:val="none"/>
              </w:rPr>
              <w:t xml:space="preserve">扣分项（直接扣减总分）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sz w:val="18"/>
                <w:szCs w:val="18"/>
                <w:highlight w:val="none"/>
              </w:rPr>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380"/>
        </w:trPr>
        <w:tc>
          <w:tcPr>
            <w:gridSpan w:val="2"/>
            <w:tcMar>
              <w:left w:w="120" w:type="dxa"/>
              <w:top w:w="60" w:type="dxa"/>
              <w:right w:w="120" w:type="dxa"/>
              <w:bottom w:w="30" w:type="dxa"/>
            </w:tcMar>
            <w:tcW w:w="2155" w:type="dxa"/>
            <w:vAlign w:val="center"/>
            <w:textDirection w:val="lrTb"/>
            <w:noWrap w:val="false"/>
          </w:tcPr>
          <w:p>
            <w:pPr>
              <w:spacing w:line="360" w:lineRule="auto"/>
              <w:rPr>
                <w:sz w:val="18"/>
                <w:szCs w:val="18"/>
                <w:highlight w:val="none"/>
              </w:rPr>
            </w:pPr>
            <w:r>
              <w:rPr>
                <w:rFonts w:hint="eastAsia"/>
                <w:sz w:val="18"/>
                <w:szCs w:val="18"/>
                <w:highlight w:val="none"/>
              </w:rPr>
              <w:t xml:space="preserve">扣分内容</w:t>
            </w:r>
            <w:r/>
          </w:p>
        </w:tc>
        <w:tc>
          <w:tcPr>
            <w:tcMar>
              <w:left w:w="120" w:type="dxa"/>
              <w:top w:w="60" w:type="dxa"/>
              <w:right w:w="120" w:type="dxa"/>
              <w:bottom w:w="30" w:type="dxa"/>
            </w:tcMar>
            <w:tcW w:w="5111" w:type="dxa"/>
            <w:vAlign w:val="center"/>
            <w:textDirection w:val="lrTb"/>
            <w:noWrap w:val="false"/>
          </w:tcPr>
          <w:p>
            <w:pPr>
              <w:spacing w:line="360" w:lineRule="auto"/>
              <w:rPr>
                <w:sz w:val="18"/>
                <w:szCs w:val="18"/>
                <w:highlight w:val="none"/>
              </w:rPr>
            </w:pPr>
            <w:r>
              <w:rPr>
                <w:rFonts w:hint="eastAsia"/>
                <w:sz w:val="18"/>
                <w:szCs w:val="18"/>
                <w:highlight w:val="none"/>
              </w:rPr>
              <w:t xml:space="preserve">1. 漏检楼栋数≥10栋（扣10分）；2. 重大隐患判定错误（扣10分）；3. 提供虚假资料（扣20分）。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40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211"/>
        </w:trPr>
        <w:tc>
          <w:tcPr>
            <w:gridSpan w:val="3"/>
            <w:tcMar>
              <w:left w:w="120" w:type="dxa"/>
              <w:top w:w="60" w:type="dxa"/>
              <w:right w:w="120" w:type="dxa"/>
              <w:bottom w:w="30" w:type="dxa"/>
            </w:tcMar>
            <w:tcW w:w="7266" w:type="dxa"/>
            <w:vAlign w:val="center"/>
            <w:textDirection w:val="lrTb"/>
            <w:noWrap w:val="false"/>
          </w:tcPr>
          <w:p>
            <w:pPr>
              <w:spacing w:line="360" w:lineRule="auto"/>
              <w:rPr>
                <w:sz w:val="18"/>
                <w:szCs w:val="18"/>
                <w:highlight w:val="none"/>
              </w:rPr>
            </w:pPr>
            <w:r>
              <w:rPr>
                <w:rFonts w:hint="eastAsia"/>
                <w:sz w:val="18"/>
                <w:szCs w:val="18"/>
                <w:highlight w:val="none"/>
              </w:rPr>
              <w:t xml:space="preserve">总分（实得分-扣分）</w:t>
            </w:r>
            <w:r/>
          </w:p>
        </w:tc>
        <w:tc>
          <w:tcPr>
            <w:tcMar>
              <w:left w:w="120" w:type="dxa"/>
              <w:top w:w="60" w:type="dxa"/>
              <w:right w:w="120" w:type="dxa"/>
              <w:bottom w:w="30" w:type="dxa"/>
            </w:tcMar>
            <w:tcW w:w="966" w:type="dxa"/>
            <w:vAlign w:val="center"/>
            <w:textDirection w:val="lrTb"/>
            <w:noWrap w:val="false"/>
          </w:tcPr>
          <w:p>
            <w:pPr>
              <w:jc w:val="center"/>
              <w:spacing w:line="360" w:lineRule="auto"/>
              <w:rPr>
                <w:sz w:val="18"/>
                <w:szCs w:val="18"/>
                <w:highlight w:val="none"/>
              </w:rPr>
            </w:pPr>
            <w:r>
              <w:rPr>
                <w:rFonts w:hint="eastAsia"/>
                <w:sz w:val="18"/>
                <w:szCs w:val="18"/>
                <w:highlight w:val="none"/>
              </w:rPr>
              <w:t xml:space="preserve">100</w:t>
            </w:r>
            <w:r/>
          </w:p>
        </w:tc>
        <w:tc>
          <w:tcPr>
            <w:tcMar>
              <w:left w:w="120" w:type="dxa"/>
              <w:top w:w="60" w:type="dxa"/>
              <w:right w:w="120" w:type="dxa"/>
              <w:bottom w:w="30" w:type="dxa"/>
            </w:tcMar>
            <w:tcW w:w="1166" w:type="dxa"/>
            <w:vAlign w:val="center"/>
            <w:textDirection w:val="lrTb"/>
            <w:noWrap w:val="false"/>
          </w:tcPr>
          <w:p>
            <w:pPr>
              <w:jc w:val="center"/>
              <w:spacing w:line="360" w:lineRule="auto"/>
              <w:rPr>
                <w:sz w:val="18"/>
                <w:szCs w:val="18"/>
                <w:highlight w:val="none"/>
              </w:rPr>
            </w:pPr>
            <w:r>
              <w:rPr>
                <w:sz w:val="18"/>
                <w:szCs w:val="18"/>
                <w:highlight w:val="none"/>
              </w:rPr>
            </w:r>
            <w:r/>
          </w:p>
        </w:tc>
      </w:tr>
      <w:tr>
        <w:trPr>
          <w:jc w:val="center"/>
          <w:trHeight w:val="211"/>
        </w:trPr>
        <w:tc>
          <w:tcPr>
            <w:gridSpan w:val="5"/>
            <w:tcMar>
              <w:left w:w="120" w:type="dxa"/>
              <w:top w:w="60" w:type="dxa"/>
              <w:right w:w="120" w:type="dxa"/>
              <w:bottom w:w="30" w:type="dxa"/>
            </w:tcMar>
            <w:tcW w:w="9398" w:type="dxa"/>
            <w:vAlign w:val="center"/>
            <w:textDirection w:val="lrTb"/>
            <w:noWrap w:val="false"/>
          </w:tcPr>
          <w:p>
            <w:pPr>
              <w:spacing w:line="360" w:lineRule="auto"/>
              <w:rPr>
                <w:sz w:val="18"/>
                <w:szCs w:val="18"/>
                <w:highlight w:val="none"/>
              </w:rPr>
            </w:pPr>
            <w:r>
              <w:rPr>
                <w:rFonts w:hint="eastAsia"/>
                <w:sz w:val="18"/>
                <w:szCs w:val="18"/>
                <w:highlight w:val="none"/>
              </w:rPr>
              <w:t xml:space="preserve">考核等级（90分及以上优秀；60-89分合格；60分以下不合格）</w:t>
            </w:r>
            <w:r/>
          </w:p>
        </w:tc>
      </w:tr>
      <w:tr>
        <w:trPr>
          <w:jc w:val="center"/>
          <w:trHeight w:val="549"/>
        </w:trPr>
        <w:tc>
          <w:tcPr>
            <w:gridSpan w:val="5"/>
            <w:tcMar>
              <w:left w:w="120" w:type="dxa"/>
              <w:top w:w="60" w:type="dxa"/>
              <w:right w:w="120" w:type="dxa"/>
              <w:bottom w:w="30" w:type="dxa"/>
            </w:tcMar>
            <w:tcW w:w="9398" w:type="dxa"/>
            <w:vAlign w:val="center"/>
            <w:textDirection w:val="lrTb"/>
            <w:noWrap w:val="false"/>
          </w:tcPr>
          <w:p>
            <w:pPr>
              <w:spacing w:line="360" w:lineRule="auto"/>
              <w:rPr>
                <w:sz w:val="18"/>
                <w:szCs w:val="18"/>
                <w:highlight w:val="none"/>
              </w:rPr>
            </w:pPr>
            <w:r>
              <w:rPr>
                <w:rFonts w:hint="eastAsia"/>
                <w:sz w:val="18"/>
                <w:szCs w:val="18"/>
                <w:highlight w:val="none"/>
              </w:rPr>
              <w:t xml:space="preserve">注：考核情况计入付款支付比例，结算服务费按考核结果相应扣减后支付。</w:t>
            </w:r>
            <w:r/>
          </w:p>
          <w:p>
            <w:pPr>
              <w:spacing w:line="360" w:lineRule="auto"/>
              <w:rPr>
                <w:sz w:val="18"/>
                <w:szCs w:val="18"/>
                <w:highlight w:val="none"/>
              </w:rPr>
            </w:pPr>
            <w:r>
              <w:rPr>
                <w:rFonts w:hint="eastAsia"/>
                <w:sz w:val="18"/>
                <w:szCs w:val="18"/>
                <w:highlight w:val="none"/>
              </w:rPr>
              <w:t xml:space="preserve">1.考核80分 以下（不含）的，每下降1分，扣20000元；</w:t>
            </w:r>
            <w:r/>
          </w:p>
          <w:p>
            <w:pPr>
              <w:spacing w:line="360" w:lineRule="auto"/>
              <w:rPr>
                <w:sz w:val="18"/>
                <w:szCs w:val="18"/>
                <w:highlight w:val="none"/>
              </w:rPr>
            </w:pPr>
            <w:r>
              <w:rPr>
                <w:rFonts w:hint="eastAsia"/>
                <w:sz w:val="18"/>
                <w:szCs w:val="18"/>
                <w:highlight w:val="none"/>
              </w:rPr>
              <w:t xml:space="preserve">2.考核分值60分以下（不含）或直接认定为不合格的，采购单位有权立即终止服务合同。</w:t>
            </w:r>
            <w:r/>
          </w:p>
        </w:tc>
      </w:tr>
      <w:tr>
        <w:trPr>
          <w:jc w:val="center"/>
          <w:trHeight w:val="215"/>
        </w:trPr>
        <w:tc>
          <w:tcPr>
            <w:gridSpan w:val="5"/>
            <w:tcMar>
              <w:left w:w="120" w:type="dxa"/>
              <w:top w:w="60" w:type="dxa"/>
              <w:right w:w="120" w:type="dxa"/>
              <w:bottom w:w="30" w:type="dxa"/>
            </w:tcMar>
            <w:tcW w:w="9398" w:type="dxa"/>
            <w:vAlign w:val="center"/>
            <w:textDirection w:val="lrTb"/>
            <w:noWrap w:val="false"/>
          </w:tcPr>
          <w:p>
            <w:pPr>
              <w:spacing w:line="360" w:lineRule="auto"/>
              <w:rPr>
                <w:sz w:val="18"/>
                <w:szCs w:val="18"/>
                <w:highlight w:val="none"/>
              </w:rPr>
            </w:pPr>
            <w:r>
              <w:rPr>
                <w:rFonts w:hint="eastAsia"/>
                <w:sz w:val="18"/>
                <w:szCs w:val="18"/>
                <w:highlight w:val="none"/>
              </w:rPr>
              <w:t xml:space="preserve">考核结论：_________ 审批人：____________ 审批日期：______年______月______日</w:t>
            </w:r>
            <w:bookmarkEnd w:id="82"/>
            <w:r/>
            <w:r/>
          </w:p>
        </w:tc>
      </w:tr>
    </w:tbl>
    <w:p>
      <w:pPr>
        <w:pStyle w:val="898"/>
        <w:rPr>
          <w:rFonts w:hint="eastAsia" w:ascii="宋体" w:hAnsi="宋体" w:cs="宋体"/>
          <w:szCs w:val="36"/>
          <w:highlight w:val="none"/>
        </w:rPr>
        <w:sectPr>
          <w:footerReference w:type="default" r:id="rId12"/>
          <w:footnotePr/>
          <w:endnotePr/>
          <w:type w:val="nextPage"/>
          <w:pgSz w:w="11906" w:h="16839" w:orient="portrait"/>
          <w:pgMar w:top="1440" w:right="1080" w:bottom="1440" w:left="1080" w:header="850" w:footer="992" w:gutter="0"/>
          <w:cols w:num="1" w:sep="0" w:space="0" w:equalWidth="1"/>
          <w:docGrid w:linePitch="360"/>
        </w:sectPr>
      </w:pPr>
      <w:r/>
      <w:bookmarkStart w:id="84" w:name="_Toc26973"/>
      <w:r/>
      <w:bookmarkStart w:id="85" w:name="_Toc6694"/>
      <w:r/>
      <w:bookmarkStart w:id="86" w:name="_Toc31536"/>
      <w:r/>
      <w:bookmarkStart w:id="87" w:name="_Toc20073"/>
      <w:r/>
      <w:bookmarkStart w:id="88" w:name="_Toc31545"/>
      <w:r/>
      <w:bookmarkStart w:id="89" w:name="_Toc55204181"/>
      <w:r/>
      <w:bookmarkStart w:id="90" w:name="_Toc29995"/>
      <w:r/>
      <w:r/>
    </w:p>
    <w:p>
      <w:pPr>
        <w:pStyle w:val="898"/>
        <w:rPr>
          <w:rFonts w:ascii="宋体" w:hAnsi="宋体" w:cs="宋体"/>
          <w:szCs w:val="36"/>
          <w:highlight w:val="none"/>
        </w:rPr>
      </w:pPr>
      <w:r>
        <w:rPr>
          <w:rFonts w:hint="eastAsia" w:ascii="宋体" w:hAnsi="宋体" w:cs="宋体"/>
          <w:szCs w:val="36"/>
          <w:highlight w:val="none"/>
        </w:rPr>
        <w:t xml:space="preserve">第四章 项目需求</w:t>
      </w:r>
      <w:bookmarkEnd w:id="84"/>
      <w:r/>
      <w:bookmarkEnd w:id="85"/>
      <w:r/>
      <w:bookmarkEnd w:id="86"/>
      <w:r/>
      <w:bookmarkEnd w:id="87"/>
      <w:r/>
      <w:bookmarkEnd w:id="88"/>
      <w:r/>
      <w:r/>
    </w:p>
    <w:p>
      <w:pPr>
        <w:spacing w:line="360" w:lineRule="auto"/>
        <w:rPr>
          <w:rFonts w:ascii="宋体" w:hAnsi="宋体" w:cs="宋体"/>
          <w:b/>
          <w:bCs/>
          <w:szCs w:val="21"/>
          <w:highlight w:val="none"/>
        </w:rPr>
      </w:pPr>
      <w:r>
        <w:rPr>
          <w:rFonts w:hint="eastAsia" w:ascii="宋体" w:hAnsi="宋体" w:cs="宋体"/>
          <w:b/>
          <w:bCs/>
          <w:szCs w:val="21"/>
          <w:highlight w:val="none"/>
        </w:rPr>
        <w:t xml:space="preserve">注： 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pStyle w:val="992"/>
        <w:ind w:left="0"/>
        <w:spacing w:line="360" w:lineRule="auto"/>
        <w:rPr>
          <w:rFonts w:ascii="宋体" w:hAnsi="宋体" w:cs="宋体"/>
          <w:szCs w:val="21"/>
          <w:highlight w:val="none"/>
        </w:rPr>
      </w:pPr>
      <w:r>
        <w:rPr>
          <w:rFonts w:hint="eastAsia" w:ascii="宋体" w:hAnsi="宋体" w:cs="宋体"/>
          <w:szCs w:val="21"/>
          <w:highlight w:val="none"/>
        </w:rPr>
        <w:t xml:space="preserve">项目属性:服务类项目</w:t>
      </w:r>
      <w:r/>
    </w:p>
    <w:p>
      <w:pPr>
        <w:pStyle w:val="992"/>
        <w:ind w:left="0"/>
        <w:spacing w:line="360" w:lineRule="auto"/>
        <w:rPr>
          <w:rFonts w:ascii="宋体" w:hAnsi="宋体" w:cs="宋体"/>
          <w:szCs w:val="21"/>
          <w:highlight w:val="none"/>
        </w:rPr>
      </w:pPr>
      <w:r>
        <w:rPr>
          <w:rFonts w:hint="eastAsia" w:ascii="宋体" w:hAnsi="宋体" w:cs="宋体"/>
          <w:szCs w:val="21"/>
          <w:highlight w:val="none"/>
        </w:rPr>
        <w:t xml:space="preserve">其他要求</w:t>
      </w:r>
      <w:r/>
    </w:p>
    <w:p>
      <w:pPr>
        <w:pStyle w:val="992"/>
        <w:ind w:left="0"/>
        <w:spacing w:line="360" w:lineRule="auto"/>
        <w:rPr>
          <w:rFonts w:ascii="宋体" w:hAnsi="宋体" w:cs="宋体"/>
          <w:b/>
          <w:bCs/>
          <w:szCs w:val="21"/>
          <w:highlight w:val="none"/>
        </w:rPr>
      </w:pPr>
      <w:r>
        <w:rPr>
          <w:rFonts w:hint="eastAsia" w:ascii="宋体" w:hAnsi="宋体" w:cs="宋体"/>
          <w:szCs w:val="21"/>
          <w:highlight w:val="none"/>
        </w:rPr>
        <w:t xml:space="preserve">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宋体" w:hAnsi="宋体" w:cs="宋体"/>
          <w:i/>
          <w:iCs/>
          <w:szCs w:val="21"/>
          <w:highlight w:val="none"/>
          <w:u w:val="single"/>
        </w:rPr>
        <w:t xml:space="preserve">节能产品、环境标志产品品目清单以递交响应文件截止时已正式公布的最近一期信息为准，</w:t>
      </w:r>
      <w:r>
        <w:rPr>
          <w:rFonts w:hint="eastAsia" w:ascii="宋体" w:hAnsi="宋体" w:cs="宋体"/>
          <w:bCs/>
          <w:i/>
          <w:iCs/>
          <w:szCs w:val="21"/>
          <w:highlight w:val="none"/>
          <w:u w:val="single"/>
        </w:rPr>
        <w:t xml:space="preserve">如属政府强制采购产品未提供认证证书的或认证证书提供不全的将视为未实质性响应采购要求</w:t>
      </w:r>
      <w:r>
        <w:rPr>
          <w:rFonts w:hint="eastAsia" w:ascii="宋体" w:hAnsi="宋体" w:cs="宋体"/>
          <w:i/>
          <w:iCs/>
          <w:szCs w:val="21"/>
          <w:highlight w:val="none"/>
          <w:u w:val="single"/>
        </w:rPr>
        <w:t xml:space="preserve">。</w:t>
      </w:r>
      <w:r>
        <w:rPr>
          <w:rFonts w:hint="eastAsia" w:ascii="宋体" w:hAnsi="宋体" w:cs="宋体"/>
          <w:szCs w:val="21"/>
          <w:highlight w:val="none"/>
        </w:rPr>
        <w:t xml:space="preserve">其他条件相同情况下，应当优先采购节能产品、环境标志产品。</w:t>
      </w:r>
      <w:r/>
    </w:p>
    <w:p>
      <w:pPr>
        <w:pStyle w:val="992"/>
        <w:ind w:left="0" w:firstLine="315"/>
        <w:spacing w:line="360" w:lineRule="auto"/>
        <w:rPr>
          <w:rFonts w:ascii="宋体" w:hAnsi="宋体" w:cs="宋体"/>
          <w:szCs w:val="21"/>
          <w:highlight w:val="none"/>
        </w:rPr>
      </w:pPr>
      <w:r>
        <w:rPr>
          <w:rFonts w:hint="eastAsia" w:ascii="宋体" w:hAnsi="宋体" w:cs="宋体"/>
          <w:bCs/>
          <w:szCs w:val="21"/>
          <w:highlight w:val="none"/>
        </w:rPr>
        <w:t xml:space="preserve">供应商对于投标产品的包装应按照“财办库〔2020〕123号《关于印发《商品包装政府采购需求标准（试行）》《快递包装政府采购需求标准（试行）》的通知》”执行。</w:t>
      </w:r>
      <w:r/>
    </w:p>
    <w:p>
      <w:pPr>
        <w:ind w:firstLine="316"/>
        <w:spacing w:line="360" w:lineRule="auto"/>
        <w:rPr>
          <w:rFonts w:ascii="宋体" w:hAnsi="宋体" w:cs="宋体"/>
          <w:b/>
          <w:szCs w:val="21"/>
          <w:highlight w:val="none"/>
        </w:rPr>
      </w:pPr>
      <w:r>
        <w:rPr>
          <w:rFonts w:hint="eastAsia" w:ascii="宋体" w:hAnsi="宋体" w:cs="宋体"/>
          <w:b/>
          <w:szCs w:val="21"/>
          <w:highlight w:val="none"/>
        </w:rPr>
        <w:t xml:space="preserve">采购标的对应的中小企业划分标准所属行业一览表</w:t>
      </w:r>
      <w:r/>
    </w:p>
    <w:tbl>
      <w:tblPr>
        <w:tblStyle w:val="908"/>
        <w:tblW w:w="8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6"/>
        <w:gridCol w:w="3371"/>
        <w:gridCol w:w="4292"/>
      </w:tblGrid>
      <w:tr>
        <w:trPr>
          <w:cantSplit/>
          <w:jc w:val="center"/>
          <w:trHeight w:val="453"/>
        </w:trPr>
        <w:tc>
          <w:tcPr>
            <w:tcW w:w="10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337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采购标的</w:t>
            </w:r>
            <w:r/>
          </w:p>
        </w:tc>
        <w:tc>
          <w:tcPr>
            <w:tcW w:w="429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对应中小企业划分标准所属行业</w:t>
            </w:r>
            <w:r/>
          </w:p>
        </w:tc>
      </w:tr>
      <w:tr>
        <w:trPr>
          <w:cantSplit/>
          <w:jc w:val="center"/>
          <w:trHeight w:val="413"/>
        </w:trPr>
        <w:tc>
          <w:tcPr>
            <w:tcW w:w="107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337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扬州市城镇房屋体检服务项目</w:t>
            </w:r>
            <w:r/>
          </w:p>
        </w:tc>
        <w:tc>
          <w:tcPr>
            <w:tcW w:w="429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其他未列明</w:t>
            </w:r>
            <w:r>
              <w:rPr>
                <w:rFonts w:hint="eastAsia" w:ascii="宋体" w:hAnsi="宋体" w:cs="宋体"/>
                <w:szCs w:val="21"/>
                <w:highlight w:val="none"/>
                <w:lang w:val="zh-CN"/>
              </w:rPr>
              <w:t xml:space="preserve">行业</w:t>
            </w:r>
            <w:r/>
          </w:p>
        </w:tc>
      </w:tr>
    </w:tbl>
    <w:p>
      <w:pPr>
        <w:spacing w:line="360" w:lineRule="auto"/>
        <w:rPr>
          <w:rFonts w:ascii="宋体" w:hAnsi="宋体" w:cs="宋体"/>
          <w:b/>
          <w:szCs w:val="21"/>
          <w:highlight w:val="none"/>
        </w:rPr>
        <w:outlineLvl w:val="1"/>
      </w:pPr>
      <w:r/>
      <w:bookmarkStart w:id="91" w:name="_Toc59781389"/>
      <w:r>
        <w:rPr>
          <w:rFonts w:hint="eastAsia" w:ascii="宋体" w:hAnsi="宋体" w:cs="宋体"/>
          <w:b/>
          <w:szCs w:val="21"/>
          <w:highlight w:val="none"/>
        </w:rPr>
        <w:t xml:space="preserve">一、项目基本情况</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1.项目编号：</w:t>
      </w:r>
      <w:r>
        <w:rPr>
          <w:rFonts w:hint="eastAsia" w:ascii="宋体" w:hAnsi="宋体" w:cs="宋体"/>
          <w:szCs w:val="21"/>
          <w:highlight w:val="none"/>
          <w:lang w:eastAsia="zh-CN"/>
        </w:rPr>
        <w:t xml:space="preserve">JSZC-321000-HYZC-G2026-0001</w:t>
      </w:r>
      <w:r>
        <w:rPr>
          <w:rFonts w:hint="eastAsia" w:ascii="宋体" w:hAnsi="宋体" w:cs="宋体"/>
          <w:szCs w:val="21"/>
          <w:highlight w:val="none"/>
        </w:rPr>
        <w:t xml:space="preserve">号</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2.项目名称：扬州市城镇房屋体检服务项目</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3.预算金额：项目总预算600万元，包一150万元，包二160万元，包三150万元,包四140万元。</w:t>
      </w:r>
      <w:r/>
    </w:p>
    <w:p>
      <w:pPr>
        <w:ind w:left="420"/>
        <w:spacing w:line="360" w:lineRule="auto"/>
        <w:tabs>
          <w:tab w:val="left" w:pos="266" w:leader="none"/>
        </w:tabs>
        <w:rPr>
          <w:rFonts w:ascii="宋体" w:hAnsi="宋体" w:cs="宋体"/>
          <w:highlight w:val="none"/>
        </w:rPr>
      </w:pPr>
      <w:r>
        <w:rPr>
          <w:rFonts w:hint="eastAsia" w:ascii="宋体" w:hAnsi="宋体" w:cs="宋体"/>
          <w:highlight w:val="none"/>
        </w:rPr>
        <w:t xml:space="preserve">4.本项目设置最高限价：项目最高限价600万元，包一150万元，包二160万元，包三150万元,包四140万元。最高限价同预算价，报价超过最高限价的为无效投标文件。</w:t>
      </w:r>
      <w:r/>
    </w:p>
    <w:p>
      <w:pPr>
        <w:ind w:left="420"/>
        <w:spacing w:line="360" w:lineRule="auto"/>
        <w:tabs>
          <w:tab w:val="left" w:pos="266" w:leader="none"/>
        </w:tabs>
        <w:rPr>
          <w:rFonts w:ascii="宋体" w:hAnsi="宋体" w:cs="宋体"/>
          <w:szCs w:val="21"/>
          <w:highlight w:val="none"/>
        </w:rPr>
      </w:pPr>
      <w:r>
        <w:rPr>
          <w:rFonts w:hint="eastAsia" w:ascii="宋体" w:hAnsi="宋体" w:cs="宋体"/>
          <w:szCs w:val="21"/>
          <w:highlight w:val="none"/>
        </w:rPr>
        <w:t xml:space="preserve">5.项目简要说明：本项目通过开展房屋体检试点工作，全面掌握试点地区房屋安全状况，探索建立房屋安全管理长效机制，形成可复制、可推广的本地经验，为健全我市房屋全生命周期安全管理机制，完善房屋安全治理体系，提升城市安全治理能力提供实践支撑与方法参考。本次招标拟招4个包。</w:t>
      </w:r>
      <w:r/>
    </w:p>
    <w:p>
      <w:pPr>
        <w:ind w:left="420" w:firstLine="422"/>
        <w:spacing w:line="360" w:lineRule="auto"/>
        <w:tabs>
          <w:tab w:val="left" w:pos="266" w:leader="none"/>
        </w:tabs>
        <w:rPr>
          <w:rFonts w:ascii="宋体" w:hAnsi="宋体" w:cs="宋体"/>
          <w:b/>
          <w:bCs/>
          <w:szCs w:val="21"/>
          <w:highlight w:val="none"/>
        </w:rPr>
      </w:pPr>
      <w:r>
        <w:rPr>
          <w:rFonts w:hint="eastAsia" w:ascii="宋体" w:hAnsi="宋体" w:cs="宋体"/>
          <w:b/>
          <w:bCs/>
          <w:szCs w:val="21"/>
          <w:highlight w:val="none"/>
        </w:rPr>
        <w:t xml:space="preserve">注：包一、包二、包三、包四，投标人可兼投但不可兼中，每个投标人只能中一个包；定标顺序为包一、包二、包三、包四；如后面包号的中标人与前面包号的中标人相同，则后面包号的中标人顺延至下一个中标候选人。</w:t>
      </w:r>
      <w:r/>
    </w:p>
    <w:p>
      <w:pPr>
        <w:pStyle w:val="1124"/>
        <w:ind w:firstLine="420"/>
        <w:spacing w:before="120" w:after="120" w:line="360" w:lineRule="auto"/>
        <w:rPr>
          <w:rFonts w:hAnsi="宋体" w:cs="宋体"/>
          <w:sz w:val="21"/>
          <w:highlight w:val="none"/>
        </w:rPr>
      </w:pPr>
      <w:r>
        <w:rPr>
          <w:rFonts w:hint="eastAsia" w:hAnsi="宋体" w:cs="宋体"/>
          <w:sz w:val="21"/>
          <w:highlight w:val="none"/>
        </w:rPr>
        <w:t xml:space="preserve">6.合同履行期限：采购人通知进场后，中标人3个月内完成全部服务内容并出具体检报告上传系统。</w:t>
      </w:r>
      <w:bookmarkEnd w:id="91"/>
      <w:r/>
      <w:r/>
    </w:p>
    <w:p>
      <w:pPr>
        <w:spacing w:line="360" w:lineRule="auto"/>
        <w:rPr>
          <w:rFonts w:ascii="宋体" w:hAnsi="宋体" w:cs="宋体"/>
          <w:b/>
          <w:szCs w:val="21"/>
          <w:highlight w:val="none"/>
        </w:rPr>
        <w:outlineLvl w:val="1"/>
      </w:pPr>
      <w:r/>
      <w:bookmarkStart w:id="92" w:name="_Toc18439"/>
      <w:r/>
      <w:bookmarkStart w:id="93" w:name="_Toc495"/>
      <w:r/>
      <w:bookmarkStart w:id="94" w:name="_Toc32148"/>
      <w:r>
        <w:rPr>
          <w:rFonts w:hint="eastAsia" w:ascii="宋体" w:hAnsi="宋体" w:cs="宋体"/>
          <w:b/>
          <w:szCs w:val="21"/>
          <w:highlight w:val="none"/>
        </w:rPr>
        <w:t xml:space="preserve">二、项目背景</w:t>
      </w:r>
      <w:r/>
    </w:p>
    <w:p>
      <w:pPr>
        <w:ind w:firstLine="420"/>
        <w:spacing w:line="360" w:lineRule="auto"/>
        <w:rPr>
          <w:rFonts w:ascii="宋体" w:hAnsi="宋体" w:cs="宋体"/>
          <w:bCs/>
          <w:szCs w:val="21"/>
          <w:highlight w:val="none"/>
        </w:rPr>
        <w:outlineLvl w:val="1"/>
      </w:pPr>
      <w:r>
        <w:rPr>
          <w:rFonts w:hint="eastAsia" w:ascii="宋体" w:hAnsi="宋体" w:cs="宋体"/>
          <w:bCs/>
          <w:szCs w:val="21"/>
          <w:highlight w:val="none"/>
        </w:rPr>
        <w:t xml:space="preserve">为认真贯彻落实党中央、国务院关于城镇房屋安全管理工作的决策部署和市委市政府有关要求，推进城镇房屋全生命周期管理，及时发现和整治房屋安全隐患，严守城镇房屋安全底线，根据住建部城镇房屋安全管理三项制度有关部署要求，结合我市实际，以广陵区东关街道为试点区域开展房屋体检试点工作。</w:t>
      </w:r>
      <w:r/>
    </w:p>
    <w:p>
      <w:pPr>
        <w:spacing w:line="360" w:lineRule="auto"/>
        <w:rPr>
          <w:rFonts w:ascii="宋体" w:hAnsi="宋体" w:cs="宋体"/>
          <w:b/>
          <w:szCs w:val="21"/>
          <w:highlight w:val="none"/>
        </w:rPr>
        <w:outlineLvl w:val="1"/>
      </w:pPr>
      <w:r>
        <w:rPr>
          <w:rFonts w:hint="eastAsia" w:ascii="宋体" w:hAnsi="宋体" w:cs="宋体"/>
          <w:b/>
          <w:szCs w:val="21"/>
          <w:highlight w:val="none"/>
        </w:rPr>
        <w:t xml:space="preserve">三、体检范围</w:t>
      </w:r>
      <w:r/>
    </w:p>
    <w:tbl>
      <w:tblPr>
        <w:tblStyle w:val="938"/>
        <w:tblW w:w="90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5"/>
        <w:gridCol w:w="769"/>
        <w:gridCol w:w="3665"/>
        <w:gridCol w:w="1506"/>
        <w:gridCol w:w="1731"/>
        <w:gridCol w:w="751"/>
      </w:tblGrid>
      <w:tr>
        <w:trPr>
          <w:jc w:val="center"/>
          <w:trHeight w:val="839"/>
        </w:trPr>
        <w:tc>
          <w:tcPr>
            <w:tcW w:w="655" w:type="dxa"/>
            <w:vAlign w:val="center"/>
            <w:textDirection w:val="lrTb"/>
            <w:noWrap w:val="false"/>
          </w:tcPr>
          <w:p>
            <w:pPr>
              <w:jc w:val="center"/>
              <w:spacing w:line="360" w:lineRule="auto"/>
              <w:rPr>
                <w:rFonts w:ascii="宋体" w:hAnsi="宋体" w:cs="宋体"/>
                <w:szCs w:val="21"/>
                <w:highlight w:val="none"/>
              </w:rPr>
            </w:pPr>
            <w:r/>
            <w:bookmarkStart w:id="95" w:name="OLE_LINK6"/>
            <w:r/>
            <w:bookmarkStart w:id="96" w:name="OLE_LINK80"/>
            <w:r>
              <w:rPr>
                <w:rFonts w:hint="eastAsia" w:ascii="宋体" w:hAnsi="宋体" w:cs="宋体"/>
                <w:szCs w:val="21"/>
                <w:highlight w:val="none"/>
              </w:rPr>
              <w:t xml:space="preserve">序号</w:t>
            </w:r>
            <w:r/>
          </w:p>
        </w:tc>
        <w:tc>
          <w:tcPr>
            <w:tcW w:w="76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包号</w:t>
            </w:r>
            <w:r/>
          </w:p>
        </w:tc>
        <w:tc>
          <w:tcPr>
            <w:tcW w:w="366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范围</w:t>
            </w:r>
            <w:r/>
          </w:p>
        </w:tc>
        <w:tc>
          <w:tcPr>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建筑栋数</w:t>
            </w:r>
            <w:r/>
          </w:p>
        </w:tc>
        <w:tc>
          <w:tcPr>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建筑面积</w:t>
            </w:r>
            <w:r/>
          </w:p>
        </w:tc>
        <w:tc>
          <w:tcPr>
            <w:tcW w:w="75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1247"/>
        </w:trPr>
        <w:tc>
          <w:tcPr>
            <w:tcW w:w="65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shd w:val="clear" w:color="auto" w:fill="auto"/>
            <w:tcW w:w="76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包一</w:t>
            </w:r>
            <w:r/>
          </w:p>
        </w:tc>
        <w:tc>
          <w:tcPr>
            <w:shd w:val="clear" w:color="auto" w:fill="auto"/>
            <w:tcW w:w="366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宋都、琼花、个园社区，东至泰州路，西至国庆路，南至文昌中路，北至盐阜东路。</w:t>
            </w:r>
            <w:r/>
          </w:p>
        </w:tc>
        <w:tc>
          <w:tcPr>
            <w:shd w:val="clear" w:color="auto" w:fill="auto"/>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约4048栋</w:t>
            </w:r>
            <w:r/>
          </w:p>
        </w:tc>
        <w:tc>
          <w:tcPr>
            <w:shd w:val="clear" w:color="auto" w:fill="auto"/>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约75万平方米</w:t>
            </w:r>
            <w:r/>
          </w:p>
        </w:tc>
        <w:tc>
          <w:tcPr>
            <w:tcW w:w="751" w:type="dxa"/>
            <w:vAlign w:val="center"/>
            <w:textDirection w:val="lrTb"/>
            <w:noWrap w:val="false"/>
          </w:tcPr>
          <w:p>
            <w:pPr>
              <w:pStyle w:val="901"/>
              <w:keepLines w:val="0"/>
              <w:keepNext w:val="0"/>
              <w:spacing w:line="360" w:lineRule="auto"/>
              <w:rPr>
                <w:rFonts w:ascii="宋体" w:hAnsi="宋体" w:eastAsia="宋体" w:cs="宋体"/>
                <w:b w:val="0"/>
                <w:bCs w:val="0"/>
                <w:sz w:val="21"/>
                <w:szCs w:val="21"/>
                <w:highlight w:val="none"/>
              </w:rPr>
            </w:pPr>
            <w:r>
              <w:rPr>
                <w:rFonts w:ascii="宋体" w:hAnsi="宋体" w:eastAsia="宋体" w:cs="宋体"/>
                <w:b w:val="0"/>
                <w:bCs w:val="0"/>
                <w:sz w:val="21"/>
                <w:szCs w:val="21"/>
                <w:highlight w:val="none"/>
              </w:rPr>
            </w:r>
            <w:r/>
          </w:p>
        </w:tc>
      </w:tr>
      <w:tr>
        <w:trPr>
          <w:jc w:val="center"/>
          <w:trHeight w:val="1247"/>
        </w:trPr>
        <w:tc>
          <w:tcPr>
            <w:tcW w:w="65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shd w:val="clear" w:color="auto" w:fill="auto"/>
            <w:tcW w:w="76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包二</w:t>
            </w:r>
            <w:r/>
          </w:p>
        </w:tc>
        <w:tc>
          <w:tcPr>
            <w:shd w:val="clear" w:color="auto" w:fill="auto"/>
            <w:tcW w:w="366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皮市街和古旗亭社区，东至泰州路，西至国庆路，北至文昌中路，南至广陵路。</w:t>
            </w:r>
            <w:r/>
          </w:p>
        </w:tc>
        <w:tc>
          <w:tcPr>
            <w:shd w:val="clear" w:color="auto" w:fill="auto"/>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约6349栋</w:t>
            </w:r>
            <w:r/>
          </w:p>
        </w:tc>
        <w:tc>
          <w:tcPr>
            <w:shd w:val="clear" w:color="auto" w:fill="auto"/>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约75万平方米</w:t>
            </w:r>
            <w:r/>
          </w:p>
        </w:tc>
        <w:tc>
          <w:tcPr>
            <w:tcW w:w="75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1247"/>
        </w:trPr>
        <w:tc>
          <w:tcPr>
            <w:tcW w:w="65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76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包三</w:t>
            </w:r>
            <w:r/>
          </w:p>
        </w:tc>
        <w:tc>
          <w:tcPr>
            <w:tcW w:w="366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何园、徐凝门、新仓巷社区，东至泰州路，西至渡江路，北至广陵路，南至南通东路。</w:t>
            </w:r>
            <w:r/>
          </w:p>
        </w:tc>
        <w:tc>
          <w:tcPr>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约4433栋</w:t>
            </w:r>
            <w:r/>
          </w:p>
        </w:tc>
        <w:tc>
          <w:tcPr>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约75万平方米</w:t>
            </w:r>
            <w:r/>
          </w:p>
        </w:tc>
        <w:tc>
          <w:tcPr>
            <w:tcW w:w="75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1247"/>
        </w:trPr>
        <w:tc>
          <w:tcPr>
            <w:tcW w:w="65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76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包四</w:t>
            </w:r>
            <w:r/>
          </w:p>
        </w:tc>
        <w:tc>
          <w:tcPr>
            <w:tcW w:w="3665" w:type="dxa"/>
            <w:vAlign w:val="center"/>
            <w:textDirection w:val="lrTb"/>
            <w:noWrap w:val="false"/>
          </w:tcPr>
          <w:p>
            <w:pPr>
              <w:spacing w:line="360" w:lineRule="auto"/>
              <w:rPr>
                <w:rFonts w:ascii="宋体" w:hAnsi="宋体" w:cs="宋体"/>
                <w:szCs w:val="21"/>
                <w:highlight w:val="none"/>
              </w:rPr>
            </w:pPr>
            <w:r>
              <w:rPr>
                <w:rFonts w:hint="eastAsia" w:ascii="宋体" w:hAnsi="宋体" w:cs="宋体"/>
                <w:szCs w:val="21"/>
                <w:highlight w:val="none"/>
              </w:rPr>
              <w:t xml:space="preserve">教场、彩衣社区，东至国庆路和渡江路，西至小秦淮河，北至盐阜东路，南至南通东路。</w:t>
            </w:r>
            <w:r/>
          </w:p>
        </w:tc>
        <w:tc>
          <w:tcPr>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约3720栋</w:t>
            </w:r>
            <w:r/>
          </w:p>
        </w:tc>
        <w:tc>
          <w:tcPr>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约75万平方米</w:t>
            </w:r>
            <w:r/>
          </w:p>
        </w:tc>
        <w:tc>
          <w:tcPr>
            <w:tcW w:w="75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jc w:val="center"/>
          <w:trHeight w:val="528"/>
        </w:trPr>
        <w:tc>
          <w:tcPr>
            <w:gridSpan w:val="3"/>
            <w:tcW w:w="5089"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总计</w:t>
            </w:r>
            <w:r/>
          </w:p>
        </w:tc>
        <w:tc>
          <w:tcPr>
            <w:tcW w:w="1506"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约18550栋</w:t>
            </w:r>
            <w:bookmarkEnd w:id="95"/>
            <w:r/>
            <w:bookmarkEnd w:id="96"/>
            <w:r/>
            <w:r/>
          </w:p>
        </w:tc>
        <w:tc>
          <w:tcPr>
            <w:shd w:val="clear" w:color="auto" w:fill="auto"/>
            <w:tcW w:w="173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约300万平方米</w:t>
            </w:r>
            <w:r/>
          </w:p>
        </w:tc>
        <w:tc>
          <w:tcPr>
            <w:tcW w:w="751"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b/>
          <w:szCs w:val="21"/>
          <w:highlight w:val="none"/>
        </w:rPr>
        <w:outlineLvl w:val="1"/>
      </w:pPr>
      <w:r>
        <w:rPr>
          <w:rFonts w:hint="eastAsia" w:ascii="宋体" w:hAnsi="宋体" w:cs="宋体"/>
          <w:b/>
          <w:szCs w:val="21"/>
          <w:highlight w:val="none"/>
        </w:rPr>
        <w:t xml:space="preserve">四、房屋体检内容（含附件）</w:t>
      </w:r>
      <w:r/>
    </w:p>
    <w:p>
      <w:pPr>
        <w:ind w:firstLine="420"/>
        <w:spacing w:line="360" w:lineRule="auto"/>
        <w:rPr>
          <w:rFonts w:ascii="宋体" w:hAnsi="宋体" w:cs="宋体"/>
          <w:bCs/>
          <w:szCs w:val="21"/>
          <w:highlight w:val="none"/>
        </w:rPr>
      </w:pPr>
      <w:r>
        <w:rPr>
          <w:rFonts w:hint="eastAsia" w:ascii="宋体" w:hAnsi="宋体" w:cs="宋体"/>
          <w:highlight w:val="none"/>
        </w:rPr>
        <w:t xml:space="preserve">按照《扬州市房屋体检试点工作方案（试行）》、《扬州市城镇房屋体检技术指南（试行）》，通过建筑信息采集、现场安全排查和辅助检测，对体检范围内全部建、构筑物进行技术分析和综合研判，并对其整体安全状况进行评估，形成体检报告。</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（一）基本信息</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房屋基本信息包括房屋名称、所属街道和社区、房屋地址、产权信息、房屋概况、结构类型、建筑面积、房屋用途、建设情况、修缮加固情况、安全鉴定情况等，具体填报指标见附录 A.1。</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房屋地址信息填报时应具体到路和号，对无具体路和号的房屋，应对房屋位置进行唯一性描述。</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房屋结构类型按房屋主要竖向承重构件的材料类型确定，当主要竖向承重构件有多种材料类型时，确定为混合结构。</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（二）房屋结构检查</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房屋结构检查包括房屋结构体系、改扩建情况、地基基础情况、承重构件损伤情况四个分项检查，具体体检指标见附录 A.2。</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在进行房屋结构检查时，应以幢为检查的基本单元。房屋结构检查，应先整体后局部、先外后内、逐个楼层逐个房间检查。房屋外部检查主要检查房屋地基基础的稳定性、沉降和房屋整体倾斜及外观损伤。房屋内部检查应结合外部检查确定房屋结构类型，重点检查房屋承重结构传力路线、构件变形、裂缝等损伤情况，以及房屋使用荷载、内部结构构件拆改情况等。房屋结构检查主要依靠目视检查，并结合必要的检测手段，对在检查过程中发现的、未列入记录表中的其他结构安全问题，同样需进行详细记录，并在结果评价时考虑其对主体结构安全的影响程度。</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（三）房屋附属系统检查</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附属系统检查包括房屋的围护系统损伤变形情况、房屋渗漏情况两个分项检查；房屋附属系统检查以现场勘察为主，必要时辅助检测手段，鼓励采用无人机、红外热成像等先进高效技术手段，结合资料核查情况进行综合判断，具体体检指标见附录 A.2。</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房屋的围护墙体包括房屋四周起到围护作用的非承重墙体，包括房屋的围护外墙、隔墙以及女儿墙。对于砌体结构或混合结构中的承重外墙，应在房屋结构专项中检查。</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围护墙体的检查应以单个自然间沿一轴线的单个构件为单元进行。女儿墙以一个整体进行检查。</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在人流出入口及通道等关键位置，应进行更为细致的检查。</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渗漏检查时以房间为单元，对于地下室等空旷无显著分隔区域，以四根柱围成区域为一间。</w:t>
      </w:r>
      <w:r/>
    </w:p>
    <w:p>
      <w:pPr>
        <w:spacing w:line="360" w:lineRule="auto"/>
        <w:rPr>
          <w:rFonts w:ascii="宋体" w:hAnsi="宋体" w:cs="宋体"/>
          <w:b/>
          <w:szCs w:val="21"/>
          <w:highlight w:val="none"/>
        </w:rPr>
        <w:outlineLvl w:val="1"/>
      </w:pPr>
      <w:r/>
      <w:bookmarkStart w:id="97" w:name="_Hlk215439816"/>
      <w:r/>
      <w:bookmarkStart w:id="98" w:name="OLE_LINK20"/>
      <w:r>
        <w:rPr>
          <w:rFonts w:hint="eastAsia" w:ascii="宋体" w:hAnsi="宋体" w:cs="宋体"/>
          <w:b/>
          <w:szCs w:val="21"/>
          <w:highlight w:val="none"/>
        </w:rPr>
        <w:t xml:space="preserve">五、体检结果评价分级及处置</w:t>
      </w:r>
      <w:bookmarkEnd w:id="97"/>
      <w:r/>
      <w:bookmarkEnd w:id="98"/>
      <w:r/>
      <w:r/>
    </w:p>
    <w:p>
      <w:pPr>
        <w:ind w:firstLine="420"/>
        <w:spacing w:line="360" w:lineRule="auto"/>
        <w:widowControl/>
        <w:rPr>
          <w:rFonts w:ascii="宋体" w:hAnsi="宋体" w:cs="宋体"/>
          <w:szCs w:val="21"/>
          <w:highlight w:val="none"/>
        </w:rPr>
      </w:pPr>
      <w:r/>
      <w:bookmarkStart w:id="99" w:name="_Toc17947"/>
      <w:r>
        <w:rPr>
          <w:rFonts w:hint="eastAsia" w:ascii="宋体" w:hAnsi="宋体" w:cs="宋体"/>
          <w:szCs w:val="21"/>
          <w:highlight w:val="none"/>
        </w:rPr>
        <w:t xml:space="preserve">房屋体检结果评价</w:t>
      </w:r>
      <w:bookmarkEnd w:id="99"/>
      <w:r/>
      <w:r/>
    </w:p>
    <w:p>
      <w:pPr>
        <w:ind w:firstLine="420"/>
        <w:jc w:val="left"/>
        <w:spacing w:line="360" w:lineRule="auto"/>
        <w:widowControl/>
        <w:rPr>
          <w:rFonts w:ascii="宋体" w:hAnsi="宋体" w:cs="宋体"/>
          <w:szCs w:val="21"/>
          <w:highlight w:val="none"/>
        </w:rPr>
      </w:pPr>
      <w:r/>
      <w:bookmarkStart w:id="100" w:name="_Toc31229"/>
      <w:r/>
      <w:bookmarkStart w:id="101" w:name="_Toc30930"/>
      <w:r>
        <w:rPr>
          <w:rFonts w:hint="eastAsia" w:ascii="宋体" w:hAnsi="宋体" w:cs="宋体"/>
          <w:szCs w:val="21"/>
          <w:highlight w:val="none"/>
        </w:rPr>
        <w:t xml:space="preserve">（一）一般规定</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每次体检时，应对房屋基本信息进行核对修正。当核对发现基本信息没有变化，则无需填报新的基本信息表；当核对发现基本信息发生变化，则需重新填报基本信息表，并与其他记录表一并存入体检档案。</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房屋体检应在检查和调查的基础上，主要对房屋的主体结构进行综合评价，生成体检结果。</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房屋体检结果评价分为分项检查结果评价、专项检查结果评价、总体结果评价三个层级。在检查和调查过程中应依次逐层对房屋各层级结果进行评价。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各层级评价结果分为Ⅰ、Ⅱ、Ⅲ（1、2、3）三个等级，应符合以下规定：</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1.Ⅰ级（1级），房屋总体（分项/专项）符合正常安全使用要求，可能存在个别构件或部位需要实施必要的维修措施；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2.Ⅱ级（2级），房屋总体（分项/专项）存在一定安全隐患，可能涉及少数构件或部位的维修，以及少数构件或部位的加固、更换等整治措施；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3.Ⅲ级（3级），房屋总体（分项/专项）存在严重安全隐患，可能涉及多数的构件或部位需进行维修，以及多数构件或部位的加固、更换等整治措施。</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（二）分项检查结果评价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分项的评价结果应在对房屋的各项检查指标进行全面检查的基础上，依据房屋各检查指标的评价结果进行综合评价。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房屋结构检查四个分项检查项目的体检结果评价，应符合以下规定：</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1.房屋结构体系、改扩建情况检查项目，应根据资料和现场检查调查的实际情况按表 A.2 进行评价；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2.地基基础情况检查项目，应根据资料、现场检查调查的实际情况结合房屋整体倾斜率按表 A.2 进行评价；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3.承重构件损伤变形情况检查项目的评价，应对房屋各类承重构件按表 A.2 的检查指标进行全面检查，确定承重构件的危险状态后，依据危险构件数量和位置，确定承重构件损伤变形情况检查项目的评价结果。</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房屋附属系统两个分项的体检结果评价，应根据资料和现场检查调查的实际情况按表 A.2 进行评价。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（三）专项检查结果评价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房屋结构检查和房屋附属系统检查的结果评价，均依据其各分项检查指标评价结果的最低一级来确定。</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（四）房屋总体结果评价</w:t>
      </w:r>
      <w:r/>
    </w:p>
    <w:p>
      <w:pPr>
        <w:ind w:firstLine="420"/>
        <w:jc w:val="left"/>
        <w:spacing w:line="360" w:lineRule="auto"/>
        <w:widowControl/>
        <w:rPr>
          <w:rFonts w:ascii="宋体" w:hAnsi="宋体" w:cs="宋体"/>
          <w:szCs w:val="21"/>
          <w:highlight w:val="none"/>
        </w:rPr>
      </w:pPr>
      <w:r>
        <w:rPr>
          <w:rFonts w:hint="eastAsia" w:ascii="宋体" w:hAnsi="宋体" w:cs="宋体"/>
          <w:szCs w:val="21"/>
          <w:highlight w:val="none"/>
        </w:rPr>
        <w:t xml:space="preserve">房屋体检的最终评价结果应根据房屋结构评价结果确定；仅当房屋结构专项评价结果为1级，而房屋附属系统专项评价结果为3级时，房屋体检的总体结果应降一级，判定为Ⅱ级。</w:t>
      </w:r>
      <w:r/>
    </w:p>
    <w:p>
      <w:pPr>
        <w:jc w:val="left"/>
        <w:spacing w:line="360" w:lineRule="auto"/>
        <w:widowControl/>
        <w:rPr>
          <w:rFonts w:ascii="宋体" w:hAnsi="宋体" w:cs="宋体"/>
          <w:b/>
          <w:bCs/>
          <w:szCs w:val="21"/>
          <w:highlight w:val="none"/>
        </w:rPr>
      </w:pPr>
      <w:r>
        <w:rPr>
          <w:rFonts w:hint="eastAsia" w:ascii="宋体" w:hAnsi="宋体" w:cs="宋体"/>
          <w:b/>
          <w:bCs/>
          <w:szCs w:val="21"/>
          <w:highlight w:val="none"/>
        </w:rPr>
        <w:t xml:space="preserve">房屋体检结果处置</w:t>
      </w:r>
      <w:bookmarkEnd w:id="100"/>
      <w:r/>
      <w:bookmarkEnd w:id="101"/>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房屋体检结果为Ⅲ级时，应首先采取疏散、封闭、设置警示标志等管控措施，立即委托专业机构按照相关标准进行房屋安全鉴定，并根据鉴定结果迅速采取相应整治措施。</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房屋体检结果为Ⅱ级时，其中：当房屋结构检查评价结果为2级时，应委托专业机构进行房屋安全鉴定，并根据鉴定结果采取相应措施；当房屋结构检查评价结果为1级，而房屋附属系统评价为3级时，应根据体检报告中处理建议采取相应的维修加固措施。当检查过程中发现房屋附属系统存在脱落伤人风险时，应首先采取局部围挡等管控措施或有效的临时支撑措施，然后再进行相应的维修。</w:t>
      </w:r>
      <w:r/>
    </w:p>
    <w:p>
      <w:pPr>
        <w:spacing w:line="360" w:lineRule="auto"/>
        <w:rPr>
          <w:rFonts w:ascii="宋体" w:hAnsi="宋体" w:cs="宋体"/>
          <w:szCs w:val="21"/>
          <w:highlight w:val="none"/>
        </w:rPr>
        <w:outlineLvl w:val="1"/>
      </w:pPr>
      <w:r>
        <w:rPr>
          <w:rFonts w:hint="eastAsia" w:ascii="宋体" w:hAnsi="宋体" w:cs="宋体"/>
          <w:szCs w:val="21"/>
          <w:highlight w:val="none"/>
        </w:rPr>
        <w:t xml:space="preserve">注：</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1.房屋幕墙在检查中发现存在安全隐患，建议委托专业机构进行房屋幕墙安全专项鉴定，并根据鉴定采取相应整治措施。</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2.木（砖木）结构房屋在检查中发现白蚁侵害迹象，建议委托专业机构进行白蚁防治处理，防止虫害进一步危害主体结构安全。</w:t>
      </w:r>
      <w:r/>
    </w:p>
    <w:p>
      <w:pPr>
        <w:ind w:firstLine="420"/>
        <w:spacing w:line="360" w:lineRule="auto"/>
        <w:rPr>
          <w:rFonts w:ascii="宋体" w:hAnsi="宋体" w:cs="宋体"/>
          <w:szCs w:val="21"/>
          <w:highlight w:val="none"/>
        </w:rPr>
        <w:outlineLvl w:val="1"/>
      </w:pPr>
      <w:r>
        <w:rPr>
          <w:rFonts w:hint="eastAsia" w:ascii="宋体" w:hAnsi="宋体" w:cs="宋体"/>
          <w:szCs w:val="21"/>
          <w:highlight w:val="none"/>
        </w:rPr>
        <w:t xml:space="preserve">3.房屋经过维修、加固等整治措施处理后，需对整治效果进行严格的验收、论证或鉴定，并详细记录整治过程和结果。</w:t>
      </w:r>
      <w:r/>
    </w:p>
    <w:p>
      <w:pPr>
        <w:spacing w:line="360" w:lineRule="auto"/>
        <w:rPr>
          <w:rFonts w:ascii="宋体" w:hAnsi="宋体" w:cs="宋体"/>
          <w:b/>
          <w:szCs w:val="21"/>
          <w:highlight w:val="none"/>
        </w:rPr>
        <w:outlineLvl w:val="1"/>
      </w:pPr>
      <w:r>
        <w:rPr>
          <w:rFonts w:hint="eastAsia" w:ascii="宋体" w:hAnsi="宋体" w:cs="宋体"/>
          <w:b/>
          <w:szCs w:val="21"/>
          <w:highlight w:val="none"/>
        </w:rPr>
        <w:t xml:space="preserve">六、成果要求</w:t>
      </w:r>
      <w:r/>
    </w:p>
    <w:p>
      <w:pPr>
        <w:ind w:firstLine="420"/>
        <w:spacing w:line="360" w:lineRule="auto"/>
        <w:rPr>
          <w:rFonts w:ascii="宋体" w:hAnsi="宋体" w:cs="宋体"/>
          <w:bCs/>
          <w:szCs w:val="21"/>
          <w:highlight w:val="none"/>
        </w:rPr>
      </w:pPr>
      <w:r/>
      <w:bookmarkStart w:id="102" w:name="_Toc28258"/>
      <w:r>
        <w:rPr>
          <w:rFonts w:hint="eastAsia" w:ascii="宋体" w:hAnsi="宋体" w:cs="宋体"/>
          <w:bCs/>
          <w:szCs w:val="21"/>
          <w:highlight w:val="none"/>
        </w:rPr>
        <w:t xml:space="preserve">1.房屋体检报告及体检档案</w:t>
      </w:r>
      <w:bookmarkEnd w:id="102"/>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体检完成后，应及时将体检报告提交给委托人和房屋所在县（市、区）住房和城乡建设部门；房屋体检等级为Ⅲ级或存在安全事故现实危险的，应立即告知委托人、县（市、区）住房和城乡建设部门和乡镇人民政府（街道办事处）。</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房屋体检报告内容应包括房屋概况、体检内容、体检结论、主要存在的问题、处置建议及相关附件等。</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房屋体检过程中的检查记录表、检查照片及相关判定资料，均应作为体检报告的必备附件。</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体检报告应有两名以上体检人员签名，审核由技术负责人签名，审批由单位负责人签名，并加盖体检单位公章。</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体检单位应对每栋房屋的体检资料进行保存，直至房屋灭失。</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鼓励采用信息化方式对体检数据、体检过程、体检档案进行分析和管理。</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项目服务要求：房屋体检报告须签字盖章并上传系统。入户率要达到70%，且三层及以上多产权房屋的底层及顶层必须入户。投标文件内提供的项目组成员须如实到场履职，如若更换人员，须经过甲方同意。最终成果应装订成册，每栋房屋须提供2份纸质体检报告，A4规格，成果电子文本（含光盘）一份。乙方在项目结束前要提交一份详实具体高质量的综合分析报告。</w:t>
      </w:r>
      <w:r/>
    </w:p>
    <w:p>
      <w:pPr>
        <w:ind w:firstLine="422"/>
        <w:spacing w:line="360" w:lineRule="auto"/>
        <w:rPr>
          <w:rFonts w:ascii="宋体" w:hAnsi="宋体" w:cs="宋体"/>
          <w:b/>
          <w:szCs w:val="21"/>
          <w:highlight w:val="none"/>
        </w:rPr>
        <w:outlineLvl w:val="1"/>
      </w:pPr>
      <w:r>
        <w:rPr>
          <w:rFonts w:hint="eastAsia" w:ascii="宋体" w:hAnsi="宋体" w:cs="宋体"/>
          <w:b/>
          <w:szCs w:val="21"/>
          <w:highlight w:val="none"/>
        </w:rPr>
        <w:t xml:space="preserve">七、</w:t>
      </w:r>
      <w:r>
        <w:rPr>
          <w:rFonts w:hint="eastAsia" w:ascii="宋体" w:hAnsi="宋体" w:cs="宋体"/>
          <w:b/>
          <w:szCs w:val="21"/>
          <w:highlight w:val="none"/>
          <w:lang w:val="zh-CN"/>
        </w:rPr>
        <w:t xml:space="preserve">项目</w:t>
      </w:r>
      <w:r>
        <w:rPr>
          <w:rFonts w:hint="eastAsia" w:ascii="宋体" w:hAnsi="宋体" w:cs="宋体"/>
          <w:b/>
          <w:szCs w:val="21"/>
          <w:highlight w:val="none"/>
        </w:rPr>
        <w:t xml:space="preserve">保密要求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1.供应商及其工作人员需遵守采购单位的保密规定，不以任何形式将收集的所有资料、数据等进行泄露、传播；</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2.项目服务人员需签署相关保密协议，承担工作中接触相关内容的保密义务；</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3.项目成果最终所有权属采购单位，在项目完成时供应商必须全部移交；</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4.供应商须维护项目服务成果，不得转让给第三方重复使用。</w:t>
      </w:r>
      <w:r/>
    </w:p>
    <w:p>
      <w:pPr>
        <w:spacing w:line="360" w:lineRule="auto"/>
        <w:rPr>
          <w:rFonts w:ascii="宋体" w:hAnsi="宋体" w:cs="宋体"/>
          <w:b/>
          <w:szCs w:val="21"/>
          <w:highlight w:val="none"/>
        </w:rPr>
        <w:outlineLvl w:val="1"/>
      </w:pPr>
      <w:r>
        <w:rPr>
          <w:rFonts w:hint="eastAsia" w:ascii="宋体" w:hAnsi="宋体" w:cs="宋体"/>
          <w:b/>
          <w:szCs w:val="21"/>
          <w:highlight w:val="none"/>
        </w:rPr>
        <w:t xml:space="preserve">八、其他要求</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w:t>
      </w:r>
      <w:r>
        <w:rPr>
          <w:rFonts w:hint="eastAsia" w:ascii="宋体" w:hAnsi="宋体" w:cs="宋体"/>
          <w:bCs/>
          <w:szCs w:val="21"/>
          <w:highlight w:val="none"/>
          <w:lang w:val="zh-TW"/>
        </w:rPr>
        <w:t xml:space="preserve">供应商需组织相关技术力量，成立</w:t>
      </w:r>
      <w:r>
        <w:rPr>
          <w:rFonts w:hint="eastAsia" w:ascii="宋体" w:hAnsi="宋体" w:cs="宋体"/>
          <w:bCs/>
          <w:szCs w:val="21"/>
          <w:highlight w:val="none"/>
        </w:rPr>
        <w:t xml:space="preserve">扬州市城镇房屋体检工作小</w:t>
      </w:r>
      <w:r>
        <w:rPr>
          <w:rFonts w:hint="eastAsia" w:ascii="宋体" w:hAnsi="宋体" w:cs="宋体"/>
          <w:bCs/>
          <w:szCs w:val="21"/>
          <w:highlight w:val="none"/>
          <w:lang w:val="zh-TW"/>
        </w:rPr>
        <w:t xml:space="preserve">组，负责按照本次采购的要求及时高效地完成有关工作。</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2.供应商须为本项目配备的所有服务人员按规定缴纳社会保险及人身意外险，若工作人员在服务期间内出现的工伤及其他意外事故，均由供应商自行负责，采购人不承担任何责任。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3.供应商在被确定中标后，其在投标文件中所提供的服务人员名单须相对固定，如有人员调整须在合同签订前征得采购单位同意，否则采购单位有权终止合同。</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4.供应商在履行合同期间，若所提供的服务不能令采购人满意，如减少双方约定的服务范围，服务人员的素质水平、工作态度等，则采购单位有权要求供应商在指定时间内更换管理及服务人员。</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供应商在项目进行过程中产生的任何安全、损坏等责任事故一律由供应商自行承担。如遇突发情况，供应商需协助采购单位完成需要供应商配合的服务。因供应商管理不善，造成工作范围内的损坏的，由直接责任人赔偿，若直接责任人因故无法赔偿的，采购单位有权要求供应商负责赔偿损失，情节严重的可终止合同甚至诉诸法律。</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供应商工作人员应遵守采购人相关的管理制度；不得随意离开岗位；供应商应执行国家有关规定，负责供应商员工的生病、事故、工伤、伤残、死亡和劳务纠纷，采购单位不承担任何责任。同时由于供应商的故意或过失而使得采购单位的设施设备引起的人员财产损失，应由供应商承担相关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7.供应商须具备独立完成本项目的能力。各供应商可在投标前自行进行调研，了解项目情况及详细需求，但供应商不得因此使采购单位承担有关的责任和蒙受损失。供应商应承担前期调研的责任和风险。供应商成交后，不得以不了解项目情况及详细需求为理由而向采购单位提出任何索赔的要求，对此采购单位不再承担任何责任。</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8.采购单位有权检查监督供应商服务质量，对不称职的工作人员有权要求供应商在一周内更换，直至人选合格为止。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9.供应商有下列情形之一的，扬州市住房和城乡建设局有权终止合同：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（1）提交的成果未能达到采购文件规定的标准或其响应承诺的。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（2）提交的成果图纸和文字辨认不清，内容不全或粗制滥造的。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（3）未经扬州市住房和城乡建设局同意，逾期形成服务成果的。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（4）为本项目所配备的人员不到位，影响策划研究报告进度及质量的，经采购单位要求供应商及时改正，供应商仍拒不改正的。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（5）违反相关保密规定的。</w:t>
      </w:r>
      <w:r/>
    </w:p>
    <w:p>
      <w:pPr>
        <w:spacing w:line="360" w:lineRule="auto"/>
        <w:rPr>
          <w:rFonts w:ascii="宋体" w:hAnsi="宋体" w:cs="宋体"/>
          <w:b/>
          <w:szCs w:val="21"/>
          <w:highlight w:val="none"/>
        </w:rPr>
        <w:outlineLvl w:val="1"/>
      </w:pPr>
      <w:r/>
      <w:bookmarkStart w:id="103" w:name="OLE_LINK3"/>
      <w:r>
        <w:rPr>
          <w:rFonts w:hint="eastAsia" w:ascii="宋体" w:hAnsi="宋体" w:cs="宋体"/>
          <w:b/>
          <w:szCs w:val="21"/>
          <w:highlight w:val="none"/>
        </w:rPr>
        <w:t xml:space="preserve">九、综合说明及其它要求</w:t>
      </w:r>
      <w:bookmarkEnd w:id="103"/>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1.供应商按照招标文件的要求提交投标文件，并对所提供的全部资料的真实性承担法律责任。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2.供应商将根据招标文件、投标文件的相关约定，承担合同责任，履行合同义务。</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供应商应保证在本项目使用的任何产品（包括部分使用）时，不会产生因第三方提出侵犯其专利权、商标权或其它知识产权而引起的法律和经济纠纷，如因专利权、商标权或其它知识产权而引起法律和经济纠纷，由中标人承担所有相关责任。</w:t>
      </w:r>
      <w:r/>
    </w:p>
    <w:p>
      <w:pPr>
        <w:ind w:firstLine="420"/>
        <w:spacing w:line="360" w:lineRule="auto"/>
        <w:widowControl/>
        <w:rPr>
          <w:rFonts w:ascii="宋体" w:hAnsi="宋体" w:cs="宋体"/>
          <w:szCs w:val="21"/>
          <w:highlight w:val="none"/>
        </w:rPr>
      </w:pPr>
      <w:r>
        <w:rPr>
          <w:rFonts w:hint="eastAsia" w:ascii="宋体" w:hAnsi="宋体" w:cs="宋体"/>
          <w:szCs w:val="21"/>
          <w:highlight w:val="none"/>
        </w:rPr>
        <w:t xml:space="preserve">4.供应商应对招标文件提出的全部服务要求进行响应投标，如果其中某些条款不响应时，应在文件中逐条列出，未列出的视同响应。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5.招标文件的组成，包括本文件及招标代理机构发出的所有书面补充通知，本招标文件涉及资料的知识产权属于采购单位及招标代理机构；投标期间及实施期间的有关文档资料，由采购单位保存和使用，其知识产权属于采购单位所有；双方均不得透露给第三方。供应商应认真检查招标文件的内容是否齐全，如有遗漏请及时向招标代理机构索取，否则责任自负。</w:t>
      </w:r>
      <w:r/>
    </w:p>
    <w:p>
      <w:pPr>
        <w:ind w:firstLine="420"/>
        <w:spacing w:line="360" w:lineRule="auto"/>
        <w:rPr>
          <w:rFonts w:ascii="宋体" w:hAnsi="宋体" w:cs="宋体"/>
          <w:b/>
          <w:bCs/>
          <w:szCs w:val="21"/>
          <w:highlight w:val="none"/>
        </w:rPr>
      </w:pPr>
      <w:r>
        <w:rPr>
          <w:rFonts w:hint="eastAsia" w:ascii="宋体" w:hAnsi="宋体" w:cs="宋体"/>
          <w:b/>
          <w:bCs/>
          <w:szCs w:val="21"/>
          <w:highlight w:val="none"/>
        </w:rPr>
        <w:t xml:space="preserve">6.投标报价一次报定，不得更改，投标总价应包含全部服务所需的</w:t>
      </w:r>
      <w:bookmarkStart w:id="104" w:name="_Hlk181712417"/>
      <w:r>
        <w:rPr>
          <w:rFonts w:hint="eastAsia" w:ascii="宋体" w:hAnsi="宋体" w:cs="宋体"/>
          <w:b/>
          <w:bCs/>
          <w:szCs w:val="21"/>
          <w:highlight w:val="none"/>
        </w:rPr>
        <w:t xml:space="preserve">人工费、通讯费、交通费、资料费、后续服务费、保险费用、第三方责任险、利润、税金、政策性文件规定及合同包含的所有风险、责任等完成本项目的各项应有费用。招标文件未列明，而供应商认为其他必需的费用也需列入报价。在合同实施时，采购单位将不予支付中标人没有填列的项目费用，并认为此项目的费用已包括在合同价格中</w:t>
      </w:r>
      <w:bookmarkEnd w:id="104"/>
      <w:r>
        <w:rPr>
          <w:rFonts w:hint="eastAsia" w:ascii="宋体" w:hAnsi="宋体" w:cs="宋体"/>
          <w:b/>
          <w:bCs/>
          <w:szCs w:val="21"/>
          <w:highlight w:val="none"/>
        </w:rPr>
        <w:t xml:space="preserve">。</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供应商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p>
    <w:p>
      <w:pPr>
        <w:ind w:firstLine="420"/>
        <w:spacing w:line="360" w:lineRule="auto"/>
        <w:rPr>
          <w:rFonts w:ascii="宋体" w:hAnsi="宋体" w:cs="宋体"/>
          <w:szCs w:val="21"/>
          <w:highlight w:val="none"/>
        </w:rPr>
      </w:pPr>
      <w:r>
        <w:rPr>
          <w:rFonts w:hint="eastAsia" w:ascii="宋体" w:hAnsi="宋体" w:cs="宋体"/>
          <w:szCs w:val="21"/>
          <w:highlight w:val="none"/>
          <w:lang w:val="zh-CN"/>
        </w:rPr>
        <w:t xml:space="preserve">8.</w:t>
      </w:r>
      <w:r>
        <w:rPr>
          <w:rFonts w:hint="eastAsia" w:ascii="宋体" w:hAnsi="宋体" w:cs="宋体"/>
          <w:szCs w:val="21"/>
          <w:highlight w:val="none"/>
        </w:rPr>
        <w:t xml:space="preserve">供应商</w:t>
      </w:r>
      <w:r>
        <w:rPr>
          <w:rFonts w:hint="eastAsia" w:ascii="宋体" w:hAnsi="宋体" w:cs="宋体"/>
          <w:szCs w:val="21"/>
          <w:highlight w:val="none"/>
          <w:lang w:val="zh-CN"/>
        </w:rPr>
        <w:t xml:space="preserve">对服务缺陷不予更正，采购单位有权另请其他单位更正，所发生的费用在未付款中扣除。如遇服务范围内有大的调整等重大情况，采购单位将提前告知</w:t>
      </w:r>
      <w:r>
        <w:rPr>
          <w:rFonts w:hint="eastAsia" w:ascii="宋体" w:hAnsi="宋体" w:cs="宋体"/>
          <w:szCs w:val="21"/>
          <w:highlight w:val="none"/>
        </w:rPr>
        <w:t xml:space="preserve">供应商</w:t>
      </w:r>
      <w:r>
        <w:rPr>
          <w:rFonts w:hint="eastAsia" w:ascii="宋体" w:hAnsi="宋体" w:cs="宋体"/>
          <w:szCs w:val="21"/>
          <w:highlight w:val="none"/>
          <w:lang w:val="zh-CN"/>
        </w:rPr>
        <w:t xml:space="preserve">，合同内容经双方协商调整。</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b/>
          <w:szCs w:val="21"/>
          <w:highlight w:val="none"/>
        </w:rPr>
      </w:pPr>
      <w:r>
        <w:rPr>
          <w:rFonts w:ascii="宋体" w:hAnsi="宋体" w:cs="宋体"/>
          <w:b/>
          <w:szCs w:val="21"/>
          <w:highlight w:val="none"/>
        </w:rPr>
      </w:r>
      <w:r/>
    </w:p>
    <w:p>
      <w:pPr>
        <w:spacing w:line="360" w:lineRule="auto"/>
        <w:rPr>
          <w:rFonts w:ascii="宋体" w:hAnsi="宋体" w:cs="宋体"/>
          <w:b/>
          <w:bCs/>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rPr>
          <w:highlight w:val="none"/>
        </w:rPr>
        <w:outlineLvl w:val="1"/>
      </w:pPr>
      <w:r>
        <w:rPr>
          <w:highlight w:val="none"/>
        </w:rPr>
      </w:r>
      <w:r>
        <w:rPr>
          <w:highlight w:val="none"/>
        </w:rPr>
      </w:r>
      <w:r/>
    </w:p>
    <w:p>
      <w:pPr>
        <w:spacing w:line="360" w:lineRule="auto"/>
        <w:tabs>
          <w:tab w:val="left" w:pos="2282" w:leader="none"/>
        </w:tabs>
        <w:rPr>
          <w:highlight w:val="none"/>
        </w:rPr>
        <w:outlineLvl w:val="1"/>
      </w:pPr>
      <w:r>
        <w:rPr>
          <w:rFonts w:hint="eastAsia" w:ascii="宋体" w:hAnsi="宋体" w:cs="宋体"/>
          <w:b/>
          <w:szCs w:val="21"/>
          <w:highlight w:val="none"/>
        </w:rPr>
        <w:t xml:space="preserve">十、附件</w:t>
      </w:r>
      <w:bookmarkStart w:id="105" w:name="_Toc29208"/>
      <w:r/>
      <w:bookmarkStart w:id="106" w:name="_Toc4841"/>
      <w:r/>
      <w:bookmarkEnd w:id="105"/>
      <w:r/>
      <w:bookmarkEnd w:id="106"/>
      <w:r>
        <w:tab/>
      </w:r>
      <w:r/>
    </w:p>
    <w:p>
      <w:pPr>
        <w:ind w:left="435"/>
        <w:spacing w:before="114" w:line="240" w:lineRule="auto"/>
        <w:rPr>
          <w:rFonts w:ascii="宋体" w:hAnsi="宋体" w:cs="宋体"/>
          <w:b/>
          <w:bCs/>
          <w:szCs w:val="21"/>
          <w:highlight w:val="none"/>
        </w:rPr>
        <w:outlineLvl w:val="0"/>
      </w:pPr>
      <w:r/>
      <w:bookmarkStart w:id="107" w:name="_Toc21366"/>
      <w:r/>
      <w:bookmarkStart w:id="108" w:name="_Toc11189"/>
      <w:r/>
      <w:bookmarkStart w:id="109" w:name="_Toc25929"/>
      <w:r>
        <w:rPr>
          <w:rFonts w:hint="eastAsia" w:ascii="宋体" w:hAnsi="宋体" w:cs="宋体"/>
          <w:b/>
          <w:bCs/>
          <w:spacing w:val="3"/>
          <w:szCs w:val="21"/>
          <w:highlight w:val="none"/>
        </w:rPr>
        <w:t xml:space="preserve">附录</w:t>
      </w:r>
      <w:r>
        <w:rPr>
          <w:rFonts w:hint="eastAsia" w:ascii="宋体" w:hAnsi="宋体" w:cs="宋体"/>
          <w:b/>
          <w:bCs/>
          <w:spacing w:val="-76"/>
          <w:szCs w:val="21"/>
          <w:highlight w:val="none"/>
        </w:rPr>
        <w:t xml:space="preserve"> </w:t>
      </w:r>
      <w:r>
        <w:rPr>
          <w:rFonts w:hint="eastAsia" w:ascii="宋体" w:hAnsi="宋体" w:cs="宋体"/>
          <w:b/>
          <w:bCs/>
          <w:spacing w:val="3"/>
          <w:szCs w:val="21"/>
          <w:highlight w:val="none"/>
        </w:rPr>
        <w:t xml:space="preserve">A：体检记录表</w:t>
      </w:r>
      <w:bookmarkEnd w:id="107"/>
      <w:r/>
      <w:bookmarkEnd w:id="108"/>
      <w:r/>
      <w:r/>
    </w:p>
    <w:p>
      <w:pPr>
        <w:jc w:val="center"/>
        <w:spacing w:before="302" w:line="240" w:lineRule="auto"/>
        <w:rPr>
          <w:rFonts w:ascii="宋体" w:hAnsi="宋体" w:cs="宋体"/>
          <w:b/>
          <w:bCs/>
          <w:szCs w:val="21"/>
          <w:highlight w:val="none"/>
        </w:rPr>
        <w:outlineLvl w:val="1"/>
      </w:pPr>
      <w:r/>
      <w:bookmarkStart w:id="110" w:name="bookmark58"/>
      <w:r/>
      <w:bookmarkEnd w:id="110"/>
      <w:r/>
      <w:bookmarkStart w:id="111" w:name="_Toc24948"/>
      <w:r/>
      <w:bookmarkStart w:id="112" w:name="_Toc4997"/>
      <w:r/>
      <w:bookmarkStart w:id="113" w:name="_Toc17710"/>
      <w:r>
        <w:rPr>
          <w:rFonts w:hint="eastAsia" w:ascii="宋体" w:hAnsi="宋体" w:cs="宋体"/>
          <w:b/>
          <w:bCs/>
          <w:spacing w:val="7"/>
          <w:szCs w:val="21"/>
          <w:highlight w:val="none"/>
        </w:rPr>
        <w:t xml:space="preserve">A.1</w:t>
      </w:r>
      <w:r>
        <w:rPr>
          <w:rFonts w:hint="eastAsia" w:ascii="宋体" w:hAnsi="宋体" w:cs="宋体"/>
          <w:b/>
          <w:bCs/>
          <w:spacing w:val="38"/>
          <w:szCs w:val="21"/>
          <w:highlight w:val="none"/>
        </w:rPr>
        <w:t xml:space="preserve"> </w:t>
      </w:r>
      <w:r>
        <w:rPr>
          <w:rFonts w:hint="eastAsia" w:ascii="宋体" w:hAnsi="宋体" w:cs="宋体"/>
          <w:b/>
          <w:bCs/>
          <w:spacing w:val="7"/>
          <w:szCs w:val="21"/>
          <w:highlight w:val="none"/>
        </w:rPr>
        <w:t xml:space="preserve">房屋基本信息记录表</w:t>
      </w:r>
      <w:bookmarkEnd w:id="111"/>
      <w:r/>
      <w:bookmarkEnd w:id="112"/>
      <w:r/>
      <w:bookmarkEnd w:id="113"/>
      <w:r/>
      <w:r/>
    </w:p>
    <w:p>
      <w:pPr>
        <w:spacing w:before="6" w:line="240" w:lineRule="auto"/>
        <w:rPr>
          <w:rFonts w:ascii="宋体" w:hAnsi="宋体" w:cs="宋体"/>
          <w:szCs w:val="21"/>
          <w:highlight w:val="none"/>
        </w:rPr>
      </w:pPr>
      <w:r>
        <w:rPr>
          <w:rFonts w:ascii="宋体" w:hAnsi="宋体" w:cs="宋体"/>
          <w:szCs w:val="21"/>
          <w:highlight w:val="none"/>
        </w:rPr>
      </w:r>
      <w:r/>
    </w:p>
    <w:tbl>
      <w:tblPr>
        <w:tblStyle w:val="908"/>
        <w:tblW w:w="911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77"/>
        <w:gridCol w:w="1277"/>
        <w:gridCol w:w="1711"/>
        <w:gridCol w:w="837"/>
        <w:gridCol w:w="1230"/>
        <w:gridCol w:w="53"/>
        <w:gridCol w:w="2733"/>
      </w:tblGrid>
      <w:tr>
        <w:trPr>
          <w:trHeight w:val="49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175"/>
              <w:spacing w:before="140"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房屋名称</w:t>
            </w:r>
            <w:r/>
          </w:p>
        </w:tc>
        <w:tc>
          <w:tcPr>
            <w:gridSpan w:val="2"/>
            <w:tcBorders>
              <w:top w:val="single" w:color="000000" w:sz="2" w:space="0"/>
              <w:left w:val="single" w:color="000000" w:sz="2" w:space="0"/>
              <w:bottom w:val="single" w:color="000000" w:sz="2" w:space="0"/>
              <w:right w:val="single" w:color="000000" w:sz="2" w:space="0"/>
            </w:tcBorders>
            <w:tcW w:w="2988"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c>
          <w:tcPr>
            <w:gridSpan w:val="3"/>
            <w:tcBorders>
              <w:top w:val="single" w:color="000000" w:sz="2" w:space="0"/>
              <w:left w:val="single" w:color="000000" w:sz="2" w:space="0"/>
              <w:bottom w:val="single" w:color="000000" w:sz="2" w:space="0"/>
              <w:right w:val="single" w:color="000000" w:sz="2" w:space="0"/>
            </w:tcBorders>
            <w:tcW w:w="2120" w:type="dxa"/>
            <w:textDirection w:val="lrTb"/>
            <w:noWrap w:val="false"/>
          </w:tcPr>
          <w:p>
            <w:pPr>
              <w:pStyle w:val="1179"/>
              <w:ind w:left="121"/>
              <w:spacing w:before="141"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街道/社区</w:t>
            </w:r>
            <w:r/>
          </w:p>
        </w:tc>
        <w:tc>
          <w:tcPr>
            <w:tcBorders>
              <w:top w:val="single" w:color="000000" w:sz="2" w:space="0"/>
              <w:left w:val="single" w:color="000000" w:sz="2" w:space="0"/>
              <w:bottom w:val="single" w:color="000000" w:sz="2" w:space="0"/>
              <w:right w:val="single" w:color="000000" w:sz="2" w:space="0"/>
            </w:tcBorders>
            <w:tcW w:w="2733"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r>
      <w:tr>
        <w:trPr>
          <w:trHeight w:val="865"/>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pStyle w:val="1179"/>
              <w:ind w:left="175"/>
              <w:spacing w:before="78"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房屋地址</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pStyle w:val="1179"/>
              <w:ind w:left="123" w:right="106" w:hanging="21"/>
              <w:spacing w:before="141" w:line="240" w:lineRule="auto"/>
              <w:tabs>
                <w:tab w:val="left" w:pos="941" w:leader="none"/>
              </w:tabs>
              <w:rPr>
                <w:rFonts w:ascii="宋体" w:hAnsi="宋体" w:eastAsia="宋体" w:cs="宋体"/>
                <w:sz w:val="21"/>
                <w:szCs w:val="21"/>
                <w:highlight w:val="none"/>
                <w:lang w:eastAsia="zh-CN"/>
              </w:rPr>
            </w:pPr>
            <w:r>
              <w:rPr>
                <w:rFonts w:hint="eastAsia" w:ascii="宋体" w:hAnsi="宋体" w:eastAsia="宋体" w:cs="宋体"/>
                <w:sz w:val="21"/>
                <w:szCs w:val="21"/>
                <w:highlight w:val="none"/>
                <w:u w:val="single"/>
                <w:lang w:eastAsia="zh-CN"/>
              </w:rPr>
              <w:tab/>
            </w:r>
            <w:r>
              <w:rPr>
                <w:rFonts w:hint="eastAsia" w:ascii="宋体" w:hAnsi="宋体" w:eastAsia="宋体" w:cs="宋体"/>
                <w:sz w:val="21"/>
                <w:szCs w:val="21"/>
                <w:highlight w:val="none"/>
                <w:u w:val="single"/>
                <w:lang w:eastAsia="zh-CN"/>
              </w:rPr>
              <w:tab/>
            </w:r>
            <w:r>
              <w:rPr>
                <w:rFonts w:hint="eastAsia" w:ascii="宋体" w:hAnsi="宋体" w:eastAsia="宋体" w:cs="宋体"/>
                <w:spacing w:val="-4"/>
                <w:sz w:val="21"/>
                <w:szCs w:val="21"/>
                <w:highlight w:val="none"/>
                <w:lang w:eastAsia="zh-CN"/>
              </w:rPr>
              <w:t xml:space="preserve"> 县（市、区）</w:t>
            </w:r>
            <w:r>
              <w:rPr>
                <w:rFonts w:hint="eastAsia" w:ascii="宋体" w:hAnsi="宋体" w:eastAsia="宋体" w:cs="宋体"/>
                <w:spacing w:val="-97"/>
                <w:sz w:val="21"/>
                <w:szCs w:val="21"/>
                <w:highlight w:val="none"/>
                <w:lang w:eastAsia="zh-CN"/>
              </w:rPr>
              <w:t xml:space="preserve"> </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pacing w:val="-82"/>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乡镇（街道）</w:t>
            </w:r>
            <w:r>
              <w:rPr>
                <w:rFonts w:hint="eastAsia" w:ascii="宋体" w:hAnsi="宋体" w:eastAsia="宋体" w:cs="宋体"/>
                <w:spacing w:val="-9"/>
                <w:sz w:val="21"/>
                <w:szCs w:val="21"/>
                <w:highlight w:val="none"/>
                <w:u w:val="single"/>
                <w:lang w:eastAsia="zh-CN"/>
              </w:rPr>
              <w:t xml:space="preserve">     </w:t>
            </w:r>
            <w:r>
              <w:rPr>
                <w:rFonts w:hint="eastAsia" w:ascii="宋体" w:hAnsi="宋体" w:eastAsia="宋体" w:cs="宋体"/>
                <w:spacing w:val="-105"/>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村（社区）</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pacing w:val="-102"/>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组</w:t>
            </w:r>
            <w:r>
              <w:rPr>
                <w:rFonts w:hint="eastAsia" w:ascii="宋体" w:hAnsi="宋体" w:eastAsia="宋体" w:cs="宋体"/>
                <w:spacing w:val="23"/>
                <w:sz w:val="21"/>
                <w:szCs w:val="21"/>
                <w:highlight w:val="none"/>
                <w:u w:val="single"/>
                <w:lang w:eastAsia="zh-CN"/>
              </w:rPr>
              <w:t xml:space="preserve">     </w:t>
            </w:r>
            <w:r>
              <w:rPr>
                <w:rFonts w:hint="eastAsia" w:ascii="宋体" w:hAnsi="宋体" w:eastAsia="宋体" w:cs="宋体"/>
                <w:spacing w:val="-101"/>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路</w:t>
            </w:r>
            <w:r>
              <w:rPr>
                <w:rFonts w:hint="eastAsia" w:ascii="宋体" w:hAnsi="宋体" w:eastAsia="宋体" w:cs="宋体"/>
                <w:spacing w:val="-3"/>
                <w:sz w:val="21"/>
                <w:szCs w:val="21"/>
                <w:highlight w:val="none"/>
                <w:lang w:eastAsia="zh-CN"/>
              </w:rPr>
              <w:t xml:space="preserve">（街巷）</w:t>
            </w:r>
            <w:r>
              <w:rPr>
                <w:rFonts w:hint="eastAsia" w:ascii="宋体" w:hAnsi="宋体" w:eastAsia="宋体" w:cs="宋体"/>
                <w:spacing w:val="-3"/>
                <w:sz w:val="21"/>
                <w:szCs w:val="21"/>
                <w:highlight w:val="none"/>
                <w:u w:val="single"/>
                <w:lang w:eastAsia="zh-CN"/>
              </w:rPr>
              <w:t xml:space="preserve">     </w:t>
            </w:r>
            <w:r>
              <w:rPr>
                <w:rFonts w:hint="eastAsia" w:ascii="宋体" w:hAnsi="宋体" w:eastAsia="宋体" w:cs="宋体"/>
                <w:spacing w:val="-91"/>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号</w:t>
            </w:r>
            <w:r/>
          </w:p>
        </w:tc>
      </w:tr>
      <w:tr>
        <w:trPr>
          <w:trHeight w:val="86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pStyle w:val="1179"/>
              <w:ind w:left="172"/>
              <w:spacing w:before="78"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产权信息</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pStyle w:val="1179"/>
              <w:ind w:left="121"/>
              <w:spacing w:before="140"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产权单位（人）</w:t>
            </w:r>
            <w:r>
              <w:rPr>
                <w:rFonts w:hint="eastAsia" w:ascii="宋体" w:hAnsi="宋体" w:eastAsia="宋体" w:cs="宋体"/>
                <w:sz w:val="21"/>
                <w:szCs w:val="21"/>
                <w:highlight w:val="none"/>
                <w:u w:val="single"/>
                <w:lang w:eastAsia="zh-CN"/>
              </w:rPr>
              <w:t xml:space="preserve">                        </w:t>
            </w:r>
            <w:r/>
          </w:p>
          <w:p>
            <w:pPr>
              <w:pStyle w:val="1179"/>
              <w:ind w:left="161"/>
              <w:spacing w:before="72"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实际使用单位（人）</w:t>
            </w:r>
            <w:r>
              <w:rPr>
                <w:rFonts w:hint="eastAsia" w:ascii="宋体" w:hAnsi="宋体" w:eastAsia="宋体" w:cs="宋体"/>
                <w:spacing w:val="-4"/>
                <w:sz w:val="21"/>
                <w:szCs w:val="21"/>
                <w:highlight w:val="none"/>
                <w:u w:val="single"/>
                <w:lang w:eastAsia="zh-CN"/>
              </w:rPr>
              <w:t xml:space="preserve">                     </w:t>
            </w:r>
            <w:r/>
          </w:p>
        </w:tc>
      </w:tr>
      <w:tr>
        <w:trPr>
          <w:trHeight w:val="496"/>
        </w:trPr>
        <w:tc>
          <w:tcPr>
            <w:tcBorders>
              <w:top w:val="single" w:color="000000" w:sz="2" w:space="0"/>
              <w:left w:val="single" w:color="000000" w:sz="2" w:space="0"/>
              <w:bottom w:val="none" w:color="000000" w:sz="4" w:space="0"/>
              <w:right w:val="single" w:color="000000" w:sz="2" w:space="0"/>
            </w:tcBorders>
            <w:tcW w:w="1277" w:type="dxa"/>
            <w:vMerge w:val="restart"/>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pStyle w:val="1179"/>
              <w:ind w:left="175"/>
              <w:spacing w:before="78"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房屋概况</w:t>
            </w:r>
            <w:r/>
          </w:p>
        </w:tc>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381"/>
              <w:spacing w:before="141" w:line="240" w:lineRule="auto"/>
              <w:rPr>
                <w:rFonts w:ascii="宋体" w:hAnsi="宋体" w:eastAsia="宋体" w:cs="宋体"/>
                <w:sz w:val="21"/>
                <w:szCs w:val="21"/>
                <w:highlight w:val="none"/>
              </w:rPr>
            </w:pPr>
            <w:r>
              <w:rPr>
                <w:rFonts w:hint="eastAsia" w:ascii="宋体" w:hAnsi="宋体" w:eastAsia="宋体" w:cs="宋体"/>
                <w:spacing w:val="-5"/>
                <w:sz w:val="21"/>
                <w:szCs w:val="21"/>
                <w:highlight w:val="none"/>
              </w:rPr>
              <w:t xml:space="preserve">层数</w:t>
            </w:r>
            <w:r/>
          </w:p>
        </w:tc>
        <w:tc>
          <w:tcPr>
            <w:gridSpan w:val="2"/>
            <w:tcBorders>
              <w:top w:val="single" w:color="000000" w:sz="2" w:space="0"/>
              <w:left w:val="single" w:color="000000" w:sz="2" w:space="0"/>
              <w:bottom w:val="single" w:color="000000" w:sz="2" w:space="0"/>
              <w:right w:val="single" w:color="000000" w:sz="2" w:space="0"/>
            </w:tcBorders>
            <w:tcW w:w="2548" w:type="dxa"/>
            <w:textDirection w:val="lrTb"/>
            <w:noWrap w:val="false"/>
          </w:tcPr>
          <w:p>
            <w:pPr>
              <w:pStyle w:val="1179"/>
              <w:ind w:left="121"/>
              <w:spacing w:before="142" w:line="240" w:lineRule="auto"/>
              <w:rPr>
                <w:rFonts w:ascii="宋体" w:hAnsi="宋体" w:eastAsia="宋体" w:cs="宋体"/>
                <w:sz w:val="21"/>
                <w:szCs w:val="21"/>
                <w:highlight w:val="none"/>
              </w:rPr>
            </w:pPr>
            <w:r>
              <w:rPr>
                <w:rFonts w:hint="eastAsia" w:ascii="宋体" w:hAnsi="宋体" w:eastAsia="宋体" w:cs="宋体"/>
                <w:spacing w:val="-3"/>
                <w:sz w:val="21"/>
                <w:szCs w:val="21"/>
                <w:highlight w:val="none"/>
              </w:rPr>
              <w:t xml:space="preserve">地上</w:t>
            </w:r>
            <w:r>
              <w:rPr>
                <w:rFonts w:hint="eastAsia" w:ascii="宋体" w:hAnsi="宋体" w:eastAsia="宋体" w:cs="宋体"/>
                <w:spacing w:val="-3"/>
                <w:sz w:val="21"/>
                <w:szCs w:val="21"/>
                <w:highlight w:val="none"/>
                <w:u w:val="single"/>
              </w:rPr>
              <w:t xml:space="preserve">   </w:t>
            </w:r>
            <w:r>
              <w:rPr>
                <w:rFonts w:hint="eastAsia" w:ascii="宋体" w:hAnsi="宋体" w:eastAsia="宋体" w:cs="宋体"/>
                <w:spacing w:val="-100"/>
                <w:sz w:val="21"/>
                <w:szCs w:val="21"/>
                <w:highlight w:val="none"/>
              </w:rPr>
              <w:t xml:space="preserve"> </w:t>
            </w:r>
            <w:r>
              <w:rPr>
                <w:rFonts w:hint="eastAsia" w:ascii="宋体" w:hAnsi="宋体" w:eastAsia="宋体" w:cs="宋体"/>
                <w:spacing w:val="-3"/>
                <w:sz w:val="21"/>
                <w:szCs w:val="21"/>
                <w:highlight w:val="none"/>
              </w:rPr>
              <w:t xml:space="preserve">层，地下</w:t>
            </w:r>
            <w:r>
              <w:rPr>
                <w:rFonts w:hint="eastAsia" w:ascii="宋体" w:hAnsi="宋体" w:eastAsia="宋体" w:cs="宋体"/>
                <w:spacing w:val="-3"/>
                <w:sz w:val="21"/>
                <w:szCs w:val="21"/>
                <w:highlight w:val="none"/>
                <w:u w:val="single"/>
              </w:rPr>
              <w:t xml:space="preserve">   </w:t>
            </w:r>
            <w:r>
              <w:rPr>
                <w:rFonts w:hint="eastAsia" w:ascii="宋体" w:hAnsi="宋体" w:eastAsia="宋体" w:cs="宋体"/>
                <w:spacing w:val="-102"/>
                <w:sz w:val="21"/>
                <w:szCs w:val="21"/>
                <w:highlight w:val="none"/>
              </w:rPr>
              <w:t xml:space="preserve"> </w:t>
            </w:r>
            <w:r>
              <w:rPr>
                <w:rFonts w:hint="eastAsia" w:ascii="宋体" w:hAnsi="宋体" w:eastAsia="宋体" w:cs="宋体"/>
                <w:spacing w:val="-3"/>
                <w:sz w:val="21"/>
                <w:szCs w:val="21"/>
                <w:highlight w:val="none"/>
              </w:rPr>
              <w:t xml:space="preserve">层</w:t>
            </w:r>
            <w:r/>
          </w:p>
        </w:tc>
        <w:tc>
          <w:tcPr>
            <w:tcBorders>
              <w:top w:val="single" w:color="000000" w:sz="2" w:space="0"/>
              <w:left w:val="single" w:color="000000" w:sz="2" w:space="0"/>
              <w:bottom w:val="single" w:color="000000" w:sz="2" w:space="0"/>
              <w:right w:val="single" w:color="000000" w:sz="2" w:space="0"/>
            </w:tcBorders>
            <w:tcW w:w="1230" w:type="dxa"/>
            <w:textDirection w:val="lrTb"/>
            <w:noWrap w:val="false"/>
          </w:tcPr>
          <w:p>
            <w:pPr>
              <w:pStyle w:val="1179"/>
              <w:ind w:left="121"/>
              <w:spacing w:before="142" w:line="240" w:lineRule="auto"/>
              <w:rPr>
                <w:rFonts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建筑面积</w:t>
            </w:r>
            <w:r/>
          </w:p>
        </w:tc>
        <w:tc>
          <w:tcPr>
            <w:gridSpan w:val="2"/>
            <w:tcBorders>
              <w:top w:val="single" w:color="000000" w:sz="2" w:space="0"/>
              <w:left w:val="single" w:color="000000" w:sz="2" w:space="0"/>
              <w:bottom w:val="single" w:color="000000" w:sz="2" w:space="0"/>
              <w:right w:val="single" w:color="000000" w:sz="2" w:space="0"/>
            </w:tcBorders>
            <w:tcW w:w="2786" w:type="dxa"/>
            <w:textDirection w:val="lrTb"/>
            <w:noWrap w:val="false"/>
          </w:tcPr>
          <w:p>
            <w:pPr>
              <w:pStyle w:val="1179"/>
              <w:ind w:left="121"/>
              <w:spacing w:before="142" w:line="240" w:lineRule="auto"/>
              <w:rPr>
                <w:rFonts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u w:val="single"/>
              </w:rPr>
              <w:t xml:space="preserve"> </w:t>
            </w:r>
            <w:r>
              <w:rPr>
                <w:rFonts w:hint="eastAsia" w:ascii="宋体" w:hAnsi="宋体" w:eastAsia="宋体" w:cs="宋体"/>
                <w:spacing w:val="-3"/>
                <w:sz w:val="21"/>
                <w:szCs w:val="21"/>
                <w:highlight w:val="none"/>
                <w:u w:val="single"/>
                <w:lang w:eastAsia="zh-CN"/>
              </w:rPr>
              <w:t xml:space="preserve">           </w:t>
            </w:r>
            <w:r>
              <w:rPr>
                <w:rFonts w:hint="eastAsia" w:ascii="宋体" w:hAnsi="宋体" w:eastAsia="宋体" w:cs="宋体"/>
                <w:spacing w:val="-102"/>
                <w:sz w:val="21"/>
                <w:szCs w:val="21"/>
                <w:highlight w:val="none"/>
              </w:rPr>
              <w:t xml:space="preserve"> </w:t>
            </w:r>
            <w:r>
              <w:rPr>
                <w:rFonts w:hint="eastAsia" w:ascii="宋体" w:hAnsi="宋体" w:eastAsia="宋体" w:cs="宋体"/>
                <w:spacing w:val="-102"/>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平方米</w:t>
            </w:r>
            <w:r/>
          </w:p>
        </w:tc>
      </w:tr>
      <w:tr>
        <w:trPr>
          <w:trHeight w:val="866"/>
        </w:trPr>
        <w:tc>
          <w:tcPr>
            <w:tcBorders>
              <w:top w:val="none" w:color="000000" w:sz="4" w:space="0"/>
              <w:left w:val="single" w:color="000000" w:sz="2" w:space="0"/>
              <w:bottom w:val="single" w:color="000000" w:sz="2" w:space="0"/>
              <w:right w:val="single" w:color="000000" w:sz="2" w:space="0"/>
            </w:tcBorders>
            <w:tcW w:w="1277" w:type="dxa"/>
            <w:vMerge w:val="continue"/>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pStyle w:val="1179"/>
              <w:ind w:left="119"/>
              <w:spacing w:before="78" w:line="240" w:lineRule="auto"/>
              <w:rPr>
                <w:rFonts w:ascii="宋体" w:hAnsi="宋体" w:eastAsia="宋体" w:cs="宋体"/>
                <w:sz w:val="21"/>
                <w:szCs w:val="21"/>
                <w:highlight w:val="none"/>
              </w:rPr>
            </w:pPr>
            <w:r>
              <w:rPr>
                <w:rFonts w:hint="eastAsia" w:ascii="宋体" w:hAnsi="宋体" w:eastAsia="宋体" w:cs="宋体"/>
                <w:spacing w:val="-3"/>
                <w:sz w:val="21"/>
                <w:szCs w:val="21"/>
                <w:highlight w:val="none"/>
              </w:rPr>
              <w:t xml:space="preserve">建造年代</w:t>
            </w:r>
            <w:r/>
          </w:p>
        </w:tc>
        <w:tc>
          <w:tcPr>
            <w:gridSpan w:val="5"/>
            <w:tcBorders>
              <w:top w:val="single" w:color="000000" w:sz="2" w:space="0"/>
              <w:left w:val="single" w:color="000000" w:sz="2" w:space="0"/>
              <w:bottom w:val="single" w:color="000000" w:sz="2" w:space="0"/>
              <w:right w:val="single" w:color="000000" w:sz="2" w:space="0"/>
            </w:tcBorders>
            <w:tcW w:w="6564" w:type="dxa"/>
            <w:textDirection w:val="lrTb"/>
            <w:noWrap w:val="false"/>
          </w:tcPr>
          <w:p>
            <w:pPr>
              <w:pStyle w:val="1179"/>
              <w:ind w:left="139"/>
              <w:spacing w:before="142" w:line="240" w:lineRule="auto"/>
              <w:rPr>
                <w:rFonts w:ascii="宋体" w:hAnsi="宋体" w:eastAsia="宋体" w:cs="宋体"/>
                <w:sz w:val="21"/>
                <w:szCs w:val="21"/>
                <w:highlight w:val="none"/>
              </w:rPr>
            </w:pPr>
            <w:r>
              <w:rPr>
                <w:rFonts w:hint="eastAsia" w:ascii="宋体" w:hAnsi="宋体" w:eastAsia="宋体" w:cs="宋体"/>
                <w:spacing w:val="-5"/>
                <w:sz w:val="21"/>
                <w:szCs w:val="21"/>
                <w:highlight w:val="none"/>
                <w:lang w:eastAsia="zh-CN"/>
              </w:rPr>
              <w:t xml:space="preserve">□</w:t>
            </w:r>
            <w:r>
              <w:rPr>
                <w:rFonts w:hint="eastAsia" w:ascii="宋体" w:hAnsi="宋体" w:eastAsia="宋体" w:cs="宋体"/>
                <w:spacing w:val="-5"/>
                <w:sz w:val="21"/>
                <w:szCs w:val="21"/>
                <w:highlight w:val="none"/>
              </w:rPr>
              <w:t xml:space="preserve">1980</w:t>
            </w:r>
            <w:r>
              <w:rPr>
                <w:rFonts w:hint="eastAsia" w:ascii="宋体" w:hAnsi="宋体" w:eastAsia="宋体" w:cs="宋体"/>
                <w:spacing w:val="-5"/>
                <w:sz w:val="21"/>
                <w:szCs w:val="21"/>
                <w:highlight w:val="none"/>
                <w:lang w:eastAsia="zh-CN"/>
              </w:rPr>
              <w:t xml:space="preserve"> </w:t>
            </w:r>
            <w:r>
              <w:rPr>
                <w:rFonts w:hint="eastAsia" w:ascii="宋体" w:hAnsi="宋体" w:eastAsia="宋体" w:cs="宋体"/>
                <w:spacing w:val="-5"/>
                <w:sz w:val="21"/>
                <w:szCs w:val="21"/>
                <w:highlight w:val="none"/>
              </w:rPr>
              <w:t xml:space="preserve">年及以前</w:t>
            </w:r>
            <w:r>
              <w:rPr>
                <w:rFonts w:hint="eastAsia" w:ascii="宋体" w:hAnsi="宋体" w:eastAsia="宋体" w:cs="宋体"/>
                <w:spacing w:val="34"/>
                <w:sz w:val="21"/>
                <w:szCs w:val="21"/>
                <w:highlight w:val="none"/>
              </w:rPr>
              <w:t xml:space="preserve"> </w:t>
            </w:r>
            <w:r>
              <w:rPr>
                <w:rFonts w:hint="eastAsia" w:ascii="宋体" w:hAnsi="宋体" w:eastAsia="宋体" w:cs="宋体"/>
                <w:spacing w:val="-5"/>
                <w:sz w:val="21"/>
                <w:szCs w:val="21"/>
                <w:highlight w:val="none"/>
                <w:lang w:eastAsia="zh-CN"/>
              </w:rPr>
              <w:t xml:space="preserve">□</w:t>
            </w:r>
            <w:r>
              <w:rPr>
                <w:rFonts w:hint="eastAsia" w:ascii="宋体" w:hAnsi="宋体" w:eastAsia="宋体" w:cs="宋体"/>
                <w:spacing w:val="-5"/>
                <w:sz w:val="21"/>
                <w:szCs w:val="21"/>
                <w:highlight w:val="none"/>
              </w:rPr>
              <w:t xml:space="preserve">1981—1990</w:t>
            </w:r>
            <w:r>
              <w:rPr>
                <w:rFonts w:hint="eastAsia" w:ascii="宋体" w:hAnsi="宋体" w:eastAsia="宋体" w:cs="宋体"/>
                <w:spacing w:val="20"/>
                <w:sz w:val="21"/>
                <w:szCs w:val="21"/>
                <w:highlight w:val="none"/>
              </w:rPr>
              <w:t xml:space="preserve"> </w:t>
            </w:r>
            <w:r>
              <w:rPr>
                <w:rFonts w:hint="eastAsia" w:ascii="宋体" w:hAnsi="宋体" w:eastAsia="宋体" w:cs="宋体"/>
                <w:spacing w:val="-5"/>
                <w:sz w:val="21"/>
                <w:szCs w:val="21"/>
                <w:highlight w:val="none"/>
              </w:rPr>
              <w:t xml:space="preserve">年</w:t>
            </w:r>
            <w:r>
              <w:rPr>
                <w:rFonts w:hint="eastAsia" w:ascii="宋体" w:hAnsi="宋体" w:eastAsia="宋体" w:cs="宋体"/>
                <w:spacing w:val="33"/>
                <w:sz w:val="21"/>
                <w:szCs w:val="21"/>
                <w:highlight w:val="none"/>
              </w:rPr>
              <w:t xml:space="preserve"> </w:t>
            </w:r>
            <w:r>
              <w:rPr>
                <w:rFonts w:hint="eastAsia" w:ascii="宋体" w:hAnsi="宋体" w:eastAsia="宋体" w:cs="宋体"/>
                <w:spacing w:val="-5"/>
                <w:sz w:val="21"/>
                <w:szCs w:val="21"/>
                <w:highlight w:val="none"/>
                <w:lang w:eastAsia="zh-CN"/>
              </w:rPr>
              <w:t xml:space="preserve">□</w:t>
            </w:r>
            <w:r>
              <w:rPr>
                <w:rFonts w:hint="eastAsia" w:ascii="宋体" w:hAnsi="宋体" w:eastAsia="宋体" w:cs="宋体"/>
                <w:spacing w:val="-5"/>
                <w:sz w:val="21"/>
                <w:szCs w:val="21"/>
                <w:highlight w:val="none"/>
              </w:rPr>
              <w:t xml:space="preserve">1991—2000</w:t>
            </w:r>
            <w:r>
              <w:rPr>
                <w:rFonts w:hint="eastAsia" w:ascii="宋体" w:hAnsi="宋体" w:eastAsia="宋体" w:cs="宋体"/>
                <w:spacing w:val="21"/>
                <w:sz w:val="21"/>
                <w:szCs w:val="21"/>
                <w:highlight w:val="none"/>
              </w:rPr>
              <w:t xml:space="preserve"> </w:t>
            </w:r>
            <w:r>
              <w:rPr>
                <w:rFonts w:hint="eastAsia" w:ascii="宋体" w:hAnsi="宋体" w:eastAsia="宋体" w:cs="宋体"/>
                <w:spacing w:val="-5"/>
                <w:sz w:val="21"/>
                <w:szCs w:val="21"/>
                <w:highlight w:val="none"/>
              </w:rPr>
              <w:t xml:space="preserve">年</w:t>
            </w:r>
            <w:r/>
          </w:p>
          <w:p>
            <w:pPr>
              <w:pStyle w:val="1179"/>
              <w:ind w:left="139"/>
              <w:spacing w:before="72" w:line="240" w:lineRule="auto"/>
              <w:rPr>
                <w:rFonts w:ascii="宋体" w:hAnsi="宋体" w:eastAsia="宋体" w:cs="宋体"/>
                <w:sz w:val="21"/>
                <w:szCs w:val="21"/>
                <w:highlight w:val="none"/>
              </w:rPr>
            </w:pPr>
            <w:r>
              <w:rPr>
                <w:rFonts w:hint="eastAsia" w:ascii="宋体" w:hAnsi="宋体" w:eastAsia="宋体" w:cs="宋体"/>
                <w:spacing w:val="-6"/>
                <w:sz w:val="21"/>
                <w:szCs w:val="21"/>
                <w:highlight w:val="none"/>
                <w:lang w:eastAsia="zh-CN"/>
              </w:rPr>
              <w:t xml:space="preserve">□</w:t>
            </w:r>
            <w:r>
              <w:rPr>
                <w:rFonts w:hint="eastAsia" w:ascii="宋体" w:hAnsi="宋体" w:eastAsia="宋体" w:cs="宋体"/>
                <w:spacing w:val="-6"/>
                <w:sz w:val="21"/>
                <w:szCs w:val="21"/>
                <w:highlight w:val="none"/>
              </w:rPr>
              <w:t xml:space="preserve">2001—2010</w:t>
            </w:r>
            <w:r>
              <w:rPr>
                <w:rFonts w:hint="eastAsia" w:ascii="宋体" w:hAnsi="宋体" w:eastAsia="宋体" w:cs="宋体"/>
                <w:spacing w:val="37"/>
                <w:sz w:val="21"/>
                <w:szCs w:val="21"/>
                <w:highlight w:val="none"/>
              </w:rPr>
              <w:t xml:space="preserve"> </w:t>
            </w:r>
            <w:r>
              <w:rPr>
                <w:rFonts w:hint="eastAsia" w:ascii="宋体" w:hAnsi="宋体" w:eastAsia="宋体" w:cs="宋体"/>
                <w:spacing w:val="-6"/>
                <w:sz w:val="21"/>
                <w:szCs w:val="21"/>
                <w:highlight w:val="none"/>
              </w:rPr>
              <w:t xml:space="preserve">年</w:t>
            </w:r>
            <w:r>
              <w:rPr>
                <w:rFonts w:hint="eastAsia" w:ascii="宋体" w:hAnsi="宋体" w:eastAsia="宋体" w:cs="宋体"/>
                <w:spacing w:val="33"/>
                <w:sz w:val="21"/>
                <w:szCs w:val="21"/>
                <w:highlight w:val="none"/>
              </w:rPr>
              <w:t xml:space="preserve"> </w:t>
            </w:r>
            <w:r>
              <w:rPr>
                <w:rFonts w:hint="eastAsia" w:ascii="宋体" w:hAnsi="宋体" w:eastAsia="宋体" w:cs="宋体"/>
                <w:spacing w:val="-6"/>
                <w:sz w:val="21"/>
                <w:szCs w:val="21"/>
                <w:highlight w:val="none"/>
                <w:lang w:eastAsia="zh-CN"/>
              </w:rPr>
              <w:t xml:space="preserve">□</w:t>
            </w:r>
            <w:r>
              <w:rPr>
                <w:rFonts w:hint="eastAsia" w:ascii="宋体" w:hAnsi="宋体" w:eastAsia="宋体" w:cs="宋体"/>
                <w:spacing w:val="-6"/>
                <w:sz w:val="21"/>
                <w:szCs w:val="21"/>
                <w:highlight w:val="none"/>
              </w:rPr>
              <w:t xml:space="preserve">2011—20</w:t>
            </w:r>
            <w:r>
              <w:rPr>
                <w:rFonts w:hint="eastAsia" w:ascii="宋体" w:hAnsi="宋体" w:eastAsia="宋体" w:cs="宋体"/>
                <w:spacing w:val="-6"/>
                <w:sz w:val="21"/>
                <w:szCs w:val="21"/>
                <w:highlight w:val="none"/>
                <w:lang w:eastAsia="zh-CN"/>
              </w:rPr>
              <w:t xml:space="preserve">20</w:t>
            </w:r>
            <w:r>
              <w:rPr>
                <w:rFonts w:hint="eastAsia" w:ascii="宋体" w:hAnsi="宋体" w:eastAsia="宋体" w:cs="宋体"/>
                <w:spacing w:val="21"/>
                <w:sz w:val="21"/>
                <w:szCs w:val="21"/>
                <w:highlight w:val="none"/>
              </w:rPr>
              <w:t xml:space="preserve"> </w:t>
            </w:r>
            <w:r>
              <w:rPr>
                <w:rFonts w:hint="eastAsia" w:ascii="宋体" w:hAnsi="宋体" w:eastAsia="宋体" w:cs="宋体"/>
                <w:spacing w:val="-6"/>
                <w:sz w:val="21"/>
                <w:szCs w:val="21"/>
                <w:highlight w:val="none"/>
              </w:rPr>
              <w:t xml:space="preserve">年</w:t>
            </w:r>
            <w:r>
              <w:rPr>
                <w:rFonts w:hint="eastAsia" w:ascii="宋体" w:hAnsi="宋体" w:eastAsia="宋体" w:cs="宋体"/>
                <w:spacing w:val="33"/>
                <w:sz w:val="21"/>
                <w:szCs w:val="21"/>
                <w:highlight w:val="none"/>
              </w:rPr>
              <w:t xml:space="preserve"> </w:t>
            </w:r>
            <w:r>
              <w:rPr>
                <w:rFonts w:hint="eastAsia" w:ascii="宋体" w:hAnsi="宋体" w:eastAsia="宋体" w:cs="宋体"/>
                <w:spacing w:val="-6"/>
                <w:sz w:val="21"/>
                <w:szCs w:val="21"/>
                <w:highlight w:val="none"/>
                <w:lang w:eastAsia="zh-CN"/>
              </w:rPr>
              <w:t xml:space="preserve">□</w:t>
            </w:r>
            <w:r>
              <w:rPr>
                <w:rFonts w:hint="eastAsia" w:ascii="宋体" w:hAnsi="宋体" w:eastAsia="宋体" w:cs="宋体"/>
                <w:spacing w:val="-6"/>
                <w:sz w:val="21"/>
                <w:szCs w:val="21"/>
                <w:highlight w:val="none"/>
              </w:rPr>
              <w:t xml:space="preserve">20</w:t>
            </w:r>
            <w:r>
              <w:rPr>
                <w:rFonts w:hint="eastAsia" w:ascii="宋体" w:hAnsi="宋体" w:eastAsia="宋体" w:cs="宋体"/>
                <w:spacing w:val="-6"/>
                <w:sz w:val="21"/>
                <w:szCs w:val="21"/>
                <w:highlight w:val="none"/>
                <w:lang w:eastAsia="zh-CN"/>
              </w:rPr>
              <w:t xml:space="preserve">21</w:t>
            </w:r>
            <w:r>
              <w:rPr>
                <w:rFonts w:hint="eastAsia" w:ascii="宋体" w:hAnsi="宋体" w:eastAsia="宋体" w:cs="宋体"/>
                <w:spacing w:val="21"/>
                <w:sz w:val="21"/>
                <w:szCs w:val="21"/>
                <w:highlight w:val="none"/>
              </w:rPr>
              <w:t xml:space="preserve"> </w:t>
            </w:r>
            <w:r>
              <w:rPr>
                <w:rFonts w:hint="eastAsia" w:ascii="宋体" w:hAnsi="宋体" w:eastAsia="宋体" w:cs="宋体"/>
                <w:spacing w:val="-6"/>
                <w:sz w:val="21"/>
                <w:szCs w:val="21"/>
                <w:highlight w:val="none"/>
              </w:rPr>
              <w:t xml:space="preserve">年及以后</w:t>
            </w:r>
            <w:r/>
          </w:p>
        </w:tc>
      </w:tr>
      <w:tr>
        <w:trPr>
          <w:trHeight w:val="49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175"/>
              <w:spacing w:before="140"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房屋用途</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pStyle w:val="1179"/>
              <w:ind w:left="137"/>
              <w:spacing w:before="140" w:line="240" w:lineRule="auto"/>
              <w:rPr>
                <w:rFonts w:ascii="宋体" w:hAnsi="宋体" w:eastAsia="宋体" w:cs="宋体"/>
                <w:sz w:val="21"/>
                <w:szCs w:val="21"/>
                <w:highlight w:val="none"/>
              </w:rPr>
            </w:pPr>
            <w:r>
              <w:rPr>
                <w:rFonts w:hint="eastAsia" w:ascii="宋体" w:hAnsi="宋体" w:eastAsia="宋体" w:cs="宋体"/>
                <w:spacing w:val="-10"/>
                <w:sz w:val="21"/>
                <w:szCs w:val="21"/>
                <w:highlight w:val="none"/>
                <w:lang w:eastAsia="zh-CN"/>
              </w:rPr>
              <w:t xml:space="preserve">□</w:t>
            </w:r>
            <w:r>
              <w:rPr>
                <w:rFonts w:hint="eastAsia" w:ascii="宋体" w:hAnsi="宋体" w:eastAsia="宋体" w:cs="宋体"/>
                <w:spacing w:val="-10"/>
                <w:sz w:val="21"/>
                <w:szCs w:val="21"/>
                <w:highlight w:val="none"/>
              </w:rPr>
              <w:t xml:space="preserve">住宅</w:t>
            </w:r>
            <w:r>
              <w:rPr>
                <w:rFonts w:hint="eastAsia" w:ascii="宋体" w:hAnsi="宋体" w:eastAsia="宋体" w:cs="宋体"/>
                <w:spacing w:val="20"/>
                <w:sz w:val="21"/>
                <w:szCs w:val="21"/>
                <w:highlight w:val="none"/>
              </w:rPr>
              <w:t xml:space="preserve">  </w:t>
            </w:r>
            <w:r>
              <w:rPr>
                <w:rFonts w:hint="eastAsia" w:ascii="宋体" w:hAnsi="宋体" w:eastAsia="宋体" w:cs="宋体"/>
                <w:spacing w:val="-10"/>
                <w:sz w:val="21"/>
                <w:szCs w:val="21"/>
                <w:highlight w:val="none"/>
                <w:lang w:eastAsia="zh-CN"/>
              </w:rPr>
              <w:t xml:space="preserve">□</w:t>
            </w:r>
            <w:r>
              <w:rPr>
                <w:rFonts w:hint="eastAsia" w:ascii="宋体" w:hAnsi="宋体" w:eastAsia="宋体" w:cs="宋体"/>
                <w:spacing w:val="-10"/>
                <w:sz w:val="21"/>
                <w:szCs w:val="21"/>
                <w:highlight w:val="none"/>
              </w:rPr>
              <w:t xml:space="preserve">住宅+底商</w:t>
            </w:r>
            <w:r>
              <w:rPr>
                <w:rFonts w:hint="eastAsia" w:ascii="宋体" w:hAnsi="宋体" w:eastAsia="宋体" w:cs="宋体"/>
                <w:spacing w:val="17"/>
                <w:sz w:val="21"/>
                <w:szCs w:val="21"/>
                <w:highlight w:val="none"/>
              </w:rPr>
              <w:t xml:space="preserve">  </w:t>
            </w:r>
            <w:r>
              <w:rPr>
                <w:rFonts w:hint="eastAsia" w:ascii="宋体" w:hAnsi="宋体" w:eastAsia="宋体" w:cs="宋体"/>
                <w:spacing w:val="-10"/>
                <w:sz w:val="21"/>
                <w:szCs w:val="21"/>
                <w:highlight w:val="none"/>
                <w:lang w:eastAsia="zh-CN"/>
              </w:rPr>
              <w:t xml:space="preserve">□</w:t>
            </w:r>
            <w:r>
              <w:rPr>
                <w:rFonts w:hint="eastAsia" w:ascii="宋体" w:hAnsi="宋体" w:eastAsia="宋体" w:cs="宋体"/>
                <w:spacing w:val="-10"/>
                <w:sz w:val="21"/>
                <w:szCs w:val="21"/>
                <w:highlight w:val="none"/>
              </w:rPr>
              <w:t xml:space="preserve">公共建筑</w:t>
            </w:r>
            <w:r>
              <w:rPr>
                <w:rFonts w:hint="eastAsia" w:ascii="宋体" w:hAnsi="宋体" w:eastAsia="宋体" w:cs="宋体"/>
                <w:spacing w:val="17"/>
                <w:sz w:val="21"/>
                <w:szCs w:val="21"/>
                <w:highlight w:val="none"/>
              </w:rPr>
              <w:t xml:space="preserve">   </w:t>
            </w:r>
            <w:r>
              <w:rPr>
                <w:rFonts w:hint="eastAsia" w:ascii="宋体" w:hAnsi="宋体" w:eastAsia="宋体" w:cs="宋体"/>
                <w:spacing w:val="-10"/>
                <w:sz w:val="21"/>
                <w:szCs w:val="21"/>
                <w:highlight w:val="none"/>
                <w:lang w:eastAsia="zh-CN"/>
              </w:rPr>
              <w:t xml:space="preserve">□</w:t>
            </w:r>
            <w:r>
              <w:rPr>
                <w:rFonts w:hint="eastAsia" w:ascii="宋体" w:hAnsi="宋体" w:eastAsia="宋体" w:cs="宋体"/>
                <w:spacing w:val="-10"/>
                <w:sz w:val="21"/>
                <w:szCs w:val="21"/>
                <w:highlight w:val="none"/>
              </w:rPr>
              <w:t xml:space="preserve">其他：</w:t>
            </w:r>
            <w:r>
              <w:rPr>
                <w:rFonts w:hint="eastAsia" w:ascii="宋体" w:hAnsi="宋体" w:eastAsia="宋体" w:cs="宋体"/>
                <w:spacing w:val="-3"/>
                <w:sz w:val="21"/>
                <w:szCs w:val="21"/>
                <w:highlight w:val="none"/>
                <w:u w:val="single"/>
              </w:rPr>
              <w:t xml:space="preserve"> </w:t>
            </w:r>
            <w:r>
              <w:rPr>
                <w:rFonts w:hint="eastAsia" w:ascii="宋体" w:hAnsi="宋体" w:eastAsia="宋体" w:cs="宋体"/>
                <w:spacing w:val="-3"/>
                <w:sz w:val="21"/>
                <w:szCs w:val="21"/>
                <w:highlight w:val="none"/>
                <w:u w:val="single"/>
                <w:lang w:eastAsia="zh-CN"/>
              </w:rPr>
              <w:t xml:space="preserve">                </w:t>
            </w:r>
            <w:r/>
          </w:p>
        </w:tc>
      </w:tr>
      <w:tr>
        <w:trPr>
          <w:trHeight w:val="618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pStyle w:val="1179"/>
              <w:ind w:left="173"/>
              <w:spacing w:before="78"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具体用途</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pStyle w:val="1179"/>
              <w:ind w:firstLine="198"/>
              <w:spacing w:before="141" w:line="240" w:lineRule="auto"/>
              <w:rPr>
                <w:rFonts w:ascii="宋体" w:hAnsi="宋体" w:eastAsia="宋体" w:cs="宋体"/>
                <w:sz w:val="21"/>
                <w:szCs w:val="21"/>
                <w:highlight w:val="none"/>
                <w:lang w:eastAsia="zh-CN"/>
              </w:rPr>
            </w:pPr>
            <w:r>
              <w:rPr>
                <w:rFonts w:hint="eastAsia" w:ascii="宋体" w:hAnsi="宋体" w:eastAsia="宋体" w:cs="宋体"/>
                <w:spacing w:val="-6"/>
                <w:sz w:val="21"/>
                <w:szCs w:val="21"/>
                <w:highlight w:val="none"/>
                <w:lang w:eastAsia="zh-CN"/>
              </w:rPr>
              <w:t xml:space="preserve">□居住建筑</w:t>
            </w:r>
            <w:r/>
          </w:p>
          <w:p>
            <w:pPr>
              <w:pStyle w:val="1179"/>
              <w:ind w:left="210" w:right="123"/>
              <w:spacing w:before="71" w:line="240" w:lineRule="auto"/>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□商业建筑(□大中型商场建筑□小型或临街商铺□农贸市场□金融（银</w:t>
            </w:r>
            <w:r>
              <w:rPr>
                <w:rFonts w:hint="eastAsia" w:ascii="宋体" w:hAnsi="宋体" w:eastAsia="宋体" w:cs="宋体"/>
                <w:spacing w:val="-3"/>
                <w:sz w:val="21"/>
                <w:szCs w:val="21"/>
                <w:highlight w:val="none"/>
                <w:lang w:eastAsia="zh-CN"/>
              </w:rPr>
              <w:t xml:space="preserve">行）建筑□其他商业设施）</w:t>
            </w:r>
            <w:r/>
          </w:p>
          <w:p>
            <w:pPr>
              <w:pStyle w:val="1179"/>
              <w:ind w:firstLine="214"/>
              <w:spacing w:before="72"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□宾馆餐饮等服务建筑(□宾馆招待所□餐饮服务设施）</w:t>
            </w:r>
            <w:r/>
          </w:p>
          <w:p>
            <w:pPr>
              <w:pStyle w:val="1179"/>
              <w:ind w:firstLine="214"/>
              <w:spacing w:before="71"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□教育建筑(□教学楼宿舍楼等教育建筑□其他学校建筑）</w:t>
            </w:r>
            <w:r/>
          </w:p>
          <w:p>
            <w:pPr>
              <w:pStyle w:val="1179"/>
              <w:ind w:right="126" w:firstLine="210"/>
              <w:spacing w:before="72" w:line="240" w:lineRule="auto"/>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□文化娱乐建筑(□博物馆展览馆□图书文化科技艺术馆□音乐厅歌</w:t>
            </w:r>
            <w:r>
              <w:rPr>
                <w:rFonts w:hint="eastAsia" w:ascii="宋体" w:hAnsi="宋体" w:eastAsia="宋体" w:cs="宋体"/>
                <w:spacing w:val="-1"/>
                <w:sz w:val="21"/>
                <w:szCs w:val="21"/>
                <w:highlight w:val="none"/>
                <w:lang w:eastAsia="zh-CN"/>
              </w:rPr>
              <w:t xml:space="preserve">剧院礼堂□电影院剧场□档案馆□俱乐部会所□</w:t>
            </w:r>
            <w:r>
              <w:rPr>
                <w:rFonts w:hint="eastAsia" w:ascii="宋体" w:hAnsi="宋体" w:eastAsia="宋体" w:cs="宋体"/>
                <w:spacing w:val="-2"/>
                <w:sz w:val="21"/>
                <w:szCs w:val="21"/>
                <w:highlight w:val="none"/>
                <w:lang w:eastAsia="zh-CN"/>
              </w:rPr>
              <w:t xml:space="preserve">其他文娱建筑）</w:t>
            </w:r>
            <w:r/>
          </w:p>
          <w:p>
            <w:pPr>
              <w:pStyle w:val="1179"/>
              <w:ind w:firstLine="198"/>
              <w:spacing w:before="72" w:line="240" w:lineRule="auto"/>
              <w:rPr>
                <w:rFonts w:ascii="宋体" w:hAnsi="宋体" w:eastAsia="宋体" w:cs="宋体"/>
                <w:sz w:val="21"/>
                <w:szCs w:val="21"/>
                <w:highlight w:val="none"/>
                <w:lang w:eastAsia="zh-CN"/>
              </w:rPr>
            </w:pPr>
            <w:r>
              <w:rPr>
                <w:rFonts w:hint="eastAsia" w:ascii="宋体" w:hAnsi="宋体" w:eastAsia="宋体" w:cs="宋体"/>
                <w:spacing w:val="-6"/>
                <w:sz w:val="21"/>
                <w:szCs w:val="21"/>
                <w:highlight w:val="none"/>
                <w:lang w:eastAsia="zh-CN"/>
              </w:rPr>
              <w:t xml:space="preserve">□体育建筑</w:t>
            </w:r>
            <w:r/>
          </w:p>
          <w:p>
            <w:pPr>
              <w:pStyle w:val="1179"/>
              <w:ind w:firstLine="200"/>
              <w:spacing w:before="72"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□医疗卫生建筑</w:t>
            </w:r>
            <w:r/>
          </w:p>
          <w:p>
            <w:pPr>
              <w:pStyle w:val="1179"/>
              <w:ind w:firstLine="198"/>
              <w:spacing w:before="70" w:line="240" w:lineRule="auto"/>
              <w:rPr>
                <w:rFonts w:ascii="宋体" w:hAnsi="宋体" w:eastAsia="宋体" w:cs="宋体"/>
                <w:sz w:val="21"/>
                <w:szCs w:val="21"/>
                <w:highlight w:val="none"/>
                <w:lang w:eastAsia="zh-CN"/>
              </w:rPr>
            </w:pPr>
            <w:r>
              <w:rPr>
                <w:rFonts w:hint="eastAsia" w:ascii="宋体" w:hAnsi="宋体" w:eastAsia="宋体" w:cs="宋体"/>
                <w:spacing w:val="-6"/>
                <w:sz w:val="21"/>
                <w:szCs w:val="21"/>
                <w:highlight w:val="none"/>
                <w:lang w:eastAsia="zh-CN"/>
              </w:rPr>
              <w:t xml:space="preserve">□交通建筑</w:t>
            </w:r>
            <w:r/>
          </w:p>
          <w:p>
            <w:pPr>
              <w:pStyle w:val="1179"/>
              <w:ind w:firstLine="214"/>
              <w:spacing w:before="70"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□办公建筑(□行政企事业办公楼□商务办公楼（写字楼）□科研实验楼）</w:t>
            </w:r>
            <w:r/>
          </w:p>
          <w:p>
            <w:pPr>
              <w:pStyle w:val="1179"/>
              <w:ind w:firstLine="214"/>
              <w:spacing w:before="73"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□民政建筑(□福利院□养老建筑□疾控消防等救灾建筑）</w:t>
            </w:r>
            <w:r/>
          </w:p>
          <w:p>
            <w:pPr>
              <w:pStyle w:val="1179"/>
              <w:ind w:firstLine="200"/>
              <w:spacing w:before="73"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□文物宗教建筑</w:t>
            </w:r>
            <w:r/>
          </w:p>
          <w:p>
            <w:pPr>
              <w:pStyle w:val="1179"/>
              <w:ind w:firstLine="216"/>
              <w:spacing w:before="73"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□纪念建筑(□纪念堂□纪念碑□陵园）</w:t>
            </w:r>
            <w:r/>
          </w:p>
          <w:p>
            <w:pPr>
              <w:pStyle w:val="1179"/>
              <w:ind w:firstLine="206"/>
              <w:spacing w:before="74"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□通信电力邮电广播电视建筑等基础设施建筑</w:t>
            </w:r>
            <w:r/>
          </w:p>
          <w:p>
            <w:pPr>
              <w:pStyle w:val="1179"/>
              <w:ind w:firstLine="214"/>
              <w:spacing w:before="72"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□综合建筑(□住宅商业综合□办公商业综合□其他综合建筑）</w:t>
            </w:r>
            <w:r/>
          </w:p>
          <w:p>
            <w:pPr>
              <w:pStyle w:val="1179"/>
              <w:ind w:firstLine="184"/>
              <w:spacing w:before="71" w:line="240" w:lineRule="auto"/>
              <w:rPr>
                <w:rFonts w:ascii="宋体" w:hAnsi="宋体" w:eastAsia="宋体" w:cs="宋体"/>
                <w:sz w:val="21"/>
                <w:szCs w:val="21"/>
                <w:highlight w:val="none"/>
              </w:rPr>
            </w:pPr>
            <w:r>
              <w:rPr>
                <w:rFonts w:hint="eastAsia" w:ascii="宋体" w:hAnsi="宋体" w:eastAsia="宋体" w:cs="宋体"/>
                <w:spacing w:val="-13"/>
                <w:sz w:val="21"/>
                <w:szCs w:val="21"/>
                <w:highlight w:val="none"/>
                <w:lang w:eastAsia="zh-CN"/>
              </w:rPr>
              <w:t xml:space="preserve">□</w:t>
            </w:r>
            <w:r>
              <w:rPr>
                <w:rFonts w:hint="eastAsia" w:ascii="宋体" w:hAnsi="宋体" w:eastAsia="宋体" w:cs="宋体"/>
                <w:spacing w:val="-13"/>
                <w:sz w:val="21"/>
                <w:szCs w:val="21"/>
                <w:highlight w:val="none"/>
              </w:rPr>
              <w:t xml:space="preserve">其他建筑：</w:t>
            </w:r>
            <w:r/>
          </w:p>
        </w:tc>
      </w:tr>
      <w:tr>
        <w:trPr>
          <w:trHeight w:val="868"/>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pStyle w:val="1179"/>
              <w:ind w:left="175"/>
              <w:spacing w:before="78"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结构类型</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pStyle w:val="1179"/>
              <w:ind w:left="137"/>
              <w:spacing w:before="145" w:line="240" w:lineRule="auto"/>
              <w:rPr>
                <w:rFonts w:ascii="宋体" w:hAnsi="宋体" w:eastAsia="宋体" w:cs="宋体"/>
                <w:spacing w:val="40"/>
                <w:sz w:val="21"/>
                <w:szCs w:val="21"/>
                <w:highlight w:val="none"/>
                <w:lang w:eastAsia="zh-CN"/>
              </w:rPr>
            </w:pPr>
            <w:r>
              <w:rPr>
                <w:rFonts w:hint="eastAsia" w:ascii="宋体" w:hAnsi="宋体" w:eastAsia="宋体" w:cs="宋体"/>
                <w:spacing w:val="-5"/>
                <w:sz w:val="21"/>
                <w:szCs w:val="21"/>
                <w:highlight w:val="none"/>
                <w:lang w:eastAsia="zh-CN"/>
              </w:rPr>
              <w:t xml:space="preserve">□砌体结构</w:t>
            </w:r>
            <w:r>
              <w:rPr>
                <w:rFonts w:hint="eastAsia" w:ascii="宋体" w:hAnsi="宋体" w:eastAsia="宋体" w:cs="宋体"/>
                <w:spacing w:val="40"/>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□底部框架-砌体结构</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□钢筋混凝土结构 </w:t>
            </w:r>
            <w:r>
              <w:rPr>
                <w:rFonts w:hint="eastAsia" w:ascii="宋体" w:hAnsi="宋体" w:eastAsia="宋体" w:cs="宋体"/>
                <w:spacing w:val="33"/>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□钢结构</w:t>
            </w:r>
            <w:r/>
          </w:p>
          <w:p>
            <w:pPr>
              <w:pStyle w:val="1179"/>
              <w:ind w:left="137"/>
              <w:spacing w:before="145" w:line="240" w:lineRule="auto"/>
              <w:rPr>
                <w:rFonts w:ascii="宋体" w:hAnsi="宋体" w:eastAsia="宋体" w:cs="宋体"/>
                <w:sz w:val="21"/>
                <w:szCs w:val="21"/>
                <w:highlight w:val="none"/>
                <w:lang w:eastAsia="zh-CN"/>
              </w:rPr>
            </w:pPr>
            <w:r>
              <w:rPr>
                <w:rFonts w:hint="eastAsia" w:ascii="宋体" w:hAnsi="宋体" w:eastAsia="宋体" w:cs="宋体"/>
                <w:spacing w:val="-9"/>
                <w:sz w:val="21"/>
                <w:szCs w:val="21"/>
                <w:highlight w:val="none"/>
                <w:lang w:eastAsia="zh-CN"/>
              </w:rPr>
              <w:t xml:space="preserve">□</w:t>
            </w:r>
            <w:r>
              <w:rPr>
                <w:rFonts w:hint="eastAsia" w:ascii="宋体" w:hAnsi="宋体" w:eastAsia="宋体" w:cs="宋体"/>
                <w:spacing w:val="-5"/>
                <w:sz w:val="21"/>
                <w:szCs w:val="21"/>
                <w:highlight w:val="none"/>
                <w:lang w:eastAsia="zh-CN"/>
              </w:rPr>
              <w:t xml:space="preserve">木（砖木）结构  </w:t>
            </w:r>
            <w:r>
              <w:rPr>
                <w:rFonts w:hint="eastAsia" w:ascii="宋体" w:hAnsi="宋体" w:eastAsia="宋体" w:cs="宋体"/>
                <w:spacing w:val="-9"/>
                <w:sz w:val="21"/>
                <w:szCs w:val="21"/>
                <w:highlight w:val="none"/>
                <w:lang w:eastAsia="zh-CN"/>
              </w:rPr>
              <w:t xml:space="preserve">  □混合结构</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□其他</w:t>
            </w:r>
            <w:r>
              <w:rPr>
                <w:rFonts w:hint="eastAsia" w:ascii="宋体" w:hAnsi="宋体" w:eastAsia="宋体" w:cs="宋体"/>
                <w:sz w:val="21"/>
                <w:szCs w:val="21"/>
                <w:highlight w:val="none"/>
                <w:u w:val="single"/>
                <w:lang w:eastAsia="zh-CN"/>
              </w:rPr>
              <w:t xml:space="preserve">          </w:t>
            </w:r>
            <w:r/>
          </w:p>
        </w:tc>
      </w:tr>
      <w:tr>
        <w:trPr>
          <w:trHeight w:val="496"/>
        </w:trPr>
        <w:tc>
          <w:tcPr>
            <w:tcBorders>
              <w:top w:val="single" w:color="000000" w:sz="2" w:space="0"/>
              <w:left w:val="single" w:color="000000" w:sz="2" w:space="0"/>
              <w:bottom w:val="single" w:color="auto" w:sz="4" w:space="0"/>
              <w:right w:val="single" w:color="000000" w:sz="2" w:space="0"/>
            </w:tcBorders>
            <w:tcW w:w="1277" w:type="dxa"/>
            <w:textDirection w:val="lrTb"/>
            <w:noWrap w:val="false"/>
          </w:tcPr>
          <w:p>
            <w:pPr>
              <w:pStyle w:val="1179"/>
              <w:ind w:left="170"/>
              <w:spacing w:before="140" w:line="240" w:lineRule="auto"/>
              <w:rPr>
                <w:rFonts w:ascii="宋体" w:hAnsi="宋体" w:eastAsia="宋体" w:cs="宋体"/>
                <w:sz w:val="21"/>
                <w:szCs w:val="21"/>
                <w:highlight w:val="none"/>
              </w:rPr>
            </w:pPr>
            <w:r>
              <w:rPr>
                <w:rFonts w:hint="eastAsia" w:ascii="宋体" w:hAnsi="宋体" w:eastAsia="宋体" w:cs="宋体"/>
                <w:spacing w:val="-4"/>
                <w:sz w:val="21"/>
                <w:szCs w:val="21"/>
                <w:highlight w:val="none"/>
              </w:rPr>
              <w:t xml:space="preserve">建设情况</w:t>
            </w:r>
            <w:r/>
          </w:p>
        </w:tc>
        <w:tc>
          <w:tcPr>
            <w:gridSpan w:val="6"/>
            <w:tcBorders>
              <w:top w:val="single" w:color="000000" w:sz="2" w:space="0"/>
              <w:left w:val="single" w:color="000000" w:sz="2" w:space="0"/>
              <w:bottom w:val="single" w:color="auto" w:sz="4" w:space="0"/>
              <w:right w:val="single" w:color="000000" w:sz="2" w:space="0"/>
            </w:tcBorders>
            <w:tcW w:w="7841" w:type="dxa"/>
            <w:textDirection w:val="lrTb"/>
            <w:noWrap w:val="false"/>
          </w:tcPr>
          <w:p>
            <w:pPr>
              <w:pStyle w:val="1179"/>
              <w:ind w:left="137"/>
              <w:spacing w:before="140" w:line="240" w:lineRule="auto"/>
              <w:rPr>
                <w:rFonts w:ascii="宋体" w:hAnsi="宋体" w:eastAsia="宋体" w:cs="宋体"/>
                <w:sz w:val="21"/>
                <w:szCs w:val="21"/>
                <w:highlight w:val="none"/>
                <w:lang w:eastAsia="zh-CN"/>
              </w:rPr>
            </w:pPr>
            <w:r>
              <w:rPr>
                <w:rFonts w:hint="eastAsia" w:ascii="宋体" w:hAnsi="宋体" w:eastAsia="宋体" w:cs="宋体"/>
                <w:spacing w:val="-8"/>
                <w:sz w:val="21"/>
                <w:szCs w:val="21"/>
                <w:highlight w:val="none"/>
                <w:lang w:eastAsia="zh-CN"/>
              </w:rPr>
              <w:t xml:space="preserve">□正规设计</w:t>
            </w:r>
            <w:r>
              <w:rPr>
                <w:rFonts w:hint="eastAsia" w:ascii="宋体" w:hAnsi="宋体" w:eastAsia="宋体" w:cs="宋体"/>
                <w:spacing w:val="41"/>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□专业施工</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□竣工验收</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□均无</w:t>
            </w:r>
            <w:r/>
          </w:p>
        </w:tc>
      </w:tr>
      <w:tr>
        <w:trPr>
          <w:trHeight w:val="502"/>
        </w:trPr>
        <w:tc>
          <w:tcPr>
            <w:tcBorders>
              <w:top w:val="single" w:color="auto" w:sz="4" w:space="0"/>
              <w:left w:val="single" w:color="auto" w:sz="4" w:space="0"/>
              <w:bottom w:val="single" w:color="auto" w:sz="4" w:space="0"/>
              <w:right w:val="single" w:color="auto" w:sz="4" w:space="0"/>
            </w:tcBorders>
            <w:tcW w:w="1277" w:type="dxa"/>
            <w:vMerge w:val="restart"/>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spacing w:line="240" w:lineRule="auto"/>
              <w:rPr>
                <w:rFonts w:ascii="宋体" w:hAnsi="宋体" w:cs="宋体"/>
                <w:szCs w:val="21"/>
                <w:highlight w:val="none"/>
              </w:rPr>
            </w:pPr>
            <w:r>
              <w:rPr>
                <w:rFonts w:ascii="宋体" w:hAnsi="宋体" w:cs="宋体"/>
                <w:szCs w:val="21"/>
                <w:highlight w:val="none"/>
              </w:rPr>
            </w:r>
            <w:r/>
          </w:p>
          <w:p>
            <w:pPr>
              <w:pStyle w:val="1179"/>
              <w:jc w:val="center"/>
              <w:spacing w:before="145" w:line="240" w:lineRule="auto"/>
              <w:rPr>
                <w:rFonts w:ascii="宋体" w:hAnsi="宋体" w:eastAsia="宋体" w:cs="宋体"/>
                <w:sz w:val="21"/>
                <w:szCs w:val="21"/>
                <w:highlight w:val="none"/>
              </w:rPr>
            </w:pPr>
            <w:r>
              <w:rPr>
                <w:rFonts w:hint="eastAsia" w:ascii="宋体" w:hAnsi="宋体" w:eastAsia="宋体" w:cs="宋体"/>
                <w:spacing w:val="-5"/>
                <w:sz w:val="21"/>
                <w:szCs w:val="21"/>
                <w:highlight w:val="none"/>
                <w:lang w:eastAsia="zh-CN"/>
              </w:rPr>
              <w:t xml:space="preserve">安全鉴</w:t>
            </w:r>
            <w:r>
              <w:rPr>
                <w:rFonts w:hint="eastAsia" w:ascii="宋体" w:hAnsi="宋体" w:eastAsia="宋体" w:cs="宋体"/>
                <w:spacing w:val="-5"/>
                <w:sz w:val="21"/>
                <w:szCs w:val="21"/>
                <w:highlight w:val="none"/>
                <w:lang w:eastAsia="zh-CN"/>
              </w:rPr>
              <w:br/>
            </w:r>
            <w:r>
              <w:rPr>
                <w:rFonts w:hint="eastAsia" w:ascii="宋体" w:hAnsi="宋体" w:eastAsia="宋体" w:cs="宋体"/>
                <w:spacing w:val="-5"/>
                <w:sz w:val="21"/>
                <w:szCs w:val="21"/>
                <w:highlight w:val="none"/>
                <w:lang w:eastAsia="zh-CN"/>
              </w:rPr>
              <w:t xml:space="preserve">定情况</w:t>
            </w:r>
            <w:r/>
          </w:p>
        </w:tc>
        <w:tc>
          <w:tcPr>
            <w:gridSpan w:val="6"/>
            <w:tcBorders>
              <w:top w:val="single" w:color="auto" w:sz="4" w:space="0"/>
              <w:left w:val="single" w:color="auto" w:sz="4" w:space="0"/>
              <w:bottom w:val="single" w:color="auto" w:sz="4" w:space="0"/>
              <w:right w:val="single" w:color="auto" w:sz="4" w:space="0"/>
            </w:tcBorders>
            <w:tcW w:w="7841" w:type="dxa"/>
            <w:textDirection w:val="lrTb"/>
            <w:noWrap w:val="false"/>
          </w:tcPr>
          <w:p>
            <w:pPr>
              <w:pStyle w:val="1179"/>
              <w:ind w:left="121"/>
              <w:spacing w:before="140" w:line="240" w:lineRule="auto"/>
              <w:rPr>
                <w:rFonts w:ascii="宋体" w:hAnsi="宋体" w:eastAsia="宋体" w:cs="宋体"/>
                <w:sz w:val="21"/>
                <w:szCs w:val="21"/>
                <w:highlight w:val="none"/>
                <w:lang w:eastAsia="zh-CN"/>
              </w:rPr>
            </w:pPr>
            <w:r>
              <w:rPr>
                <w:rFonts w:hint="eastAsia" w:ascii="宋体" w:hAnsi="宋体" w:eastAsia="宋体" w:cs="宋体"/>
                <w:spacing w:val="-8"/>
                <w:sz w:val="21"/>
                <w:szCs w:val="21"/>
                <w:highlight w:val="none"/>
                <w:lang w:eastAsia="zh-CN"/>
              </w:rPr>
              <w:t xml:space="preserve">进行过安全鉴定：</w:t>
            </w:r>
            <w:r>
              <w:rPr>
                <w:rFonts w:hint="eastAsia" w:ascii="宋体" w:hAnsi="宋体" w:eastAsia="宋体" w:cs="宋体"/>
                <w:spacing w:val="-77"/>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□是</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□否</w:t>
            </w:r>
            <w:r/>
          </w:p>
        </w:tc>
      </w:tr>
      <w:tr>
        <w:trPr>
          <w:trHeight w:val="3826"/>
        </w:trPr>
        <w:tc>
          <w:tcPr>
            <w:tcBorders>
              <w:top w:val="single" w:color="auto" w:sz="4" w:space="0"/>
              <w:left w:val="single" w:color="auto" w:sz="4" w:space="0"/>
              <w:bottom w:val="single" w:color="000000" w:sz="2" w:space="0"/>
              <w:right w:val="single" w:color="000000" w:sz="2" w:space="0"/>
            </w:tcBorders>
            <w:tcW w:w="1277" w:type="dxa"/>
            <w:vMerge w:val="continue"/>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c>
          <w:tcPr>
            <w:gridSpan w:val="6"/>
            <w:tcBorders>
              <w:top w:val="single" w:color="auto" w:sz="4" w:space="0"/>
              <w:left w:val="single" w:color="000000" w:sz="2" w:space="0"/>
              <w:bottom w:val="single" w:color="000000" w:sz="2" w:space="0"/>
              <w:right w:val="single" w:color="000000" w:sz="2" w:space="0"/>
            </w:tcBorders>
            <w:tcW w:w="7841" w:type="dxa"/>
            <w:textDirection w:val="lrTb"/>
            <w:noWrap w:val="false"/>
          </w:tcPr>
          <w:p>
            <w:pPr>
              <w:pStyle w:val="1179"/>
              <w:ind w:left="123"/>
              <w:spacing w:before="141"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鉴定类型和鉴定结论：</w:t>
            </w:r>
            <w:r/>
          </w:p>
          <w:p>
            <w:pPr>
              <w:pStyle w:val="1179"/>
              <w:ind w:left="137"/>
              <w:spacing w:before="70"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□房屋危险性鉴定，鉴定结论：</w:t>
            </w:r>
            <w:r>
              <w:rPr>
                <w:rFonts w:hint="eastAsia" w:ascii="宋体" w:hAnsi="宋体" w:eastAsia="宋体" w:cs="宋体"/>
                <w:spacing w:val="-69"/>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□A      □B       □C         □D</w:t>
            </w:r>
            <w:r/>
          </w:p>
          <w:p>
            <w:pPr>
              <w:pStyle w:val="1179"/>
              <w:ind w:left="137"/>
              <w:spacing w:before="74"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□房屋安全性鉴定，鉴定结论：</w:t>
            </w:r>
            <w:r>
              <w:rPr>
                <w:rFonts w:hint="eastAsia" w:ascii="宋体" w:hAnsi="宋体" w:eastAsia="宋体" w:cs="宋体"/>
                <w:spacing w:val="-84"/>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□A</w:t>
            </w:r>
            <w:r>
              <w:rPr>
                <w:rFonts w:hint="eastAsia" w:ascii="宋体" w:hAnsi="宋体" w:eastAsia="宋体" w:cs="宋体"/>
                <w:spacing w:val="-3"/>
                <w:position w:val="-1"/>
                <w:sz w:val="21"/>
                <w:szCs w:val="21"/>
                <w:highlight w:val="none"/>
                <w:lang w:eastAsia="zh-CN"/>
              </w:rPr>
              <w:t xml:space="preserve">su       </w:t>
            </w:r>
            <w:r>
              <w:rPr>
                <w:rFonts w:hint="eastAsia" w:ascii="宋体" w:hAnsi="宋体" w:eastAsia="宋体" w:cs="宋体"/>
                <w:spacing w:val="-3"/>
                <w:sz w:val="21"/>
                <w:szCs w:val="21"/>
                <w:highlight w:val="none"/>
                <w:lang w:eastAsia="zh-CN"/>
              </w:rPr>
              <w:t xml:space="preserve">□B</w:t>
            </w:r>
            <w:r>
              <w:rPr>
                <w:rFonts w:hint="eastAsia" w:ascii="宋体" w:hAnsi="宋体" w:eastAsia="宋体" w:cs="宋体"/>
                <w:spacing w:val="-3"/>
                <w:position w:val="-1"/>
                <w:sz w:val="21"/>
                <w:szCs w:val="21"/>
                <w:highlight w:val="none"/>
                <w:lang w:eastAsia="zh-CN"/>
              </w:rPr>
              <w:t xml:space="preserve">su        </w:t>
            </w:r>
            <w:r>
              <w:rPr>
                <w:rFonts w:hint="eastAsia" w:ascii="宋体" w:hAnsi="宋体" w:eastAsia="宋体" w:cs="宋体"/>
                <w:spacing w:val="-3"/>
                <w:sz w:val="21"/>
                <w:szCs w:val="21"/>
                <w:highlight w:val="none"/>
                <w:lang w:eastAsia="zh-CN"/>
              </w:rPr>
              <w:t xml:space="preserve">□C</w:t>
            </w:r>
            <w:r>
              <w:rPr>
                <w:rFonts w:hint="eastAsia" w:ascii="宋体" w:hAnsi="宋体" w:eastAsia="宋体" w:cs="宋体"/>
                <w:spacing w:val="-3"/>
                <w:position w:val="-1"/>
                <w:sz w:val="21"/>
                <w:szCs w:val="21"/>
                <w:highlight w:val="none"/>
                <w:lang w:eastAsia="zh-CN"/>
              </w:rPr>
              <w:t xml:space="preserve">su       </w:t>
            </w:r>
            <w:r>
              <w:rPr>
                <w:rFonts w:hint="eastAsia" w:ascii="宋体" w:hAnsi="宋体" w:eastAsia="宋体" w:cs="宋体"/>
                <w:spacing w:val="-3"/>
                <w:sz w:val="21"/>
                <w:szCs w:val="21"/>
                <w:highlight w:val="none"/>
                <w:lang w:eastAsia="zh-CN"/>
              </w:rPr>
              <w:t xml:space="preserve">□ D</w:t>
            </w:r>
            <w:r>
              <w:rPr>
                <w:rFonts w:hint="eastAsia" w:ascii="宋体" w:hAnsi="宋体" w:eastAsia="宋体" w:cs="宋体"/>
                <w:spacing w:val="-3"/>
                <w:position w:val="-1"/>
                <w:sz w:val="21"/>
                <w:szCs w:val="21"/>
                <w:highlight w:val="none"/>
                <w:lang w:eastAsia="zh-CN"/>
              </w:rPr>
              <w:t xml:space="preserve">su</w:t>
            </w:r>
            <w:r/>
          </w:p>
          <w:p>
            <w:pPr>
              <w:pStyle w:val="1179"/>
              <w:ind w:left="137"/>
              <w:spacing w:before="48" w:line="240" w:lineRule="auto"/>
              <w:rPr>
                <w:rFonts w:ascii="宋体" w:hAnsi="宋体" w:eastAsia="宋体" w:cs="宋体"/>
                <w:sz w:val="21"/>
                <w:szCs w:val="21"/>
                <w:highlight w:val="none"/>
                <w:lang w:eastAsia="zh-CN"/>
              </w:rPr>
            </w:pPr>
            <w:r>
              <w:rPr>
                <w:rFonts w:hint="eastAsia" w:ascii="宋体" w:hAnsi="宋体" w:eastAsia="宋体" w:cs="宋体"/>
                <w:spacing w:val="-7"/>
                <w:sz w:val="21"/>
                <w:szCs w:val="21"/>
                <w:highlight w:val="none"/>
                <w:lang w:eastAsia="zh-CN"/>
              </w:rPr>
              <w:t xml:space="preserve">□可靠性鉴定，鉴定结论：</w:t>
            </w:r>
            <w:r>
              <w:rPr>
                <w:rFonts w:hint="eastAsia" w:ascii="宋体" w:hAnsi="宋体" w:eastAsia="宋体" w:cs="宋体"/>
                <w:spacing w:val="-86"/>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□Ⅰ级</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□Ⅱ级</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□Ⅲ级</w:t>
            </w:r>
            <w:r>
              <w:rPr>
                <w:rFonts w:hint="eastAsia" w:ascii="宋体" w:hAnsi="宋体" w:eastAsia="宋体" w:cs="宋体"/>
                <w:spacing w:val="34"/>
                <w:sz w:val="21"/>
                <w:szCs w:val="21"/>
                <w:highlight w:val="none"/>
                <w:lang w:eastAsia="zh-CN"/>
              </w:rPr>
              <w:t xml:space="preserve"> </w:t>
            </w:r>
            <w:r>
              <w:rPr>
                <w:rFonts w:hint="eastAsia" w:ascii="宋体" w:hAnsi="宋体" w:eastAsia="宋体" w:cs="宋体"/>
                <w:spacing w:val="-8"/>
                <w:sz w:val="21"/>
                <w:szCs w:val="21"/>
                <w:highlight w:val="none"/>
                <w:lang w:eastAsia="zh-CN"/>
              </w:rPr>
              <w:t xml:space="preserve">□Ⅳ级</w:t>
            </w:r>
            <w:r/>
          </w:p>
          <w:p>
            <w:pPr>
              <w:pStyle w:val="1179"/>
              <w:ind w:left="137"/>
              <w:spacing w:before="73"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□抗震鉴定：</w:t>
            </w:r>
            <w:r>
              <w:rPr>
                <w:rFonts w:hint="eastAsia" w:ascii="宋体" w:hAnsi="宋体" w:eastAsia="宋体" w:cs="宋体"/>
                <w:spacing w:val="-85"/>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□符合□不符合抗震鉴定标准对</w:t>
            </w:r>
            <w:r>
              <w:rPr>
                <w:rFonts w:hint="eastAsia" w:ascii="宋体" w:hAnsi="宋体" w:eastAsia="宋体" w:cs="宋体"/>
                <w:spacing w:val="-3"/>
                <w:sz w:val="21"/>
                <w:szCs w:val="21"/>
                <w:highlight w:val="none"/>
                <w:u w:val="single"/>
                <w:lang w:eastAsia="zh-CN"/>
              </w:rPr>
              <w:t xml:space="preserve">    </w:t>
            </w:r>
            <w:r>
              <w:rPr>
                <w:rFonts w:hint="eastAsia" w:ascii="宋体" w:hAnsi="宋体" w:eastAsia="宋体" w:cs="宋体"/>
                <w:spacing w:val="-100"/>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类房屋的要求</w:t>
            </w:r>
            <w:r/>
          </w:p>
          <w:p>
            <w:pPr>
              <w:pStyle w:val="1179"/>
              <w:ind w:left="137"/>
              <w:spacing w:before="73"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□幕墙安全鉴定（可靠性检验</w:t>
            </w:r>
            <w:r>
              <w:rPr>
                <w:rFonts w:hint="eastAsia" w:ascii="宋体" w:hAnsi="宋体" w:eastAsia="宋体" w:cs="宋体"/>
                <w:spacing w:val="-51"/>
                <w:sz w:val="21"/>
                <w:szCs w:val="21"/>
                <w:highlight w:val="none"/>
                <w:lang w:eastAsia="zh-CN"/>
              </w:rPr>
              <w:t xml:space="preserve">），</w:t>
            </w:r>
            <w:r>
              <w:rPr>
                <w:rFonts w:hint="eastAsia" w:ascii="宋体" w:hAnsi="宋体" w:eastAsia="宋体" w:cs="宋体"/>
                <w:spacing w:val="-3"/>
                <w:sz w:val="21"/>
                <w:szCs w:val="21"/>
                <w:highlight w:val="none"/>
                <w:lang w:eastAsia="zh-CN"/>
              </w:rPr>
              <w:t xml:space="preserve">鉴定结论：</w:t>
            </w:r>
            <w:r/>
          </w:p>
          <w:p>
            <w:pPr>
              <w:spacing w:line="240" w:lineRule="auto"/>
              <w:rPr>
                <w:rFonts w:ascii="宋体" w:hAnsi="宋体" w:cs="宋体"/>
                <w:szCs w:val="21"/>
                <w:highlight w:val="none"/>
              </w:rPr>
            </w:pPr>
            <w:r>
              <w:rPr>
                <w:rFonts w:ascii="宋体" w:hAnsi="宋体" w:cs="宋体"/>
                <w:szCs w:val="21"/>
                <w:highlight w:val="none"/>
              </w:rPr>
            </w:r>
            <w:r/>
          </w:p>
          <w:p>
            <w:pPr>
              <w:pStyle w:val="1179"/>
              <w:ind w:left="137"/>
              <w:spacing w:before="78" w:line="240" w:lineRule="auto"/>
              <w:rPr>
                <w:rFonts w:ascii="宋体" w:hAnsi="宋体" w:eastAsia="宋体" w:cs="宋体"/>
                <w:sz w:val="21"/>
                <w:szCs w:val="21"/>
                <w:highlight w:val="none"/>
              </w:rPr>
            </w:pPr>
            <w:r>
              <w:rPr>
                <w:rFonts w:ascii="Wingdings 2" w:hAnsi="Wingdings 2" w:eastAsia="Wingdings 2" w:cs="Wingdings 2"/>
                <w:spacing w:val="-9"/>
                <w:sz w:val="21"/>
                <w:szCs w:val="21"/>
                <w:highlight w:val="none"/>
              </w:rPr>
              <w:t xml:space="preserve">£</w:t>
            </w:r>
            <w:r>
              <w:rPr>
                <w:rFonts w:hint="eastAsia" w:ascii="宋体" w:hAnsi="宋体" w:eastAsia="宋体" w:cs="宋体"/>
                <w:spacing w:val="-9"/>
                <w:sz w:val="21"/>
                <w:szCs w:val="21"/>
                <w:highlight w:val="none"/>
              </w:rPr>
              <w:t xml:space="preserve">其他：</w:t>
            </w:r>
            <w:r/>
          </w:p>
        </w:tc>
      </w:tr>
      <w:tr>
        <w:trPr>
          <w:trHeight w:val="2834"/>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pStyle w:val="1179"/>
              <w:ind w:left="415" w:right="155" w:hanging="242"/>
              <w:jc w:val="center"/>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修缮加</w:t>
            </w:r>
            <w:r/>
          </w:p>
          <w:p>
            <w:pPr>
              <w:pStyle w:val="1179"/>
              <w:ind w:left="415" w:right="155" w:hanging="242"/>
              <w:jc w:val="center"/>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固情况</w:t>
            </w:r>
            <w:r/>
          </w:p>
        </w:tc>
        <w:tc>
          <w:tcPr>
            <w:gridSpan w:val="6"/>
            <w:tcBorders>
              <w:top w:val="single" w:color="000000" w:sz="2" w:space="0"/>
              <w:left w:val="single" w:color="000000" w:sz="2" w:space="0"/>
              <w:right w:val="single" w:color="000000" w:sz="2" w:space="0"/>
            </w:tcBorders>
            <w:tcW w:w="7841" w:type="dxa"/>
            <w:vAlign w:val="center"/>
            <w:textDirection w:val="lrTb"/>
            <w:noWrap w:val="false"/>
          </w:tcPr>
          <w:p>
            <w:pPr>
              <w:pStyle w:val="1179"/>
              <w:ind w:left="415" w:right="155" w:hanging="242"/>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□已修缮 □未修缮</w:t>
            </w:r>
            <w:r/>
          </w:p>
          <w:p>
            <w:pPr>
              <w:pStyle w:val="1179"/>
              <w:ind w:left="415" w:right="155" w:hanging="242"/>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若修缮，须描述修复时间、单位、部位等信息。</w:t>
            </w:r>
            <w:r/>
          </w:p>
          <w:p>
            <w:pPr>
              <w:pStyle w:val="1179"/>
              <w:ind w:left="415" w:right="155" w:hanging="242"/>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□已加固 □未加固</w:t>
            </w:r>
            <w:r/>
          </w:p>
          <w:p>
            <w:pPr>
              <w:pStyle w:val="1179"/>
              <w:ind w:left="415" w:right="155" w:hanging="242"/>
              <w:spacing w:before="78"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若加固，须描述有无正规设计、施工、竣工验收等情况。</w:t>
            </w:r>
            <w:r/>
          </w:p>
        </w:tc>
      </w:tr>
      <w:tr>
        <w:trPr>
          <w:trHeight w:val="2834"/>
        </w:trPr>
        <w:tc>
          <w:tcPr>
            <w:tcBorders>
              <w:top w:val="single" w:color="000000" w:sz="2" w:space="0"/>
              <w:left w:val="single" w:color="000000" w:sz="2" w:space="0"/>
              <w:bottom w:val="single" w:color="000000" w:sz="2" w:space="0"/>
              <w:right w:val="single" w:color="000000" w:sz="2" w:space="0"/>
            </w:tcBorders>
            <w:tcW w:w="1277" w:type="dxa"/>
            <w:vAlign w:val="center"/>
            <w:textDirection w:val="lrTb"/>
            <w:noWrap w:val="false"/>
          </w:tcPr>
          <w:p>
            <w:pPr>
              <w:pStyle w:val="1179"/>
              <w:ind w:left="171"/>
              <w:spacing w:before="145"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备注</w:t>
            </w:r>
            <w:r/>
          </w:p>
        </w:tc>
        <w:tc>
          <w:tcPr>
            <w:gridSpan w:val="6"/>
            <w:tcBorders>
              <w:left w:val="single" w:color="000000" w:sz="2" w:space="0"/>
              <w:bottom w:val="single" w:color="000000" w:sz="2" w:space="0"/>
              <w:right w:val="single" w:color="000000" w:sz="2" w:space="0"/>
            </w:tcBorders>
            <w:tcW w:w="7841" w:type="dxa"/>
            <w:vAlign w:val="center"/>
            <w:textDirection w:val="lrTb"/>
            <w:noWrap w:val="false"/>
          </w:tcPr>
          <w:p>
            <w:pPr>
              <w:pStyle w:val="1179"/>
              <w:ind w:left="412"/>
              <w:jc w:val="center"/>
              <w:spacing w:before="78" w:line="240" w:lineRule="auto"/>
              <w:rPr>
                <w:rFonts w:ascii="宋体" w:hAnsi="宋体" w:eastAsia="宋体" w:cs="宋体"/>
                <w:spacing w:val="-9"/>
                <w:sz w:val="21"/>
                <w:szCs w:val="21"/>
                <w:highlight w:val="none"/>
              </w:rPr>
            </w:pPr>
            <w:r>
              <w:rPr>
                <w:rFonts w:ascii="宋体" w:hAnsi="宋体" w:eastAsia="宋体" w:cs="宋体"/>
                <w:spacing w:val="-9"/>
                <w:sz w:val="21"/>
                <w:szCs w:val="21"/>
                <w:highlight w:val="none"/>
              </w:rPr>
            </w:r>
            <w:r/>
          </w:p>
        </w:tc>
      </w:tr>
      <w:tr>
        <w:trPr>
          <w:trHeight w:val="49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171"/>
              <w:spacing w:before="145" w:line="240" w:lineRule="auto"/>
              <w:rPr>
                <w:rFonts w:ascii="宋体" w:hAnsi="宋体" w:eastAsia="宋体" w:cs="宋体"/>
                <w:spacing w:val="-5"/>
                <w:sz w:val="21"/>
                <w:szCs w:val="21"/>
                <w:highlight w:val="none"/>
              </w:rPr>
            </w:pPr>
            <w:r>
              <w:rPr>
                <w:rFonts w:hint="eastAsia" w:ascii="宋体" w:hAnsi="宋体" w:eastAsia="宋体" w:cs="宋体"/>
                <w:spacing w:val="-5"/>
                <w:sz w:val="21"/>
                <w:szCs w:val="21"/>
                <w:highlight w:val="none"/>
              </w:rPr>
              <w:t xml:space="preserve">体检人员</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r>
      <w:tr>
        <w:trPr>
          <w:trHeight w:val="49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171"/>
              <w:spacing w:before="145" w:line="240" w:lineRule="auto"/>
              <w:rPr>
                <w:rFonts w:ascii="宋体" w:hAnsi="宋体" w:eastAsia="宋体" w:cs="宋体"/>
                <w:spacing w:val="-5"/>
                <w:sz w:val="21"/>
                <w:szCs w:val="21"/>
                <w:highlight w:val="none"/>
              </w:rPr>
            </w:pPr>
            <w:r>
              <w:rPr>
                <w:rFonts w:hint="eastAsia" w:ascii="宋体" w:hAnsi="宋体" w:eastAsia="宋体" w:cs="宋体"/>
                <w:spacing w:val="-5"/>
                <w:sz w:val="21"/>
                <w:szCs w:val="21"/>
                <w:highlight w:val="none"/>
              </w:rPr>
              <w:t xml:space="preserve">体检单位</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r>
      <w:tr>
        <w:trPr>
          <w:trHeight w:val="506"/>
        </w:trPr>
        <w:tc>
          <w:tcPr>
            <w:tcBorders>
              <w:top w:val="single" w:color="000000" w:sz="2" w:space="0"/>
              <w:left w:val="single" w:color="000000" w:sz="2" w:space="0"/>
              <w:bottom w:val="single" w:color="000000" w:sz="2" w:space="0"/>
              <w:right w:val="single" w:color="000000" w:sz="2" w:space="0"/>
            </w:tcBorders>
            <w:tcW w:w="1277" w:type="dxa"/>
            <w:textDirection w:val="lrTb"/>
            <w:noWrap w:val="false"/>
          </w:tcPr>
          <w:p>
            <w:pPr>
              <w:pStyle w:val="1179"/>
              <w:ind w:left="171"/>
              <w:spacing w:before="145" w:line="240" w:lineRule="auto"/>
              <w:rPr>
                <w:rFonts w:ascii="宋体" w:hAnsi="宋体" w:eastAsia="宋体" w:cs="宋体"/>
                <w:spacing w:val="-5"/>
                <w:sz w:val="21"/>
                <w:szCs w:val="21"/>
                <w:highlight w:val="none"/>
              </w:rPr>
            </w:pPr>
            <w:r>
              <w:rPr>
                <w:rFonts w:hint="eastAsia" w:ascii="宋体" w:hAnsi="宋体" w:eastAsia="宋体" w:cs="宋体"/>
                <w:spacing w:val="-5"/>
                <w:sz w:val="21"/>
                <w:szCs w:val="21"/>
                <w:highlight w:val="none"/>
              </w:rPr>
              <w:t xml:space="preserve">填报日期</w:t>
            </w:r>
            <w:r/>
          </w:p>
        </w:tc>
        <w:tc>
          <w:tcPr>
            <w:gridSpan w:val="6"/>
            <w:tcBorders>
              <w:top w:val="single" w:color="000000" w:sz="2" w:space="0"/>
              <w:left w:val="single" w:color="000000" w:sz="2" w:space="0"/>
              <w:bottom w:val="single" w:color="000000" w:sz="2" w:space="0"/>
              <w:right w:val="single" w:color="000000" w:sz="2" w:space="0"/>
            </w:tcBorders>
            <w:tcW w:w="7841" w:type="dxa"/>
            <w:textDirection w:val="lrTb"/>
            <w:noWrap w:val="false"/>
          </w:tcPr>
          <w:p>
            <w:pPr>
              <w:spacing w:line="240" w:lineRule="auto"/>
              <w:rPr>
                <w:rFonts w:ascii="宋体" w:hAnsi="宋体" w:cs="宋体"/>
                <w:szCs w:val="21"/>
                <w:highlight w:val="none"/>
              </w:rPr>
            </w:pPr>
            <w:r>
              <w:rPr>
                <w:rFonts w:ascii="宋体" w:hAnsi="宋体" w:cs="宋体"/>
                <w:szCs w:val="21"/>
                <w:highlight w:val="none"/>
              </w:rPr>
            </w:r>
            <w:r/>
          </w:p>
        </w:tc>
      </w:tr>
    </w:tbl>
    <w:p>
      <w:pPr>
        <w:spacing w:line="240" w:lineRule="auto"/>
        <w:rPr>
          <w:rFonts w:ascii="宋体" w:hAnsi="宋体" w:cs="宋体"/>
          <w:szCs w:val="21"/>
          <w:highlight w:val="none"/>
        </w:rPr>
        <w:sectPr>
          <w:footerReference w:type="default" r:id="rId13"/>
          <w:footnotePr/>
          <w:endnotePr/>
          <w:type w:val="nextPage"/>
          <w:pgSz w:w="11906" w:h="16839" w:orient="portrait"/>
          <w:pgMar w:top="1247" w:right="1399" w:bottom="1508" w:left="1398" w:header="850" w:footer="992" w:gutter="0"/>
          <w:cols w:num="1" w:sep="0" w:space="0" w:equalWidth="1"/>
          <w:docGrid w:linePitch="360"/>
        </w:sectPr>
      </w:pPr>
      <w:r>
        <w:rPr>
          <w:rFonts w:ascii="宋体" w:hAnsi="宋体" w:cs="宋体"/>
          <w:szCs w:val="21"/>
          <w:highlight w:val="none"/>
        </w:rPr>
      </w:r>
      <w:r/>
    </w:p>
    <w:p>
      <w:pPr>
        <w:jc w:val="center"/>
        <w:spacing w:before="302" w:line="240" w:lineRule="auto"/>
        <w:rPr>
          <w:rFonts w:ascii="宋体" w:hAnsi="宋体" w:cs="宋体"/>
          <w:b/>
          <w:bCs/>
          <w:spacing w:val="7"/>
          <w:szCs w:val="21"/>
          <w:highlight w:val="none"/>
        </w:rPr>
        <w:outlineLvl w:val="1"/>
      </w:pPr>
      <w:r/>
      <w:bookmarkStart w:id="114" w:name="bookmark37"/>
      <w:r/>
      <w:bookmarkEnd w:id="114"/>
      <w:r/>
      <w:bookmarkStart w:id="115" w:name="bookmark36"/>
      <w:r/>
      <w:bookmarkEnd w:id="115"/>
      <w:r/>
      <w:bookmarkStart w:id="116" w:name="_Toc7718"/>
      <w:r/>
      <w:bookmarkStart w:id="117" w:name="_Toc3155"/>
      <w:r/>
      <w:bookmarkStart w:id="118" w:name="_Toc656"/>
      <w:r>
        <w:rPr>
          <w:rFonts w:hint="eastAsia" w:ascii="宋体" w:hAnsi="宋体" w:cs="宋体"/>
          <w:b/>
          <w:bCs/>
          <w:spacing w:val="7"/>
          <w:szCs w:val="21"/>
          <w:highlight w:val="none"/>
        </w:rPr>
        <w:t xml:space="preserve">A.2 房屋体检记录表</w:t>
      </w:r>
      <w:bookmarkEnd w:id="116"/>
      <w:r/>
      <w:bookmarkEnd w:id="117"/>
      <w:r/>
      <w:bookmarkEnd w:id="118"/>
      <w:r/>
      <w:r/>
    </w:p>
    <w:tbl>
      <w:tblPr>
        <w:tblStyle w:val="938"/>
        <w:tblW w:w="94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14"/>
        <w:gridCol w:w="2726"/>
        <w:gridCol w:w="4800"/>
      </w:tblGrid>
      <w:tr>
        <w:trPr>
          <w:trHeight w:val="493"/>
        </w:trPr>
        <w:tc>
          <w:tcPr>
            <w:gridSpan w:val="3"/>
            <w:tcW w:w="9440" w:type="dxa"/>
            <w:vAlign w:val="center"/>
            <w:textDirection w:val="lrTb"/>
            <w:noWrap w:val="false"/>
          </w:tcPr>
          <w:p>
            <w:pPr>
              <w:pStyle w:val="1179"/>
              <w:ind w:left="134"/>
              <w:spacing w:before="143" w:line="240" w:lineRule="auto"/>
              <w:rPr>
                <w:rFonts w:ascii="宋体" w:hAnsi="宋体" w:eastAsia="宋体" w:cs="宋体"/>
                <w:b/>
                <w:spacing w:val="-4"/>
                <w:sz w:val="21"/>
                <w:szCs w:val="21"/>
                <w:highlight w:val="none"/>
                <w:lang w:eastAsia="zh-CN"/>
              </w:rPr>
            </w:pPr>
            <w:r>
              <w:rPr>
                <w:rFonts w:hint="eastAsia" w:ascii="宋体" w:hAnsi="宋体" w:eastAsia="宋体" w:cs="宋体"/>
                <w:b/>
                <w:spacing w:val="-5"/>
                <w:sz w:val="21"/>
                <w:szCs w:val="21"/>
                <w:highlight w:val="none"/>
                <w:lang w:eastAsia="zh-CN"/>
              </w:rPr>
              <w:t xml:space="preserve">房屋结构体检记录</w:t>
            </w:r>
            <w:r/>
          </w:p>
        </w:tc>
      </w:tr>
      <w:tr>
        <w:trPr>
          <w:trHeight w:val="493"/>
        </w:trPr>
        <w:tc>
          <w:tcPr>
            <w:tcW w:w="1914"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lang w:eastAsia="zh-CN"/>
              </w:rPr>
            </w:pPr>
            <w:r>
              <w:rPr>
                <w:rFonts w:hint="eastAsia" w:ascii="宋体" w:hAnsi="宋体" w:eastAsia="宋体" w:cs="宋体"/>
                <w:b/>
                <w:spacing w:val="-5"/>
                <w:sz w:val="21"/>
                <w:szCs w:val="21"/>
                <w:highlight w:val="none"/>
                <w:lang w:eastAsia="zh-CN"/>
              </w:rPr>
              <w:t xml:space="preserve">分项检查</w:t>
            </w:r>
            <w:r/>
          </w:p>
        </w:tc>
        <w:tc>
          <w:tcPr>
            <w:tcW w:w="2726"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rPr>
            </w:pPr>
            <w:r>
              <w:rPr>
                <w:rFonts w:hint="eastAsia" w:ascii="宋体" w:hAnsi="宋体" w:eastAsia="宋体" w:cs="宋体"/>
                <w:b/>
                <w:spacing w:val="-5"/>
                <w:sz w:val="21"/>
                <w:szCs w:val="21"/>
                <w:highlight w:val="none"/>
              </w:rPr>
              <w:t xml:space="preserve">评价结果</w:t>
            </w:r>
            <w:r/>
          </w:p>
        </w:tc>
        <w:tc>
          <w:tcPr>
            <w:tcW w:w="4800"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lang w:eastAsia="zh-CN"/>
              </w:rPr>
            </w:pPr>
            <w:r>
              <w:rPr>
                <w:rFonts w:hint="eastAsia" w:ascii="宋体" w:hAnsi="宋体" w:eastAsia="宋体" w:cs="宋体"/>
                <w:b/>
                <w:spacing w:val="-5"/>
                <w:sz w:val="21"/>
                <w:szCs w:val="21"/>
                <w:highlight w:val="none"/>
                <w:lang w:eastAsia="zh-CN"/>
              </w:rPr>
              <w:t xml:space="preserve">具体问题</w:t>
            </w:r>
            <w:r/>
          </w:p>
        </w:tc>
      </w:tr>
      <w:tr>
        <w:trPr>
          <w:trHeight w:val="1202"/>
        </w:trPr>
        <w:tc>
          <w:tcPr>
            <w:tcW w:w="1914" w:type="dxa"/>
            <w:vAlign w:val="center"/>
            <w:textDirection w:val="lrTb"/>
            <w:noWrap w:val="false"/>
          </w:tcPr>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房屋结构体系</w:t>
            </w:r>
            <w:r/>
          </w:p>
        </w:tc>
        <w:tc>
          <w:tcPr>
            <w:tcW w:w="2726" w:type="dxa"/>
            <w:vAlign w:val="center"/>
            <w:textDirection w:val="lrTb"/>
            <w:noWrap w:val="false"/>
          </w:tcPr>
          <w:p>
            <w:pPr>
              <w:pStyle w:val="1179"/>
              <w:ind w:left="567"/>
              <w:spacing w:before="78" w:line="240" w:lineRule="auto"/>
              <w:widowControl/>
              <w:rPr>
                <w:rFonts w:ascii="宋体" w:hAnsi="宋体" w:eastAsia="宋体" w:cs="宋体"/>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85" w:line="240" w:lineRule="auto"/>
              <w:widowControl/>
              <w:rPr>
                <w:rFonts w:ascii="宋体" w:hAnsi="宋体" w:eastAsia="宋体" w:cs="宋体"/>
                <w:spacing w:val="-7"/>
                <w:sz w:val="21"/>
                <w:szCs w:val="21"/>
                <w:highlight w:val="none"/>
                <w:lang w:eastAsia="zh-CN"/>
              </w:rPr>
            </w:pPr>
            <w:r>
              <w:rPr>
                <w:rFonts w:hint="eastAsia" w:ascii="宋体" w:hAnsi="宋体" w:eastAsia="宋体" w:cs="宋体"/>
                <w:spacing w:val="-7"/>
                <w:sz w:val="21"/>
                <w:szCs w:val="21"/>
                <w:highlight w:val="none"/>
                <w:lang w:eastAsia="zh-CN"/>
              </w:rPr>
              <w:t xml:space="preserve">□2级</w:t>
            </w:r>
            <w:r/>
          </w:p>
          <w:p>
            <w:pPr>
              <w:pStyle w:val="1179"/>
              <w:ind w:left="567"/>
              <w:spacing w:before="85" w:line="240" w:lineRule="auto"/>
              <w:widowControl/>
              <w:rPr>
                <w:rFonts w:ascii="宋体" w:hAnsi="宋体" w:eastAsia="宋体" w:cs="宋体"/>
                <w:spacing w:val="-4"/>
                <w:sz w:val="21"/>
                <w:szCs w:val="21"/>
                <w:highlight w:val="none"/>
                <w:lang w:eastAsia="zh-CN"/>
              </w:rPr>
            </w:pPr>
            <w:r>
              <w:rPr>
                <w:rFonts w:hint="eastAsia" w:ascii="宋体" w:hAnsi="宋体" w:eastAsia="宋体" w:cs="宋体"/>
                <w:spacing w:val="-9"/>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1186"/>
        </w:trPr>
        <w:tc>
          <w:tcPr>
            <w:tcW w:w="1914" w:type="dxa"/>
            <w:vAlign w:val="center"/>
            <w:textDirection w:val="lrTb"/>
            <w:noWrap w:val="false"/>
          </w:tcPr>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改扩建情况</w:t>
            </w:r>
            <w:r/>
          </w:p>
        </w:tc>
        <w:tc>
          <w:tcPr>
            <w:tcW w:w="2726" w:type="dxa"/>
            <w:vAlign w:val="center"/>
            <w:textDirection w:val="lrTb"/>
            <w:noWrap w:val="false"/>
          </w:tcPr>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w:t>
            </w:r>
            <w:r>
              <w:rPr>
                <w:rFonts w:hint="eastAsia" w:ascii="宋体" w:hAnsi="宋体" w:eastAsia="宋体" w:cs="宋体"/>
                <w:spacing w:val="-7"/>
                <w:sz w:val="21"/>
                <w:szCs w:val="21"/>
                <w:highlight w:val="none"/>
                <w:lang w:eastAsia="zh-CN"/>
              </w:rPr>
              <w:t xml:space="preserve">2级</w:t>
            </w:r>
            <w:r/>
          </w:p>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1186"/>
        </w:trPr>
        <w:tc>
          <w:tcPr>
            <w:tcW w:w="1914" w:type="dxa"/>
            <w:vAlign w:val="center"/>
            <w:textDirection w:val="lrTb"/>
            <w:noWrap w:val="false"/>
          </w:tcPr>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地基基础情况</w:t>
            </w:r>
            <w:r/>
          </w:p>
        </w:tc>
        <w:tc>
          <w:tcPr>
            <w:tcW w:w="2726" w:type="dxa"/>
            <w:vAlign w:val="center"/>
            <w:textDirection w:val="lrTb"/>
            <w:noWrap w:val="false"/>
          </w:tcPr>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w:t>
            </w:r>
            <w:r>
              <w:rPr>
                <w:rFonts w:hint="eastAsia" w:ascii="宋体" w:hAnsi="宋体" w:eastAsia="宋体" w:cs="宋体"/>
                <w:spacing w:val="-7"/>
                <w:sz w:val="21"/>
                <w:szCs w:val="21"/>
                <w:highlight w:val="none"/>
                <w:lang w:eastAsia="zh-CN"/>
              </w:rPr>
              <w:t xml:space="preserve">2级</w:t>
            </w:r>
            <w:r/>
          </w:p>
          <w:p>
            <w:pPr>
              <w:pStyle w:val="1179"/>
              <w:ind w:left="567"/>
              <w:spacing w:before="78" w:line="240" w:lineRule="auto"/>
              <w:widowControl/>
              <w:rPr>
                <w:rFonts w:ascii="宋体" w:hAnsi="宋体" w:eastAsia="宋体" w:cs="宋体"/>
                <w:spacing w:val="-12"/>
                <w:sz w:val="21"/>
                <w:szCs w:val="21"/>
                <w:highlight w:val="none"/>
                <w:lang w:eastAsia="zh-CN"/>
              </w:rPr>
            </w:pPr>
            <w:r>
              <w:rPr>
                <w:rFonts w:hint="eastAsia" w:ascii="宋体" w:hAnsi="宋体" w:eastAsia="宋体" w:cs="宋体"/>
                <w:spacing w:val="-12"/>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1202"/>
        </w:trPr>
        <w:tc>
          <w:tcPr>
            <w:tcW w:w="1914" w:type="dxa"/>
            <w:vAlign w:val="center"/>
            <w:textDirection w:val="lrTb"/>
            <w:noWrap w:val="false"/>
          </w:tcPr>
          <w:p>
            <w:pPr>
              <w:pStyle w:val="1179"/>
              <w:jc w:val="center"/>
              <w:spacing w:line="240" w:lineRule="auto"/>
              <w:widowControl/>
              <w:rPr>
                <w:rFonts w:ascii="宋体" w:hAnsi="宋体" w:eastAsia="宋体" w:cs="宋体"/>
                <w:b/>
                <w:spacing w:val="-4"/>
                <w:sz w:val="21"/>
                <w:szCs w:val="21"/>
                <w:highlight w:val="none"/>
                <w:lang w:eastAsia="zh-CN"/>
              </w:rPr>
            </w:pPr>
            <w:r>
              <w:rPr>
                <w:rFonts w:hint="eastAsia" w:ascii="宋体" w:hAnsi="宋体" w:eastAsia="宋体" w:cs="宋体"/>
                <w:sz w:val="21"/>
                <w:szCs w:val="21"/>
                <w:highlight w:val="none"/>
                <w:lang w:eastAsia="zh-CN"/>
              </w:rPr>
              <w:t xml:space="preserve">承重构件损伤变形情况</w:t>
            </w:r>
            <w:r/>
          </w:p>
        </w:tc>
        <w:tc>
          <w:tcPr>
            <w:tcW w:w="2726" w:type="dxa"/>
            <w:vAlign w:val="center"/>
            <w:textDirection w:val="lrTb"/>
            <w:noWrap w:val="false"/>
          </w:tcPr>
          <w:p>
            <w:pPr>
              <w:pStyle w:val="1179"/>
              <w:ind w:left="567"/>
              <w:spacing w:before="78" w:line="240" w:lineRule="auto"/>
              <w:widowControl/>
              <w:rPr>
                <w:rFonts w:ascii="宋体" w:hAnsi="宋体" w:eastAsia="宋体" w:cs="宋体"/>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85" w:line="240" w:lineRule="auto"/>
              <w:widowControl/>
              <w:rPr>
                <w:rFonts w:ascii="宋体" w:hAnsi="宋体" w:eastAsia="宋体" w:cs="宋体"/>
                <w:spacing w:val="-7"/>
                <w:sz w:val="21"/>
                <w:szCs w:val="21"/>
                <w:highlight w:val="none"/>
                <w:lang w:eastAsia="zh-CN"/>
              </w:rPr>
            </w:pPr>
            <w:r>
              <w:rPr>
                <w:rFonts w:hint="eastAsia" w:ascii="宋体" w:hAnsi="宋体" w:eastAsia="宋体" w:cs="宋体"/>
                <w:spacing w:val="-7"/>
                <w:sz w:val="21"/>
                <w:szCs w:val="21"/>
                <w:highlight w:val="none"/>
                <w:lang w:eastAsia="zh-CN"/>
              </w:rPr>
              <w:t xml:space="preserve">□2级</w:t>
            </w:r>
            <w:r/>
          </w:p>
          <w:p>
            <w:pPr>
              <w:pStyle w:val="1179"/>
              <w:ind w:left="567"/>
              <w:spacing w:before="85" w:line="240" w:lineRule="auto"/>
              <w:widowControl/>
              <w:rPr>
                <w:rFonts w:ascii="宋体" w:hAnsi="宋体" w:eastAsia="宋体" w:cs="宋体"/>
                <w:spacing w:val="-4"/>
                <w:sz w:val="21"/>
                <w:szCs w:val="21"/>
                <w:highlight w:val="none"/>
                <w:lang w:eastAsia="zh-CN"/>
              </w:rPr>
            </w:pPr>
            <w:r>
              <w:rPr>
                <w:rFonts w:hint="eastAsia" w:ascii="宋体" w:hAnsi="宋体" w:eastAsia="宋体" w:cs="宋体"/>
                <w:spacing w:val="-9"/>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422"/>
        </w:trPr>
        <w:tc>
          <w:tcPr>
            <w:gridSpan w:val="3"/>
            <w:tcW w:w="9440" w:type="dxa"/>
            <w:vAlign w:val="center"/>
            <w:textDirection w:val="lrTb"/>
            <w:noWrap w:val="false"/>
          </w:tcPr>
          <w:p>
            <w:pPr>
              <w:pStyle w:val="1179"/>
              <w:ind w:left="141"/>
              <w:spacing w:before="78" w:line="240" w:lineRule="auto"/>
              <w:rPr>
                <w:rFonts w:ascii="宋体" w:hAnsi="宋体" w:eastAsia="宋体" w:cs="宋体"/>
                <w:b/>
                <w:spacing w:val="-4"/>
                <w:sz w:val="21"/>
                <w:szCs w:val="21"/>
                <w:highlight w:val="none"/>
                <w:lang w:eastAsia="zh-CN"/>
              </w:rPr>
            </w:pPr>
            <w:r>
              <w:rPr>
                <w:rFonts w:hint="eastAsia" w:ascii="宋体" w:hAnsi="宋体" w:eastAsia="宋体" w:cs="宋体"/>
                <w:b/>
                <w:spacing w:val="-6"/>
                <w:sz w:val="21"/>
                <w:szCs w:val="21"/>
                <w:highlight w:val="none"/>
                <w:lang w:eastAsia="zh-CN"/>
              </w:rPr>
              <w:t xml:space="preserve">房屋结构评价结果：</w:t>
            </w:r>
            <w:r>
              <w:rPr>
                <w:rFonts w:hint="eastAsia" w:ascii="宋体" w:hAnsi="宋体" w:eastAsia="宋体" w:cs="宋体"/>
                <w:spacing w:val="-12"/>
                <w:sz w:val="21"/>
                <w:szCs w:val="21"/>
                <w:highlight w:val="none"/>
                <w:lang w:eastAsia="zh-CN"/>
              </w:rPr>
              <w:t xml:space="preserve">□1级  </w:t>
            </w:r>
            <w:r>
              <w:rPr>
                <w:rFonts w:hint="eastAsia" w:ascii="宋体" w:hAnsi="宋体" w:eastAsia="宋体" w:cs="宋体"/>
                <w:spacing w:val="-7"/>
                <w:sz w:val="21"/>
                <w:szCs w:val="21"/>
                <w:highlight w:val="none"/>
                <w:lang w:eastAsia="zh-CN"/>
              </w:rPr>
              <w:t xml:space="preserve">□2级  </w:t>
            </w:r>
            <w:r>
              <w:rPr>
                <w:rFonts w:hint="eastAsia" w:ascii="宋体" w:hAnsi="宋体" w:eastAsia="宋体" w:cs="宋体"/>
                <w:spacing w:val="-9"/>
                <w:sz w:val="21"/>
                <w:szCs w:val="21"/>
                <w:highlight w:val="none"/>
                <w:lang w:eastAsia="zh-CN"/>
              </w:rPr>
              <w:t xml:space="preserve">□3级</w:t>
            </w:r>
            <w:r/>
          </w:p>
        </w:tc>
      </w:tr>
      <w:tr>
        <w:trPr>
          <w:trHeight w:val="493"/>
        </w:trPr>
        <w:tc>
          <w:tcPr>
            <w:gridSpan w:val="3"/>
            <w:tcW w:w="9440" w:type="dxa"/>
            <w:vAlign w:val="center"/>
            <w:textDirection w:val="lrTb"/>
            <w:noWrap w:val="false"/>
          </w:tcPr>
          <w:p>
            <w:pPr>
              <w:pStyle w:val="1179"/>
              <w:ind w:left="134"/>
              <w:spacing w:before="143" w:line="240" w:lineRule="auto"/>
              <w:rPr>
                <w:rFonts w:ascii="宋体" w:hAnsi="宋体" w:eastAsia="宋体" w:cs="宋体"/>
                <w:b/>
                <w:spacing w:val="-4"/>
                <w:sz w:val="21"/>
                <w:szCs w:val="21"/>
                <w:highlight w:val="none"/>
                <w:lang w:eastAsia="zh-CN"/>
              </w:rPr>
            </w:pPr>
            <w:r>
              <w:rPr>
                <w:rFonts w:hint="eastAsia" w:ascii="宋体" w:hAnsi="宋体" w:eastAsia="宋体" w:cs="宋体"/>
                <w:b/>
                <w:spacing w:val="-5"/>
                <w:sz w:val="21"/>
                <w:szCs w:val="21"/>
                <w:highlight w:val="none"/>
                <w:lang w:eastAsia="zh-CN"/>
              </w:rPr>
              <w:t xml:space="preserve">房屋附属系统体检记录</w:t>
            </w:r>
            <w:r/>
          </w:p>
        </w:tc>
      </w:tr>
      <w:tr>
        <w:trPr>
          <w:trHeight w:val="493"/>
        </w:trPr>
        <w:tc>
          <w:tcPr>
            <w:tcW w:w="1914"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lang w:eastAsia="zh-CN"/>
              </w:rPr>
            </w:pPr>
            <w:r>
              <w:rPr>
                <w:rFonts w:hint="eastAsia" w:ascii="宋体" w:hAnsi="宋体" w:eastAsia="宋体" w:cs="宋体"/>
                <w:b/>
                <w:spacing w:val="-5"/>
                <w:sz w:val="21"/>
                <w:szCs w:val="21"/>
                <w:highlight w:val="none"/>
                <w:lang w:eastAsia="zh-CN"/>
              </w:rPr>
              <w:t xml:space="preserve">分项检查</w:t>
            </w:r>
            <w:r/>
          </w:p>
        </w:tc>
        <w:tc>
          <w:tcPr>
            <w:tcW w:w="2726"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rPr>
            </w:pPr>
            <w:r>
              <w:rPr>
                <w:rFonts w:hint="eastAsia" w:ascii="宋体" w:hAnsi="宋体" w:eastAsia="宋体" w:cs="宋体"/>
                <w:b/>
                <w:spacing w:val="-5"/>
                <w:sz w:val="21"/>
                <w:szCs w:val="21"/>
                <w:highlight w:val="none"/>
                <w:lang w:eastAsia="zh-CN"/>
              </w:rPr>
              <w:t xml:space="preserve">评价结果</w:t>
            </w:r>
            <w:r/>
          </w:p>
        </w:tc>
        <w:tc>
          <w:tcPr>
            <w:tcW w:w="4800" w:type="dxa"/>
            <w:vAlign w:val="center"/>
            <w:textDirection w:val="lrTb"/>
            <w:noWrap w:val="false"/>
          </w:tcPr>
          <w:p>
            <w:pPr>
              <w:pStyle w:val="1179"/>
              <w:ind w:left="134"/>
              <w:jc w:val="center"/>
              <w:spacing w:before="143" w:line="240" w:lineRule="auto"/>
              <w:rPr>
                <w:rFonts w:ascii="宋体" w:hAnsi="宋体" w:eastAsia="宋体" w:cs="宋体"/>
                <w:b/>
                <w:spacing w:val="-5"/>
                <w:sz w:val="21"/>
                <w:szCs w:val="21"/>
                <w:highlight w:val="none"/>
              </w:rPr>
            </w:pPr>
            <w:r>
              <w:rPr>
                <w:rFonts w:hint="eastAsia" w:ascii="宋体" w:hAnsi="宋体" w:eastAsia="宋体" w:cs="宋体"/>
                <w:b/>
                <w:spacing w:val="-5"/>
                <w:sz w:val="21"/>
                <w:szCs w:val="21"/>
                <w:highlight w:val="none"/>
                <w:lang w:eastAsia="zh-CN"/>
              </w:rPr>
              <w:t xml:space="preserve">具体问题</w:t>
            </w:r>
            <w:r/>
          </w:p>
        </w:tc>
      </w:tr>
      <w:tr>
        <w:trPr>
          <w:trHeight w:val="1202"/>
        </w:trPr>
        <w:tc>
          <w:tcPr>
            <w:tcW w:w="1914"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围护系统损伤变形情况</w:t>
            </w:r>
            <w:r/>
          </w:p>
        </w:tc>
        <w:tc>
          <w:tcPr>
            <w:tcW w:w="2726" w:type="dxa"/>
            <w:textDirection w:val="lrTb"/>
            <w:noWrap w:val="false"/>
          </w:tcPr>
          <w:p>
            <w:pPr>
              <w:pStyle w:val="1179"/>
              <w:ind w:left="567"/>
              <w:spacing w:before="78" w:line="240" w:lineRule="auto"/>
              <w:widowControl/>
              <w:rPr>
                <w:rFonts w:ascii="宋体" w:hAnsi="宋体" w:eastAsia="宋体" w:cs="宋体"/>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85" w:line="240" w:lineRule="auto"/>
              <w:widowControl/>
              <w:rPr>
                <w:rFonts w:ascii="宋体" w:hAnsi="宋体" w:eastAsia="宋体" w:cs="宋体"/>
                <w:spacing w:val="-7"/>
                <w:sz w:val="21"/>
                <w:szCs w:val="21"/>
                <w:highlight w:val="none"/>
                <w:lang w:eastAsia="zh-CN"/>
              </w:rPr>
            </w:pPr>
            <w:r>
              <w:rPr>
                <w:rFonts w:hint="eastAsia" w:ascii="宋体" w:hAnsi="宋体" w:eastAsia="宋体" w:cs="宋体"/>
                <w:spacing w:val="-7"/>
                <w:sz w:val="21"/>
                <w:szCs w:val="21"/>
                <w:highlight w:val="none"/>
                <w:lang w:eastAsia="zh-CN"/>
              </w:rPr>
              <w:t xml:space="preserve">□2级</w:t>
            </w:r>
            <w:r/>
          </w:p>
          <w:p>
            <w:pPr>
              <w:pStyle w:val="1179"/>
              <w:ind w:left="567"/>
              <w:spacing w:before="85" w:line="240" w:lineRule="auto"/>
              <w:widowControl/>
              <w:rPr>
                <w:rFonts w:ascii="宋体" w:hAnsi="宋体" w:eastAsia="宋体" w:cs="宋体"/>
                <w:spacing w:val="-4"/>
                <w:sz w:val="21"/>
                <w:szCs w:val="21"/>
                <w:highlight w:val="none"/>
                <w:lang w:eastAsia="zh-CN"/>
              </w:rPr>
            </w:pPr>
            <w:r>
              <w:rPr>
                <w:rFonts w:hint="eastAsia" w:ascii="宋体" w:hAnsi="宋体" w:eastAsia="宋体" w:cs="宋体"/>
                <w:spacing w:val="-9"/>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1202"/>
        </w:trPr>
        <w:tc>
          <w:tcPr>
            <w:tcW w:w="1914" w:type="dxa"/>
            <w:vAlign w:val="center"/>
            <w:textDirection w:val="lrTb"/>
            <w:noWrap w:val="false"/>
          </w:tcPr>
          <w:p>
            <w:pPr>
              <w:pStyle w:val="1179"/>
              <w:jc w:val="center"/>
              <w:spacing w:line="240" w:lineRule="auto"/>
              <w:widowControl/>
              <w:rPr>
                <w:rFonts w:ascii="宋体" w:hAnsi="宋体" w:eastAsia="宋体" w:cs="宋体"/>
                <w:sz w:val="21"/>
                <w:szCs w:val="21"/>
                <w:highlight w:val="none"/>
              </w:rPr>
            </w:pPr>
            <w:r>
              <w:rPr>
                <w:rFonts w:hint="eastAsia" w:ascii="宋体" w:hAnsi="宋体" w:eastAsia="宋体" w:cs="宋体"/>
                <w:sz w:val="21"/>
                <w:szCs w:val="21"/>
                <w:highlight w:val="none"/>
                <w:lang w:eastAsia="zh-CN"/>
              </w:rPr>
              <w:t xml:space="preserve">房屋渗漏情况</w:t>
            </w:r>
            <w:r/>
          </w:p>
        </w:tc>
        <w:tc>
          <w:tcPr>
            <w:tcW w:w="2726" w:type="dxa"/>
            <w:textDirection w:val="lrTb"/>
            <w:noWrap w:val="false"/>
          </w:tcPr>
          <w:p>
            <w:pPr>
              <w:pStyle w:val="1179"/>
              <w:ind w:left="567"/>
              <w:spacing w:before="78" w:line="240" w:lineRule="auto"/>
              <w:widowControl/>
              <w:rPr>
                <w:rFonts w:ascii="宋体" w:hAnsi="宋体" w:eastAsia="宋体" w:cs="宋体"/>
                <w:sz w:val="21"/>
                <w:szCs w:val="21"/>
                <w:highlight w:val="none"/>
                <w:lang w:eastAsia="zh-CN"/>
              </w:rPr>
            </w:pPr>
            <w:r>
              <w:rPr>
                <w:rFonts w:hint="eastAsia" w:ascii="宋体" w:hAnsi="宋体" w:eastAsia="宋体" w:cs="宋体"/>
                <w:spacing w:val="-12"/>
                <w:sz w:val="21"/>
                <w:szCs w:val="21"/>
                <w:highlight w:val="none"/>
                <w:lang w:eastAsia="zh-CN"/>
              </w:rPr>
              <w:t xml:space="preserve">□1级</w:t>
            </w:r>
            <w:r/>
          </w:p>
          <w:p>
            <w:pPr>
              <w:pStyle w:val="1179"/>
              <w:ind w:left="567"/>
              <w:spacing w:before="85" w:line="240" w:lineRule="auto"/>
              <w:widowControl/>
              <w:rPr>
                <w:rFonts w:ascii="宋体" w:hAnsi="宋体" w:eastAsia="宋体" w:cs="宋体"/>
                <w:spacing w:val="-7"/>
                <w:sz w:val="21"/>
                <w:szCs w:val="21"/>
                <w:highlight w:val="none"/>
                <w:lang w:eastAsia="zh-CN"/>
              </w:rPr>
            </w:pPr>
            <w:r>
              <w:rPr>
                <w:rFonts w:hint="eastAsia" w:ascii="宋体" w:hAnsi="宋体" w:eastAsia="宋体" w:cs="宋体"/>
                <w:spacing w:val="-7"/>
                <w:sz w:val="21"/>
                <w:szCs w:val="21"/>
                <w:highlight w:val="none"/>
                <w:lang w:eastAsia="zh-CN"/>
              </w:rPr>
              <w:t xml:space="preserve">□2级</w:t>
            </w:r>
            <w:r/>
          </w:p>
          <w:p>
            <w:pPr>
              <w:pStyle w:val="1179"/>
              <w:ind w:left="567"/>
              <w:spacing w:before="85" w:line="240" w:lineRule="auto"/>
              <w:widowControl/>
              <w:rPr>
                <w:rFonts w:ascii="宋体" w:hAnsi="宋体" w:eastAsia="宋体" w:cs="宋体"/>
                <w:spacing w:val="-4"/>
                <w:sz w:val="21"/>
                <w:szCs w:val="21"/>
                <w:highlight w:val="none"/>
                <w:lang w:eastAsia="zh-CN"/>
              </w:rPr>
            </w:pPr>
            <w:r>
              <w:rPr>
                <w:rFonts w:hint="eastAsia" w:ascii="宋体" w:hAnsi="宋体" w:eastAsia="宋体" w:cs="宋体"/>
                <w:spacing w:val="-9"/>
                <w:sz w:val="21"/>
                <w:szCs w:val="21"/>
                <w:highlight w:val="none"/>
                <w:lang w:eastAsia="zh-CN"/>
              </w:rPr>
              <w:t xml:space="preserve">□3级</w:t>
            </w:r>
            <w:r/>
          </w:p>
        </w:tc>
        <w:tc>
          <w:tcPr>
            <w:tcW w:w="4800"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445"/>
        </w:trPr>
        <w:tc>
          <w:tcPr>
            <w:gridSpan w:val="3"/>
            <w:tcW w:w="9440" w:type="dxa"/>
            <w:vAlign w:val="center"/>
            <w:textDirection w:val="lrTb"/>
            <w:noWrap w:val="false"/>
          </w:tcPr>
          <w:p>
            <w:pPr>
              <w:spacing w:before="100" w:line="240" w:lineRule="auto"/>
              <w:rPr>
                <w:rFonts w:ascii="宋体" w:hAnsi="宋体" w:cs="宋体"/>
                <w:b/>
                <w:spacing w:val="-4"/>
                <w:szCs w:val="21"/>
                <w:highlight w:val="none"/>
              </w:rPr>
              <w:outlineLvl w:val="1"/>
            </w:pPr>
            <w:r/>
            <w:bookmarkStart w:id="119" w:name="_Toc17607"/>
            <w:r/>
            <w:bookmarkStart w:id="120" w:name="_Toc10130"/>
            <w:r/>
            <w:bookmarkStart w:id="121" w:name="_Toc31366"/>
            <w:r>
              <w:rPr>
                <w:rFonts w:hint="eastAsia" w:ascii="宋体" w:hAnsi="宋体" w:cs="宋体"/>
                <w:b/>
                <w:spacing w:val="-6"/>
                <w:szCs w:val="21"/>
                <w:highlight w:val="none"/>
              </w:rPr>
              <w:t xml:space="preserve">房屋附属系统评价结果：</w:t>
            </w:r>
            <w:r>
              <w:rPr>
                <w:rFonts w:hint="eastAsia" w:ascii="宋体" w:hAnsi="宋体" w:cs="宋体"/>
                <w:spacing w:val="-6"/>
                <w:szCs w:val="21"/>
                <w:highlight w:val="none"/>
              </w:rPr>
              <w:t xml:space="preserve">□1级  □2级  </w:t>
            </w:r>
            <w:bookmarkEnd w:id="119"/>
            <w:r/>
            <w:bookmarkEnd w:id="120"/>
            <w:r>
              <w:rPr>
                <w:rFonts w:hint="eastAsia" w:ascii="宋体" w:hAnsi="宋体" w:cs="宋体"/>
                <w:spacing w:val="-6"/>
                <w:szCs w:val="21"/>
                <w:highlight w:val="none"/>
              </w:rPr>
              <w:t xml:space="preserve">□3级</w:t>
            </w:r>
            <w:bookmarkEnd w:id="121"/>
            <w:r/>
            <w:r/>
          </w:p>
        </w:tc>
      </w:tr>
      <w:tr>
        <w:trPr>
          <w:trHeight w:val="445"/>
        </w:trPr>
        <w:tc>
          <w:tcPr>
            <w:gridSpan w:val="3"/>
            <w:tcW w:w="9440" w:type="dxa"/>
            <w:vAlign w:val="center"/>
            <w:textDirection w:val="lrTb"/>
            <w:noWrap w:val="false"/>
          </w:tcPr>
          <w:p>
            <w:pPr>
              <w:spacing w:before="100" w:line="240" w:lineRule="auto"/>
              <w:rPr>
                <w:rFonts w:ascii="宋体" w:hAnsi="宋体" w:cs="宋体"/>
                <w:b/>
                <w:spacing w:val="-6"/>
                <w:szCs w:val="21"/>
                <w:highlight w:val="none"/>
              </w:rPr>
              <w:outlineLvl w:val="1"/>
            </w:pPr>
            <w:r/>
            <w:bookmarkStart w:id="122" w:name="_Toc27195"/>
            <w:r/>
            <w:bookmarkStart w:id="123" w:name="_Toc11829"/>
            <w:r/>
            <w:bookmarkStart w:id="124" w:name="_Toc6799"/>
            <w:r>
              <w:rPr>
                <w:rFonts w:hint="eastAsia" w:ascii="宋体" w:hAnsi="宋体" w:cs="宋体"/>
                <w:b/>
                <w:spacing w:val="-6"/>
                <w:szCs w:val="21"/>
                <w:highlight w:val="none"/>
              </w:rPr>
              <w:t xml:space="preserve">房屋体检总体评价结果：</w:t>
            </w:r>
            <w:r>
              <w:rPr>
                <w:rFonts w:hint="eastAsia" w:ascii="宋体" w:hAnsi="宋体" w:cs="宋体"/>
                <w:spacing w:val="-6"/>
                <w:szCs w:val="21"/>
                <w:highlight w:val="none"/>
              </w:rPr>
              <w:t xml:space="preserve">□Ⅰ级  □Ⅱ级  </w:t>
            </w:r>
            <w:bookmarkEnd w:id="122"/>
            <w:r/>
            <w:bookmarkEnd w:id="123"/>
            <w:r>
              <w:rPr>
                <w:rFonts w:hint="eastAsia" w:ascii="宋体" w:hAnsi="宋体" w:cs="宋体"/>
                <w:spacing w:val="-6"/>
                <w:szCs w:val="21"/>
                <w:highlight w:val="none"/>
              </w:rPr>
              <w:t xml:space="preserve">□Ⅲ级</w:t>
            </w:r>
            <w:bookmarkEnd w:id="124"/>
            <w:r/>
            <w:r/>
          </w:p>
        </w:tc>
      </w:tr>
      <w:tr>
        <w:trPr>
          <w:trHeight w:val="445"/>
        </w:trPr>
        <w:tc>
          <w:tcPr>
            <w:tcW w:w="1914" w:type="dxa"/>
            <w:vAlign w:val="center"/>
            <w:textDirection w:val="lrTb"/>
            <w:noWrap w:val="false"/>
          </w:tcPr>
          <w:p>
            <w:pPr>
              <w:pStyle w:val="1179"/>
              <w:ind w:left="170"/>
              <w:jc w:val="center"/>
              <w:spacing w:before="76"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rPr>
              <w:t xml:space="preserve">体检人员</w:t>
            </w:r>
            <w:r/>
          </w:p>
        </w:tc>
        <w:tc>
          <w:tcPr>
            <w:gridSpan w:val="2"/>
            <w:tcW w:w="7526"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445"/>
        </w:trPr>
        <w:tc>
          <w:tcPr>
            <w:tcW w:w="1914" w:type="dxa"/>
            <w:vAlign w:val="center"/>
            <w:textDirection w:val="lrTb"/>
            <w:noWrap w:val="false"/>
          </w:tcPr>
          <w:p>
            <w:pPr>
              <w:pStyle w:val="1179"/>
              <w:ind w:left="170"/>
              <w:jc w:val="center"/>
              <w:spacing w:before="78"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rPr>
              <w:t xml:space="preserve">体检单位</w:t>
            </w:r>
            <w:r/>
          </w:p>
        </w:tc>
        <w:tc>
          <w:tcPr>
            <w:gridSpan w:val="2"/>
            <w:tcW w:w="7526"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r>
        <w:trPr>
          <w:trHeight w:val="487"/>
        </w:trPr>
        <w:tc>
          <w:tcPr>
            <w:tcW w:w="1914" w:type="dxa"/>
            <w:vAlign w:val="center"/>
            <w:textDirection w:val="lrTb"/>
            <w:noWrap w:val="false"/>
          </w:tcPr>
          <w:p>
            <w:pPr>
              <w:pStyle w:val="1179"/>
              <w:ind w:left="171"/>
              <w:jc w:val="center"/>
              <w:spacing w:before="78"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rPr>
              <w:t xml:space="preserve">填报日期</w:t>
            </w:r>
            <w:r/>
          </w:p>
        </w:tc>
        <w:tc>
          <w:tcPr>
            <w:gridSpan w:val="2"/>
            <w:tcW w:w="7526" w:type="dxa"/>
            <w:textDirection w:val="lrTb"/>
            <w:noWrap w:val="false"/>
          </w:tcPr>
          <w:p>
            <w:pPr>
              <w:spacing w:before="100" w:line="240" w:lineRule="auto"/>
              <w:rPr>
                <w:rFonts w:ascii="宋体" w:hAnsi="宋体" w:cs="宋体"/>
                <w:b/>
                <w:spacing w:val="-4"/>
                <w:szCs w:val="21"/>
                <w:highlight w:val="none"/>
              </w:rPr>
              <w:outlineLvl w:val="1"/>
            </w:pPr>
            <w:r>
              <w:rPr>
                <w:rFonts w:ascii="宋体" w:hAnsi="宋体" w:cs="宋体"/>
                <w:b/>
                <w:spacing w:val="-4"/>
                <w:szCs w:val="21"/>
                <w:highlight w:val="none"/>
              </w:rPr>
            </w:r>
            <w:r/>
          </w:p>
        </w:tc>
      </w:tr>
    </w:tbl>
    <w:p>
      <w:pPr>
        <w:pStyle w:val="1179"/>
        <w:spacing w:line="240" w:lineRule="auto"/>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注：房屋结构及附属系统体检指标的评价标准参照下表。</w:t>
      </w:r>
      <w:r/>
    </w:p>
    <w:p>
      <w:pPr>
        <w:pStyle w:val="1179"/>
        <w:spacing w:line="240" w:lineRule="auto"/>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p>
      <w:pPr>
        <w:pStyle w:val="1179"/>
        <w:jc w:val="center"/>
        <w:spacing w:before="78" w:line="240" w:lineRule="auto"/>
        <w:rPr>
          <w:rFonts w:hint="eastAsia" w:ascii="宋体" w:hAnsi="宋体" w:eastAsia="宋体" w:cs="宋体"/>
          <w:b/>
          <w:spacing w:val="-4"/>
          <w:sz w:val="21"/>
          <w:szCs w:val="21"/>
          <w:highlight w:val="none"/>
          <w:lang w:eastAsia="zh-CN"/>
        </w:rPr>
        <w:sectPr>
          <w:footerReference w:type="default" r:id="rId14"/>
          <w:footnotePr/>
          <w:endnotePr/>
          <w:type w:val="nextPage"/>
          <w:pgSz w:w="11906" w:h="16839" w:orient="portrait"/>
          <w:pgMar w:top="1247" w:right="1485" w:bottom="1509" w:left="1485" w:header="850" w:footer="992" w:gutter="0"/>
          <w:cols w:num="1" w:sep="0" w:space="720" w:equalWidth="1"/>
          <w:docGrid w:linePitch="360"/>
        </w:sectPr>
      </w:pPr>
      <w:r>
        <w:rPr>
          <w:rFonts w:hint="eastAsia" w:ascii="宋体" w:hAnsi="宋体" w:eastAsia="宋体" w:cs="宋体"/>
          <w:b/>
          <w:spacing w:val="-4"/>
          <w:sz w:val="21"/>
          <w:szCs w:val="21"/>
          <w:highlight w:val="none"/>
          <w:lang w:eastAsia="zh-CN"/>
        </w:rPr>
      </w:r>
      <w:r/>
    </w:p>
    <w:p>
      <w:pPr>
        <w:pStyle w:val="1179"/>
        <w:jc w:val="center"/>
        <w:spacing w:before="78" w:line="240" w:lineRule="auto"/>
        <w:rPr>
          <w:rFonts w:ascii="宋体" w:hAnsi="宋体" w:eastAsia="宋体" w:cs="宋体"/>
          <w:b/>
          <w:spacing w:val="-4"/>
          <w:sz w:val="21"/>
          <w:szCs w:val="21"/>
          <w:highlight w:val="none"/>
          <w:lang w:eastAsia="zh-CN"/>
        </w:rPr>
      </w:pPr>
      <w:r>
        <w:rPr>
          <w:rFonts w:hint="eastAsia" w:ascii="宋体" w:hAnsi="宋体" w:eastAsia="宋体" w:cs="宋体"/>
          <w:b/>
          <w:spacing w:val="-4"/>
          <w:sz w:val="21"/>
          <w:szCs w:val="21"/>
          <w:highlight w:val="none"/>
          <w:lang w:eastAsia="zh-CN"/>
        </w:rPr>
        <w:t xml:space="preserve">房屋体检指标评价标准</w:t>
      </w:r>
      <w:r/>
    </w:p>
    <w:tbl>
      <w:tblPr>
        <w:tblStyle w:val="938"/>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2"/>
        <w:gridCol w:w="8428"/>
      </w:tblGrid>
      <w:tr>
        <w:trPr>
          <w:jc w:val="center"/>
          <w:trHeight w:val="90"/>
        </w:trPr>
        <w:tc>
          <w:tcPr>
            <w:gridSpan w:val="2"/>
            <w:tcW w:w="9640" w:type="dxa"/>
            <w:vAlign w:val="center"/>
            <w:textDirection w:val="lrTb"/>
            <w:noWrap w:val="false"/>
          </w:tcPr>
          <w:p>
            <w:pPr>
              <w:pStyle w:val="1179"/>
              <w:spacing w:before="78" w:line="240" w:lineRule="auto"/>
              <w:rPr>
                <w:rFonts w:ascii="宋体" w:hAnsi="宋体" w:eastAsia="宋体" w:cs="宋体"/>
                <w:b/>
                <w:spacing w:val="-4"/>
                <w:sz w:val="21"/>
                <w:szCs w:val="21"/>
                <w:highlight w:val="none"/>
                <w:lang w:eastAsia="zh-CN"/>
              </w:rPr>
            </w:pPr>
            <w:r>
              <w:rPr>
                <w:rFonts w:hint="eastAsia" w:ascii="宋体" w:hAnsi="宋体" w:eastAsia="宋体" w:cs="宋体"/>
                <w:b/>
                <w:spacing w:val="-4"/>
                <w:sz w:val="21"/>
                <w:szCs w:val="21"/>
                <w:highlight w:val="none"/>
                <w:lang w:eastAsia="zh-CN"/>
              </w:rPr>
              <w:t xml:space="preserve">房屋结构分项检查指标评价标准</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房屋结</w:t>
            </w:r>
            <w:r/>
          </w:p>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构体系</w:t>
            </w:r>
            <w:r/>
          </w:p>
        </w:tc>
        <w:tc>
          <w:tcPr>
            <w:tcW w:w="8428" w:type="dxa"/>
            <w:vAlign w:val="center"/>
            <w:textDirection w:val="lrTb"/>
            <w:noWrap w:val="false"/>
          </w:tcPr>
          <w:p>
            <w:pPr>
              <w:pStyle w:val="1179"/>
              <w:ind w:left="143" w:right="1026" w:hanging="7"/>
              <w:spacing w:before="84"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1.当房屋不存在下述情况时，评价为“1级</w:t>
            </w:r>
            <w:r>
              <w:rPr>
                <w:rFonts w:hint="eastAsia" w:ascii="宋体" w:hAnsi="宋体" w:eastAsia="宋体" w:cs="宋体"/>
                <w:spacing w:val="-83"/>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w:t>
            </w:r>
            <w:r/>
          </w:p>
          <w:p>
            <w:pPr>
              <w:pStyle w:val="1179"/>
              <w:ind w:left="117" w:right="103" w:firstLine="18"/>
              <w:spacing w:before="72"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□房屋高宽比严重超限（砌体房屋总高度与总宽度的最大</w:t>
            </w:r>
            <w:r>
              <w:rPr>
                <w:rFonts w:hint="eastAsia" w:ascii="宋体" w:hAnsi="宋体" w:eastAsia="宋体" w:cs="宋体"/>
                <w:spacing w:val="-3"/>
                <w:sz w:val="21"/>
                <w:szCs w:val="21"/>
                <w:highlight w:val="none"/>
                <w:lang w:eastAsia="zh-CN"/>
              </w:rPr>
              <w:t xml:space="preserve">值比值不宜超过</w:t>
            </w:r>
            <w:r>
              <w:rPr>
                <w:rFonts w:hint="eastAsia" w:ascii="宋体" w:hAnsi="宋体" w:eastAsia="宋体" w:cs="宋体"/>
                <w:spacing w:val="-54"/>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2.5</w:t>
            </w:r>
            <w:r>
              <w:rPr>
                <w:rFonts w:hint="eastAsia" w:ascii="宋体" w:hAnsi="宋体" w:eastAsia="宋体" w:cs="宋体"/>
                <w:spacing w:val="-40"/>
                <w:sz w:val="21"/>
                <w:szCs w:val="21"/>
                <w:highlight w:val="none"/>
                <w:lang w:eastAsia="zh-CN"/>
              </w:rPr>
              <w:t xml:space="preserve">）；</w:t>
            </w:r>
            <w:r/>
          </w:p>
          <w:p>
            <w:pPr>
              <w:pStyle w:val="1179"/>
              <w:ind w:left="117" w:right="103" w:firstLine="18"/>
              <w:spacing w:before="72"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□房屋结构布置不合理，传力路径混乱、支撑体系缺失等；</w:t>
            </w:r>
            <w:r/>
          </w:p>
          <w:p>
            <w:pPr>
              <w:pStyle w:val="1179"/>
              <w:ind w:left="117" w:right="103" w:firstLine="26"/>
              <w:spacing w:before="8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2.当房屋结构体系存在上述情况时，且房屋因结构体</w:t>
            </w:r>
            <w:r>
              <w:rPr>
                <w:rFonts w:hint="eastAsia" w:ascii="宋体" w:hAnsi="宋体" w:eastAsia="宋体" w:cs="宋体"/>
                <w:spacing w:val="-9"/>
                <w:sz w:val="21"/>
                <w:szCs w:val="21"/>
                <w:highlight w:val="none"/>
                <w:lang w:eastAsia="zh-CN"/>
              </w:rPr>
              <w:t xml:space="preserve">系不合理导致结构或构件损坏时，评价为“3级</w:t>
            </w:r>
            <w:r>
              <w:rPr>
                <w:rFonts w:hint="eastAsia" w:ascii="宋体" w:hAnsi="宋体" w:eastAsia="宋体" w:cs="宋体"/>
                <w:spacing w:val="-74"/>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w:t>
            </w:r>
            <w:r/>
          </w:p>
          <w:p>
            <w:pPr>
              <w:pStyle w:val="1179"/>
              <w:ind w:left="127" w:right="103" w:firstLine="16"/>
              <w:spacing w:before="2" w:line="240" w:lineRule="auto"/>
              <w:rPr>
                <w:rFonts w:ascii="宋体" w:hAnsi="宋体" w:eastAsia="宋体" w:cs="宋体"/>
                <w:b/>
                <w:spacing w:val="-4"/>
                <w:sz w:val="21"/>
                <w:szCs w:val="21"/>
                <w:highlight w:val="none"/>
                <w:lang w:eastAsia="zh-CN"/>
              </w:rPr>
            </w:pPr>
            <w:r>
              <w:rPr>
                <w:rFonts w:hint="eastAsia" w:ascii="宋体" w:hAnsi="宋体" w:eastAsia="宋体" w:cs="宋体"/>
                <w:spacing w:val="-5"/>
                <w:sz w:val="21"/>
                <w:szCs w:val="21"/>
                <w:highlight w:val="none"/>
                <w:lang w:eastAsia="zh-CN"/>
              </w:rPr>
              <w:t xml:space="preserve">3.其他情况评价为“2级”</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改扩建</w:t>
            </w:r>
            <w:r/>
          </w:p>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情况</w:t>
            </w:r>
            <w:r/>
          </w:p>
        </w:tc>
        <w:tc>
          <w:tcPr>
            <w:tcW w:w="8428" w:type="dxa"/>
            <w:vAlign w:val="center"/>
            <w:textDirection w:val="lrTb"/>
            <w:noWrap w:val="false"/>
          </w:tcPr>
          <w:p>
            <w:pPr>
              <w:pStyle w:val="1179"/>
              <w:ind w:left="119" w:right="103" w:firstLine="17"/>
              <w:spacing w:before="77"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1.房屋无违规加层、增设夹层、改扩建、增加使用荷载、擅自拆除承重构件等情</w:t>
            </w:r>
            <w:r>
              <w:rPr>
                <w:rFonts w:hint="eastAsia" w:ascii="宋体" w:hAnsi="宋体" w:eastAsia="宋体" w:cs="宋体"/>
                <w:spacing w:val="-4"/>
                <w:sz w:val="21"/>
                <w:szCs w:val="21"/>
                <w:highlight w:val="none"/>
                <w:lang w:eastAsia="zh-CN"/>
              </w:rPr>
              <w:t xml:space="preserve">况，评价为“1级”；</w:t>
            </w:r>
            <w:r/>
          </w:p>
          <w:p>
            <w:pPr>
              <w:pStyle w:val="1179"/>
              <w:ind w:left="119" w:right="103" w:firstLine="17"/>
              <w:spacing w:before="87"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2.房屋有承重构件可能存在个别消弱，或楼、屋面存在少数轻度超载，但</w:t>
            </w:r>
            <w:r>
              <w:rPr>
                <w:rFonts w:hint="eastAsia" w:ascii="宋体" w:hAnsi="宋体" w:eastAsia="宋体" w:cs="宋体"/>
                <w:spacing w:val="-4"/>
                <w:sz w:val="21"/>
                <w:szCs w:val="21"/>
                <w:highlight w:val="none"/>
                <w:lang w:eastAsia="zh-CN"/>
              </w:rPr>
              <w:t xml:space="preserve">尚未因此造成结构构件开裂、变形等损伤时，</w:t>
            </w:r>
            <w:r>
              <w:rPr>
                <w:rFonts w:hint="eastAsia" w:ascii="宋体" w:hAnsi="宋体" w:eastAsia="宋体" w:cs="宋体"/>
                <w:spacing w:val="-5"/>
                <w:sz w:val="21"/>
                <w:szCs w:val="21"/>
                <w:highlight w:val="none"/>
                <w:lang w:eastAsia="zh-CN"/>
              </w:rPr>
              <w:t xml:space="preserve">评价为“</w:t>
            </w:r>
            <w:r>
              <w:rPr>
                <w:rFonts w:hint="eastAsia" w:ascii="宋体" w:hAnsi="宋体" w:eastAsia="宋体" w:cs="宋体"/>
                <w:spacing w:val="-1"/>
                <w:sz w:val="21"/>
                <w:szCs w:val="21"/>
                <w:highlight w:val="none"/>
                <w:lang w:eastAsia="zh-CN"/>
              </w:rPr>
              <w:t xml:space="preserve">2级</w:t>
            </w:r>
            <w:r>
              <w:rPr>
                <w:rFonts w:hint="eastAsia" w:ascii="宋体" w:hAnsi="宋体" w:eastAsia="宋体" w:cs="宋体"/>
                <w:spacing w:val="-5"/>
                <w:sz w:val="21"/>
                <w:szCs w:val="21"/>
                <w:highlight w:val="none"/>
                <w:lang w:eastAsia="zh-CN"/>
              </w:rPr>
              <w:t xml:space="preserve">”；</w:t>
            </w:r>
            <w:r/>
          </w:p>
          <w:p>
            <w:pPr>
              <w:pStyle w:val="1179"/>
              <w:ind w:left="119" w:right="103" w:firstLine="17"/>
              <w:spacing w:before="84" w:line="240" w:lineRule="auto"/>
              <w:rPr>
                <w:rFonts w:ascii="宋体" w:hAnsi="宋体" w:eastAsia="宋体" w:cs="宋体"/>
                <w:b/>
                <w:spacing w:val="-4"/>
                <w:sz w:val="21"/>
                <w:szCs w:val="21"/>
                <w:highlight w:val="none"/>
                <w:lang w:eastAsia="zh-CN"/>
              </w:rPr>
            </w:pPr>
            <w:r>
              <w:rPr>
                <w:rFonts w:hint="eastAsia" w:ascii="宋体" w:hAnsi="宋体" w:eastAsia="宋体" w:cs="宋体"/>
                <w:spacing w:val="-5"/>
                <w:sz w:val="21"/>
                <w:szCs w:val="21"/>
                <w:highlight w:val="none"/>
                <w:lang w:eastAsia="zh-CN"/>
              </w:rPr>
              <w:t xml:space="preserve">3.房屋有违规加层、增设夹层、改扩建、大幅增加使用荷载、擅自拆除承重构件等情况且因此造成结构构件开</w:t>
            </w:r>
            <w:r>
              <w:rPr>
                <w:rFonts w:hint="eastAsia" w:ascii="宋体" w:hAnsi="宋体" w:eastAsia="宋体" w:cs="宋体"/>
                <w:spacing w:val="-3"/>
                <w:sz w:val="21"/>
                <w:szCs w:val="21"/>
                <w:highlight w:val="none"/>
                <w:lang w:eastAsia="zh-CN"/>
              </w:rPr>
              <w:t xml:space="preserve">裂、变形等损伤时，评价为“3级”。</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地基基</w:t>
            </w:r>
            <w:r/>
          </w:p>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础情况</w:t>
            </w:r>
            <w:r/>
          </w:p>
        </w:tc>
        <w:tc>
          <w:tcPr>
            <w:tcW w:w="8428" w:type="dxa"/>
            <w:vAlign w:val="center"/>
            <w:textDirection w:val="lrTb"/>
            <w:noWrap w:val="false"/>
          </w:tcPr>
          <w:p>
            <w:pPr>
              <w:pStyle w:val="1179"/>
              <w:ind w:left="117" w:right="103" w:firstLine="12"/>
              <w:spacing w:before="78"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1.地基基础存在以下情形之一时，评价为“3级</w:t>
            </w:r>
            <w:r>
              <w:rPr>
                <w:rFonts w:hint="eastAsia" w:ascii="宋体" w:hAnsi="宋体" w:eastAsia="宋体" w:cs="宋体"/>
                <w:spacing w:val="-16"/>
                <w:sz w:val="21"/>
                <w:szCs w:val="21"/>
                <w:highlight w:val="none"/>
                <w:lang w:eastAsia="zh-CN"/>
              </w:rPr>
              <w:t xml:space="preserve">”：</w:t>
            </w:r>
            <w:r/>
          </w:p>
          <w:p>
            <w:pPr>
              <w:pStyle w:val="1179"/>
              <w:ind w:left="136"/>
              <w:spacing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□地基出现局部或整体沉陷；</w:t>
            </w:r>
            <w:r/>
          </w:p>
          <w:p>
            <w:pPr>
              <w:pStyle w:val="1179"/>
              <w:ind w:left="119" w:right="103" w:firstLine="17"/>
              <w:spacing w:before="86"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□地基不稳定产生滑移，水平位移量大于10mm，且有</w:t>
            </w:r>
            <w:r>
              <w:rPr>
                <w:rFonts w:hint="eastAsia" w:ascii="宋体" w:hAnsi="宋体" w:eastAsia="宋体" w:cs="宋体"/>
                <w:spacing w:val="-3"/>
                <w:sz w:val="21"/>
                <w:szCs w:val="21"/>
                <w:highlight w:val="none"/>
                <w:lang w:eastAsia="zh-CN"/>
              </w:rPr>
              <w:t xml:space="preserve">继续滑动迹象；</w:t>
            </w:r>
            <w:r/>
          </w:p>
          <w:p>
            <w:pPr>
              <w:pStyle w:val="1179"/>
              <w:ind w:left="136"/>
              <w:spacing w:before="85"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□因地基变形引起建筑整体倾斜率大于1%</w:t>
            </w:r>
            <w:r>
              <w:rPr>
                <w:rFonts w:hint="eastAsia" w:ascii="宋体" w:hAnsi="宋体" w:eastAsia="宋体" w:cs="宋体"/>
                <w:spacing w:val="-57"/>
                <w:sz w:val="21"/>
                <w:szCs w:val="21"/>
                <w:highlight w:val="none"/>
                <w:lang w:eastAsia="zh-CN"/>
              </w:rPr>
              <w:t xml:space="preserve"> </w:t>
            </w:r>
            <w:r>
              <w:rPr>
                <w:rFonts w:hint="eastAsia" w:ascii="宋体" w:hAnsi="宋体" w:eastAsia="宋体" w:cs="宋体"/>
                <w:spacing w:val="1"/>
                <w:sz w:val="21"/>
                <w:szCs w:val="21"/>
                <w:highlight w:val="none"/>
                <w:lang w:eastAsia="zh-CN"/>
              </w:rPr>
              <w:t xml:space="preserve">;</w:t>
            </w:r>
            <w:r/>
          </w:p>
          <w:p>
            <w:pPr>
              <w:pStyle w:val="1179"/>
              <w:ind w:left="117" w:right="103" w:firstLine="18"/>
              <w:spacing w:before="83" w:line="240" w:lineRule="auto"/>
              <w:rPr>
                <w:rFonts w:ascii="宋体" w:hAnsi="宋体" w:eastAsia="宋体" w:cs="宋体"/>
                <w:sz w:val="21"/>
                <w:szCs w:val="21"/>
                <w:highlight w:val="none"/>
                <w:lang w:eastAsia="zh-CN"/>
              </w:rPr>
            </w:pPr>
            <w:r>
              <w:rPr>
                <w:rFonts w:hint="eastAsia" w:ascii="宋体" w:hAnsi="宋体" w:eastAsia="宋体" w:cs="宋体"/>
                <w:spacing w:val="-7"/>
                <w:sz w:val="21"/>
                <w:szCs w:val="21"/>
                <w:highlight w:val="none"/>
                <w:lang w:eastAsia="zh-CN"/>
              </w:rPr>
              <w:t xml:space="preserve">□上部结构砌体墙出现宽度大于10mm</w:t>
            </w:r>
            <w:r>
              <w:rPr>
                <w:rFonts w:hint="eastAsia" w:ascii="宋体" w:hAnsi="宋体" w:eastAsia="宋体" w:cs="宋体"/>
                <w:spacing w:val="31"/>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的沉降裂缝；预制</w:t>
            </w:r>
            <w:r>
              <w:rPr>
                <w:rFonts w:hint="eastAsia" w:ascii="宋体" w:hAnsi="宋体" w:eastAsia="宋体" w:cs="宋体"/>
                <w:spacing w:val="-1"/>
                <w:sz w:val="21"/>
                <w:szCs w:val="21"/>
                <w:highlight w:val="none"/>
                <w:lang w:eastAsia="zh-CN"/>
              </w:rPr>
              <w:t xml:space="preserve">构件之间的连接部位出现宽度大于3mm</w:t>
            </w:r>
            <w:r>
              <w:rPr>
                <w:rFonts w:hint="eastAsia" w:ascii="宋体" w:hAnsi="宋体" w:eastAsia="宋体" w:cs="宋体"/>
                <w:spacing w:val="31"/>
                <w:sz w:val="21"/>
                <w:szCs w:val="21"/>
                <w:highlight w:val="none"/>
                <w:lang w:eastAsia="zh-CN"/>
              </w:rPr>
              <w:t xml:space="preserve"> </w:t>
            </w:r>
            <w:r>
              <w:rPr>
                <w:rFonts w:hint="eastAsia" w:ascii="宋体" w:hAnsi="宋体" w:eastAsia="宋体" w:cs="宋体"/>
                <w:spacing w:val="-1"/>
                <w:sz w:val="21"/>
                <w:szCs w:val="21"/>
                <w:highlight w:val="none"/>
                <w:lang w:eastAsia="zh-CN"/>
              </w:rPr>
              <w:t xml:space="preserve">的不均匀沉</w:t>
            </w:r>
            <w:r>
              <w:rPr>
                <w:rFonts w:hint="eastAsia" w:ascii="宋体" w:hAnsi="宋体" w:eastAsia="宋体" w:cs="宋体"/>
                <w:spacing w:val="-2"/>
                <w:sz w:val="21"/>
                <w:szCs w:val="21"/>
                <w:highlight w:val="none"/>
                <w:lang w:eastAsia="zh-CN"/>
              </w:rPr>
              <w:t xml:space="preserve">降裂</w:t>
            </w:r>
            <w:r>
              <w:rPr>
                <w:rFonts w:hint="eastAsia" w:ascii="宋体" w:hAnsi="宋体" w:eastAsia="宋体" w:cs="宋体"/>
                <w:spacing w:val="-4"/>
                <w:sz w:val="21"/>
                <w:szCs w:val="21"/>
                <w:highlight w:val="none"/>
                <w:lang w:eastAsia="zh-CN"/>
              </w:rPr>
              <w:t xml:space="preserve">缝，现浇混凝土结构出现因不均匀沉降引起的裂缝，且不</w:t>
            </w:r>
            <w:r>
              <w:rPr>
                <w:rFonts w:hint="eastAsia" w:ascii="宋体" w:hAnsi="宋体" w:eastAsia="宋体" w:cs="宋体"/>
                <w:spacing w:val="-2"/>
                <w:sz w:val="21"/>
                <w:szCs w:val="21"/>
                <w:highlight w:val="none"/>
                <w:lang w:eastAsia="zh-CN"/>
              </w:rPr>
              <w:t xml:space="preserve">均匀沉降裂缝短期内无终止趋势；</w:t>
            </w:r>
            <w:r/>
          </w:p>
          <w:p>
            <w:pPr>
              <w:pStyle w:val="1179"/>
              <w:ind w:left="136"/>
              <w:spacing w:before="86" w:line="240" w:lineRule="auto"/>
              <w:rPr>
                <w:rFonts w:ascii="宋体" w:hAnsi="宋体" w:eastAsia="宋体" w:cs="宋体"/>
                <w:spacing w:val="-3"/>
                <w:sz w:val="21"/>
                <w:szCs w:val="21"/>
                <w:highlight w:val="none"/>
                <w:lang w:eastAsia="zh-CN"/>
              </w:rPr>
            </w:pPr>
            <w:r>
              <w:rPr>
                <w:rFonts w:hint="eastAsia" w:ascii="宋体" w:hAnsi="宋体" w:eastAsia="宋体" w:cs="宋体"/>
                <w:spacing w:val="-5"/>
                <w:sz w:val="21"/>
                <w:szCs w:val="21"/>
                <w:highlight w:val="none"/>
                <w:lang w:eastAsia="zh-CN"/>
              </w:rPr>
              <w:t xml:space="preserve">□因基础老化、腐蚀破碎、折断导致上部结构出现明显倾</w:t>
            </w:r>
            <w:r>
              <w:rPr>
                <w:rFonts w:hint="eastAsia" w:ascii="宋体" w:hAnsi="宋体" w:eastAsia="宋体" w:cs="宋体"/>
                <w:spacing w:val="-3"/>
                <w:sz w:val="21"/>
                <w:szCs w:val="21"/>
                <w:highlight w:val="none"/>
                <w:lang w:eastAsia="zh-CN"/>
              </w:rPr>
              <w:t xml:space="preserve">斜、位移、裂缝；</w:t>
            </w:r>
            <w:r/>
          </w:p>
          <w:p>
            <w:pPr>
              <w:pStyle w:val="1179"/>
              <w:ind w:left="136"/>
              <w:spacing w:before="86"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□基础基底局部被架空等可能引起建筑坍塌的其他情形。</w:t>
            </w:r>
            <w:r/>
          </w:p>
          <w:p>
            <w:pPr>
              <w:pStyle w:val="1179"/>
              <w:ind w:left="117" w:right="103" w:hanging="10"/>
              <w:spacing w:before="84" w:line="240" w:lineRule="auto"/>
              <w:rPr>
                <w:rFonts w:ascii="宋体" w:hAnsi="宋体" w:eastAsia="宋体" w:cs="宋体"/>
                <w:sz w:val="21"/>
                <w:szCs w:val="21"/>
                <w:highlight w:val="none"/>
                <w:lang w:eastAsia="zh-CN"/>
              </w:rPr>
            </w:pPr>
            <w:r>
              <w:rPr>
                <w:rFonts w:hint="eastAsia" w:ascii="宋体" w:hAnsi="宋体" w:eastAsia="宋体" w:cs="宋体"/>
                <w:spacing w:val="7"/>
                <w:sz w:val="21"/>
                <w:szCs w:val="21"/>
                <w:highlight w:val="none"/>
                <w:lang w:eastAsia="zh-CN"/>
              </w:rPr>
              <w:t xml:space="preserve">2.</w:t>
            </w:r>
            <w:r>
              <w:rPr>
                <w:rFonts w:hint="eastAsia" w:ascii="宋体" w:hAnsi="宋体" w:eastAsia="宋体" w:cs="宋体"/>
                <w:spacing w:val="-16"/>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地基基础目前基本稳定，虽曾出现不均匀沉降但已</w:t>
            </w:r>
            <w:r>
              <w:rPr>
                <w:rFonts w:hint="eastAsia" w:ascii="宋体" w:hAnsi="宋体" w:eastAsia="宋体" w:cs="宋体"/>
                <w:spacing w:val="-1"/>
                <w:sz w:val="21"/>
                <w:szCs w:val="21"/>
                <w:highlight w:val="none"/>
                <w:lang w:eastAsia="zh-CN"/>
              </w:rPr>
              <w:t xml:space="preserve">基本</w:t>
            </w:r>
            <w:r>
              <w:rPr>
                <w:rFonts w:hint="eastAsia" w:ascii="宋体" w:hAnsi="宋体" w:eastAsia="宋体" w:cs="宋体"/>
                <w:spacing w:val="7"/>
                <w:sz w:val="21"/>
                <w:szCs w:val="21"/>
                <w:highlight w:val="none"/>
                <w:lang w:eastAsia="zh-CN"/>
              </w:rPr>
              <w:t xml:space="preserve">稳</w:t>
            </w:r>
            <w:r>
              <w:rPr>
                <w:rFonts w:hint="eastAsia" w:ascii="宋体" w:hAnsi="宋体" w:eastAsia="宋体" w:cs="宋体"/>
                <w:spacing w:val="-4"/>
                <w:sz w:val="21"/>
                <w:szCs w:val="21"/>
                <w:highlight w:val="none"/>
                <w:lang w:eastAsia="zh-CN"/>
              </w:rPr>
              <w:t xml:space="preserve">定，且房屋倾斜率和上部结构构件因不均匀沉降产生的裂缝宽度均未超过上述相应限值时，评价为“</w:t>
            </w:r>
            <w:r>
              <w:rPr>
                <w:rFonts w:hint="eastAsia" w:ascii="宋体" w:hAnsi="宋体" w:eastAsia="宋体" w:cs="宋体"/>
                <w:spacing w:val="-1"/>
                <w:sz w:val="21"/>
                <w:szCs w:val="21"/>
                <w:highlight w:val="none"/>
                <w:lang w:eastAsia="zh-CN"/>
              </w:rPr>
              <w:t xml:space="preserve">2级</w:t>
            </w:r>
            <w:r>
              <w:rPr>
                <w:rFonts w:hint="eastAsia" w:ascii="宋体" w:hAnsi="宋体" w:eastAsia="宋体" w:cs="宋体"/>
                <w:spacing w:val="-12"/>
                <w:sz w:val="21"/>
                <w:szCs w:val="21"/>
                <w:highlight w:val="none"/>
                <w:lang w:eastAsia="zh-CN"/>
              </w:rPr>
              <w:t xml:space="preserve">”；</w:t>
            </w:r>
            <w:r/>
          </w:p>
          <w:p>
            <w:pPr>
              <w:pStyle w:val="1179"/>
              <w:ind w:left="120" w:right="103" w:firstLine="16"/>
              <w:spacing w:before="85" w:line="240" w:lineRule="auto"/>
              <w:rPr>
                <w:rFonts w:ascii="宋体" w:hAnsi="宋体" w:eastAsia="宋体" w:cs="宋体"/>
                <w:b/>
                <w:spacing w:val="-4"/>
                <w:sz w:val="21"/>
                <w:szCs w:val="21"/>
                <w:highlight w:val="none"/>
                <w:lang w:eastAsia="zh-CN"/>
              </w:rPr>
            </w:pPr>
            <w:r>
              <w:rPr>
                <w:rFonts w:hint="eastAsia" w:ascii="宋体" w:hAnsi="宋体" w:eastAsia="宋体" w:cs="宋体"/>
                <w:spacing w:val="-1"/>
                <w:sz w:val="21"/>
                <w:szCs w:val="21"/>
                <w:highlight w:val="none"/>
                <w:lang w:eastAsia="zh-CN"/>
              </w:rPr>
              <w:t xml:space="preserve">3.地基基础稳定，无明显沉降或不均匀沉降；建筑上</w:t>
            </w:r>
            <w:r>
              <w:rPr>
                <w:rFonts w:hint="eastAsia" w:ascii="宋体" w:hAnsi="宋体" w:eastAsia="宋体" w:cs="宋体"/>
                <w:spacing w:val="-2"/>
                <w:sz w:val="21"/>
                <w:szCs w:val="21"/>
                <w:highlight w:val="none"/>
                <w:lang w:eastAsia="zh-CN"/>
              </w:rPr>
              <w:t xml:space="preserve">部结构无明显倾斜、裂缝，评价为“1级</w:t>
            </w:r>
            <w:r>
              <w:rPr>
                <w:rFonts w:hint="eastAsia" w:ascii="宋体" w:hAnsi="宋体" w:eastAsia="宋体" w:cs="宋体"/>
                <w:spacing w:val="-88"/>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承重构件</w:t>
            </w:r>
            <w:r/>
          </w:p>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损伤变形</w:t>
            </w:r>
            <w:r/>
          </w:p>
          <w:p>
            <w:pPr>
              <w:pStyle w:val="1179"/>
              <w:jc w:val="center"/>
              <w:spacing w:line="240" w:lineRule="auto"/>
              <w:widowControl/>
              <w:rPr>
                <w:rFonts w:ascii="宋体" w:hAnsi="宋体" w:eastAsia="宋体" w:cs="宋体"/>
                <w:b/>
                <w:spacing w:val="-4"/>
                <w:sz w:val="21"/>
                <w:szCs w:val="21"/>
                <w:highlight w:val="none"/>
                <w:lang w:eastAsia="zh-CN"/>
              </w:rPr>
            </w:pPr>
            <w:r>
              <w:rPr>
                <w:rFonts w:hint="eastAsia" w:ascii="宋体" w:hAnsi="宋体" w:eastAsia="宋体" w:cs="宋体"/>
                <w:sz w:val="21"/>
                <w:szCs w:val="21"/>
                <w:highlight w:val="none"/>
                <w:lang w:eastAsia="zh-CN"/>
              </w:rPr>
              <w:t xml:space="preserve">情况</w:t>
            </w:r>
            <w:r/>
          </w:p>
        </w:tc>
        <w:tc>
          <w:tcPr>
            <w:tcW w:w="8428" w:type="dxa"/>
            <w:vAlign w:val="center"/>
            <w:textDirection w:val="lrTb"/>
            <w:noWrap w:val="false"/>
          </w:tcPr>
          <w:p>
            <w:pPr>
              <w:pStyle w:val="1179"/>
              <w:ind w:left="119" w:right="103" w:hanging="1"/>
              <w:spacing w:before="76"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承重构件损伤变形情况的结果评价，应根据承重构件的类型，按以下要求，对承重构件的危险状况进行检查，然后</w:t>
            </w:r>
            <w:r>
              <w:rPr>
                <w:rFonts w:hint="eastAsia" w:ascii="宋体" w:hAnsi="宋体" w:eastAsia="宋体" w:cs="宋体"/>
                <w:spacing w:val="-1"/>
                <w:sz w:val="21"/>
                <w:szCs w:val="21"/>
                <w:highlight w:val="none"/>
                <w:lang w:eastAsia="zh-CN"/>
              </w:rPr>
              <w:t xml:space="preserve">再根据危险构件的数量和位置对承重构件损伤变形情况</w:t>
            </w:r>
            <w:r>
              <w:rPr>
                <w:rFonts w:hint="eastAsia" w:ascii="宋体" w:hAnsi="宋体" w:eastAsia="宋体" w:cs="宋体"/>
                <w:spacing w:val="-2"/>
                <w:sz w:val="21"/>
                <w:szCs w:val="21"/>
                <w:highlight w:val="none"/>
                <w:lang w:eastAsia="zh-CN"/>
              </w:rPr>
              <w:t xml:space="preserve">的结果进行评价。</w:t>
            </w:r>
            <w:r/>
          </w:p>
          <w:p>
            <w:pPr>
              <w:pStyle w:val="1179"/>
              <w:ind w:left="122"/>
              <w:spacing w:line="240" w:lineRule="auto"/>
              <w:rPr>
                <w:rFonts w:ascii="宋体" w:hAnsi="宋体" w:eastAsia="宋体" w:cs="宋体"/>
                <w:sz w:val="21"/>
                <w:szCs w:val="21"/>
                <w:highlight w:val="none"/>
                <w:lang w:eastAsia="zh-CN"/>
              </w:rPr>
            </w:pPr>
            <w:r>
              <w:rPr>
                <w:rFonts w:hint="eastAsia" w:ascii="宋体" w:hAnsi="宋体" w:eastAsia="宋体" w:cs="宋体"/>
                <w:b/>
                <w:bCs/>
                <w:spacing w:val="-4"/>
                <w:sz w:val="21"/>
                <w:szCs w:val="21"/>
                <w:highlight w:val="none"/>
                <w:lang w:eastAsia="zh-CN"/>
              </w:rPr>
              <w:t xml:space="preserve">一、承重构件危险状况检查和评价</w:t>
            </w:r>
            <w:r/>
          </w:p>
          <w:p>
            <w:pPr>
              <w:pStyle w:val="1179"/>
              <w:ind w:left="117" w:right="103" w:firstLine="12"/>
              <w:spacing w:before="88"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1.承重砌体构件（墙、柱）存在以下情况时，评为“危险</w:t>
            </w:r>
            <w:r>
              <w:rPr>
                <w:rFonts w:hint="eastAsia" w:ascii="宋体" w:hAnsi="宋体" w:eastAsia="宋体" w:cs="宋体"/>
                <w:spacing w:val="-4"/>
                <w:sz w:val="21"/>
                <w:szCs w:val="21"/>
                <w:highlight w:val="none"/>
                <w:lang w:eastAsia="zh-CN"/>
              </w:rPr>
              <w:t xml:space="preserve">构件</w:t>
            </w:r>
            <w:r>
              <w:rPr>
                <w:rFonts w:hint="eastAsia" w:ascii="宋体" w:hAnsi="宋体" w:eastAsia="宋体" w:cs="宋体"/>
                <w:spacing w:val="-89"/>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w:t>
            </w:r>
            <w:r>
              <w:rPr>
                <w:rFonts w:hint="eastAsia" w:ascii="宋体" w:hAnsi="宋体" w:eastAsia="宋体" w:cs="宋体"/>
                <w:spacing w:val="-32"/>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w:t>
            </w:r>
            <w:r/>
          </w:p>
          <w:p>
            <w:pPr>
              <w:pStyle w:val="1179"/>
              <w:ind w:left="123" w:right="103" w:firstLine="13"/>
              <w:spacing w:before="1"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□承重墙（柱）或梁（屋架）下方的墙（柱）存在宽度大</w:t>
            </w:r>
            <w:r>
              <w:rPr>
                <w:rFonts w:hint="eastAsia" w:ascii="宋体" w:hAnsi="宋体" w:eastAsia="宋体" w:cs="宋体"/>
                <w:spacing w:val="-4"/>
                <w:sz w:val="21"/>
                <w:szCs w:val="21"/>
                <w:highlight w:val="none"/>
                <w:lang w:eastAsia="zh-CN"/>
              </w:rPr>
              <w:t xml:space="preserve">于</w:t>
            </w:r>
            <w:r>
              <w:rPr>
                <w:rFonts w:hint="eastAsia" w:ascii="宋体" w:hAnsi="宋体" w:eastAsia="宋体" w:cs="宋体"/>
                <w:spacing w:val="-20"/>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1.0mm</w:t>
            </w:r>
            <w:r>
              <w:rPr>
                <w:rFonts w:hint="eastAsia" w:ascii="宋体" w:hAnsi="宋体" w:eastAsia="宋体" w:cs="宋体"/>
                <w:spacing w:val="23"/>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竖向裂缝，或存在多道竖向裂缝；</w:t>
            </w:r>
            <w:r/>
          </w:p>
          <w:p>
            <w:pPr>
              <w:pStyle w:val="1179"/>
              <w:ind w:left="136"/>
              <w:spacing w:before="89"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□墙体存在斜向裂缝且裂缝宽度大于</w:t>
            </w:r>
            <w:r>
              <w:rPr>
                <w:rFonts w:hint="eastAsia" w:ascii="宋体" w:hAnsi="宋体" w:eastAsia="宋体" w:cs="宋体"/>
                <w:spacing w:val="-35"/>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5mm；</w:t>
            </w:r>
            <w:r/>
          </w:p>
          <w:p>
            <w:pPr>
              <w:pStyle w:val="1179"/>
              <w:ind w:left="136"/>
              <w:spacing w:before="77" w:line="240" w:lineRule="auto"/>
              <w:rPr>
                <w:rFonts w:ascii="宋体" w:hAnsi="宋体" w:eastAsia="宋体" w:cs="宋体"/>
                <w:spacing w:val="-3"/>
                <w:sz w:val="21"/>
                <w:szCs w:val="21"/>
                <w:highlight w:val="none"/>
                <w:lang w:eastAsia="zh-CN"/>
              </w:rPr>
            </w:pPr>
            <w:r>
              <w:rPr>
                <w:rFonts w:hint="eastAsia" w:ascii="宋体" w:hAnsi="宋体" w:eastAsia="宋体" w:cs="宋体"/>
                <w:spacing w:val="-5"/>
                <w:sz w:val="21"/>
                <w:szCs w:val="21"/>
                <w:highlight w:val="none"/>
                <w:lang w:eastAsia="zh-CN"/>
              </w:rPr>
              <w:t xml:space="preserve">□墙体存在明显歪斜，或墙体两端与其他墙体连接部位断</w:t>
            </w:r>
            <w:r>
              <w:rPr>
                <w:rFonts w:hint="eastAsia" w:ascii="宋体" w:hAnsi="宋体" w:eastAsia="宋体" w:cs="宋体"/>
                <w:spacing w:val="-3"/>
                <w:sz w:val="21"/>
                <w:szCs w:val="21"/>
                <w:highlight w:val="none"/>
                <w:lang w:eastAsia="zh-CN"/>
              </w:rPr>
              <w:t xml:space="preserve">裂形成通缝；</w:t>
            </w:r>
            <w:r/>
          </w:p>
          <w:p>
            <w:pPr>
              <w:pStyle w:val="1179"/>
              <w:ind w:left="136"/>
              <w:spacing w:before="77"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□墙或柱出现因刚度不足引起挠曲鼓闪等侧弯变形；</w:t>
            </w:r>
            <w:r/>
          </w:p>
          <w:p>
            <w:pPr>
              <w:pStyle w:val="1179"/>
              <w:ind w:left="136"/>
              <w:spacing w:before="85"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□有肉眼可见的歪闪变形或与相邻构件明显脱开；</w:t>
            </w:r>
            <w:r/>
          </w:p>
          <w:p>
            <w:pPr>
              <w:pStyle w:val="1179"/>
              <w:ind w:left="124" w:right="1006" w:firstLine="12"/>
              <w:spacing w:before="85" w:line="240" w:lineRule="auto"/>
              <w:rPr>
                <w:rFonts w:ascii="宋体" w:hAnsi="宋体" w:eastAsia="宋体" w:cs="宋体"/>
                <w:spacing w:val="-5"/>
                <w:sz w:val="21"/>
                <w:szCs w:val="21"/>
                <w:highlight w:val="none"/>
                <w:lang w:eastAsia="zh-CN"/>
              </w:rPr>
            </w:pPr>
            <w:r>
              <w:rPr>
                <w:rFonts w:hint="eastAsia" w:ascii="宋体" w:hAnsi="宋体" w:eastAsia="宋体" w:cs="宋体"/>
                <w:spacing w:val="-5"/>
                <w:sz w:val="21"/>
                <w:szCs w:val="21"/>
                <w:highlight w:val="none"/>
                <w:lang w:eastAsia="zh-CN"/>
              </w:rPr>
              <w:t xml:space="preserve">□墙或柱有风化酥碱，削弱截面面积大于</w:t>
            </w:r>
            <w:r>
              <w:rPr>
                <w:rFonts w:hint="eastAsia" w:ascii="宋体" w:hAnsi="宋体" w:eastAsia="宋体" w:cs="宋体"/>
                <w:spacing w:val="-23"/>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15%。</w:t>
            </w:r>
            <w:r/>
          </w:p>
          <w:p>
            <w:pPr>
              <w:pStyle w:val="1179"/>
              <w:ind w:left="124" w:right="1006" w:firstLine="12"/>
              <w:spacing w:before="85"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危险构件位置：</w:t>
            </w:r>
            <w:r/>
          </w:p>
          <w:p>
            <w:pPr>
              <w:pStyle w:val="1179"/>
              <w:ind w:left="124" w:right="1006" w:firstLine="12"/>
              <w:spacing w:before="85" w:line="240" w:lineRule="auto"/>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p>
            <w:pPr>
              <w:pStyle w:val="1179"/>
              <w:ind w:left="124" w:right="1006" w:firstLine="12"/>
              <w:spacing w:before="85" w:line="240" w:lineRule="auto"/>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p>
            <w:pPr>
              <w:pStyle w:val="1179"/>
              <w:ind w:left="142" w:right="103" w:hanging="35"/>
              <w:spacing w:before="86"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2.承重混凝土构件（混凝土柱、墙、梁、板、屋架）存在</w:t>
            </w:r>
            <w:r>
              <w:rPr>
                <w:rFonts w:hint="eastAsia" w:ascii="宋体" w:hAnsi="宋体" w:eastAsia="宋体" w:cs="宋体"/>
                <w:spacing w:val="-5"/>
                <w:sz w:val="21"/>
                <w:szCs w:val="21"/>
                <w:highlight w:val="none"/>
                <w:lang w:eastAsia="zh-CN"/>
              </w:rPr>
              <w:t xml:space="preserve">以下情况时，评为“危险构件</w:t>
            </w:r>
            <w:r>
              <w:rPr>
                <w:rFonts w:hint="eastAsia" w:ascii="宋体" w:hAnsi="宋体" w:eastAsia="宋体" w:cs="宋体"/>
                <w:spacing w:val="-87"/>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w:t>
            </w:r>
            <w:r/>
          </w:p>
          <w:p>
            <w:pPr>
              <w:pStyle w:val="1179"/>
              <w:ind w:left="120" w:right="103" w:firstLine="16"/>
              <w:spacing w:before="2"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□柱存在竖向裂缝，或一侧存在水平宽度大于</w:t>
            </w:r>
            <w:r>
              <w:rPr>
                <w:rFonts w:hint="eastAsia" w:ascii="宋体" w:hAnsi="宋体" w:eastAsia="宋体" w:cs="宋体"/>
                <w:spacing w:val="-10"/>
                <w:sz w:val="21"/>
                <w:szCs w:val="21"/>
                <w:highlight w:val="none"/>
                <w:lang w:eastAsia="zh-CN"/>
              </w:rPr>
              <w:t xml:space="preserve"> </w:t>
            </w:r>
            <w:r>
              <w:rPr>
                <w:rFonts w:hint="eastAsia" w:ascii="宋体" w:hAnsi="宋体" w:eastAsia="宋体" w:cs="宋体"/>
                <w:spacing w:val="-1"/>
                <w:sz w:val="21"/>
                <w:szCs w:val="21"/>
                <w:highlight w:val="none"/>
                <w:lang w:eastAsia="zh-CN"/>
              </w:rPr>
              <w:t xml:space="preserve">1.0mm</w:t>
            </w:r>
            <w:r>
              <w:rPr>
                <w:rFonts w:hint="eastAsia" w:ascii="宋体" w:hAnsi="宋体" w:eastAsia="宋体" w:cs="宋体"/>
                <w:spacing w:val="33"/>
                <w:sz w:val="21"/>
                <w:szCs w:val="21"/>
                <w:highlight w:val="none"/>
                <w:lang w:eastAsia="zh-CN"/>
              </w:rPr>
              <w:t xml:space="preserve"> </w:t>
            </w:r>
            <w:r>
              <w:rPr>
                <w:rFonts w:hint="eastAsia" w:ascii="宋体" w:hAnsi="宋体" w:eastAsia="宋体" w:cs="宋体"/>
                <w:spacing w:val="-1"/>
                <w:sz w:val="21"/>
                <w:szCs w:val="21"/>
                <w:highlight w:val="none"/>
                <w:lang w:eastAsia="zh-CN"/>
              </w:rPr>
              <w:t xml:space="preserve">的</w:t>
            </w:r>
            <w:r>
              <w:rPr>
                <w:rFonts w:hint="eastAsia" w:ascii="宋体" w:hAnsi="宋体" w:eastAsia="宋体" w:cs="宋体"/>
                <w:spacing w:val="-2"/>
                <w:sz w:val="21"/>
                <w:szCs w:val="21"/>
                <w:highlight w:val="none"/>
                <w:lang w:eastAsia="zh-CN"/>
              </w:rPr>
              <w:t xml:space="preserve">裂缝，或存在明显倾斜；</w:t>
            </w:r>
            <w:r/>
          </w:p>
          <w:p>
            <w:pPr>
              <w:pStyle w:val="1179"/>
              <w:ind w:left="120" w:right="38" w:firstLine="16"/>
              <w:spacing w:before="88"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□梁中部靠近梁底部位或梁支承部位靠近梁顶存在竖向</w:t>
            </w:r>
            <w:r>
              <w:rPr>
                <w:rFonts w:hint="eastAsia" w:ascii="宋体" w:hAnsi="宋体" w:eastAsia="宋体" w:cs="宋体"/>
                <w:spacing w:val="-6"/>
                <w:sz w:val="21"/>
                <w:szCs w:val="21"/>
                <w:highlight w:val="none"/>
                <w:lang w:eastAsia="zh-CN"/>
              </w:rPr>
              <w:t xml:space="preserve">宽度大于</w:t>
            </w:r>
            <w:r>
              <w:rPr>
                <w:rFonts w:hint="eastAsia" w:ascii="宋体" w:hAnsi="宋体" w:eastAsia="宋体" w:cs="宋体"/>
                <w:spacing w:val="-30"/>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1.0mm</w:t>
            </w:r>
            <w:r>
              <w:rPr>
                <w:rFonts w:hint="eastAsia" w:ascii="宋体" w:hAnsi="宋体" w:eastAsia="宋体" w:cs="宋体"/>
                <w:spacing w:val="30"/>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的裂缝，或在梁支承部位出现斜向裂缝，</w:t>
            </w:r>
            <w:r>
              <w:rPr>
                <w:rFonts w:hint="eastAsia" w:ascii="宋体" w:hAnsi="宋体" w:eastAsia="宋体" w:cs="宋体"/>
                <w:spacing w:val="-4"/>
                <w:sz w:val="21"/>
                <w:szCs w:val="21"/>
                <w:highlight w:val="none"/>
                <w:lang w:eastAsia="zh-CN"/>
              </w:rPr>
              <w:t xml:space="preserve">或悬挑梁靠近支承部位梁顶存在宽度大于</w:t>
            </w:r>
            <w:r>
              <w:rPr>
                <w:rFonts w:hint="eastAsia" w:ascii="宋体" w:hAnsi="宋体" w:eastAsia="宋体" w:cs="宋体"/>
                <w:spacing w:val="-66"/>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0.5mm</w:t>
            </w:r>
            <w:r>
              <w:rPr>
                <w:rFonts w:hint="eastAsia" w:ascii="宋体" w:hAnsi="宋体" w:eastAsia="宋体" w:cs="宋体"/>
                <w:spacing w:val="16"/>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的裂缝；</w:t>
            </w:r>
            <w:r/>
          </w:p>
          <w:p>
            <w:pPr>
              <w:pStyle w:val="1179"/>
              <w:ind w:left="122" w:right="38" w:firstLine="14"/>
              <w:spacing w:before="88" w:line="240" w:lineRule="auto"/>
              <w:rPr>
                <w:rFonts w:ascii="宋体" w:hAnsi="宋体" w:eastAsia="宋体" w:cs="宋体"/>
                <w:sz w:val="21"/>
                <w:szCs w:val="21"/>
                <w:highlight w:val="none"/>
                <w:lang w:eastAsia="zh-CN"/>
              </w:rPr>
            </w:pPr>
            <w:r>
              <w:rPr>
                <w:rFonts w:hint="eastAsia" w:ascii="宋体" w:hAnsi="宋体" w:eastAsia="宋体" w:cs="宋体"/>
                <w:spacing w:val="-6"/>
                <w:sz w:val="21"/>
                <w:szCs w:val="21"/>
                <w:highlight w:val="none"/>
                <w:lang w:eastAsia="zh-CN"/>
              </w:rPr>
              <w:t xml:space="preserve">□现浇板中间部位板底出现宽度大于</w:t>
            </w:r>
            <w:r>
              <w:rPr>
                <w:rFonts w:hint="eastAsia" w:ascii="宋体" w:hAnsi="宋体" w:eastAsia="宋体" w:cs="宋体"/>
                <w:spacing w:val="-32"/>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1.0mm</w:t>
            </w:r>
            <w:r>
              <w:rPr>
                <w:rFonts w:hint="eastAsia" w:ascii="宋体" w:hAnsi="宋体" w:eastAsia="宋体" w:cs="宋体"/>
                <w:spacing w:val="16"/>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的受拉裂缝，</w:t>
            </w:r>
            <w:r>
              <w:rPr>
                <w:rFonts w:hint="eastAsia" w:ascii="宋体" w:hAnsi="宋体" w:eastAsia="宋体" w:cs="宋体"/>
                <w:spacing w:val="-1"/>
                <w:sz w:val="21"/>
                <w:szCs w:val="21"/>
                <w:highlight w:val="none"/>
                <w:lang w:eastAsia="zh-CN"/>
              </w:rPr>
              <w:t xml:space="preserve">或板底存在交叉裂缝，或板面周边出现裂缝；</w:t>
            </w:r>
            <w:r/>
          </w:p>
          <w:p>
            <w:pPr>
              <w:pStyle w:val="1179"/>
              <w:ind w:left="136"/>
              <w:spacing w:before="90"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□预制板板底存在垂直于板长度方向的裂缝；</w:t>
            </w:r>
            <w:r/>
          </w:p>
          <w:p>
            <w:pPr>
              <w:pStyle w:val="1179"/>
              <w:ind w:left="120" w:right="103" w:firstLine="16"/>
              <w:spacing w:before="8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□屋架跨中部位存在明显向下变形现象，且下弦存在竖向</w:t>
            </w:r>
            <w:r>
              <w:rPr>
                <w:rFonts w:hint="eastAsia" w:ascii="宋体" w:hAnsi="宋体" w:eastAsia="宋体" w:cs="宋体"/>
                <w:spacing w:val="-4"/>
                <w:sz w:val="21"/>
                <w:szCs w:val="21"/>
                <w:highlight w:val="none"/>
                <w:lang w:eastAsia="zh-CN"/>
              </w:rPr>
              <w:t xml:space="preserve">宽度大于</w:t>
            </w:r>
            <w:r>
              <w:rPr>
                <w:rFonts w:hint="eastAsia" w:ascii="宋体" w:hAnsi="宋体" w:eastAsia="宋体" w:cs="宋体"/>
                <w:spacing w:val="-17"/>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1.0mm</w:t>
            </w:r>
            <w:r>
              <w:rPr>
                <w:rFonts w:hint="eastAsia" w:ascii="宋体" w:hAnsi="宋体" w:eastAsia="宋体" w:cs="宋体"/>
                <w:spacing w:val="31"/>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的裂缝，或屋架存在明显倾斜；</w:t>
            </w:r>
            <w:r/>
          </w:p>
          <w:p>
            <w:pPr>
              <w:pStyle w:val="1179"/>
              <w:ind w:left="121" w:right="103" w:firstLine="15"/>
              <w:spacing w:before="8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□混凝土构件因钢筋锈蚀导致保护层严重脱落，钢筋外露</w:t>
            </w:r>
            <w:r>
              <w:rPr>
                <w:rFonts w:hint="eastAsia" w:ascii="宋体" w:hAnsi="宋体" w:eastAsia="宋体" w:cs="宋体"/>
                <w:spacing w:val="-4"/>
                <w:sz w:val="21"/>
                <w:szCs w:val="21"/>
                <w:highlight w:val="none"/>
                <w:lang w:eastAsia="zh-CN"/>
              </w:rPr>
              <w:t xml:space="preserve">且锈蚀严重；</w:t>
            </w:r>
            <w:r/>
          </w:p>
          <w:p>
            <w:pPr>
              <w:pStyle w:val="1179"/>
              <w:ind w:left="136"/>
              <w:spacing w:before="86"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□混凝土墙中部存在斜向裂缝；</w:t>
            </w:r>
            <w:r/>
          </w:p>
          <w:p>
            <w:pPr>
              <w:pStyle w:val="1179"/>
              <w:ind w:left="120" w:right="103" w:firstLine="16"/>
              <w:spacing w:before="89"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□有肉眼可见的歪闪变形（梁板挠度超过</w:t>
            </w:r>
            <w:r>
              <w:rPr>
                <w:rFonts w:hint="eastAsia" w:ascii="宋体" w:hAnsi="宋体" w:eastAsia="宋体" w:cs="宋体"/>
                <w:spacing w:val="-44"/>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l0/150</w:t>
            </w:r>
            <w:r>
              <w:rPr>
                <w:rFonts w:hint="eastAsia" w:ascii="宋体" w:hAnsi="宋体" w:eastAsia="宋体" w:cs="宋体"/>
                <w:spacing w:val="-27"/>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，墙、柱</w:t>
            </w:r>
            <w:r>
              <w:rPr>
                <w:rFonts w:hint="eastAsia" w:ascii="宋体" w:hAnsi="宋体" w:eastAsia="宋体" w:cs="宋体"/>
                <w:sz w:val="21"/>
                <w:szCs w:val="21"/>
                <w:highlight w:val="none"/>
                <w:lang w:eastAsia="zh-CN"/>
              </w:rPr>
              <w:t xml:space="preserve">产生相对于房屋整体的倾斜超过</w:t>
            </w:r>
            <w:r>
              <w:rPr>
                <w:rFonts w:hint="eastAsia" w:ascii="宋体" w:hAnsi="宋体" w:eastAsia="宋体" w:cs="宋体"/>
                <w:spacing w:val="-11"/>
                <w:sz w:val="21"/>
                <w:szCs w:val="21"/>
                <w:highlight w:val="none"/>
                <w:lang w:eastAsia="zh-CN"/>
              </w:rPr>
              <w:t xml:space="preserve"> </w:t>
            </w:r>
            <w:r>
              <w:rPr>
                <w:rFonts w:hint="eastAsia" w:ascii="宋体" w:hAnsi="宋体" w:eastAsia="宋体" w:cs="宋体"/>
                <w:sz w:val="21"/>
                <w:szCs w:val="21"/>
                <w:highlight w:val="none"/>
                <w:lang w:eastAsia="zh-CN"/>
              </w:rPr>
              <w:t xml:space="preserve">10‰</w:t>
            </w:r>
            <w:r>
              <w:rPr>
                <w:rFonts w:hint="eastAsia" w:ascii="宋体" w:hAnsi="宋体" w:eastAsia="宋体" w:cs="宋体"/>
                <w:spacing w:val="-23"/>
                <w:sz w:val="21"/>
                <w:szCs w:val="21"/>
                <w:highlight w:val="none"/>
                <w:lang w:eastAsia="zh-CN"/>
              </w:rPr>
              <w:t xml:space="preserve"> </w:t>
            </w:r>
            <w:r>
              <w:rPr>
                <w:rFonts w:hint="eastAsia" w:ascii="宋体" w:hAnsi="宋体" w:eastAsia="宋体" w:cs="宋体"/>
                <w:sz w:val="21"/>
                <w:szCs w:val="21"/>
                <w:highlight w:val="none"/>
                <w:lang w:eastAsia="zh-CN"/>
              </w:rPr>
              <w:t xml:space="preserve">，或其侧向位移量</w:t>
            </w:r>
            <w:r>
              <w:rPr>
                <w:rFonts w:hint="eastAsia" w:ascii="宋体" w:hAnsi="宋体" w:eastAsia="宋体" w:cs="宋体"/>
                <w:spacing w:val="-12"/>
                <w:sz w:val="21"/>
                <w:szCs w:val="21"/>
                <w:highlight w:val="none"/>
                <w:lang w:eastAsia="zh-CN"/>
              </w:rPr>
              <w:t xml:space="preserve">大于</w:t>
            </w:r>
            <w:r>
              <w:rPr>
                <w:rFonts w:hint="eastAsia" w:ascii="宋体" w:hAnsi="宋体" w:eastAsia="宋体" w:cs="宋体"/>
                <w:spacing w:val="-57"/>
                <w:sz w:val="21"/>
                <w:szCs w:val="21"/>
                <w:highlight w:val="none"/>
                <w:lang w:eastAsia="zh-CN"/>
              </w:rPr>
              <w:t xml:space="preserve"> </w:t>
            </w:r>
            <w:r>
              <w:rPr>
                <w:rFonts w:hint="eastAsia" w:ascii="宋体" w:hAnsi="宋体" w:eastAsia="宋体" w:cs="宋体"/>
                <w:spacing w:val="-12"/>
                <w:sz w:val="21"/>
                <w:szCs w:val="21"/>
                <w:highlight w:val="none"/>
                <w:lang w:eastAsia="zh-CN"/>
              </w:rPr>
              <w:t xml:space="preserve">h/300）。</w:t>
            </w:r>
            <w:r/>
          </w:p>
          <w:p>
            <w:pPr>
              <w:pStyle w:val="1179"/>
              <w:ind w:left="124"/>
              <w:spacing w:before="115"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危险构件位置：</w:t>
            </w:r>
            <w:r/>
          </w:p>
          <w:p>
            <w:pPr>
              <w:pStyle w:val="1179"/>
              <w:ind w:left="112"/>
              <w:spacing w:before="86"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3.承重钢结构构件存在以下情况时，评为“危险构件</w:t>
            </w:r>
            <w:r>
              <w:rPr>
                <w:rFonts w:hint="eastAsia" w:ascii="宋体" w:hAnsi="宋体" w:eastAsia="宋体" w:cs="宋体"/>
                <w:spacing w:val="-79"/>
                <w:sz w:val="21"/>
                <w:szCs w:val="21"/>
                <w:highlight w:val="none"/>
                <w:lang w:eastAsia="zh-CN"/>
              </w:rPr>
              <w:t xml:space="preserve"> </w:t>
            </w:r>
            <w:r>
              <w:rPr>
                <w:rFonts w:hint="eastAsia" w:ascii="宋体" w:hAnsi="宋体" w:eastAsia="宋体" w:cs="宋体"/>
                <w:spacing w:val="-2"/>
                <w:sz w:val="21"/>
                <w:szCs w:val="21"/>
                <w:highlight w:val="none"/>
                <w:lang w:eastAsia="zh-CN"/>
              </w:rPr>
              <w:t xml:space="preserve">”：</w:t>
            </w:r>
            <w:r/>
          </w:p>
          <w:p>
            <w:pPr>
              <w:pStyle w:val="1179"/>
              <w:ind w:left="125" w:right="86" w:firstLine="11"/>
              <w:spacing w:before="5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□柱、梁、屋架（网架）、支撑杆件或连接件有裂缝或锐</w:t>
            </w:r>
            <w:r>
              <w:rPr>
                <w:rFonts w:hint="eastAsia" w:ascii="宋体" w:hAnsi="宋体" w:eastAsia="宋体" w:cs="宋体"/>
                <w:spacing w:val="-6"/>
                <w:sz w:val="21"/>
                <w:szCs w:val="21"/>
                <w:highlight w:val="none"/>
                <w:lang w:eastAsia="zh-CN"/>
              </w:rPr>
              <w:t xml:space="preserve">角切</w:t>
            </w:r>
            <w:r>
              <w:rPr>
                <w:rFonts w:hint="eastAsia" w:ascii="宋体" w:hAnsi="宋体" w:eastAsia="宋体" w:cs="宋体"/>
                <w:spacing w:val="-52"/>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口，或焊缝、螺栓连接等有拉开、变形、松动现象；</w:t>
            </w:r>
            <w:r/>
          </w:p>
          <w:p>
            <w:pPr>
              <w:pStyle w:val="1179"/>
              <w:ind w:left="117" w:right="103" w:firstLine="18"/>
              <w:spacing w:before="85"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□柱、梁、屋架（网架）、支撑杆件存在严重锈蚀，且锈</w:t>
            </w:r>
            <w:r>
              <w:rPr>
                <w:rFonts w:hint="eastAsia" w:ascii="宋体" w:hAnsi="宋体" w:eastAsia="宋体" w:cs="宋体"/>
                <w:spacing w:val="-2"/>
                <w:sz w:val="21"/>
                <w:szCs w:val="21"/>
                <w:highlight w:val="none"/>
                <w:lang w:eastAsia="zh-CN"/>
              </w:rPr>
              <w:t xml:space="preserve">蚀部位可见明显起皮、分层；</w:t>
            </w:r>
            <w:r/>
          </w:p>
          <w:p>
            <w:pPr>
              <w:pStyle w:val="1179"/>
              <w:ind w:left="110" w:right="103" w:firstLine="26"/>
              <w:spacing w:before="87"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□梁跨中部位存在明显向下变形（梁、板等构件挠度大于</w:t>
            </w:r>
            <w:r>
              <w:rPr>
                <w:rFonts w:hint="eastAsia" w:ascii="宋体" w:hAnsi="宋体" w:eastAsia="宋体" w:cs="宋体"/>
                <w:spacing w:val="-3"/>
                <w:sz w:val="21"/>
                <w:szCs w:val="21"/>
                <w:highlight w:val="none"/>
                <w:lang w:eastAsia="zh-CN"/>
              </w:rPr>
              <w:t xml:space="preserve">l0/250</w:t>
            </w:r>
            <w:r>
              <w:rPr>
                <w:rFonts w:hint="eastAsia" w:ascii="宋体" w:hAnsi="宋体" w:eastAsia="宋体" w:cs="宋体"/>
                <w:spacing w:val="21"/>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或大于</w:t>
            </w:r>
            <w:r>
              <w:rPr>
                <w:rFonts w:hint="eastAsia" w:ascii="宋体" w:hAnsi="宋体" w:eastAsia="宋体" w:cs="宋体"/>
                <w:spacing w:val="-56"/>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45mm</w:t>
            </w:r>
            <w:r>
              <w:rPr>
                <w:rFonts w:hint="eastAsia" w:ascii="宋体" w:hAnsi="宋体" w:eastAsia="宋体" w:cs="宋体"/>
                <w:spacing w:val="-41"/>
                <w:sz w:val="21"/>
                <w:szCs w:val="21"/>
                <w:highlight w:val="none"/>
                <w:lang w:eastAsia="zh-CN"/>
              </w:rPr>
              <w:t xml:space="preserve">）；</w:t>
            </w:r>
            <w:r/>
          </w:p>
          <w:p>
            <w:pPr>
              <w:pStyle w:val="1179"/>
              <w:ind w:left="123" w:right="103" w:firstLine="13"/>
              <w:spacing w:before="83"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□柱存在明显倾斜（钢柱顶位移，平面内大于</w:t>
            </w:r>
            <w:r>
              <w:rPr>
                <w:rFonts w:hint="eastAsia" w:ascii="宋体" w:hAnsi="宋体" w:eastAsia="宋体" w:cs="宋体"/>
                <w:spacing w:val="-56"/>
                <w:sz w:val="21"/>
                <w:szCs w:val="21"/>
                <w:highlight w:val="none"/>
                <w:lang w:eastAsia="zh-CN"/>
              </w:rPr>
              <w:t xml:space="preserve"> </w:t>
            </w:r>
            <w:r>
              <w:rPr>
                <w:rFonts w:hint="eastAsia" w:ascii="宋体" w:hAnsi="宋体" w:eastAsia="宋体" w:cs="宋体"/>
                <w:spacing w:val="-1"/>
                <w:sz w:val="21"/>
                <w:szCs w:val="21"/>
                <w:highlight w:val="none"/>
                <w:lang w:eastAsia="zh-CN"/>
              </w:rPr>
              <w:t xml:space="preserve">h</w:t>
            </w:r>
            <w:r>
              <w:rPr>
                <w:rFonts w:hint="eastAsia" w:ascii="宋体" w:hAnsi="宋体" w:eastAsia="宋体" w:cs="宋体"/>
                <w:spacing w:val="-2"/>
                <w:sz w:val="21"/>
                <w:szCs w:val="21"/>
                <w:highlight w:val="none"/>
                <w:lang w:eastAsia="zh-CN"/>
              </w:rPr>
              <w:t xml:space="preserve">/150</w:t>
            </w:r>
            <w:r>
              <w:rPr>
                <w:rFonts w:hint="eastAsia" w:ascii="宋体" w:hAnsi="宋体" w:eastAsia="宋体" w:cs="宋体"/>
                <w:spacing w:val="-27"/>
                <w:sz w:val="21"/>
                <w:szCs w:val="21"/>
                <w:highlight w:val="none"/>
                <w:lang w:eastAsia="zh-CN"/>
              </w:rPr>
              <w:t xml:space="preserve"> </w:t>
            </w:r>
            <w:r>
              <w:rPr>
                <w:rFonts w:hint="eastAsia" w:ascii="宋体" w:hAnsi="宋体" w:eastAsia="宋体" w:cs="宋体"/>
                <w:spacing w:val="-2"/>
                <w:sz w:val="21"/>
                <w:szCs w:val="21"/>
                <w:highlight w:val="none"/>
                <w:lang w:eastAsia="zh-CN"/>
              </w:rPr>
              <w:t xml:space="preserve">，平</w:t>
            </w:r>
            <w:r>
              <w:rPr>
                <w:rFonts w:hint="eastAsia" w:ascii="宋体" w:hAnsi="宋体" w:eastAsia="宋体" w:cs="宋体"/>
                <w:spacing w:val="-4"/>
                <w:sz w:val="21"/>
                <w:szCs w:val="21"/>
                <w:highlight w:val="none"/>
                <w:lang w:eastAsia="zh-CN"/>
              </w:rPr>
              <w:t xml:space="preserve">面外大于</w:t>
            </w:r>
            <w:r>
              <w:rPr>
                <w:rFonts w:hint="eastAsia" w:ascii="宋体" w:hAnsi="宋体" w:eastAsia="宋体" w:cs="宋体"/>
                <w:spacing w:val="-58"/>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h/500</w:t>
            </w:r>
            <w:r>
              <w:rPr>
                <w:rFonts w:hint="eastAsia" w:ascii="宋体" w:hAnsi="宋体" w:eastAsia="宋体" w:cs="宋体"/>
                <w:spacing w:val="-28"/>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，或大于</w:t>
            </w:r>
            <w:r>
              <w:rPr>
                <w:rFonts w:hint="eastAsia" w:ascii="宋体" w:hAnsi="宋体" w:eastAsia="宋体" w:cs="宋体"/>
                <w:spacing w:val="-56"/>
                <w:sz w:val="21"/>
                <w:szCs w:val="21"/>
                <w:highlight w:val="none"/>
                <w:lang w:eastAsia="zh-CN"/>
              </w:rPr>
              <w:t xml:space="preserve"> </w:t>
            </w:r>
            <w:r>
              <w:rPr>
                <w:rFonts w:hint="eastAsia" w:ascii="宋体" w:hAnsi="宋体" w:eastAsia="宋体" w:cs="宋体"/>
                <w:spacing w:val="-4"/>
                <w:sz w:val="21"/>
                <w:szCs w:val="21"/>
                <w:highlight w:val="none"/>
                <w:lang w:eastAsia="zh-CN"/>
              </w:rPr>
              <w:t xml:space="preserve">40mm</w:t>
            </w:r>
            <w:r>
              <w:rPr>
                <w:rFonts w:hint="eastAsia" w:ascii="宋体" w:hAnsi="宋体" w:eastAsia="宋体" w:cs="宋体"/>
                <w:spacing w:val="-39"/>
                <w:sz w:val="21"/>
                <w:szCs w:val="21"/>
                <w:highlight w:val="none"/>
                <w:lang w:eastAsia="zh-CN"/>
              </w:rPr>
              <w:t xml:space="preserve">）；</w:t>
            </w:r>
            <w:r/>
          </w:p>
          <w:p>
            <w:pPr>
              <w:pStyle w:val="1179"/>
              <w:ind w:left="136"/>
              <w:spacing w:before="85"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□连接方式不当，构造有严重缺陷；</w:t>
            </w:r>
            <w:r/>
          </w:p>
          <w:p>
            <w:pPr>
              <w:pStyle w:val="1179"/>
              <w:ind w:left="120"/>
              <w:spacing w:before="47"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□屋架（网架）跨中部位存在明显向下变形，或屋架明显</w:t>
            </w:r>
            <w:r>
              <w:rPr>
                <w:rFonts w:hint="eastAsia" w:ascii="宋体" w:hAnsi="宋体" w:eastAsia="宋体" w:cs="宋体"/>
                <w:spacing w:val="-6"/>
                <w:sz w:val="21"/>
                <w:szCs w:val="21"/>
                <w:highlight w:val="none"/>
                <w:lang w:eastAsia="zh-CN"/>
              </w:rPr>
              <w:t xml:space="preserve">倾斜（屋架产生大于</w:t>
            </w:r>
            <w:r>
              <w:rPr>
                <w:rFonts w:hint="eastAsia" w:ascii="宋体" w:hAnsi="宋体" w:eastAsia="宋体" w:cs="宋体"/>
                <w:spacing w:val="-52"/>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l0/250或大于</w:t>
            </w:r>
            <w:r>
              <w:rPr>
                <w:rFonts w:hint="eastAsia" w:ascii="宋体" w:hAnsi="宋体" w:eastAsia="宋体" w:cs="宋体"/>
                <w:spacing w:val="-56"/>
                <w:sz w:val="21"/>
                <w:szCs w:val="21"/>
                <w:highlight w:val="none"/>
                <w:lang w:eastAsia="zh-CN"/>
              </w:rPr>
              <w:t xml:space="preserve"> </w:t>
            </w:r>
            <w:r>
              <w:rPr>
                <w:rFonts w:hint="eastAsia" w:ascii="宋体" w:hAnsi="宋体" w:eastAsia="宋体" w:cs="宋体"/>
                <w:spacing w:val="-6"/>
                <w:sz w:val="21"/>
                <w:szCs w:val="21"/>
                <w:highlight w:val="none"/>
                <w:lang w:eastAsia="zh-CN"/>
              </w:rPr>
              <w:t xml:space="preserve">40mm的挠度</w:t>
            </w:r>
            <w:r>
              <w:rPr>
                <w:rFonts w:hint="eastAsia" w:ascii="宋体" w:hAnsi="宋体" w:eastAsia="宋体" w:cs="宋体"/>
                <w:spacing w:val="-7"/>
                <w:sz w:val="21"/>
                <w:szCs w:val="21"/>
                <w:highlight w:val="none"/>
                <w:lang w:eastAsia="zh-CN"/>
              </w:rPr>
              <w:t xml:space="preserve">，屋架支</w:t>
            </w:r>
            <w:r>
              <w:rPr>
                <w:rFonts w:hint="eastAsia" w:ascii="宋体" w:hAnsi="宋体" w:eastAsia="宋体" w:cs="宋体"/>
                <w:spacing w:val="-2"/>
                <w:sz w:val="21"/>
                <w:szCs w:val="21"/>
                <w:highlight w:val="none"/>
                <w:lang w:eastAsia="zh-CN"/>
              </w:rPr>
              <w:t xml:space="preserve">撑系统松动失稳，导致屋架倾斜，倾斜量超过h/150）。</w:t>
            </w:r>
            <w:r/>
          </w:p>
          <w:p>
            <w:pPr>
              <w:pStyle w:val="1179"/>
              <w:ind w:left="124"/>
              <w:spacing w:before="119" w:line="240" w:lineRule="auto"/>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危险构件位置：</w:t>
            </w:r>
            <w:r/>
          </w:p>
          <w:p>
            <w:pPr>
              <w:pStyle w:val="1179"/>
              <w:ind w:left="124"/>
              <w:spacing w:before="119" w:line="240" w:lineRule="auto"/>
              <w:rPr>
                <w:rFonts w:ascii="宋体" w:hAnsi="宋体" w:eastAsia="宋体" w:cs="宋体"/>
                <w:spacing w:val="-4"/>
                <w:sz w:val="21"/>
                <w:szCs w:val="21"/>
                <w:highlight w:val="none"/>
                <w:lang w:eastAsia="zh-CN"/>
              </w:rPr>
            </w:pPr>
            <w:r>
              <w:rPr>
                <w:rFonts w:ascii="宋体" w:hAnsi="宋体" w:eastAsia="宋体" w:cs="宋体"/>
                <w:spacing w:val="-4"/>
                <w:sz w:val="21"/>
                <w:szCs w:val="21"/>
                <w:highlight w:val="none"/>
                <w:lang w:eastAsia="zh-CN"/>
              </w:rPr>
            </w:r>
            <w:r/>
          </w:p>
          <w:p>
            <w:pPr>
              <w:pStyle w:val="1179"/>
              <w:ind w:left="124"/>
              <w:spacing w:before="119" w:line="240" w:lineRule="auto"/>
              <w:rPr>
                <w:rFonts w:ascii="宋体" w:hAnsi="宋体" w:eastAsia="宋体" w:cs="宋体"/>
                <w:spacing w:val="-4"/>
                <w:sz w:val="21"/>
                <w:szCs w:val="21"/>
                <w:highlight w:val="none"/>
                <w:lang w:eastAsia="zh-CN"/>
              </w:rPr>
            </w:pPr>
            <w:r>
              <w:rPr>
                <w:rFonts w:ascii="宋体" w:hAnsi="宋体" w:eastAsia="宋体" w:cs="宋体"/>
                <w:spacing w:val="-4"/>
                <w:sz w:val="21"/>
                <w:szCs w:val="21"/>
                <w:highlight w:val="none"/>
                <w:lang w:eastAsia="zh-CN"/>
              </w:rPr>
            </w:r>
            <w:r/>
          </w:p>
          <w:p>
            <w:pPr>
              <w:pStyle w:val="1179"/>
              <w:ind w:left="117" w:right="103" w:hanging="11"/>
              <w:spacing w:before="82"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4.承重木结构构件（木（竹）柱、木构架、木（竹）梁、</w:t>
            </w:r>
            <w:r>
              <w:rPr>
                <w:rFonts w:hint="eastAsia" w:ascii="宋体" w:hAnsi="宋体" w:eastAsia="宋体" w:cs="宋体"/>
                <w:spacing w:val="-4"/>
                <w:sz w:val="21"/>
                <w:szCs w:val="21"/>
                <w:highlight w:val="none"/>
                <w:lang w:eastAsia="zh-CN"/>
              </w:rPr>
              <w:t xml:space="preserve">木屋架、木檩条、木格栅）存在以下情况时，评为“危险</w:t>
            </w:r>
            <w:r>
              <w:rPr>
                <w:rFonts w:hint="eastAsia" w:ascii="宋体" w:hAnsi="宋体" w:eastAsia="宋体" w:cs="宋体"/>
                <w:spacing w:val="-12"/>
                <w:sz w:val="21"/>
                <w:szCs w:val="21"/>
                <w:highlight w:val="none"/>
                <w:lang w:eastAsia="zh-CN"/>
              </w:rPr>
              <w:t xml:space="preserve">构件</w:t>
            </w:r>
            <w:r>
              <w:rPr>
                <w:rFonts w:hint="eastAsia" w:ascii="宋体" w:hAnsi="宋体" w:eastAsia="宋体" w:cs="宋体"/>
                <w:spacing w:val="-89"/>
                <w:sz w:val="21"/>
                <w:szCs w:val="21"/>
                <w:highlight w:val="none"/>
                <w:lang w:eastAsia="zh-CN"/>
              </w:rPr>
              <w:t xml:space="preserve"> </w:t>
            </w:r>
            <w:r>
              <w:rPr>
                <w:rFonts w:hint="eastAsia" w:ascii="宋体" w:hAnsi="宋体" w:eastAsia="宋体" w:cs="宋体"/>
                <w:spacing w:val="-12"/>
                <w:sz w:val="21"/>
                <w:szCs w:val="21"/>
                <w:highlight w:val="none"/>
                <w:lang w:eastAsia="zh-CN"/>
              </w:rPr>
              <w:t xml:space="preserve">”：</w:t>
            </w:r>
            <w:r/>
          </w:p>
          <w:p>
            <w:pPr>
              <w:pStyle w:val="1179"/>
              <w:ind w:left="123" w:right="103" w:firstLine="13"/>
              <w:spacing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□木柱明显变形，或柱顶劈裂，或柱（竹）身断裂，或柱</w:t>
            </w:r>
            <w:r>
              <w:rPr>
                <w:rFonts w:hint="eastAsia" w:ascii="宋体" w:hAnsi="宋体" w:eastAsia="宋体" w:cs="宋体"/>
                <w:spacing w:val="-2"/>
                <w:sz w:val="21"/>
                <w:szCs w:val="21"/>
                <w:highlight w:val="none"/>
                <w:lang w:eastAsia="zh-CN"/>
              </w:rPr>
              <w:t xml:space="preserve">（竹）脚腐朽面积超过</w:t>
            </w:r>
            <w:r>
              <w:rPr>
                <w:rFonts w:hint="eastAsia" w:ascii="宋体" w:hAnsi="宋体" w:eastAsia="宋体" w:cs="宋体"/>
                <w:spacing w:val="-54"/>
                <w:sz w:val="21"/>
                <w:szCs w:val="21"/>
                <w:highlight w:val="none"/>
                <w:lang w:eastAsia="zh-CN"/>
              </w:rPr>
              <w:t xml:space="preserve"> </w:t>
            </w:r>
            <w:r>
              <w:rPr>
                <w:rFonts w:hint="eastAsia" w:ascii="宋体" w:hAnsi="宋体" w:eastAsia="宋体" w:cs="宋体"/>
                <w:spacing w:val="-2"/>
                <w:sz w:val="21"/>
                <w:szCs w:val="21"/>
                <w:highlight w:val="none"/>
                <w:lang w:eastAsia="zh-CN"/>
              </w:rPr>
              <w:t xml:space="preserve">20%；</w:t>
            </w:r>
            <w:r/>
          </w:p>
          <w:p>
            <w:pPr>
              <w:pStyle w:val="1179"/>
              <w:ind w:left="119" w:right="103" w:firstLine="17"/>
              <w:spacing w:before="85"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□木梁、木屋架跨中部位存在明显向下变形现象，或支承</w:t>
            </w:r>
            <w:r>
              <w:rPr>
                <w:rFonts w:hint="eastAsia" w:ascii="宋体" w:hAnsi="宋体" w:eastAsia="宋体" w:cs="宋体"/>
                <w:spacing w:val="-2"/>
                <w:sz w:val="21"/>
                <w:szCs w:val="21"/>
                <w:highlight w:val="none"/>
                <w:lang w:eastAsia="zh-CN"/>
              </w:rPr>
              <w:t xml:space="preserve">部位存在明显腐朽或劈裂；</w:t>
            </w:r>
            <w:r/>
          </w:p>
          <w:p>
            <w:pPr>
              <w:pStyle w:val="1179"/>
              <w:ind w:left="118" w:right="103" w:firstLine="17"/>
              <w:spacing w:before="87"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□木檩条（木格栅）跨中部位存在明显向下变形现象，或</w:t>
            </w:r>
            <w:r>
              <w:rPr>
                <w:rFonts w:hint="eastAsia" w:ascii="宋体" w:hAnsi="宋体" w:eastAsia="宋体" w:cs="宋体"/>
                <w:spacing w:val="-1"/>
                <w:sz w:val="21"/>
                <w:szCs w:val="21"/>
                <w:highlight w:val="none"/>
                <w:lang w:eastAsia="zh-CN"/>
              </w:rPr>
              <w:t xml:space="preserve">入墙木（竹）质部位明显腐朽或虫蛀；</w:t>
            </w:r>
            <w:r/>
          </w:p>
          <w:p>
            <w:pPr>
              <w:pStyle w:val="1179"/>
              <w:ind w:left="121" w:right="103" w:firstLine="15"/>
              <w:spacing w:before="88"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□木（竹）屋架、木构架等构件节点松动变形、开裂，或</w:t>
            </w:r>
            <w:r>
              <w:rPr>
                <w:rFonts w:hint="eastAsia" w:ascii="宋体" w:hAnsi="宋体" w:eastAsia="宋体" w:cs="宋体"/>
                <w:spacing w:val="-1"/>
                <w:sz w:val="21"/>
                <w:szCs w:val="21"/>
                <w:highlight w:val="none"/>
                <w:lang w:eastAsia="zh-CN"/>
              </w:rPr>
              <w:t xml:space="preserve">铁件严重锈蚀、松动致使连接拔出或失效；</w:t>
            </w:r>
            <w:r/>
          </w:p>
          <w:p>
            <w:pPr>
              <w:pStyle w:val="1179"/>
              <w:ind w:left="120" w:right="103" w:firstLine="16"/>
              <w:spacing w:before="8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□木柱、木屋架上弦或木梁、木檩条（木格栅）干缩裂缝</w:t>
            </w:r>
            <w:r>
              <w:rPr>
                <w:rFonts w:hint="eastAsia" w:ascii="宋体" w:hAnsi="宋体" w:eastAsia="宋体" w:cs="宋体"/>
                <w:spacing w:val="-3"/>
                <w:sz w:val="21"/>
                <w:szCs w:val="21"/>
                <w:highlight w:val="none"/>
                <w:lang w:eastAsia="zh-CN"/>
              </w:rPr>
              <w:t xml:space="preserve">深度超过构件直径的</w:t>
            </w:r>
            <w:r>
              <w:rPr>
                <w:rFonts w:hint="eastAsia" w:ascii="宋体" w:hAnsi="宋体" w:eastAsia="宋体" w:cs="宋体"/>
                <w:spacing w:val="-32"/>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1/2</w:t>
            </w:r>
            <w:r>
              <w:rPr>
                <w:rFonts w:hint="eastAsia" w:ascii="宋体" w:hAnsi="宋体" w:eastAsia="宋体" w:cs="宋体"/>
                <w:spacing w:val="-27"/>
                <w:sz w:val="21"/>
                <w:szCs w:val="21"/>
                <w:highlight w:val="none"/>
                <w:lang w:eastAsia="zh-CN"/>
              </w:rPr>
              <w:t xml:space="preserve"> </w:t>
            </w:r>
            <w:r>
              <w:rPr>
                <w:rFonts w:hint="eastAsia" w:ascii="宋体" w:hAnsi="宋体" w:eastAsia="宋体" w:cs="宋体"/>
                <w:spacing w:val="-3"/>
                <w:sz w:val="21"/>
                <w:szCs w:val="21"/>
                <w:highlight w:val="none"/>
                <w:lang w:eastAsia="zh-CN"/>
              </w:rPr>
              <w:t xml:space="preserve">，且裂缝长度超过</w:t>
            </w:r>
            <w:r>
              <w:rPr>
                <w:rFonts w:hint="eastAsia" w:ascii="宋体" w:hAnsi="宋体" w:eastAsia="宋体" w:cs="宋体"/>
                <w:spacing w:val="-4"/>
                <w:sz w:val="21"/>
                <w:szCs w:val="21"/>
                <w:highlight w:val="none"/>
                <w:lang w:eastAsia="zh-CN"/>
              </w:rPr>
              <w:t xml:space="preserve">构件长度的</w:t>
            </w:r>
            <w:r>
              <w:rPr>
                <w:rFonts w:hint="eastAsia" w:ascii="宋体" w:hAnsi="宋体" w:eastAsia="宋体" w:cs="宋体"/>
                <w:spacing w:val="-2"/>
                <w:sz w:val="21"/>
                <w:szCs w:val="21"/>
                <w:highlight w:val="none"/>
                <w:lang w:eastAsia="zh-CN"/>
              </w:rPr>
              <w:t xml:space="preserve">2/3；</w:t>
            </w:r>
            <w:r/>
          </w:p>
          <w:p>
            <w:pPr>
              <w:pStyle w:val="1179"/>
              <w:ind w:left="122" w:right="103" w:firstLine="14"/>
              <w:spacing w:before="100"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□木（竹）柱、木（竹）梁、木（竹）屋架存在明显腐朽</w:t>
            </w:r>
            <w:r>
              <w:rPr>
                <w:rFonts w:hint="eastAsia" w:ascii="宋体" w:hAnsi="宋体" w:eastAsia="宋体" w:cs="宋体"/>
                <w:spacing w:val="-4"/>
                <w:sz w:val="21"/>
                <w:szCs w:val="21"/>
                <w:highlight w:val="none"/>
                <w:lang w:eastAsia="zh-CN"/>
              </w:rPr>
              <w:t xml:space="preserve">或虫蛀现象；</w:t>
            </w:r>
            <w:r/>
          </w:p>
          <w:p>
            <w:pPr>
              <w:pStyle w:val="1179"/>
              <w:ind w:left="124" w:right="786" w:firstLine="12"/>
              <w:spacing w:before="87" w:line="240" w:lineRule="auto"/>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□木构架中存在被判断为危险构件的木柱或木梁。</w:t>
            </w:r>
            <w:r/>
          </w:p>
          <w:p>
            <w:pPr>
              <w:pStyle w:val="1179"/>
              <w:ind w:left="124" w:right="786" w:firstLine="12"/>
              <w:spacing w:before="87" w:line="240" w:lineRule="auto"/>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危险构件位置：</w:t>
            </w:r>
            <w:r/>
          </w:p>
          <w:p>
            <w:pPr>
              <w:pStyle w:val="1179"/>
              <w:ind w:left="124" w:right="786" w:firstLine="12"/>
              <w:spacing w:before="87" w:line="240" w:lineRule="auto"/>
              <w:rPr>
                <w:rFonts w:ascii="宋体" w:hAnsi="宋体" w:eastAsia="宋体" w:cs="宋体"/>
                <w:spacing w:val="-4"/>
                <w:sz w:val="21"/>
                <w:szCs w:val="21"/>
                <w:highlight w:val="none"/>
                <w:lang w:eastAsia="zh-CN"/>
              </w:rPr>
            </w:pPr>
            <w:r>
              <w:rPr>
                <w:rFonts w:ascii="宋体" w:hAnsi="宋体" w:eastAsia="宋体" w:cs="宋体"/>
                <w:spacing w:val="-4"/>
                <w:sz w:val="21"/>
                <w:szCs w:val="21"/>
                <w:highlight w:val="none"/>
                <w:lang w:eastAsia="zh-CN"/>
              </w:rPr>
            </w:r>
            <w:r/>
          </w:p>
          <w:p>
            <w:pPr>
              <w:pStyle w:val="1179"/>
              <w:ind w:left="124" w:right="786" w:firstLine="12"/>
              <w:spacing w:before="87" w:line="240" w:lineRule="auto"/>
              <w:rPr>
                <w:rFonts w:ascii="宋体" w:hAnsi="宋体" w:eastAsia="宋体" w:cs="宋体"/>
                <w:spacing w:val="-4"/>
                <w:sz w:val="21"/>
                <w:szCs w:val="21"/>
                <w:highlight w:val="none"/>
                <w:lang w:eastAsia="zh-CN"/>
              </w:rPr>
            </w:pPr>
            <w:r>
              <w:rPr>
                <w:rFonts w:ascii="宋体" w:hAnsi="宋体" w:eastAsia="宋体" w:cs="宋体"/>
                <w:spacing w:val="-4"/>
                <w:sz w:val="21"/>
                <w:szCs w:val="21"/>
                <w:highlight w:val="none"/>
                <w:lang w:eastAsia="zh-CN"/>
              </w:rPr>
            </w:r>
            <w:r/>
          </w:p>
          <w:p>
            <w:pPr>
              <w:pStyle w:val="1179"/>
              <w:ind w:left="126"/>
              <w:spacing w:before="89" w:line="240" w:lineRule="auto"/>
              <w:rPr>
                <w:rFonts w:ascii="宋体" w:hAnsi="宋体" w:eastAsia="宋体" w:cs="宋体"/>
                <w:sz w:val="21"/>
                <w:szCs w:val="21"/>
                <w:highlight w:val="none"/>
                <w:lang w:eastAsia="zh-CN"/>
              </w:rPr>
            </w:pPr>
            <w:r>
              <w:rPr>
                <w:rFonts w:hint="eastAsia" w:ascii="宋体" w:hAnsi="宋体" w:eastAsia="宋体" w:cs="宋体"/>
                <w:b/>
                <w:bCs/>
                <w:spacing w:val="-3"/>
                <w:sz w:val="21"/>
                <w:szCs w:val="21"/>
                <w:highlight w:val="none"/>
                <w:lang w:eastAsia="zh-CN"/>
              </w:rPr>
              <w:t xml:space="preserve">二、承重构件损伤变形情况的评价方法：</w:t>
            </w:r>
            <w:r/>
          </w:p>
          <w:p>
            <w:pPr>
              <w:pStyle w:val="1179"/>
              <w:ind w:left="160" w:right="103" w:hanging="30"/>
              <w:spacing w:before="89"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1.有下列情形之一的房屋，承重构件损伤变形情况</w:t>
            </w:r>
            <w:r>
              <w:rPr>
                <w:rFonts w:hint="eastAsia" w:ascii="宋体" w:hAnsi="宋体" w:eastAsia="宋体" w:cs="宋体"/>
                <w:spacing w:val="-9"/>
                <w:sz w:val="21"/>
                <w:szCs w:val="21"/>
                <w:highlight w:val="none"/>
                <w:lang w:eastAsia="zh-CN"/>
              </w:rPr>
              <w:t xml:space="preserve">评价为“3级</w:t>
            </w:r>
            <w:r>
              <w:rPr>
                <w:rFonts w:hint="eastAsia" w:ascii="宋体" w:hAnsi="宋体" w:eastAsia="宋体" w:cs="宋体"/>
                <w:spacing w:val="-89"/>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w:t>
            </w:r>
            <w:r/>
          </w:p>
          <w:p>
            <w:pPr>
              <w:pStyle w:val="1179"/>
              <w:ind w:left="123"/>
              <w:spacing w:before="2"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（1）多数墙（柱）为危险构件；</w:t>
            </w:r>
            <w:r/>
          </w:p>
          <w:p>
            <w:pPr>
              <w:pStyle w:val="1179"/>
              <w:ind w:left="118" w:right="149" w:firstLine="4"/>
              <w:spacing w:before="84"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（2）少数墙（柱）为危险构件，但集中分布于房屋同一</w:t>
            </w:r>
            <w:r>
              <w:rPr>
                <w:rFonts w:hint="eastAsia" w:ascii="宋体" w:hAnsi="宋体" w:eastAsia="宋体" w:cs="宋体"/>
                <w:spacing w:val="-6"/>
                <w:sz w:val="21"/>
                <w:szCs w:val="21"/>
                <w:highlight w:val="none"/>
                <w:lang w:eastAsia="zh-CN"/>
              </w:rPr>
              <w:t xml:space="preserve">开间；</w:t>
            </w:r>
            <w:r/>
          </w:p>
          <w:p>
            <w:pPr>
              <w:pStyle w:val="1179"/>
              <w:ind w:left="127" w:right="103" w:hanging="4"/>
              <w:spacing w:before="85" w:line="240" w:lineRule="auto"/>
              <w:rPr>
                <w:rFonts w:ascii="宋体" w:hAnsi="宋体" w:eastAsia="宋体" w:cs="宋体"/>
                <w:sz w:val="21"/>
                <w:szCs w:val="21"/>
                <w:highlight w:val="none"/>
                <w:lang w:eastAsia="zh-CN"/>
              </w:rPr>
            </w:pPr>
            <w:r>
              <w:rPr>
                <w:rFonts w:hint="eastAsia" w:ascii="宋体" w:hAnsi="宋体" w:eastAsia="宋体" w:cs="宋体"/>
                <w:spacing w:val="-9"/>
                <w:sz w:val="21"/>
                <w:szCs w:val="21"/>
                <w:highlight w:val="none"/>
                <w:lang w:eastAsia="zh-CN"/>
              </w:rPr>
              <w:t xml:space="preserve">（3）多数梁（屋架）为危险构件，或虽然仅有少数梁（屋</w:t>
            </w:r>
            <w:r>
              <w:rPr>
                <w:rFonts w:hint="eastAsia" w:ascii="宋体" w:hAnsi="宋体" w:eastAsia="宋体" w:cs="宋体"/>
                <w:spacing w:val="-2"/>
                <w:sz w:val="21"/>
                <w:szCs w:val="21"/>
                <w:highlight w:val="none"/>
                <w:lang w:eastAsia="zh-CN"/>
              </w:rPr>
              <w:t xml:space="preserve">架）为危险构件，但集中分布于房屋同一开间；</w:t>
            </w:r>
            <w:r/>
          </w:p>
          <w:p>
            <w:pPr>
              <w:pStyle w:val="1179"/>
              <w:ind w:left="129" w:right="149" w:hanging="6"/>
              <w:spacing w:before="91"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（4）多数现浇板为危险构件，或虽然有少数现浇板为危</w:t>
            </w:r>
            <w:r>
              <w:rPr>
                <w:rFonts w:hint="eastAsia" w:ascii="宋体" w:hAnsi="宋体" w:eastAsia="宋体" w:cs="宋体"/>
                <w:spacing w:val="-2"/>
                <w:sz w:val="21"/>
                <w:szCs w:val="21"/>
                <w:highlight w:val="none"/>
                <w:lang w:eastAsia="zh-CN"/>
              </w:rPr>
              <w:t xml:space="preserve">险构件，但在同一楼层存在分布连续的情况；</w:t>
            </w:r>
            <w:r/>
          </w:p>
          <w:p>
            <w:pPr>
              <w:pStyle w:val="1179"/>
              <w:ind w:left="118" w:right="103" w:firstLine="4"/>
              <w:spacing w:before="89"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（5）大多数预制板（檩条、格栅）为危险构件，或虽然</w:t>
            </w:r>
            <w:r>
              <w:rPr>
                <w:rFonts w:hint="eastAsia" w:ascii="宋体" w:hAnsi="宋体" w:eastAsia="宋体" w:cs="宋体"/>
                <w:spacing w:val="-4"/>
                <w:sz w:val="21"/>
                <w:szCs w:val="21"/>
                <w:highlight w:val="none"/>
                <w:lang w:eastAsia="zh-CN"/>
              </w:rPr>
              <w:t xml:space="preserve">多数预制板（檩条、格栅）为危险构件，但存在集中或连</w:t>
            </w:r>
            <w:r>
              <w:rPr>
                <w:rFonts w:hint="eastAsia" w:ascii="宋体" w:hAnsi="宋体" w:eastAsia="宋体" w:cs="宋体"/>
                <w:spacing w:val="-1"/>
                <w:sz w:val="21"/>
                <w:szCs w:val="21"/>
                <w:highlight w:val="none"/>
                <w:lang w:eastAsia="zh-CN"/>
              </w:rPr>
              <w:t xml:space="preserve">续分布在同一开间或同一楼层的情况；</w:t>
            </w:r>
            <w:r/>
          </w:p>
          <w:p>
            <w:pPr>
              <w:pStyle w:val="1179"/>
              <w:ind w:left="123"/>
              <w:spacing w:before="92" w:line="240" w:lineRule="auto"/>
              <w:rPr>
                <w:rFonts w:ascii="宋体" w:hAnsi="宋体" w:eastAsia="宋体" w:cs="宋体"/>
                <w:sz w:val="21"/>
                <w:szCs w:val="21"/>
                <w:highlight w:val="none"/>
                <w:lang w:eastAsia="zh-CN"/>
              </w:rPr>
            </w:pPr>
            <w:r>
              <w:rPr>
                <w:rFonts w:hint="eastAsia" w:ascii="宋体" w:hAnsi="宋体" w:eastAsia="宋体" w:cs="宋体"/>
                <w:spacing w:val="-2"/>
                <w:sz w:val="21"/>
                <w:szCs w:val="21"/>
                <w:highlight w:val="none"/>
                <w:lang w:eastAsia="zh-CN"/>
              </w:rPr>
              <w:t xml:space="preserve">（6）钢网架为危险构件；</w:t>
            </w:r>
            <w:r/>
          </w:p>
          <w:p>
            <w:pPr>
              <w:pStyle w:val="1179"/>
              <w:ind w:left="160" w:right="103" w:hanging="53"/>
              <w:spacing w:before="78" w:line="240" w:lineRule="auto"/>
              <w:rPr>
                <w:rFonts w:ascii="宋体" w:hAnsi="宋体" w:eastAsia="宋体" w:cs="宋体"/>
                <w:spacing w:val="-2"/>
                <w:sz w:val="21"/>
                <w:szCs w:val="21"/>
                <w:highlight w:val="none"/>
                <w:lang w:eastAsia="zh-CN"/>
              </w:rPr>
            </w:pPr>
            <w:r>
              <w:rPr>
                <w:rFonts w:hint="eastAsia" w:ascii="宋体" w:hAnsi="宋体" w:eastAsia="宋体" w:cs="宋体"/>
                <w:spacing w:val="-2"/>
                <w:sz w:val="21"/>
                <w:szCs w:val="21"/>
                <w:highlight w:val="none"/>
                <w:lang w:eastAsia="zh-CN"/>
              </w:rPr>
              <w:t xml:space="preserve">（7）楼盖（屋盖）局部坍塌。</w:t>
            </w:r>
            <w:r/>
          </w:p>
          <w:p>
            <w:pPr>
              <w:pStyle w:val="1179"/>
              <w:ind w:left="160" w:right="103" w:hanging="53"/>
              <w:spacing w:before="78"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2.有下列情形之一的房屋，承重构件损伤变形情况</w:t>
            </w:r>
            <w:r>
              <w:rPr>
                <w:rFonts w:hint="eastAsia" w:ascii="宋体" w:hAnsi="宋体" w:eastAsia="宋体" w:cs="宋体"/>
                <w:spacing w:val="-9"/>
                <w:sz w:val="21"/>
                <w:szCs w:val="21"/>
                <w:highlight w:val="none"/>
                <w:lang w:eastAsia="zh-CN"/>
              </w:rPr>
              <w:t xml:space="preserve">评价为“2级</w:t>
            </w:r>
            <w:r>
              <w:rPr>
                <w:rFonts w:hint="eastAsia" w:ascii="宋体" w:hAnsi="宋体" w:eastAsia="宋体" w:cs="宋体"/>
                <w:spacing w:val="-81"/>
                <w:sz w:val="21"/>
                <w:szCs w:val="21"/>
                <w:highlight w:val="none"/>
                <w:lang w:eastAsia="zh-CN"/>
              </w:rPr>
              <w:t xml:space="preserve"> </w:t>
            </w:r>
            <w:r>
              <w:rPr>
                <w:rFonts w:hint="eastAsia" w:ascii="宋体" w:hAnsi="宋体" w:eastAsia="宋体" w:cs="宋体"/>
                <w:spacing w:val="-9"/>
                <w:sz w:val="21"/>
                <w:szCs w:val="21"/>
                <w:highlight w:val="none"/>
                <w:lang w:eastAsia="zh-CN"/>
              </w:rPr>
              <w:t xml:space="preserve">”：</w:t>
            </w:r>
            <w:r/>
          </w:p>
          <w:p>
            <w:pPr>
              <w:pStyle w:val="1179"/>
              <w:ind w:left="126" w:right="4" w:hanging="3"/>
              <w:spacing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（1）个别承重墙（柱）为危险构件，或少数承重墙（柱）</w:t>
            </w:r>
            <w:r>
              <w:rPr>
                <w:rFonts w:hint="eastAsia" w:ascii="宋体" w:hAnsi="宋体" w:eastAsia="宋体" w:cs="宋体"/>
                <w:spacing w:val="-2"/>
                <w:sz w:val="21"/>
                <w:szCs w:val="21"/>
                <w:highlight w:val="none"/>
                <w:lang w:eastAsia="zh-CN"/>
              </w:rPr>
              <w:t xml:space="preserve">为危险构件，但未集中分布于房屋同一开间；</w:t>
            </w:r>
            <w:r/>
          </w:p>
          <w:p>
            <w:pPr>
              <w:pStyle w:val="1179"/>
              <w:ind w:left="118" w:right="72" w:firstLine="4"/>
              <w:spacing w:before="89" w:line="240" w:lineRule="auto"/>
              <w:rPr>
                <w:rFonts w:ascii="宋体" w:hAnsi="宋体" w:eastAsia="宋体" w:cs="宋体"/>
                <w:sz w:val="21"/>
                <w:szCs w:val="21"/>
                <w:highlight w:val="none"/>
                <w:lang w:eastAsia="zh-CN"/>
              </w:rPr>
            </w:pPr>
            <w:r>
              <w:rPr>
                <w:rFonts w:hint="eastAsia" w:ascii="宋体" w:hAnsi="宋体" w:eastAsia="宋体" w:cs="宋体"/>
                <w:spacing w:val="-1"/>
                <w:sz w:val="21"/>
                <w:szCs w:val="21"/>
                <w:highlight w:val="none"/>
                <w:lang w:eastAsia="zh-CN"/>
              </w:rPr>
              <w:t xml:space="preserve">（2）少数梁（屋架）为危险构件，但未集中分布于房屋</w:t>
            </w:r>
            <w:r>
              <w:rPr>
                <w:rFonts w:hint="eastAsia" w:ascii="宋体" w:hAnsi="宋体" w:eastAsia="宋体" w:cs="宋体"/>
                <w:spacing w:val="-4"/>
                <w:sz w:val="21"/>
                <w:szCs w:val="21"/>
                <w:highlight w:val="none"/>
                <w:lang w:eastAsia="zh-CN"/>
              </w:rPr>
              <w:t xml:space="preserve">同一开间；或少数现浇板为危险构件，但在同一楼层分布</w:t>
            </w:r>
            <w:r>
              <w:rPr>
                <w:rFonts w:hint="eastAsia" w:ascii="宋体" w:hAnsi="宋体" w:eastAsia="宋体" w:cs="宋体"/>
                <w:spacing w:val="-3"/>
                <w:sz w:val="21"/>
                <w:szCs w:val="21"/>
                <w:highlight w:val="none"/>
                <w:lang w:eastAsia="zh-CN"/>
              </w:rPr>
              <w:t xml:space="preserve">不连续；或多数（或少数、个别）预制板（檩条、格栅、</w:t>
            </w:r>
            <w:r>
              <w:rPr>
                <w:rFonts w:hint="eastAsia" w:ascii="宋体" w:hAnsi="宋体" w:eastAsia="宋体" w:cs="宋体"/>
                <w:spacing w:val="-4"/>
                <w:sz w:val="21"/>
                <w:szCs w:val="21"/>
                <w:highlight w:val="none"/>
                <w:lang w:eastAsia="zh-CN"/>
              </w:rPr>
              <w:t xml:space="preserve">石板、石条）为危险构件，但同一开间或同一楼层分布不</w:t>
            </w:r>
            <w:r>
              <w:rPr>
                <w:rFonts w:hint="eastAsia" w:ascii="宋体" w:hAnsi="宋体" w:eastAsia="宋体" w:cs="宋体"/>
                <w:spacing w:val="-6"/>
                <w:sz w:val="21"/>
                <w:szCs w:val="21"/>
                <w:highlight w:val="none"/>
                <w:lang w:eastAsia="zh-CN"/>
              </w:rPr>
              <w:t xml:space="preserve">连续。</w:t>
            </w:r>
            <w:r/>
          </w:p>
          <w:p>
            <w:pPr>
              <w:pStyle w:val="1179"/>
              <w:ind w:left="120" w:right="103" w:firstLine="16"/>
              <w:spacing w:before="90" w:line="240" w:lineRule="auto"/>
              <w:rPr>
                <w:rFonts w:ascii="宋体" w:hAnsi="宋体" w:eastAsia="宋体" w:cs="宋体"/>
                <w:b/>
                <w:spacing w:val="-4"/>
                <w:sz w:val="21"/>
                <w:szCs w:val="21"/>
                <w:highlight w:val="none"/>
                <w:lang w:eastAsia="zh-CN"/>
              </w:rPr>
            </w:pPr>
            <w:r>
              <w:rPr>
                <w:rFonts w:hint="eastAsia" w:ascii="宋体" w:hAnsi="宋体" w:eastAsia="宋体" w:cs="宋体"/>
                <w:spacing w:val="-1"/>
                <w:sz w:val="21"/>
                <w:szCs w:val="21"/>
                <w:highlight w:val="none"/>
                <w:lang w:eastAsia="zh-CN"/>
              </w:rPr>
              <w:t xml:space="preserve">3.不存在上述情况时，承重构件损伤变形情况检查项目评</w:t>
            </w:r>
            <w:r>
              <w:rPr>
                <w:rFonts w:hint="eastAsia" w:ascii="宋体" w:hAnsi="宋体" w:eastAsia="宋体" w:cs="宋体"/>
                <w:spacing w:val="-7"/>
                <w:sz w:val="21"/>
                <w:szCs w:val="21"/>
                <w:highlight w:val="none"/>
                <w:lang w:eastAsia="zh-CN"/>
              </w:rPr>
              <w:t xml:space="preserve">价为“1级</w:t>
            </w:r>
            <w:r>
              <w:rPr>
                <w:rFonts w:hint="eastAsia" w:ascii="宋体" w:hAnsi="宋体" w:eastAsia="宋体" w:cs="宋体"/>
                <w:spacing w:val="-89"/>
                <w:sz w:val="21"/>
                <w:szCs w:val="21"/>
                <w:highlight w:val="none"/>
                <w:lang w:eastAsia="zh-CN"/>
              </w:rPr>
              <w:t xml:space="preserve"> </w:t>
            </w:r>
            <w:r>
              <w:rPr>
                <w:rFonts w:hint="eastAsia" w:ascii="宋体" w:hAnsi="宋体" w:eastAsia="宋体" w:cs="宋体"/>
                <w:spacing w:val="-7"/>
                <w:sz w:val="21"/>
                <w:szCs w:val="21"/>
                <w:highlight w:val="none"/>
                <w:lang w:eastAsia="zh-CN"/>
              </w:rPr>
              <w:t xml:space="preserve">”。</w:t>
            </w:r>
            <w:r/>
          </w:p>
        </w:tc>
      </w:tr>
      <w:tr>
        <w:trPr>
          <w:jc w:val="center"/>
          <w:trHeight w:val="90"/>
        </w:trPr>
        <w:tc>
          <w:tcPr>
            <w:gridSpan w:val="2"/>
            <w:tcW w:w="9640" w:type="dxa"/>
            <w:vAlign w:val="center"/>
            <w:textDirection w:val="lrTb"/>
            <w:noWrap w:val="false"/>
          </w:tcPr>
          <w:p>
            <w:pPr>
              <w:pStyle w:val="1179"/>
              <w:spacing w:before="78" w:line="240" w:lineRule="auto"/>
              <w:rPr>
                <w:rFonts w:ascii="宋体" w:hAnsi="宋体" w:eastAsia="宋体" w:cs="宋体"/>
                <w:b/>
                <w:spacing w:val="-4"/>
                <w:sz w:val="21"/>
                <w:szCs w:val="21"/>
                <w:highlight w:val="none"/>
                <w:lang w:eastAsia="zh-CN"/>
              </w:rPr>
            </w:pPr>
            <w:r>
              <w:rPr>
                <w:rFonts w:hint="eastAsia" w:ascii="宋体" w:hAnsi="宋体" w:eastAsia="宋体" w:cs="宋体"/>
                <w:b/>
                <w:spacing w:val="-4"/>
                <w:sz w:val="21"/>
                <w:szCs w:val="21"/>
                <w:highlight w:val="none"/>
                <w:lang w:eastAsia="zh-CN"/>
              </w:rPr>
              <w:t xml:space="preserve">房屋附属系统分项检查指标评价标准</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围护系统损伤变形情况</w:t>
            </w:r>
            <w:r/>
          </w:p>
          <w:p>
            <w:pPr>
              <w:pStyle w:val="1179"/>
              <w:jc w:val="center"/>
              <w:spacing w:line="240" w:lineRule="auto"/>
              <w:widowControl/>
              <w:rPr>
                <w:rFonts w:ascii="宋体" w:hAnsi="宋体" w:eastAsia="宋体" w:cs="宋体"/>
                <w:sz w:val="21"/>
                <w:szCs w:val="21"/>
                <w:highlight w:val="none"/>
                <w:lang w:eastAsia="zh-CN"/>
              </w:rPr>
            </w:pPr>
            <w:r>
              <w:rPr>
                <w:rFonts w:ascii="宋体" w:hAnsi="宋体" w:eastAsia="宋体" w:cs="宋体"/>
                <w:sz w:val="21"/>
                <w:szCs w:val="21"/>
                <w:highlight w:val="none"/>
                <w:lang w:eastAsia="zh-CN"/>
              </w:rPr>
            </w:r>
            <w:r/>
          </w:p>
        </w:tc>
        <w:tc>
          <w:tcPr>
            <w:tcW w:w="8428" w:type="dxa"/>
            <w:textDirection w:val="lrTb"/>
            <w:noWrap w:val="false"/>
          </w:tcPr>
          <w:p>
            <w:pPr>
              <w:pStyle w:val="1179"/>
              <w:ind w:left="124" w:right="101" w:firstLine="14"/>
              <w:spacing w:before="6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1.</w:t>
            </w:r>
            <w:r>
              <w:rPr>
                <w:rFonts w:hint="eastAsia" w:ascii="宋体" w:hAnsi="宋体" w:eastAsia="宋体" w:cs="宋体"/>
                <w:spacing w:val="-20"/>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围护系统损伤情况检查结果符合以下条件时，</w:t>
            </w:r>
            <w:r>
              <w:rPr>
                <w:rFonts w:hint="eastAsia" w:ascii="宋体" w:hAnsi="宋体" w:eastAsia="宋体" w:cs="宋体"/>
                <w:spacing w:val="-7"/>
                <w:sz w:val="21"/>
                <w:szCs w:val="21"/>
                <w:highlight w:val="none"/>
                <w:lang w:eastAsia="zh-CN"/>
              </w:rPr>
              <w:t xml:space="preserve">评价为“</w:t>
            </w:r>
            <w:r>
              <w:rPr>
                <w:rFonts w:hint="eastAsia" w:ascii="宋体" w:hAnsi="宋体" w:eastAsia="宋体" w:cs="宋体"/>
                <w:spacing w:val="-12"/>
                <w:sz w:val="21"/>
                <w:szCs w:val="21"/>
                <w:highlight w:val="none"/>
                <w:lang w:eastAsia="zh-CN"/>
              </w:rPr>
              <w:t xml:space="preserve">1级</w:t>
            </w:r>
            <w:r>
              <w:rPr>
                <w:rFonts w:hint="eastAsia" w:ascii="宋体" w:hAnsi="宋体" w:eastAsia="宋体" w:cs="宋体"/>
                <w:spacing w:val="-7"/>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5"/>
                <w:sz w:val="21"/>
                <w:szCs w:val="21"/>
                <w:highlight w:val="none"/>
                <w:lang w:eastAsia="zh-CN"/>
              </w:rPr>
            </w:pPr>
            <w:r>
              <w:rPr>
                <w:rFonts w:hint="eastAsia" w:ascii="宋体" w:hAnsi="宋体" w:eastAsia="宋体" w:cs="宋体"/>
                <w:spacing w:val="3"/>
                <w:sz w:val="21"/>
                <w:szCs w:val="21"/>
                <w:highlight w:val="none"/>
                <w:lang w:eastAsia="zh-CN"/>
              </w:rPr>
              <w:t xml:space="preserve">□围护墙体（非承重外墙、分隔墙、女儿墙）与主体结构连接可靠，无明显歪闪变形，无裂缝，无风化、酥碱，</w:t>
            </w:r>
            <w:r>
              <w:rPr>
                <w:rFonts w:hint="eastAsia" w:ascii="宋体" w:hAnsi="宋体" w:eastAsia="宋体" w:cs="宋体"/>
                <w:spacing w:val="4"/>
                <w:sz w:val="21"/>
                <w:szCs w:val="21"/>
                <w:highlight w:val="none"/>
                <w:lang w:eastAsia="zh-CN"/>
              </w:rPr>
              <w:t xml:space="preserve">或个别墙体有细微裂缝，或个别墙体存在因风化酥碱削</w:t>
            </w:r>
            <w:r>
              <w:rPr>
                <w:rFonts w:hint="eastAsia" w:ascii="宋体" w:hAnsi="宋体" w:eastAsia="宋体" w:cs="宋体"/>
                <w:spacing w:val="-5"/>
                <w:sz w:val="21"/>
                <w:szCs w:val="21"/>
                <w:highlight w:val="none"/>
                <w:lang w:eastAsia="zh-CN"/>
              </w:rPr>
              <w:t xml:space="preserve">弱截面不超过15%。</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外墙粉刷层/面砖/外保温层无裂损、空鼓、</w:t>
            </w:r>
            <w:r>
              <w:rPr>
                <w:rFonts w:hint="eastAsia" w:ascii="宋体" w:hAnsi="宋体" w:eastAsia="宋体" w:cs="宋体"/>
                <w:spacing w:val="-3"/>
                <w:sz w:val="21"/>
                <w:szCs w:val="21"/>
                <w:highlight w:val="none"/>
                <w:lang w:eastAsia="zh-CN"/>
              </w:rPr>
              <w:t xml:space="preserve">脱落；</w:t>
            </w:r>
            <w:r/>
          </w:p>
          <w:p>
            <w:pPr>
              <w:pStyle w:val="1179"/>
              <w:ind w:left="124" w:right="101" w:firstLine="14"/>
              <w:spacing w:before="69" w:line="240" w:lineRule="auto"/>
              <w:rPr>
                <w:rFonts w:ascii="宋体" w:hAnsi="宋体" w:eastAsia="宋体" w:cs="宋体"/>
                <w:spacing w:val="-5"/>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屋面构件（屋面瓦片、基层、檐口木格栅等）无裂损、老化腐朽、变形、</w:t>
            </w:r>
            <w:r>
              <w:rPr>
                <w:rFonts w:hint="eastAsia" w:ascii="宋体" w:hAnsi="宋体" w:eastAsia="宋体" w:cs="宋体"/>
                <w:spacing w:val="-3"/>
                <w:sz w:val="21"/>
                <w:szCs w:val="21"/>
                <w:highlight w:val="none"/>
                <w:lang w:eastAsia="zh-CN"/>
              </w:rPr>
              <w:t xml:space="preserve">脱落；</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房屋阳台、露台、雨棚板、过道、楼梯、</w:t>
            </w:r>
            <w:r>
              <w:rPr>
                <w:rFonts w:hint="eastAsia" w:ascii="宋体" w:hAnsi="宋体" w:eastAsia="宋体" w:cs="宋体"/>
                <w:sz w:val="21"/>
                <w:szCs w:val="21"/>
                <w:highlight w:val="none"/>
                <w:lang w:eastAsia="zh-CN"/>
              </w:rPr>
              <w:t xml:space="preserve">栏杆和扶手</w:t>
            </w:r>
            <w:r>
              <w:rPr>
                <w:rFonts w:hint="eastAsia" w:ascii="宋体" w:hAnsi="宋体" w:eastAsia="宋体" w:cs="宋体"/>
                <w:spacing w:val="1"/>
                <w:sz w:val="21"/>
                <w:szCs w:val="21"/>
                <w:highlight w:val="none"/>
                <w:lang w:eastAsia="zh-CN"/>
              </w:rPr>
              <w:t xml:space="preserve">无裂损、变形</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1"/>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房屋门窗完好，无裂损、变形；</w:t>
            </w:r>
            <w:r/>
          </w:p>
          <w:p>
            <w:pPr>
              <w:pStyle w:val="1179"/>
              <w:ind w:left="124" w:right="101" w:firstLine="14"/>
              <w:spacing w:before="69" w:line="240" w:lineRule="auto"/>
              <w:rPr>
                <w:rFonts w:ascii="宋体" w:hAnsi="宋体" w:eastAsia="宋体" w:cs="宋体"/>
                <w:spacing w:val="1"/>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房屋幕墙完好，无裂损、变形；</w:t>
            </w:r>
            <w:r/>
          </w:p>
          <w:p>
            <w:pPr>
              <w:pStyle w:val="1179"/>
              <w:ind w:left="124" w:right="101" w:firstLine="14"/>
              <w:spacing w:before="69" w:line="240" w:lineRule="auto"/>
              <w:rPr>
                <w:rFonts w:ascii="宋体" w:hAnsi="宋体" w:eastAsia="宋体" w:cs="宋体"/>
                <w:spacing w:val="1"/>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房屋吊顶完好，无变形、脱落；</w:t>
            </w:r>
            <w:r/>
          </w:p>
          <w:p>
            <w:pPr>
              <w:pStyle w:val="1179"/>
              <w:ind w:left="124" w:right="101" w:firstLine="14"/>
              <w:spacing w:before="69" w:line="240" w:lineRule="auto"/>
              <w:rPr>
                <w:rFonts w:ascii="宋体" w:hAnsi="宋体" w:eastAsia="宋体" w:cs="宋体"/>
                <w:sz w:val="21"/>
                <w:szCs w:val="21"/>
                <w:highlight w:val="none"/>
                <w:lang w:eastAsia="zh-CN"/>
              </w:rPr>
            </w:pPr>
            <w:r>
              <w:rPr>
                <w:rFonts w:hint="eastAsia" w:ascii="宋体" w:hAnsi="宋体" w:eastAsia="宋体" w:cs="宋体"/>
                <w:spacing w:val="-4"/>
                <w:sz w:val="21"/>
                <w:szCs w:val="21"/>
                <w:highlight w:val="none"/>
                <w:lang w:eastAsia="zh-CN"/>
              </w:rPr>
              <w:t xml:space="preserve">2.</w:t>
            </w:r>
            <w:r>
              <w:rPr>
                <w:rFonts w:hint="eastAsia" w:ascii="宋体" w:hAnsi="宋体" w:eastAsia="宋体" w:cs="宋体"/>
                <w:spacing w:val="-20"/>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围护系统损伤</w:t>
            </w:r>
            <w:r>
              <w:rPr>
                <w:rFonts w:hint="eastAsia" w:ascii="宋体" w:hAnsi="宋体" w:eastAsia="宋体" w:cs="宋体"/>
                <w:spacing w:val="-4"/>
                <w:sz w:val="21"/>
                <w:szCs w:val="21"/>
                <w:highlight w:val="none"/>
                <w:lang w:eastAsia="zh-CN"/>
              </w:rPr>
              <w:t xml:space="preserve">情况检查结果符合以下条件时</w:t>
            </w:r>
            <w:r>
              <w:rPr>
                <w:rFonts w:hint="eastAsia" w:ascii="宋体" w:hAnsi="宋体" w:eastAsia="宋体" w:cs="宋体"/>
                <w:spacing w:val="-5"/>
                <w:sz w:val="21"/>
                <w:szCs w:val="21"/>
                <w:highlight w:val="none"/>
                <w:lang w:eastAsia="zh-CN"/>
              </w:rPr>
              <w:t xml:space="preserve">，评价为“</w:t>
            </w:r>
            <w:r>
              <w:rPr>
                <w:rFonts w:hint="eastAsia" w:ascii="宋体" w:hAnsi="宋体" w:eastAsia="宋体" w:cs="宋体"/>
                <w:spacing w:val="-7"/>
                <w:sz w:val="21"/>
                <w:szCs w:val="21"/>
                <w:highlight w:val="none"/>
                <w:lang w:eastAsia="zh-CN"/>
              </w:rPr>
              <w:t xml:space="preserve">2级</w:t>
            </w:r>
            <w:r>
              <w:rPr>
                <w:rFonts w:hint="eastAsia" w:ascii="宋体" w:hAnsi="宋体" w:eastAsia="宋体" w:cs="宋体"/>
                <w:spacing w:val="-88"/>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2"/>
                <w:sz w:val="21"/>
                <w:szCs w:val="21"/>
                <w:highlight w:val="none"/>
                <w:lang w:eastAsia="zh-CN"/>
              </w:rPr>
            </w:pPr>
            <w:r>
              <w:rPr>
                <w:rFonts w:hint="eastAsia" w:ascii="宋体" w:hAnsi="宋体" w:eastAsia="宋体" w:cs="宋体"/>
                <w:spacing w:val="3"/>
                <w:sz w:val="21"/>
                <w:szCs w:val="21"/>
                <w:highlight w:val="none"/>
                <w:lang w:eastAsia="zh-CN"/>
              </w:rPr>
              <w:t xml:space="preserve">□围护墙体（非承重外墙、分隔墙、女儿墙）与主体结构连接基本可靠，少数墙体存在裂缝，或有少数墙体存在因</w:t>
            </w:r>
            <w:r>
              <w:rPr>
                <w:rFonts w:hint="eastAsia" w:ascii="宋体" w:hAnsi="宋体" w:eastAsia="宋体" w:cs="宋体"/>
                <w:spacing w:val="2"/>
                <w:sz w:val="21"/>
                <w:szCs w:val="21"/>
                <w:highlight w:val="none"/>
                <w:lang w:eastAsia="zh-CN"/>
              </w:rPr>
              <w:t xml:space="preserve">风化酥碱削弱截面不超过15%（允许个别墙体削弱截面</w:t>
            </w:r>
            <w:r>
              <w:rPr>
                <w:rFonts w:hint="eastAsia" w:ascii="宋体" w:hAnsi="宋体" w:eastAsia="宋体" w:cs="宋体"/>
                <w:sz w:val="21"/>
                <w:szCs w:val="21"/>
                <w:highlight w:val="none"/>
                <w:lang w:eastAsia="zh-CN"/>
              </w:rPr>
              <w:t xml:space="preserve">超过15%但不超过25%</w:t>
            </w:r>
            <w:r>
              <w:rPr>
                <w:rFonts w:hint="eastAsia" w:ascii="宋体" w:hAnsi="宋体" w:eastAsia="宋体" w:cs="宋体"/>
                <w:spacing w:val="-65"/>
                <w:sz w:val="21"/>
                <w:szCs w:val="21"/>
                <w:highlight w:val="none"/>
                <w:lang w:eastAsia="zh-CN"/>
              </w:rPr>
              <w:t xml:space="preserve">），</w:t>
            </w:r>
            <w:r>
              <w:rPr>
                <w:rFonts w:hint="eastAsia" w:ascii="宋体" w:hAnsi="宋体" w:eastAsia="宋体" w:cs="宋体"/>
                <w:sz w:val="21"/>
                <w:szCs w:val="21"/>
                <w:highlight w:val="none"/>
                <w:lang w:eastAsia="zh-CN"/>
              </w:rPr>
              <w:t xml:space="preserve">但不应出现在人</w:t>
            </w:r>
            <w:r>
              <w:rPr>
                <w:rFonts w:hint="eastAsia" w:ascii="宋体" w:hAnsi="宋体" w:eastAsia="宋体" w:cs="宋体"/>
                <w:spacing w:val="-1"/>
                <w:sz w:val="21"/>
                <w:szCs w:val="21"/>
                <w:highlight w:val="none"/>
                <w:lang w:eastAsia="zh-CN"/>
              </w:rPr>
              <w:t xml:space="preserve">流密集的出入</w:t>
            </w:r>
            <w:r>
              <w:rPr>
                <w:rFonts w:hint="eastAsia" w:ascii="宋体" w:hAnsi="宋体" w:eastAsia="宋体" w:cs="宋体"/>
                <w:spacing w:val="-2"/>
                <w:sz w:val="21"/>
                <w:szCs w:val="21"/>
                <w:highlight w:val="none"/>
                <w:lang w:eastAsia="zh-CN"/>
              </w:rPr>
              <w:t xml:space="preserve">口、通道及沿街位置。</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外墙粉刷层/面砖/外保温层无明显裂损、</w:t>
            </w:r>
            <w:r>
              <w:rPr>
                <w:rFonts w:hint="eastAsia" w:ascii="宋体" w:hAnsi="宋体" w:eastAsia="宋体" w:cs="宋体"/>
                <w:spacing w:val="-3"/>
                <w:sz w:val="21"/>
                <w:szCs w:val="21"/>
                <w:highlight w:val="none"/>
                <w:lang w:eastAsia="zh-CN"/>
              </w:rPr>
              <w:t xml:space="preserve">脱落，少数墙面存在</w:t>
            </w:r>
            <w:r>
              <w:rPr>
                <w:rFonts w:hint="eastAsia" w:ascii="宋体" w:hAnsi="宋体" w:eastAsia="宋体" w:cs="宋体"/>
                <w:spacing w:val="1"/>
                <w:sz w:val="21"/>
                <w:szCs w:val="21"/>
                <w:highlight w:val="none"/>
                <w:lang w:eastAsia="zh-CN"/>
              </w:rPr>
              <w:t xml:space="preserve">空鼓</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5"/>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屋面构件（屋面瓦片、基层、檐口木格栅等）无明显裂损、老化腐朽、变形、</w:t>
            </w:r>
            <w:r>
              <w:rPr>
                <w:rFonts w:hint="eastAsia" w:ascii="宋体" w:hAnsi="宋体" w:eastAsia="宋体" w:cs="宋体"/>
                <w:spacing w:val="-3"/>
                <w:sz w:val="21"/>
                <w:szCs w:val="21"/>
                <w:highlight w:val="none"/>
                <w:lang w:eastAsia="zh-CN"/>
              </w:rPr>
              <w:t xml:space="preserve">脱落；</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房屋阳台、露台、雨棚板、过道、楼梯无明显裂损、变形</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房屋门窗基本完好，无明显裂损、变形</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1"/>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房屋幕墙基本完好，无明显裂损、变形；</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房屋吊顶基本完好，无明显变形、损伤；</w:t>
            </w:r>
            <w:r/>
          </w:p>
          <w:p>
            <w:pPr>
              <w:pStyle w:val="1179"/>
              <w:ind w:left="124" w:right="101" w:firstLine="14"/>
              <w:spacing w:before="69" w:line="240" w:lineRule="auto"/>
              <w:rPr>
                <w:rFonts w:ascii="宋体" w:hAnsi="宋体" w:eastAsia="宋体" w:cs="宋体"/>
                <w:sz w:val="21"/>
                <w:szCs w:val="21"/>
                <w:highlight w:val="none"/>
                <w:lang w:eastAsia="zh-CN"/>
              </w:rPr>
            </w:pPr>
            <w:r>
              <w:rPr>
                <w:rFonts w:hint="eastAsia" w:ascii="宋体" w:hAnsi="宋体" w:eastAsia="宋体" w:cs="宋体"/>
                <w:spacing w:val="-5"/>
                <w:sz w:val="21"/>
                <w:szCs w:val="21"/>
                <w:highlight w:val="none"/>
                <w:lang w:eastAsia="zh-CN"/>
              </w:rPr>
              <w:t xml:space="preserve">3.</w:t>
            </w:r>
            <w:r>
              <w:rPr>
                <w:rFonts w:hint="eastAsia" w:ascii="宋体" w:hAnsi="宋体" w:eastAsia="宋体" w:cs="宋体"/>
                <w:spacing w:val="-4"/>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围护系统损伤情况检查结果时，评价为“</w:t>
            </w:r>
            <w:r>
              <w:rPr>
                <w:rFonts w:hint="eastAsia" w:ascii="宋体" w:hAnsi="宋体" w:eastAsia="宋体" w:cs="宋体"/>
                <w:spacing w:val="-9"/>
                <w:sz w:val="21"/>
                <w:szCs w:val="21"/>
                <w:highlight w:val="none"/>
                <w:lang w:eastAsia="zh-CN"/>
              </w:rPr>
              <w:t xml:space="preserve">3级</w:t>
            </w:r>
            <w:r>
              <w:rPr>
                <w:rFonts w:hint="eastAsia" w:ascii="宋体" w:hAnsi="宋体" w:eastAsia="宋体" w:cs="宋体"/>
                <w:spacing w:val="-16"/>
                <w:sz w:val="21"/>
                <w:szCs w:val="21"/>
                <w:highlight w:val="none"/>
                <w:lang w:eastAsia="zh-CN"/>
              </w:rPr>
              <w:t xml:space="preserve">”：</w:t>
            </w:r>
            <w:r/>
          </w:p>
          <w:p>
            <w:pPr>
              <w:pStyle w:val="1179"/>
              <w:ind w:left="124" w:right="101" w:firstLine="14"/>
              <w:spacing w:before="69"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□围护墙体（非承重外墙、分隔墙、女儿墙）与主体结构连接不可靠，多数或大多数墙体</w:t>
            </w:r>
            <w:r>
              <w:rPr>
                <w:rFonts w:hint="eastAsia" w:ascii="宋体" w:hAnsi="宋体" w:eastAsia="宋体" w:cs="宋体"/>
                <w:spacing w:val="4"/>
                <w:sz w:val="21"/>
                <w:szCs w:val="21"/>
                <w:highlight w:val="none"/>
                <w:lang w:eastAsia="zh-CN"/>
              </w:rPr>
              <w:t xml:space="preserve">在柱边与梁底处开裂，或个别墙体已经出现明显脱开、</w:t>
            </w:r>
            <w:r>
              <w:rPr>
                <w:rFonts w:hint="eastAsia" w:ascii="宋体" w:hAnsi="宋体" w:eastAsia="宋体" w:cs="宋体"/>
                <w:spacing w:val="-2"/>
                <w:sz w:val="21"/>
                <w:szCs w:val="21"/>
                <w:highlight w:val="none"/>
                <w:lang w:eastAsia="zh-CN"/>
              </w:rPr>
              <w:t xml:space="preserve">歪闪变形，影响围护墙体的整体性；</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hint="eastAsia" w:ascii="宋体" w:hAnsi="宋体" w:eastAsia="宋体" w:cs="宋体"/>
                <w:spacing w:val="3"/>
                <w:sz w:val="21"/>
                <w:szCs w:val="21"/>
                <w:highlight w:val="none"/>
                <w:lang w:eastAsia="zh-CN"/>
              </w:rPr>
              <w:t xml:space="preserve">□围护墙体有裂缝、歪闪变形、风化酥碱等损伤，且严</w:t>
            </w:r>
            <w:r>
              <w:rPr>
                <w:rFonts w:hint="eastAsia" w:ascii="宋体" w:hAnsi="宋体" w:eastAsia="宋体" w:cs="宋体"/>
                <w:spacing w:val="-3"/>
                <w:sz w:val="21"/>
                <w:szCs w:val="21"/>
                <w:highlight w:val="none"/>
                <w:lang w:eastAsia="zh-CN"/>
              </w:rPr>
              <w:t xml:space="preserve">重程度超或位置超过“</w:t>
            </w:r>
            <w:r>
              <w:rPr>
                <w:rFonts w:hint="eastAsia" w:ascii="宋体" w:hAnsi="宋体" w:eastAsia="宋体" w:cs="宋体"/>
                <w:spacing w:val="-7"/>
                <w:sz w:val="21"/>
                <w:szCs w:val="21"/>
                <w:highlight w:val="none"/>
                <w:lang w:eastAsia="zh-CN"/>
              </w:rPr>
              <w:t xml:space="preserve">2级</w:t>
            </w:r>
            <w:r>
              <w:rPr>
                <w:rFonts w:hint="eastAsia" w:ascii="宋体" w:hAnsi="宋体" w:eastAsia="宋体" w:cs="宋体"/>
                <w:spacing w:val="-3"/>
                <w:sz w:val="21"/>
                <w:szCs w:val="21"/>
                <w:highlight w:val="none"/>
                <w:lang w:eastAsia="zh-CN"/>
              </w:rPr>
              <w:t xml:space="preserve">”的规定。</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外墙粉刷层/面砖/外保温层存在明显裂损、</w:t>
            </w:r>
            <w:r>
              <w:rPr>
                <w:rFonts w:hint="eastAsia" w:ascii="宋体" w:hAnsi="宋体" w:eastAsia="宋体" w:cs="宋体"/>
                <w:spacing w:val="-3"/>
                <w:sz w:val="21"/>
                <w:szCs w:val="21"/>
                <w:highlight w:val="none"/>
                <w:lang w:eastAsia="zh-CN"/>
              </w:rPr>
              <w:t xml:space="preserve">脱落，</w:t>
            </w:r>
            <w:r>
              <w:rPr>
                <w:rFonts w:hint="eastAsia" w:ascii="宋体" w:hAnsi="宋体" w:eastAsia="宋体" w:cs="宋体"/>
                <w:spacing w:val="3"/>
                <w:sz w:val="21"/>
                <w:szCs w:val="21"/>
                <w:highlight w:val="none"/>
                <w:lang w:eastAsia="zh-CN"/>
              </w:rPr>
              <w:t xml:space="preserve">多数或大多数</w:t>
            </w:r>
            <w:r>
              <w:rPr>
                <w:rFonts w:hint="eastAsia" w:ascii="宋体" w:hAnsi="宋体" w:eastAsia="宋体" w:cs="宋体"/>
                <w:spacing w:val="-3"/>
                <w:sz w:val="21"/>
                <w:szCs w:val="21"/>
                <w:highlight w:val="none"/>
                <w:lang w:eastAsia="zh-CN"/>
              </w:rPr>
              <w:t xml:space="preserve">墙面存在大面积</w:t>
            </w:r>
            <w:r>
              <w:rPr>
                <w:rFonts w:hint="eastAsia" w:ascii="宋体" w:hAnsi="宋体" w:eastAsia="宋体" w:cs="宋体"/>
                <w:spacing w:val="1"/>
                <w:sz w:val="21"/>
                <w:szCs w:val="21"/>
                <w:highlight w:val="none"/>
                <w:lang w:eastAsia="zh-CN"/>
              </w:rPr>
              <w:t xml:space="preserve">空鼓</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5"/>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屋面构件（屋面瓦片、基层、檐口木格栅等）存在明显裂损、老化腐朽、变形、</w:t>
            </w:r>
            <w:r>
              <w:rPr>
                <w:rFonts w:hint="eastAsia" w:ascii="宋体" w:hAnsi="宋体" w:eastAsia="宋体" w:cs="宋体"/>
                <w:spacing w:val="-3"/>
                <w:sz w:val="21"/>
                <w:szCs w:val="21"/>
                <w:highlight w:val="none"/>
                <w:lang w:eastAsia="zh-CN"/>
              </w:rPr>
              <w:t xml:space="preserve">脱落；</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房屋阳台、露台、雨棚板、过道、楼梯存在明显裂损、变形</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rPr>
              <w:t xml:space="preserve">£</w:t>
            </w:r>
            <w:r>
              <w:rPr>
                <w:rFonts w:hint="eastAsia" w:ascii="宋体" w:hAnsi="宋体" w:eastAsia="宋体" w:cs="宋体"/>
                <w:spacing w:val="1"/>
                <w:sz w:val="21"/>
                <w:szCs w:val="21"/>
                <w:highlight w:val="none"/>
                <w:lang w:eastAsia="zh-CN"/>
              </w:rPr>
              <w:t xml:space="preserve">房屋门窗存在明显裂损、变形</w:t>
            </w:r>
            <w:r>
              <w:rPr>
                <w:rFonts w:hint="eastAsia" w:ascii="宋体" w:hAnsi="宋体" w:eastAsia="宋体" w:cs="宋体"/>
                <w:spacing w:val="-3"/>
                <w:sz w:val="21"/>
                <w:szCs w:val="21"/>
                <w:highlight w:val="none"/>
                <w:lang w:eastAsia="zh-CN"/>
              </w:rPr>
              <w:t xml:space="preserve">；</w:t>
            </w:r>
            <w:r/>
          </w:p>
          <w:p>
            <w:pPr>
              <w:pStyle w:val="1179"/>
              <w:ind w:left="124" w:right="101" w:firstLine="14"/>
              <w:spacing w:before="69" w:line="240" w:lineRule="auto"/>
              <w:rPr>
                <w:rFonts w:ascii="宋体" w:hAnsi="宋体" w:eastAsia="宋体" w:cs="宋体"/>
                <w:spacing w:val="1"/>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房屋幕墙存在明显裂损、变形；</w:t>
            </w:r>
            <w:r/>
          </w:p>
          <w:p>
            <w:pPr>
              <w:pStyle w:val="1179"/>
              <w:ind w:left="124" w:right="101" w:firstLine="14"/>
              <w:spacing w:before="69" w:line="240" w:lineRule="auto"/>
              <w:rPr>
                <w:rFonts w:ascii="宋体" w:hAnsi="宋体" w:eastAsia="宋体" w:cs="宋体"/>
                <w:spacing w:val="-3"/>
                <w:sz w:val="21"/>
                <w:szCs w:val="21"/>
                <w:highlight w:val="none"/>
                <w:lang w:eastAsia="zh-CN"/>
              </w:rPr>
            </w:pPr>
            <w:r>
              <w:rPr>
                <w:rFonts w:ascii="Wingdings 2" w:hAnsi="Wingdings 2" w:eastAsia="Wingdings 2" w:cs="Wingdings 2"/>
                <w:spacing w:val="1"/>
                <w:sz w:val="21"/>
                <w:szCs w:val="21"/>
                <w:highlight w:val="none"/>
                <w:lang w:eastAsia="zh-CN"/>
              </w:rPr>
              <w:t xml:space="preserve">£</w:t>
            </w:r>
            <w:r>
              <w:rPr>
                <w:rFonts w:hint="eastAsia" w:ascii="宋体" w:hAnsi="宋体" w:eastAsia="宋体" w:cs="宋体"/>
                <w:spacing w:val="1"/>
                <w:sz w:val="21"/>
                <w:szCs w:val="21"/>
                <w:highlight w:val="none"/>
                <w:lang w:eastAsia="zh-CN"/>
              </w:rPr>
              <w:t xml:space="preserve">房屋吊顶存在明显变形、损伤、脱落；</w:t>
            </w:r>
            <w:r/>
          </w:p>
        </w:tc>
      </w:tr>
      <w:tr>
        <w:trPr>
          <w:jc w:val="center"/>
          <w:trHeight w:val="90"/>
        </w:trPr>
        <w:tc>
          <w:tcPr>
            <w:tcW w:w="1212" w:type="dxa"/>
            <w:vAlign w:val="center"/>
            <w:textDirection w:val="lrTb"/>
            <w:noWrap w:val="false"/>
          </w:tcPr>
          <w:p>
            <w:pPr>
              <w:pStyle w:val="1179"/>
              <w:jc w:val="center"/>
              <w:spacing w:line="240" w:lineRule="auto"/>
              <w:widowControl/>
              <w:rPr>
                <w:rFonts w:ascii="宋体" w:hAnsi="宋体" w:eastAsia="宋体" w:cs="宋体"/>
                <w:b/>
                <w:spacing w:val="-4"/>
                <w:sz w:val="21"/>
                <w:szCs w:val="21"/>
                <w:highlight w:val="none"/>
              </w:rPr>
            </w:pPr>
            <w:r>
              <w:rPr>
                <w:rFonts w:hint="eastAsia" w:ascii="宋体" w:hAnsi="宋体" w:eastAsia="宋体" w:cs="宋体"/>
                <w:sz w:val="21"/>
                <w:szCs w:val="21"/>
                <w:highlight w:val="none"/>
                <w:lang w:eastAsia="zh-CN"/>
              </w:rPr>
              <w:t xml:space="preserve">房屋渗漏情况</w:t>
            </w:r>
            <w:r/>
          </w:p>
        </w:tc>
        <w:tc>
          <w:tcPr>
            <w:tcW w:w="8428" w:type="dxa"/>
            <w:textDirection w:val="lrTb"/>
            <w:noWrap w:val="false"/>
          </w:tcPr>
          <w:p>
            <w:pPr>
              <w:pStyle w:val="1179"/>
              <w:ind w:left="121" w:right="103" w:firstLine="17"/>
              <w:spacing w:before="92"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1.房屋的屋面、外墙、地下室均无明显渗漏现象，或有</w:t>
            </w:r>
            <w:r>
              <w:rPr>
                <w:rFonts w:hint="eastAsia" w:ascii="宋体" w:hAnsi="宋体" w:eastAsia="宋体" w:cs="宋体"/>
                <w:spacing w:val="4"/>
                <w:sz w:val="21"/>
                <w:szCs w:val="21"/>
                <w:highlight w:val="none"/>
                <w:lang w:eastAsia="zh-CN"/>
              </w:rPr>
              <w:t xml:space="preserve">个别部位渗漏，但渗漏尚未造成承重构件出现损伤时，</w:t>
            </w:r>
            <w:r>
              <w:rPr>
                <w:rFonts w:hint="eastAsia" w:ascii="宋体" w:hAnsi="宋体" w:eastAsia="宋体" w:cs="宋体"/>
                <w:spacing w:val="-5"/>
                <w:sz w:val="21"/>
                <w:szCs w:val="21"/>
                <w:highlight w:val="none"/>
                <w:lang w:eastAsia="zh-CN"/>
              </w:rPr>
              <w:t xml:space="preserve">评价为“</w:t>
            </w:r>
            <w:r>
              <w:rPr>
                <w:rFonts w:hint="eastAsia" w:ascii="宋体" w:hAnsi="宋体" w:eastAsia="宋体" w:cs="宋体"/>
                <w:spacing w:val="-12"/>
                <w:sz w:val="21"/>
                <w:szCs w:val="21"/>
                <w:highlight w:val="none"/>
                <w:lang w:eastAsia="zh-CN"/>
              </w:rPr>
              <w:t xml:space="preserve">1级</w:t>
            </w:r>
            <w:r>
              <w:rPr>
                <w:rFonts w:hint="eastAsia" w:ascii="宋体" w:hAnsi="宋体" w:eastAsia="宋体" w:cs="宋体"/>
                <w:spacing w:val="-78"/>
                <w:sz w:val="21"/>
                <w:szCs w:val="21"/>
                <w:highlight w:val="none"/>
                <w:lang w:eastAsia="zh-CN"/>
              </w:rPr>
              <w:t xml:space="preserve"> </w:t>
            </w:r>
            <w:r>
              <w:rPr>
                <w:rFonts w:hint="eastAsia" w:ascii="宋体" w:hAnsi="宋体" w:eastAsia="宋体" w:cs="宋体"/>
                <w:spacing w:val="-5"/>
                <w:sz w:val="21"/>
                <w:szCs w:val="21"/>
                <w:highlight w:val="none"/>
                <w:lang w:eastAsia="zh-CN"/>
              </w:rPr>
              <w:t xml:space="preserve">”；</w:t>
            </w:r>
            <w:r/>
          </w:p>
          <w:p>
            <w:pPr>
              <w:pStyle w:val="1179"/>
              <w:ind w:left="121" w:right="103" w:firstLine="17"/>
              <w:spacing w:before="72" w:line="240" w:lineRule="auto"/>
              <w:rPr>
                <w:rFonts w:ascii="宋体" w:hAnsi="宋体" w:eastAsia="宋体" w:cs="宋体"/>
                <w:sz w:val="21"/>
                <w:szCs w:val="21"/>
                <w:highlight w:val="none"/>
                <w:lang w:eastAsia="zh-CN"/>
              </w:rPr>
            </w:pPr>
            <w:r>
              <w:rPr>
                <w:rFonts w:hint="eastAsia" w:ascii="宋体" w:hAnsi="宋体" w:eastAsia="宋体" w:cs="宋体"/>
                <w:spacing w:val="3"/>
                <w:sz w:val="21"/>
                <w:szCs w:val="21"/>
                <w:highlight w:val="none"/>
                <w:lang w:eastAsia="zh-CN"/>
              </w:rPr>
              <w:t xml:space="preserve">2.房屋的屋面、外墙、地下室存在少数部位渗漏，但渗</w:t>
            </w:r>
            <w:r>
              <w:rPr>
                <w:rFonts w:hint="eastAsia" w:ascii="宋体" w:hAnsi="宋体" w:eastAsia="宋体" w:cs="宋体"/>
                <w:spacing w:val="4"/>
                <w:sz w:val="21"/>
                <w:szCs w:val="21"/>
                <w:highlight w:val="none"/>
                <w:lang w:eastAsia="zh-CN"/>
              </w:rPr>
              <w:t xml:space="preserve">漏尚未造成承重构件出现损伤时，评价为“</w:t>
            </w:r>
            <w:r>
              <w:rPr>
                <w:rFonts w:hint="eastAsia" w:ascii="宋体" w:hAnsi="宋体" w:eastAsia="宋体" w:cs="宋体"/>
                <w:spacing w:val="-7"/>
                <w:sz w:val="21"/>
                <w:szCs w:val="21"/>
                <w:highlight w:val="none"/>
                <w:lang w:eastAsia="zh-CN"/>
              </w:rPr>
              <w:t xml:space="preserve">2级</w:t>
            </w:r>
            <w:r>
              <w:rPr>
                <w:rFonts w:hint="eastAsia" w:ascii="宋体" w:hAnsi="宋体" w:eastAsia="宋体" w:cs="宋体"/>
                <w:spacing w:val="-10"/>
                <w:sz w:val="21"/>
                <w:szCs w:val="21"/>
                <w:highlight w:val="none"/>
                <w:lang w:eastAsia="zh-CN"/>
              </w:rPr>
              <w:t xml:space="preserve">”；</w:t>
            </w:r>
            <w:r/>
          </w:p>
          <w:p>
            <w:pPr>
              <w:pStyle w:val="1179"/>
              <w:ind w:left="121" w:right="38" w:firstLine="17"/>
              <w:spacing w:before="91" w:line="240" w:lineRule="auto"/>
              <w:rPr>
                <w:rFonts w:ascii="宋体" w:hAnsi="宋体" w:eastAsia="宋体" w:cs="宋体"/>
                <w:spacing w:val="-4"/>
                <w:sz w:val="21"/>
                <w:szCs w:val="21"/>
                <w:highlight w:val="none"/>
                <w:lang w:eastAsia="zh-CN"/>
              </w:rPr>
            </w:pPr>
            <w:r>
              <w:rPr>
                <w:rFonts w:hint="eastAsia" w:ascii="宋体" w:hAnsi="宋体" w:eastAsia="宋体" w:cs="宋体"/>
                <w:spacing w:val="3"/>
                <w:sz w:val="21"/>
                <w:szCs w:val="21"/>
                <w:highlight w:val="none"/>
                <w:lang w:eastAsia="zh-CN"/>
              </w:rPr>
              <w:t xml:space="preserve">3.房屋的屋面、外墙、地下室存在渗漏，渗漏部位的数</w:t>
            </w:r>
            <w:r>
              <w:rPr>
                <w:rFonts w:hint="eastAsia" w:ascii="宋体" w:hAnsi="宋体" w:eastAsia="宋体" w:cs="宋体"/>
                <w:spacing w:val="2"/>
                <w:sz w:val="21"/>
                <w:szCs w:val="21"/>
                <w:highlight w:val="none"/>
                <w:lang w:eastAsia="zh-CN"/>
              </w:rPr>
              <w:t xml:space="preserve">量或严重程度超过“</w:t>
            </w:r>
            <w:r>
              <w:rPr>
                <w:rFonts w:hint="eastAsia" w:ascii="宋体" w:hAnsi="宋体" w:eastAsia="宋体" w:cs="宋体"/>
                <w:spacing w:val="-7"/>
                <w:sz w:val="21"/>
                <w:szCs w:val="21"/>
                <w:highlight w:val="none"/>
                <w:lang w:eastAsia="zh-CN"/>
              </w:rPr>
              <w:t xml:space="preserve">2级</w:t>
            </w:r>
            <w:r>
              <w:rPr>
                <w:rFonts w:hint="eastAsia" w:ascii="宋体" w:hAnsi="宋体" w:eastAsia="宋体" w:cs="宋体"/>
                <w:spacing w:val="-69"/>
                <w:sz w:val="21"/>
                <w:szCs w:val="21"/>
                <w:highlight w:val="none"/>
                <w:lang w:eastAsia="zh-CN"/>
              </w:rPr>
              <w:t xml:space="preserve"> </w:t>
            </w:r>
            <w:r>
              <w:rPr>
                <w:rFonts w:hint="eastAsia" w:ascii="宋体" w:hAnsi="宋体" w:eastAsia="宋体" w:cs="宋体"/>
                <w:spacing w:val="2"/>
                <w:sz w:val="21"/>
                <w:szCs w:val="21"/>
                <w:highlight w:val="none"/>
                <w:lang w:eastAsia="zh-CN"/>
              </w:rPr>
              <w:t xml:space="preserve">”的规定时，评</w:t>
            </w:r>
            <w:r>
              <w:rPr>
                <w:rFonts w:hint="eastAsia" w:ascii="宋体" w:hAnsi="宋体" w:eastAsia="宋体" w:cs="宋体"/>
                <w:spacing w:val="-7"/>
                <w:sz w:val="21"/>
                <w:szCs w:val="21"/>
                <w:highlight w:val="none"/>
                <w:lang w:eastAsia="zh-CN"/>
              </w:rPr>
              <w:t xml:space="preserve">价</w:t>
            </w:r>
            <w:r>
              <w:rPr>
                <w:rFonts w:hint="eastAsia" w:ascii="宋体" w:hAnsi="宋体" w:eastAsia="宋体" w:cs="宋体"/>
                <w:spacing w:val="3"/>
                <w:sz w:val="21"/>
                <w:szCs w:val="21"/>
                <w:highlight w:val="none"/>
                <w:lang w:eastAsia="zh-CN"/>
              </w:rPr>
              <w:t xml:space="preserve">为“3级 ”。</w:t>
            </w:r>
            <w:r/>
          </w:p>
        </w:tc>
      </w:tr>
    </w:tbl>
    <w:p>
      <w:pPr>
        <w:pStyle w:val="1179"/>
        <w:spacing w:line="240" w:lineRule="auto"/>
        <w:rPr>
          <w:rFonts w:ascii="宋体" w:hAnsi="宋体" w:eastAsia="宋体" w:cs="宋体"/>
          <w:sz w:val="21"/>
          <w:szCs w:val="21"/>
          <w:highlight w:val="none"/>
          <w:lang w:eastAsia="zh-CN"/>
        </w:rPr>
      </w:pPr>
      <w:r/>
      <w:bookmarkStart w:id="125" w:name="bookmark43"/>
      <w:r/>
      <w:bookmarkEnd w:id="125"/>
      <w:r/>
      <w:bookmarkStart w:id="126" w:name="bookmark40"/>
      <w:r/>
      <w:bookmarkEnd w:id="126"/>
      <w:r/>
      <w:bookmarkStart w:id="127" w:name="bookmark41"/>
      <w:r/>
      <w:bookmarkEnd w:id="127"/>
      <w:r/>
      <w:bookmarkStart w:id="128" w:name="bookmark42"/>
      <w:r/>
      <w:bookmarkEnd w:id="128"/>
      <w:r/>
      <w:bookmarkStart w:id="129" w:name="bookmark44"/>
      <w:r/>
      <w:bookmarkEnd w:id="129"/>
      <w:r/>
      <w:bookmarkStart w:id="130" w:name="bookmark45"/>
      <w:r/>
      <w:bookmarkEnd w:id="130"/>
      <w:r>
        <w:rPr>
          <w:rFonts w:hint="eastAsia" w:ascii="宋体" w:hAnsi="宋体" w:eastAsia="宋体" w:cs="宋体"/>
          <w:sz w:val="21"/>
          <w:szCs w:val="21"/>
          <w:highlight w:val="none"/>
          <w:lang w:eastAsia="zh-CN"/>
        </w:rPr>
        <w:t xml:space="preserve">说明：表中“个别”是指1～2个构件，且数量不超过同类型构件数量的10%；“少数”是指2个构件以上，且数量不超过同类型构件数量的20%；“多数”是指数量超过同类型构件数量的20%，但不超过50%；“大多数”是指数量超过同类型构件数量的50%。</w:t>
      </w:r>
      <w:r/>
    </w:p>
    <w:p>
      <w:pPr>
        <w:pStyle w:val="1179"/>
        <w:ind w:firstLine="420"/>
        <w:spacing w:line="240" w:lineRule="auto"/>
        <w:rPr>
          <w:rFonts w:ascii="宋体" w:hAnsi="宋体" w:eastAsia="宋体" w:cs="宋体"/>
          <w:sz w:val="21"/>
          <w:szCs w:val="21"/>
          <w:highlight w:val="none"/>
          <w:lang w:eastAsia="zh-CN"/>
        </w:rPr>
        <w:sectPr>
          <w:footnotePr/>
          <w:endnotePr/>
          <w:type w:val="nextPage"/>
          <w:pgSz w:w="11906" w:h="16839" w:orient="portrait"/>
          <w:pgMar w:top="1247" w:right="1485" w:bottom="1509" w:left="1485" w:header="850" w:footer="992" w:gutter="0"/>
          <w:cols w:num="1" w:sep="0" w:space="720" w:equalWidth="1"/>
          <w:docGrid w:linePitch="360"/>
        </w:sectPr>
      </w:pPr>
      <w:r>
        <w:rPr>
          <w:rFonts w:ascii="宋体" w:hAnsi="宋体" w:eastAsia="宋体" w:cs="宋体"/>
          <w:sz w:val="21"/>
          <w:szCs w:val="21"/>
          <w:highlight w:val="none"/>
          <w:lang w:eastAsia="zh-CN"/>
        </w:rPr>
      </w:r>
      <w:r/>
    </w:p>
    <w:p>
      <w:pPr>
        <w:spacing w:before="114" w:line="360" w:lineRule="auto"/>
        <w:rPr>
          <w:rFonts w:ascii="宋体" w:hAnsi="宋体" w:cs="宋体"/>
          <w:b/>
          <w:bCs/>
          <w:szCs w:val="21"/>
          <w:highlight w:val="none"/>
        </w:rPr>
        <w:outlineLvl w:val="0"/>
      </w:pPr>
      <w:r/>
      <w:bookmarkStart w:id="131" w:name="_Toc13406"/>
      <w:r/>
      <w:bookmarkStart w:id="132" w:name="_Toc19798"/>
      <w:r/>
      <w:bookmarkStart w:id="133" w:name="_Toc25606"/>
      <w:r/>
      <w:bookmarkStart w:id="134" w:name="_Toc23845"/>
      <w:r>
        <w:rPr>
          <w:rFonts w:hint="eastAsia" w:ascii="宋体" w:hAnsi="宋体" w:cs="宋体"/>
          <w:b/>
          <w:bCs/>
          <w:spacing w:val="6"/>
          <w:szCs w:val="21"/>
          <w:highlight w:val="none"/>
        </w:rPr>
        <w:t xml:space="preserve">附录</w:t>
      </w:r>
      <w:r>
        <w:rPr>
          <w:rFonts w:hint="eastAsia" w:ascii="宋体" w:hAnsi="宋体" w:cs="宋体"/>
          <w:b/>
          <w:bCs/>
          <w:spacing w:val="-79"/>
          <w:szCs w:val="21"/>
          <w:highlight w:val="none"/>
        </w:rPr>
        <w:t xml:space="preserve"> </w:t>
      </w:r>
      <w:r>
        <w:rPr>
          <w:rFonts w:hint="eastAsia" w:ascii="宋体" w:hAnsi="宋体" w:cs="宋体"/>
          <w:b/>
          <w:bCs/>
          <w:spacing w:val="6"/>
          <w:szCs w:val="21"/>
          <w:highlight w:val="none"/>
        </w:rPr>
        <w:t xml:space="preserve">B：房屋体检报告</w:t>
      </w:r>
      <w:bookmarkEnd w:id="131"/>
      <w:r/>
      <w:bookmarkEnd w:id="132"/>
      <w:r/>
      <w:bookmarkEnd w:id="133"/>
      <w:r/>
      <w:bookmarkEnd w:id="134"/>
      <w:r/>
      <w:r/>
    </w:p>
    <w:p>
      <w:pPr>
        <w:pStyle w:val="915"/>
        <w:spacing w:line="360" w:lineRule="auto"/>
        <w:rPr>
          <w:rFonts w:ascii="宋体" w:hAnsi="宋体" w:eastAsia="宋体" w:cs="宋体"/>
          <w:b/>
          <w:bCs/>
          <w:sz w:val="21"/>
          <w:szCs w:val="21"/>
          <w:highlight w:val="none"/>
        </w:rPr>
      </w:pPr>
      <w:r>
        <w:rPr>
          <w:rFonts w:ascii="宋体" w:hAnsi="宋体" w:eastAsia="宋体" w:cs="宋体"/>
          <w:b/>
          <w:bCs/>
          <w:sz w:val="21"/>
          <w:szCs w:val="21"/>
          <w:highlight w:val="none"/>
        </w:rPr>
      </w:r>
      <w:r/>
    </w:p>
    <w:p>
      <w:pPr>
        <w:jc w:val="center"/>
        <w:spacing w:line="360" w:lineRule="auto"/>
        <w:rPr>
          <w:rFonts w:ascii="宋体" w:hAnsi="宋体" w:cs="宋体"/>
          <w:b/>
          <w:bCs/>
          <w:szCs w:val="21"/>
          <w:highlight w:val="none"/>
        </w:rPr>
      </w:pPr>
      <w:r/>
      <w:bookmarkStart w:id="135" w:name="bookmark62"/>
      <w:r/>
      <w:bookmarkEnd w:id="135"/>
      <w:r>
        <w:rPr>
          <w:rFonts w:hint="eastAsia" w:ascii="宋体" w:hAnsi="宋体" w:cs="宋体"/>
          <w:b/>
          <w:bCs/>
          <w:spacing w:val="8"/>
          <w:szCs w:val="21"/>
          <w:highlight w:val="none"/>
        </w:rPr>
        <w:t xml:space="preserve">扬州市城镇房屋体检报告</w:t>
      </w:r>
      <w:r>
        <w:rPr>
          <w:rFonts w:hint="eastAsia" w:ascii="宋体" w:hAnsi="宋体" w:cs="宋体"/>
          <w:b/>
          <w:bCs/>
          <w:spacing w:val="7"/>
          <w:szCs w:val="21"/>
          <w:highlight w:val="none"/>
        </w:rPr>
        <w:t xml:space="preserve">（示例）</w:t>
      </w:r>
      <w:r/>
    </w:p>
    <w:p>
      <w:pPr>
        <w:ind w:firstLine="448"/>
        <w:spacing w:line="360" w:lineRule="auto"/>
        <w:rPr>
          <w:rFonts w:ascii="宋体" w:hAnsi="宋体" w:cs="宋体"/>
          <w:spacing w:val="7"/>
          <w:szCs w:val="21"/>
          <w:highlight w:val="none"/>
        </w:rPr>
      </w:pPr>
      <w:r>
        <w:rPr>
          <w:rFonts w:hint="eastAsia" w:ascii="宋体" w:hAnsi="宋体" w:cs="宋体"/>
          <w:spacing w:val="7"/>
          <w:szCs w:val="21"/>
          <w:highlight w:val="none"/>
        </w:rPr>
        <w:t xml:space="preserve">一、房屋概况</w:t>
      </w:r>
      <w:r/>
    </w:p>
    <w:p>
      <w:pPr>
        <w:pStyle w:val="1179"/>
        <w:ind w:firstLine="432"/>
        <w:spacing w:line="360" w:lineRule="auto"/>
        <w:rPr>
          <w:rFonts w:ascii="宋体" w:hAnsi="宋体" w:eastAsia="宋体" w:cs="宋体"/>
          <w:spacing w:val="4"/>
          <w:sz w:val="21"/>
          <w:szCs w:val="21"/>
          <w:highlight w:val="none"/>
          <w:lang w:eastAsia="zh-CN"/>
        </w:rPr>
      </w:pPr>
      <w:r>
        <w:rPr>
          <w:rFonts w:hint="eastAsia" w:ascii="宋体" w:hAnsi="宋体" w:eastAsia="宋体" w:cs="宋体"/>
          <w:spacing w:val="3"/>
          <w:sz w:val="21"/>
          <w:szCs w:val="21"/>
          <w:highlight w:val="none"/>
          <w:lang w:eastAsia="zh-CN"/>
        </w:rPr>
        <w:t xml:space="preserve">1.房屋基本信息：</w:t>
      </w:r>
      <w:r>
        <w:rPr>
          <w:rFonts w:hint="eastAsia" w:ascii="宋体" w:hAnsi="宋体" w:eastAsia="宋体" w:cs="宋体"/>
          <w:spacing w:val="2"/>
          <w:sz w:val="21"/>
          <w:szCs w:val="21"/>
          <w:highlight w:val="none"/>
          <w:lang w:eastAsia="zh-CN"/>
        </w:rPr>
        <w:t xml:space="preserve">房屋的名</w:t>
      </w:r>
      <w:r>
        <w:rPr>
          <w:rFonts w:hint="eastAsia" w:ascii="宋体" w:hAnsi="宋体" w:eastAsia="宋体" w:cs="宋体"/>
          <w:spacing w:val="4"/>
          <w:sz w:val="21"/>
          <w:szCs w:val="21"/>
          <w:highlight w:val="none"/>
          <w:lang w:eastAsia="zh-CN"/>
        </w:rPr>
        <w:t xml:space="preserve">称、地址、产权信息、房屋层数、建造年代、</w:t>
      </w:r>
      <w:r>
        <w:rPr>
          <w:rFonts w:hint="eastAsia" w:ascii="宋体" w:hAnsi="宋体" w:eastAsia="宋体" w:cs="宋体"/>
          <w:spacing w:val="3"/>
          <w:sz w:val="21"/>
          <w:szCs w:val="21"/>
          <w:highlight w:val="none"/>
          <w:lang w:eastAsia="zh-CN"/>
        </w:rPr>
        <w:t xml:space="preserve">房屋用途、结构</w:t>
      </w:r>
      <w:r>
        <w:rPr>
          <w:rFonts w:hint="eastAsia" w:ascii="宋体" w:hAnsi="宋体" w:eastAsia="宋体" w:cs="宋体"/>
          <w:spacing w:val="4"/>
          <w:sz w:val="21"/>
          <w:szCs w:val="21"/>
          <w:highlight w:val="none"/>
          <w:lang w:eastAsia="zh-CN"/>
        </w:rPr>
        <w:t xml:space="preserve">类型、建筑面积、建设情况（有无正规设计、施工、竣工验收）等信息。</w:t>
      </w:r>
      <w:r/>
    </w:p>
    <w:p>
      <w:pPr>
        <w:pStyle w:val="1179"/>
        <w:ind w:firstLine="444"/>
        <w:spacing w:line="360" w:lineRule="auto"/>
        <w:rPr>
          <w:rFonts w:ascii="宋体" w:hAnsi="宋体" w:eastAsia="宋体" w:cs="宋体"/>
          <w:spacing w:val="4"/>
          <w:sz w:val="21"/>
          <w:szCs w:val="21"/>
          <w:highlight w:val="none"/>
          <w:lang w:eastAsia="zh-CN"/>
        </w:rPr>
      </w:pPr>
      <w:r>
        <w:rPr>
          <w:rFonts w:hint="eastAsia" w:ascii="宋体" w:hAnsi="宋体" w:eastAsia="宋体" w:cs="宋体"/>
          <w:spacing w:val="6"/>
          <w:sz w:val="21"/>
          <w:szCs w:val="21"/>
          <w:highlight w:val="none"/>
          <w:lang w:eastAsia="zh-CN"/>
        </w:rPr>
        <w:t xml:space="preserve">2.房屋是否曾进行过体检、安全鉴定及修缮加固。（体检描述应包含上次体检时间、</w:t>
      </w:r>
      <w:r>
        <w:rPr>
          <w:rFonts w:hint="eastAsia" w:ascii="宋体" w:hAnsi="宋体" w:eastAsia="宋体" w:cs="宋体"/>
          <w:spacing w:val="4"/>
          <w:sz w:val="21"/>
          <w:szCs w:val="21"/>
          <w:highlight w:val="none"/>
          <w:lang w:eastAsia="zh-CN"/>
        </w:rPr>
        <w:t xml:space="preserve">主要存在问题</w:t>
      </w:r>
      <w:r>
        <w:rPr>
          <w:rFonts w:hint="eastAsia" w:ascii="宋体" w:hAnsi="宋体" w:eastAsia="宋体" w:cs="宋体"/>
          <w:spacing w:val="6"/>
          <w:sz w:val="21"/>
          <w:szCs w:val="21"/>
          <w:highlight w:val="none"/>
          <w:lang w:eastAsia="zh-CN"/>
        </w:rPr>
        <w:t xml:space="preserve">及体检评价结果；安全鉴定描述应包含鉴定单位、鉴定时间、鉴定类型及鉴定结论；修缮加固描述应包含修缮加固对象和方法以及设计、施工、竣工验收等信息</w:t>
      </w:r>
      <w:r>
        <w:rPr>
          <w:rFonts w:hint="eastAsia" w:ascii="宋体" w:hAnsi="宋体" w:eastAsia="宋体" w:cs="宋体"/>
          <w:spacing w:val="4"/>
          <w:sz w:val="21"/>
          <w:szCs w:val="21"/>
          <w:highlight w:val="none"/>
          <w:lang w:eastAsia="zh-CN"/>
        </w:rPr>
        <w:t xml:space="preserve">）。</w:t>
      </w:r>
      <w:r/>
    </w:p>
    <w:p>
      <w:pPr>
        <w:pStyle w:val="1179"/>
        <w:ind w:firstLine="436"/>
        <w:spacing w:line="360" w:lineRule="auto"/>
        <w:rPr>
          <w:rFonts w:ascii="宋体" w:hAnsi="宋体" w:eastAsia="宋体" w:cs="宋体"/>
          <w:spacing w:val="4"/>
          <w:sz w:val="21"/>
          <w:szCs w:val="21"/>
          <w:highlight w:val="none"/>
          <w:lang w:eastAsia="zh-CN"/>
        </w:rPr>
      </w:pPr>
      <w:r>
        <w:rPr>
          <w:rFonts w:hint="eastAsia" w:ascii="宋体" w:hAnsi="宋体" w:eastAsia="宋体" w:cs="宋体"/>
          <w:spacing w:val="4"/>
          <w:sz w:val="21"/>
          <w:szCs w:val="21"/>
          <w:highlight w:val="none"/>
          <w:lang w:eastAsia="zh-CN"/>
        </w:rPr>
        <w:t xml:space="preserve">3.绘制房屋平面位置示意图，附房屋外立面和内部布置照片。</w:t>
      </w:r>
      <w:r/>
    </w:p>
    <w:p>
      <w:pPr>
        <w:ind w:firstLine="448"/>
        <w:spacing w:line="360" w:lineRule="auto"/>
        <w:rPr>
          <w:rFonts w:ascii="宋体" w:hAnsi="宋体" w:cs="宋体"/>
          <w:spacing w:val="7"/>
          <w:szCs w:val="21"/>
          <w:highlight w:val="none"/>
        </w:rPr>
      </w:pPr>
      <w:r>
        <w:rPr>
          <w:rFonts w:hint="eastAsia" w:ascii="宋体" w:hAnsi="宋体" w:cs="宋体"/>
          <w:spacing w:val="7"/>
          <w:szCs w:val="21"/>
          <w:highlight w:val="none"/>
        </w:rPr>
        <w:t xml:space="preserve">二、体检情况</w:t>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36" w:name="_Toc4471"/>
      <w:r/>
      <w:bookmarkStart w:id="137" w:name="_Toc27000"/>
      <w:r/>
      <w:bookmarkStart w:id="138" w:name="_Toc27217"/>
      <w:r>
        <w:rPr>
          <w:rFonts w:hint="eastAsia" w:ascii="宋体" w:hAnsi="宋体" w:eastAsia="宋体" w:cs="宋体"/>
          <w:spacing w:val="3"/>
          <w:sz w:val="21"/>
          <w:szCs w:val="21"/>
          <w:highlight w:val="none"/>
          <w:lang w:eastAsia="zh-CN"/>
        </w:rPr>
        <w:t xml:space="preserve">1.描述房屋体检时间、体检内容、体检所用的设备。</w:t>
      </w:r>
      <w:bookmarkEnd w:id="136"/>
      <w:r/>
      <w:bookmarkEnd w:id="137"/>
      <w:r/>
      <w:bookmarkEnd w:id="138"/>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39" w:name="_Toc1955"/>
      <w:r/>
      <w:bookmarkStart w:id="140" w:name="_Toc16479"/>
      <w:r/>
      <w:bookmarkStart w:id="141" w:name="_Toc25764"/>
      <w:r>
        <w:rPr>
          <w:rFonts w:hint="eastAsia" w:ascii="宋体" w:hAnsi="宋体" w:eastAsia="宋体" w:cs="宋体"/>
          <w:spacing w:val="3"/>
          <w:sz w:val="21"/>
          <w:szCs w:val="21"/>
          <w:highlight w:val="none"/>
          <w:lang w:eastAsia="zh-CN"/>
        </w:rPr>
        <w:t xml:space="preserve">2.房屋结构四个分项检查（房屋结构体系、改扩建情况、地基基础情况和承重构件损伤情况）存在的安全隐患（以文字、检测数据和照片形式描述），并由四个分项中最低等级确定该专项的评价结果。</w:t>
      </w:r>
      <w:bookmarkEnd w:id="139"/>
      <w:r/>
      <w:bookmarkEnd w:id="140"/>
      <w:r/>
      <w:bookmarkEnd w:id="141"/>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42" w:name="_Toc27505"/>
      <w:r/>
      <w:bookmarkStart w:id="143" w:name="_Toc3903"/>
      <w:r/>
      <w:bookmarkStart w:id="144" w:name="_Toc18753"/>
      <w:r>
        <w:rPr>
          <w:rFonts w:hint="eastAsia" w:ascii="宋体" w:hAnsi="宋体" w:eastAsia="宋体" w:cs="宋体"/>
          <w:spacing w:val="3"/>
          <w:sz w:val="21"/>
          <w:szCs w:val="21"/>
          <w:highlight w:val="none"/>
          <w:lang w:eastAsia="zh-CN"/>
        </w:rPr>
        <w:t xml:space="preserve">3.房屋附属系统两个分项检查（房屋的围护系统损伤情况和房屋渗漏情况）存在的安全隐患（以文字和照片形式描述），并由两个分项中最低等级确定该专项的评价结果。</w:t>
      </w:r>
      <w:bookmarkEnd w:id="142"/>
      <w:r/>
      <w:bookmarkEnd w:id="143"/>
      <w:r/>
      <w:bookmarkEnd w:id="144"/>
      <w:r/>
      <w:r/>
    </w:p>
    <w:p>
      <w:pPr>
        <w:ind w:firstLine="448"/>
        <w:spacing w:line="360" w:lineRule="auto"/>
        <w:rPr>
          <w:rFonts w:ascii="宋体" w:hAnsi="宋体" w:cs="宋体"/>
          <w:spacing w:val="7"/>
          <w:szCs w:val="21"/>
          <w:highlight w:val="none"/>
        </w:rPr>
      </w:pPr>
      <w:r>
        <w:rPr>
          <w:rFonts w:hint="eastAsia" w:ascii="宋体" w:hAnsi="宋体" w:cs="宋体"/>
          <w:spacing w:val="7"/>
          <w:szCs w:val="21"/>
          <w:highlight w:val="none"/>
        </w:rPr>
        <w:t xml:space="preserve">三、体检结果</w:t>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45" w:name="_Toc15242"/>
      <w:r/>
      <w:bookmarkStart w:id="146" w:name="_Toc16157"/>
      <w:r/>
      <w:bookmarkStart w:id="147" w:name="_Toc29061"/>
      <w:r>
        <w:rPr>
          <w:rFonts w:hint="eastAsia" w:ascii="宋体" w:hAnsi="宋体" w:eastAsia="宋体" w:cs="宋体"/>
          <w:spacing w:val="3"/>
          <w:sz w:val="21"/>
          <w:szCs w:val="21"/>
          <w:highlight w:val="none"/>
          <w:lang w:eastAsia="zh-CN"/>
        </w:rPr>
        <w:t xml:space="preserve">综上所述，×××房屋体检总体评价为Ⅰ级/Ⅱ级/Ⅲ级，其中房屋结构专项评价为1级/2级/3级，房屋附属系统专项评价为1级/2级/3级。</w:t>
      </w:r>
      <w:bookmarkEnd w:id="145"/>
      <w:r/>
      <w:bookmarkEnd w:id="146"/>
      <w:r/>
      <w:bookmarkEnd w:id="147"/>
      <w:r/>
      <w:r/>
    </w:p>
    <w:p>
      <w:pPr>
        <w:ind w:firstLine="448"/>
        <w:spacing w:line="360" w:lineRule="auto"/>
        <w:rPr>
          <w:rFonts w:ascii="宋体" w:hAnsi="宋体" w:cs="宋体"/>
          <w:spacing w:val="7"/>
          <w:szCs w:val="21"/>
          <w:highlight w:val="none"/>
        </w:rPr>
      </w:pPr>
      <w:r>
        <w:rPr>
          <w:rFonts w:hint="eastAsia" w:ascii="宋体" w:hAnsi="宋体" w:cs="宋体"/>
          <w:spacing w:val="7"/>
          <w:szCs w:val="21"/>
          <w:highlight w:val="none"/>
        </w:rPr>
        <w:t xml:space="preserve">四、处理建议</w:t>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48" w:name="_Toc22309"/>
      <w:r/>
      <w:bookmarkStart w:id="149" w:name="_Toc10458"/>
      <w:r/>
      <w:bookmarkStart w:id="150" w:name="_Toc17790"/>
      <w:r>
        <w:rPr>
          <w:rFonts w:hint="eastAsia" w:ascii="宋体" w:hAnsi="宋体" w:eastAsia="宋体" w:cs="宋体"/>
          <w:spacing w:val="3"/>
          <w:sz w:val="21"/>
          <w:szCs w:val="21"/>
          <w:highlight w:val="none"/>
          <w:lang w:eastAsia="zh-CN"/>
        </w:rPr>
        <w:t xml:space="preserve">1.对房屋结构检查和房屋附属系统检查中发现的安全隐患问题给出明确的处理意见。</w:t>
      </w:r>
      <w:bookmarkEnd w:id="148"/>
      <w:r/>
      <w:bookmarkEnd w:id="149"/>
      <w:r/>
      <w:bookmarkEnd w:id="150"/>
      <w:r/>
      <w:r/>
    </w:p>
    <w:p>
      <w:pPr>
        <w:pStyle w:val="1179"/>
        <w:ind w:firstLine="432"/>
        <w:spacing w:line="360" w:lineRule="auto"/>
        <w:rPr>
          <w:rFonts w:ascii="宋体" w:hAnsi="宋体" w:eastAsia="宋体" w:cs="宋体"/>
          <w:spacing w:val="3"/>
          <w:sz w:val="21"/>
          <w:szCs w:val="21"/>
          <w:highlight w:val="none"/>
          <w:lang w:eastAsia="zh-CN"/>
        </w:rPr>
        <w:outlineLvl w:val="1"/>
      </w:pPr>
      <w:r/>
      <w:bookmarkStart w:id="151" w:name="_Toc26343"/>
      <w:r/>
      <w:bookmarkStart w:id="152" w:name="_Toc13353"/>
      <w:r/>
      <w:bookmarkStart w:id="153" w:name="_Toc5000"/>
      <w:r>
        <w:rPr>
          <w:rFonts w:hint="eastAsia" w:ascii="宋体" w:hAnsi="宋体" w:eastAsia="宋体" w:cs="宋体"/>
          <w:spacing w:val="3"/>
          <w:sz w:val="21"/>
          <w:szCs w:val="21"/>
          <w:highlight w:val="none"/>
          <w:lang w:eastAsia="zh-CN"/>
        </w:rPr>
        <w:t xml:space="preserve">2.根据此次体检的总体评价结果，建议下次体检时间。</w:t>
      </w:r>
      <w:bookmarkEnd w:id="151"/>
      <w:r/>
      <w:bookmarkEnd w:id="152"/>
      <w:r/>
      <w:bookmarkEnd w:id="153"/>
      <w:r/>
      <w:r/>
    </w:p>
    <w:p>
      <w:pPr>
        <w:jc w:val="left"/>
        <w:spacing w:line="360" w:lineRule="auto"/>
        <w:rPr>
          <w:rFonts w:ascii="宋体" w:hAnsi="宋体" w:cs="宋体"/>
          <w:spacing w:val="8"/>
          <w:szCs w:val="21"/>
          <w:highlight w:val="none"/>
        </w:rPr>
      </w:pPr>
      <w:r/>
      <w:bookmarkStart w:id="154" w:name="_Toc14326"/>
      <w:r/>
      <w:bookmarkStart w:id="155" w:name="_Toc24594"/>
      <w:r/>
      <w:r/>
    </w:p>
    <w:p>
      <w:pPr>
        <w:ind w:firstLine="452"/>
        <w:jc w:val="center"/>
        <w:spacing w:before="101" w:line="240" w:lineRule="auto"/>
        <w:rPr>
          <w:rFonts w:ascii="宋体" w:hAnsi="宋体" w:cs="宋体"/>
          <w:spacing w:val="8"/>
          <w:szCs w:val="21"/>
          <w:highlight w:val="none"/>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outlineLvl w:val="1"/>
      </w:pPr>
      <w:r/>
      <w:bookmarkStart w:id="156" w:name="_Toc31450"/>
      <w:r/>
      <w:r/>
    </w:p>
    <w:p>
      <w:pPr>
        <w:ind w:firstLine="454"/>
        <w:jc w:val="center"/>
        <w:spacing w:before="101" w:line="240" w:lineRule="auto"/>
        <w:rPr>
          <w:rFonts w:ascii="宋体" w:hAnsi="宋体" w:cs="宋体"/>
          <w:b/>
          <w:bCs/>
          <w:spacing w:val="8"/>
          <w:szCs w:val="21"/>
          <w:highlight w:val="none"/>
        </w:rPr>
        <w:outlineLvl w:val="1"/>
      </w:pPr>
      <w:r>
        <w:rPr>
          <w:rFonts w:hint="eastAsia" w:ascii="宋体" w:hAnsi="宋体" w:cs="宋体"/>
          <w:b/>
          <w:bCs/>
          <w:spacing w:val="8"/>
          <w:szCs w:val="21"/>
          <w:highlight w:val="none"/>
        </w:rPr>
        <w:t xml:space="preserve">扬州市城镇房屋体检信息汇总表</w:t>
      </w:r>
      <w:bookmarkEnd w:id="154"/>
      <w:r/>
      <w:bookmarkEnd w:id="155"/>
      <w:r/>
      <w:bookmarkEnd w:id="156"/>
      <w:r/>
      <w:r/>
    </w:p>
    <w:tbl>
      <w:tblPr>
        <w:tblStyle w:val="938"/>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4"/>
        <w:gridCol w:w="3630"/>
        <w:gridCol w:w="1440"/>
        <w:gridCol w:w="2565"/>
      </w:tblGrid>
      <w:tr>
        <w:trPr>
          <w:jc w:val="center"/>
          <w:trHeight w:val="691"/>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57" w:name="_Toc32115"/>
            <w:r/>
            <w:bookmarkStart w:id="158" w:name="_Toc9705"/>
            <w:r/>
            <w:bookmarkStart w:id="159" w:name="_Toc10086"/>
            <w:r>
              <w:rPr>
                <w:rFonts w:hint="eastAsia" w:ascii="宋体" w:hAnsi="宋体" w:cs="宋体"/>
                <w:spacing w:val="8"/>
                <w:szCs w:val="21"/>
                <w:highlight w:val="none"/>
              </w:rPr>
              <w:t xml:space="preserve">房屋名称</w:t>
            </w:r>
            <w:bookmarkEnd w:id="157"/>
            <w:r/>
            <w:bookmarkEnd w:id="158"/>
            <w:r/>
            <w:bookmarkEnd w:id="159"/>
            <w:r/>
            <w:r/>
          </w:p>
        </w:tc>
        <w:tc>
          <w:tcPr>
            <w:gridSpan w:val="3"/>
            <w:tcW w:w="763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18"/>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60" w:name="_Toc4742"/>
            <w:r/>
            <w:bookmarkStart w:id="161" w:name="_Toc5634"/>
            <w:r>
              <w:rPr>
                <w:rFonts w:hint="eastAsia" w:ascii="宋体" w:hAnsi="宋体" w:cs="宋体"/>
                <w:spacing w:val="8"/>
                <w:szCs w:val="21"/>
                <w:highlight w:val="none"/>
              </w:rPr>
              <w:t xml:space="preserve">房屋地址</w:t>
            </w:r>
            <w:bookmarkEnd w:id="160"/>
            <w:r/>
            <w:bookmarkEnd w:id="161"/>
            <w:r/>
            <w:r/>
          </w:p>
        </w:tc>
        <w:tc>
          <w:tcPr>
            <w:gridSpan w:val="3"/>
            <w:tcW w:w="763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27"/>
        </w:trPr>
        <w:tc>
          <w:tcPr>
            <w:tcW w:w="1484" w:type="dxa"/>
            <w:vAlign w:val="center"/>
            <w:textDirection w:val="lrTb"/>
            <w:noWrap w:val="false"/>
          </w:tcPr>
          <w:p>
            <w:pPr>
              <w:jc w:val="center"/>
              <w:spacing w:before="101" w:line="240" w:lineRule="auto"/>
              <w:widowControl/>
              <w:rPr>
                <w:rFonts w:ascii="宋体" w:hAnsi="宋体" w:cs="宋体"/>
                <w:spacing w:val="8"/>
                <w:szCs w:val="21"/>
                <w:highlight w:val="none"/>
              </w:rPr>
              <w:outlineLvl w:val="1"/>
            </w:pPr>
            <w:r/>
            <w:bookmarkStart w:id="162" w:name="_Toc15922"/>
            <w:r/>
            <w:bookmarkStart w:id="163" w:name="_Toc25186"/>
            <w:r/>
            <w:bookmarkStart w:id="164" w:name="_Toc30209"/>
            <w:r>
              <w:rPr>
                <w:rFonts w:hint="eastAsia" w:ascii="宋体" w:hAnsi="宋体" w:cs="宋体"/>
                <w:spacing w:val="8"/>
                <w:szCs w:val="21"/>
                <w:highlight w:val="none"/>
              </w:rPr>
              <w:t xml:space="preserve">产权单位</w:t>
            </w:r>
            <w:bookmarkEnd w:id="162"/>
            <w:r/>
            <w:bookmarkEnd w:id="163"/>
            <w:r/>
            <w:bookmarkEnd w:id="164"/>
            <w:r/>
            <w:r/>
          </w:p>
          <w:p>
            <w:pPr>
              <w:jc w:val="center"/>
              <w:spacing w:before="101" w:line="240" w:lineRule="auto"/>
              <w:widowControl/>
              <w:rPr>
                <w:rFonts w:ascii="宋体" w:hAnsi="宋体" w:cs="宋体"/>
                <w:spacing w:val="8"/>
                <w:szCs w:val="21"/>
                <w:highlight w:val="none"/>
              </w:rPr>
              <w:outlineLvl w:val="1"/>
            </w:pPr>
            <w:r/>
            <w:bookmarkStart w:id="165" w:name="_Toc25709"/>
            <w:r/>
            <w:bookmarkStart w:id="166" w:name="_Toc10556"/>
            <w:r/>
            <w:bookmarkStart w:id="167" w:name="_Toc862"/>
            <w:r>
              <w:rPr>
                <w:rFonts w:hint="eastAsia" w:ascii="宋体" w:hAnsi="宋体" w:cs="宋体"/>
                <w:spacing w:val="8"/>
                <w:szCs w:val="21"/>
                <w:highlight w:val="none"/>
              </w:rPr>
              <w:t xml:space="preserve">（人）</w:t>
            </w:r>
            <w:bookmarkEnd w:id="165"/>
            <w:r/>
            <w:bookmarkEnd w:id="166"/>
            <w:r/>
            <w:bookmarkEnd w:id="167"/>
            <w:r/>
            <w:r/>
          </w:p>
        </w:tc>
        <w:tc>
          <w:tcPr>
            <w:tcW w:w="3630" w:type="dxa"/>
            <w:textDirection w:val="lrTb"/>
            <w:noWrap w:val="false"/>
          </w:tcPr>
          <w:p>
            <w:pPr>
              <w:jc w:val="center"/>
              <w:spacing w:before="101" w:line="240" w:lineRule="auto"/>
              <w:widowControl/>
              <w:rPr>
                <w:rFonts w:ascii="宋体" w:hAnsi="宋体" w:cs="宋体"/>
                <w:spacing w:val="8"/>
                <w:szCs w:val="21"/>
                <w:highlight w:val="none"/>
              </w:rPr>
              <w:outlineLvl w:val="1"/>
            </w:pPr>
            <w:r>
              <w:rPr>
                <w:rFonts w:ascii="宋体" w:hAnsi="宋体" w:cs="宋体"/>
                <w:spacing w:val="8"/>
                <w:szCs w:val="21"/>
                <w:highlight w:val="none"/>
              </w:rPr>
            </w:r>
            <w:r/>
          </w:p>
        </w:tc>
        <w:tc>
          <w:tcPr>
            <w:tcW w:w="1440" w:type="dxa"/>
            <w:vAlign w:val="center"/>
            <w:textDirection w:val="lrTb"/>
            <w:noWrap w:val="false"/>
          </w:tcPr>
          <w:p>
            <w:pPr>
              <w:jc w:val="center"/>
              <w:spacing w:before="101" w:line="240" w:lineRule="auto"/>
              <w:widowControl/>
              <w:rPr>
                <w:rFonts w:ascii="宋体" w:hAnsi="宋体" w:cs="宋体"/>
                <w:spacing w:val="8"/>
                <w:szCs w:val="21"/>
                <w:highlight w:val="none"/>
              </w:rPr>
              <w:outlineLvl w:val="1"/>
            </w:pPr>
            <w:r/>
            <w:bookmarkStart w:id="168" w:name="_Toc30780"/>
            <w:r/>
            <w:bookmarkStart w:id="169" w:name="_Toc14792"/>
            <w:r/>
            <w:bookmarkStart w:id="170" w:name="_Toc20926"/>
            <w:r>
              <w:rPr>
                <w:rFonts w:hint="eastAsia" w:ascii="宋体" w:hAnsi="宋体" w:cs="宋体"/>
                <w:spacing w:val="8"/>
                <w:szCs w:val="21"/>
                <w:highlight w:val="none"/>
              </w:rPr>
              <w:t xml:space="preserve">使用单位</w:t>
            </w:r>
            <w:bookmarkEnd w:id="168"/>
            <w:r/>
            <w:bookmarkEnd w:id="169"/>
            <w:r/>
            <w:bookmarkEnd w:id="170"/>
            <w:r/>
            <w:r/>
          </w:p>
          <w:p>
            <w:pPr>
              <w:jc w:val="center"/>
              <w:spacing w:before="101" w:line="240" w:lineRule="auto"/>
              <w:widowControl/>
              <w:rPr>
                <w:rFonts w:ascii="宋体" w:hAnsi="宋体" w:cs="宋体"/>
                <w:spacing w:val="8"/>
                <w:szCs w:val="21"/>
                <w:highlight w:val="none"/>
              </w:rPr>
              <w:outlineLvl w:val="1"/>
            </w:pPr>
            <w:r/>
            <w:bookmarkStart w:id="171" w:name="_Toc25220"/>
            <w:r/>
            <w:bookmarkStart w:id="172" w:name="_Toc8990"/>
            <w:r/>
            <w:bookmarkStart w:id="173" w:name="_Toc7685"/>
            <w:r>
              <w:rPr>
                <w:rFonts w:hint="eastAsia" w:ascii="宋体" w:hAnsi="宋体" w:cs="宋体"/>
                <w:spacing w:val="8"/>
                <w:szCs w:val="21"/>
                <w:highlight w:val="none"/>
              </w:rPr>
              <w:t xml:space="preserve">（人）</w:t>
            </w:r>
            <w:bookmarkEnd w:id="171"/>
            <w:r/>
            <w:bookmarkEnd w:id="172"/>
            <w:r/>
            <w:bookmarkEnd w:id="173"/>
            <w:r/>
            <w:r/>
          </w:p>
        </w:tc>
        <w:tc>
          <w:tcPr>
            <w:tcW w:w="256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55"/>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74" w:name="_Toc8121"/>
            <w:r/>
            <w:bookmarkStart w:id="175" w:name="_Toc10690"/>
            <w:r/>
            <w:bookmarkStart w:id="176" w:name="_Toc30542"/>
            <w:r>
              <w:rPr>
                <w:rFonts w:hint="eastAsia" w:ascii="宋体" w:hAnsi="宋体" w:cs="宋体"/>
                <w:spacing w:val="8"/>
                <w:szCs w:val="21"/>
                <w:highlight w:val="none"/>
              </w:rPr>
              <w:t xml:space="preserve">结构类型</w:t>
            </w:r>
            <w:bookmarkEnd w:id="174"/>
            <w:r/>
            <w:bookmarkEnd w:id="175"/>
            <w:r/>
            <w:bookmarkEnd w:id="176"/>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tcW w:w="1440"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77" w:name="_Toc26712"/>
            <w:r/>
            <w:bookmarkStart w:id="178" w:name="_Toc32563"/>
            <w:r/>
            <w:bookmarkStart w:id="179" w:name="_Toc7229"/>
            <w:r>
              <w:rPr>
                <w:rFonts w:hint="eastAsia" w:ascii="宋体" w:hAnsi="宋体" w:cs="宋体"/>
                <w:spacing w:val="8"/>
                <w:szCs w:val="21"/>
                <w:highlight w:val="none"/>
              </w:rPr>
              <w:t xml:space="preserve">房屋用途</w:t>
            </w:r>
            <w:bookmarkEnd w:id="177"/>
            <w:r/>
            <w:bookmarkEnd w:id="178"/>
            <w:r/>
            <w:bookmarkEnd w:id="179"/>
            <w:r/>
            <w:r/>
          </w:p>
        </w:tc>
        <w:tc>
          <w:tcPr>
            <w:tcW w:w="256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63"/>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80" w:name="_Toc7390"/>
            <w:r/>
            <w:bookmarkStart w:id="181" w:name="_Toc12761"/>
            <w:r/>
            <w:bookmarkStart w:id="182" w:name="_Toc10866"/>
            <w:r>
              <w:rPr>
                <w:rFonts w:hint="eastAsia" w:ascii="宋体" w:hAnsi="宋体" w:cs="宋体"/>
                <w:spacing w:val="8"/>
                <w:szCs w:val="21"/>
                <w:highlight w:val="none"/>
              </w:rPr>
              <w:t xml:space="preserve">层数</w:t>
            </w:r>
            <w:bookmarkEnd w:id="180"/>
            <w:r/>
            <w:bookmarkEnd w:id="181"/>
            <w:r/>
            <w:bookmarkEnd w:id="182"/>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tcW w:w="1440"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83" w:name="_Toc16561"/>
            <w:r/>
            <w:bookmarkStart w:id="184" w:name="_Toc3878"/>
            <w:r/>
            <w:bookmarkStart w:id="185" w:name="_Toc9573"/>
            <w:r>
              <w:rPr>
                <w:rFonts w:hint="eastAsia" w:ascii="宋体" w:hAnsi="宋体" w:cs="宋体"/>
                <w:spacing w:val="8"/>
                <w:szCs w:val="21"/>
                <w:highlight w:val="none"/>
              </w:rPr>
              <w:t xml:space="preserve">建筑面积</w:t>
            </w:r>
            <w:bookmarkEnd w:id="183"/>
            <w:r/>
            <w:bookmarkEnd w:id="184"/>
            <w:r/>
            <w:bookmarkEnd w:id="185"/>
            <w:r/>
            <w:r/>
          </w:p>
        </w:tc>
        <w:tc>
          <w:tcPr>
            <w:tcW w:w="256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38"/>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86" w:name="_Toc29036"/>
            <w:r/>
            <w:bookmarkStart w:id="187" w:name="_Toc6721"/>
            <w:r/>
            <w:bookmarkStart w:id="188" w:name="_Toc23233"/>
            <w:r>
              <w:rPr>
                <w:rFonts w:hint="eastAsia" w:ascii="宋体" w:hAnsi="宋体" w:cs="宋体"/>
                <w:spacing w:val="8"/>
                <w:szCs w:val="21"/>
                <w:highlight w:val="none"/>
              </w:rPr>
              <w:t xml:space="preserve">建造年代</w:t>
            </w:r>
            <w:bookmarkEnd w:id="186"/>
            <w:r/>
            <w:bookmarkEnd w:id="187"/>
            <w:r/>
            <w:bookmarkStart w:id="189" w:name="_Toc32229"/>
            <w:r/>
            <w:bookmarkStart w:id="190" w:name="_Toc23529"/>
            <w:r>
              <w:rPr>
                <w:rFonts w:hint="eastAsia" w:ascii="宋体" w:hAnsi="宋体" w:cs="宋体"/>
                <w:spacing w:val="8"/>
                <w:szCs w:val="21"/>
                <w:highlight w:val="none"/>
              </w:rPr>
              <w:t xml:space="preserve">建设情况</w:t>
            </w:r>
            <w:bookmarkEnd w:id="188"/>
            <w:r/>
            <w:bookmarkEnd w:id="189"/>
            <w:r/>
            <w:bookmarkEnd w:id="190"/>
            <w:r/>
            <w:r/>
          </w:p>
        </w:tc>
        <w:tc>
          <w:tcPr>
            <w:tcW w:w="3630" w:type="dxa"/>
            <w:textDirection w:val="lrTb"/>
            <w:noWrap w:val="false"/>
          </w:tcPr>
          <w:p>
            <w:pPr>
              <w:spacing w:before="101" w:line="240" w:lineRule="auto"/>
              <w:rPr>
                <w:rFonts w:ascii="宋体" w:hAnsi="宋体" w:cs="宋体"/>
                <w:spacing w:val="8"/>
                <w:szCs w:val="21"/>
                <w:highlight w:val="none"/>
              </w:rPr>
              <w:outlineLvl w:val="1"/>
            </w:pPr>
            <w:r/>
            <w:bookmarkStart w:id="191" w:name="_Toc23196"/>
            <w:r>
              <w:rPr>
                <w:rFonts w:hint="eastAsia" w:ascii="宋体" w:hAnsi="宋体" w:cs="宋体"/>
                <w:spacing w:val="8"/>
                <w:szCs w:val="21"/>
                <w:highlight w:val="none"/>
              </w:rPr>
              <w:t xml:space="preserve">□正规设计 □专业施工</w:t>
            </w:r>
            <w:bookmarkEnd w:id="191"/>
            <w:r>
              <w:rPr>
                <w:rFonts w:hint="eastAsia" w:ascii="宋体" w:hAnsi="宋体" w:cs="宋体"/>
                <w:spacing w:val="8"/>
                <w:szCs w:val="21"/>
                <w:highlight w:val="none"/>
              </w:rPr>
              <w:t xml:space="preserve"> </w:t>
            </w:r>
            <w:r/>
          </w:p>
          <w:p>
            <w:pPr>
              <w:spacing w:before="101" w:line="240" w:lineRule="auto"/>
              <w:rPr>
                <w:rFonts w:ascii="宋体" w:hAnsi="宋体" w:cs="宋体"/>
                <w:spacing w:val="8"/>
                <w:szCs w:val="21"/>
                <w:highlight w:val="none"/>
              </w:rPr>
              <w:outlineLvl w:val="1"/>
            </w:pPr>
            <w:r/>
            <w:bookmarkStart w:id="192" w:name="_Toc19320"/>
            <w:r>
              <w:rPr>
                <w:rFonts w:hint="eastAsia" w:ascii="宋体" w:hAnsi="宋体" w:cs="宋体"/>
                <w:spacing w:val="8"/>
                <w:szCs w:val="21"/>
                <w:highlight w:val="none"/>
              </w:rPr>
              <w:t xml:space="preserve">□竣工验收 □均无</w:t>
            </w:r>
            <w:bookmarkEnd w:id="192"/>
            <w:r/>
            <w:r/>
          </w:p>
        </w:tc>
        <w:tc>
          <w:tcPr>
            <w:tcW w:w="1440"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93" w:name="_Toc7756"/>
            <w:r>
              <w:rPr>
                <w:rFonts w:hint="eastAsia" w:ascii="宋体" w:hAnsi="宋体" w:cs="宋体"/>
                <w:spacing w:val="8"/>
                <w:szCs w:val="21"/>
                <w:highlight w:val="none"/>
              </w:rPr>
              <w:t xml:space="preserve">建造年代</w:t>
            </w:r>
            <w:bookmarkEnd w:id="193"/>
            <w:r/>
            <w:r/>
          </w:p>
        </w:tc>
        <w:tc>
          <w:tcPr>
            <w:tcW w:w="256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855"/>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94" w:name="_Toc4492"/>
            <w:r/>
            <w:bookmarkStart w:id="195" w:name="_Toc14366"/>
            <w:r/>
            <w:bookmarkStart w:id="196" w:name="_Toc31006"/>
            <w:r>
              <w:rPr>
                <w:rFonts w:hint="eastAsia" w:ascii="宋体" w:hAnsi="宋体" w:cs="宋体"/>
                <w:spacing w:val="8"/>
                <w:szCs w:val="21"/>
                <w:highlight w:val="none"/>
              </w:rPr>
              <w:t xml:space="preserve">体检时间</w:t>
            </w:r>
            <w:bookmarkEnd w:id="194"/>
            <w:r/>
            <w:bookmarkEnd w:id="195"/>
            <w:r/>
            <w:bookmarkEnd w:id="196"/>
            <w:r/>
            <w:r/>
          </w:p>
        </w:tc>
        <w:tc>
          <w:tcPr>
            <w:gridSpan w:val="3"/>
            <w:tcW w:w="763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1136"/>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197" w:name="_Toc8387"/>
            <w:r/>
            <w:bookmarkStart w:id="198" w:name="_Toc14086"/>
            <w:r/>
            <w:bookmarkStart w:id="199" w:name="_Toc12682"/>
            <w:r>
              <w:rPr>
                <w:rFonts w:hint="eastAsia" w:ascii="宋体" w:hAnsi="宋体" w:cs="宋体"/>
                <w:spacing w:val="8"/>
                <w:szCs w:val="21"/>
                <w:highlight w:val="none"/>
              </w:rPr>
              <w:t xml:space="preserve">体检结论</w:t>
            </w:r>
            <w:bookmarkEnd w:id="197"/>
            <w:r/>
            <w:bookmarkEnd w:id="198"/>
            <w:r/>
            <w:bookmarkEnd w:id="199"/>
            <w:r/>
            <w:r/>
          </w:p>
        </w:tc>
        <w:tc>
          <w:tcPr>
            <w:gridSpan w:val="3"/>
            <w:tcW w:w="7635"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200" w:name="_Toc1363"/>
            <w:r/>
            <w:bookmarkStart w:id="201" w:name="_Toc24591"/>
            <w:r/>
            <w:bookmarkStart w:id="202" w:name="_Toc29605"/>
            <w:r>
              <w:rPr>
                <w:rFonts w:hint="eastAsia" w:ascii="宋体" w:hAnsi="宋体" w:cs="宋体"/>
                <w:spacing w:val="6"/>
                <w:szCs w:val="21"/>
                <w:highlight w:val="none"/>
              </w:rPr>
              <w:t xml:space="preserve">×××房屋体检总体评价为Ⅰ级/Ⅱ级/Ⅲ级，其中房屋结构专项评价为1级/2级/3级，房屋附属系统专项评价为1级/2级/3级。</w:t>
            </w:r>
            <w:bookmarkEnd w:id="200"/>
            <w:r/>
            <w:bookmarkEnd w:id="201"/>
            <w:r/>
            <w:bookmarkEnd w:id="202"/>
            <w:r/>
            <w:r/>
          </w:p>
        </w:tc>
      </w:tr>
      <w:tr>
        <w:trPr>
          <w:jc w:val="center"/>
          <w:trHeight w:val="2154"/>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203" w:name="_Toc1817"/>
            <w:r/>
            <w:bookmarkStart w:id="204" w:name="_Toc32146"/>
            <w:r/>
            <w:bookmarkStart w:id="205" w:name="_Toc17939"/>
            <w:r>
              <w:rPr>
                <w:rFonts w:hint="eastAsia" w:ascii="宋体" w:hAnsi="宋体" w:cs="宋体"/>
                <w:spacing w:val="8"/>
                <w:szCs w:val="21"/>
                <w:highlight w:val="none"/>
              </w:rPr>
              <w:t xml:space="preserve">处理建议</w:t>
            </w:r>
            <w:bookmarkEnd w:id="203"/>
            <w:r/>
            <w:bookmarkEnd w:id="204"/>
            <w:r/>
            <w:bookmarkEnd w:id="205"/>
            <w:r/>
            <w:r/>
          </w:p>
        </w:tc>
        <w:tc>
          <w:tcPr>
            <w:gridSpan w:val="3"/>
            <w:tcW w:w="763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821"/>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206" w:name="_Toc5246"/>
            <w:r/>
            <w:bookmarkStart w:id="207" w:name="_Toc24274"/>
            <w:r/>
            <w:bookmarkStart w:id="208" w:name="_Toc16227"/>
            <w:r>
              <w:rPr>
                <w:rFonts w:hint="eastAsia" w:ascii="宋体" w:hAnsi="宋体" w:cs="宋体"/>
                <w:spacing w:val="8"/>
                <w:szCs w:val="21"/>
                <w:highlight w:val="none"/>
              </w:rPr>
              <w:t xml:space="preserve">下次体检建议日期</w:t>
            </w:r>
            <w:bookmarkEnd w:id="206"/>
            <w:r/>
            <w:bookmarkEnd w:id="207"/>
            <w:r/>
            <w:bookmarkEnd w:id="208"/>
            <w:r/>
            <w:r/>
          </w:p>
        </w:tc>
        <w:tc>
          <w:tcPr>
            <w:gridSpan w:val="3"/>
            <w:tcW w:w="7635"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37"/>
        </w:trPr>
        <w:tc>
          <w:tcPr>
            <w:tcW w:w="1484" w:type="dxa"/>
            <w:vAlign w:val="center"/>
            <w:vMerge w:val="restart"/>
            <w:textDirection w:val="lrTb"/>
            <w:noWrap w:val="false"/>
          </w:tcPr>
          <w:p>
            <w:pPr>
              <w:jc w:val="center"/>
              <w:spacing w:before="101" w:line="240" w:lineRule="auto"/>
              <w:rPr>
                <w:rFonts w:ascii="宋体" w:hAnsi="宋体" w:cs="宋体"/>
                <w:spacing w:val="8"/>
                <w:szCs w:val="21"/>
                <w:highlight w:val="none"/>
              </w:rPr>
              <w:outlineLvl w:val="1"/>
            </w:pPr>
            <w:r/>
            <w:bookmarkStart w:id="209" w:name="_Toc14788"/>
            <w:r/>
            <w:bookmarkStart w:id="210" w:name="_Toc26701"/>
            <w:r/>
            <w:bookmarkStart w:id="211" w:name="_Toc17097"/>
            <w:r>
              <w:rPr>
                <w:rFonts w:hint="eastAsia" w:ascii="宋体" w:hAnsi="宋体" w:cs="宋体"/>
                <w:spacing w:val="8"/>
                <w:szCs w:val="21"/>
                <w:highlight w:val="none"/>
              </w:rPr>
              <w:t xml:space="preserve">体检人</w:t>
            </w:r>
            <w:bookmarkEnd w:id="209"/>
            <w:r/>
            <w:bookmarkEnd w:id="210"/>
            <w:r/>
            <w:bookmarkEnd w:id="211"/>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gridSpan w:val="2"/>
            <w:tcW w:w="4005" w:type="dxa"/>
            <w:vMerge w:val="restart"/>
            <w:textDirection w:val="lrTb"/>
            <w:noWrap w:val="false"/>
          </w:tcPr>
          <w:p>
            <w:pPr>
              <w:spacing w:before="101" w:line="240" w:lineRule="auto"/>
              <w:rPr>
                <w:rFonts w:ascii="宋体" w:hAnsi="宋体" w:cs="宋体"/>
                <w:spacing w:val="8"/>
                <w:szCs w:val="21"/>
                <w:highlight w:val="none"/>
              </w:rPr>
              <w:outlineLvl w:val="1"/>
            </w:pPr>
            <w:r/>
            <w:bookmarkStart w:id="212" w:name="_Toc11871"/>
            <w:r/>
            <w:bookmarkStart w:id="213" w:name="_Toc3760"/>
            <w:r/>
            <w:bookmarkStart w:id="214" w:name="_Toc12112"/>
            <w:r>
              <w:rPr>
                <w:rFonts w:hint="eastAsia" w:ascii="宋体" w:hAnsi="宋体" w:cs="宋体"/>
                <w:spacing w:val="8"/>
                <w:szCs w:val="21"/>
                <w:highlight w:val="none"/>
              </w:rPr>
              <w:t xml:space="preserve">体检单位（加盖公章）</w:t>
            </w:r>
            <w:bookmarkEnd w:id="212"/>
            <w:r/>
            <w:bookmarkEnd w:id="213"/>
            <w:r/>
            <w:bookmarkEnd w:id="214"/>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spacing w:before="101" w:line="240" w:lineRule="auto"/>
              <w:rPr>
                <w:rFonts w:ascii="宋体" w:hAnsi="宋体" w:cs="宋体"/>
                <w:spacing w:val="8"/>
                <w:szCs w:val="21"/>
                <w:highlight w:val="none"/>
              </w:rPr>
              <w:outlineLvl w:val="1"/>
            </w:pPr>
            <w:r/>
            <w:bookmarkStart w:id="215" w:name="_Toc22216"/>
            <w:r/>
            <w:bookmarkStart w:id="216" w:name="_Toc30036"/>
            <w:r/>
            <w:bookmarkStart w:id="217" w:name="_Toc23449"/>
            <w:r>
              <w:rPr>
                <w:rFonts w:hint="eastAsia" w:ascii="宋体" w:hAnsi="宋体" w:cs="宋体"/>
                <w:spacing w:val="8"/>
                <w:szCs w:val="21"/>
                <w:highlight w:val="none"/>
              </w:rPr>
              <w:t xml:space="preserve">报告日期：    年    月    日</w:t>
            </w:r>
            <w:bookmarkEnd w:id="215"/>
            <w:r/>
            <w:bookmarkEnd w:id="216"/>
            <w:r/>
            <w:bookmarkEnd w:id="217"/>
            <w:r/>
            <w:r/>
          </w:p>
        </w:tc>
      </w:tr>
      <w:tr>
        <w:trPr>
          <w:jc w:val="center"/>
          <w:trHeight w:val="709"/>
        </w:trPr>
        <w:tc>
          <w:tcPr>
            <w:tcW w:w="1484" w:type="dxa"/>
            <w:vAlign w:val="center"/>
            <w:vMerge w:val="continue"/>
            <w:textDirection w:val="lrTb"/>
            <w:noWrap w:val="false"/>
          </w:tcPr>
          <w:p>
            <w:pPr>
              <w:jc w:val="center"/>
              <w:spacing w:before="101" w:line="240" w:lineRule="auto"/>
              <w:rPr>
                <w:rFonts w:ascii="宋体" w:hAnsi="宋体" w:cs="宋体"/>
                <w:szCs w:val="21"/>
                <w:highlight w:val="none"/>
              </w:rPr>
              <w:outlineLvl w:val="1"/>
            </w:pPr>
            <w:r>
              <w:rPr>
                <w:rFonts w:ascii="宋体" w:hAnsi="宋体" w:cs="宋体"/>
                <w:szCs w:val="21"/>
                <w:highlight w:val="none"/>
              </w:rPr>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gridSpan w:val="2"/>
            <w:tcW w:w="4005" w:type="dxa"/>
            <w:vMerge w:val="continue"/>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789"/>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218" w:name="_Toc28991"/>
            <w:r/>
            <w:bookmarkStart w:id="219" w:name="_Toc18892"/>
            <w:r/>
            <w:bookmarkStart w:id="220" w:name="_Toc387"/>
            <w:r>
              <w:rPr>
                <w:rFonts w:hint="eastAsia" w:ascii="宋体" w:hAnsi="宋体" w:cs="宋体"/>
                <w:spacing w:val="8"/>
                <w:szCs w:val="21"/>
                <w:highlight w:val="none"/>
              </w:rPr>
              <w:t xml:space="preserve">审核人</w:t>
            </w:r>
            <w:bookmarkEnd w:id="218"/>
            <w:r/>
            <w:bookmarkEnd w:id="219"/>
            <w:r/>
            <w:bookmarkEnd w:id="220"/>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gridSpan w:val="2"/>
            <w:tcW w:w="4005" w:type="dxa"/>
            <w:vMerge w:val="continue"/>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r>
        <w:trPr>
          <w:jc w:val="center"/>
          <w:trHeight w:val="652"/>
        </w:trPr>
        <w:tc>
          <w:tcPr>
            <w:tcW w:w="1484" w:type="dxa"/>
            <w:vAlign w:val="center"/>
            <w:textDirection w:val="lrTb"/>
            <w:noWrap w:val="false"/>
          </w:tcPr>
          <w:p>
            <w:pPr>
              <w:jc w:val="center"/>
              <w:spacing w:before="101" w:line="240" w:lineRule="auto"/>
              <w:rPr>
                <w:rFonts w:ascii="宋体" w:hAnsi="宋体" w:cs="宋体"/>
                <w:spacing w:val="8"/>
                <w:szCs w:val="21"/>
                <w:highlight w:val="none"/>
              </w:rPr>
              <w:outlineLvl w:val="1"/>
            </w:pPr>
            <w:r/>
            <w:bookmarkStart w:id="221" w:name="_Toc9464"/>
            <w:r/>
            <w:bookmarkStart w:id="222" w:name="_Toc253"/>
            <w:r/>
            <w:bookmarkStart w:id="223" w:name="_Toc3525"/>
            <w:r>
              <w:rPr>
                <w:rFonts w:hint="eastAsia" w:ascii="宋体" w:hAnsi="宋体" w:cs="宋体"/>
                <w:spacing w:val="8"/>
                <w:szCs w:val="21"/>
                <w:highlight w:val="none"/>
              </w:rPr>
              <w:t xml:space="preserve">审批人</w:t>
            </w:r>
            <w:bookmarkEnd w:id="221"/>
            <w:r/>
            <w:bookmarkEnd w:id="222"/>
            <w:r/>
            <w:bookmarkEnd w:id="223"/>
            <w:r/>
            <w:r/>
          </w:p>
        </w:tc>
        <w:tc>
          <w:tcPr>
            <w:tcW w:w="3630" w:type="dxa"/>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c>
          <w:tcPr>
            <w:gridSpan w:val="2"/>
            <w:tcW w:w="4005" w:type="dxa"/>
            <w:vMerge w:val="continue"/>
            <w:textDirection w:val="lrTb"/>
            <w:noWrap w:val="false"/>
          </w:tcPr>
          <w:p>
            <w:pPr>
              <w:jc w:val="center"/>
              <w:spacing w:before="101" w:line="240" w:lineRule="auto"/>
              <w:rPr>
                <w:rFonts w:ascii="宋体" w:hAnsi="宋体" w:cs="宋体"/>
                <w:spacing w:val="8"/>
                <w:szCs w:val="21"/>
                <w:highlight w:val="none"/>
              </w:rPr>
              <w:outlineLvl w:val="1"/>
            </w:pPr>
            <w:r>
              <w:rPr>
                <w:rFonts w:ascii="宋体" w:hAnsi="宋体" w:cs="宋体"/>
                <w:spacing w:val="8"/>
                <w:szCs w:val="21"/>
                <w:highlight w:val="none"/>
              </w:rPr>
            </w:r>
            <w:r/>
          </w:p>
        </w:tc>
      </w:tr>
    </w:tbl>
    <w:p>
      <w:pPr>
        <w:spacing w:before="101" w:line="240" w:lineRule="auto"/>
        <w:rPr>
          <w:rFonts w:ascii="宋体" w:hAnsi="宋体" w:cs="宋体"/>
          <w:spacing w:val="8"/>
          <w:szCs w:val="21"/>
          <w:highlight w:val="none"/>
        </w:rPr>
        <w:outlineLvl w:val="1"/>
      </w:pPr>
      <w:r/>
      <w:bookmarkStart w:id="224" w:name="_Toc27580"/>
      <w:r/>
      <w:bookmarkStart w:id="225" w:name="_Toc2456"/>
      <w:r/>
      <w:bookmarkStart w:id="226" w:name="_Toc22740"/>
      <w:r>
        <w:rPr>
          <w:rFonts w:hint="eastAsia" w:ascii="宋体" w:hAnsi="宋体" w:cs="宋体"/>
          <w:spacing w:val="8"/>
          <w:szCs w:val="21"/>
          <w:highlight w:val="none"/>
        </w:rPr>
        <w:t xml:space="preserve">注：该汇总表建议放置在体检报告首页。</w:t>
      </w:r>
      <w:bookmarkEnd w:id="224"/>
      <w:r/>
      <w:bookmarkEnd w:id="225"/>
      <w:r/>
      <w:bookmarkEnd w:id="226"/>
      <w:r/>
      <w:r/>
    </w:p>
    <w:p>
      <w:pPr>
        <w:ind w:firstLine="422"/>
        <w:spacing w:line="240" w:lineRule="auto"/>
        <w:rPr>
          <w:rFonts w:ascii="宋体" w:hAnsi="宋体" w:cs="宋体"/>
          <w:b/>
          <w:bCs/>
          <w:szCs w:val="21"/>
          <w:highlight w:val="none"/>
        </w:rPr>
        <w:sectPr>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bCs/>
          <w:szCs w:val="21"/>
          <w:highlight w:val="none"/>
        </w:rPr>
      </w:r>
      <w:r/>
    </w:p>
    <w:p>
      <w:pPr>
        <w:ind w:firstLine="422"/>
        <w:spacing w:line="240" w:lineRule="auto"/>
        <w:rPr>
          <w:rFonts w:ascii="宋体" w:hAnsi="宋体" w:cs="宋体"/>
          <w:b/>
          <w:bCs/>
          <w:szCs w:val="21"/>
          <w:highlight w:val="none"/>
        </w:rPr>
      </w:pPr>
      <w:r>
        <w:rPr>
          <w:rFonts w:hint="eastAsia" w:ascii="宋体" w:hAnsi="宋体" w:cs="宋体"/>
          <w:b/>
          <w:bCs/>
          <w:spacing w:val="6"/>
          <w:szCs w:val="21"/>
          <w:highlight w:val="none"/>
        </w:rPr>
        <w:t xml:space="preserve">附录</w:t>
      </w:r>
      <w:r>
        <w:rPr>
          <w:rFonts w:hint="eastAsia" w:ascii="宋体" w:hAnsi="宋体" w:cs="宋体"/>
          <w:b/>
          <w:bCs/>
          <w:spacing w:val="-79"/>
          <w:szCs w:val="21"/>
          <w:highlight w:val="none"/>
        </w:rPr>
        <w:t xml:space="preserve"> </w:t>
      </w:r>
      <w:r>
        <w:rPr>
          <w:rFonts w:hint="eastAsia" w:ascii="宋体" w:hAnsi="宋体" w:cs="宋体"/>
          <w:b/>
          <w:bCs/>
          <w:spacing w:val="6"/>
          <w:szCs w:val="21"/>
          <w:highlight w:val="none"/>
        </w:rPr>
        <w:t xml:space="preserve">c：</w:t>
      </w:r>
      <w:r>
        <w:rPr>
          <w:rFonts w:hint="eastAsia" w:ascii="宋体" w:hAnsi="宋体" w:cs="宋体"/>
          <w:b/>
          <w:bCs/>
          <w:szCs w:val="21"/>
          <w:highlight w:val="none"/>
        </w:rPr>
        <w:t xml:space="preserve">考核表</w:t>
      </w:r>
      <w:r/>
    </w:p>
    <w:p>
      <w:pPr>
        <w:jc w:val="center"/>
        <w:spacing w:line="240" w:lineRule="auto"/>
        <w:rPr>
          <w:rFonts w:ascii="宋体" w:hAnsi="宋体" w:cs="宋体"/>
          <w:b/>
          <w:bCs/>
          <w:szCs w:val="21"/>
          <w:highlight w:val="none"/>
        </w:rPr>
      </w:pPr>
      <w:r>
        <w:rPr>
          <w:rFonts w:hint="eastAsia" w:ascii="宋体" w:hAnsi="宋体" w:cs="宋体"/>
          <w:b/>
          <w:bCs/>
          <w:szCs w:val="21"/>
          <w:highlight w:val="none"/>
        </w:rPr>
        <w:t xml:space="preserve">扬州市城镇房屋体检服务项目履约验收考核表</w:t>
      </w:r>
      <w:r/>
    </w:p>
    <w:p>
      <w:pPr>
        <w:spacing w:line="240" w:lineRule="auto"/>
        <w:rPr>
          <w:rFonts w:ascii="宋体" w:hAnsi="宋体" w:cs="宋体"/>
          <w:szCs w:val="21"/>
          <w:highlight w:val="none"/>
        </w:rPr>
      </w:pPr>
      <w:r>
        <w:rPr>
          <w:rFonts w:hint="eastAsia" w:ascii="宋体" w:hAnsi="宋体" w:cs="宋体"/>
          <w:szCs w:val="21"/>
          <w:highlight w:val="none"/>
        </w:rPr>
        <w:t xml:space="preserve">考核对象：__________________考核日期：____年____月____日 考核人：________</w:t>
      </w:r>
      <w:r/>
    </w:p>
    <w:tbl>
      <w:tblPr>
        <w:tblStyle w:val="908"/>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78"/>
        <w:gridCol w:w="1306"/>
        <w:gridCol w:w="5176"/>
        <w:gridCol w:w="979"/>
        <w:gridCol w:w="1181"/>
      </w:tblGrid>
      <w:tr>
        <w:trPr>
          <w:jc w:val="center"/>
          <w:trHeight w:val="645"/>
        </w:trPr>
        <w:tc>
          <w:tcPr>
            <w:tcMar>
              <w:left w:w="120" w:type="dxa"/>
              <w:top w:w="60" w:type="dxa"/>
              <w:right w:w="120" w:type="dxa"/>
              <w:bottom w:w="30" w:type="dxa"/>
            </w:tcMar>
            <w:tcW w:w="878" w:type="dxa"/>
            <w:vAlign w:val="center"/>
            <w:textDirection w:val="lrTb"/>
            <w:noWrap w:val="false"/>
          </w:tcPr>
          <w:p>
            <w:pPr>
              <w:spacing w:line="240" w:lineRule="auto"/>
              <w:rPr>
                <w:highlight w:val="none"/>
              </w:rPr>
            </w:pPr>
            <w:r>
              <w:rPr>
                <w:rFonts w:hint="eastAsia"/>
                <w:highlight w:val="none"/>
              </w:rPr>
              <w:t xml:space="preserve">考核项</w:t>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考核内容</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评分标准（满分100分）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分值</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rFonts w:hint="eastAsia"/>
                <w:highlight w:val="none"/>
              </w:rPr>
              <w:t xml:space="preserve">实得分</w:t>
            </w:r>
            <w:r/>
          </w:p>
        </w:tc>
      </w:tr>
      <w:tr>
        <w:trPr>
          <w:jc w:val="center"/>
          <w:trHeight w:val="645"/>
        </w:trPr>
        <w:tc>
          <w:tcPr>
            <w:tcMar>
              <w:left w:w="120" w:type="dxa"/>
              <w:top w:w="60" w:type="dxa"/>
              <w:right w:w="120" w:type="dxa"/>
              <w:bottom w:w="30" w:type="dxa"/>
            </w:tcMar>
            <w:tcW w:w="878" w:type="dxa"/>
            <w:vAlign w:val="center"/>
            <w:vMerge w:val="restart"/>
            <w:textDirection w:val="lrTb"/>
            <w:noWrap w:val="false"/>
          </w:tcPr>
          <w:p>
            <w:pPr>
              <w:spacing w:line="240" w:lineRule="auto"/>
              <w:rPr>
                <w:highlight w:val="none"/>
              </w:rPr>
            </w:pPr>
            <w:r>
              <w:rPr>
                <w:rFonts w:hint="eastAsia"/>
                <w:highlight w:val="none"/>
              </w:rPr>
              <w:t xml:space="preserve">一、服务质量</w:t>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1.1 资质与人员配置</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项目组人员配备数量及岗位设置符合要求，持证上岗。</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20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919"/>
        </w:trPr>
        <w:tc>
          <w:tcPr>
            <w:tcMar>
              <w:left w:w="120" w:type="dxa"/>
              <w:top w:w="60" w:type="dxa"/>
              <w:right w:w="120" w:type="dxa"/>
              <w:bottom w:w="30" w:type="dxa"/>
            </w:tcMar>
            <w:tcW w:w="878" w:type="dxa"/>
            <w:vAlign w:val="center"/>
            <w:vMerge w:val="continue"/>
            <w:textDirection w:val="lrTb"/>
            <w:noWrap w:val="false"/>
          </w:tcPr>
          <w:p>
            <w:pPr>
              <w:spacing w:line="240" w:lineRule="auto"/>
              <w:rPr>
                <w:highlight w:val="none"/>
              </w:rPr>
            </w:pPr>
            <w:r>
              <w:rPr>
                <w:highlight w:val="none"/>
              </w:rPr>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1.2体检过程规范性</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体检方案科学；入户率要达到70%，且三层及以上多产权房屋的底层及顶层必须入户；记录完整可追溯无篡改。</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919"/>
        </w:trPr>
        <w:tc>
          <w:tcPr>
            <w:tcMar>
              <w:left w:w="120" w:type="dxa"/>
              <w:top w:w="60" w:type="dxa"/>
              <w:right w:w="120" w:type="dxa"/>
              <w:bottom w:w="30" w:type="dxa"/>
            </w:tcMar>
            <w:tcW w:w="878" w:type="dxa"/>
            <w:vAlign w:val="center"/>
            <w:vMerge w:val="continue"/>
            <w:textDirection w:val="lrTb"/>
            <w:noWrap w:val="false"/>
          </w:tcPr>
          <w:p>
            <w:pPr>
              <w:spacing w:line="240" w:lineRule="auto"/>
              <w:rPr>
                <w:highlight w:val="none"/>
              </w:rPr>
            </w:pPr>
            <w:r>
              <w:rPr>
                <w:highlight w:val="none"/>
              </w:rPr>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1.3单幢房屋体检记录规范性</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单幢体检报告完整，无遗漏；签字盖章规范无代漏签。</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1465"/>
        </w:trPr>
        <w:tc>
          <w:tcPr>
            <w:tcMar>
              <w:left w:w="120" w:type="dxa"/>
              <w:top w:w="60" w:type="dxa"/>
              <w:right w:w="120" w:type="dxa"/>
              <w:bottom w:w="30" w:type="dxa"/>
            </w:tcMar>
            <w:tcW w:w="878" w:type="dxa"/>
            <w:vAlign w:val="center"/>
            <w:vMerge w:val="continue"/>
            <w:textDirection w:val="lrTb"/>
            <w:noWrap w:val="false"/>
          </w:tcPr>
          <w:p>
            <w:pPr>
              <w:spacing w:line="240" w:lineRule="auto"/>
              <w:rPr>
                <w:highlight w:val="none"/>
              </w:rPr>
            </w:pPr>
            <w:r>
              <w:rPr>
                <w:highlight w:val="none"/>
              </w:rPr>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1.4专项体检达标率</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建筑信息采集体检指标达标、房屋结构体系体检指标达标、改扩建情况体检指标达标、地基基础情况体检指标达标、承重构件损伤情况体检指标达标、房屋的围护系统损伤变形情况体检指标达标、房屋渗漏情况体检指标达标，判定准确。</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20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645"/>
        </w:trPr>
        <w:tc>
          <w:tcPr>
            <w:tcMar>
              <w:left w:w="120" w:type="dxa"/>
              <w:top w:w="60" w:type="dxa"/>
              <w:right w:w="120" w:type="dxa"/>
              <w:bottom w:w="30" w:type="dxa"/>
            </w:tcMar>
            <w:tcW w:w="878" w:type="dxa"/>
            <w:vAlign w:val="center"/>
            <w:vMerge w:val="restart"/>
            <w:textDirection w:val="lrTb"/>
            <w:noWrap w:val="false"/>
          </w:tcPr>
          <w:p>
            <w:pPr>
              <w:spacing w:line="240" w:lineRule="auto"/>
              <w:rPr>
                <w:highlight w:val="none"/>
              </w:rPr>
            </w:pPr>
            <w:r>
              <w:rPr>
                <w:rFonts w:hint="eastAsia"/>
                <w:highlight w:val="none"/>
              </w:rPr>
              <w:t xml:space="preserve">二、进度与安全管理</w:t>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2.1进度管控</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在规定时间内完成体检工作，延误提前3日报备并获得同意。超期未报备此项不得分。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819"/>
        </w:trPr>
        <w:tc>
          <w:tcPr>
            <w:tcMar>
              <w:left w:w="120" w:type="dxa"/>
              <w:top w:w="60" w:type="dxa"/>
              <w:right w:w="120" w:type="dxa"/>
              <w:bottom w:w="30" w:type="dxa"/>
            </w:tcMar>
            <w:tcW w:w="878" w:type="dxa"/>
            <w:vAlign w:val="center"/>
            <w:vMerge w:val="continue"/>
            <w:textDirection w:val="lrTb"/>
            <w:noWrap w:val="false"/>
          </w:tcPr>
          <w:p>
            <w:pPr>
              <w:spacing w:line="240" w:lineRule="auto"/>
              <w:rPr>
                <w:highlight w:val="none"/>
              </w:rPr>
            </w:pPr>
            <w:r>
              <w:rPr>
                <w:highlight w:val="none"/>
              </w:rPr>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2.2 安全应急</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无安全事故及投诉；重大隐患24小时内报告。发生安全事故此项不得分。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645"/>
        </w:trPr>
        <w:tc>
          <w:tcPr>
            <w:tcMar>
              <w:left w:w="120" w:type="dxa"/>
              <w:top w:w="60" w:type="dxa"/>
              <w:right w:w="120" w:type="dxa"/>
              <w:bottom w:w="30" w:type="dxa"/>
            </w:tcMar>
            <w:tcW w:w="878" w:type="dxa"/>
            <w:vAlign w:val="center"/>
            <w:vMerge w:val="restart"/>
            <w:textDirection w:val="lrTb"/>
            <w:noWrap w:val="false"/>
          </w:tcPr>
          <w:p>
            <w:pPr>
              <w:spacing w:line="240" w:lineRule="auto"/>
              <w:rPr>
                <w:highlight w:val="none"/>
              </w:rPr>
            </w:pPr>
            <w:r>
              <w:rPr>
                <w:rFonts w:hint="eastAsia"/>
                <w:highlight w:val="none"/>
              </w:rPr>
              <w:t xml:space="preserve">三、数据归档与保密</w:t>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3.1档案管理</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电子及纸质档案完整并装订归档。档案缺失或未加密扣对应分值。</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819"/>
        </w:trPr>
        <w:tc>
          <w:tcPr>
            <w:tcMar>
              <w:left w:w="120" w:type="dxa"/>
              <w:top w:w="60" w:type="dxa"/>
              <w:right w:w="120" w:type="dxa"/>
              <w:bottom w:w="30" w:type="dxa"/>
            </w:tcMar>
            <w:tcW w:w="878" w:type="dxa"/>
            <w:vAlign w:val="center"/>
            <w:vMerge w:val="continue"/>
            <w:textDirection w:val="lrTb"/>
            <w:noWrap w:val="false"/>
          </w:tcPr>
          <w:p>
            <w:pPr>
              <w:spacing w:line="240" w:lineRule="auto"/>
              <w:rPr>
                <w:highlight w:val="none"/>
              </w:rPr>
            </w:pPr>
            <w:r>
              <w:rPr>
                <w:highlight w:val="none"/>
              </w:rPr>
            </w:r>
            <w:r/>
          </w:p>
        </w:tc>
        <w:tc>
          <w:tcPr>
            <w:tcMar>
              <w:left w:w="120" w:type="dxa"/>
              <w:top w:w="60" w:type="dxa"/>
              <w:right w:w="120" w:type="dxa"/>
              <w:bottom w:w="30" w:type="dxa"/>
            </w:tcMar>
            <w:tcW w:w="1306" w:type="dxa"/>
            <w:vAlign w:val="center"/>
            <w:textDirection w:val="lrTb"/>
            <w:noWrap w:val="false"/>
          </w:tcPr>
          <w:p>
            <w:pPr>
              <w:spacing w:line="240" w:lineRule="auto"/>
              <w:rPr>
                <w:highlight w:val="none"/>
              </w:rPr>
            </w:pPr>
            <w:r>
              <w:rPr>
                <w:rFonts w:hint="eastAsia"/>
                <w:highlight w:val="none"/>
              </w:rPr>
              <w:t xml:space="preserve">3.2 保密管理</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无信息泄露投诉；未泄露居民及体检敏感数据。发生泄漏此项不得分。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373"/>
        </w:trPr>
        <w:tc>
          <w:tcPr>
            <w:gridSpan w:val="3"/>
            <w:tcMar>
              <w:left w:w="120" w:type="dxa"/>
              <w:top w:w="60" w:type="dxa"/>
              <w:right w:w="120" w:type="dxa"/>
              <w:bottom w:w="30" w:type="dxa"/>
            </w:tcMar>
            <w:tcW w:w="7360" w:type="dxa"/>
            <w:vAlign w:val="center"/>
            <w:textDirection w:val="lrTb"/>
            <w:noWrap w:val="false"/>
          </w:tcPr>
          <w:p>
            <w:pPr>
              <w:spacing w:line="240" w:lineRule="auto"/>
              <w:rPr>
                <w:highlight w:val="none"/>
              </w:rPr>
            </w:pPr>
            <w:r>
              <w:rPr>
                <w:rFonts w:hint="eastAsia"/>
                <w:highlight w:val="none"/>
              </w:rPr>
              <w:t xml:space="preserve">扣分项（直接扣减总分）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highlight w:val="none"/>
              </w:rPr>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919"/>
        </w:trPr>
        <w:tc>
          <w:tcPr>
            <w:gridSpan w:val="2"/>
            <w:tcMar>
              <w:left w:w="120" w:type="dxa"/>
              <w:top w:w="60" w:type="dxa"/>
              <w:right w:w="120" w:type="dxa"/>
              <w:bottom w:w="30" w:type="dxa"/>
            </w:tcMar>
            <w:tcW w:w="2184" w:type="dxa"/>
            <w:vAlign w:val="center"/>
            <w:textDirection w:val="lrTb"/>
            <w:noWrap w:val="false"/>
          </w:tcPr>
          <w:p>
            <w:pPr>
              <w:spacing w:line="240" w:lineRule="auto"/>
              <w:rPr>
                <w:highlight w:val="none"/>
              </w:rPr>
            </w:pPr>
            <w:r>
              <w:rPr>
                <w:rFonts w:hint="eastAsia"/>
                <w:highlight w:val="none"/>
              </w:rPr>
              <w:t xml:space="preserve">扣分内容</w:t>
            </w:r>
            <w:r/>
          </w:p>
        </w:tc>
        <w:tc>
          <w:tcPr>
            <w:tcMar>
              <w:left w:w="120" w:type="dxa"/>
              <w:top w:w="60" w:type="dxa"/>
              <w:right w:w="120" w:type="dxa"/>
              <w:bottom w:w="30" w:type="dxa"/>
            </w:tcMar>
            <w:tcW w:w="5176" w:type="dxa"/>
            <w:vAlign w:val="center"/>
            <w:textDirection w:val="lrTb"/>
            <w:noWrap w:val="false"/>
          </w:tcPr>
          <w:p>
            <w:pPr>
              <w:spacing w:line="240" w:lineRule="auto"/>
              <w:rPr>
                <w:highlight w:val="none"/>
              </w:rPr>
            </w:pPr>
            <w:r>
              <w:rPr>
                <w:rFonts w:hint="eastAsia"/>
                <w:highlight w:val="none"/>
              </w:rPr>
              <w:t xml:space="preserve">1. 漏检楼栋数≥10栋（扣10分）；2. 重大隐患判定错误（扣10分）；3. 提供虚假资料（扣20分）。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40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373"/>
        </w:trPr>
        <w:tc>
          <w:tcPr>
            <w:gridSpan w:val="3"/>
            <w:tcMar>
              <w:left w:w="120" w:type="dxa"/>
              <w:top w:w="60" w:type="dxa"/>
              <w:right w:w="120" w:type="dxa"/>
              <w:bottom w:w="30" w:type="dxa"/>
            </w:tcMar>
            <w:tcW w:w="7360" w:type="dxa"/>
            <w:vAlign w:val="center"/>
            <w:textDirection w:val="lrTb"/>
            <w:noWrap w:val="false"/>
          </w:tcPr>
          <w:p>
            <w:pPr>
              <w:spacing w:line="240" w:lineRule="auto"/>
              <w:rPr>
                <w:highlight w:val="none"/>
              </w:rPr>
            </w:pPr>
            <w:r>
              <w:rPr>
                <w:rFonts w:hint="eastAsia"/>
                <w:highlight w:val="none"/>
              </w:rPr>
              <w:t xml:space="preserve">总分（实得分-扣分）</w:t>
            </w:r>
            <w:r/>
          </w:p>
        </w:tc>
        <w:tc>
          <w:tcPr>
            <w:tcMar>
              <w:left w:w="120" w:type="dxa"/>
              <w:top w:w="60" w:type="dxa"/>
              <w:right w:w="120" w:type="dxa"/>
              <w:bottom w:w="30" w:type="dxa"/>
            </w:tcMar>
            <w:tcW w:w="979" w:type="dxa"/>
            <w:vAlign w:val="center"/>
            <w:textDirection w:val="lrTb"/>
            <w:noWrap w:val="false"/>
          </w:tcPr>
          <w:p>
            <w:pPr>
              <w:jc w:val="center"/>
              <w:spacing w:line="240" w:lineRule="auto"/>
              <w:rPr>
                <w:highlight w:val="none"/>
              </w:rPr>
            </w:pPr>
            <w:r>
              <w:rPr>
                <w:rFonts w:hint="eastAsia"/>
                <w:highlight w:val="none"/>
              </w:rPr>
              <w:t xml:space="preserve">100</w:t>
            </w:r>
            <w:r/>
          </w:p>
        </w:tc>
        <w:tc>
          <w:tcPr>
            <w:tcMar>
              <w:left w:w="120" w:type="dxa"/>
              <w:top w:w="60" w:type="dxa"/>
              <w:right w:w="120" w:type="dxa"/>
              <w:bottom w:w="30" w:type="dxa"/>
            </w:tcMar>
            <w:tcW w:w="1176" w:type="dxa"/>
            <w:vAlign w:val="center"/>
            <w:textDirection w:val="lrTb"/>
            <w:noWrap w:val="false"/>
          </w:tcPr>
          <w:p>
            <w:pPr>
              <w:jc w:val="center"/>
              <w:spacing w:line="240" w:lineRule="auto"/>
              <w:rPr>
                <w:highlight w:val="none"/>
              </w:rPr>
            </w:pPr>
            <w:r>
              <w:rPr>
                <w:highlight w:val="none"/>
              </w:rPr>
            </w:r>
            <w:r/>
          </w:p>
        </w:tc>
      </w:tr>
      <w:tr>
        <w:trPr>
          <w:jc w:val="center"/>
          <w:trHeight w:val="373"/>
        </w:trPr>
        <w:tc>
          <w:tcPr>
            <w:gridSpan w:val="5"/>
            <w:tcMar>
              <w:left w:w="120" w:type="dxa"/>
              <w:top w:w="60" w:type="dxa"/>
              <w:right w:w="120" w:type="dxa"/>
              <w:bottom w:w="30" w:type="dxa"/>
            </w:tcMar>
            <w:tcW w:w="9520" w:type="dxa"/>
            <w:vAlign w:val="center"/>
            <w:textDirection w:val="lrTb"/>
            <w:noWrap w:val="false"/>
          </w:tcPr>
          <w:p>
            <w:pPr>
              <w:spacing w:line="240" w:lineRule="auto"/>
              <w:rPr>
                <w:highlight w:val="none"/>
              </w:rPr>
            </w:pPr>
            <w:r>
              <w:rPr>
                <w:rFonts w:hint="eastAsia"/>
                <w:highlight w:val="none"/>
              </w:rPr>
              <w:t xml:space="preserve">考核等级（90分及以上优秀；60-89分合格；60分以下不合格）</w:t>
            </w:r>
            <w:r/>
          </w:p>
        </w:tc>
      </w:tr>
      <w:tr>
        <w:trPr>
          <w:jc w:val="center"/>
          <w:trHeight w:val="919"/>
        </w:trPr>
        <w:tc>
          <w:tcPr>
            <w:gridSpan w:val="5"/>
            <w:tcMar>
              <w:left w:w="120" w:type="dxa"/>
              <w:top w:w="60" w:type="dxa"/>
              <w:right w:w="120" w:type="dxa"/>
              <w:bottom w:w="30" w:type="dxa"/>
            </w:tcMar>
            <w:tcW w:w="9520" w:type="dxa"/>
            <w:vAlign w:val="center"/>
            <w:textDirection w:val="lrTb"/>
            <w:noWrap w:val="false"/>
          </w:tcPr>
          <w:p>
            <w:pPr>
              <w:spacing w:line="240" w:lineRule="auto"/>
              <w:rPr>
                <w:highlight w:val="none"/>
              </w:rPr>
            </w:pPr>
            <w:r>
              <w:rPr>
                <w:rFonts w:hint="eastAsia"/>
                <w:highlight w:val="none"/>
              </w:rPr>
              <w:t xml:space="preserve">注：考核情况计入付款支付比例，结算服务费按考核结果相应扣减后支付。</w:t>
            </w:r>
            <w:r/>
          </w:p>
          <w:p>
            <w:pPr>
              <w:spacing w:line="240" w:lineRule="auto"/>
              <w:rPr>
                <w:highlight w:val="none"/>
              </w:rPr>
            </w:pPr>
            <w:r>
              <w:rPr>
                <w:rFonts w:hint="eastAsia"/>
                <w:highlight w:val="none"/>
              </w:rPr>
              <w:t xml:space="preserve">1.考核80分 以下（不含）的，每下降1分，扣20000元；</w:t>
            </w:r>
            <w:r/>
          </w:p>
          <w:p>
            <w:pPr>
              <w:spacing w:line="240" w:lineRule="auto"/>
              <w:rPr>
                <w:highlight w:val="none"/>
              </w:rPr>
            </w:pPr>
            <w:r>
              <w:rPr>
                <w:rFonts w:hint="eastAsia"/>
                <w:highlight w:val="none"/>
              </w:rPr>
              <w:t xml:space="preserve">2.考核分值60分以下（不含）或直接认定为不合格的，采购单位有权立即终止服务合同。</w:t>
            </w:r>
            <w:r/>
          </w:p>
        </w:tc>
      </w:tr>
      <w:tr>
        <w:trPr>
          <w:jc w:val="center"/>
          <w:trHeight w:val="383"/>
        </w:trPr>
        <w:tc>
          <w:tcPr>
            <w:gridSpan w:val="5"/>
            <w:tcMar>
              <w:left w:w="120" w:type="dxa"/>
              <w:top w:w="60" w:type="dxa"/>
              <w:right w:w="120" w:type="dxa"/>
              <w:bottom w:w="30" w:type="dxa"/>
            </w:tcMar>
            <w:tcW w:w="9520" w:type="dxa"/>
            <w:vAlign w:val="center"/>
            <w:textDirection w:val="lrTb"/>
            <w:noWrap w:val="false"/>
          </w:tcPr>
          <w:p>
            <w:pPr>
              <w:spacing w:line="240" w:lineRule="auto"/>
              <w:rPr>
                <w:highlight w:val="none"/>
              </w:rPr>
            </w:pPr>
            <w:r>
              <w:rPr>
                <w:rFonts w:hint="eastAsia"/>
                <w:highlight w:val="none"/>
              </w:rPr>
              <w:t xml:space="preserve">考核结论：_________ 审批人：____________ 审批日期：______年______月______日</w:t>
            </w:r>
            <w:r/>
          </w:p>
        </w:tc>
      </w:tr>
    </w:tbl>
    <w:p>
      <w:pPr>
        <w:pStyle w:val="898"/>
        <w:rPr>
          <w:rFonts w:ascii="宋体" w:hAnsi="宋体" w:cs="宋体"/>
          <w:highlight w:val="none"/>
        </w:rPr>
      </w:pPr>
      <w:r/>
      <w:bookmarkStart w:id="227" w:name="_Toc29930"/>
      <w:r>
        <w:rPr>
          <w:rFonts w:hint="eastAsia" w:ascii="宋体" w:hAnsi="宋体" w:cs="宋体"/>
          <w:highlight w:val="none"/>
        </w:rPr>
        <w:t xml:space="preserve">第五章 评标方法及评标标准</w:t>
      </w:r>
      <w:bookmarkEnd w:id="89"/>
      <w:r/>
      <w:bookmarkEnd w:id="90"/>
      <w:r/>
      <w:bookmarkEnd w:id="92"/>
      <w:r/>
      <w:bookmarkEnd w:id="93"/>
      <w:r/>
      <w:bookmarkEnd w:id="94"/>
      <w:r/>
      <w:bookmarkEnd w:id="109"/>
      <w:r/>
      <w:bookmarkEnd w:id="227"/>
      <w:r/>
      <w:r/>
    </w:p>
    <w:p>
      <w:pPr>
        <w:pStyle w:val="1149"/>
        <w:ind w:firstLine="422"/>
        <w:spacing w:before="0" w:after="0"/>
        <w:rPr>
          <w:rFonts w:ascii="宋体" w:hAnsi="宋体" w:cs="宋体"/>
          <w:b/>
          <w:sz w:val="21"/>
          <w:szCs w:val="21"/>
          <w:highlight w:val="none"/>
        </w:rPr>
      </w:pPr>
      <w:r>
        <w:rPr>
          <w:rFonts w:hint="eastAsia" w:ascii="宋体" w:hAnsi="宋体" w:cs="宋体"/>
          <w:b/>
          <w:sz w:val="21"/>
          <w:szCs w:val="21"/>
          <w:highlight w:val="none"/>
        </w:rPr>
        <w:t xml:space="preserve">一、评标方法</w:t>
      </w:r>
      <w:r/>
    </w:p>
    <w:p>
      <w:pPr>
        <w:pStyle w:val="1149"/>
        <w:ind w:firstLine="420"/>
        <w:spacing w:before="0" w:after="0"/>
        <w:rPr>
          <w:rFonts w:ascii="宋体" w:hAnsi="宋体" w:cs="宋体"/>
          <w:sz w:val="21"/>
          <w:szCs w:val="21"/>
          <w:highlight w:val="none"/>
        </w:rPr>
      </w:pPr>
      <w:r/>
      <w:bookmarkStart w:id="228" w:name="_Toc449016388"/>
      <w:r/>
      <w:bookmarkStart w:id="229" w:name="_Toc449017024"/>
      <w:r>
        <w:rPr>
          <w:rFonts w:hint="eastAsia" w:ascii="宋体" w:hAnsi="宋体" w:cs="宋体"/>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二、政府采购政策功能落实</w:t>
      </w:r>
      <w:bookmarkEnd w:id="228"/>
      <w:r/>
      <w:bookmarkEnd w:id="229"/>
      <w:r/>
      <w:r/>
    </w:p>
    <w:p>
      <w:pPr>
        <w:ind w:firstLine="420"/>
        <w:spacing w:line="360" w:lineRule="auto"/>
        <w:rPr>
          <w:rFonts w:ascii="宋体" w:hAnsi="宋体" w:cs="宋体"/>
          <w:b/>
          <w:szCs w:val="21"/>
          <w:highlight w:val="none"/>
        </w:rPr>
      </w:pPr>
      <w:r>
        <w:rPr>
          <w:rFonts w:hint="eastAsia" w:ascii="宋体" w:hAnsi="宋体" w:cs="宋体"/>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1.小微型企业价格扣除</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（1）本项目对小型和微型企业产品给予20%的扣除价格，用扣除后的价格参与评审。</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（2）供应商需按照采购文件的要求提供相应的《中小企业声明函》。</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2.残疾人福利单位价格扣除</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（1）本项目对残疾人福利性单位视同小型、微型企业，给予20%的价格扣除，用扣除后的价格参与评审。</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（2）残疾人福利单位需按照采购文件的要求提供《残疾人福利性单位声明函》。</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（3）残疾人福利单位标准请参照《关于促进残疾人就业政府采购政策的通知》（财库2017〕141号）。</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3.监狱和戒毒企业价格扣除</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（1）本项目对监狱和戒毒企业（简称监狱企业）视同小型、微型企业，给予20%的价格扣除，用扣除后的价格参与评审。</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（3）监狱企业标准请参照《关于政府采购支持监狱企业发展有关问题的通知》（财库[2014]68号）。</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4.残疾人福利单位、监狱企业属于小型、微型企业的，不重复享受政策。</w:t>
      </w:r>
      <w:r/>
    </w:p>
    <w:p>
      <w:pPr>
        <w:pStyle w:val="1149"/>
        <w:ind w:firstLine="422"/>
        <w:spacing w:before="0" w:after="0"/>
        <w:rPr>
          <w:rFonts w:ascii="宋体" w:hAnsi="宋体" w:cs="宋体"/>
          <w:b/>
          <w:sz w:val="21"/>
          <w:szCs w:val="21"/>
          <w:highlight w:val="none"/>
        </w:rPr>
      </w:pPr>
      <w:r>
        <w:rPr>
          <w:rFonts w:hint="eastAsia" w:ascii="宋体" w:hAnsi="宋体" w:cs="宋体"/>
          <w:b/>
          <w:sz w:val="21"/>
          <w:szCs w:val="21"/>
          <w:highlight w:val="none"/>
        </w:rPr>
        <w:t xml:space="preserve">三、评标标准</w:t>
      </w:r>
      <w:r/>
    </w:p>
    <w:p>
      <w:pPr>
        <w:pStyle w:val="1149"/>
        <w:ind w:firstLine="422"/>
        <w:spacing w:before="0" w:after="0"/>
        <w:rPr>
          <w:rFonts w:ascii="宋体" w:hAnsi="宋体" w:cs="宋体"/>
          <w:b/>
          <w:bCs/>
          <w:sz w:val="21"/>
          <w:szCs w:val="22"/>
          <w:highlight w:val="none"/>
        </w:rPr>
      </w:pPr>
      <w:r>
        <w:rPr>
          <w:rFonts w:hint="eastAsia" w:ascii="宋体" w:hAnsi="宋体" w:cs="宋体"/>
          <w:b/>
          <w:bCs/>
          <w:sz w:val="21"/>
          <w:szCs w:val="22"/>
          <w:highlight w:val="none"/>
        </w:rPr>
        <w:t xml:space="preserve">包一、包二、包三、包四：</w:t>
      </w:r>
      <w:r/>
    </w:p>
    <w:tbl>
      <w:tblPr>
        <w:tblStyle w:val="908"/>
        <w:tblW w:w="91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1"/>
        <w:gridCol w:w="7768"/>
      </w:tblGrid>
      <w:tr>
        <w:trPr>
          <w:trHeight w:val="461"/>
        </w:trPr>
        <w:tc>
          <w:tcPr>
            <w:tcW w:w="1371" w:type="dxa"/>
            <w:vAlign w:val="center"/>
            <w:textDirection w:val="lrTb"/>
            <w:noWrap w:val="false"/>
          </w:tcPr>
          <w:p>
            <w:pPr>
              <w:contextualSpacing/>
              <w:ind w:firstLine="315"/>
              <w:spacing w:line="360" w:lineRule="auto"/>
              <w:widowControl/>
              <w:rPr>
                <w:rFonts w:ascii="宋体" w:hAnsi="宋体" w:cs="宋体"/>
                <w:highlight w:val="none"/>
              </w:rPr>
            </w:pPr>
            <w:r/>
            <w:bookmarkStart w:id="230" w:name="_Toc18779"/>
            <w:r>
              <w:rPr>
                <w:rFonts w:hint="eastAsia" w:ascii="宋体" w:hAnsi="宋体" w:cs="宋体"/>
                <w:bCs/>
                <w:highlight w:val="none"/>
              </w:rPr>
              <w:t xml:space="preserve">项目</w:t>
            </w:r>
            <w:r/>
          </w:p>
        </w:tc>
        <w:tc>
          <w:tcPr>
            <w:tcW w:w="7768" w:type="dxa"/>
            <w:vAlign w:val="center"/>
            <w:textDirection w:val="lrTb"/>
            <w:noWrap w:val="false"/>
          </w:tcPr>
          <w:p>
            <w:pPr>
              <w:contextualSpacing/>
              <w:ind w:left="720"/>
              <w:jc w:val="center"/>
              <w:spacing w:line="360" w:lineRule="auto"/>
              <w:rPr>
                <w:rFonts w:ascii="宋体" w:hAnsi="宋体" w:cs="宋体"/>
                <w:highlight w:val="none"/>
              </w:rPr>
            </w:pPr>
            <w:r>
              <w:rPr>
                <w:rFonts w:hint="eastAsia" w:ascii="宋体" w:hAnsi="宋体" w:cs="宋体"/>
                <w:bCs/>
                <w:highlight w:val="none"/>
              </w:rPr>
              <w:t xml:space="preserve">评分标准</w:t>
            </w:r>
            <w:r/>
          </w:p>
        </w:tc>
      </w:tr>
      <w:tr>
        <w:trPr>
          <w:trHeight w:val="2379"/>
        </w:trPr>
        <w:tc>
          <w:tcPr>
            <w:tcW w:w="1371"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价 格</w:t>
            </w:r>
            <w:r/>
          </w:p>
          <w:p>
            <w:pPr>
              <w:jc w:val="center"/>
              <w:spacing w:line="360" w:lineRule="auto"/>
              <w:rPr>
                <w:rFonts w:ascii="宋体" w:hAnsi="宋体" w:cs="宋体"/>
                <w:highlight w:val="none"/>
              </w:rPr>
            </w:pPr>
            <w:r>
              <w:rPr>
                <w:rFonts w:hint="eastAsia" w:ascii="宋体" w:hAnsi="宋体" w:cs="宋体"/>
                <w:highlight w:val="none"/>
              </w:rPr>
              <w:t xml:space="preserve">（16分）</w:t>
            </w:r>
            <w:r/>
          </w:p>
        </w:tc>
        <w:tc>
          <w:tcPr>
            <w:tcW w:w="7768" w:type="dxa"/>
            <w:vAlign w:val="center"/>
            <w:textDirection w:val="lrTb"/>
            <w:noWrap w:val="false"/>
          </w:tcPr>
          <w:p>
            <w:pPr>
              <w:ind w:left="80" w:firstLine="420"/>
              <w:spacing w:line="360" w:lineRule="auto"/>
              <w:rPr>
                <w:rFonts w:ascii="宋体" w:hAnsi="宋体" w:cs="宋体"/>
                <w:highlight w:val="none"/>
              </w:rPr>
            </w:pPr>
            <w:r>
              <w:rPr>
                <w:rFonts w:hint="eastAsia" w:ascii="宋体" w:hAnsi="宋体" w:cs="宋体"/>
                <w:highlight w:val="none"/>
              </w:rPr>
              <w:t xml:space="preserve">以满足招标文件要求的最低投标报价为评标基准价，得满分16分，其他投标报价得分=（评标基准价/其他投标报价）×16×100%（保留两位有效小数）。</w:t>
            </w:r>
            <w:r/>
          </w:p>
          <w:p>
            <w:pPr>
              <w:pStyle w:val="916"/>
              <w:ind w:left="0"/>
              <w:spacing w:line="360" w:lineRule="auto"/>
              <w:rPr>
                <w:rFonts w:ascii="宋体" w:hAnsi="宋体" w:eastAsia="宋体" w:cs="宋体"/>
                <w:highlight w:val="none"/>
              </w:rPr>
            </w:pPr>
            <w:r>
              <w:rPr>
                <w:rFonts w:hint="eastAsia" w:ascii="宋体" w:hAnsi="宋体" w:eastAsia="宋体" w:cs="宋体"/>
                <w:b/>
                <w:bCs/>
                <w:szCs w:val="21"/>
                <w:highlight w:val="none"/>
              </w:rPr>
              <w:t xml:space="preserve">注：评标委员会认为供应商的报价明显低于其他通过符合性审查供应商的报价，有可能影响工程质量或者不能诚信履约的，且投标人不能在评标现场合理的时间内证明其报价合理性的，评标委员会有权将其作为无效投标处理。</w:t>
            </w:r>
            <w:r/>
          </w:p>
        </w:tc>
      </w:tr>
      <w:tr>
        <w:trPr>
          <w:trHeight w:val="3674"/>
        </w:trPr>
        <w:tc>
          <w:tcPr>
            <w:tcW w:w="1371" w:type="dxa"/>
            <w:vAlign w:val="center"/>
            <w:textDirection w:val="lrTb"/>
            <w:noWrap w:val="false"/>
          </w:tcPr>
          <w:p>
            <w:pPr>
              <w:contextualSpacing/>
              <w:ind w:firstLine="105"/>
              <w:spacing w:line="360" w:lineRule="auto"/>
              <w:rPr>
                <w:rFonts w:ascii="宋体" w:hAnsi="宋体" w:cs="宋体"/>
                <w:bCs/>
                <w:highlight w:val="none"/>
              </w:rPr>
            </w:pPr>
            <w:r>
              <w:rPr>
                <w:rFonts w:hint="eastAsia" w:ascii="宋体" w:hAnsi="宋体" w:cs="宋体"/>
                <w:bCs/>
                <w:highlight w:val="none"/>
              </w:rPr>
              <w:t xml:space="preserve">实施方案</w:t>
            </w:r>
            <w:r/>
          </w:p>
          <w:p>
            <w:pPr>
              <w:contextualSpacing/>
              <w:ind w:firstLine="105"/>
              <w:spacing w:line="360" w:lineRule="auto"/>
              <w:rPr>
                <w:rFonts w:ascii="宋体" w:hAnsi="宋体" w:cs="宋体"/>
                <w:highlight w:val="none"/>
              </w:rPr>
            </w:pPr>
            <w:r>
              <w:rPr>
                <w:rFonts w:hint="eastAsia" w:ascii="宋体" w:hAnsi="宋体" w:cs="宋体"/>
                <w:highlight w:val="none"/>
              </w:rPr>
              <w:t xml:space="preserve">（42分）</w:t>
            </w:r>
            <w:r/>
          </w:p>
        </w:tc>
        <w:tc>
          <w:tcPr>
            <w:tcW w:w="7768" w:type="dxa"/>
            <w:vAlign w:val="center"/>
            <w:textDirection w:val="lrTb"/>
            <w:noWrap w:val="false"/>
          </w:tcPr>
          <w:p>
            <w:pPr>
              <w:ind w:firstLine="420"/>
              <w:spacing w:line="360" w:lineRule="auto"/>
              <w:widowControl/>
              <w:rPr>
                <w:rFonts w:ascii="宋体" w:hAnsi="宋体" w:cs="宋体"/>
                <w:szCs w:val="21"/>
                <w:highlight w:val="none"/>
              </w:rPr>
            </w:pPr>
            <w:r/>
            <w:bookmarkStart w:id="231" w:name="OLE_LINK28"/>
            <w:r>
              <w:rPr>
                <w:rFonts w:hint="eastAsia" w:ascii="宋体" w:hAnsi="宋体" w:cs="宋体"/>
                <w:bCs/>
                <w:szCs w:val="21"/>
                <w:highlight w:val="none"/>
              </w:rPr>
              <w:t xml:space="preserve">1.</w:t>
            </w:r>
            <w:r>
              <w:rPr>
                <w:rFonts w:hint="eastAsia" w:ascii="宋体" w:hAnsi="宋体" w:cs="宋体"/>
                <w:szCs w:val="21"/>
                <w:highlight w:val="none"/>
              </w:rPr>
              <w:t xml:space="preserve">针对本项目的实施方案(7分)</w:t>
            </w:r>
            <w:r/>
          </w:p>
          <w:p>
            <w:pPr>
              <w:ind w:firstLine="420"/>
              <w:spacing w:line="360" w:lineRule="auto"/>
              <w:rPr>
                <w:rFonts w:ascii="宋体" w:hAnsi="宋体" w:cs="宋体"/>
                <w:bCs/>
                <w:szCs w:val="21"/>
                <w:highlight w:val="none"/>
              </w:rPr>
            </w:pPr>
            <w:r/>
            <w:bookmarkStart w:id="232" w:name="OLE_LINK40"/>
            <w:r>
              <w:rPr>
                <w:rFonts w:hint="eastAsia" w:ascii="宋体" w:hAnsi="宋体" w:cs="宋体"/>
                <w:szCs w:val="21"/>
                <w:highlight w:val="none"/>
              </w:rPr>
              <w:t xml:space="preserve">根据投标单位针对本项目</w:t>
            </w:r>
            <w:bookmarkEnd w:id="232"/>
            <w:r>
              <w:rPr>
                <w:rFonts w:hint="eastAsia" w:ascii="宋体" w:hAnsi="宋体" w:cs="宋体"/>
                <w:szCs w:val="21"/>
                <w:highlight w:val="none"/>
              </w:rPr>
              <w:t xml:space="preserve">制定的实施方法及方案的合理性综合评定，</w:t>
            </w:r>
            <w:bookmarkStart w:id="233" w:name="OLE_LINK4"/>
            <w:r>
              <w:rPr>
                <w:rFonts w:hint="eastAsia" w:ascii="宋体" w:hAnsi="宋体" w:cs="宋体"/>
                <w:szCs w:val="21"/>
                <w:highlight w:val="none"/>
              </w:rPr>
              <w:t xml:space="preserve">方案重点明确、计划清晰的得7分；方案重点较明确、计划较清晰的得5分；方案重点较一般、计划较一般的得3分；方案重点不甚明确、计划不甚清晰的得1分；未体现的不得分，</w:t>
            </w:r>
            <w:bookmarkStart w:id="234" w:name="OLE_LINK48"/>
            <w:r>
              <w:rPr>
                <w:rFonts w:hint="eastAsia" w:ascii="宋体" w:hAnsi="宋体" w:cs="宋体"/>
                <w:szCs w:val="21"/>
                <w:highlight w:val="none"/>
              </w:rPr>
              <w:t xml:space="preserve">本项最多得7分</w:t>
            </w:r>
            <w:bookmarkEnd w:id="234"/>
            <w:r>
              <w:rPr>
                <w:rFonts w:hint="eastAsia" w:ascii="宋体" w:hAnsi="宋体" w:cs="宋体"/>
                <w:bCs/>
                <w:szCs w:val="21"/>
                <w:highlight w:val="none"/>
              </w:rPr>
              <w:t xml:space="preserve">。</w:t>
            </w:r>
            <w:bookmarkEnd w:id="233"/>
            <w:r/>
            <w:r/>
          </w:p>
          <w:p>
            <w:pPr>
              <w:ind w:firstLine="422"/>
              <w:spacing w:line="360" w:lineRule="auto"/>
              <w:rPr>
                <w:rFonts w:ascii="宋体" w:hAnsi="宋体" w:cs="宋体"/>
                <w:bCs/>
                <w:szCs w:val="21"/>
                <w:highlight w:val="none"/>
              </w:rPr>
            </w:pPr>
            <w:r>
              <w:rPr>
                <w:rFonts w:hint="eastAsia" w:ascii="宋体" w:hAnsi="宋体" w:cs="宋体"/>
                <w:bCs/>
                <w:szCs w:val="21"/>
                <w:highlight w:val="none"/>
              </w:rPr>
              <w:t xml:space="preserve">2.针对本项目的</w:t>
            </w:r>
            <w:bookmarkStart w:id="235" w:name="OLE_LINK1"/>
            <w:r>
              <w:rPr>
                <w:rFonts w:hint="eastAsia" w:ascii="宋体" w:hAnsi="宋体" w:cs="宋体"/>
                <w:bCs/>
                <w:szCs w:val="21"/>
                <w:highlight w:val="none"/>
              </w:rPr>
              <w:t xml:space="preserve">资料核查</w:t>
            </w:r>
            <w:bookmarkEnd w:id="235"/>
            <w:r>
              <w:rPr>
                <w:rFonts w:hint="eastAsia" w:ascii="宋体" w:hAnsi="宋体" w:cs="宋体"/>
                <w:bCs/>
                <w:szCs w:val="21"/>
                <w:highlight w:val="none"/>
              </w:rPr>
              <w:t xml:space="preserve">专项方案（7分）</w:t>
            </w:r>
            <w:r/>
          </w:p>
          <w:p>
            <w:pPr>
              <w:ind w:firstLine="420"/>
              <w:spacing w:line="360" w:lineRule="auto"/>
              <w:rPr>
                <w:rFonts w:ascii="宋体" w:hAnsi="宋体" w:cs="宋体"/>
                <w:bCs/>
                <w:szCs w:val="21"/>
                <w:highlight w:val="none"/>
              </w:rPr>
            </w:pPr>
            <w:r/>
            <w:bookmarkStart w:id="236" w:name="OLE_LINK38"/>
            <w:r>
              <w:rPr>
                <w:rFonts w:hint="eastAsia" w:ascii="宋体" w:hAnsi="宋体" w:cs="宋体"/>
                <w:szCs w:val="21"/>
                <w:highlight w:val="none"/>
              </w:rPr>
              <w:t xml:space="preserve">根据投标单位针对本项目</w:t>
            </w:r>
            <w:r>
              <w:rPr>
                <w:rFonts w:hint="eastAsia" w:ascii="宋体" w:hAnsi="宋体" w:cs="宋体"/>
                <w:bCs/>
                <w:szCs w:val="21"/>
                <w:highlight w:val="none"/>
              </w:rPr>
              <w:t xml:space="preserve">通过</w:t>
            </w:r>
            <w:bookmarkEnd w:id="236"/>
            <w:r/>
            <w:bookmarkStart w:id="237" w:name="OLE_LINK42"/>
            <w:r>
              <w:rPr>
                <w:rFonts w:hint="eastAsia" w:ascii="宋体" w:hAnsi="宋体" w:cs="宋体"/>
                <w:bCs/>
                <w:szCs w:val="21"/>
                <w:highlight w:val="none"/>
              </w:rPr>
              <w:t xml:space="preserve">核查工作方案概述、核查工作实施路径、核查工作资源配置与时间规划等方案综合评定，</w:t>
            </w:r>
            <w:bookmarkEnd w:id="237"/>
            <w:r>
              <w:rPr>
                <w:rFonts w:hint="eastAsia" w:ascii="宋体" w:hAnsi="宋体" w:cs="宋体"/>
                <w:szCs w:val="21"/>
                <w:highlight w:val="none"/>
              </w:rPr>
              <w:t xml:space="preserve">方案重点明确、计划清晰的得7分；方案重点较明确、计划较清晰的得5分；方案重点较一般、计划较一般的得3分；方案重点不甚明确、计划不甚清晰的得1分；未体现的不得分，本项最多得7分</w:t>
            </w:r>
            <w:r>
              <w:rPr>
                <w:rFonts w:hint="eastAsia" w:ascii="宋体" w:hAnsi="宋体" w:cs="宋体"/>
                <w:bCs/>
                <w:szCs w:val="21"/>
                <w:highlight w:val="none"/>
              </w:rPr>
              <w:t xml:space="preserve">。</w:t>
            </w:r>
            <w:r/>
          </w:p>
          <w:p>
            <w:pPr>
              <w:ind w:firstLine="422"/>
              <w:spacing w:line="360" w:lineRule="auto"/>
              <w:rPr>
                <w:rFonts w:ascii="宋体" w:hAnsi="宋体" w:cs="宋体"/>
                <w:bCs/>
                <w:szCs w:val="21"/>
                <w:highlight w:val="none"/>
              </w:rPr>
            </w:pPr>
            <w:r>
              <w:rPr>
                <w:rFonts w:hint="eastAsia" w:ascii="宋体" w:hAnsi="宋体" w:cs="宋体"/>
                <w:bCs/>
                <w:szCs w:val="21"/>
                <w:highlight w:val="none"/>
              </w:rPr>
              <w:t xml:space="preserve">3.现场观测方案（7分）</w:t>
            </w:r>
            <w:r/>
          </w:p>
          <w:p>
            <w:pPr>
              <w:ind w:firstLine="420"/>
              <w:spacing w:line="360" w:lineRule="auto"/>
              <w:rPr>
                <w:rFonts w:ascii="宋体" w:hAnsi="宋体" w:cs="宋体"/>
                <w:bCs/>
                <w:szCs w:val="21"/>
                <w:highlight w:val="none"/>
              </w:rPr>
            </w:pPr>
            <w:r/>
            <w:bookmarkStart w:id="238" w:name="OLE_LINK53"/>
            <w:r>
              <w:rPr>
                <w:rFonts w:hint="eastAsia" w:ascii="宋体" w:hAnsi="宋体" w:cs="宋体"/>
                <w:szCs w:val="21"/>
                <w:highlight w:val="none"/>
              </w:rPr>
              <w:t xml:space="preserve">为了确保房屋质量、进度和安全，对各项指标进行监测和评估，针对本项目制定观测方案，方案重点明确、计划清晰的得7分；方案重点较明确、计划较清晰的得5分；方案重点较一般、计划较一般的得3分；方案重点不甚明确、计划不甚清晰的得1分；未体现的不得分，本项最多得7分</w:t>
            </w:r>
            <w:r>
              <w:rPr>
                <w:rFonts w:hint="eastAsia" w:ascii="宋体" w:hAnsi="宋体" w:cs="宋体"/>
                <w:bCs/>
                <w:szCs w:val="21"/>
                <w:highlight w:val="none"/>
              </w:rPr>
              <w:t xml:space="preserve">。</w:t>
            </w:r>
            <w:bookmarkEnd w:id="238"/>
            <w:r/>
            <w:r/>
          </w:p>
          <w:p>
            <w:pPr>
              <w:ind w:firstLine="422"/>
              <w:spacing w:line="360" w:lineRule="auto"/>
              <w:rPr>
                <w:rFonts w:ascii="宋体" w:hAnsi="宋体" w:cs="宋体"/>
                <w:bCs/>
                <w:szCs w:val="21"/>
                <w:highlight w:val="none"/>
              </w:rPr>
            </w:pPr>
            <w:r/>
            <w:bookmarkStart w:id="239" w:name="OLE_LINK55"/>
            <w:r/>
            <w:bookmarkStart w:id="240" w:name="OLE_LINK11"/>
            <w:r>
              <w:rPr>
                <w:rFonts w:hint="eastAsia" w:ascii="宋体" w:hAnsi="宋体" w:cs="宋体"/>
                <w:bCs/>
                <w:szCs w:val="21"/>
                <w:highlight w:val="none"/>
              </w:rPr>
              <w:t xml:space="preserve">4.项目的保障措施(7分)</w:t>
            </w:r>
            <w:bookmarkEnd w:id="239"/>
            <w:r/>
            <w:r/>
          </w:p>
          <w:p>
            <w:pPr>
              <w:ind w:firstLine="422"/>
              <w:spacing w:line="360" w:lineRule="auto"/>
              <w:rPr>
                <w:rFonts w:ascii="宋体" w:hAnsi="宋体" w:cs="宋体"/>
                <w:bCs/>
                <w:szCs w:val="21"/>
                <w:highlight w:val="none"/>
              </w:rPr>
            </w:pPr>
            <w:r/>
            <w:bookmarkStart w:id="241" w:name="OLE_LINK5"/>
            <w:r>
              <w:rPr>
                <w:rFonts w:hint="eastAsia" w:ascii="宋体" w:hAnsi="宋体" w:cs="宋体"/>
                <w:bCs/>
                <w:szCs w:val="21"/>
                <w:highlight w:val="none"/>
              </w:rPr>
              <w:t xml:space="preserve">根据投标单位针对本项目</w:t>
            </w:r>
            <w:bookmarkEnd w:id="241"/>
            <w:r>
              <w:rPr>
                <w:rFonts w:hint="eastAsia" w:ascii="宋体" w:hAnsi="宋体" w:cs="宋体"/>
                <w:bCs/>
                <w:szCs w:val="21"/>
                <w:highlight w:val="none"/>
              </w:rPr>
              <w:t xml:space="preserve">能顺利完成的各项保障措施与说明进行综合评定，</w:t>
            </w:r>
            <w:bookmarkEnd w:id="240"/>
            <w:r>
              <w:rPr>
                <w:rFonts w:hint="eastAsia" w:ascii="宋体" w:hAnsi="宋体" w:cs="宋体"/>
                <w:bCs/>
                <w:szCs w:val="21"/>
                <w:highlight w:val="none"/>
              </w:rPr>
              <w:t xml:space="preserve">措施合理，方案可行的得7分；措施较合理，方案较可行的得5分；措施较一般，方案较一般的得3分；措施不甚合理，方案不甚可行的得1分，未体现的不得分，本项最多得7分。</w:t>
            </w:r>
            <w:bookmarkEnd w:id="231"/>
            <w:r/>
            <w:r/>
          </w:p>
          <w:p>
            <w:pPr>
              <w:ind w:firstLine="422"/>
              <w:spacing w:line="360" w:lineRule="auto"/>
              <w:rPr>
                <w:rFonts w:ascii="宋体" w:hAnsi="宋体" w:cs="宋体"/>
                <w:bCs/>
                <w:szCs w:val="21"/>
                <w:highlight w:val="none"/>
              </w:rPr>
            </w:pPr>
            <w:r>
              <w:rPr>
                <w:rFonts w:hint="eastAsia" w:ascii="宋体" w:hAnsi="宋体" w:cs="宋体"/>
                <w:bCs/>
                <w:szCs w:val="21"/>
                <w:highlight w:val="none"/>
              </w:rPr>
              <w:t xml:space="preserve">5.项目进度计划(7分)</w:t>
            </w:r>
            <w:r/>
          </w:p>
          <w:p>
            <w:pPr>
              <w:ind w:firstLine="422"/>
              <w:spacing w:line="360" w:lineRule="auto"/>
              <w:rPr>
                <w:rFonts w:ascii="宋体" w:hAnsi="宋体" w:cs="宋体"/>
                <w:bCs/>
                <w:szCs w:val="21"/>
                <w:highlight w:val="none"/>
              </w:rPr>
            </w:pPr>
            <w:r/>
            <w:bookmarkStart w:id="242" w:name="OLE_LINK54"/>
            <w:r>
              <w:rPr>
                <w:rFonts w:hint="eastAsia" w:ascii="宋体" w:hAnsi="宋体" w:cs="宋体"/>
                <w:bCs/>
                <w:szCs w:val="21"/>
                <w:highlight w:val="none"/>
              </w:rPr>
              <w:t xml:space="preserve">根据投标单位针对本项目制定的总进度计划及项目进度保障措施综合评定，计划及措施先进、可行、规范、周密的得7分；计划及措施较先进、较可行、较规范、较周密的得5分；计划及措施不甚先进、可行性一般、规范性一般、周密性一般得3分；计划及措施不甚可行，可行性、规范性、周密性有欠缺得1分，未体现的不得分，本项最多得7分。</w:t>
            </w:r>
            <w:bookmarkEnd w:id="242"/>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6.售后服务方案(7分)</w:t>
            </w:r>
            <w:r/>
          </w:p>
          <w:p>
            <w:pPr>
              <w:ind w:firstLine="422"/>
              <w:spacing w:line="360" w:lineRule="auto"/>
              <w:rPr>
                <w:rFonts w:ascii="宋体" w:hAnsi="宋体" w:cs="宋体"/>
                <w:highlight w:val="none"/>
              </w:rPr>
            </w:pPr>
            <w:r>
              <w:rPr>
                <w:rFonts w:hint="eastAsia" w:ascii="宋体" w:hAnsi="宋体" w:cs="宋体"/>
                <w:bCs/>
                <w:szCs w:val="21"/>
                <w:highlight w:val="none"/>
              </w:rPr>
              <w:t xml:space="preserve">房屋体检并非一次性交易，后续跟踪服务同样重要，根据投标单位针对本项目的售后保障方案进行综合评定，</w:t>
            </w:r>
            <w:r>
              <w:rPr>
                <w:rFonts w:hint="eastAsia" w:ascii="宋体" w:hAnsi="宋体" w:cs="宋体"/>
                <w:szCs w:val="21"/>
                <w:highlight w:val="none"/>
              </w:rPr>
              <w:t xml:space="preserve">售后服务方案科学、合理，售后服务承诺年限3年及以上、售后服务体系健全、售后服务机构人员配置调度合理可行、售后服务响应程度高，得7分。售后服务方案较好，承诺年限2年及以上，售后服务体系较为健全、售后服务机构人员配置调度较合理、售后服务响应程度较高，得5分；售后服务方案一般，售后服务体系一般，承诺年限1年及以上、售后服务机构人员配置一般合理、售后服务响应程度一般，得3分；售后服务方案较差，售后服务体系不健全、售后服务机构人员配置不合理、售后服务响应程度较差，得1分；</w:t>
            </w:r>
            <w:r>
              <w:rPr>
                <w:rFonts w:hint="eastAsia" w:ascii="宋体" w:hAnsi="宋体" w:cs="宋体"/>
                <w:bCs/>
                <w:szCs w:val="21"/>
                <w:highlight w:val="none"/>
              </w:rPr>
              <w:t xml:space="preserve">未体现的不得分，本项最多得7分。</w:t>
            </w:r>
            <w:r/>
          </w:p>
        </w:tc>
      </w:tr>
      <w:tr>
        <w:trPr>
          <w:trHeight w:val="2660"/>
        </w:trPr>
        <w:tc>
          <w:tcPr>
            <w:tcW w:w="1371" w:type="dxa"/>
            <w:vAlign w:val="center"/>
            <w:textDirection w:val="lrTb"/>
            <w:noWrap w:val="false"/>
          </w:tcPr>
          <w:p>
            <w:pPr>
              <w:contextualSpacing/>
              <w:ind w:firstLine="105"/>
              <w:spacing w:line="360" w:lineRule="auto"/>
              <w:rPr>
                <w:rFonts w:ascii="宋体" w:hAnsi="宋体" w:cs="宋体"/>
                <w:highlight w:val="none"/>
              </w:rPr>
            </w:pPr>
            <w:r>
              <w:rPr>
                <w:rFonts w:hint="eastAsia" w:ascii="宋体" w:hAnsi="宋体" w:cs="宋体"/>
                <w:highlight w:val="none"/>
              </w:rPr>
              <w:t xml:space="preserve">企业实力</w:t>
            </w:r>
            <w:r/>
          </w:p>
          <w:p>
            <w:pPr>
              <w:contextualSpacing/>
              <w:ind w:firstLine="105"/>
              <w:spacing w:line="360" w:lineRule="auto"/>
              <w:rPr>
                <w:rFonts w:ascii="宋体" w:hAnsi="宋体" w:cs="宋体"/>
                <w:highlight w:val="none"/>
              </w:rPr>
            </w:pPr>
            <w:r>
              <w:rPr>
                <w:rFonts w:hint="eastAsia" w:ascii="宋体" w:hAnsi="宋体" w:cs="宋体"/>
                <w:highlight w:val="none"/>
              </w:rPr>
              <w:t xml:space="preserve">（3分）</w:t>
            </w:r>
            <w:r/>
          </w:p>
        </w:tc>
        <w:tc>
          <w:tcPr>
            <w:tcW w:w="7768" w:type="dxa"/>
            <w:vAlign w:val="center"/>
            <w:textDirection w:val="lrTb"/>
            <w:noWrap w:val="false"/>
          </w:tcPr>
          <w:p>
            <w:pPr>
              <w:ind w:firstLine="420"/>
              <w:jc w:val="left"/>
              <w:spacing w:line="360" w:lineRule="auto"/>
              <w:rPr>
                <w:rFonts w:ascii="宋体" w:hAnsi="宋体" w:cs="宋体"/>
                <w:highlight w:val="none"/>
              </w:rPr>
            </w:pPr>
            <w:r>
              <w:rPr>
                <w:rFonts w:hint="eastAsia" w:ascii="宋体" w:hAnsi="宋体" w:cs="宋体"/>
                <w:bCs/>
                <w:szCs w:val="21"/>
                <w:highlight w:val="none"/>
              </w:rPr>
              <w:t xml:space="preserve">投标人具有有效的质量管理体系认证证书、环境管理体系认证证书、职业健康安全管理体系认证证书，每提供一项得1分，满分3分。</w:t>
            </w:r>
            <w:r>
              <w:rPr>
                <w:rFonts w:hint="eastAsia" w:ascii="宋体" w:hAnsi="宋体" w:cs="宋体"/>
                <w:b/>
                <w:szCs w:val="21"/>
                <w:highlight w:val="none"/>
              </w:rPr>
              <w:t xml:space="preserve">（提供认证证书及国家市场监督管理总局-全国认证认可信息公共服务平台http://cx.cnca.cn/CertECloud/index/index/page查询截图，扫描上传</w:t>
            </w:r>
            <w:r>
              <w:rPr>
                <w:rFonts w:hint="eastAsia" w:ascii="宋体" w:hAnsi="宋体" w:cs="宋体"/>
                <w:b/>
                <w:bCs/>
                <w:szCs w:val="21"/>
                <w:highlight w:val="none"/>
              </w:rPr>
              <w:t xml:space="preserve">加盖公章，扫描件须清晰可辨，未提供或模糊不清无法辨认的不得分。若因投标单位成立时间不足3个月导致无法提供上述认证证书，须提供投标单位“认证证书正在申请/审核过程中”书面说明，并附上与认证机构签订的合同复印件或受理通知书等正在办理证书的证明材料，材料齐全可相对应得分，否则不予得分。</w:t>
            </w:r>
            <w:r>
              <w:rPr>
                <w:rFonts w:hint="eastAsia" w:ascii="宋体" w:hAnsi="宋体" w:cs="宋体"/>
                <w:b/>
                <w:szCs w:val="21"/>
                <w:highlight w:val="none"/>
              </w:rPr>
              <w:t xml:space="preserve">）</w:t>
            </w:r>
            <w:r/>
          </w:p>
        </w:tc>
      </w:tr>
      <w:tr>
        <w:trPr>
          <w:trHeight w:val="1358"/>
        </w:trPr>
        <w:tc>
          <w:tcPr>
            <w:tcW w:w="1371" w:type="dxa"/>
            <w:vAlign w:val="center"/>
            <w:textDirection w:val="lrTb"/>
            <w:noWrap w:val="false"/>
          </w:tcPr>
          <w:p>
            <w:pPr>
              <w:contextualSpacing/>
              <w:ind w:left="210" w:hanging="105"/>
              <w:spacing w:line="360" w:lineRule="auto"/>
              <w:rPr>
                <w:rFonts w:ascii="宋体" w:hAnsi="宋体" w:cs="宋体"/>
                <w:highlight w:val="none"/>
              </w:rPr>
            </w:pPr>
            <w:r>
              <w:rPr>
                <w:rFonts w:hint="eastAsia" w:ascii="宋体" w:hAnsi="宋体" w:cs="宋体"/>
                <w:highlight w:val="none"/>
              </w:rPr>
              <w:t xml:space="preserve">人员配备（25分）</w:t>
            </w:r>
            <w:r/>
          </w:p>
        </w:tc>
        <w:tc>
          <w:tcPr>
            <w:tcW w:w="7768" w:type="dxa"/>
            <w:vAlign w:val="center"/>
            <w:textDirection w:val="lrTb"/>
            <w:noWrap w:val="false"/>
          </w:tcPr>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以下高级、中级工程师职称范围均仅包含建筑设计、结构设计、建筑施工、工程测量、工程管理、工程检测、施工图审查、工程质量安全监督、科技管理共9个类别。（老版职称证书须提供评审表或官方网站查询截图等能证明专业的材料。）</w:t>
            </w:r>
            <w:bookmarkStart w:id="243" w:name="OLE_LINK13"/>
            <w:r/>
            <w:bookmarkStart w:id="244" w:name="OLE_LINK7"/>
            <w:r/>
            <w:bookmarkStart w:id="245" w:name="OLE_LINK29"/>
            <w:r/>
            <w:bookmarkStart w:id="246" w:name="_Hlk190086657"/>
            <w:r>
              <w:rPr>
                <w:sz w:val="21"/>
              </w:rPr>
            </w:r>
            <w:r/>
          </w:p>
          <w:p>
            <w:pPr>
              <w:ind w:firstLine="420"/>
              <w:spacing w:line="360" w:lineRule="auto"/>
              <w:rPr>
                <w:rFonts w:ascii="宋体" w:hAnsi="宋体" w:cs="宋体"/>
                <w:b/>
                <w:szCs w:val="21"/>
                <w:highlight w:val="none"/>
              </w:rPr>
            </w:pPr>
            <w:r>
              <w:rPr>
                <w:rFonts w:hint="eastAsia" w:ascii="宋体" w:hAnsi="宋体" w:cs="宋体"/>
                <w:szCs w:val="21"/>
                <w:highlight w:val="none"/>
              </w:rPr>
              <w:t xml:space="preserve">1.</w:t>
            </w:r>
            <w:bookmarkEnd w:id="243"/>
            <w:r>
              <w:rPr>
                <w:rFonts w:hint="eastAsia" w:ascii="宋体" w:hAnsi="宋体" w:cs="宋体"/>
                <w:szCs w:val="21"/>
                <w:highlight w:val="none"/>
              </w:rPr>
              <w:t xml:space="preserve">拟投入本项目负责人具有一级注册结构工程师证书的得2分，二级注册结构工程师证书的得1分；</w:t>
            </w:r>
            <w:r>
              <w:rPr>
                <w:rFonts w:hint="eastAsia" w:ascii="宋体" w:hAnsi="宋体" w:cs="宋体"/>
                <w:bCs/>
                <w:szCs w:val="21"/>
                <w:highlight w:val="none"/>
              </w:rPr>
              <w:t xml:space="preserve">具有高级工程师职称的得2分，中级工程师职称的1分；具备10年及以上房屋安全鉴定或排查类工作经验的得2分，具备5年-10年（含5年不含10年）房屋安全鉴定或排查类工作经验的得1分，本项最多得6分。</w:t>
            </w:r>
            <w:bookmarkEnd w:id="244"/>
            <w:r>
              <w:rPr>
                <w:rFonts w:hint="eastAsia" w:ascii="宋体" w:hAnsi="宋体" w:cs="宋体"/>
                <w:b/>
                <w:szCs w:val="21"/>
                <w:highlight w:val="none"/>
              </w:rPr>
              <w:t xml:space="preserve">（提供证书及为其缴纳近一年内任意一个月的社保等扫描件上传并加盖公章。工作经验须提供附有本人签名的鉴定报告、或合同和甲方开具的证明、或原工作单位开具的证明等类似佐证材料。同种类型证书按最高分值计分一次，不重复累计。）</w:t>
            </w:r>
            <w:bookmarkEnd w:id="245"/>
            <w:r/>
            <w:r/>
          </w:p>
          <w:p>
            <w:pPr>
              <w:ind w:firstLine="420"/>
              <w:spacing w:line="360" w:lineRule="auto"/>
              <w:rPr>
                <w:rFonts w:ascii="宋体" w:hAnsi="宋体" w:cs="宋体"/>
                <w:bCs/>
                <w:szCs w:val="21"/>
                <w:highlight w:val="none"/>
              </w:rPr>
            </w:pPr>
            <w:r/>
            <w:bookmarkStart w:id="247" w:name="OLE_LINK30"/>
            <w:r/>
            <w:bookmarkStart w:id="248" w:name="OLE_LINK57"/>
            <w:r>
              <w:rPr>
                <w:rFonts w:hint="eastAsia" w:ascii="宋体" w:hAnsi="宋体" w:cs="宋体"/>
                <w:bCs/>
                <w:szCs w:val="21"/>
                <w:highlight w:val="none"/>
              </w:rPr>
              <w:t xml:space="preserve">2.</w:t>
            </w:r>
            <w:r>
              <w:rPr>
                <w:rFonts w:hint="eastAsia" w:ascii="宋体" w:hAnsi="宋体" w:cs="宋体"/>
                <w:szCs w:val="21"/>
                <w:highlight w:val="none"/>
              </w:rPr>
              <w:t xml:space="preserve">拟投入本项目技术负责人具有一级注册结构工程师证书的得2分</w:t>
            </w:r>
            <w:r>
              <w:rPr>
                <w:rFonts w:hint="eastAsia" w:ascii="宋体" w:hAnsi="宋体" w:cs="宋体"/>
                <w:szCs w:val="21"/>
                <w:highlight w:val="none"/>
                <w:lang w:eastAsia="zh-CN"/>
              </w:rPr>
              <w:t xml:space="preserve">，</w:t>
            </w:r>
            <w:r>
              <w:rPr>
                <w:rFonts w:hint="eastAsia" w:ascii="宋体" w:hAnsi="宋体" w:cs="宋体"/>
                <w:szCs w:val="21"/>
                <w:highlight w:val="none"/>
              </w:rPr>
              <w:t xml:space="preserve">二级注册结构工程师证书的得1分；</w:t>
            </w:r>
            <w:r>
              <w:rPr>
                <w:rFonts w:hint="eastAsia" w:ascii="宋体" w:hAnsi="宋体" w:cs="宋体"/>
                <w:bCs/>
                <w:szCs w:val="21"/>
                <w:highlight w:val="none"/>
              </w:rPr>
              <w:t xml:space="preserve">具有高级工程师职称的得2分，中级工程师职称的1分；具备5年及以上房屋安全鉴定或排查类工作经验得1分；本项最多得5分。</w:t>
            </w:r>
            <w:r>
              <w:rPr>
                <w:rFonts w:hint="eastAsia" w:ascii="宋体" w:hAnsi="宋体" w:cs="宋体"/>
                <w:b/>
                <w:szCs w:val="21"/>
                <w:highlight w:val="none"/>
              </w:rPr>
              <w:t xml:space="preserve">（提供证书及为其缴纳近一年内任意一个月的社保等扫描件上传并加盖公章。工作经验须提供附有本人签名的鉴定报告、或合同和甲方开具的证明、或原工作单位开具的证明等类似佐证材料。同种类型证书按最高分值计分一次，不重复累计。）</w:t>
            </w:r>
            <w:bookmarkEnd w:id="246"/>
            <w:r/>
            <w:bookmarkEnd w:id="247"/>
            <w:r/>
            <w:bookmarkEnd w:id="248"/>
            <w:r/>
            <w:r/>
          </w:p>
          <w:p>
            <w:pPr>
              <w:ind w:firstLine="420"/>
              <w:spacing w:line="360" w:lineRule="auto"/>
              <w:rPr>
                <w:rFonts w:ascii="宋体" w:hAnsi="宋体" w:cs="宋体"/>
                <w:highlight w:val="none"/>
                <w:lang w:val="zh-CN"/>
              </w:rPr>
            </w:pPr>
            <w:r>
              <w:rPr>
                <w:rFonts w:hint="eastAsia" w:ascii="宋体" w:hAnsi="宋体" w:cs="宋体"/>
                <w:szCs w:val="21"/>
                <w:highlight w:val="none"/>
              </w:rPr>
              <w:t xml:space="preserve">3.拟投入本项目其他体检人员（除项目负责人和技术负责人以外）中</w:t>
            </w:r>
            <w:r>
              <w:rPr>
                <w:rFonts w:hint="eastAsia" w:ascii="宋体" w:hAnsi="宋体" w:cs="宋体"/>
                <w:bCs/>
                <w:szCs w:val="21"/>
                <w:highlight w:val="none"/>
              </w:rPr>
              <w:t xml:space="preserve">具有</w:t>
            </w:r>
            <w:r>
              <w:rPr>
                <w:rFonts w:hint="eastAsia" w:ascii="宋体" w:hAnsi="宋体" w:cs="宋体"/>
                <w:szCs w:val="21"/>
                <w:highlight w:val="none"/>
              </w:rPr>
              <w:t xml:space="preserve">一级注册结构工程师证书</w:t>
            </w:r>
            <w:r>
              <w:rPr>
                <w:rFonts w:hint="eastAsia" w:ascii="宋体" w:hAnsi="宋体" w:cs="宋体"/>
                <w:bCs/>
                <w:szCs w:val="21"/>
                <w:highlight w:val="none"/>
              </w:rPr>
              <w:t xml:space="preserve">或高级工程师职称的有一个得1分，具有</w:t>
            </w:r>
            <w:r>
              <w:rPr>
                <w:rFonts w:hint="eastAsia" w:ascii="宋体" w:hAnsi="宋体" w:cs="宋体"/>
                <w:szCs w:val="21"/>
                <w:highlight w:val="none"/>
              </w:rPr>
              <w:t xml:space="preserve">二级注册结构工程师证书</w:t>
            </w:r>
            <w:r>
              <w:rPr>
                <w:rFonts w:hint="eastAsia" w:ascii="宋体" w:hAnsi="宋体" w:cs="宋体"/>
                <w:bCs/>
                <w:szCs w:val="21"/>
                <w:highlight w:val="none"/>
              </w:rPr>
              <w:t xml:space="preserve">或中级工程师职称的有一个得0.5分；本项最多得14分。</w:t>
            </w:r>
            <w:r>
              <w:rPr>
                <w:rFonts w:hint="eastAsia" w:ascii="宋体" w:hAnsi="宋体" w:cs="宋体"/>
                <w:b/>
                <w:szCs w:val="21"/>
                <w:highlight w:val="none"/>
              </w:rPr>
              <w:t xml:space="preserve">（提供证书及为其缴纳近一年内任意一个月的社保等相关证明材料扫描件上传并加盖公章，否则对应人员不得分。若有退休返聘人员，需提供返聘合同、退休证，退休返聘人员最多2名。同一人具有多个证书按最高分值计分一次，不重复累计。）</w:t>
            </w:r>
            <w:r/>
          </w:p>
        </w:tc>
      </w:tr>
      <w:tr>
        <w:trPr>
          <w:trHeight w:val="1524"/>
        </w:trPr>
        <w:tc>
          <w:tcPr>
            <w:shd w:val="clear" w:color="auto" w:fill="auto"/>
            <w:tcW w:w="1371" w:type="dxa"/>
            <w:vAlign w:val="center"/>
            <w:textDirection w:val="lrTb"/>
            <w:noWrap w:val="false"/>
          </w:tcPr>
          <w:p>
            <w:pPr>
              <w:contextualSpacing/>
              <w:ind w:firstLine="210"/>
              <w:jc w:val="center"/>
              <w:spacing w:line="360" w:lineRule="auto"/>
              <w:widowControl/>
              <w:rPr>
                <w:rFonts w:ascii="宋体" w:hAnsi="宋体" w:cs="宋体"/>
                <w:bCs/>
                <w:highlight w:val="none"/>
              </w:rPr>
            </w:pPr>
            <w:r>
              <w:rPr>
                <w:rFonts w:hint="eastAsia" w:ascii="宋体" w:hAnsi="宋体" w:cs="宋体"/>
                <w:bCs/>
                <w:highlight w:val="none"/>
              </w:rPr>
              <w:t xml:space="preserve">业绩</w:t>
            </w:r>
            <w:r/>
          </w:p>
          <w:p>
            <w:pPr>
              <w:contextualSpacing/>
              <w:ind w:firstLine="105"/>
              <w:jc w:val="center"/>
              <w:spacing w:line="360" w:lineRule="auto"/>
              <w:rPr>
                <w:rFonts w:ascii="宋体" w:hAnsi="宋体" w:cs="宋体"/>
                <w:bCs/>
                <w:highlight w:val="none"/>
              </w:rPr>
            </w:pPr>
            <w:r>
              <w:rPr>
                <w:rFonts w:hint="eastAsia" w:ascii="宋体" w:hAnsi="宋体" w:cs="宋体"/>
                <w:bCs/>
                <w:highlight w:val="none"/>
              </w:rPr>
              <w:t xml:space="preserve">(14分)</w:t>
            </w:r>
            <w:r/>
          </w:p>
        </w:tc>
        <w:tc>
          <w:tcPr>
            <w:shd w:val="clear" w:color="auto" w:fill="auto"/>
            <w:tcW w:w="7768" w:type="dxa"/>
            <w:vAlign w:val="center"/>
            <w:textDirection w:val="lrTb"/>
            <w:noWrap w:val="false"/>
          </w:tcPr>
          <w:p>
            <w:pPr>
              <w:ind w:firstLine="420"/>
              <w:spacing w:line="360" w:lineRule="auto"/>
              <w:rPr>
                <w:rFonts w:ascii="宋体" w:hAnsi="宋体" w:cs="宋体"/>
                <w:highlight w:val="none"/>
                <w:lang w:val="zh-CN"/>
              </w:rPr>
            </w:pPr>
            <w:r>
              <w:rPr>
                <w:rFonts w:hint="eastAsia" w:ascii="宋体" w:hAnsi="宋体" w:cs="宋体"/>
                <w:szCs w:val="21"/>
                <w:highlight w:val="none"/>
              </w:rPr>
              <w:t xml:space="preserve">投标人2023年1月至今（以合同签订日期为准）具有房屋安全鉴定或排查类业绩的，每提供一份得2分，本项最高得14分。</w:t>
            </w:r>
            <w:r>
              <w:rPr>
                <w:rFonts w:hint="eastAsia" w:ascii="宋体" w:hAnsi="宋体" w:cs="宋体"/>
                <w:b/>
                <w:bCs/>
                <w:szCs w:val="21"/>
                <w:highlight w:val="none"/>
              </w:rPr>
              <w:t xml:space="preserve">（投标文件中需提供项目合同扫描件加盖公章，扫描件须清晰可辨，未提供或模糊不清无法辨认的不得分。）</w:t>
            </w:r>
            <w:r/>
          </w:p>
        </w:tc>
      </w:tr>
      <w:tr>
        <w:trPr>
          <w:trHeight w:val="454"/>
        </w:trPr>
        <w:tc>
          <w:tcPr>
            <w:gridSpan w:val="2"/>
            <w:tcW w:w="9139" w:type="dxa"/>
            <w:vAlign w:val="center"/>
            <w:textDirection w:val="lrTb"/>
            <w:noWrap w:val="false"/>
          </w:tcPr>
          <w:p>
            <w:pPr>
              <w:contextualSpacing/>
              <w:ind w:firstLine="210"/>
              <w:jc w:val="center"/>
              <w:spacing w:line="360" w:lineRule="auto"/>
              <w:widowControl/>
              <w:rPr>
                <w:rFonts w:ascii="宋体" w:hAnsi="宋体" w:cs="宋体"/>
                <w:highlight w:val="none"/>
              </w:rPr>
            </w:pPr>
            <w:r>
              <w:rPr>
                <w:rFonts w:hint="eastAsia" w:ascii="宋体" w:hAnsi="宋体" w:cs="宋体"/>
                <w:bCs/>
                <w:highlight w:val="none"/>
              </w:rPr>
              <w:t xml:space="preserve">合计（100分）</w:t>
            </w:r>
            <w:r/>
          </w:p>
        </w:tc>
      </w:tr>
    </w:tbl>
    <w:p>
      <w:pPr>
        <w:spacing w:line="360" w:lineRule="auto"/>
        <w:rPr>
          <w:rFonts w:ascii="宋体" w:hAnsi="宋体" w:cs="宋体"/>
          <w:bCs/>
          <w:szCs w:val="21"/>
          <w:highlight w:val="none"/>
        </w:rPr>
      </w:pPr>
      <w:r>
        <w:rPr>
          <w:rFonts w:hint="eastAsia" w:ascii="宋体" w:hAnsi="宋体" w:cs="宋体"/>
          <w:bCs/>
          <w:szCs w:val="21"/>
          <w:highlight w:val="none"/>
        </w:rPr>
        <w:t xml:space="preserve">注：评审委员会启动异常低价投标(响应)审查的情形和具体要求，包括：</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（一）采购人应当在采购文件中明确，政府采购评审中出现下列情形之一的，评审委员会应当启动异常低价投标（响应）审查程序：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1.投标（响应）报价低于全部通过符合性审查投标人投标（响应）报价平均值50%的，即投标（响应）报价&lt;全部通过符合性审查投标人投标（响应）报价平均值×50%；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2.投标（响应）报价低于通过符合性审查的次低报价投标人投标（响应）报价50%的，即投标（响应）报价&lt;通过符合性审查的次低报价投标人投标（响应）报价×50%；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3.投标（响应）报价低于采购项目最高限价45%的，即投标（响应）报价&lt;采购项目最高限价×45%；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4.评审委员会基于专业判断，认为投标人报价过低，有可能影响产品质量或者不能诚信履约的其他情形。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采购人可以结合具体项目实际情况，提高上述第1项至第3项中启动异常低价投标（响应）审查的数值标准，但是最高不得超过65%。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相关法律法规对投标人报价有规定的，从其规定。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 </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spacing w:line="360" w:lineRule="auto"/>
        <w:rPr>
          <w:rFonts w:hint="eastAsia" w:ascii="宋体" w:hAnsi="宋体" w:cs="宋体"/>
          <w:highlight w:val="none"/>
          <w:lang w:eastAsia="zh-CN"/>
        </w:rPr>
        <w:outlineLvl w:val="9"/>
      </w:pPr>
      <w:r>
        <w:rPr>
          <w:rFonts w:hint="eastAsia" w:ascii="宋体" w:hAnsi="宋体" w:cs="宋体"/>
          <w:highlight w:val="none"/>
          <w:lang w:eastAsia="zh-CN"/>
        </w:rPr>
        <w:tab/>
      </w:r>
      <w:r/>
    </w:p>
    <w:p>
      <w:pPr>
        <w:pStyle w:val="898"/>
        <w:rPr>
          <w:rFonts w:ascii="宋体" w:hAnsi="宋体" w:cs="宋体"/>
          <w:highlight w:val="none"/>
        </w:rPr>
      </w:pPr>
      <w:r/>
      <w:bookmarkStart w:id="249" w:name="_Toc9338"/>
      <w:r/>
      <w:bookmarkStart w:id="250" w:name="_Toc26659"/>
      <w:r/>
      <w:bookmarkStart w:id="251" w:name="_Toc13246"/>
      <w:r/>
      <w:bookmarkStart w:id="252" w:name="_Toc15046"/>
      <w:r/>
      <w:bookmarkStart w:id="253" w:name="_Toc13882"/>
      <w:r>
        <w:rPr>
          <w:rFonts w:hint="eastAsia" w:ascii="宋体" w:hAnsi="宋体" w:cs="宋体"/>
          <w:highlight w:val="none"/>
        </w:rPr>
        <w:t xml:space="preserve">第六章 投标文件格式</w:t>
      </w:r>
      <w:bookmarkEnd w:id="230"/>
      <w:r/>
      <w:bookmarkEnd w:id="249"/>
      <w:r/>
      <w:bookmarkEnd w:id="250"/>
      <w:r/>
      <w:bookmarkEnd w:id="251"/>
      <w:r/>
      <w:bookmarkEnd w:id="252"/>
      <w:r/>
      <w:bookmarkEnd w:id="253"/>
      <w:r>
        <w:rPr>
          <w:rFonts w:hint="eastAsia" w:ascii="宋体" w:hAnsi="宋体" w:cs="宋体"/>
          <w:highlight w:val="none"/>
        </w:rPr>
        <w:t xml:space="preserve"> </w:t>
      </w:r>
      <w:r/>
    </w:p>
    <w:p>
      <w:pPr>
        <w:spacing w:line="360" w:lineRule="auto"/>
        <w:rPr>
          <w:rFonts w:ascii="宋体" w:hAnsi="宋体" w:cs="宋体"/>
          <w:bCs/>
          <w:sz w:val="44"/>
          <w:highlight w:val="none"/>
        </w:rPr>
      </w:pPr>
      <w:r>
        <w:rPr>
          <w:rFonts w:ascii="宋体" w:hAnsi="宋体" w:cs="宋体"/>
          <w:bCs/>
          <w:sz w:val="44"/>
          <w:highlight w:val="none"/>
        </w:rPr>
      </w:r>
      <w:r/>
    </w:p>
    <w:p>
      <w:pPr>
        <w:spacing w:line="360" w:lineRule="auto"/>
        <w:rPr>
          <w:rFonts w:ascii="宋体" w:hAnsi="宋体" w:cs="宋体"/>
          <w:bCs/>
          <w:sz w:val="44"/>
          <w:highlight w:val="none"/>
        </w:rPr>
      </w:pPr>
      <w:r>
        <w:rPr>
          <w:rFonts w:ascii="宋体" w:hAnsi="宋体" w:cs="宋体"/>
          <w:bCs/>
          <w:sz w:val="44"/>
          <w:highlight w:val="none"/>
        </w:rPr>
      </w:r>
      <w:r/>
    </w:p>
    <w:p>
      <w:pPr>
        <w:spacing w:line="360" w:lineRule="auto"/>
        <w:rPr>
          <w:rFonts w:ascii="宋体" w:hAnsi="宋体" w:cs="宋体"/>
          <w:bCs/>
          <w:sz w:val="44"/>
          <w:highlight w:val="none"/>
        </w:rPr>
      </w:pPr>
      <w:r>
        <w:rPr>
          <w:rFonts w:ascii="宋体" w:hAnsi="宋体" w:cs="宋体"/>
          <w:bCs/>
          <w:sz w:val="44"/>
          <w:highlight w:val="none"/>
        </w:rPr>
      </w:r>
      <w:r/>
    </w:p>
    <w:p>
      <w:pPr>
        <w:jc w:val="center"/>
        <w:spacing w:line="360" w:lineRule="auto"/>
        <w:rPr>
          <w:rFonts w:ascii="宋体" w:hAnsi="宋体" w:cs="宋体"/>
          <w:b/>
          <w:sz w:val="72"/>
          <w:highlight w:val="none"/>
        </w:rPr>
      </w:pPr>
      <w:r>
        <w:rPr>
          <w:rFonts w:hint="eastAsia" w:ascii="宋体" w:hAnsi="宋体" w:cs="宋体"/>
          <w:b/>
          <w:sz w:val="72"/>
          <w:highlight w:val="none"/>
        </w:rPr>
        <w:t xml:space="preserve">投  标  文  件</w:t>
      </w:r>
      <w:r/>
    </w:p>
    <w:p>
      <w:pPr>
        <w:jc w:val="center"/>
        <w:spacing w:line="360" w:lineRule="auto"/>
        <w:rPr>
          <w:rFonts w:ascii="宋体" w:hAnsi="宋体" w:cs="宋体"/>
          <w:b/>
          <w:sz w:val="36"/>
          <w:highlight w:val="none"/>
        </w:rPr>
      </w:pPr>
      <w:r>
        <w:rPr>
          <w:rFonts w:ascii="宋体" w:hAnsi="宋体" w:cs="宋体"/>
          <w:b/>
          <w:sz w:val="36"/>
          <w:highlight w:val="none"/>
        </w:rPr>
      </w:r>
      <w:r/>
    </w:p>
    <w:p>
      <w:pP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名 称：</w:t>
      </w:r>
      <w:r/>
    </w:p>
    <w:p>
      <w:pPr>
        <w:ind w:firstLine="1084"/>
        <w:spacing w:line="360" w:lineRule="auto"/>
        <w:rPr>
          <w:rFonts w:ascii="宋体" w:hAnsi="宋体" w:cs="宋体"/>
          <w:b/>
          <w:sz w:val="36"/>
          <w:highlight w:val="none"/>
          <w:u w:val="single"/>
        </w:rPr>
      </w:pPr>
      <w:r>
        <w:rPr>
          <w:rFonts w:hint="eastAsia" w:ascii="宋体" w:hAnsi="宋体" w:cs="宋体"/>
          <w:b/>
          <w:sz w:val="36"/>
          <w:highlight w:val="none"/>
        </w:rPr>
        <w:t xml:space="preserve">招 标 编 号：</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投标人名称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日      期 ：</w:t>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投  标  人：（电子签章）</w:t>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bCs/>
          <w:sz w:val="32"/>
          <w:szCs w:val="32"/>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sz w:val="32"/>
          <w:szCs w:val="32"/>
          <w:highlight w:val="none"/>
        </w:rPr>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投标主要文件目录</w:t>
      </w:r>
      <w:r/>
    </w:p>
    <w:p>
      <w:pPr>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一、资格审查响应对照表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二、符合性审查响应对照表</w:t>
      </w:r>
      <w:r/>
    </w:p>
    <w:p>
      <w:pPr>
        <w:ind w:left="480"/>
        <w:spacing w:line="360" w:lineRule="auto"/>
        <w:rPr>
          <w:rFonts w:ascii="宋体" w:hAnsi="宋体" w:cs="宋体"/>
          <w:sz w:val="24"/>
          <w:highlight w:val="none"/>
        </w:rPr>
      </w:pPr>
      <w:r>
        <w:rPr>
          <w:rFonts w:hint="eastAsia" w:ascii="宋体" w:hAnsi="宋体" w:cs="宋体"/>
          <w:sz w:val="24"/>
          <w:highlight w:val="none"/>
        </w:rPr>
        <w:t xml:space="preserve">三、非实质性响应对照表</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四</w:t>
      </w:r>
      <w:r>
        <w:rPr>
          <w:rFonts w:hint="eastAsia" w:ascii="宋体" w:hAnsi="宋体" w:cs="宋体"/>
          <w:b/>
          <w:bCs/>
          <w:sz w:val="24"/>
          <w:highlight w:val="none"/>
        </w:rPr>
        <w:t xml:space="preserve">、</w:t>
      </w:r>
      <w:r>
        <w:rPr>
          <w:rFonts w:hint="eastAsia" w:ascii="宋体" w:hAnsi="宋体" w:cs="宋体"/>
          <w:i/>
          <w:sz w:val="24"/>
          <w:highlight w:val="none"/>
          <w:u w:val="single"/>
        </w:rPr>
        <w:t xml:space="preserve">开标一览表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五、投标配置与分项报价表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六</w:t>
      </w:r>
      <w:r>
        <w:rPr>
          <w:rFonts w:hint="eastAsia" w:ascii="宋体" w:hAnsi="宋体" w:cs="宋体"/>
          <w:sz w:val="24"/>
          <w:szCs w:val="24"/>
          <w:highlight w:val="none"/>
        </w:rPr>
        <w:t xml:space="preserve">、技术参数响应及偏离表</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七、商务条款响应及偏离表</w:t>
      </w:r>
      <w:r/>
    </w:p>
    <w:p>
      <w:pPr>
        <w:ind w:firstLine="480"/>
        <w:spacing w:line="360" w:lineRule="auto"/>
        <w:rPr>
          <w:rFonts w:ascii="宋体" w:hAnsi="宋体" w:cs="宋体"/>
          <w:sz w:val="36"/>
          <w:szCs w:val="36"/>
          <w:highlight w:val="none"/>
        </w:rPr>
      </w:pPr>
      <w:r>
        <w:rPr>
          <w:rFonts w:hint="eastAsia" w:ascii="宋体" w:hAnsi="宋体" w:cs="宋体"/>
          <w:sz w:val="24"/>
          <w:highlight w:val="none"/>
        </w:rPr>
        <w:t xml:space="preserve">八、其他 （投标人认为有必要提供的声明和文件，如有自拟并自行添加）</w:t>
      </w:r>
      <w:r/>
    </w:p>
    <w:p>
      <w:pPr>
        <w:contextualSpacing/>
        <w:jc w:val="center"/>
        <w:spacing w:line="360" w:lineRule="auto"/>
        <w:rPr>
          <w:rFonts w:ascii="宋体" w:hAnsi="宋体" w:cs="宋体"/>
          <w:b/>
          <w:sz w:val="72"/>
          <w:highlight w:val="none"/>
        </w:rPr>
      </w:pPr>
      <w:r>
        <w:rPr>
          <w:rFonts w:ascii="宋体" w:hAnsi="宋体" w:cs="宋体"/>
          <w:b/>
          <w:sz w:val="72"/>
          <w:highlight w:val="none"/>
        </w:rPr>
      </w:r>
      <w:r/>
    </w:p>
    <w:p>
      <w:pPr>
        <w:contextualSpacing/>
        <w:jc w:val="center"/>
        <w:spacing w:line="360" w:lineRule="auto"/>
        <w:rPr>
          <w:rFonts w:ascii="宋体" w:hAnsi="宋体" w:cs="宋体"/>
          <w:b/>
          <w:sz w:val="72"/>
          <w:highlight w:val="none"/>
        </w:rPr>
      </w:pPr>
      <w:r>
        <w:rPr>
          <w:rFonts w:ascii="宋体" w:hAnsi="宋体" w:cs="宋体"/>
          <w:b/>
          <w:sz w:val="72"/>
          <w:highlight w:val="none"/>
        </w:rPr>
      </w:r>
      <w:r/>
    </w:p>
    <w:p>
      <w:pPr>
        <w:contextualSpacing/>
        <w:jc w:val="center"/>
        <w:spacing w:line="360" w:lineRule="auto"/>
        <w:rPr>
          <w:rFonts w:ascii="宋体" w:hAnsi="宋体" w:cs="宋体"/>
          <w:b/>
          <w:sz w:val="72"/>
          <w:highlight w:val="none"/>
        </w:rPr>
      </w:pPr>
      <w:r>
        <w:rPr>
          <w:rFonts w:ascii="宋体" w:hAnsi="宋体" w:cs="宋体"/>
          <w:b/>
          <w:sz w:val="72"/>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pStyle w:val="1113"/>
        <w:spacing w:line="360" w:lineRule="auto"/>
        <w:rPr>
          <w:rFonts w:ascii="宋体" w:hAnsi="宋体" w:eastAsia="宋体" w:cs="宋体"/>
          <w:b w:val="0"/>
          <w:sz w:val="32"/>
          <w:szCs w:val="32"/>
          <w:highlight w:val="none"/>
        </w:rPr>
      </w:pPr>
      <w:r/>
      <w:bookmarkStart w:id="254" w:name="_Toc20369"/>
      <w:r/>
      <w:bookmarkStart w:id="255" w:name="_Toc7268"/>
      <w:r/>
      <w:bookmarkStart w:id="256" w:name="_Toc5792"/>
      <w:r>
        <w:rPr>
          <w:rFonts w:hint="eastAsia" w:ascii="宋体" w:hAnsi="宋体" w:eastAsia="宋体" w:cs="宋体"/>
          <w:sz w:val="32"/>
          <w:highlight w:val="none"/>
        </w:rPr>
        <w:t xml:space="preserve">一、资格审查响应对照表</w:t>
      </w:r>
      <w:bookmarkEnd w:id="254"/>
      <w:r/>
      <w:bookmarkEnd w:id="255"/>
      <w:r/>
      <w:bookmarkEnd w:id="256"/>
      <w:r/>
      <w:r/>
    </w:p>
    <w:tbl>
      <w:tblPr>
        <w:tblStyle w:val="908"/>
        <w:tblW w:w="5021"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7477"/>
        <w:gridCol w:w="1727"/>
      </w:tblGrid>
      <w:tr>
        <w:trPr>
          <w:trHeight w:val="458"/>
        </w:trPr>
        <w:tc>
          <w:tcPr>
            <w:tcW w:w="68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6396"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资格审查响应内容</w:t>
            </w:r>
            <w:r/>
          </w:p>
        </w:tc>
        <w:tc>
          <w:tcPr>
            <w:tcW w:w="1477"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r>
      <w:tr>
        <w:trPr>
          <w:trHeight w:val="232"/>
        </w:trPr>
        <w:tc>
          <w:tcPr>
            <w:gridSpan w:val="3"/>
            <w:tcW w:w="8558" w:type="dxa"/>
            <w:vAlign w:val="center"/>
            <w:textDirection w:val="lrTb"/>
            <w:noWrap w:val="false"/>
          </w:tcPr>
          <w:p>
            <w:pPr>
              <w:spacing w:line="360" w:lineRule="auto"/>
              <w:rPr>
                <w:rFonts w:ascii="宋体" w:hAnsi="宋体" w:cs="宋体"/>
                <w:b/>
                <w:szCs w:val="21"/>
                <w:highlight w:val="none"/>
              </w:rPr>
            </w:pPr>
            <w:r>
              <w:rPr>
                <w:rFonts w:hint="eastAsia" w:ascii="宋体" w:hAnsi="宋体" w:cs="宋体"/>
                <w:b/>
                <w:szCs w:val="21"/>
                <w:highlight w:val="none"/>
              </w:rPr>
              <w:t xml:space="preserve">通用资格条件</w:t>
            </w:r>
            <w:r/>
          </w:p>
        </w:tc>
      </w:tr>
      <w:tr>
        <w:trPr>
          <w:trHeight w:val="427"/>
        </w:trPr>
        <w:tc>
          <w:tcPr>
            <w:tcW w:w="68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szCs w:val="21"/>
                <w:highlight w:val="none"/>
              </w:rPr>
              <w:t xml:space="preserve">1</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法人或者其他组织的营业执照等证明文件，自然人的身份证明</w:t>
            </w:r>
            <w:r/>
          </w:p>
        </w:tc>
        <w:tc>
          <w:tcPr>
            <w:tcW w:w="1477"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330"/>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2024或2025年度的财务报告情况（成立不满一年无需提供）</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1137"/>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237"/>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具备履行合同所必需的设备和专业技术能力的书面声明</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458"/>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参加政府采购活动前3年内在经营活动中没有重大违法记录的书面声明</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438"/>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供应商信用承诺函；</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1137"/>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tcW w:w="6396" w:type="dxa"/>
            <w:vAlign w:val="center"/>
            <w:textDirection w:val="lrTb"/>
            <w:noWrap w:val="false"/>
          </w:tcPr>
          <w:p>
            <w:pPr>
              <w:spacing w:line="360" w:lineRule="auto"/>
              <w:rPr>
                <w:rFonts w:ascii="宋体" w:hAnsi="宋体" w:cs="宋体"/>
                <w:i/>
                <w:iCs/>
                <w:szCs w:val="21"/>
                <w:highlight w:val="none"/>
                <w:u w:val="single"/>
              </w:rPr>
            </w:pPr>
            <w:r>
              <w:rPr>
                <w:rFonts w:hint="eastAsia" w:ascii="宋体" w:hAnsi="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300"/>
        </w:trPr>
        <w:tc>
          <w:tcPr>
            <w:gridSpan w:val="3"/>
            <w:tcW w:w="8558"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落实政府采购政策需满足的资格要求</w:t>
            </w:r>
            <w:r/>
          </w:p>
        </w:tc>
      </w:tr>
      <w:tr>
        <w:trPr>
          <w:trHeight w:val="925"/>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tcW w:w="6396" w:type="dxa"/>
            <w:vAlign w:val="center"/>
            <w:textDirection w:val="lrTb"/>
            <w:noWrap w:val="false"/>
          </w:tcPr>
          <w:p>
            <w:pPr>
              <w:ind w:firstLine="0"/>
              <w:spacing w:line="360" w:lineRule="auto"/>
              <w:rPr>
                <w:rFonts w:ascii="宋体" w:hAnsi="宋体" w:cs="宋体"/>
                <w:highlight w:val="none"/>
              </w:rPr>
            </w:pPr>
            <w:r>
              <w:rPr>
                <w:rFonts w:hint="eastAsia" w:ascii="宋体" w:hAnsi="宋体" w:cs="宋体"/>
                <w:i/>
                <w:iCs/>
                <w:szCs w:val="21"/>
                <w:highlight w:val="none"/>
                <w:u w:val="single"/>
              </w:rPr>
              <w:t xml:space="preserve">本项目非预留份额的采购项目或采购包，执行价格扣除优惠政策，</w:t>
            </w:r>
            <w:r>
              <w:rPr>
                <w:rFonts w:hint="eastAsia" w:ascii="宋体" w:hAnsi="宋体" w:cs="宋体"/>
                <w:i/>
                <w:iCs/>
                <w:szCs w:val="21"/>
                <w:highlight w:val="none"/>
                <w:u w:val="single"/>
                <w:lang w:eastAsia="zh-CN"/>
              </w:rPr>
              <w:t xml:space="preserve">投标人</w:t>
            </w:r>
            <w:r>
              <w:rPr>
                <w:rFonts w:hint="eastAsia" w:ascii="宋体" w:hAnsi="宋体" w:cs="宋体"/>
                <w:i/>
                <w:iCs/>
                <w:szCs w:val="21"/>
                <w:highlight w:val="none"/>
                <w:u w:val="single"/>
              </w:rPr>
              <w:t xml:space="preserve">投标时提供《中小企业声明函》</w:t>
            </w:r>
            <w:r>
              <w:rPr>
                <w:rFonts w:hint="eastAsia" w:ascii="宋体" w:hAnsi="宋体" w:cs="宋体"/>
                <w:i/>
                <w:iCs/>
                <w:szCs w:val="21"/>
                <w:highlight w:val="none"/>
                <w:u w:val="single"/>
                <w:lang w:eastAsia="zh-CN"/>
              </w:rPr>
              <w:t xml:space="preserve">，</w:t>
            </w:r>
            <w:r>
              <w:rPr>
                <w:rFonts w:hint="eastAsia" w:ascii="宋体" w:hAnsi="宋体" w:cs="宋体"/>
                <w:i/>
                <w:iCs/>
                <w:szCs w:val="21"/>
                <w:highlight w:val="none"/>
                <w:u w:val="single"/>
              </w:rPr>
              <w:t xml:space="preserve">给予小微型企业、监狱企业或残疾人福利性单位报价20%的扣除，用扣除后的价格参加评审。价格扣除比例对小型企业和微型企业同等对待，不作区分。监狱企业、残疾人福利单位属于小型、微型企业的，不重复享受政策。</w:t>
            </w:r>
            <w:r/>
          </w:p>
        </w:tc>
        <w:tc>
          <w:tcPr>
            <w:tcW w:w="1477" w:type="dxa"/>
            <w:vAlign w:val="center"/>
            <w:textDirection w:val="lrTb"/>
            <w:noWrap w:val="false"/>
          </w:tcPr>
          <w:p>
            <w:pPr>
              <w:spacing w:line="360" w:lineRule="auto"/>
              <w:rPr>
                <w:rFonts w:ascii="宋体" w:hAnsi="宋体" w:cs="宋体"/>
                <w:highlight w:val="none"/>
              </w:rPr>
            </w:pPr>
            <w:r>
              <w:rPr>
                <w:rFonts w:ascii="宋体" w:hAnsi="宋体" w:cs="宋体"/>
                <w:highlight w:val="none"/>
              </w:rPr>
            </w:r>
            <w:r/>
          </w:p>
        </w:tc>
      </w:tr>
      <w:tr>
        <w:trPr>
          <w:trHeight w:val="276"/>
        </w:trPr>
        <w:tc>
          <w:tcPr>
            <w:gridSpan w:val="3"/>
            <w:tcW w:w="8558"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特定资格条件</w:t>
            </w:r>
            <w:r/>
          </w:p>
        </w:tc>
      </w:tr>
      <w:tr>
        <w:trPr>
          <w:trHeight w:val="251"/>
        </w:trPr>
        <w:tc>
          <w:tcPr>
            <w:tcW w:w="68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tcW w:w="6396" w:type="dxa"/>
            <w:vAlign w:val="center"/>
            <w:textDirection w:val="lrTb"/>
            <w:noWrap w:val="false"/>
          </w:tcPr>
          <w:p>
            <w:pPr>
              <w:spacing w:line="360" w:lineRule="auto"/>
              <w:rPr>
                <w:rFonts w:ascii="宋体" w:hAnsi="宋体" w:cs="宋体"/>
                <w:szCs w:val="21"/>
                <w:highlight w:val="none"/>
              </w:rPr>
            </w:pPr>
            <w:r>
              <w:rPr>
                <w:rFonts w:hint="eastAsia" w:ascii="宋体" w:hAnsi="宋体" w:cs="宋体"/>
                <w:b/>
                <w:bCs/>
                <w:szCs w:val="21"/>
                <w:highlight w:val="none"/>
              </w:rPr>
              <w:t xml:space="preserve">无。</w:t>
            </w:r>
            <w:r/>
          </w:p>
        </w:tc>
        <w:tc>
          <w:tcPr>
            <w:tcW w:w="1477" w:type="dxa"/>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232"/>
        </w:trPr>
        <w:tc>
          <w:tcPr>
            <w:gridSpan w:val="3"/>
            <w:tcW w:w="8558" w:type="dxa"/>
            <w:vAlign w:val="center"/>
            <w:textDirection w:val="lrTb"/>
            <w:noWrap w:val="false"/>
          </w:tcPr>
          <w:p>
            <w:pPr>
              <w:spacing w:line="360" w:lineRule="auto"/>
              <w:rPr>
                <w:rFonts w:ascii="宋体" w:hAnsi="宋体" w:cs="宋体"/>
                <w:szCs w:val="21"/>
                <w:highlight w:val="none"/>
              </w:rPr>
            </w:pPr>
            <w:r>
              <w:rPr>
                <w:rFonts w:hint="eastAsia" w:ascii="宋体" w:hAnsi="宋体" w:cs="宋体"/>
                <w:b/>
                <w:szCs w:val="21"/>
                <w:highlight w:val="none"/>
              </w:rPr>
              <w:t xml:space="preserve">其他资格条件</w:t>
            </w:r>
            <w:r/>
          </w:p>
        </w:tc>
      </w:tr>
      <w:tr>
        <w:trPr>
          <w:trHeight w:val="232"/>
        </w:trPr>
        <w:tc>
          <w:tcPr>
            <w:tcW w:w="685" w:type="dxa"/>
            <w:vAlign w:val="center"/>
            <w:textDirection w:val="lrTb"/>
            <w:noWrap w:val="false"/>
          </w:tcPr>
          <w:p>
            <w:pPr>
              <w:spacing w:line="360" w:lineRule="auto"/>
              <w:rPr>
                <w:rFonts w:ascii="宋体" w:hAnsi="宋体" w:cs="宋体"/>
                <w:bCs/>
                <w:szCs w:val="21"/>
                <w:highlight w:val="none"/>
              </w:rPr>
            </w:pPr>
            <w:r>
              <w:rPr>
                <w:rFonts w:hint="eastAsia" w:ascii="宋体" w:hAnsi="宋体" w:cs="宋体"/>
                <w:bCs/>
                <w:szCs w:val="21"/>
                <w:highlight w:val="none"/>
              </w:rPr>
              <w:t xml:space="preserve">10</w:t>
            </w:r>
            <w:r/>
          </w:p>
        </w:tc>
        <w:tc>
          <w:tcPr>
            <w:tcW w:w="6396" w:type="dxa"/>
            <w:vAlign w:val="center"/>
            <w:textDirection w:val="lrTb"/>
            <w:noWrap w:val="false"/>
          </w:tcPr>
          <w:p>
            <w:pPr>
              <w:jc w:val="left"/>
              <w:spacing w:line="360" w:lineRule="auto"/>
              <w:rPr>
                <w:rFonts w:ascii="宋体" w:hAnsi="宋体" w:cs="宋体"/>
                <w:b/>
                <w:szCs w:val="21"/>
                <w:highlight w:val="none"/>
              </w:rPr>
            </w:pPr>
            <w:r>
              <w:rPr>
                <w:rFonts w:hint="eastAsia" w:ascii="宋体" w:hAnsi="宋体" w:cs="宋体"/>
                <w:iCs/>
                <w:szCs w:val="21"/>
                <w:highlight w:val="none"/>
              </w:rPr>
              <w:t xml:space="preserve">投标函</w:t>
            </w:r>
            <w:r/>
          </w:p>
        </w:tc>
        <w:tc>
          <w:tcPr>
            <w:tcW w:w="1477"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237"/>
        </w:trPr>
        <w:tc>
          <w:tcPr>
            <w:tcW w:w="685" w:type="dxa"/>
            <w:vAlign w:val="center"/>
            <w:textDirection w:val="lrTb"/>
            <w:noWrap w:val="false"/>
          </w:tcPr>
          <w:p>
            <w:pPr>
              <w:spacing w:line="360" w:lineRule="auto"/>
              <w:rPr>
                <w:rFonts w:ascii="宋体" w:hAnsi="宋体" w:cs="宋体"/>
                <w:bCs/>
                <w:szCs w:val="21"/>
                <w:highlight w:val="none"/>
              </w:rPr>
            </w:pPr>
            <w:r>
              <w:rPr>
                <w:rFonts w:hint="eastAsia" w:ascii="宋体" w:hAnsi="宋体" w:cs="宋体"/>
                <w:bCs/>
                <w:szCs w:val="21"/>
                <w:highlight w:val="none"/>
              </w:rPr>
              <w:t xml:space="preserve">11</w:t>
            </w:r>
            <w:r/>
          </w:p>
        </w:tc>
        <w:tc>
          <w:tcPr>
            <w:tcW w:w="6396" w:type="dxa"/>
            <w:vAlign w:val="center"/>
            <w:textDirection w:val="lrTb"/>
            <w:noWrap w:val="false"/>
          </w:tcPr>
          <w:p>
            <w:pPr>
              <w:jc w:val="left"/>
              <w:spacing w:line="360" w:lineRule="auto"/>
              <w:rPr>
                <w:rFonts w:ascii="宋体" w:hAnsi="宋体" w:cs="宋体"/>
                <w:b/>
                <w:szCs w:val="21"/>
                <w:highlight w:val="none"/>
              </w:rPr>
            </w:pPr>
            <w:r>
              <w:rPr>
                <w:rFonts w:hint="eastAsia" w:ascii="宋体" w:hAnsi="宋体" w:cs="宋体"/>
                <w:iCs/>
                <w:szCs w:val="21"/>
                <w:highlight w:val="none"/>
              </w:rPr>
              <w:t xml:space="preserve">法人授权书</w:t>
            </w:r>
            <w:r/>
          </w:p>
        </w:tc>
        <w:tc>
          <w:tcPr>
            <w:tcW w:w="1477" w:type="dxa"/>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bl>
    <w:p>
      <w:pPr>
        <w:ind w:firstLine="1476"/>
        <w:spacing w:before="156" w:after="156" w:line="360" w:lineRule="auto"/>
        <w:rPr>
          <w:rFonts w:ascii="宋体" w:hAnsi="宋体" w:cs="宋体"/>
          <w:b/>
          <w:bCs/>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highlight w:val="none"/>
        </w:rPr>
      </w:r>
      <w:r/>
    </w:p>
    <w:p>
      <w:pPr>
        <w:ind w:firstLine="1476"/>
        <w:spacing w:before="156" w:after="156" w:line="360" w:lineRule="auto"/>
        <w:rPr>
          <w:rFonts w:ascii="宋体" w:hAnsi="宋体" w:cs="宋体"/>
          <w:b/>
          <w:bCs/>
          <w:highlight w:val="none"/>
        </w:rPr>
      </w:pPr>
      <w:r>
        <w:rPr>
          <w:rFonts w:hint="eastAsia" w:ascii="宋体" w:hAnsi="宋体" w:cs="宋体"/>
          <w:b/>
          <w:bCs/>
          <w:highlight w:val="none"/>
        </w:rPr>
        <w:t xml:space="preserve">具备履行合同所必需的设备和专业技术能力的书面声明</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主要设备有：   。</w:t>
      </w:r>
      <w:r/>
    </w:p>
    <w:p>
      <w:pPr>
        <w:ind w:firstLine="492"/>
        <w:spacing w:line="360" w:lineRule="auto"/>
        <w:rPr>
          <w:rFonts w:ascii="宋体" w:hAnsi="宋体" w:cs="宋体"/>
          <w:bCs/>
          <w:szCs w:val="21"/>
          <w:highlight w:val="none"/>
        </w:rPr>
      </w:pPr>
      <w:r>
        <w:rPr>
          <w:rFonts w:hint="eastAsia" w:ascii="宋体" w:hAnsi="宋体" w:cs="宋体"/>
          <w:bCs/>
          <w:szCs w:val="21"/>
          <w:highlight w:val="none"/>
        </w:rPr>
        <w:t xml:space="preserve">主要专业技术能力有：   。</w:t>
      </w:r>
      <w:r/>
    </w:p>
    <w:p>
      <w:pPr>
        <w:contextualSpacing/>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Cs/>
          <w:highlight w:val="none"/>
        </w:rPr>
      </w:pPr>
      <w:r>
        <w:rPr>
          <w:rFonts w:hint="eastAsia" w:ascii="宋体" w:hAnsi="宋体" w:cs="宋体"/>
          <w:bCs/>
          <w:highlight w:val="none"/>
        </w:rPr>
        <w:t xml:space="preserve">投标人名称（加盖CA电子公章）：</w:t>
      </w:r>
      <w:r/>
    </w:p>
    <w:p>
      <w:pPr>
        <w:jc w:val="center"/>
        <w:spacing w:line="360" w:lineRule="auto"/>
        <w:rPr>
          <w:rFonts w:ascii="宋体" w:hAnsi="宋体" w:cs="宋体"/>
          <w:bCs/>
          <w:highlight w:val="none"/>
        </w:rPr>
      </w:pPr>
      <w:r>
        <w:rPr>
          <w:rFonts w:hint="eastAsia" w:ascii="宋体" w:hAnsi="宋体" w:cs="宋体"/>
          <w:bCs/>
          <w:highlight w:val="none"/>
        </w:rPr>
        <w:t xml:space="preserve">法定代表人</w:t>
      </w:r>
      <w:r>
        <w:rPr>
          <w:rFonts w:hint="eastAsia" w:ascii="宋体" w:hAnsi="宋体" w:cs="宋体"/>
          <w:bCs/>
          <w:highlight w:val="none"/>
          <w:lang w:eastAsia="zh-CN"/>
        </w:rPr>
        <w:t xml:space="preserve">签字或盖</w:t>
      </w:r>
      <w:r>
        <w:rPr>
          <w:rFonts w:hint="eastAsia" w:ascii="宋体" w:hAnsi="宋体" w:cs="宋体"/>
          <w:bCs/>
          <w:highlight w:val="none"/>
        </w:rPr>
        <w:t xml:space="preserve">章：</w:t>
      </w:r>
      <w:r/>
    </w:p>
    <w:p>
      <w:pPr>
        <w:jc w:val="center"/>
        <w:spacing w:line="360" w:lineRule="auto"/>
        <w:rPr>
          <w:rFonts w:ascii="宋体" w:hAnsi="宋体" w:cs="宋体"/>
          <w:bCs/>
          <w:highlight w:val="none"/>
        </w:rPr>
      </w:pPr>
      <w:r>
        <w:rPr>
          <w:rFonts w:hint="eastAsia" w:ascii="宋体" w:hAnsi="宋体" w:cs="宋体"/>
          <w:bCs/>
          <w:highlight w:val="none"/>
        </w:rPr>
        <w:t xml:space="preserve">日期：  年  月  日</w:t>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contextualSpacing/>
        <w:spacing w:line="360" w:lineRule="auto"/>
        <w:rPr>
          <w:rFonts w:ascii="宋体" w:hAnsi="宋体" w:cs="宋体"/>
          <w:b/>
          <w:sz w:val="36"/>
          <w:highlight w:val="none"/>
        </w:rPr>
      </w:pPr>
      <w:r>
        <w:rPr>
          <w:rFonts w:ascii="宋体" w:hAnsi="宋体" w:cs="宋体"/>
          <w:b/>
          <w:sz w:val="36"/>
          <w:highlight w:val="none"/>
        </w:rPr>
      </w:r>
      <w:r/>
    </w:p>
    <w:p>
      <w:pPr>
        <w:spacing w:line="360" w:lineRule="auto"/>
        <w:rPr>
          <w:rFonts w:ascii="宋体" w:hAnsi="宋体" w:cs="宋体"/>
          <w:b/>
          <w:sz w:val="36"/>
          <w:highlight w:val="none"/>
        </w:rPr>
      </w:pPr>
      <w:r>
        <w:rPr>
          <w:rFonts w:hint="eastAsia" w:ascii="宋体" w:hAnsi="宋体" w:cs="宋体"/>
          <w:b/>
          <w:sz w:val="36"/>
          <w:highlight w:val="none"/>
        </w:rPr>
      </w:r>
      <w:r/>
    </w:p>
    <w:p>
      <w:pPr>
        <w:jc w:val="center"/>
        <w:spacing w:line="360" w:lineRule="auto"/>
        <w:rPr>
          <w:rFonts w:ascii="宋体" w:hAnsi="宋体" w:cs="宋体"/>
          <w:b/>
          <w:bCs/>
          <w:highlight w:val="none"/>
        </w:rPr>
      </w:pPr>
      <w:r>
        <w:rPr>
          <w:rFonts w:hint="eastAsia" w:ascii="宋体" w:hAnsi="宋体" w:cs="宋体"/>
          <w:b/>
          <w:bCs/>
          <w:highlight w:val="none"/>
        </w:rPr>
        <w:t xml:space="preserve">参加本次政府采购活动前 3 年内在经营活动中没有重大违法记录的书面声明</w:t>
      </w:r>
      <w:r/>
    </w:p>
    <w:p>
      <w:pPr>
        <w:spacing w:line="360" w:lineRule="auto"/>
        <w:rPr>
          <w:rFonts w:ascii="宋体" w:hAnsi="宋体" w:cs="宋体"/>
          <w:highlight w:val="none"/>
        </w:rPr>
      </w:pPr>
      <w:r>
        <w:rPr>
          <w:rFonts w:ascii="宋体" w:hAnsi="宋体" w:cs="宋体"/>
          <w:highlight w:val="none"/>
        </w:rPr>
      </w:r>
      <w:r/>
    </w:p>
    <w:p>
      <w:pPr>
        <w:jc w:val="center"/>
        <w:spacing w:after="312" w:line="360" w:lineRule="auto"/>
        <w:rPr>
          <w:rFonts w:ascii="宋体" w:hAnsi="宋体" w:cs="宋体"/>
          <w:b/>
          <w:bCs/>
          <w:highlight w:val="none"/>
        </w:rPr>
      </w:pPr>
      <w:r>
        <w:rPr>
          <w:rFonts w:hint="eastAsia" w:ascii="宋体" w:hAnsi="宋体" w:cs="宋体"/>
          <w:b/>
          <w:bCs/>
          <w:highlight w:val="none"/>
        </w:rPr>
        <w:t xml:space="preserve">声  明</w:t>
      </w:r>
      <w:r/>
    </w:p>
    <w:p>
      <w:pPr>
        <w:spacing w:line="360" w:lineRule="auto"/>
        <w:rPr>
          <w:rFonts w:ascii="宋体" w:hAnsi="宋体" w:cs="宋体"/>
          <w:bCs/>
          <w:highlight w:val="none"/>
        </w:rPr>
      </w:pPr>
      <w:r>
        <w:rPr>
          <w:rFonts w:hint="eastAsia" w:ascii="宋体" w:hAnsi="宋体" w:cs="宋体"/>
          <w:bCs/>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cs="宋体"/>
          <w:bCs/>
          <w:highlight w:val="none"/>
        </w:rPr>
      </w:pPr>
      <w:r>
        <w:rPr>
          <w:rFonts w:hint="eastAsia" w:ascii="宋体" w:hAnsi="宋体" w:cs="宋体"/>
          <w:bCs/>
          <w:highlight w:val="none"/>
        </w:rPr>
        <w:t xml:space="preserve">                               投标人名称（加盖CA电子公章）：</w:t>
      </w:r>
      <w:r/>
    </w:p>
    <w:p>
      <w:pPr>
        <w:spacing w:line="360" w:lineRule="auto"/>
        <w:rPr>
          <w:rFonts w:ascii="宋体" w:hAnsi="宋体" w:cs="宋体"/>
          <w:bCs/>
          <w:highlight w:val="none"/>
        </w:rPr>
      </w:pPr>
      <w:r>
        <w:rPr>
          <w:rFonts w:hint="eastAsia" w:ascii="宋体" w:hAnsi="宋体" w:cs="宋体"/>
          <w:bCs/>
          <w:highlight w:val="none"/>
        </w:rPr>
        <w:t xml:space="preserve">                               法定代表人</w:t>
      </w:r>
      <w:r>
        <w:rPr>
          <w:rFonts w:hint="eastAsia" w:ascii="宋体" w:hAnsi="宋体" w:cs="宋体"/>
          <w:bCs/>
          <w:highlight w:val="none"/>
          <w:lang w:eastAsia="zh-CN"/>
        </w:rPr>
        <w:t xml:space="preserve">签字或盖</w:t>
      </w:r>
      <w:r>
        <w:rPr>
          <w:rFonts w:hint="eastAsia" w:ascii="宋体" w:hAnsi="宋体" w:cs="宋体"/>
          <w:bCs/>
          <w:highlight w:val="none"/>
        </w:rPr>
        <w:t xml:space="preserve">章：</w:t>
      </w:r>
      <w:r/>
    </w:p>
    <w:p>
      <w:pPr>
        <w:spacing w:line="360" w:lineRule="auto"/>
        <w:rPr>
          <w:rFonts w:ascii="宋体" w:hAnsi="宋体" w:cs="宋体"/>
          <w:bCs/>
          <w:highlight w:val="none"/>
        </w:rPr>
      </w:pPr>
      <w:r>
        <w:rPr>
          <w:rFonts w:hint="eastAsia" w:ascii="宋体" w:hAnsi="宋体" w:cs="宋体"/>
          <w:bCs/>
          <w:highlight w:val="none"/>
        </w:rPr>
        <w:t xml:space="preserve">                               日期：  年  月  日</w:t>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szCs w:val="21"/>
          <w:highlight w:val="none"/>
        </w:rPr>
      </w:pPr>
      <w:r>
        <w:rPr>
          <w:rFonts w:hint="eastAsia" w:ascii="宋体" w:hAnsi="宋体" w:cs="宋体"/>
          <w:b/>
          <w:bCs/>
          <w:highlight w:val="none"/>
        </w:rPr>
        <w:br w:type="page" w:clear="all"/>
      </w:r>
      <w:r>
        <w:rPr>
          <w:rFonts w:hint="eastAsia" w:ascii="宋体" w:hAnsi="宋体" w:cs="宋体"/>
          <w:b/>
          <w:szCs w:val="21"/>
          <w:highlight w:val="none"/>
        </w:rPr>
        <w:t xml:space="preserve">供应商信用承诺书</w:t>
      </w:r>
      <w:r/>
    </w:p>
    <w:p>
      <w:pPr>
        <w:spacing w:line="360" w:lineRule="auto"/>
        <w:rPr>
          <w:rFonts w:ascii="宋体" w:hAnsi="宋体" w:cs="宋体"/>
          <w:szCs w:val="21"/>
          <w:highlight w:val="none"/>
        </w:rPr>
      </w:pPr>
      <w:r>
        <w:rPr>
          <w:rFonts w:hint="eastAsia" w:ascii="宋体" w:hAnsi="宋体" w:cs="宋体"/>
          <w:szCs w:val="21"/>
          <w:highlight w:val="none"/>
        </w:rPr>
        <w:t xml:space="preserve">承诺主体名称：</w:t>
      </w:r>
      <w:r/>
    </w:p>
    <w:p>
      <w:pPr>
        <w:spacing w:line="360" w:lineRule="auto"/>
        <w:rPr>
          <w:rFonts w:ascii="宋体" w:hAnsi="宋体" w:cs="宋体"/>
          <w:szCs w:val="21"/>
          <w:highlight w:val="none"/>
        </w:rPr>
      </w:pPr>
      <w:r>
        <w:rPr>
          <w:rFonts w:hint="eastAsia" w:ascii="宋体" w:hAnsi="宋体" w:cs="宋体"/>
          <w:szCs w:val="21"/>
          <w:highlight w:val="none"/>
        </w:rPr>
        <w:t xml:space="preserve">统一社会信用代码：</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四、自觉接受行政管理部门、行业组织、社会公众、新闻舆论的监督；</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七、严格遵守信用信息公示相关规定，向社会公示信用信息；</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八、在“信用中国”和“中国政府采购网”网站中无违法违规、较重或严重失信记录；</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十、本承诺书自签订之日起生效。</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 （注：法定代表人或负责人、主体名称发生变更的应当重新作出承诺。）</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 承诺单位（加盖CA电子公章）：           </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法定代表人（负责人）：</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　　　　　　　　　      　年    月    日</w:t>
      </w:r>
      <w:r/>
    </w:p>
    <w:p>
      <w:pPr>
        <w:jc w:val="cente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ascii="宋体" w:hAnsi="宋体" w:cs="宋体"/>
          <w:szCs w:val="21"/>
          <w:highlight w:val="none"/>
        </w:rPr>
      </w:r>
      <w:r/>
    </w:p>
    <w:p>
      <w:pPr>
        <w:jc w:val="center"/>
        <w:spacing w:line="360" w:lineRule="auto"/>
        <w:rPr>
          <w:rFonts w:ascii="宋体" w:hAnsi="宋体" w:cs="宋体"/>
          <w:b/>
          <w:bCs/>
          <w:highlight w:val="none"/>
        </w:rPr>
      </w:pPr>
      <w:r>
        <w:rPr>
          <w:rFonts w:hint="eastAsia" w:ascii="宋体" w:hAnsi="宋体" w:cs="宋体"/>
          <w:b/>
          <w:bCs/>
          <w:highlight w:val="none"/>
        </w:rPr>
        <w:br w:type="page" w:clear="all"/>
      </w:r>
      <w:r>
        <w:rPr>
          <w:rFonts w:hint="eastAsia" w:ascii="宋体" w:hAnsi="宋体" w:cs="宋体"/>
          <w:b/>
          <w:bCs/>
          <w:highlight w:val="none"/>
        </w:rPr>
        <w:t xml:space="preserve">投标函格式</w:t>
      </w:r>
      <w:r/>
    </w:p>
    <w:p>
      <w:pPr>
        <w:pStyle w:val="1149"/>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sz w:val="21"/>
          <w:highlight w:val="none"/>
        </w:rPr>
        <w:t xml:space="preserve">江苏华屹工程咨询管理有限公司</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根据贵方的（    ）号招标文件，正式授权下述签字人_________________(姓名)代表我方______________（投标人的名称），全权处理本次项目投标的有关事宜。</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据此函，__________签字人（姓名）兹宣布同意如下：</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1.按招标文件规定的各项要求，向买方提供所需货物与服务。</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2.我们完全理解贵方不一定将合同授予最低报价的投标人。</w:t>
      </w:r>
      <w:r/>
    </w:p>
    <w:p>
      <w:pPr>
        <w:pStyle w:val="1149"/>
        <w:ind w:firstLine="420"/>
        <w:spacing w:before="0" w:after="0"/>
        <w:rPr>
          <w:rFonts w:ascii="宋体" w:hAnsi="宋体" w:cs="宋体"/>
          <w:sz w:val="21"/>
          <w:szCs w:val="21"/>
          <w:highlight w:val="none"/>
        </w:rPr>
      </w:pPr>
      <w:r>
        <w:rPr>
          <w:rFonts w:hint="eastAsia" w:ascii="宋体" w:hAnsi="宋体" w:cs="宋体"/>
          <w:sz w:val="21"/>
          <w:szCs w:val="21"/>
          <w:highlight w:val="none"/>
        </w:rPr>
        <w:t xml:space="preserve">3.我们已详细审核全部招标文件及其有效补充文件，我们知道必须放弃提出含糊不清或误解问题的权利。</w:t>
      </w:r>
      <w:r/>
    </w:p>
    <w:p>
      <w:pPr>
        <w:pStyle w:val="1149"/>
        <w:spacing w:before="0" w:after="0"/>
        <w:rPr>
          <w:rFonts w:ascii="宋体" w:hAnsi="宋体" w:cs="宋体"/>
          <w:sz w:val="21"/>
          <w:szCs w:val="21"/>
          <w:highlight w:val="none"/>
        </w:rPr>
      </w:pPr>
      <w:r>
        <w:rPr>
          <w:rFonts w:hint="eastAsia" w:ascii="宋体" w:hAnsi="宋体" w:cs="宋体"/>
          <w:sz w:val="21"/>
          <w:szCs w:val="21"/>
          <w:highlight w:val="none"/>
        </w:rPr>
        <w:t xml:space="preserve">4.我们同意从规定的开标日期起遵循本投标文件，并在规定的投标有效期期满之前均具有约束力。</w:t>
      </w:r>
      <w:r/>
    </w:p>
    <w:p>
      <w:pPr>
        <w:pStyle w:val="1149"/>
        <w:spacing w:before="0" w:after="0"/>
        <w:rPr>
          <w:rFonts w:ascii="宋体" w:hAnsi="宋体" w:cs="宋体"/>
          <w:sz w:val="21"/>
          <w:szCs w:val="21"/>
          <w:highlight w:val="none"/>
        </w:rPr>
      </w:pPr>
      <w:r>
        <w:rPr>
          <w:rFonts w:hint="eastAsia" w:ascii="宋体" w:hAnsi="宋体" w:cs="宋体"/>
          <w:sz w:val="21"/>
          <w:szCs w:val="21"/>
          <w:highlight w:val="none"/>
        </w:rPr>
        <w:t xml:space="preserve">5.同意向贵方提供贵方可能另外要求的与投标有关的任何证据或资料，并保证我方已提供和将要提供的文件是真实的、准确的。</w:t>
      </w:r>
      <w:r/>
    </w:p>
    <w:p>
      <w:pPr>
        <w:pStyle w:val="1149"/>
        <w:spacing w:before="0" w:after="0"/>
        <w:rPr>
          <w:rFonts w:ascii="宋体" w:hAnsi="宋体" w:cs="宋体"/>
          <w:sz w:val="21"/>
          <w:szCs w:val="21"/>
          <w:highlight w:val="none"/>
        </w:rPr>
      </w:pPr>
      <w:r>
        <w:rPr>
          <w:rFonts w:hint="eastAsia" w:ascii="宋体" w:hAnsi="宋体" w:cs="宋体"/>
          <w:sz w:val="21"/>
          <w:szCs w:val="21"/>
          <w:highlight w:val="none"/>
        </w:rPr>
        <w:t xml:space="preserve">6.一旦我方中标,我方将根据招标文件的规定，严格履行合同的责任和义务,并保证在招标文件规定的时间完成项目，交付买方验收、使用。</w:t>
      </w:r>
      <w:r/>
    </w:p>
    <w:p>
      <w:pPr>
        <w:pStyle w:val="1149"/>
        <w:ind w:left="425" w:firstLine="105"/>
        <w:spacing w:before="0" w:after="0"/>
        <w:rPr>
          <w:rFonts w:ascii="宋体" w:hAnsi="宋体" w:cs="宋体"/>
          <w:sz w:val="21"/>
          <w:szCs w:val="21"/>
          <w:highlight w:val="none"/>
        </w:rPr>
      </w:pPr>
      <w:r>
        <w:rPr>
          <w:rFonts w:hint="eastAsia" w:ascii="宋体" w:hAnsi="宋体" w:cs="宋体"/>
          <w:sz w:val="21"/>
          <w:szCs w:val="21"/>
          <w:highlight w:val="none"/>
        </w:rPr>
        <w:t xml:space="preserve">7.与本投标有关的正式通讯地址为：</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地 址：</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邮 编：</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电 话： </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传 真： </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投标人开户行：</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账 户： </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行 号：</w:t>
      </w:r>
      <w:r/>
    </w:p>
    <w:p>
      <w:pPr>
        <w:pStyle w:val="1149"/>
        <w:ind w:firstLine="478"/>
        <w:spacing w:before="0" w:after="0"/>
        <w:rPr>
          <w:rFonts w:ascii="宋体" w:hAnsi="宋体" w:cs="宋体"/>
          <w:sz w:val="21"/>
          <w:szCs w:val="21"/>
          <w:highlight w:val="none"/>
        </w:rPr>
      </w:pPr>
      <w:r>
        <w:rPr>
          <w:rFonts w:hint="eastAsia" w:ascii="宋体" w:hAnsi="宋体" w:cs="宋体"/>
          <w:sz w:val="21"/>
          <w:szCs w:val="21"/>
          <w:highlight w:val="none"/>
        </w:rPr>
        <w:t xml:space="preserve">日 期：________年____月____日</w:t>
      </w:r>
      <w:r/>
    </w:p>
    <w:p>
      <w:pPr>
        <w:contextualSpacing/>
        <w:spacing w:line="360" w:lineRule="auto"/>
        <w:rPr>
          <w:rFonts w:ascii="宋体" w:hAnsi="宋体" w:cs="宋体"/>
          <w:b/>
          <w:bCs/>
          <w:sz w:val="32"/>
          <w:szCs w:val="32"/>
          <w:highlight w:val="none"/>
        </w:rPr>
      </w:pPr>
      <w:r>
        <w:rPr>
          <w:rFonts w:ascii="宋体" w:hAnsi="宋体" w:cs="宋体"/>
          <w:b/>
          <w:bCs/>
          <w:sz w:val="32"/>
          <w:szCs w:val="32"/>
          <w:highlight w:val="none"/>
        </w:rPr>
      </w:r>
      <w:r/>
    </w:p>
    <w:p>
      <w:pPr>
        <w:jc w:val="center"/>
        <w:spacing w:line="360" w:lineRule="auto"/>
        <w:rPr>
          <w:rFonts w:ascii="宋体" w:hAnsi="宋体" w:cs="宋体"/>
          <w:b/>
          <w:szCs w:val="21"/>
          <w:highlight w:val="none"/>
        </w:rPr>
      </w:pPr>
      <w:r>
        <w:rPr>
          <w:rFonts w:hint="eastAsia" w:ascii="宋体" w:hAnsi="宋体" w:cs="宋体"/>
          <w:b/>
          <w:sz w:val="32"/>
          <w:szCs w:val="32"/>
          <w:highlight w:val="none"/>
        </w:rPr>
        <w:br w:type="page" w:clear="all"/>
      </w:r>
      <w:r>
        <w:rPr>
          <w:rFonts w:hint="eastAsia" w:ascii="宋体" w:hAnsi="宋体" w:cs="宋体"/>
          <w:b/>
          <w:szCs w:val="21"/>
          <w:highlight w:val="none"/>
        </w:rPr>
        <w:t xml:space="preserve">法人授权书</w:t>
      </w:r>
      <w:r/>
    </w:p>
    <w:p>
      <w:pPr>
        <w:pStyle w:val="1150"/>
        <w:ind w:firstLine="420"/>
        <w:spacing w:line="360" w:lineRule="auto"/>
        <w:rPr>
          <w:rFonts w:ascii="宋体" w:hAnsi="宋体" w:cs="宋体"/>
          <w:sz w:val="21"/>
          <w:szCs w:val="21"/>
          <w:highlight w:val="none"/>
        </w:rPr>
      </w:pPr>
      <w:r>
        <w:rPr>
          <w:rFonts w:ascii="宋体" w:hAnsi="宋体" w:cs="宋体"/>
          <w:sz w:val="21"/>
          <w:szCs w:val="21"/>
          <w:highlight w:val="none"/>
        </w:rPr>
      </w:r>
      <w:r/>
    </w:p>
    <w:p>
      <w:pPr>
        <w:pStyle w:val="1150"/>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150"/>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本授权书于______年____月____日起生效，特此声明。</w:t>
      </w:r>
      <w:r/>
    </w:p>
    <w:p>
      <w:pPr>
        <w:pStyle w:val="1150"/>
        <w:ind w:firstLine="0"/>
        <w:spacing w:line="360" w:lineRule="auto"/>
        <w:rPr>
          <w:rFonts w:ascii="宋体" w:hAnsi="宋体" w:cs="宋体"/>
          <w:sz w:val="21"/>
          <w:szCs w:val="21"/>
          <w:highlight w:val="none"/>
        </w:rPr>
      </w:pPr>
      <w:r>
        <w:rPr>
          <w:rFonts w:ascii="宋体" w:hAnsi="宋体" w:cs="宋体"/>
          <w:sz w:val="21"/>
          <w:szCs w:val="21"/>
          <w:highlight w:val="none"/>
        </w:rPr>
      </w:r>
      <w:r/>
    </w:p>
    <w:p>
      <w:pPr>
        <w:pStyle w:val="1150"/>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被授权人姓名： </w:t>
      </w:r>
      <w:r/>
    </w:p>
    <w:p>
      <w:pPr>
        <w:pStyle w:val="1150"/>
        <w:ind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联系电话（手机）：</w:t>
      </w:r>
      <w:r/>
    </w:p>
    <w:p>
      <w:pPr>
        <w:pStyle w:val="1150"/>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单位名称： </w:t>
      </w:r>
      <w:r/>
    </w:p>
    <w:p>
      <w:pPr>
        <w:pStyle w:val="1150"/>
        <w:ind w:firstLine="420"/>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单位地址：</w:t>
      </w:r>
      <w:r/>
    </w:p>
    <w:p>
      <w:pPr>
        <w:pStyle w:val="1150"/>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日期：</w:t>
      </w:r>
      <w:r/>
    </w:p>
    <w:p>
      <w:pPr>
        <w:spacing w:line="360" w:lineRule="auto"/>
        <w:rPr>
          <w:rFonts w:ascii="宋体" w:hAnsi="宋体" w:cs="宋体"/>
          <w:bCs/>
          <w:highlight w:val="none"/>
        </w:rPr>
      </w:pPr>
      <w:r>
        <w:rPr>
          <w:rFonts w:ascii="宋体" w:hAnsi="宋体" w:cs="宋体"/>
          <w:bCs/>
          <w:highlight w:val="none"/>
        </w:rPr>
      </w:r>
      <w:r/>
    </w:p>
    <w:p>
      <w:pPr>
        <w:spacing w:line="360" w:lineRule="auto"/>
        <w:rPr>
          <w:rFonts w:ascii="宋体" w:hAnsi="宋体" w:cs="宋体"/>
          <w:bCs/>
          <w:sz w:val="24"/>
          <w:highlight w:val="none"/>
        </w:rPr>
      </w:pPr>
      <w:r>
        <w:rPr>
          <w:rFonts w:ascii="宋体" w:hAnsi="宋体" w:cs="宋体"/>
          <w:bCs/>
          <w:sz w:val="24"/>
          <w:highlight w:val="none"/>
        </w:rPr>
      </w:r>
      <w:r/>
    </w:p>
    <w:p>
      <w:pPr>
        <w:ind w:firstLine="420"/>
        <w:jc w:val="left"/>
        <w:spacing w:line="360" w:lineRule="auto"/>
        <w:rPr>
          <w:rFonts w:ascii="宋体" w:hAnsi="宋体" w:cs="宋体"/>
          <w:bCs/>
          <w:highlight w:val="none"/>
        </w:rPr>
      </w:pPr>
      <w:r>
        <w:rPr>
          <w:rFonts w:hint="eastAsia" w:ascii="宋体" w:hAnsi="宋体" w:cs="宋体"/>
          <w:bCs/>
          <w:highlight w:val="none"/>
        </w:rPr>
        <w:t xml:space="preserve">被授权人身份证复印件：</w:t>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pPr>
      <w:r>
        <w:rPr>
          <w:rFonts w:ascii="宋体" w:hAnsi="宋体" w:cs="宋体"/>
          <w:bCs/>
          <w:highlight w:val="none"/>
        </w:rPr>
      </w:r>
      <w:r/>
    </w:p>
    <w:p>
      <w:pPr>
        <w:ind w:firstLine="420"/>
        <w:jc w:val="left"/>
        <w:spacing w:line="360" w:lineRule="auto"/>
        <w:rPr>
          <w:rFonts w:ascii="宋体" w:hAnsi="宋体" w:cs="宋体"/>
          <w:bCs/>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highlight w:val="none"/>
        </w:rPr>
        <w:t xml:space="preserve">法人身份证复印件：</w:t>
      </w:r>
      <w:r/>
    </w:p>
    <w:p>
      <w:pPr>
        <w:pStyle w:val="1113"/>
        <w:spacing w:line="360" w:lineRule="auto"/>
        <w:rPr>
          <w:rFonts w:ascii="宋体" w:hAnsi="宋体" w:eastAsia="宋体" w:cs="宋体"/>
          <w:sz w:val="32"/>
          <w:highlight w:val="none"/>
        </w:rPr>
      </w:pPr>
      <w:r/>
      <w:bookmarkStart w:id="257" w:name="_Toc20616"/>
      <w:r/>
      <w:bookmarkStart w:id="258" w:name="_Toc9345"/>
      <w:r/>
      <w:bookmarkStart w:id="259" w:name="_Toc16911"/>
      <w:r>
        <w:rPr>
          <w:rFonts w:hint="eastAsia" w:ascii="宋体" w:hAnsi="宋体" w:eastAsia="宋体" w:cs="宋体"/>
          <w:sz w:val="32"/>
          <w:highlight w:val="none"/>
        </w:rPr>
        <w:t xml:space="preserve">二、符合性审查响应对照表</w:t>
      </w:r>
      <w:bookmarkEnd w:id="257"/>
      <w:r/>
      <w:bookmarkEnd w:id="258"/>
      <w:r/>
      <w:bookmarkEnd w:id="259"/>
      <w:r/>
      <w:r/>
    </w:p>
    <w:p>
      <w:pPr>
        <w:spacing w:line="360" w:lineRule="auto"/>
        <w:rPr>
          <w:rFonts w:ascii="宋体" w:hAnsi="宋体" w:cs="宋体"/>
          <w:b/>
          <w:sz w:val="32"/>
          <w:szCs w:val="32"/>
          <w:highlight w:val="none"/>
        </w:rPr>
      </w:pPr>
      <w:r>
        <w:rPr>
          <w:rFonts w:ascii="宋体" w:hAnsi="宋体" w:cs="宋体"/>
          <w:b/>
          <w:sz w:val="32"/>
          <w:szCs w:val="32"/>
          <w:highlight w:val="none"/>
        </w:rPr>
      </w:r>
      <w:r/>
    </w:p>
    <w:tbl>
      <w:tblPr>
        <w:tblStyle w:val="9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5975"/>
        <w:gridCol w:w="1841"/>
        <w:gridCol w:w="1435"/>
      </w:tblGrid>
      <w:tr>
        <w:trPr>
          <w:trHeight w:val="882"/>
        </w:trPr>
        <w:tc>
          <w:tcPr>
            <w:tcW w:w="355"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2999"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符合性审查响应内容</w:t>
            </w:r>
            <w:r/>
          </w:p>
        </w:tc>
        <w:tc>
          <w:tcPr>
            <w:tcW w:w="924"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c>
          <w:tcPr>
            <w:tcW w:w="720"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1</w:t>
            </w:r>
            <w:r/>
          </w:p>
        </w:tc>
        <w:tc>
          <w:tcPr>
            <w:tcW w:w="2999" w:type="pct"/>
            <w:vAlign w:val="center"/>
            <w:textDirection w:val="lrTb"/>
            <w:noWrap w:val="false"/>
          </w:tcPr>
          <w:p>
            <w:pPr>
              <w:spacing w:line="360" w:lineRule="auto"/>
              <w:rPr>
                <w:rFonts w:ascii="宋体" w:hAnsi="宋体" w:cs="宋体"/>
                <w:bCs/>
                <w:iCs/>
                <w:szCs w:val="21"/>
                <w:highlight w:val="none"/>
              </w:rPr>
            </w:pPr>
            <w:r>
              <w:rPr>
                <w:rFonts w:hint="eastAsia" w:ascii="宋体" w:hAnsi="宋体" w:cs="宋体"/>
                <w:bCs/>
                <w:iCs/>
                <w:szCs w:val="21"/>
                <w:highlight w:val="none"/>
              </w:rPr>
              <w:t xml:space="preserve">采购需求中必须满足的实质性要求（即加斜体下划线内容，每条详细列出）</w:t>
            </w:r>
            <w:r/>
          </w:p>
        </w:tc>
        <w:tc>
          <w:tcPr>
            <w:tcW w:w="924"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c>
          <w:tcPr>
            <w:tcW w:w="720"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585"/>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2999"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585"/>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2999"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417"/>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tcW w:w="2999"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tcW w:w="2999" w:type="pct"/>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w:t>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pStyle w:val="1113"/>
        <w:spacing w:line="360" w:lineRule="auto"/>
        <w:rPr>
          <w:rFonts w:ascii="宋体" w:hAnsi="宋体" w:eastAsia="宋体" w:cs="宋体"/>
          <w:sz w:val="32"/>
          <w:highlight w:val="none"/>
        </w:rPr>
      </w:pPr>
      <w:r/>
      <w:bookmarkStart w:id="260" w:name="_Toc23068"/>
      <w:r/>
      <w:bookmarkStart w:id="261" w:name="_Toc23420"/>
      <w:r/>
      <w:bookmarkStart w:id="262" w:name="_Toc29406"/>
      <w:r>
        <w:rPr>
          <w:rFonts w:hint="eastAsia" w:ascii="宋体" w:hAnsi="宋体" w:eastAsia="宋体" w:cs="宋体"/>
          <w:sz w:val="32"/>
          <w:highlight w:val="none"/>
        </w:rPr>
        <w:t xml:space="preserve">三、非实质性响应对照表</w:t>
      </w:r>
      <w:bookmarkEnd w:id="260"/>
      <w:r/>
      <w:bookmarkEnd w:id="261"/>
      <w:r/>
      <w:bookmarkEnd w:id="262"/>
      <w:r/>
      <w:r/>
    </w:p>
    <w:tbl>
      <w:tblPr>
        <w:tblStyle w:val="908"/>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5975"/>
        <w:gridCol w:w="1841"/>
        <w:gridCol w:w="1435"/>
      </w:tblGrid>
      <w:tr>
        <w:trPr>
          <w:trHeight w:val="882"/>
        </w:trPr>
        <w:tc>
          <w:tcPr>
            <w:tcW w:w="355"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2999"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非实质性响应内容</w:t>
            </w:r>
            <w:r/>
          </w:p>
        </w:tc>
        <w:tc>
          <w:tcPr>
            <w:tcW w:w="924"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ascii="宋体" w:hAnsi="宋体" w:cs="宋体"/>
                <w:b/>
                <w:szCs w:val="21"/>
                <w:highlight w:val="none"/>
              </w:rPr>
            </w:pPr>
            <w:r>
              <w:rPr>
                <w:rFonts w:hint="eastAsia" w:ascii="宋体" w:hAnsi="宋体" w:cs="宋体"/>
                <w:b/>
                <w:szCs w:val="21"/>
                <w:highlight w:val="none"/>
              </w:rPr>
              <w:t xml:space="preserve">（填是或者否）</w:t>
            </w:r>
            <w:r/>
          </w:p>
        </w:tc>
        <w:tc>
          <w:tcPr>
            <w:tcW w:w="720"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355" w:type="pct"/>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szCs w:val="21"/>
                <w:highlight w:val="none"/>
              </w:rPr>
              <w:t xml:space="preserve">1</w:t>
            </w:r>
            <w:r/>
          </w:p>
        </w:tc>
        <w:tc>
          <w:tcPr>
            <w:tcW w:w="2999" w:type="pct"/>
            <w:vAlign w:val="center"/>
            <w:textDirection w:val="lrTb"/>
            <w:noWrap w:val="false"/>
          </w:tcPr>
          <w:p>
            <w:pPr>
              <w:spacing w:line="360" w:lineRule="auto"/>
              <w:rPr>
                <w:rFonts w:ascii="宋体" w:hAnsi="宋体" w:cs="宋体"/>
                <w:iCs/>
                <w:szCs w:val="21"/>
                <w:highlight w:val="none"/>
              </w:rPr>
            </w:pPr>
            <w:r>
              <w:rPr>
                <w:rFonts w:hint="eastAsia" w:ascii="宋体" w:hAnsi="宋体" w:cs="宋体"/>
                <w:szCs w:val="21"/>
                <w:highlight w:val="none"/>
              </w:rPr>
              <w:t xml:space="preserve">《残疾人福利性单位声明函》</w:t>
            </w:r>
            <w:r/>
          </w:p>
        </w:tc>
        <w:tc>
          <w:tcPr>
            <w:tcW w:w="924"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c>
          <w:tcPr>
            <w:tcW w:w="720" w:type="pct"/>
            <w:vAlign w:val="center"/>
            <w:textDirection w:val="lrTb"/>
            <w:noWrap w:val="false"/>
          </w:tcPr>
          <w:p>
            <w:pPr>
              <w:spacing w:line="360" w:lineRule="auto"/>
              <w:rPr>
                <w:rFonts w:ascii="宋体" w:hAnsi="宋体" w:cs="宋体"/>
                <w:b/>
                <w:szCs w:val="21"/>
                <w:highlight w:val="none"/>
              </w:rPr>
            </w:pPr>
            <w:r>
              <w:rPr>
                <w:rFonts w:ascii="宋体" w:hAnsi="宋体" w:cs="宋体"/>
                <w:b/>
                <w:szCs w:val="21"/>
                <w:highlight w:val="none"/>
              </w:rPr>
            </w:r>
            <w:r/>
          </w:p>
        </w:tc>
      </w:tr>
      <w:tr>
        <w:trPr>
          <w:trHeight w:val="585"/>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2999" w:type="pct"/>
            <w:vAlign w:val="center"/>
            <w:textDirection w:val="lrTb"/>
            <w:noWrap w:val="false"/>
          </w:tcPr>
          <w:p>
            <w:pPr>
              <w:spacing w:line="360" w:lineRule="auto"/>
              <w:rPr>
                <w:rFonts w:ascii="宋体" w:hAnsi="宋体" w:cs="宋体"/>
                <w:iCs/>
                <w:szCs w:val="21"/>
                <w:highlight w:val="none"/>
              </w:rPr>
            </w:pPr>
            <w:r>
              <w:rPr>
                <w:rFonts w:hint="eastAsia" w:ascii="宋体" w:hAnsi="宋体" w:cs="宋体"/>
                <w:iCs/>
                <w:szCs w:val="21"/>
                <w:highlight w:val="none"/>
              </w:rPr>
              <w:t xml:space="preserve">……</w:t>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r>
        <w:trPr>
          <w:trHeight w:val="780"/>
        </w:trPr>
        <w:tc>
          <w:tcPr>
            <w:tcW w:w="35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2999" w:type="pct"/>
            <w:vAlign w:val="center"/>
            <w:textDirection w:val="lrTb"/>
            <w:noWrap w:val="false"/>
          </w:tcPr>
          <w:p>
            <w:pPr>
              <w:spacing w:line="360" w:lineRule="auto"/>
              <w:rPr>
                <w:rFonts w:ascii="宋体" w:hAnsi="宋体" w:cs="宋体"/>
                <w:iCs/>
                <w:szCs w:val="21"/>
                <w:highlight w:val="none"/>
              </w:rPr>
            </w:pPr>
            <w:r>
              <w:rPr>
                <w:rFonts w:ascii="宋体" w:hAnsi="宋体" w:cs="宋体"/>
                <w:iCs/>
                <w:szCs w:val="21"/>
                <w:highlight w:val="none"/>
              </w:rPr>
            </w:r>
            <w:r/>
          </w:p>
        </w:tc>
        <w:tc>
          <w:tcPr>
            <w:tcW w:w="924"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c>
          <w:tcPr>
            <w:tcW w:w="720" w:type="pct"/>
            <w:vAlign w:val="center"/>
            <w:textDirection w:val="lrTb"/>
            <w:noWrap w:val="false"/>
          </w:tcPr>
          <w:p>
            <w:pPr>
              <w:spacing w:line="360" w:lineRule="auto"/>
              <w:rPr>
                <w:rFonts w:ascii="宋体" w:hAnsi="宋体" w:cs="宋体"/>
                <w:szCs w:val="21"/>
                <w:highlight w:val="none"/>
              </w:rPr>
            </w:pPr>
            <w:r>
              <w:rPr>
                <w:rFonts w:ascii="宋体" w:hAnsi="宋体" w:cs="宋体"/>
                <w:szCs w:val="21"/>
                <w:highlight w:val="none"/>
              </w:rPr>
            </w:r>
            <w:r/>
          </w:p>
        </w:tc>
      </w:tr>
    </w:tbl>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contextualSpacing/>
        <w:jc w:val="center"/>
        <w:spacing w:line="360" w:lineRule="auto"/>
        <w:rPr>
          <w:rFonts w:ascii="宋体" w:hAnsi="宋体" w:cs="宋体"/>
          <w:b/>
          <w:bCs/>
          <w:sz w:val="32"/>
          <w:szCs w:val="32"/>
          <w:highlight w:val="none"/>
        </w:rPr>
      </w:pPr>
      <w:r>
        <w:rPr>
          <w:rFonts w:ascii="宋体" w:hAnsi="宋体" w:cs="宋体"/>
          <w:b/>
          <w:bCs/>
          <w:sz w:val="32"/>
          <w:szCs w:val="32"/>
          <w:highlight w:val="none"/>
        </w:rPr>
      </w:r>
      <w:r/>
    </w:p>
    <w:p>
      <w:pPr>
        <w:spacing w:line="360" w:lineRule="auto"/>
        <w:rPr>
          <w:rFonts w:ascii="宋体" w:hAnsi="宋体" w:cs="宋体"/>
          <w:highlight w:val="none"/>
        </w:rPr>
      </w:pPr>
      <w:r>
        <w:rPr>
          <w:rFonts w:ascii="宋体" w:hAnsi="宋体" w:cs="宋体"/>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center"/>
        <w:spacing w:before="312" w:after="312" w:line="360" w:lineRule="auto"/>
        <w:rPr>
          <w:rFonts w:ascii="宋体" w:hAnsi="宋体" w:cs="宋体"/>
          <w:b/>
          <w:bCs/>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
          <w:bCs/>
          <w:highlight w:val="none"/>
        </w:rPr>
      </w:r>
      <w:r/>
    </w:p>
    <w:p>
      <w:pPr>
        <w:pStyle w:val="934"/>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3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中小微企业声明函（服务类项目）（采购包号：**）</w:t>
      </w:r>
      <w:r/>
    </w:p>
    <w:p>
      <w:pPr>
        <w:pStyle w:val="93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93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3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（其他未列明行业）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3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934"/>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34"/>
        <w:ind w:left="0" w:firstLine="360"/>
        <w:jc w:val="both"/>
        <w:keepLines w:val="0"/>
        <w:keepNext w:val="0"/>
        <w:spacing w:before="0" w:beforeAutospacing="0" w:after="0" w:afterAutospacing="0" w:line="360" w:lineRule="auto"/>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rPr>
          <w:rFonts w:hint="eastAsia" w:ascii="宋体" w:hAnsi="宋体" w:cs="宋体"/>
          <w:color w:val="000000"/>
          <w:sz w:val="24"/>
          <w:szCs w:val="24"/>
          <w:lang w:eastAsia="zh-CN"/>
        </w:rPr>
        <w:t xml:space="preserve">。</w:t>
      </w:r>
      <w:r/>
    </w:p>
    <w:p>
      <w:pPr>
        <w:pStyle w:val="934"/>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934"/>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pStyle w:val="899"/>
        <w:spacing w:before="300" w:after="300"/>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中小微企业划型标准 </w:t>
      </w:r>
      <w:r/>
    </w:p>
    <w:p>
      <w:pPr>
        <w:pStyle w:val="934"/>
        <w:ind w:firstLine="420"/>
        <w:spacing w:before="300" w:after="452" w:line="360" w:lineRule="auto"/>
        <w:widowControl/>
        <w:rPr>
          <w:rFonts w:ascii="宋体" w:hAnsi="宋体" w:cs="宋体"/>
          <w:sz w:val="21"/>
          <w:szCs w:val="21"/>
          <w:highlight w:val="none"/>
        </w:rPr>
      </w:pPr>
      <w:r>
        <w:rPr>
          <w:rFonts w:hint="eastAsia" w:ascii="宋体" w:hAnsi="宋体" w:cs="宋体"/>
          <w:sz w:val="21"/>
          <w:szCs w:val="21"/>
          <w:highlight w:val="none"/>
        </w:rPr>
        <w:t xml:space="preserve">    </w:t>
      </w:r>
      <w:r>
        <w:rPr>
          <w:rStyle w:val="939"/>
          <w:rFonts w:hint="eastAsia" w:ascii="宋体" w:hAnsi="宋体" w:cs="宋体"/>
          <w:sz w:val="21"/>
          <w:szCs w:val="21"/>
          <w:highlight w:val="none"/>
        </w:rPr>
        <w:t xml:space="preserve">中小微企业划型标准如下：</w:t>
      </w:r>
      <w:r/>
    </w:p>
    <w:tbl>
      <w:tblPr>
        <w:tblStyle w:val="908"/>
        <w:tblW w:w="8177"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316"/>
        <w:gridCol w:w="1582"/>
        <w:gridCol w:w="1074"/>
        <w:gridCol w:w="1285"/>
        <w:gridCol w:w="1555"/>
        <w:gridCol w:w="1365"/>
      </w:tblGrid>
      <w:tr>
        <w:trPr>
          <w:jc w:val="center"/>
          <w:tblCellSpacing w:w="15" w:type="dxa"/>
          <w:trHeight w:val="50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271" w:type="dxa"/>
            <w:vAlign w:val="center"/>
            <w:textDirection w:val="lrTb"/>
            <w:noWrap w:val="false"/>
          </w:tcPr>
          <w:p>
            <w:pPr>
              <w:pStyle w:val="934"/>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微型</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Y＜50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X＜20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Y＜300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Y＜300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Z＜300</w:t>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X＜5</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Y＜1000</w:t>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X＜20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Y＜200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X＜20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X＜20</w:t>
            </w:r>
            <w:r/>
          </w:p>
        </w:tc>
      </w:tr>
      <w:tr>
        <w:trPr>
          <w:jc w:val="center"/>
          <w:tblCellSpacing w:w="15" w:type="dxa"/>
          <w:trHeight w:val="460"/>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ind w:firstLine="420"/>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Y＜50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Y＜2000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Y＜500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vMerge w:val="restart"/>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r>
        <w:trPr>
          <w:jc w:val="center"/>
          <w:tblCellSpacing w:w="15" w:type="dxa"/>
          <w:trHeight w:val="876"/>
        </w:trPr>
        <w:tc>
          <w:tcPr>
            <w:tcBorders>
              <w:top w:val="none" w:color="000000" w:sz="4" w:space="0"/>
              <w:left w:val="single" w:color="auto" w:sz="6" w:space="0"/>
              <w:bottom w:val="single" w:color="999999" w:sz="6" w:space="0"/>
              <w:right w:val="single" w:color="999999" w:sz="6" w:space="0"/>
            </w:tcBorders>
            <w:tcW w:w="1271" w:type="dxa"/>
            <w:vAlign w:val="center"/>
            <w:vMerge w:val="continue"/>
            <w:textDirection w:val="lrTb"/>
            <w:noWrap w:val="false"/>
          </w:tcPr>
          <w:p>
            <w:pPr>
              <w:jc w:val="center"/>
              <w:spacing w:line="360" w:lineRule="auto"/>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Y＜100</w:t>
            </w:r>
            <w:r/>
          </w:p>
        </w:tc>
      </w:tr>
      <w:tr>
        <w:trPr>
          <w:jc w:val="center"/>
          <w:tblCellSpacing w:w="15" w:type="dxa"/>
          <w:trHeight w:val="892"/>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271"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52"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44"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25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25"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20" w:type="dxa"/>
            <w:vAlign w:val="center"/>
            <w:textDirection w:val="lrTb"/>
            <w:noWrap w:val="false"/>
          </w:tcPr>
          <w:p>
            <w:pPr>
              <w:pStyle w:val="934"/>
              <w:jc w:val="center"/>
              <w:spacing w:after="150" w:line="360" w:lineRule="auto"/>
              <w:widowControl/>
              <w:rPr>
                <w:rFonts w:ascii="宋体" w:hAnsi="宋体" w:cs="宋体"/>
                <w:sz w:val="21"/>
                <w:szCs w:val="21"/>
                <w:highlight w:val="none"/>
              </w:rPr>
            </w:pPr>
            <w:r>
              <w:rPr>
                <w:rStyle w:val="939"/>
                <w:rFonts w:hint="eastAsia" w:ascii="宋体" w:hAnsi="宋体" w:cs="宋体"/>
                <w:sz w:val="21"/>
                <w:szCs w:val="21"/>
                <w:highlight w:val="none"/>
              </w:rPr>
              <w:t xml:space="preserve">X＜10</w:t>
            </w:r>
            <w:r/>
          </w:p>
        </w:tc>
      </w:tr>
    </w:tbl>
    <w:p>
      <w:pPr>
        <w:pStyle w:val="934"/>
        <w:ind w:firstLine="810"/>
        <w:spacing w:before="300" w:after="452" w:line="360" w:lineRule="auto"/>
        <w:widowControl/>
        <w:rPr>
          <w:rStyle w:val="939"/>
          <w:rFonts w:ascii="宋体" w:hAnsi="宋体" w:cs="宋体"/>
          <w:sz w:val="21"/>
          <w:szCs w:val="21"/>
          <w:highlight w:val="none"/>
        </w:rPr>
      </w:pPr>
      <w:r>
        <w:rPr>
          <w:rStyle w:val="939"/>
          <w:rFonts w:hint="eastAsia" w:ascii="宋体" w:hAnsi="宋体" w:cs="宋体"/>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spacing w:line="360" w:lineRule="auto"/>
        <w:rPr>
          <w:rFonts w:ascii="宋体" w:hAnsi="宋体" w:cs="宋体"/>
          <w:b/>
          <w:bCs/>
          <w:highlight w:val="none"/>
        </w:rPr>
      </w:pPr>
      <w:r>
        <w:rPr>
          <w:rFonts w:hint="eastAsia" w:ascii="宋体" w:hAnsi="宋体" w:cs="宋体"/>
          <w:b/>
          <w:bCs/>
          <w:highlight w:val="none"/>
        </w:rPr>
        <w:br w:type="page" w:clear="all"/>
      </w:r>
      <w:r/>
    </w:p>
    <w:p>
      <w:pPr>
        <w:pStyle w:val="934"/>
        <w:ind w:left="0" w:right="0"/>
        <w:jc w:val="center"/>
        <w:keepLines w:val="0"/>
        <w:keepNext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934"/>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残疾人福利性单位声明函（服务类项目）（采购包号：**）</w:t>
      </w:r>
      <w:r/>
    </w:p>
    <w:p>
      <w:pPr>
        <w:pStyle w:val="93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项目（项目名称）（采购包号：**）采购活动由本单位提供服务。</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34"/>
        <w:ind w:left="0"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34"/>
        <w:ind w:left="0" w:firstLine="624"/>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934"/>
        <w:ind w:left="0" w:right="1559" w:firstLine="624"/>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eastAsia="zh-CN"/>
        </w:rPr>
        <w:t xml:space="preserve">投标人全称</w:t>
      </w:r>
      <w:r>
        <w:rPr>
          <w:rFonts w:hint="eastAsia" w:ascii="宋体" w:hAnsi="宋体" w:eastAsia="宋体" w:cs="宋体"/>
          <w:color w:val="000000"/>
          <w:sz w:val="24"/>
          <w:szCs w:val="24"/>
        </w:rPr>
        <w:t xml:space="preserve">（加盖CA电子公章）：</w:t>
      </w:r>
      <w:r/>
    </w:p>
    <w:p>
      <w:pPr>
        <w:pStyle w:val="934"/>
        <w:ind w:left="0" w:right="1559" w:firstLine="480"/>
        <w:jc w:val="center"/>
        <w:keepLines w:val="0"/>
        <w:keepNext w:val="0"/>
        <w:spacing w:before="0" w:beforeAutospacing="0" w:after="0" w:afterAutospacing="0" w:line="360" w:lineRule="auto"/>
        <w:widowControl w:val="off"/>
        <w:tabs>
          <w:tab w:val="left" w:pos="4864" w:leader="none"/>
        </w:tabs>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sz w:val="32"/>
          <w:highlight w:val="none"/>
        </w:rPr>
      </w:pPr>
      <w:r>
        <w:rPr>
          <w:rFonts w:hint="eastAsia" w:ascii="宋体" w:hAnsi="宋体" w:cs="宋体"/>
          <w:b/>
          <w:sz w:val="32"/>
          <w:szCs w:val="32"/>
          <w:highlight w:val="none"/>
        </w:rPr>
        <w:br w:type="page" w:clear="all"/>
      </w:r>
      <w:bookmarkStart w:id="263" w:name="_Toc19910"/>
      <w:r/>
      <w:bookmarkStart w:id="264" w:name="_Toc25382"/>
      <w:r>
        <w:rPr>
          <w:rFonts w:hint="eastAsia" w:ascii="宋体" w:hAnsi="宋体" w:cs="宋体"/>
          <w:b/>
          <w:bCs/>
          <w:sz w:val="32"/>
          <w:szCs w:val="44"/>
          <w:highlight w:val="none"/>
        </w:rPr>
        <w:t xml:space="preserve">四、开标一览表</w:t>
      </w:r>
      <w:bookmarkEnd w:id="263"/>
      <w:r/>
      <w:bookmarkEnd w:id="264"/>
      <w:r/>
      <w:r/>
    </w:p>
    <w:p>
      <w:pPr>
        <w:ind w:firstLine="480"/>
        <w:spacing w:line="360" w:lineRule="auto"/>
        <w:rPr>
          <w:rFonts w:ascii="宋体" w:hAnsi="宋体" w:cs="宋体"/>
          <w:szCs w:val="21"/>
          <w:highlight w:val="none"/>
        </w:rPr>
      </w:pPr>
      <w:r>
        <w:rPr>
          <w:rFonts w:ascii="宋体" w:hAnsi="宋体" w:cs="宋体"/>
          <w:szCs w:val="21"/>
          <w:highlight w:val="none"/>
        </w:rPr>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lang w:eastAsia="zh-CN"/>
        </w:rPr>
        <w:t xml:space="preserve">（盖章）</w:t>
      </w:r>
      <w:r>
        <w:rPr>
          <w:rFonts w:hint="eastAsia" w:ascii="宋体" w:hAnsi="宋体" w:cs="宋体"/>
          <w:szCs w:val="21"/>
          <w:highlight w:val="none"/>
        </w:rPr>
        <w:t xml:space="preserve">：</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项目编号：</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分包号(如有)： </w:t>
      </w:r>
      <w:r/>
    </w:p>
    <w:p>
      <w:pPr>
        <w:ind w:firstLine="480"/>
        <w:spacing w:line="360" w:lineRule="auto"/>
        <w:rPr>
          <w:rFonts w:ascii="宋体" w:hAnsi="宋体" w:cs="宋体"/>
          <w:szCs w:val="21"/>
          <w:highlight w:val="none"/>
        </w:rPr>
      </w:pPr>
      <w:r>
        <w:rPr>
          <w:rFonts w:ascii="宋体" w:hAnsi="宋体" w:cs="宋体"/>
          <w:szCs w:val="21"/>
          <w:highlight w:val="none"/>
        </w:rPr>
      </w:r>
      <w:r/>
    </w:p>
    <w:tbl>
      <w:tblPr>
        <w:tblStyle w:val="908"/>
        <w:tblW w:w="469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07"/>
        <w:gridCol w:w="6743"/>
      </w:tblGrid>
      <w:tr>
        <w:trPr>
          <w:cantSplit/>
          <w:trHeight w:val="1152"/>
        </w:trPr>
        <w:tc>
          <w:tcPr>
            <w:tcW w:w="1394" w:type="pct"/>
            <w:vAlign w:val="center"/>
            <w:textDirection w:val="lrTb"/>
            <w:noWrap w:val="false"/>
          </w:tcPr>
          <w:p>
            <w:pPr>
              <w:pStyle w:val="1122"/>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  投标货物</w:t>
            </w:r>
            <w:r>
              <w:rPr>
                <w:rFonts w:hint="eastAsia" w:ascii="宋体" w:hAnsi="宋体" w:eastAsia="宋体" w:cs="宋体"/>
                <w:sz w:val="21"/>
                <w:szCs w:val="21"/>
                <w:highlight w:val="none"/>
                <w:lang w:eastAsia="zh-CN"/>
              </w:rPr>
              <w:t xml:space="preserve">或</w:t>
            </w:r>
            <w:r>
              <w:rPr>
                <w:rFonts w:hint="eastAsia" w:ascii="宋体" w:hAnsi="宋体" w:eastAsia="宋体" w:cs="宋体"/>
                <w:sz w:val="21"/>
                <w:szCs w:val="21"/>
                <w:highlight w:val="none"/>
              </w:rPr>
              <w:t xml:space="preserve">服务名称</w:t>
            </w:r>
            <w:r/>
          </w:p>
        </w:tc>
        <w:tc>
          <w:tcPr>
            <w:tcW w:w="3605" w:type="pct"/>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投标总报价</w:t>
            </w:r>
            <w:r/>
          </w:p>
        </w:tc>
      </w:tr>
      <w:tr>
        <w:trPr>
          <w:cantSplit/>
          <w:trHeight w:val="2732"/>
        </w:trPr>
        <w:tc>
          <w:tcPr>
            <w:tcW w:w="1394" w:type="pct"/>
            <w:vAlign w:val="center"/>
            <w:textDirection w:val="lrTb"/>
            <w:noWrap w:val="false"/>
          </w:tcPr>
          <w:p>
            <w:pPr>
              <w:pStyle w:val="1122"/>
              <w:spacing w:line="360" w:lineRule="auto"/>
              <w:rPr>
                <w:rFonts w:ascii="宋体" w:hAnsi="宋体" w:eastAsia="宋体" w:cs="宋体"/>
                <w:sz w:val="21"/>
                <w:szCs w:val="21"/>
                <w:highlight w:val="none"/>
              </w:rPr>
            </w:pPr>
            <w:r>
              <w:rPr>
                <w:rFonts w:ascii="宋体" w:hAnsi="宋体" w:eastAsia="宋体" w:cs="宋体"/>
                <w:sz w:val="21"/>
                <w:szCs w:val="21"/>
                <w:highlight w:val="none"/>
              </w:rPr>
            </w:r>
            <w:r/>
          </w:p>
        </w:tc>
        <w:tc>
          <w:tcPr>
            <w:tcW w:w="3605" w:type="pct"/>
            <w:vAlign w:val="center"/>
            <w:textDirection w:val="lrTb"/>
            <w:noWrap w:val="false"/>
          </w:tcPr>
          <w:p>
            <w:pPr>
              <w:pStyle w:val="1149"/>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大写：</w:t>
            </w:r>
            <w:r/>
          </w:p>
          <w:p>
            <w:pPr>
              <w:pStyle w:val="1149"/>
              <w:ind w:firstLine="0"/>
              <w:spacing w:before="0" w:after="0"/>
              <w:rPr>
                <w:rFonts w:ascii="宋体" w:hAnsi="宋体" w:cs="宋体"/>
                <w:sz w:val="21"/>
                <w:szCs w:val="21"/>
                <w:highlight w:val="none"/>
              </w:rPr>
            </w:pPr>
            <w:r>
              <w:rPr>
                <w:rFonts w:hint="eastAsia" w:ascii="宋体" w:hAnsi="宋体" w:cs="宋体"/>
                <w:sz w:val="21"/>
                <w:szCs w:val="21"/>
                <w:highlight w:val="none"/>
              </w:rPr>
              <w:t xml:space="preserve">小写：                             （人民币：元）</w:t>
            </w:r>
            <w:r/>
          </w:p>
          <w:p>
            <w:pPr>
              <w:pStyle w:val="1149"/>
              <w:ind w:firstLine="0"/>
              <w:spacing w:before="0" w:after="0"/>
              <w:rPr>
                <w:rFonts w:ascii="宋体" w:hAnsi="宋体" w:cs="宋体"/>
                <w:sz w:val="21"/>
                <w:szCs w:val="21"/>
                <w:highlight w:val="none"/>
              </w:rPr>
            </w:pPr>
            <w:r>
              <w:rPr>
                <w:rFonts w:ascii="宋体" w:hAnsi="宋体" w:cs="宋体"/>
                <w:sz w:val="21"/>
                <w:szCs w:val="21"/>
                <w:highlight w:val="none"/>
              </w:rPr>
            </w:r>
            <w:r/>
          </w:p>
        </w:tc>
      </w:tr>
    </w:tbl>
    <w:p>
      <w:pPr>
        <w:spacing w:line="360" w:lineRule="auto"/>
        <w:rPr>
          <w:rFonts w:ascii="宋体" w:hAnsi="宋体" w:cs="宋体"/>
          <w:szCs w:val="21"/>
          <w:highlight w:val="none"/>
        </w:rPr>
      </w:pPr>
      <w:r>
        <w:rPr>
          <w:rFonts w:ascii="宋体" w:hAnsi="宋体" w:cs="宋体"/>
          <w:szCs w:val="21"/>
          <w:highlight w:val="none"/>
        </w:rPr>
      </w:r>
      <w:r/>
    </w:p>
    <w:p>
      <w:pPr>
        <w:ind w:firstLine="480"/>
        <w:spacing w:line="360" w:lineRule="auto"/>
        <w:rPr>
          <w:rFonts w:ascii="宋体" w:hAnsi="宋体" w:cs="宋体"/>
          <w:sz w:val="32"/>
          <w:szCs w:val="32"/>
          <w:highlight w:val="none"/>
        </w:rPr>
      </w:pPr>
      <w:r>
        <w:rPr>
          <w:rFonts w:hint="eastAsia" w:ascii="宋体" w:hAnsi="宋体" w:cs="宋体"/>
          <w:szCs w:val="21"/>
          <w:highlight w:val="none"/>
        </w:rPr>
        <w:t xml:space="preserve">                                          </w:t>
      </w:r>
      <w:r/>
    </w:p>
    <w:p>
      <w:pPr>
        <w:pStyle w:val="1119"/>
        <w:ind w:firstLine="640"/>
        <w:spacing w:line="360" w:lineRule="auto"/>
        <w:rPr>
          <w:rFonts w:ascii="宋体" w:hAnsi="宋体" w:cs="宋体"/>
          <w:sz w:val="32"/>
          <w:szCs w:val="32"/>
          <w:highlight w:val="none"/>
        </w:rPr>
      </w:pPr>
      <w:r>
        <w:rPr>
          <w:rFonts w:ascii="宋体" w:hAnsi="宋体" w:cs="宋体"/>
          <w:sz w:val="32"/>
          <w:szCs w:val="32"/>
          <w:highlight w:val="none"/>
        </w:rPr>
      </w:r>
      <w:r/>
    </w:p>
    <w:p>
      <w:pPr>
        <w:pStyle w:val="1119"/>
        <w:ind w:firstLine="640"/>
        <w:spacing w:line="360" w:lineRule="auto"/>
        <w:rPr>
          <w:rFonts w:ascii="宋体" w:hAnsi="宋体" w:cs="宋体"/>
          <w:sz w:val="32"/>
          <w:szCs w:val="32"/>
          <w:highlight w:val="none"/>
        </w:rPr>
      </w:pPr>
      <w:r>
        <w:rPr>
          <w:rFonts w:ascii="宋体" w:hAnsi="宋体" w:cs="宋体"/>
          <w:sz w:val="32"/>
          <w:szCs w:val="32"/>
          <w:highlight w:val="none"/>
        </w:rPr>
      </w:r>
      <w:r/>
    </w:p>
    <w:p>
      <w:pPr>
        <w:jc w:val="center"/>
        <w:spacing w:line="360" w:lineRule="auto"/>
        <w:rPr>
          <w:rFonts w:ascii="宋体" w:hAnsi="宋体" w:cs="宋体"/>
          <w:sz w:val="32"/>
          <w:szCs w:val="32"/>
          <w:highlight w:val="none"/>
        </w:rPr>
      </w:pPr>
      <w:r>
        <w:rPr>
          <w:rFonts w:hint="eastAsia" w:ascii="宋体" w:hAnsi="宋体" w:cs="宋体"/>
          <w:sz w:val="32"/>
          <w:szCs w:val="32"/>
          <w:highlight w:val="none"/>
        </w:rPr>
        <w:br w:type="page" w:clear="all"/>
      </w:r>
      <w:bookmarkStart w:id="265" w:name="_Toc113352361"/>
      <w:r/>
      <w:r/>
    </w:p>
    <w:p>
      <w:pPr>
        <w:jc w:val="center"/>
        <w:spacing w:line="360" w:lineRule="auto"/>
        <w:rPr>
          <w:rFonts w:ascii="宋体" w:hAnsi="宋体" w:cs="宋体"/>
          <w:b/>
          <w:bCs/>
          <w:sz w:val="32"/>
          <w:szCs w:val="44"/>
          <w:highlight w:val="none"/>
        </w:rPr>
      </w:pPr>
      <w:r>
        <w:rPr>
          <w:rFonts w:hint="eastAsia" w:ascii="宋体" w:hAnsi="宋体" w:cs="宋体"/>
          <w:b/>
          <w:bCs/>
          <w:sz w:val="32"/>
          <w:szCs w:val="44"/>
          <w:highlight w:val="none"/>
        </w:rPr>
        <w:t xml:space="preserve">五、分项报价表</w:t>
      </w:r>
      <w:bookmarkEnd w:id="265"/>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项目名称：</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项目编号：</w:t>
      </w:r>
      <w:r/>
    </w:p>
    <w:p>
      <w:pPr>
        <w:ind w:firstLine="480"/>
        <w:spacing w:line="360" w:lineRule="auto"/>
        <w:rPr>
          <w:rFonts w:ascii="宋体" w:hAnsi="宋体" w:cs="宋体"/>
          <w:b/>
          <w:bCs/>
          <w:sz w:val="32"/>
          <w:szCs w:val="44"/>
          <w:highlight w:val="none"/>
        </w:rPr>
      </w:pPr>
      <w:r>
        <w:rPr>
          <w:rFonts w:hint="eastAsia" w:ascii="宋体" w:hAnsi="宋体" w:cs="宋体"/>
          <w:szCs w:val="21"/>
          <w:highlight w:val="none"/>
        </w:rPr>
        <w:t xml:space="preserve">分包号(如有)： </w:t>
      </w:r>
      <w:r/>
    </w:p>
    <w:tbl>
      <w:tblPr>
        <w:tblStyle w:val="908"/>
        <w:tblW w:w="84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2014"/>
        <w:gridCol w:w="1444"/>
        <w:gridCol w:w="1235"/>
        <w:gridCol w:w="1330"/>
        <w:gridCol w:w="1682"/>
      </w:tblGrid>
      <w:tr>
        <w:trPr>
          <w:cantSplit/>
          <w:jc w:val="center"/>
          <w:trHeight w:val="851"/>
        </w:trPr>
        <w:tc>
          <w:tcPr>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序号</w:t>
            </w:r>
            <w:r/>
          </w:p>
        </w:tc>
        <w:tc>
          <w:tcPr>
            <w:tcW w:w="201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名称</w:t>
            </w:r>
            <w:r/>
          </w:p>
        </w:tc>
        <w:tc>
          <w:tcPr>
            <w:tcW w:w="14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单位</w:t>
            </w:r>
            <w:r/>
          </w:p>
        </w:tc>
        <w:tc>
          <w:tcPr>
            <w:tcW w:w="123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数量</w:t>
            </w:r>
            <w:r/>
          </w:p>
        </w:tc>
        <w:tc>
          <w:tcPr>
            <w:tcW w:w="133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单价</w:t>
            </w:r>
            <w:r/>
          </w:p>
          <w:p>
            <w:pPr>
              <w:jc w:val="center"/>
              <w:spacing w:line="360" w:lineRule="auto"/>
              <w:rPr>
                <w:rFonts w:ascii="宋体" w:hAnsi="宋体" w:cs="宋体"/>
                <w:szCs w:val="21"/>
                <w:highlight w:val="none"/>
              </w:rPr>
            </w:pPr>
            <w:r>
              <w:rPr>
                <w:rFonts w:hint="eastAsia" w:ascii="宋体" w:hAnsi="宋体" w:cs="宋体"/>
                <w:highlight w:val="none"/>
              </w:rPr>
              <w:t xml:space="preserve">（元）</w:t>
            </w:r>
            <w:r/>
          </w:p>
        </w:tc>
        <w:tc>
          <w:tcPr>
            <w:tcW w:w="1682"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单项合计价</w:t>
            </w:r>
            <w:r/>
          </w:p>
          <w:p>
            <w:pPr>
              <w:jc w:val="center"/>
              <w:spacing w:line="360" w:lineRule="auto"/>
              <w:rPr>
                <w:rFonts w:ascii="宋体" w:hAnsi="宋体" w:cs="宋体"/>
                <w:szCs w:val="21"/>
                <w:highlight w:val="none"/>
              </w:rPr>
            </w:pPr>
            <w:r>
              <w:rPr>
                <w:rFonts w:hint="eastAsia" w:ascii="宋体" w:hAnsi="宋体" w:cs="宋体"/>
                <w:highlight w:val="none"/>
              </w:rPr>
              <w:t xml:space="preserve">（元）</w:t>
            </w:r>
            <w:r/>
          </w:p>
        </w:tc>
      </w:tr>
      <w:tr>
        <w:trPr>
          <w:cantSplit/>
          <w:jc w:val="center"/>
          <w:trHeight w:val="527"/>
        </w:trPr>
        <w:tc>
          <w:tcPr>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4</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5</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6</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7</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8</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9</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shd w:val="clear" w:color="auto" w:fill="auto"/>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10</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tcW w:w="75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11</w:t>
            </w:r>
            <w:r/>
          </w:p>
        </w:tc>
        <w:tc>
          <w:tcPr>
            <w:shd w:val="clear" w:color="auto" w:fill="auto"/>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527"/>
        </w:trPr>
        <w:tc>
          <w:tcPr>
            <w:tcW w:w="75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01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44"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35"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330"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682" w:type="dxa"/>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872"/>
        </w:trPr>
        <w:tc>
          <w:tcPr>
            <w:gridSpan w:val="3"/>
            <w:tcW w:w="421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highlight w:val="none"/>
              </w:rPr>
              <w:t xml:space="preserve">总报价</w:t>
            </w:r>
            <w:r/>
          </w:p>
        </w:tc>
        <w:tc>
          <w:tcPr>
            <w:gridSpan w:val="3"/>
            <w:tcW w:w="4247" w:type="dxa"/>
            <w:vAlign w:val="center"/>
            <w:textDirection w:val="lrTb"/>
            <w:noWrap w:val="false"/>
          </w:tcPr>
          <w:p>
            <w:pPr>
              <w:spacing w:line="360" w:lineRule="auto"/>
              <w:rPr>
                <w:rFonts w:ascii="宋体" w:hAnsi="宋体" w:cs="宋体"/>
                <w:szCs w:val="21"/>
                <w:highlight w:val="none"/>
              </w:rPr>
            </w:pPr>
            <w:r>
              <w:rPr>
                <w:rFonts w:hint="eastAsia" w:ascii="宋体" w:hAnsi="宋体" w:cs="宋体"/>
                <w:highlight w:val="none"/>
              </w:rPr>
              <w:t xml:space="preserve">人民币（大写）：</w:t>
            </w:r>
            <w:r>
              <w:rPr>
                <w:rFonts w:hint="eastAsia" w:ascii="宋体" w:hAnsi="宋体" w:cs="宋体"/>
                <w:highlight w:val="none"/>
                <w:u w:val="single"/>
              </w:rPr>
              <w:t xml:space="preserve">      </w:t>
            </w:r>
            <w:r>
              <w:rPr>
                <w:rFonts w:hint="eastAsia" w:ascii="宋体" w:hAnsi="宋体" w:cs="宋体"/>
                <w:highlight w:val="none"/>
              </w:rPr>
              <w:t xml:space="preserve"> 圆整</w:t>
            </w:r>
            <w:r/>
          </w:p>
          <w:p>
            <w:pPr>
              <w:spacing w:line="360" w:lineRule="auto"/>
              <w:rPr>
                <w:rFonts w:ascii="宋体" w:hAnsi="宋体" w:cs="宋体"/>
                <w:szCs w:val="21"/>
                <w:highlight w:val="none"/>
                <w:u w:val="single"/>
              </w:rPr>
            </w:pPr>
            <w:r>
              <w:rPr>
                <w:rFonts w:hint="eastAsia" w:ascii="宋体" w:hAnsi="宋体" w:cs="宋体"/>
                <w:highlight w:val="none"/>
              </w:rPr>
              <w:t xml:space="preserve">￥：</w:t>
            </w:r>
            <w:r>
              <w:rPr>
                <w:rFonts w:hint="eastAsia" w:ascii="宋体" w:hAnsi="宋体" w:cs="宋体"/>
                <w:highlight w:val="none"/>
                <w:u w:val="single"/>
              </w:rPr>
              <w:t xml:space="preserve">           </w:t>
            </w:r>
            <w:r/>
          </w:p>
        </w:tc>
      </w:tr>
    </w:tbl>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注：1、行数不够，可自行添加。</w:t>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left"/>
        <w:spacing w:line="360" w:lineRule="auto"/>
        <w:widowControl/>
        <w:rPr>
          <w:rFonts w:ascii="宋体" w:hAnsi="宋体" w:cs="宋体"/>
          <w:b/>
          <w:bCs/>
          <w:highlight w:val="none"/>
        </w:rPr>
      </w:pPr>
      <w:r>
        <w:rPr>
          <w:rFonts w:ascii="宋体" w:hAnsi="宋体" w:cs="宋体"/>
          <w:b/>
          <w:bCs/>
          <w:highlight w:val="none"/>
        </w:rPr>
      </w:r>
      <w:r/>
    </w:p>
    <w:p>
      <w:pPr>
        <w:jc w:val="center"/>
        <w:spacing w:line="360" w:lineRule="auto"/>
        <w:rPr>
          <w:rFonts w:ascii="宋体" w:hAnsi="宋体" w:cs="宋体"/>
          <w:b/>
          <w:bCs/>
          <w:sz w:val="32"/>
          <w:highlight w:val="none"/>
        </w:rPr>
      </w:pPr>
      <w:r>
        <w:rPr>
          <w:rFonts w:hint="eastAsia" w:ascii="宋体" w:hAnsi="宋体" w:cs="宋体"/>
          <w:b/>
          <w:bCs/>
          <w:sz w:val="32"/>
          <w:highlight w:val="none"/>
        </w:rPr>
        <w:t xml:space="preserve">六、技术参数响应及偏离表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项目名称：</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项目编号：</w:t>
      </w:r>
      <w:r/>
    </w:p>
    <w:p>
      <w:pPr>
        <w:ind w:firstLine="480"/>
        <w:spacing w:line="360" w:lineRule="auto"/>
        <w:rPr>
          <w:rFonts w:ascii="宋体" w:hAnsi="宋体" w:cs="宋体"/>
          <w:b/>
          <w:bCs/>
          <w:sz w:val="32"/>
          <w:szCs w:val="44"/>
          <w:highlight w:val="none"/>
        </w:rPr>
      </w:pPr>
      <w:r>
        <w:rPr>
          <w:rFonts w:hint="eastAsia" w:ascii="宋体" w:hAnsi="宋体" w:cs="宋体"/>
          <w:szCs w:val="21"/>
          <w:highlight w:val="none"/>
        </w:rPr>
        <w:t xml:space="preserve">分包号(如有)： </w:t>
      </w:r>
      <w:r/>
    </w:p>
    <w:tbl>
      <w:tblPr>
        <w:tblStyle w:val="908"/>
        <w:tblW w:w="89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255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招标要求</w:t>
            </w:r>
            <w:r/>
          </w:p>
        </w:tc>
        <w:tc>
          <w:tcPr>
            <w:tcW w:w="270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投标响应</w:t>
            </w:r>
            <w:r/>
          </w:p>
        </w:tc>
        <w:tc>
          <w:tcPr>
            <w:tcW w:w="1458"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超出、符合或偏离</w:t>
            </w:r>
            <w:r/>
          </w:p>
        </w:tc>
        <w:tc>
          <w:tcPr>
            <w:tcW w:w="1210"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证明材料</w:t>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r>
        <w:trPr>
          <w:cantSplit/>
          <w:jc w:val="center"/>
          <w:trHeight w:val="640"/>
        </w:trPr>
        <w:tc>
          <w:tcPr>
            <w:tcW w:w="984"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55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2701"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458"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c>
          <w:tcPr>
            <w:tcW w:w="1210" w:type="dxa"/>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 w:val="24"/>
          <w:szCs w:val="24"/>
          <w:highlight w:val="none"/>
        </w:rPr>
      </w:pPr>
      <w:r>
        <w:rPr>
          <w:rFonts w:ascii="宋体" w:hAnsi="宋体" w:cs="宋体"/>
          <w:sz w:val="24"/>
          <w:szCs w:val="24"/>
          <w:highlight w:val="none"/>
        </w:rPr>
      </w:r>
      <w:r/>
    </w:p>
    <w:p>
      <w:pPr>
        <w:jc w:val="right"/>
        <w:spacing w:line="360" w:lineRule="auto"/>
        <w:rPr>
          <w:rFonts w:ascii="宋体" w:hAnsi="宋体" w:cs="宋体"/>
          <w:bCs/>
          <w:highlight w:val="none"/>
        </w:rPr>
      </w:pPr>
      <w:r>
        <w:rPr>
          <w:rFonts w:hint="eastAsia" w:ascii="宋体" w:hAnsi="宋体" w:cs="宋体"/>
          <w:bCs/>
          <w:highlight w:val="none"/>
        </w:rPr>
        <w:t xml:space="preserve">投标人名称（加盖CA电子公章）：</w:t>
      </w:r>
      <w:r/>
    </w:p>
    <w:p>
      <w:pPr>
        <w:jc w:val="right"/>
        <w:spacing w:line="360" w:lineRule="auto"/>
        <w:rPr>
          <w:rFonts w:ascii="宋体" w:hAnsi="宋体" w:cs="宋体"/>
          <w:bCs/>
          <w:highlight w:val="none"/>
        </w:rPr>
      </w:pPr>
      <w:r>
        <w:rPr>
          <w:rFonts w:hint="eastAsia" w:ascii="宋体" w:hAnsi="宋体" w:cs="宋体"/>
          <w:bCs/>
          <w:highlight w:val="none"/>
        </w:rPr>
        <w:t xml:space="preserve">法定代表人</w:t>
      </w:r>
      <w:r>
        <w:rPr>
          <w:rFonts w:hint="eastAsia" w:ascii="宋体" w:hAnsi="宋体" w:cs="宋体"/>
          <w:bCs/>
          <w:highlight w:val="none"/>
          <w:lang w:eastAsia="zh-CN"/>
        </w:rPr>
        <w:t xml:space="preserve">签字或盖</w:t>
      </w:r>
      <w:r>
        <w:rPr>
          <w:rFonts w:hint="eastAsia" w:ascii="宋体" w:hAnsi="宋体" w:cs="宋体"/>
          <w:bCs/>
          <w:highlight w:val="none"/>
        </w:rPr>
        <w:t xml:space="preserve">章：</w:t>
      </w:r>
      <w:r/>
    </w:p>
    <w:p>
      <w:pPr>
        <w:jc w:val="right"/>
        <w:spacing w:line="360" w:lineRule="auto"/>
        <w:rPr>
          <w:rFonts w:ascii="宋体" w:hAnsi="宋体" w:cs="宋体"/>
          <w:bCs/>
          <w:highlight w:val="none"/>
        </w:rPr>
      </w:pPr>
      <w:r>
        <w:rPr>
          <w:rFonts w:hint="eastAsia" w:ascii="宋体" w:hAnsi="宋体" w:cs="宋体"/>
          <w:bCs/>
          <w:highlight w:val="none"/>
        </w:rPr>
        <w:t xml:space="preserve">日期：  年  月  日</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注：1、按照基本技术要求详细填列。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2.行数不够，可自行添加。</w:t>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b/>
          <w:sz w:val="36"/>
          <w:highlight w:val="none"/>
        </w:rPr>
      </w:pPr>
      <w:r>
        <w:rPr>
          <w:rFonts w:ascii="宋体" w:hAnsi="宋体" w:cs="宋体"/>
          <w:b/>
          <w:sz w:val="36"/>
          <w:highlight w:val="none"/>
        </w:rPr>
      </w:r>
      <w:r/>
    </w:p>
    <w:p>
      <w:pPr>
        <w:jc w:val="center"/>
        <w:spacing w:line="360" w:lineRule="auto"/>
        <w:rPr>
          <w:rFonts w:ascii="宋体" w:hAnsi="宋体" w:cs="宋体"/>
          <w:sz w:val="32"/>
          <w:highlight w:val="none"/>
        </w:rPr>
      </w:pPr>
      <w:r/>
      <w:bookmarkStart w:id="266" w:name="_Hlt26955054"/>
      <w:r/>
      <w:bookmarkEnd w:id="266"/>
      <w:r/>
      <w:bookmarkStart w:id="267" w:name="_Toc16820"/>
      <w:r/>
      <w:bookmarkStart w:id="268" w:name="_Toc32154"/>
      <w:r/>
      <w:r/>
    </w:p>
    <w:p>
      <w:pPr>
        <w:jc w:val="center"/>
        <w:spacing w:line="360" w:lineRule="auto"/>
        <w:rPr>
          <w:rFonts w:hint="eastAsia" w:ascii="宋体" w:hAnsi="宋体" w:cs="宋体"/>
          <w:b/>
          <w:bCs/>
          <w:sz w:val="32"/>
          <w:szCs w:val="44"/>
          <w:highlight w:val="none"/>
        </w:rPr>
      </w:pPr>
      <w:r>
        <w:rPr>
          <w:rFonts w:hint="eastAsia" w:ascii="宋体" w:hAnsi="宋体" w:cs="宋体"/>
          <w:b/>
          <w:bCs/>
          <w:sz w:val="32"/>
          <w:szCs w:val="44"/>
          <w:highlight w:val="none"/>
        </w:rPr>
        <w:t xml:space="preserve">七、商务条款响应及偏离表</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项目名称：</w:t>
      </w:r>
      <w:r/>
    </w:p>
    <w:p>
      <w:pPr>
        <w:ind w:firstLine="480"/>
        <w:spacing w:line="360" w:lineRule="auto"/>
        <w:rPr>
          <w:rFonts w:ascii="宋体" w:hAnsi="宋体" w:cs="宋体"/>
          <w:szCs w:val="21"/>
          <w:highlight w:val="none"/>
        </w:rPr>
      </w:pPr>
      <w:r>
        <w:rPr>
          <w:rFonts w:hint="eastAsia" w:ascii="宋体" w:hAnsi="宋体" w:cs="宋体"/>
          <w:szCs w:val="21"/>
          <w:highlight w:val="none"/>
        </w:rPr>
        <w:t xml:space="preserve">项目编号：</w:t>
      </w:r>
      <w:r/>
    </w:p>
    <w:p>
      <w:pPr>
        <w:ind w:firstLine="480"/>
        <w:jc w:val="left"/>
        <w:spacing w:line="360" w:lineRule="auto"/>
        <w:rPr>
          <w:rFonts w:hint="eastAsia" w:ascii="宋体" w:hAnsi="宋体" w:cs="宋体"/>
          <w:b/>
          <w:bCs/>
          <w:sz w:val="32"/>
          <w:szCs w:val="44"/>
          <w:highlight w:val="none"/>
        </w:rPr>
      </w:pPr>
      <w:r>
        <w:rPr>
          <w:rFonts w:hint="eastAsia" w:ascii="宋体" w:hAnsi="宋体" w:cs="宋体"/>
          <w:szCs w:val="21"/>
          <w:highlight w:val="none"/>
        </w:rPr>
        <w:t xml:space="preserve">分包号(如有)： </w:t>
      </w:r>
      <w:bookmarkEnd w:id="267"/>
      <w:r/>
      <w:bookmarkEnd w:id="268"/>
      <w:r/>
      <w:r/>
    </w:p>
    <w:tbl>
      <w:tblPr>
        <w:tblStyle w:val="908"/>
        <w:tblW w:w="85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jc w:val="cente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bookmarkStart w:id="269" w:name="_Hlt26671372"/>
            <w:r/>
            <w:bookmarkEnd w:id="269"/>
            <w:r/>
            <w:bookmarkStart w:id="270" w:name="_Hlt24879081"/>
            <w:r/>
            <w:bookmarkEnd w:id="270"/>
            <w:r/>
            <w:bookmarkStart w:id="271" w:name="_Hlt26782999"/>
            <w:r/>
            <w:bookmarkEnd w:id="271"/>
            <w:r/>
            <w:bookmarkStart w:id="272" w:name="_Hlt26609391"/>
            <w:r/>
            <w:bookmarkEnd w:id="272"/>
            <w:r/>
            <w:bookmarkStart w:id="273" w:name="_Hlt26671343"/>
            <w:r/>
            <w:bookmarkEnd w:id="273"/>
            <w:r/>
            <w:bookmarkStart w:id="274" w:name="_Hlt26955064"/>
            <w:r/>
            <w:bookmarkEnd w:id="274"/>
            <w:r/>
            <w:bookmarkStart w:id="275" w:name="_Hlt26580838"/>
            <w:r/>
            <w:bookmarkEnd w:id="275"/>
            <w:r/>
            <w:bookmarkStart w:id="276" w:name="_Hlt26955056"/>
            <w:r/>
            <w:bookmarkEnd w:id="276"/>
            <w:r>
              <w:rPr>
                <w:rFonts w:hint="eastAsia" w:ascii="宋体" w:hAnsi="宋体" w:cs="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投标人的承诺或说明</w:t>
            </w:r>
            <w:r/>
          </w:p>
        </w:tc>
      </w:tr>
      <w:tr>
        <w:trPr>
          <w:jc w:val="cente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ind w:left="43"/>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r>
      <w:tr>
        <w:trPr>
          <w:jc w:val="center"/>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before="156" w:line="360" w:lineRule="auto"/>
              <w:rPr>
                <w:rFonts w:ascii="宋体" w:hAnsi="宋体" w:cs="宋体"/>
                <w:szCs w:val="21"/>
                <w:highlight w:val="none"/>
              </w:rPr>
            </w:pPr>
            <w:r>
              <w:rPr>
                <w:rFonts w:hint="eastAsia" w:ascii="宋体" w:hAnsi="宋体" w:cs="宋体"/>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c>
          <w:tcPr>
            <w:tcBorders>
              <w:top w:val="single" w:color="auto" w:sz="4" w:space="0"/>
              <w:left w:val="single" w:color="auto" w:sz="4" w:space="0"/>
              <w:bottom w:val="single" w:color="auto" w:sz="4" w:space="0"/>
              <w:right w:val="single" w:color="auto" w:sz="4" w:space="0"/>
            </w:tcBorders>
            <w:tcW w:w="2563" w:type="dxa"/>
            <w:textDirection w:val="lrTb"/>
            <w:noWrap w:val="false"/>
          </w:tcPr>
          <w:p>
            <w:pPr>
              <w:jc w:val="center"/>
              <w:spacing w:before="156" w:line="360" w:lineRule="auto"/>
              <w:rPr>
                <w:rFonts w:ascii="宋体" w:hAnsi="宋体" w:cs="宋体"/>
                <w:szCs w:val="21"/>
                <w:highlight w:val="none"/>
              </w:rPr>
            </w:pPr>
            <w:r>
              <w:rPr>
                <w:rFonts w:ascii="宋体" w:hAnsi="宋体" w:cs="宋体"/>
                <w:szCs w:val="21"/>
                <w:highlight w:val="none"/>
              </w:rPr>
            </w:r>
            <w:r/>
          </w:p>
        </w:tc>
      </w:tr>
    </w:tbl>
    <w:p>
      <w:pPr>
        <w:spacing w:line="360" w:lineRule="auto"/>
        <w:rPr>
          <w:rFonts w:ascii="宋体" w:hAnsi="宋体" w:cs="宋体"/>
          <w:sz w:val="24"/>
          <w:highlight w:val="none"/>
        </w:rPr>
      </w:pPr>
      <w:r>
        <w:rPr>
          <w:rFonts w:ascii="宋体" w:hAnsi="宋体" w:cs="宋体"/>
          <w:sz w:val="24"/>
          <w:highlight w:val="none"/>
        </w:rPr>
      </w:r>
      <w:r/>
    </w:p>
    <w:p>
      <w:pPr>
        <w:jc w:val="right"/>
        <w:spacing w:line="360" w:lineRule="auto"/>
        <w:rPr>
          <w:rFonts w:ascii="宋体" w:hAnsi="宋体" w:cs="宋体"/>
          <w:bCs/>
          <w:highlight w:val="none"/>
        </w:rPr>
      </w:pPr>
      <w:r>
        <w:rPr>
          <w:rFonts w:hint="eastAsia" w:ascii="宋体" w:hAnsi="宋体" w:cs="宋体"/>
          <w:bCs/>
          <w:highlight w:val="none"/>
        </w:rPr>
        <w:t xml:space="preserve">投标人名称（加盖CA电子公章）：</w:t>
      </w:r>
      <w:r/>
    </w:p>
    <w:p>
      <w:pPr>
        <w:jc w:val="right"/>
        <w:spacing w:line="360" w:lineRule="auto"/>
        <w:rPr>
          <w:rFonts w:ascii="宋体" w:hAnsi="宋体" w:cs="宋体"/>
          <w:bCs/>
          <w:highlight w:val="none"/>
        </w:rPr>
      </w:pPr>
      <w:r>
        <w:rPr>
          <w:rFonts w:hint="eastAsia" w:ascii="宋体" w:hAnsi="宋体" w:cs="宋体"/>
          <w:bCs/>
          <w:highlight w:val="none"/>
        </w:rPr>
        <w:t xml:space="preserve">法定代表人</w:t>
      </w:r>
      <w:r>
        <w:rPr>
          <w:rFonts w:hint="eastAsia" w:ascii="宋体" w:hAnsi="宋体" w:cs="宋体"/>
          <w:bCs/>
          <w:highlight w:val="none"/>
          <w:lang w:eastAsia="zh-CN"/>
        </w:rPr>
        <w:t xml:space="preserve">签字或盖</w:t>
      </w:r>
      <w:r>
        <w:rPr>
          <w:rFonts w:hint="eastAsia" w:ascii="宋体" w:hAnsi="宋体" w:cs="宋体"/>
          <w:bCs/>
          <w:highlight w:val="none"/>
        </w:rPr>
        <w:t xml:space="preserve">章：</w:t>
      </w:r>
      <w:r/>
    </w:p>
    <w:p>
      <w:pPr>
        <w:jc w:val="right"/>
        <w:spacing w:line="360" w:lineRule="auto"/>
        <w:rPr>
          <w:rFonts w:ascii="宋体" w:hAnsi="宋体" w:cs="宋体"/>
          <w:bCs/>
          <w:highlight w:val="none"/>
        </w:rPr>
      </w:pPr>
      <w:r>
        <w:rPr>
          <w:rFonts w:hint="eastAsia" w:ascii="宋体" w:hAnsi="宋体" w:cs="宋体"/>
          <w:bCs/>
          <w:highlight w:val="none"/>
        </w:rPr>
        <w:t xml:space="preserve">日期：  年  月  日</w:t>
      </w:r>
      <w:r/>
    </w:p>
    <w:p>
      <w:pPr>
        <w:spacing w:line="360" w:lineRule="auto"/>
        <w:rPr>
          <w:rFonts w:ascii="宋体" w:hAnsi="宋体" w:cs="宋体"/>
          <w:sz w:val="30"/>
          <w:highlight w:val="none"/>
        </w:rPr>
      </w:pPr>
      <w:r>
        <w:rPr>
          <w:rFonts w:ascii="宋体" w:hAnsi="宋体" w:cs="宋体"/>
          <w:sz w:val="30"/>
          <w:highlight w:val="none"/>
        </w:rPr>
      </w:r>
      <w:r/>
    </w:p>
    <w:p>
      <w:pPr>
        <w:spacing w:line="360" w:lineRule="auto"/>
        <w:rPr>
          <w:rFonts w:ascii="宋体" w:hAnsi="宋体" w:cs="宋体"/>
          <w:sz w:val="24"/>
          <w:szCs w:val="24"/>
          <w:highlight w:val="none"/>
        </w:rPr>
      </w:pPr>
      <w:r/>
      <w:bookmarkStart w:id="277" w:name="_Hlt26609389"/>
      <w:r/>
      <w:bookmarkEnd w:id="277"/>
      <w:r/>
      <w:bookmarkStart w:id="278" w:name="_Hlt26955066"/>
      <w:r/>
      <w:bookmarkEnd w:id="278"/>
      <w:r/>
      <w:bookmarkStart w:id="279" w:name="_Hlt26671374"/>
      <w:r/>
      <w:bookmarkEnd w:id="279"/>
      <w:r/>
      <w:bookmarkStart w:id="280" w:name="_Toc462564146"/>
      <w:r>
        <w:rPr>
          <w:rFonts w:hint="eastAsia" w:ascii="宋体" w:hAnsi="宋体" w:cs="宋体"/>
          <w:sz w:val="24"/>
          <w:szCs w:val="24"/>
          <w:highlight w:val="none"/>
        </w:rPr>
        <w:t xml:space="preserve">注：1、按照基本要求详细填列。</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2.行数不够，可自行添加。</w:t>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jc w:val="center"/>
        <w:spacing w:line="360" w:lineRule="auto"/>
        <w:rPr>
          <w:rFonts w:hint="eastAsia" w:ascii="宋体" w:hAnsi="宋体" w:cs="宋体"/>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sz w:val="24"/>
          <w:highlight w:val="none"/>
        </w:rPr>
        <w:br w:type="page" w:clear="all"/>
      </w:r>
      <w:r/>
    </w:p>
    <w:p>
      <w:pPr>
        <w:ind w:right="-2"/>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right="-2"/>
        <w:jc w:val="center"/>
        <w:pageBreakBefore w:val="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拟投入人员一览表</w:t>
      </w:r>
      <w:r/>
    </w:p>
    <w:p>
      <w:pP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pageBreakBefore w:val="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项目名称：</w:t>
      </w:r>
      <w:r/>
    </w:p>
    <w:p>
      <w:pPr>
        <w:ind w:firstLine="0"/>
        <w:spacing w:line="360" w:lineRule="auto"/>
      </w:pPr>
      <w:r>
        <w:rPr>
          <w:rFonts w:hint="eastAsia" w:ascii="宋体" w:hAnsi="宋体" w:cs="宋体"/>
          <w:szCs w:val="21"/>
          <w:highlight w:val="none"/>
        </w:rPr>
        <w:t xml:space="preserve">项目编号：</w:t>
      </w:r>
      <w:r>
        <w:rPr>
          <w:rFonts w:ascii="宋体" w:hAnsi="宋体" w:cs="宋体"/>
          <w:szCs w:val="21"/>
          <w:highlight w:val="none"/>
        </w:rPr>
      </w:r>
      <w:r/>
    </w:p>
    <w:p>
      <w:pPr>
        <w:pageBreakBefore w:val="0"/>
        <w:spacing w:line="360" w:lineRule="auto"/>
        <w:rPr>
          <w:rFonts w:hint="eastAsia" w:ascii="宋体" w:hAnsi="宋体" w:cs="宋体"/>
          <w:b/>
          <w:bCs/>
          <w:color w:val="auto"/>
          <w:highlight w:val="none"/>
        </w:rPr>
      </w:pPr>
      <w:r>
        <w:rPr>
          <w:rFonts w:hint="eastAsia" w:ascii="宋体" w:hAnsi="宋体" w:cs="宋体"/>
          <w:szCs w:val="21"/>
          <w:highlight w:val="none"/>
        </w:rPr>
        <w:t xml:space="preserve">分包号(如有)：</w:t>
      </w:r>
      <w:r>
        <w:rPr>
          <w:rFonts w:hint="eastAsia" w:ascii="宋体" w:hAnsi="宋体" w:cs="宋体"/>
          <w:color w:val="auto"/>
          <w:szCs w:val="21"/>
          <w:highlight w:val="none"/>
        </w:rPr>
      </w:r>
      <w:r/>
    </w:p>
    <w:tbl>
      <w:tblPr>
        <w:tblStyle w:val="908"/>
        <w:tblW w:w="8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721"/>
        <w:gridCol w:w="770"/>
        <w:gridCol w:w="829"/>
        <w:gridCol w:w="711"/>
        <w:gridCol w:w="1110"/>
        <w:gridCol w:w="1769"/>
        <w:gridCol w:w="1459"/>
      </w:tblGrid>
      <w:tr>
        <w:trPr>
          <w:jc w:val="center"/>
          <w:trHeight w:val="864"/>
        </w:trPr>
        <w:tc>
          <w:tcPr>
            <w:tcW w:w="747"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21"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70"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29"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11"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110"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1769"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1459" w:type="dxa"/>
            <w:vAlign w:val="center"/>
            <w:textDirection w:val="lrTb"/>
            <w:noWrap w:val="false"/>
          </w:tcPr>
          <w:p>
            <w:pPr>
              <w:ind w:right="-2"/>
              <w:jc w:val="center"/>
              <w:pageBreakBefore w:val="0"/>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类似经验</w:t>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32"/>
        </w:trPr>
        <w:tc>
          <w:tcPr>
            <w:tcW w:w="747"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3"/>
        </w:trPr>
        <w:tc>
          <w:tcPr>
            <w:tcW w:w="747" w:type="dxa"/>
            <w:vAlign w:val="center"/>
            <w:textDirection w:val="lrTb"/>
            <w:noWrap w:val="false"/>
          </w:tcPr>
          <w:p>
            <w:pPr>
              <w:ind w:right="-2"/>
              <w:jc w:val="center"/>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W w:w="72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7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2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11"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10"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6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59" w:type="dxa"/>
            <w:vAlign w:val="center"/>
            <w:textDirection w:val="lrTb"/>
            <w:noWrap w:val="false"/>
          </w:tcPr>
          <w:p>
            <w:pPr>
              <w:ind w:right="-2"/>
              <w:jc w:val="center"/>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ageBreakBefore w:val="0"/>
        <w:spacing w:line="360" w:lineRule="auto"/>
        <w:rPr>
          <w:rFonts w:hint="eastAsia" w:ascii="宋体" w:hAnsi="宋体" w:cs="宋体"/>
          <w:color w:val="auto"/>
          <w:highlight w:val="none"/>
        </w:rPr>
      </w:pPr>
      <w:r>
        <w:rPr>
          <w:rFonts w:hint="eastAsia" w:ascii="宋体" w:hAnsi="宋体" w:cs="宋体"/>
          <w:color w:val="auto"/>
          <w:highlight w:val="none"/>
        </w:rPr>
      </w:r>
      <w:r/>
    </w:p>
    <w:p>
      <w:pPr>
        <w:jc w:val="right"/>
        <w:spacing w:line="360" w:lineRule="auto"/>
        <w:rPr>
          <w:rFonts w:ascii="宋体" w:hAnsi="宋体" w:cs="宋体"/>
          <w:bCs/>
          <w:highlight w:val="none"/>
        </w:rPr>
      </w:pPr>
      <w:r>
        <w:rPr>
          <w:rFonts w:hint="eastAsia" w:ascii="宋体" w:hAnsi="宋体" w:cs="宋体"/>
          <w:bCs/>
          <w:highlight w:val="none"/>
        </w:rPr>
        <w:t xml:space="preserve">投标人名称（加盖CA电子公章）：</w:t>
      </w:r>
      <w:r/>
    </w:p>
    <w:p>
      <w:pPr>
        <w:jc w:val="right"/>
        <w:spacing w:line="360" w:lineRule="auto"/>
        <w:rPr>
          <w:rFonts w:ascii="宋体" w:hAnsi="宋体" w:cs="宋体"/>
          <w:bCs/>
          <w:highlight w:val="none"/>
        </w:rPr>
      </w:pPr>
      <w:r>
        <w:rPr>
          <w:rFonts w:hint="eastAsia" w:ascii="宋体" w:hAnsi="宋体" w:cs="宋体"/>
          <w:bCs/>
          <w:highlight w:val="none"/>
        </w:rPr>
        <w:t xml:space="preserve">法定代表人</w:t>
      </w:r>
      <w:r>
        <w:rPr>
          <w:rFonts w:hint="eastAsia" w:ascii="宋体" w:hAnsi="宋体" w:cs="宋体"/>
          <w:bCs/>
          <w:highlight w:val="none"/>
          <w:lang w:eastAsia="zh-CN"/>
        </w:rPr>
        <w:t xml:space="preserve">签字或盖</w:t>
      </w:r>
      <w:r>
        <w:rPr>
          <w:rFonts w:hint="eastAsia" w:ascii="宋体" w:hAnsi="宋体" w:cs="宋体"/>
          <w:bCs/>
          <w:highlight w:val="none"/>
        </w:rPr>
        <w:t xml:space="preserve">章：</w:t>
      </w:r>
      <w:r/>
    </w:p>
    <w:p>
      <w:pPr>
        <w:jc w:val="right"/>
        <w:spacing w:line="360" w:lineRule="auto"/>
        <w:rPr>
          <w:rFonts w:ascii="宋体" w:hAnsi="宋体" w:cs="宋体"/>
          <w:bCs/>
          <w:highlight w:val="none"/>
        </w:rPr>
      </w:pPr>
      <w:r>
        <w:rPr>
          <w:rFonts w:hint="eastAsia" w:ascii="宋体" w:hAnsi="宋体" w:cs="宋体"/>
          <w:bCs/>
          <w:highlight w:val="none"/>
        </w:rPr>
        <w:t xml:space="preserve">日期：  年  月  日</w:t>
      </w:r>
      <w:r/>
    </w:p>
    <w:p>
      <w:pPr>
        <w:jc w:val="center"/>
        <w:spacing w:line="360" w:lineRule="auto"/>
        <w:rPr>
          <w:rFonts w:hint="eastAsia" w:ascii="宋体" w:hAnsi="宋体" w:cs="宋体"/>
          <w:b/>
          <w:bCs/>
          <w:sz w:val="32"/>
          <w:szCs w:val="44"/>
          <w:highlight w:val="none"/>
        </w:rPr>
      </w:pPr>
      <w:r>
        <w:rPr>
          <w:rFonts w:hint="eastAsia" w:ascii="宋体" w:hAnsi="宋体" w:cs="宋体"/>
          <w:b/>
          <w:bCs/>
          <w:sz w:val="32"/>
          <w:szCs w:val="44"/>
          <w:highlight w:val="none"/>
        </w:rPr>
      </w:r>
      <w:r/>
    </w:p>
    <w:p>
      <w:pPr>
        <w:spacing w:line="360" w:lineRule="auto"/>
        <w:rPr>
          <w:rFonts w:ascii="宋体" w:hAnsi="宋体" w:cs="宋体"/>
          <w:sz w:val="30"/>
          <w:highlight w:val="none"/>
        </w:rPr>
      </w:pPr>
      <w:r>
        <w:rPr>
          <w:rFonts w:ascii="宋体" w:hAnsi="宋体" w:cs="宋体"/>
          <w:sz w:val="30"/>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.行数不够，可自行添加。</w:t>
      </w:r>
      <w:r/>
    </w:p>
    <w:p>
      <w:pPr>
        <w:jc w:val="center"/>
        <w:spacing w:line="360" w:lineRule="auto"/>
        <w:rPr>
          <w:rFonts w:hint="eastAsia" w:ascii="宋体" w:hAnsi="宋体" w:cs="宋体"/>
          <w:b/>
          <w:bCs/>
          <w:sz w:val="32"/>
          <w:szCs w:val="4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
          <w:bCs/>
          <w:sz w:val="32"/>
          <w:szCs w:val="44"/>
          <w:highlight w:val="none"/>
        </w:rPr>
      </w:r>
      <w:r/>
    </w:p>
    <w:p>
      <w:pPr>
        <w:jc w:val="center"/>
        <w:spacing w:line="360" w:lineRule="auto"/>
        <w:rPr>
          <w:rFonts w:ascii="宋体" w:hAnsi="宋体" w:cs="宋体"/>
          <w:b/>
          <w:highlight w:val="none"/>
        </w:rPr>
      </w:pPr>
      <w:r>
        <w:rPr>
          <w:rFonts w:hint="eastAsia" w:ascii="宋体" w:hAnsi="宋体" w:cs="宋体"/>
          <w:b/>
          <w:bCs/>
          <w:sz w:val="32"/>
          <w:szCs w:val="44"/>
          <w:highlight w:val="none"/>
        </w:rPr>
        <w:t xml:space="preserve">主要标</w:t>
      </w:r>
      <w:bookmarkStart w:id="282" w:name="_GoBack"/>
      <w:r/>
      <w:bookmarkEnd w:id="282"/>
      <w:r>
        <w:rPr>
          <w:rFonts w:hint="eastAsia" w:ascii="宋体" w:hAnsi="宋体" w:cs="宋体"/>
          <w:b/>
          <w:bCs/>
          <w:sz w:val="32"/>
          <w:szCs w:val="44"/>
          <w:highlight w:val="none"/>
        </w:rPr>
        <w:t xml:space="preserve">的信息（中标后将公示）</w:t>
      </w:r>
      <w:r/>
    </w:p>
    <w:p>
      <w:pPr>
        <w:ind w:firstLine="1050"/>
        <w:spacing w:after="312" w:line="360" w:lineRule="auto"/>
        <w:rPr>
          <w:rFonts w:hint="eastAsia" w:ascii="宋体" w:hAnsi="宋体" w:eastAsia="宋体" w:cs="宋体"/>
          <w:highlight w:val="none"/>
          <w:lang w:eastAsia="zh-CN"/>
        </w:rPr>
      </w:pPr>
      <w:r>
        <w:rPr>
          <w:rFonts w:hint="eastAsia" w:ascii="宋体" w:hAnsi="宋体" w:cs="宋体"/>
          <w:bCs/>
          <w:highlight w:val="none"/>
        </w:rPr>
        <w:t xml:space="preserve">投标人名称（加盖CA电子公章）</w:t>
      </w:r>
      <w:r>
        <w:rPr>
          <w:rFonts w:hint="eastAsia" w:ascii="宋体" w:hAnsi="宋体" w:cs="宋体"/>
          <w:bCs/>
          <w:highlight w:val="none"/>
          <w:lang w:eastAsia="zh-CN"/>
        </w:rPr>
        <w:t xml:space="preserve">：</w:t>
      </w:r>
      <w:r/>
    </w:p>
    <w:tbl>
      <w:tblPr>
        <w:tblStyle w:val="908"/>
        <w:tblW w:w="5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0"/>
      </w:tblGrid>
      <w:tr>
        <w:trPr>
          <w:jc w:val="center"/>
          <w:trHeight w:val="457"/>
        </w:trPr>
        <w:tc>
          <w:tcPr>
            <w:tcW w:w="5320" w:type="dxa"/>
            <w:textDirection w:val="lrTb"/>
            <w:noWrap w:val="false"/>
          </w:tcPr>
          <w:p>
            <w:pPr>
              <w:jc w:val="center"/>
              <w:spacing w:line="360" w:lineRule="auto"/>
              <w:rPr>
                <w:rFonts w:ascii="宋体" w:hAnsi="宋体" w:cs="宋体"/>
                <w:highlight w:val="none"/>
              </w:rPr>
            </w:pPr>
            <w:r>
              <w:rPr>
                <w:rFonts w:hint="eastAsia" w:ascii="宋体" w:hAnsi="宋体" w:cs="宋体"/>
                <w:highlight w:val="none"/>
              </w:rPr>
              <w:t xml:space="preserve">服务类</w:t>
            </w:r>
            <w:r/>
          </w:p>
        </w:tc>
      </w:tr>
      <w:tr>
        <w:trPr>
          <w:jc w:val="center"/>
          <w:trHeight w:val="4123"/>
        </w:trPr>
        <w:tc>
          <w:tcPr>
            <w:tcW w:w="5320" w:type="dxa"/>
            <w:textDirection w:val="lrTb"/>
            <w:noWrap w:val="false"/>
          </w:tcPr>
          <w:p>
            <w:pPr>
              <w:spacing w:line="360" w:lineRule="auto"/>
              <w:rPr>
                <w:rFonts w:ascii="宋体" w:hAnsi="宋体" w:cs="宋体"/>
                <w:highlight w:val="none"/>
              </w:rPr>
            </w:pPr>
            <w:r>
              <w:rPr>
                <w:rFonts w:hint="eastAsia" w:ascii="宋体" w:hAnsi="宋体" w:cs="宋体"/>
                <w:highlight w:val="none"/>
              </w:rPr>
              <w:t xml:space="preserve">名称：</w:t>
            </w:r>
            <w:r/>
          </w:p>
          <w:p>
            <w:pPr>
              <w:spacing w:line="360" w:lineRule="auto"/>
              <w:rPr>
                <w:rFonts w:ascii="宋体" w:hAnsi="宋体" w:cs="宋体"/>
                <w:highlight w:val="none"/>
              </w:rPr>
            </w:pPr>
            <w:r>
              <w:rPr>
                <w:rFonts w:hint="eastAsia" w:ascii="宋体" w:hAnsi="宋体" w:cs="宋体"/>
                <w:highlight w:val="none"/>
              </w:rPr>
              <w:t xml:space="preserve">服务范围：</w:t>
            </w:r>
            <w:r/>
          </w:p>
          <w:p>
            <w:pPr>
              <w:spacing w:line="360" w:lineRule="auto"/>
              <w:rPr>
                <w:rFonts w:ascii="宋体" w:hAnsi="宋体" w:cs="宋体"/>
                <w:highlight w:val="none"/>
                <w:u w:val="single"/>
              </w:rPr>
            </w:pPr>
            <w:r>
              <w:rPr>
                <w:rFonts w:hint="eastAsia" w:ascii="宋体" w:hAnsi="宋体" w:cs="宋体"/>
                <w:highlight w:val="none"/>
              </w:rPr>
              <w:t xml:space="preserve">服务要求：</w:t>
            </w:r>
            <w:r/>
          </w:p>
          <w:p>
            <w:pPr>
              <w:spacing w:line="360" w:lineRule="auto"/>
              <w:rPr>
                <w:rFonts w:ascii="宋体" w:hAnsi="宋体" w:cs="宋体"/>
                <w:highlight w:val="none"/>
                <w:u w:val="single"/>
              </w:rPr>
            </w:pPr>
            <w:r>
              <w:rPr>
                <w:rFonts w:hint="eastAsia" w:ascii="宋体" w:hAnsi="宋体" w:cs="宋体"/>
                <w:highlight w:val="none"/>
              </w:rPr>
              <w:t xml:space="preserve">服务时间：</w:t>
            </w:r>
            <w:r/>
          </w:p>
          <w:p>
            <w:pPr>
              <w:spacing w:line="360" w:lineRule="auto"/>
              <w:rPr>
                <w:rFonts w:ascii="宋体" w:hAnsi="宋体" w:cs="宋体"/>
                <w:highlight w:val="none"/>
              </w:rPr>
            </w:pPr>
            <w:r>
              <w:rPr>
                <w:rFonts w:hint="eastAsia" w:ascii="宋体" w:hAnsi="宋体" w:cs="宋体"/>
                <w:highlight w:val="none"/>
              </w:rPr>
              <w:t xml:space="preserve">服务标准：</w:t>
            </w:r>
            <w:r/>
          </w:p>
        </w:tc>
      </w:tr>
    </w:tbl>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r/>
    </w:p>
    <w:p>
      <w:pPr>
        <w:pStyle w:val="1119"/>
        <w:ind w:firstLine="480"/>
        <w:spacing w:line="360" w:lineRule="auto"/>
        <w:rPr>
          <w:rFonts w:ascii="宋体" w:hAnsi="宋体" w:cs="宋体"/>
          <w:sz w:val="24"/>
          <w:highlight w:val="none"/>
        </w:rPr>
      </w:pPr>
      <w:r>
        <w:rPr>
          <w:rFonts w:ascii="宋体" w:hAnsi="宋体" w:cs="宋体"/>
          <w:sz w:val="24"/>
          <w:highlight w:val="none"/>
        </w:rPr>
      </w:r>
      <w:bookmarkEnd w:id="280"/>
      <w:r/>
      <w:r/>
    </w:p>
    <w:p>
      <w:pPr>
        <w:jc w:val="left"/>
        <w:spacing w:line="360" w:lineRule="auto"/>
        <w:widowControl/>
        <w:rPr>
          <w:rFonts w:ascii="宋体" w:hAnsi="宋体" w:cs="宋体"/>
          <w:sz w:val="24"/>
          <w:szCs w:val="24"/>
          <w:highlight w:val="none"/>
        </w:rPr>
      </w:pPr>
      <w:r/>
      <w:bookmarkStart w:id="281" w:name="_格式2__法定代表人授权书"/>
      <w:r/>
      <w:bookmarkEnd w:id="281"/>
      <w:r/>
      <w:r/>
    </w:p>
    <w:p>
      <w:pPr>
        <w:spacing w:line="360" w:lineRule="auto"/>
        <w:rPr>
          <w:rFonts w:ascii="宋体" w:hAnsi="宋体" w:cs="宋体"/>
          <w:b/>
          <w:highlight w:val="none"/>
        </w:rPr>
      </w:pPr>
      <w:r>
        <w:rPr>
          <w:rFonts w:ascii="宋体" w:hAnsi="宋体" w:cs="宋体"/>
          <w:b/>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egoe UI Symbol">
    <w:panose1 w:val="020B0502040204020203"/>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仿宋">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3033395</wp:posOffset>
              </wp:positionH>
              <wp:positionV relativeFrom="paragraph">
                <wp:posOffset>0</wp:posOffset>
              </wp:positionV>
              <wp:extent cx="19812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9812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28"/>
                            <w:jc w:val="center"/>
                          </w:pPr>
                          <w:r>
                            <w:fldChar w:fldCharType="begin"/>
                          </w:r>
                          <w:r>
                            <w:instrText xml:space="preserve">PAGE   \* MERGEFORMAT</w:instrText>
                          </w:r>
                          <w:r>
                            <w:fldChar w:fldCharType="separate"/>
                          </w:r>
                          <w:r>
                            <w:rPr>
                              <w:lang w:val="zh-CN"/>
                            </w:rPr>
                            <w:t xml:space="preserve">50</w:t>
                          </w:r>
                          <w:r>
                            <w:fldChar w:fldCharType="end"/>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argin-left:238.8pt;mso-position-horizontal:absolute;mso-position-vertical-relative:text;margin-top:0.0pt;mso-position-vertical:absolute;width:15.6pt;height:144.0pt;mso-wrap-distance-left:9.0pt;mso-wrap-distance-top:0.0pt;mso-wrap-distance-right:9.0pt;mso-wrap-distance-bottom:0.0pt;v-text-anchor:top;visibility:visible;" filled="f" stroked="f" strokeweight="0.50pt">
              <v:textbox inset="0,0,0,0">
                <w:txbxContent>
                  <w:p>
                    <w:pPr>
                      <w:pStyle w:val="1128"/>
                      <w:jc w:val="center"/>
                    </w:pPr>
                    <w:r>
                      <w:fldChar w:fldCharType="begin"/>
                    </w:r>
                    <w:r>
                      <w:instrText xml:space="preserve">PAGE   \* MERGEFORMAT</w:instrText>
                    </w:r>
                    <w:r>
                      <w:fldChar w:fldCharType="separate"/>
                    </w:r>
                    <w:r>
                      <w:rPr>
                        <w:lang w:val="zh-CN"/>
                      </w:rPr>
                      <w:t xml:space="preserve">50</w:t>
                    </w:r>
                    <w:r>
                      <w:fldChar w:fldCharType="end"/>
                    </w:r>
                    <w:r/>
                  </w:p>
                </w:txbxContent>
              </v:textbox>
            </v:shape>
          </w:pict>
        </mc:Fallback>
      </mc:AlternateContent>
    </w:r>
    <w:r/>
  </w:p>
  <w:p>
    <w:pPr>
      <w:pStyle w:val="11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
      <w:spacing w:line="179" w:lineRule="auto"/>
      <w:rPr>
        <w:rFonts w:ascii="Times New Roman" w:hAnsi="Times New Roman" w:eastAsia="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
      <w:spacing w:line="179" w:lineRule="auto"/>
      <w:rPr>
        <w:rFonts w:ascii="Times New Roman" w:hAnsi="Times New Roman" w:eastAsia="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779"/>
      <w:spacing w:line="179" w:lineRule="auto"/>
      <w:rPr>
        <w:rFonts w:ascii="Times New Roman" w:hAnsi="Times New Roman" w:eastAsia="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779"/>
      <w:spacing w:line="179" w:lineRule="auto"/>
      <w:rPr>
        <w:rFonts w:ascii="Times New Roman" w:hAnsi="Times New Roman" w:eastAsia="Times New Roman"/>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3023870</wp:posOffset>
              </wp:positionH>
              <wp:positionV relativeFrom="paragraph">
                <wp:posOffset>-27940</wp:posOffset>
              </wp:positionV>
              <wp:extent cx="178435" cy="19685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78435" cy="1968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3360;o:allowoverlap:true;o:allowincell:true;mso-position-horizontal-relative:margin;margin-left:238.1pt;mso-position-horizontal:absolute;mso-position-vertical-relative:text;margin-top:-2.2pt;mso-position-vertical:absolute;width:14.0pt;height:15.5pt;mso-wrap-distance-left:9.0pt;mso-wrap-distance-top:0.0pt;mso-wrap-distance-right:9.0pt;mso-wrap-distance-bottom:0.0pt;v-text-anchor:top;visibility:visible;" filled="f" stroked="f" strokeweight="0.50pt">
              <v:textbox inset="0,0,0,0">
                <w:txbxContent>
                  <w:p>
                    <w:pPr>
                      <w:pStyle w:val="924"/>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left"/>
      <w:pBdr>
        <w:bottom w:val="single" w:color="000000" w:sz="4" w:space="1"/>
      </w:pBdr>
    </w:pPr>
    <w:r>
      <w:rPr>
        <w:rFonts w:hint="eastAsia"/>
        <w:lang w:eastAsia="zh-CN"/>
      </w:rPr>
      <w:t xml:space="preserve">JSZC-321000-HYZC-G2026-0001</w:t>
    </w:r>
    <w:r>
      <w:rPr>
        <w:rFonts w:hint="eastAsia"/>
      </w:rPr>
      <w:t xml:space="preserve">号                              </w:t>
    </w:r>
    <w:r>
      <w:rPr>
        <w:rFonts w:hint="eastAsia"/>
      </w:rPr>
      <mc:AlternateContent>
        <mc:Choice Requires="wpg">
          <w:drawing>
            <wp:inline xmlns:wp="http://schemas.openxmlformats.org/drawingml/2006/wordprocessingDrawing" distT="0" distB="0" distL="0" distR="0">
              <wp:extent cx="2211705" cy="264160"/>
              <wp:effectExtent l="0" t="0" r="17145" b="2540"/>
              <wp:docPr id="1" name="图片 1" descr="3756bf929876001fe29c35fa44a8c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3756bf929876001fe29c35fa44a8c3a"/>
                      <pic:cNvPicPr>
                        <a:picLocks noChangeAspect="1"/>
                      </pic:cNvPicPr>
                      <pic:nvPr/>
                    </pic:nvPicPr>
                    <pic:blipFill>
                      <a:blip r:embed="rId1"/>
                      <a:stretch/>
                    </pic:blipFill>
                    <pic:spPr bwMode="auto">
                      <a:xfrm>
                        <a:off x="0" y="0"/>
                        <a:ext cx="2211705" cy="264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4.2pt;height:20.8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52"/>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7">
    <w:name w:val="Plain Table 1"/>
    <w:basedOn w:val="9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8">
    <w:name w:val="Plain Table 2"/>
    <w:basedOn w:val="9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9">
    <w:name w:val="Plain Table 3"/>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0">
    <w:name w:val="Plain Table 4"/>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1">
    <w:name w:val="Plain Table 5"/>
    <w:basedOn w:val="9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2">
    <w:name w:val="Grid Table 1 Light"/>
    <w:basedOn w:val="9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3">
    <w:name w:val="Grid Table 2"/>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4">
    <w:name w:val="Grid Table 3"/>
    <w:basedOn w:val="9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4"/>
    <w:basedOn w:val="9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name w:val="Grid Table 5 Dark"/>
    <w:basedOn w:val="9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7">
    <w:name w:val="Grid Table 6 Colorful"/>
    <w:basedOn w:val="9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8">
    <w:name w:val="Grid Table 7 Colorful"/>
    <w:basedOn w:val="9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9">
    <w:name w:val="List Table 1 Light"/>
    <w:basedOn w:val="9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name w:val="List Table 2"/>
    <w:basedOn w:val="9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3"/>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w:basedOn w:val="9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5 Dark"/>
    <w:basedOn w:val="9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6 Colorful"/>
    <w:basedOn w:val="9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5">
    <w:name w:val="List Table 7 Colorful"/>
    <w:basedOn w:val="9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96">
    <w:name w:val="TOC Heading"/>
    <w:uiPriority w:val="39"/>
    <w:unhideWhenUsed/>
  </w:style>
  <w:style w:type="paragraph" w:styleId="897"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98">
    <w:name w:val="Heading 1"/>
    <w:basedOn w:val="897"/>
    <w:next w:val="897"/>
    <w:link w:val="984"/>
    <w:uiPriority w:val="9"/>
    <w:qFormat/>
    <w:pPr>
      <w:jc w:val="center"/>
      <w:keepLines/>
      <w:keepNext/>
      <w:spacing w:line="360" w:lineRule="auto"/>
      <w:outlineLvl w:val="0"/>
    </w:pPr>
    <w:rPr>
      <w:rFonts w:ascii="Arial" w:hAnsi="Arial" w:cs="Arial"/>
      <w:b/>
      <w:sz w:val="30"/>
      <w:szCs w:val="40"/>
    </w:rPr>
  </w:style>
  <w:style w:type="paragraph" w:styleId="899">
    <w:name w:val="Heading 2"/>
    <w:basedOn w:val="898"/>
    <w:next w:val="897"/>
    <w:link w:val="985"/>
    <w:uiPriority w:val="9"/>
    <w:unhideWhenUsed/>
    <w:qFormat/>
    <w:pPr>
      <w:spacing w:before="360" w:after="200"/>
      <w:outlineLvl w:val="1"/>
    </w:pPr>
    <w:rPr>
      <w:rFonts w:eastAsia="Arial"/>
      <w:sz w:val="34"/>
    </w:rPr>
  </w:style>
  <w:style w:type="paragraph" w:styleId="900">
    <w:name w:val="Heading 3"/>
    <w:basedOn w:val="899"/>
    <w:next w:val="897"/>
    <w:link w:val="986"/>
    <w:uiPriority w:val="9"/>
    <w:unhideWhenUsed/>
    <w:qFormat/>
    <w:pPr>
      <w:spacing w:before="320"/>
      <w:outlineLvl w:val="2"/>
    </w:pPr>
    <w:rPr>
      <w:sz w:val="30"/>
      <w:szCs w:val="30"/>
    </w:rPr>
  </w:style>
  <w:style w:type="paragraph" w:styleId="901">
    <w:name w:val="Heading 4"/>
    <w:basedOn w:val="897"/>
    <w:next w:val="897"/>
    <w:link w:val="944"/>
    <w:uiPriority w:val="9"/>
    <w:unhideWhenUsed/>
    <w:qFormat/>
    <w:pPr>
      <w:keepLines/>
      <w:keepNext/>
      <w:spacing w:before="320" w:after="200"/>
      <w:outlineLvl w:val="3"/>
    </w:pPr>
    <w:rPr>
      <w:rFonts w:ascii="Arial" w:hAnsi="Arial" w:eastAsia="Arial" w:cs="Arial"/>
      <w:b/>
      <w:bCs/>
      <w:sz w:val="26"/>
      <w:szCs w:val="26"/>
    </w:rPr>
  </w:style>
  <w:style w:type="paragraph" w:styleId="902">
    <w:name w:val="Heading 5"/>
    <w:basedOn w:val="897"/>
    <w:next w:val="897"/>
    <w:link w:val="987"/>
    <w:uiPriority w:val="9"/>
    <w:unhideWhenUsed/>
    <w:qFormat/>
    <w:pPr>
      <w:keepLines/>
      <w:keepNext/>
      <w:spacing w:before="320" w:after="200"/>
      <w:outlineLvl w:val="4"/>
    </w:pPr>
    <w:rPr>
      <w:rFonts w:ascii="Arial" w:hAnsi="Arial" w:eastAsia="Arial" w:cs="Arial"/>
      <w:b/>
      <w:bCs/>
      <w:sz w:val="24"/>
      <w:szCs w:val="24"/>
    </w:rPr>
  </w:style>
  <w:style w:type="paragraph" w:styleId="903">
    <w:name w:val="Heading 6"/>
    <w:basedOn w:val="897"/>
    <w:next w:val="897"/>
    <w:link w:val="988"/>
    <w:uiPriority w:val="9"/>
    <w:unhideWhenUsed/>
    <w:qFormat/>
    <w:pPr>
      <w:keepLines/>
      <w:keepNext/>
      <w:spacing w:before="320" w:after="200"/>
      <w:outlineLvl w:val="5"/>
    </w:pPr>
    <w:rPr>
      <w:rFonts w:ascii="Arial" w:hAnsi="Arial" w:eastAsia="Arial" w:cs="Arial"/>
      <w:b/>
      <w:bCs/>
      <w:sz w:val="22"/>
    </w:rPr>
  </w:style>
  <w:style w:type="paragraph" w:styleId="904">
    <w:name w:val="Heading 7"/>
    <w:basedOn w:val="897"/>
    <w:next w:val="897"/>
    <w:link w:val="989"/>
    <w:uiPriority w:val="9"/>
    <w:unhideWhenUsed/>
    <w:qFormat/>
    <w:pPr>
      <w:keepLines/>
      <w:keepNext/>
      <w:spacing w:before="320" w:after="200"/>
      <w:outlineLvl w:val="6"/>
    </w:pPr>
    <w:rPr>
      <w:rFonts w:ascii="Arial" w:hAnsi="Arial" w:eastAsia="Arial" w:cs="Arial"/>
      <w:b/>
      <w:bCs/>
      <w:i/>
      <w:iCs/>
      <w:sz w:val="22"/>
    </w:rPr>
  </w:style>
  <w:style w:type="paragraph" w:styleId="905">
    <w:name w:val="Heading 8"/>
    <w:basedOn w:val="897"/>
    <w:next w:val="897"/>
    <w:link w:val="990"/>
    <w:uiPriority w:val="9"/>
    <w:unhideWhenUsed/>
    <w:qFormat/>
    <w:pPr>
      <w:keepLines/>
      <w:keepNext/>
      <w:spacing w:before="320" w:after="200"/>
      <w:outlineLvl w:val="7"/>
    </w:pPr>
    <w:rPr>
      <w:rFonts w:ascii="Arial" w:hAnsi="Arial" w:eastAsia="Arial" w:cs="Arial"/>
      <w:i/>
      <w:iCs/>
      <w:sz w:val="22"/>
    </w:rPr>
  </w:style>
  <w:style w:type="paragraph" w:styleId="906">
    <w:name w:val="Heading 9"/>
    <w:basedOn w:val="897"/>
    <w:next w:val="897"/>
    <w:link w:val="991"/>
    <w:uiPriority w:val="9"/>
    <w:unhideWhenUsed/>
    <w:qFormat/>
    <w:pPr>
      <w:keepLines/>
      <w:keepNext/>
      <w:spacing w:before="320" w:after="200"/>
      <w:outlineLvl w:val="8"/>
    </w:pPr>
    <w:rPr>
      <w:rFonts w:ascii="Arial" w:hAnsi="Arial" w:eastAsia="Arial" w:cs="Arial"/>
      <w:i/>
      <w:iCs/>
      <w:szCs w:val="21"/>
    </w:rPr>
  </w:style>
  <w:style w:type="character" w:styleId="907" w:default="1">
    <w:name w:val="Default Paragraph Font"/>
    <w:uiPriority w:val="1"/>
    <w:semiHidden/>
    <w:unhideWhenUsed/>
    <w:qFormat/>
  </w:style>
  <w:style w:type="table" w:styleId="908" w:default="1">
    <w:name w:val="Normal Table"/>
    <w:uiPriority w:val="99"/>
    <w:semiHidden/>
    <w:unhideWhenUsed/>
    <w:qFormat/>
    <w:tblPr>
      <w:tblCellMar>
        <w:left w:w="108" w:type="dxa"/>
        <w:top w:w="0" w:type="dxa"/>
        <w:right w:w="108" w:type="dxa"/>
        <w:bottom w:w="0" w:type="dxa"/>
      </w:tblCellMar>
    </w:tblPr>
  </w:style>
  <w:style w:type="paragraph" w:styleId="909">
    <w:name w:val="toc 7"/>
    <w:basedOn w:val="897"/>
    <w:next w:val="897"/>
    <w:uiPriority w:val="39"/>
    <w:unhideWhenUsed/>
    <w:qFormat/>
    <w:pPr>
      <w:ind w:left="1701"/>
      <w:spacing w:after="57"/>
    </w:pPr>
  </w:style>
  <w:style w:type="paragraph" w:styleId="910">
    <w:name w:val="table of authorities"/>
    <w:basedOn w:val="897"/>
    <w:next w:val="897"/>
    <w:uiPriority w:val="0"/>
    <w:qFormat/>
    <w:pPr>
      <w:ind w:left="420"/>
    </w:pPr>
  </w:style>
  <w:style w:type="paragraph" w:styleId="911">
    <w:name w:val="Normal Indent"/>
    <w:basedOn w:val="897"/>
    <w:uiPriority w:val="0"/>
    <w:unhideWhenUsed/>
    <w:qFormat/>
    <w:pPr>
      <w:ind w:firstLine="420"/>
    </w:pPr>
  </w:style>
  <w:style w:type="paragraph" w:styleId="912">
    <w:name w:val="Caption"/>
    <w:basedOn w:val="897"/>
    <w:next w:val="8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3">
    <w:name w:val="annotation text"/>
    <w:basedOn w:val="897"/>
    <w:link w:val="1181"/>
    <w:uiPriority w:val="99"/>
    <w:semiHidden/>
    <w:unhideWhenUsed/>
    <w:qFormat/>
    <w:pPr>
      <w:jc w:val="left"/>
    </w:pPr>
  </w:style>
  <w:style w:type="paragraph" w:styleId="914">
    <w:name w:val="Body Text 3"/>
    <w:basedOn w:val="897"/>
    <w:next w:val="897"/>
    <w:uiPriority w:val="0"/>
    <w:qFormat/>
    <w:pPr>
      <w:spacing w:after="120"/>
    </w:pPr>
    <w:rPr>
      <w:sz w:val="16"/>
      <w:szCs w:val="16"/>
    </w:rPr>
  </w:style>
  <w:style w:type="paragraph" w:styleId="915">
    <w:name w:val="Body Text"/>
    <w:basedOn w:val="897"/>
    <w:uiPriority w:val="99"/>
    <w:unhideWhenUsed/>
    <w:qFormat/>
    <w:rPr>
      <w:rFonts w:ascii="楷体_GB2312" w:hAnsi="Arial" w:eastAsia="楷体_GB2312"/>
      <w:sz w:val="28"/>
      <w:szCs w:val="28"/>
    </w:rPr>
  </w:style>
  <w:style w:type="paragraph" w:styleId="916">
    <w:name w:val="Body Text Indent"/>
    <w:basedOn w:val="897"/>
    <w:next w:val="917"/>
    <w:uiPriority w:val="0"/>
    <w:qFormat/>
    <w:pPr>
      <w:ind w:left="420"/>
      <w:spacing w:after="120"/>
    </w:pPr>
    <w:rPr>
      <w:rFonts w:ascii="等线" w:hAnsi="等线" w:eastAsia="等线"/>
    </w:rPr>
  </w:style>
  <w:style w:type="paragraph" w:styleId="917">
    <w:name w:val="envelope return"/>
    <w:basedOn w:val="897"/>
    <w:uiPriority w:val="0"/>
    <w:qFormat/>
    <w:rPr>
      <w:rFonts w:ascii="Arial" w:hAnsi="Arial" w:eastAsia="楷体_GB2312"/>
      <w:sz w:val="26"/>
    </w:rPr>
  </w:style>
  <w:style w:type="paragraph" w:styleId="918">
    <w:name w:val="toc 5"/>
    <w:basedOn w:val="897"/>
    <w:next w:val="897"/>
    <w:uiPriority w:val="39"/>
    <w:unhideWhenUsed/>
    <w:qFormat/>
    <w:pPr>
      <w:ind w:left="1134"/>
      <w:spacing w:after="57"/>
    </w:pPr>
  </w:style>
  <w:style w:type="paragraph" w:styleId="919">
    <w:name w:val="toc 3"/>
    <w:basedOn w:val="897"/>
    <w:next w:val="897"/>
    <w:uiPriority w:val="39"/>
    <w:unhideWhenUsed/>
    <w:qFormat/>
    <w:pPr>
      <w:ind w:left="567"/>
      <w:spacing w:after="57"/>
    </w:pPr>
  </w:style>
  <w:style w:type="paragraph" w:styleId="920">
    <w:name w:val="Plain Text"/>
    <w:basedOn w:val="897"/>
    <w:uiPriority w:val="99"/>
    <w:qFormat/>
    <w:rPr>
      <w:rFonts w:ascii="宋体" w:hAnsi="Courier New"/>
      <w:sz w:val="20"/>
      <w:szCs w:val="21"/>
    </w:rPr>
  </w:style>
  <w:style w:type="paragraph" w:styleId="921">
    <w:name w:val="toc 8"/>
    <w:basedOn w:val="897"/>
    <w:next w:val="897"/>
    <w:uiPriority w:val="39"/>
    <w:unhideWhenUsed/>
    <w:qFormat/>
    <w:pPr>
      <w:ind w:left="1984"/>
      <w:spacing w:after="57"/>
    </w:pPr>
  </w:style>
  <w:style w:type="paragraph" w:styleId="922">
    <w:name w:val="endnote text"/>
    <w:basedOn w:val="897"/>
    <w:link w:val="1110"/>
    <w:uiPriority w:val="99"/>
    <w:semiHidden/>
    <w:unhideWhenUsed/>
    <w:qFormat/>
    <w:rPr>
      <w:sz w:val="20"/>
    </w:rPr>
  </w:style>
  <w:style w:type="paragraph" w:styleId="923">
    <w:name w:val="Balloon Text"/>
    <w:basedOn w:val="897"/>
    <w:link w:val="1177"/>
    <w:uiPriority w:val="99"/>
    <w:semiHidden/>
    <w:unhideWhenUsed/>
    <w:qFormat/>
    <w:rPr>
      <w:sz w:val="18"/>
      <w:szCs w:val="18"/>
    </w:rPr>
  </w:style>
  <w:style w:type="paragraph" w:styleId="924">
    <w:name w:val="Footer"/>
    <w:basedOn w:val="897"/>
    <w:link w:val="1002"/>
    <w:uiPriority w:val="99"/>
    <w:unhideWhenUsed/>
    <w:qFormat/>
    <w:pPr>
      <w:tabs>
        <w:tab w:val="center" w:pos="7143" w:leader="none"/>
        <w:tab w:val="right" w:pos="14287" w:leader="none"/>
      </w:tabs>
    </w:pPr>
  </w:style>
  <w:style w:type="paragraph" w:styleId="925">
    <w:name w:val="Header"/>
    <w:basedOn w:val="897"/>
    <w:link w:val="1000"/>
    <w:uiPriority w:val="99"/>
    <w:unhideWhenUsed/>
    <w:qFormat/>
    <w:pPr>
      <w:tabs>
        <w:tab w:val="center" w:pos="7143" w:leader="none"/>
        <w:tab w:val="right" w:pos="14287" w:leader="none"/>
      </w:tabs>
    </w:pPr>
  </w:style>
  <w:style w:type="paragraph" w:styleId="926">
    <w:name w:val="toc 1"/>
    <w:basedOn w:val="897"/>
    <w:next w:val="897"/>
    <w:uiPriority w:val="39"/>
    <w:unhideWhenUsed/>
    <w:qFormat/>
    <w:pPr>
      <w:spacing w:after="57"/>
    </w:pPr>
  </w:style>
  <w:style w:type="paragraph" w:styleId="927">
    <w:name w:val="toc 4"/>
    <w:basedOn w:val="897"/>
    <w:next w:val="897"/>
    <w:uiPriority w:val="39"/>
    <w:unhideWhenUsed/>
    <w:qFormat/>
    <w:pPr>
      <w:ind w:left="850"/>
      <w:spacing w:after="57"/>
    </w:pPr>
  </w:style>
  <w:style w:type="paragraph" w:styleId="928">
    <w:name w:val="Subtitle"/>
    <w:basedOn w:val="897"/>
    <w:next w:val="897"/>
    <w:link w:val="995"/>
    <w:uiPriority w:val="11"/>
    <w:qFormat/>
    <w:pPr>
      <w:spacing w:before="200" w:after="200"/>
    </w:pPr>
    <w:rPr>
      <w:sz w:val="24"/>
      <w:szCs w:val="24"/>
    </w:rPr>
  </w:style>
  <w:style w:type="paragraph" w:styleId="929">
    <w:name w:val="footnote text"/>
    <w:basedOn w:val="897"/>
    <w:link w:val="1109"/>
    <w:uiPriority w:val="99"/>
    <w:semiHidden/>
    <w:unhideWhenUsed/>
    <w:qFormat/>
    <w:pPr>
      <w:spacing w:after="40"/>
    </w:pPr>
    <w:rPr>
      <w:sz w:val="18"/>
    </w:rPr>
  </w:style>
  <w:style w:type="paragraph" w:styleId="930">
    <w:name w:val="toc 6"/>
    <w:basedOn w:val="897"/>
    <w:next w:val="897"/>
    <w:uiPriority w:val="39"/>
    <w:unhideWhenUsed/>
    <w:qFormat/>
    <w:pPr>
      <w:ind w:left="1417"/>
      <w:spacing w:after="57"/>
    </w:pPr>
  </w:style>
  <w:style w:type="paragraph" w:styleId="931">
    <w:name w:val="table of figures"/>
    <w:basedOn w:val="897"/>
    <w:next w:val="897"/>
    <w:uiPriority w:val="99"/>
    <w:unhideWhenUsed/>
    <w:qFormat/>
  </w:style>
  <w:style w:type="paragraph" w:styleId="932">
    <w:name w:val="toc 2"/>
    <w:basedOn w:val="897"/>
    <w:next w:val="897"/>
    <w:uiPriority w:val="39"/>
    <w:unhideWhenUsed/>
    <w:qFormat/>
    <w:pPr>
      <w:ind w:left="283"/>
      <w:spacing w:after="57"/>
    </w:pPr>
  </w:style>
  <w:style w:type="paragraph" w:styleId="933">
    <w:name w:val="toc 9"/>
    <w:basedOn w:val="897"/>
    <w:next w:val="897"/>
    <w:uiPriority w:val="39"/>
    <w:unhideWhenUsed/>
    <w:qFormat/>
    <w:pPr>
      <w:ind w:left="2268"/>
      <w:spacing w:after="57"/>
    </w:pPr>
  </w:style>
  <w:style w:type="paragraph" w:styleId="934">
    <w:name w:val="Normal (Web)"/>
    <w:basedOn w:val="897"/>
    <w:uiPriority w:val="99"/>
    <w:semiHidden/>
    <w:unhideWhenUsed/>
    <w:qFormat/>
    <w:pPr>
      <w:jc w:val="left"/>
      <w:spacing w:beforeAutospacing="1" w:afterAutospacing="1"/>
    </w:pPr>
    <w:rPr>
      <w:sz w:val="24"/>
    </w:rPr>
  </w:style>
  <w:style w:type="paragraph" w:styleId="935">
    <w:name w:val="Title"/>
    <w:basedOn w:val="897"/>
    <w:next w:val="897"/>
    <w:link w:val="994"/>
    <w:uiPriority w:val="10"/>
    <w:qFormat/>
    <w:pPr>
      <w:contextualSpacing/>
      <w:spacing w:before="300" w:after="200"/>
    </w:pPr>
    <w:rPr>
      <w:sz w:val="48"/>
      <w:szCs w:val="48"/>
    </w:rPr>
  </w:style>
  <w:style w:type="paragraph" w:styleId="936">
    <w:name w:val="annotation subject"/>
    <w:basedOn w:val="913"/>
    <w:next w:val="913"/>
    <w:link w:val="1182"/>
    <w:uiPriority w:val="99"/>
    <w:semiHidden/>
    <w:unhideWhenUsed/>
    <w:qFormat/>
    <w:rPr>
      <w:b/>
      <w:bCs/>
    </w:rPr>
  </w:style>
  <w:style w:type="paragraph" w:styleId="937">
    <w:name w:val="Body Text First Indent 2"/>
    <w:basedOn w:val="916"/>
    <w:uiPriority w:val="0"/>
    <w:qFormat/>
    <w:pPr>
      <w:ind w:firstLine="420"/>
    </w:pPr>
    <w:rPr>
      <w:sz w:val="20"/>
    </w:rPr>
  </w:style>
  <w:style w:type="table" w:styleId="9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Strong"/>
    <w:basedOn w:val="907"/>
    <w:uiPriority w:val="0"/>
    <w:qFormat/>
    <w:rPr>
      <w:b/>
    </w:rPr>
  </w:style>
  <w:style w:type="character" w:styleId="940">
    <w:name w:val="endnote reference"/>
    <w:uiPriority w:val="99"/>
    <w:semiHidden/>
    <w:unhideWhenUsed/>
    <w:qFormat/>
    <w:rPr>
      <w:vertAlign w:val="superscript"/>
    </w:rPr>
  </w:style>
  <w:style w:type="character" w:styleId="941">
    <w:name w:val="Hyperlink"/>
    <w:uiPriority w:val="99"/>
    <w:unhideWhenUsed/>
    <w:qFormat/>
    <w:rPr>
      <w:color w:val="0000ff" w:themeColor="hyperlink"/>
      <w:u w:val="single"/>
      <w14:textFill>
        <w14:solidFill>
          <w14:schemeClr w14:val="hlink"/>
        </w14:solidFill>
      </w14:textFill>
    </w:rPr>
  </w:style>
  <w:style w:type="character" w:styleId="942">
    <w:name w:val="annotation reference"/>
    <w:basedOn w:val="907"/>
    <w:uiPriority w:val="99"/>
    <w:semiHidden/>
    <w:unhideWhenUsed/>
    <w:qFormat/>
    <w:rPr>
      <w:sz w:val="21"/>
      <w:szCs w:val="21"/>
    </w:rPr>
  </w:style>
  <w:style w:type="character" w:styleId="943">
    <w:name w:val="footnote reference"/>
    <w:uiPriority w:val="99"/>
    <w:unhideWhenUsed/>
    <w:qFormat/>
    <w:rPr>
      <w:vertAlign w:val="superscript"/>
    </w:rPr>
  </w:style>
  <w:style w:type="character" w:styleId="944" w:customStyle="1">
    <w:name w:val="标题 4 字符"/>
    <w:link w:val="901"/>
    <w:uiPriority w:val="9"/>
    <w:qFormat/>
    <w:rPr>
      <w:rFonts w:ascii="Arial" w:hAnsi="Arial" w:eastAsia="Arial" w:cs="Arial"/>
      <w:b/>
      <w:bCs/>
      <w:sz w:val="26"/>
      <w:szCs w:val="26"/>
    </w:rPr>
  </w:style>
  <w:style w:type="paragraph" w:styleId="945" w:customStyle="1">
    <w:name w:val="TOC 标题1"/>
    <w:uiPriority w:val="39"/>
    <w:unhideWhenUsed/>
    <w:qFormat/>
    <w:rPr>
      <w:rFonts w:ascii="Times New Roman" w:hAnsi="Times New Roman" w:eastAsia="宋体" w:cs="Times New Roman"/>
      <w:lang w:val="en-US" w:eastAsia="zh-CN" w:bidi="ar-SA"/>
    </w:rPr>
  </w:style>
  <w:style w:type="character" w:styleId="946" w:customStyle="1">
    <w:name w:val="Heading 1 Char"/>
    <w:basedOn w:val="907"/>
    <w:uiPriority w:val="9"/>
    <w:qFormat/>
    <w:rPr>
      <w:rFonts w:ascii="Arial" w:hAnsi="Arial" w:eastAsia="Arial" w:cs="Arial"/>
      <w:sz w:val="40"/>
      <w:szCs w:val="40"/>
    </w:rPr>
  </w:style>
  <w:style w:type="character" w:styleId="947" w:customStyle="1">
    <w:name w:val="Heading 2 Char"/>
    <w:basedOn w:val="907"/>
    <w:uiPriority w:val="9"/>
    <w:qFormat/>
    <w:rPr>
      <w:rFonts w:ascii="Arial" w:hAnsi="Arial" w:eastAsia="Arial" w:cs="Arial"/>
      <w:sz w:val="34"/>
    </w:rPr>
  </w:style>
  <w:style w:type="character" w:styleId="948" w:customStyle="1">
    <w:name w:val="Heading 3 Char"/>
    <w:basedOn w:val="907"/>
    <w:uiPriority w:val="9"/>
    <w:qFormat/>
    <w:rPr>
      <w:rFonts w:ascii="Arial" w:hAnsi="Arial" w:eastAsia="Arial" w:cs="Arial"/>
      <w:sz w:val="30"/>
      <w:szCs w:val="30"/>
    </w:rPr>
  </w:style>
  <w:style w:type="character" w:styleId="949" w:customStyle="1">
    <w:name w:val="Heading 4 Char"/>
    <w:basedOn w:val="907"/>
    <w:uiPriority w:val="9"/>
    <w:qFormat/>
    <w:rPr>
      <w:rFonts w:ascii="Arial" w:hAnsi="Arial" w:eastAsia="Arial" w:cs="Arial"/>
      <w:b/>
      <w:bCs/>
      <w:sz w:val="26"/>
      <w:szCs w:val="26"/>
    </w:rPr>
  </w:style>
  <w:style w:type="character" w:styleId="950" w:customStyle="1">
    <w:name w:val="Heading 5 Char"/>
    <w:basedOn w:val="907"/>
    <w:uiPriority w:val="9"/>
    <w:qFormat/>
    <w:rPr>
      <w:rFonts w:ascii="Arial" w:hAnsi="Arial" w:eastAsia="Arial" w:cs="Arial"/>
      <w:b/>
      <w:bCs/>
      <w:sz w:val="24"/>
      <w:szCs w:val="24"/>
    </w:rPr>
  </w:style>
  <w:style w:type="character" w:styleId="951" w:customStyle="1">
    <w:name w:val="Heading 6 Char"/>
    <w:basedOn w:val="907"/>
    <w:uiPriority w:val="9"/>
    <w:qFormat/>
    <w:rPr>
      <w:rFonts w:ascii="Arial" w:hAnsi="Arial" w:eastAsia="Arial" w:cs="Arial"/>
      <w:b/>
      <w:bCs/>
      <w:sz w:val="22"/>
      <w:szCs w:val="22"/>
    </w:rPr>
  </w:style>
  <w:style w:type="character" w:styleId="952" w:customStyle="1">
    <w:name w:val="Heading 7 Char"/>
    <w:basedOn w:val="907"/>
    <w:uiPriority w:val="9"/>
    <w:qFormat/>
    <w:rPr>
      <w:rFonts w:ascii="Arial" w:hAnsi="Arial" w:eastAsia="Arial" w:cs="Arial"/>
      <w:b/>
      <w:bCs/>
      <w:i/>
      <w:iCs/>
      <w:sz w:val="22"/>
      <w:szCs w:val="22"/>
    </w:rPr>
  </w:style>
  <w:style w:type="character" w:styleId="953" w:customStyle="1">
    <w:name w:val="Heading 8 Char"/>
    <w:basedOn w:val="907"/>
    <w:uiPriority w:val="9"/>
    <w:qFormat/>
    <w:rPr>
      <w:rFonts w:ascii="Arial" w:hAnsi="Arial" w:eastAsia="Arial" w:cs="Arial"/>
      <w:i/>
      <w:iCs/>
      <w:sz w:val="22"/>
      <w:szCs w:val="22"/>
    </w:rPr>
  </w:style>
  <w:style w:type="character" w:styleId="954" w:customStyle="1">
    <w:name w:val="Heading 9 Char"/>
    <w:basedOn w:val="907"/>
    <w:uiPriority w:val="9"/>
    <w:qFormat/>
    <w:rPr>
      <w:rFonts w:ascii="Arial" w:hAnsi="Arial" w:eastAsia="Arial" w:cs="Arial"/>
      <w:i/>
      <w:iCs/>
      <w:sz w:val="21"/>
      <w:szCs w:val="21"/>
    </w:rPr>
  </w:style>
  <w:style w:type="character" w:styleId="955" w:customStyle="1">
    <w:name w:val="Title Char"/>
    <w:basedOn w:val="907"/>
    <w:uiPriority w:val="10"/>
    <w:qFormat/>
    <w:rPr>
      <w:sz w:val="48"/>
      <w:szCs w:val="48"/>
    </w:rPr>
  </w:style>
  <w:style w:type="character" w:styleId="956" w:customStyle="1">
    <w:name w:val="Subtitle Char"/>
    <w:basedOn w:val="907"/>
    <w:uiPriority w:val="11"/>
    <w:qFormat/>
    <w:rPr>
      <w:sz w:val="24"/>
      <w:szCs w:val="24"/>
    </w:rPr>
  </w:style>
  <w:style w:type="character" w:styleId="957" w:customStyle="1">
    <w:name w:val="Quote Char"/>
    <w:uiPriority w:val="29"/>
    <w:qFormat/>
    <w:rPr>
      <w:i/>
    </w:rPr>
  </w:style>
  <w:style w:type="character" w:styleId="958" w:customStyle="1">
    <w:name w:val="Intense Quote Char"/>
    <w:uiPriority w:val="30"/>
    <w:qFormat/>
    <w:rPr>
      <w:i/>
    </w:rPr>
  </w:style>
  <w:style w:type="character" w:styleId="959" w:customStyle="1">
    <w:name w:val="Header Char"/>
    <w:basedOn w:val="907"/>
    <w:uiPriority w:val="99"/>
    <w:qFormat/>
  </w:style>
  <w:style w:type="character" w:styleId="960" w:customStyle="1">
    <w:name w:val="Caption Char"/>
    <w:uiPriority w:val="99"/>
    <w:qFormat/>
  </w:style>
  <w:style w:type="table" w:styleId="961" w:customStyle="1">
    <w:name w:val="无格式表格 11"/>
    <w:basedOn w:val="90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21"/>
    <w:basedOn w:val="90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无格式表格 31"/>
    <w:basedOn w:val="9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4" w:customStyle="1">
    <w:name w:val="无格式表格 41"/>
    <w:basedOn w:val="9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5" w:customStyle="1">
    <w:name w:val="无格式表格 51"/>
    <w:basedOn w:val="90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6" w:customStyle="1">
    <w:name w:val="网格表 1 浅色1"/>
    <w:basedOn w:val="90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7" w:customStyle="1">
    <w:name w:val="网格表 21"/>
    <w:basedOn w:val="9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8" w:customStyle="1">
    <w:name w:val="网格表 31"/>
    <w:basedOn w:val="90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网格表 41"/>
    <w:basedOn w:val="90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0" w:customStyle="1">
    <w:name w:val="网格表 5 深色1"/>
    <w:basedOn w:val="90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1" w:customStyle="1">
    <w:name w:val="网格表 6 彩色1"/>
    <w:basedOn w:val="90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2" w:customStyle="1">
    <w:name w:val="网格表 7 彩色1"/>
    <w:basedOn w:val="90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3" w:customStyle="1">
    <w:name w:val="清单表 1 浅色1"/>
    <w:basedOn w:val="90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清单表 21"/>
    <w:basedOn w:val="90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5" w:customStyle="1">
    <w:name w:val="清单表 31"/>
    <w:basedOn w:val="9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6" w:customStyle="1">
    <w:name w:val="清单表 41"/>
    <w:basedOn w:val="90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7" w:customStyle="1">
    <w:name w:val="清单表 5 深色1"/>
    <w:basedOn w:val="90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清单表 6 彩色1"/>
    <w:basedOn w:val="908"/>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清单表 7 彩色1"/>
    <w:basedOn w:val="908"/>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80" w:customStyle="1">
    <w:name w:val="Footnote Text Char"/>
    <w:uiPriority w:val="99"/>
    <w:qFormat/>
    <w:rPr>
      <w:sz w:val="18"/>
    </w:rPr>
  </w:style>
  <w:style w:type="character" w:styleId="981" w:customStyle="1">
    <w:name w:val="Endnote Text Char"/>
    <w:uiPriority w:val="99"/>
    <w:qFormat/>
    <w:rPr>
      <w:sz w:val="20"/>
    </w:rPr>
  </w:style>
  <w:style w:type="paragraph" w:styleId="982" w:customStyle="1">
    <w:name w:val="TOC 标题111"/>
    <w:uiPriority w:val="39"/>
    <w:unhideWhenUsed/>
    <w:qFormat/>
    <w:rPr>
      <w:rFonts w:ascii="Times New Roman" w:hAnsi="Times New Roman" w:eastAsia="宋体" w:cs="Times New Roman"/>
      <w:lang w:val="en-US" w:eastAsia="zh-CN" w:bidi="ar-SA"/>
    </w:rPr>
  </w:style>
  <w:style w:type="paragraph" w:styleId="983" w:customStyle="1">
    <w:name w:val="Default"/>
    <w:next w:val="897"/>
    <w:uiPriority w:val="0"/>
    <w:qFormat/>
    <w:pPr>
      <w:widowControl w:val="off"/>
    </w:pPr>
    <w:rPr>
      <w:rFonts w:ascii="黑体" w:hAnsi="Times New Roman" w:eastAsia="黑体" w:cs="Times New Roman"/>
      <w:lang w:val="en-US" w:eastAsia="zh-CN" w:bidi="ar-SA"/>
    </w:rPr>
  </w:style>
  <w:style w:type="character" w:styleId="984" w:customStyle="1">
    <w:name w:val="标题 1 字符"/>
    <w:link w:val="898"/>
    <w:uiPriority w:val="9"/>
    <w:qFormat/>
    <w:rPr>
      <w:rFonts w:ascii="Arial" w:hAnsi="Arial" w:eastAsia="宋体" w:cs="Arial"/>
      <w:b/>
      <w:sz w:val="30"/>
      <w:szCs w:val="40"/>
    </w:rPr>
  </w:style>
  <w:style w:type="character" w:styleId="985" w:customStyle="1">
    <w:name w:val="标题 2 字符"/>
    <w:link w:val="899"/>
    <w:uiPriority w:val="9"/>
    <w:qFormat/>
    <w:rPr>
      <w:rFonts w:ascii="Arial" w:hAnsi="Arial" w:eastAsia="Arial" w:cs="Arial"/>
      <w:sz w:val="34"/>
    </w:rPr>
  </w:style>
  <w:style w:type="character" w:styleId="986" w:customStyle="1">
    <w:name w:val="标题 3 字符"/>
    <w:link w:val="900"/>
    <w:uiPriority w:val="9"/>
    <w:qFormat/>
    <w:rPr>
      <w:rFonts w:ascii="Arial" w:hAnsi="Arial" w:eastAsia="Arial" w:cs="Arial"/>
      <w:sz w:val="30"/>
      <w:szCs w:val="30"/>
    </w:rPr>
  </w:style>
  <w:style w:type="character" w:styleId="987" w:customStyle="1">
    <w:name w:val="标题 5 字符"/>
    <w:link w:val="902"/>
    <w:uiPriority w:val="9"/>
    <w:qFormat/>
    <w:rPr>
      <w:rFonts w:ascii="Arial" w:hAnsi="Arial" w:eastAsia="Arial" w:cs="Arial"/>
      <w:b/>
      <w:bCs/>
      <w:sz w:val="24"/>
      <w:szCs w:val="24"/>
    </w:rPr>
  </w:style>
  <w:style w:type="character" w:styleId="988" w:customStyle="1">
    <w:name w:val="标题 6 字符"/>
    <w:link w:val="903"/>
    <w:uiPriority w:val="9"/>
    <w:qFormat/>
    <w:rPr>
      <w:rFonts w:ascii="Arial" w:hAnsi="Arial" w:eastAsia="Arial" w:cs="Arial"/>
      <w:b/>
      <w:bCs/>
      <w:sz w:val="22"/>
      <w:szCs w:val="22"/>
    </w:rPr>
  </w:style>
  <w:style w:type="character" w:styleId="989" w:customStyle="1">
    <w:name w:val="标题 7 字符"/>
    <w:link w:val="904"/>
    <w:uiPriority w:val="9"/>
    <w:qFormat/>
    <w:rPr>
      <w:rFonts w:ascii="Arial" w:hAnsi="Arial" w:eastAsia="Arial" w:cs="Arial"/>
      <w:b/>
      <w:bCs/>
      <w:i/>
      <w:iCs/>
      <w:sz w:val="22"/>
      <w:szCs w:val="22"/>
    </w:rPr>
  </w:style>
  <w:style w:type="character" w:styleId="990" w:customStyle="1">
    <w:name w:val="标题 8 字符"/>
    <w:link w:val="905"/>
    <w:uiPriority w:val="9"/>
    <w:qFormat/>
    <w:rPr>
      <w:rFonts w:ascii="Arial" w:hAnsi="Arial" w:eastAsia="Arial" w:cs="Arial"/>
      <w:i/>
      <w:iCs/>
      <w:sz w:val="22"/>
      <w:szCs w:val="22"/>
    </w:rPr>
  </w:style>
  <w:style w:type="character" w:styleId="991" w:customStyle="1">
    <w:name w:val="标题 9 字符"/>
    <w:link w:val="906"/>
    <w:uiPriority w:val="9"/>
    <w:qFormat/>
    <w:rPr>
      <w:rFonts w:ascii="Arial" w:hAnsi="Arial" w:eastAsia="Arial" w:cs="Arial"/>
      <w:i/>
      <w:iCs/>
      <w:sz w:val="21"/>
      <w:szCs w:val="21"/>
    </w:rPr>
  </w:style>
  <w:style w:type="paragraph" w:styleId="992">
    <w:name w:val="List Paragraph"/>
    <w:basedOn w:val="897"/>
    <w:uiPriority w:val="34"/>
    <w:qFormat/>
    <w:pPr>
      <w:contextualSpacing/>
      <w:ind w:left="720"/>
    </w:pPr>
  </w:style>
  <w:style w:type="paragraph" w:styleId="993">
    <w:name w:val="No Spacing"/>
    <w:uiPriority w:val="1"/>
    <w:qFormat/>
    <w:rPr>
      <w:rFonts w:ascii="Times New Roman" w:hAnsi="Times New Roman" w:eastAsia="宋体" w:cs="Times New Roman"/>
      <w:lang w:val="en-US" w:eastAsia="zh-CN" w:bidi="ar-SA"/>
    </w:rPr>
  </w:style>
  <w:style w:type="character" w:styleId="994" w:customStyle="1">
    <w:name w:val="标题 字符"/>
    <w:link w:val="935"/>
    <w:uiPriority w:val="10"/>
    <w:qFormat/>
    <w:rPr>
      <w:sz w:val="48"/>
      <w:szCs w:val="48"/>
    </w:rPr>
  </w:style>
  <w:style w:type="character" w:styleId="995" w:customStyle="1">
    <w:name w:val="副标题 字符"/>
    <w:link w:val="928"/>
    <w:uiPriority w:val="11"/>
    <w:qFormat/>
    <w:rPr>
      <w:sz w:val="24"/>
      <w:szCs w:val="24"/>
    </w:rPr>
  </w:style>
  <w:style w:type="paragraph" w:styleId="996">
    <w:name w:val="Quote"/>
    <w:basedOn w:val="897"/>
    <w:next w:val="897"/>
    <w:link w:val="997"/>
    <w:uiPriority w:val="29"/>
    <w:qFormat/>
    <w:pPr>
      <w:ind w:left="720" w:right="720"/>
    </w:pPr>
    <w:rPr>
      <w:i/>
    </w:rPr>
  </w:style>
  <w:style w:type="character" w:styleId="997" w:customStyle="1">
    <w:name w:val="引用 字符"/>
    <w:link w:val="996"/>
    <w:uiPriority w:val="29"/>
    <w:qFormat/>
    <w:rPr>
      <w:i/>
    </w:rPr>
  </w:style>
  <w:style w:type="paragraph" w:styleId="998">
    <w:name w:val="Intense Quote"/>
    <w:basedOn w:val="897"/>
    <w:next w:val="897"/>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customStyle="1">
    <w:name w:val="明显引用 字符"/>
    <w:link w:val="998"/>
    <w:uiPriority w:val="30"/>
    <w:qFormat/>
    <w:rPr>
      <w:i/>
    </w:rPr>
  </w:style>
  <w:style w:type="character" w:styleId="1000" w:customStyle="1">
    <w:name w:val="页眉 字符"/>
    <w:link w:val="925"/>
    <w:uiPriority w:val="99"/>
    <w:qFormat/>
  </w:style>
  <w:style w:type="character" w:styleId="1001" w:customStyle="1">
    <w:name w:val="Footer Char"/>
    <w:uiPriority w:val="99"/>
    <w:qFormat/>
  </w:style>
  <w:style w:type="character" w:styleId="1002" w:customStyle="1">
    <w:name w:val="页脚 字符"/>
    <w:link w:val="924"/>
    <w:uiPriority w:val="99"/>
    <w:qFormat/>
  </w:style>
  <w:style w:type="table" w:styleId="100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2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脚注文本 字符"/>
    <w:link w:val="929"/>
    <w:uiPriority w:val="99"/>
    <w:qFormat/>
    <w:rPr>
      <w:sz w:val="18"/>
    </w:rPr>
  </w:style>
  <w:style w:type="character" w:styleId="1110" w:customStyle="1">
    <w:name w:val="尾注文本 字符"/>
    <w:link w:val="922"/>
    <w:uiPriority w:val="99"/>
    <w:qFormat/>
    <w:rPr>
      <w:sz w:val="20"/>
    </w:rPr>
  </w:style>
  <w:style w:type="paragraph" w:styleId="1111" w:customStyle="1">
    <w:name w:val="TOC 标题11"/>
    <w:uiPriority w:val="39"/>
    <w:unhideWhenUsed/>
    <w:qFormat/>
    <w:rPr>
      <w:rFonts w:ascii="Times New Roman" w:hAnsi="Times New Roman" w:eastAsia="宋体" w:cs="Times New Roman"/>
      <w:lang w:val="en-US" w:eastAsia="zh-CN" w:bidi="ar-SA"/>
    </w:rPr>
  </w:style>
  <w:style w:type="paragraph" w:styleId="1112" w:customStyle="1">
    <w:name w:val="标题 11"/>
    <w:basedOn w:val="897"/>
    <w:next w:val="897"/>
    <w:uiPriority w:val="9"/>
    <w:qFormat/>
    <w:pPr>
      <w:keepLines/>
      <w:keepNext/>
      <w:spacing w:before="340" w:after="330" w:line="578" w:lineRule="auto"/>
      <w:outlineLvl w:val="0"/>
    </w:pPr>
    <w:rPr>
      <w:b/>
      <w:bCs/>
      <w:sz w:val="44"/>
      <w:szCs w:val="44"/>
    </w:rPr>
  </w:style>
  <w:style w:type="paragraph" w:styleId="1113" w:customStyle="1">
    <w:name w:val="标题 21"/>
    <w:basedOn w:val="897"/>
    <w:next w:val="89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14" w:customStyle="1">
    <w:name w:val="标题 31"/>
    <w:basedOn w:val="897"/>
    <w:next w:val="897"/>
    <w:uiPriority w:val="0"/>
    <w:qFormat/>
    <w:pPr>
      <w:keepLines/>
      <w:keepNext/>
      <w:spacing w:before="260" w:after="260" w:line="416" w:lineRule="auto"/>
      <w:outlineLvl w:val="2"/>
    </w:pPr>
    <w:rPr>
      <w:b/>
      <w:bCs/>
      <w:sz w:val="32"/>
      <w:szCs w:val="32"/>
    </w:rPr>
  </w:style>
  <w:style w:type="character" w:styleId="1115" w:customStyle="1">
    <w:name w:val="默认段落字体1"/>
    <w:uiPriority w:val="1"/>
    <w:unhideWhenUsed/>
    <w:qFormat/>
  </w:style>
  <w:style w:type="table" w:styleId="1116" w:customStyle="1">
    <w:name w:val="普通表格1"/>
    <w:uiPriority w:val="99"/>
    <w:unhideWhenUsed/>
    <w:qFormat/>
    <w:tblPr>
      <w:tblCellMar>
        <w:left w:w="0" w:type="dxa"/>
        <w:top w:w="0" w:type="dxa"/>
        <w:right w:w="0" w:type="dxa"/>
        <w:bottom w:w="0" w:type="dxa"/>
      </w:tblCellMar>
    </w:tblPr>
  </w:style>
  <w:style w:type="paragraph" w:styleId="1117" w:customStyle="1">
    <w:name w:val="正文文本缩进1"/>
    <w:basedOn w:val="897"/>
    <w:next w:val="1118"/>
    <w:uiPriority w:val="0"/>
    <w:qFormat/>
    <w:pPr>
      <w:ind w:left="420"/>
      <w:spacing w:after="120"/>
    </w:pPr>
    <w:rPr>
      <w:rFonts w:ascii="等线" w:hAnsi="等线" w:eastAsia="等线"/>
    </w:rPr>
  </w:style>
  <w:style w:type="paragraph" w:styleId="1118" w:customStyle="1">
    <w:name w:val="寄信人地址1"/>
    <w:basedOn w:val="897"/>
    <w:uiPriority w:val="99"/>
    <w:unhideWhenUsed/>
    <w:qFormat/>
    <w:rPr>
      <w:rFonts w:ascii="Arial" w:hAnsi="Arial"/>
    </w:rPr>
  </w:style>
  <w:style w:type="paragraph" w:styleId="1119" w:customStyle="1">
    <w:name w:val="正文缩进1"/>
    <w:basedOn w:val="897"/>
    <w:uiPriority w:val="0"/>
    <w:unhideWhenUsed/>
    <w:qFormat/>
    <w:pPr>
      <w:ind w:firstLine="420"/>
    </w:pPr>
  </w:style>
  <w:style w:type="paragraph" w:styleId="1120" w:customStyle="1">
    <w:name w:val="批注文字1"/>
    <w:basedOn w:val="897"/>
    <w:link w:val="1121"/>
    <w:uiPriority w:val="0"/>
    <w:qFormat/>
    <w:pPr>
      <w:jc w:val="left"/>
    </w:pPr>
  </w:style>
  <w:style w:type="character" w:styleId="1121" w:customStyle="1">
    <w:name w:val="批注文字 Char"/>
    <w:link w:val="1120"/>
    <w:uiPriority w:val="0"/>
    <w:qFormat/>
    <w:rPr>
      <w:rFonts w:ascii="Calibri" w:hAnsi="Calibri"/>
      <w:sz w:val="21"/>
      <w:szCs w:val="22"/>
    </w:rPr>
  </w:style>
  <w:style w:type="paragraph" w:styleId="1122" w:customStyle="1">
    <w:name w:val="正文文本11"/>
    <w:basedOn w:val="897"/>
    <w:next w:val="1123"/>
    <w:uiPriority w:val="0"/>
    <w:qFormat/>
    <w:rPr>
      <w:rFonts w:ascii="楷体_GB2312" w:hAnsi="Arial" w:eastAsia="楷体_GB2312"/>
      <w:sz w:val="28"/>
      <w:szCs w:val="28"/>
    </w:rPr>
  </w:style>
  <w:style w:type="paragraph" w:styleId="1123" w:customStyle="1">
    <w:name w:val="标题1"/>
    <w:basedOn w:val="897"/>
    <w:next w:val="897"/>
    <w:uiPriority w:val="0"/>
    <w:qFormat/>
    <w:pPr>
      <w:jc w:val="center"/>
      <w:spacing w:before="240" w:after="60" w:line="360" w:lineRule="auto"/>
      <w:outlineLvl w:val="0"/>
    </w:pPr>
    <w:rPr>
      <w:rFonts w:ascii="宋体" w:hAnsi="宋体"/>
      <w:b/>
      <w:bCs/>
      <w:sz w:val="32"/>
      <w:szCs w:val="32"/>
    </w:rPr>
  </w:style>
  <w:style w:type="paragraph" w:styleId="1124" w:customStyle="1">
    <w:name w:val="纯文本1"/>
    <w:basedOn w:val="897"/>
    <w:uiPriority w:val="99"/>
    <w:qFormat/>
    <w:rPr>
      <w:rFonts w:ascii="宋体" w:hAnsi="Courier New"/>
      <w:sz w:val="20"/>
      <w:szCs w:val="21"/>
    </w:rPr>
  </w:style>
  <w:style w:type="paragraph" w:styleId="1125" w:customStyle="1">
    <w:name w:val="正文文本缩进 21"/>
    <w:basedOn w:val="897"/>
    <w:uiPriority w:val="0"/>
    <w:qFormat/>
    <w:pPr>
      <w:ind w:left="640"/>
      <w:spacing w:after="120" w:line="480" w:lineRule="auto"/>
    </w:pPr>
    <w:rPr>
      <w:rFonts w:eastAsia="仿宋_GB2312"/>
      <w:sz w:val="32"/>
      <w:szCs w:val="28"/>
    </w:rPr>
  </w:style>
  <w:style w:type="paragraph" w:styleId="1126" w:customStyle="1">
    <w:name w:val="批注框文本1"/>
    <w:basedOn w:val="897"/>
    <w:link w:val="1127"/>
    <w:uiPriority w:val="0"/>
    <w:qFormat/>
    <w:rPr>
      <w:sz w:val="18"/>
      <w:szCs w:val="18"/>
    </w:rPr>
  </w:style>
  <w:style w:type="character" w:styleId="1127" w:customStyle="1">
    <w:name w:val="批注框文本 Char"/>
    <w:link w:val="1126"/>
    <w:uiPriority w:val="0"/>
    <w:qFormat/>
    <w:rPr>
      <w:sz w:val="18"/>
      <w:szCs w:val="18"/>
    </w:rPr>
  </w:style>
  <w:style w:type="paragraph" w:styleId="1128" w:customStyle="1">
    <w:name w:val="页脚1"/>
    <w:basedOn w:val="897"/>
    <w:uiPriority w:val="99"/>
    <w:unhideWhenUsed/>
    <w:qFormat/>
    <w:pPr>
      <w:jc w:val="left"/>
      <w:tabs>
        <w:tab w:val="center" w:pos="4153" w:leader="none"/>
        <w:tab w:val="right" w:pos="8306" w:leader="none"/>
      </w:tabs>
    </w:pPr>
    <w:rPr>
      <w:sz w:val="18"/>
      <w:szCs w:val="18"/>
    </w:rPr>
  </w:style>
  <w:style w:type="paragraph" w:styleId="1129" w:customStyle="1">
    <w:name w:val="页眉1"/>
    <w:basedOn w:val="897"/>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30" w:customStyle="1">
    <w:name w:val="目录 11"/>
    <w:basedOn w:val="897"/>
    <w:next w:val="897"/>
    <w:uiPriority w:val="39"/>
    <w:unhideWhenUsed/>
    <w:qFormat/>
  </w:style>
  <w:style w:type="paragraph" w:styleId="1131" w:customStyle="1">
    <w:name w:val="目录 21"/>
    <w:basedOn w:val="897"/>
    <w:next w:val="897"/>
    <w:uiPriority w:val="0"/>
    <w:qFormat/>
    <w:pPr>
      <w:ind w:left="420"/>
    </w:pPr>
  </w:style>
  <w:style w:type="paragraph" w:styleId="1132" w:customStyle="1">
    <w:name w:val="正文文本 21"/>
    <w:basedOn w:val="897"/>
    <w:uiPriority w:val="0"/>
    <w:qFormat/>
    <w:pPr>
      <w:spacing w:after="120" w:line="480" w:lineRule="auto"/>
    </w:pPr>
  </w:style>
  <w:style w:type="paragraph" w:styleId="1133" w:customStyle="1">
    <w:name w:val="信息标题1"/>
    <w:basedOn w:val="897"/>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34" w:customStyle="1">
    <w:name w:val="普通(网站)1"/>
    <w:basedOn w:val="897"/>
    <w:uiPriority w:val="0"/>
    <w:qFormat/>
    <w:rPr>
      <w:rFonts w:ascii="Times New Roman" w:hAnsi="Times New Roman"/>
      <w:sz w:val="24"/>
    </w:rPr>
  </w:style>
  <w:style w:type="paragraph" w:styleId="1135" w:customStyle="1">
    <w:name w:val="批注主题1"/>
    <w:basedOn w:val="1120"/>
    <w:next w:val="1120"/>
    <w:link w:val="1136"/>
    <w:uiPriority w:val="0"/>
    <w:qFormat/>
    <w:rPr>
      <w:b/>
      <w:bCs/>
    </w:rPr>
  </w:style>
  <w:style w:type="character" w:styleId="1136" w:customStyle="1">
    <w:name w:val="批注主题 Char"/>
    <w:link w:val="1135"/>
    <w:uiPriority w:val="0"/>
    <w:qFormat/>
    <w:rPr>
      <w:rFonts w:ascii="Calibri" w:hAnsi="Calibri"/>
      <w:b/>
      <w:bCs/>
      <w:sz w:val="21"/>
      <w:szCs w:val="22"/>
    </w:rPr>
  </w:style>
  <w:style w:type="paragraph" w:styleId="1137" w:customStyle="1">
    <w:name w:val="正文首行缩进 21"/>
    <w:basedOn w:val="1117"/>
    <w:next w:val="897"/>
    <w:uiPriority w:val="0"/>
    <w:qFormat/>
    <w:pPr>
      <w:ind w:firstLine="420"/>
      <w:spacing w:before="100" w:beforeAutospacing="1"/>
    </w:pPr>
    <w:rPr>
      <w:rFonts w:ascii="Times New Roman" w:hAnsi="Times New Roman" w:eastAsia="宋体"/>
      <w:sz w:val="20"/>
      <w:szCs w:val="21"/>
    </w:rPr>
  </w:style>
  <w:style w:type="table" w:styleId="1138" w:customStyle="1">
    <w:name w:val="网格型1"/>
    <w:basedOn w:val="1116"/>
    <w:uiPriority w:val="0"/>
    <w:qFormat/>
    <w:pPr>
      <w:jc w:val="both"/>
      <w:widowControl w:val="off"/>
    </w:pPr>
    <w:tblPr/>
  </w:style>
  <w:style w:type="character" w:styleId="1139" w:customStyle="1">
    <w:name w:val="要点1"/>
    <w:uiPriority w:val="0"/>
    <w:qFormat/>
    <w:rPr>
      <w:b/>
    </w:rPr>
  </w:style>
  <w:style w:type="character" w:styleId="1140" w:customStyle="1">
    <w:name w:val="强调1"/>
    <w:uiPriority w:val="0"/>
    <w:qFormat/>
    <w:rPr>
      <w:i/>
    </w:rPr>
  </w:style>
  <w:style w:type="character" w:styleId="1141" w:customStyle="1">
    <w:name w:val="超链接1"/>
    <w:uiPriority w:val="0"/>
    <w:qFormat/>
    <w:rPr>
      <w:color w:val="0000ff"/>
      <w:u w:val="single"/>
    </w:rPr>
  </w:style>
  <w:style w:type="character" w:styleId="1142" w:customStyle="1">
    <w:name w:val="批注引用1"/>
    <w:uiPriority w:val="0"/>
    <w:qFormat/>
    <w:rPr>
      <w:sz w:val="21"/>
      <w:szCs w:val="21"/>
    </w:rPr>
  </w:style>
  <w:style w:type="paragraph" w:styleId="1143" w:customStyle="1">
    <w:name w:val="正文（缩进）"/>
    <w:basedOn w:val="897"/>
    <w:uiPriority w:val="0"/>
    <w:qFormat/>
    <w:pPr>
      <w:ind w:firstLine="480"/>
      <w:spacing w:before="156" w:after="156"/>
    </w:pPr>
  </w:style>
  <w:style w:type="paragraph" w:styleId="1144" w:customStyle="1">
    <w:name w:val="正文1"/>
    <w:basedOn w:val="897"/>
    <w:next w:val="1145"/>
    <w:uiPriority w:val="0"/>
    <w:qFormat/>
    <w:pPr>
      <w:jc w:val="left"/>
      <w:spacing w:line="360" w:lineRule="atLeast"/>
    </w:pPr>
    <w:rPr>
      <w:rFonts w:ascii="宋体" w:cs="Arial"/>
      <w:sz w:val="24"/>
      <w:szCs w:val="20"/>
    </w:rPr>
  </w:style>
  <w:style w:type="paragraph" w:styleId="1145" w:customStyle="1">
    <w:name w:val="正文文本1"/>
    <w:basedOn w:val="1144"/>
    <w:next w:val="1146"/>
    <w:uiPriority w:val="0"/>
    <w:qFormat/>
    <w:pPr>
      <w:spacing w:after="120"/>
    </w:pPr>
    <w:rPr>
      <w:lang w:eastAsia="en-US"/>
    </w:rPr>
  </w:style>
  <w:style w:type="paragraph" w:styleId="1146" w:customStyle="1">
    <w:name w:val="一级条标题"/>
    <w:basedOn w:val="1147"/>
    <w:next w:val="114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47" w:customStyle="1">
    <w:name w:val="章标题"/>
    <w:next w:val="89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48" w:customStyle="1">
    <w:name w:val="段"/>
    <w:basedOn w:val="1144"/>
    <w:next w:val="897"/>
    <w:uiPriority w:val="0"/>
    <w:qFormat/>
    <w:pPr>
      <w:ind w:firstLine="200"/>
      <w:widowControl/>
    </w:pPr>
    <w:rPr>
      <w:sz w:val="20"/>
    </w:rPr>
  </w:style>
  <w:style w:type="paragraph" w:styleId="1149" w:customStyle="1">
    <w:name w:val="普通正文"/>
    <w:basedOn w:val="897"/>
    <w:uiPriority w:val="0"/>
    <w:qFormat/>
    <w:pPr>
      <w:ind w:firstLine="480"/>
      <w:jc w:val="left"/>
      <w:spacing w:before="120" w:after="120" w:line="360" w:lineRule="auto"/>
    </w:pPr>
    <w:rPr>
      <w:rFonts w:ascii="Arial" w:hAnsi="Arial"/>
      <w:sz w:val="24"/>
      <w:szCs w:val="24"/>
    </w:rPr>
  </w:style>
  <w:style w:type="paragraph" w:styleId="1150" w:customStyle="1">
    <w:name w:val="Char"/>
    <w:basedOn w:val="897"/>
    <w:uiPriority w:val="0"/>
    <w:qFormat/>
    <w:pPr>
      <w:ind w:firstLine="200"/>
      <w:tabs>
        <w:tab w:val="left" w:pos="360" w:leader="none"/>
      </w:tabs>
    </w:pPr>
    <w:rPr>
      <w:rFonts w:ascii="Times New Roman" w:hAnsi="Times New Roman"/>
      <w:sz w:val="28"/>
      <w:szCs w:val="30"/>
    </w:rPr>
  </w:style>
  <w:style w:type="paragraph" w:styleId="1151" w:customStyle="1">
    <w:name w:val="Table Paragraph"/>
    <w:basedOn w:val="897"/>
    <w:uiPriority w:val="1"/>
    <w:qFormat/>
    <w:rPr>
      <w:rFonts w:ascii="Noto Sans CJK JP Regular" w:hAnsi="Noto Sans CJK JP Regular" w:eastAsia="Noto Sans CJK JP Regular" w:cs="Noto Sans CJK JP Regular"/>
    </w:rPr>
  </w:style>
  <w:style w:type="paragraph" w:styleId="1152" w:customStyle="1">
    <w:name w:val="正文（1）"/>
    <w:basedOn w:val="897"/>
    <w:uiPriority w:val="0"/>
    <w:qFormat/>
    <w:pPr>
      <w:numPr>
        <w:ilvl w:val="0"/>
        <w:numId w:val="1"/>
      </w:numPr>
      <w:ind w:firstLine="200"/>
    </w:pPr>
    <w:rPr>
      <w:szCs w:val="24"/>
    </w:rPr>
  </w:style>
  <w:style w:type="paragraph" w:styleId="1153" w:customStyle="1">
    <w:name w:val="朱-正文"/>
    <w:basedOn w:val="897"/>
    <w:uiPriority w:val="0"/>
    <w:qFormat/>
    <w:pPr>
      <w:ind w:firstLine="200"/>
    </w:pPr>
    <w:rPr>
      <w:rFonts w:ascii="Times New Roman"/>
      <w:color w:val="000000"/>
      <w:szCs w:val="24"/>
      <w:lang w:val="en-GB"/>
    </w:rPr>
  </w:style>
  <w:style w:type="paragraph" w:styleId="1154" w:customStyle="1">
    <w:name w:val="GP正文(首行缩进)"/>
    <w:basedOn w:val="897"/>
    <w:uiPriority w:val="0"/>
    <w:qFormat/>
    <w:pPr>
      <w:ind w:firstLine="480"/>
      <w:jc w:val="left"/>
    </w:pPr>
    <w:rPr>
      <w:rFonts w:ascii="Times New Roman" w:hAnsi="宋体"/>
      <w:sz w:val="24"/>
      <w:szCs w:val="24"/>
    </w:rPr>
  </w:style>
  <w:style w:type="character" w:styleId="1155" w:customStyle="1">
    <w:name w:val="font71"/>
    <w:uiPriority w:val="0"/>
    <w:qFormat/>
    <w:rPr>
      <w:rFonts w:hint="eastAsia" w:ascii="宋体" w:hAnsi="宋体" w:eastAsia="宋体" w:cs="宋体"/>
      <w:color w:val="ff0000"/>
      <w:sz w:val="21"/>
      <w:szCs w:val="21"/>
      <w:u w:val="none"/>
    </w:rPr>
  </w:style>
  <w:style w:type="character" w:styleId="1156" w:customStyle="1">
    <w:name w:val="font41"/>
    <w:uiPriority w:val="0"/>
    <w:qFormat/>
    <w:rPr>
      <w:rFonts w:hint="eastAsia" w:ascii="宋体" w:hAnsi="宋体" w:eastAsia="宋体" w:cs="宋体"/>
      <w:color w:val="000000"/>
      <w:sz w:val="21"/>
      <w:szCs w:val="21"/>
      <w:u w:val="none"/>
    </w:rPr>
  </w:style>
  <w:style w:type="paragraph" w:styleId="1157" w:customStyle="1">
    <w:name w:val="列出段落1"/>
    <w:basedOn w:val="897"/>
    <w:uiPriority w:val="0"/>
    <w:qFormat/>
    <w:pPr>
      <w:ind w:firstLine="420"/>
    </w:pPr>
  </w:style>
  <w:style w:type="paragraph" w:styleId="1158" w:customStyle="1">
    <w:name w:val="列出段落2"/>
    <w:basedOn w:val="897"/>
    <w:uiPriority w:val="34"/>
    <w:qFormat/>
    <w:pPr>
      <w:ind w:firstLine="420"/>
    </w:pPr>
    <w:rPr>
      <w:rFonts w:ascii="宋体"/>
      <w:color w:val="404040"/>
    </w:rPr>
  </w:style>
  <w:style w:type="paragraph" w:styleId="1159" w:customStyle="1">
    <w:name w:val="列表段落1"/>
    <w:basedOn w:val="897"/>
    <w:uiPriority w:val="0"/>
    <w:qFormat/>
    <w:pPr>
      <w:ind w:firstLine="200"/>
    </w:pPr>
    <w:rPr>
      <w:rFonts w:cs="宋体"/>
    </w:rPr>
  </w:style>
  <w:style w:type="character" w:styleId="1160" w:customStyle="1">
    <w:name w:val="font51"/>
    <w:uiPriority w:val="0"/>
    <w:qFormat/>
    <w:rPr>
      <w:rFonts w:hint="eastAsia" w:ascii="宋体" w:hAnsi="宋体" w:eastAsia="宋体" w:cs="宋体"/>
      <w:color w:val="000000"/>
      <w:sz w:val="24"/>
      <w:szCs w:val="24"/>
      <w:u w:val="none"/>
      <w:vertAlign w:val="subscript"/>
    </w:rPr>
  </w:style>
  <w:style w:type="character" w:styleId="1161" w:customStyle="1">
    <w:name w:val="font61"/>
    <w:uiPriority w:val="0"/>
    <w:qFormat/>
    <w:rPr>
      <w:rFonts w:hint="eastAsia" w:ascii="宋体" w:hAnsi="宋体" w:eastAsia="宋体" w:cs="宋体"/>
      <w:color w:val="000000"/>
      <w:sz w:val="24"/>
      <w:szCs w:val="24"/>
      <w:u w:val="none"/>
    </w:rPr>
  </w:style>
  <w:style w:type="character" w:styleId="1162" w:customStyle="1">
    <w:name w:val="font01"/>
    <w:uiPriority w:val="0"/>
    <w:qFormat/>
    <w:rPr>
      <w:rFonts w:hint="eastAsia" w:ascii="宋体" w:hAnsi="宋体" w:eastAsia="宋体" w:cs="宋体"/>
      <w:color w:val="000000"/>
      <w:sz w:val="24"/>
      <w:szCs w:val="24"/>
      <w:u w:val="none"/>
    </w:rPr>
  </w:style>
  <w:style w:type="character" w:styleId="1163" w:customStyle="1">
    <w:name w:val="font81"/>
    <w:uiPriority w:val="0"/>
    <w:qFormat/>
    <w:rPr>
      <w:rFonts w:ascii="微软雅黑" w:hAnsi="微软雅黑" w:eastAsia="微软雅黑" w:cs="微软雅黑"/>
      <w:color w:val="000000"/>
      <w:sz w:val="24"/>
      <w:szCs w:val="24"/>
      <w:u w:val="none"/>
    </w:rPr>
  </w:style>
  <w:style w:type="character" w:styleId="1164" w:customStyle="1">
    <w:name w:val="font91"/>
    <w:uiPriority w:val="0"/>
    <w:qFormat/>
    <w:rPr>
      <w:rFonts w:ascii="Segoe UI Symbol" w:hAnsi="Segoe UI Symbol" w:eastAsia="Segoe UI Symbol" w:cs="Segoe UI Symbol"/>
      <w:color w:val="000000"/>
      <w:sz w:val="24"/>
      <w:szCs w:val="24"/>
      <w:u w:val="none"/>
    </w:rPr>
  </w:style>
  <w:style w:type="character" w:styleId="1165" w:customStyle="1">
    <w:name w:val="font101"/>
    <w:uiPriority w:val="0"/>
    <w:qFormat/>
    <w:rPr>
      <w:rFonts w:ascii="Calibri" w:hAnsi="Calibri" w:cs="Calibri"/>
      <w:color w:val="000000"/>
      <w:sz w:val="24"/>
      <w:szCs w:val="24"/>
      <w:u w:val="none"/>
    </w:rPr>
  </w:style>
  <w:style w:type="paragraph" w:styleId="1166" w:customStyle="1">
    <w:name w:val="TableItem"/>
    <w:uiPriority w:val="0"/>
    <w:qFormat/>
    <w:rPr>
      <w:rFonts w:ascii="Verdana" w:hAnsi="Verdana" w:eastAsia="宋体" w:cs="Verdana"/>
      <w:b/>
      <w:bCs/>
      <w:color w:val="538135"/>
      <w:spacing w:val="-10"/>
      <w:sz w:val="16"/>
      <w:szCs w:val="28"/>
      <w:lang w:val="en-US" w:eastAsia="zh-CN" w:bidi="ar-SA"/>
    </w:rPr>
  </w:style>
  <w:style w:type="paragraph" w:styleId="1167" w:customStyle="1">
    <w:name w:val="TableEmphasis"/>
    <w:basedOn w:val="897"/>
    <w:uiPriority w:val="0"/>
    <w:qFormat/>
    <w:rPr>
      <w:rFonts w:ascii="Times New Roman" w:hAnsi="Times New Roman" w:eastAsia="Times New Roman"/>
      <w:b/>
      <w:bCs/>
      <w:color w:val="3333ff"/>
      <w:sz w:val="16"/>
      <w:szCs w:val="18"/>
    </w:rPr>
  </w:style>
  <w:style w:type="paragraph" w:styleId="1168" w:customStyle="1">
    <w:name w:val="修订1"/>
    <w:uiPriority w:val="99"/>
    <w:unhideWhenUsed/>
    <w:qFormat/>
    <w:rPr>
      <w:rFonts w:ascii="Calibri" w:hAnsi="Calibri" w:eastAsia="宋体" w:cs="Times New Roman"/>
      <w:sz w:val="21"/>
      <w:szCs w:val="22"/>
      <w:lang w:val="en-US" w:eastAsia="zh-CN" w:bidi="ar-SA"/>
    </w:rPr>
  </w:style>
  <w:style w:type="paragraph" w:styleId="1169" w:customStyle="1">
    <w:name w:val="修订2"/>
    <w:uiPriority w:val="99"/>
    <w:semiHidden/>
    <w:qFormat/>
    <w:rPr>
      <w:rFonts w:ascii="Calibri" w:hAnsi="Calibri" w:eastAsia="宋体" w:cs="Times New Roman"/>
      <w:sz w:val="21"/>
      <w:szCs w:val="22"/>
      <w:lang w:val="en-US" w:eastAsia="zh-CN" w:bidi="ar-SA"/>
    </w:rPr>
  </w:style>
  <w:style w:type="character" w:styleId="1170" w:customStyle="1">
    <w:name w:val="font11"/>
    <w:uiPriority w:val="0"/>
    <w:qFormat/>
    <w:rPr>
      <w:rFonts w:hint="eastAsia" w:ascii="宋体" w:hAnsi="宋体" w:eastAsia="宋体" w:cs="宋体"/>
      <w:color w:val="000000"/>
      <w:sz w:val="24"/>
      <w:szCs w:val="24"/>
      <w:u w:val="none"/>
    </w:rPr>
  </w:style>
  <w:style w:type="character" w:styleId="1171" w:customStyle="1">
    <w:name w:val="font21"/>
    <w:uiPriority w:val="0"/>
    <w:qFormat/>
    <w:rPr>
      <w:rFonts w:ascii="Segoe UI Symbol" w:hAnsi="Segoe UI Symbol" w:eastAsia="Segoe UI Symbol" w:cs="Segoe UI Symbol"/>
      <w:color w:val="000000"/>
      <w:sz w:val="24"/>
      <w:szCs w:val="24"/>
      <w:u w:val="none"/>
    </w:rPr>
  </w:style>
  <w:style w:type="character" w:styleId="1172" w:customStyle="1">
    <w:name w:val="NormalCharacter1"/>
    <w:uiPriority w:val="0"/>
    <w:semiHidden/>
    <w:qFormat/>
  </w:style>
  <w:style w:type="character" w:styleId="1173" w:customStyle="1">
    <w:name w:val="font31"/>
    <w:uiPriority w:val="0"/>
    <w:qFormat/>
    <w:rPr>
      <w:rFonts w:hint="eastAsia" w:ascii="宋体" w:hAnsi="宋体" w:eastAsia="宋体" w:cs="宋体"/>
      <w:color w:val="000000"/>
      <w:sz w:val="21"/>
      <w:szCs w:val="21"/>
      <w:u w:val="none"/>
    </w:rPr>
  </w:style>
  <w:style w:type="paragraph" w:styleId="1174" w:customStyle="1">
    <w:name w:val="无间隔1"/>
    <w:uiPriority w:val="1"/>
    <w:qFormat/>
    <w:rPr>
      <w:rFonts w:ascii="Times New Roman" w:hAnsi="Times New Roman" w:eastAsia="宋体" w:cs="Times New Roman"/>
      <w:lang w:val="en-US" w:eastAsia="zh-CN" w:bidi="ar-SA"/>
    </w:rPr>
  </w:style>
  <w:style w:type="paragraph" w:styleId="1175" w:customStyle="1">
    <w:name w:val="索引 41"/>
    <w:basedOn w:val="897"/>
    <w:next w:val="897"/>
    <w:uiPriority w:val="99"/>
    <w:unhideWhenUsed/>
    <w:qFormat/>
    <w:pPr>
      <w:ind w:left="600"/>
    </w:pPr>
    <w:rPr>
      <w:rFonts w:ascii="Verdana" w:hAnsi="Verdana" w:eastAsia="微软雅黑"/>
      <w:szCs w:val="20"/>
    </w:rPr>
  </w:style>
  <w:style w:type="paragraph" w:styleId="1176" w:customStyle="1">
    <w:name w:val="图例"/>
    <w:basedOn w:val="897"/>
    <w:uiPriority w:val="0"/>
    <w:qFormat/>
    <w:pPr>
      <w:jc w:val="center"/>
      <w:spacing w:before="120" w:after="120" w:line="360" w:lineRule="auto"/>
    </w:pPr>
    <w:rPr>
      <w:rFonts w:ascii="Times New Roman" w:hAnsi="Times New Roman" w:eastAsia="仿宋_GB2312"/>
      <w:b/>
      <w:sz w:val="24"/>
    </w:rPr>
  </w:style>
  <w:style w:type="character" w:styleId="1177" w:customStyle="1">
    <w:name w:val="批注框文本 字符"/>
    <w:basedOn w:val="907"/>
    <w:link w:val="923"/>
    <w:uiPriority w:val="99"/>
    <w:semiHidden/>
    <w:qFormat/>
    <w:rPr>
      <w:rFonts w:ascii="Calibri" w:hAnsi="Calibri"/>
      <w:sz w:val="18"/>
      <w:szCs w:val="18"/>
    </w:rPr>
  </w:style>
  <w:style w:type="paragraph" w:styleId="1178" w:customStyle="1">
    <w:name w:val="首行缩进"/>
    <w:basedOn w:val="897"/>
    <w:uiPriority w:val="0"/>
    <w:qFormat/>
    <w:pPr>
      <w:ind w:firstLine="480"/>
    </w:pPr>
    <w:rPr>
      <w:szCs w:val="20"/>
      <w:lang w:val="zh-CN"/>
    </w:rPr>
  </w:style>
  <w:style w:type="paragraph" w:styleId="1179" w:customStyle="1">
    <w:name w:val="Table Text"/>
    <w:basedOn w:val="897"/>
    <w:uiPriority w:val="0"/>
    <w:semiHidden/>
    <w:qFormat/>
    <w:rPr>
      <w:rFonts w:ascii="仿宋" w:hAnsi="仿宋" w:eastAsia="仿宋" w:cs="仿宋"/>
      <w:sz w:val="24"/>
      <w:szCs w:val="24"/>
      <w:lang w:eastAsia="en-US"/>
    </w:rPr>
  </w:style>
  <w:style w:type="paragraph" w:styleId="1180" w:customStyle="1">
    <w:name w:val="表格内容"/>
    <w:uiPriority w:val="0"/>
    <w:qFormat/>
    <w:pPr>
      <w:jc w:val="center"/>
      <w:spacing w:line="397" w:lineRule="exact"/>
    </w:pPr>
    <w:rPr>
      <w:rFonts w:ascii="Times New Roman" w:hAnsi="Times New Roman" w:eastAsia="宋体" w:cstheme="minorBidi"/>
      <w:sz w:val="24"/>
      <w:szCs w:val="22"/>
      <w:lang w:val="en-US" w:eastAsia="zh-CN" w:bidi="ar-SA"/>
    </w:rPr>
  </w:style>
  <w:style w:type="character" w:styleId="1181" w:customStyle="1">
    <w:name w:val="批注文字 字符"/>
    <w:basedOn w:val="907"/>
    <w:link w:val="913"/>
    <w:uiPriority w:val="99"/>
    <w:semiHidden/>
    <w:qFormat/>
    <w:rPr>
      <w:rFonts w:ascii="Calibri" w:hAnsi="Calibri"/>
      <w:sz w:val="21"/>
      <w:szCs w:val="22"/>
    </w:rPr>
  </w:style>
  <w:style w:type="character" w:styleId="1182" w:customStyle="1">
    <w:name w:val="批注主题 字符"/>
    <w:basedOn w:val="1181"/>
    <w:link w:val="936"/>
    <w:uiPriority w:val="99"/>
    <w:semiHidden/>
    <w:qFormat/>
    <w:rPr>
      <w:rFonts w:ascii="Calibri" w:hAnsi="Calibri"/>
      <w:b/>
      <w:bCs/>
      <w:sz w:val="21"/>
      <w:szCs w:val="22"/>
    </w:rPr>
  </w:style>
  <w:style w:type="numbering" w:styleId="11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00f18e7e-ed1a-4a7a-b4a5-2499d88fca46</errorID>
      <errorWord>(</errorWord>
      <group>L1_Format</group>
      <groupName>格式问题</groupName>
      <ability>L2_HalfPunc</ability>
      <abilityName>全半角检查</abilityName>
      <candidateList>
        <item>（</item>
      </candidateList>
      <explain>文本全半角错误。</explain>
      <paraID>34C82BC9</paraID>
      <start>44</start>
      <end>45</end>
      <status>unmodified</status>
      <modifiedWord/>
      <trackRevisions>false</trackRevisions>
    </reviewItem>
    <reviewItem>
      <errorID>6d354dad-8fe3-4704-a2e3-0c0dbcfc44d9</errorID>
      <errorWord>)</errorWord>
      <group>L1_Format</group>
      <groupName>格式问题</groupName>
      <ability>L2_HalfPunc</ability>
      <abilityName>全半角检查</abilityName>
      <candidateList>
        <item>）</item>
      </candidateList>
      <explain>文本全半角错误。</explain>
      <paraID>34C82BC9</paraID>
      <start>73</start>
      <end>74</end>
      <status>unmodified</status>
      <modifiedWord/>
      <trackRevisions>false</trackRevisions>
    </reviewItem>
    <reviewItem>
      <errorID>3d851456-2c0c-4c6a-ba65-b6aab6a62449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A8B975D</paraID>
      <start>30</start>
      <end>33</end>
      <status>unmodified</status>
      <modifiedWord/>
      <trackRevisions>false</trackRevisions>
    </reviewItem>
    <reviewItem>
      <errorID>133d5892-ca95-4215-adb7-c7e90fe4385c</errorID>
      <errorWord>,</errorWord>
      <group>L1_Format</group>
      <groupName>格式问题</groupName>
      <ability>L2_HalfPunc</ability>
      <abilityName>全半角检查</abilityName>
      <candidateList>
        <item>，</item>
      </candidateList>
      <explain>文本全半角错误。</explain>
      <paraID>2CE55DDA</paraID>
      <start>41</start>
      <end>42</end>
      <status>unmodified</status>
      <modifiedWord/>
      <trackRevisions>false</trackRevisions>
    </reviewItem>
    <reviewItem>
      <errorID>c6769deb-14a7-4ca8-ae1c-2618607d4c14</errorID>
      <errorWord>,</errorWord>
      <group>L1_Format</group>
      <groupName>格式问题</groupName>
      <ability>L2_HalfPunc</ability>
      <abilityName>全半角检查</abilityName>
      <candidateList>
        <item>，</item>
      </candidateList>
      <explain>文本全半角错误。</explain>
      <paraID>1525E44D</paraID>
      <start>47</start>
      <end>48</end>
      <status>unmodified</status>
      <modifiedWord/>
      <trackRevisions>false</trackRevisions>
    </reviewItem>
    <reviewItem>
      <errorID>32c87385-8dfc-41f0-8e44-8dfb4413d561</errorID>
      <errorWord>)</errorWord>
      <group>L1_Format</group>
      <groupName>格式问题</groupName>
      <ability>L2_HalfPunc</ability>
      <abilityName>全半角检查</abilityName>
      <candidateList>
        <item>）</item>
      </candidateList>
      <explain>文本全半角错误。</explain>
      <paraID>32525FE1</paraID>
      <start>134</start>
      <end>135</end>
      <status>unmodified</status>
      <modifiedWord/>
      <trackRevisions>false</trackRevisions>
    </reviewItem>
    <reviewItem>
      <errorID>a1bedb0b-a2e4-4924-983e-550a482b6598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5002E752</paraID>
      <start>38</start>
      <end>39</end>
      <status>unmodified</status>
      <modifiedWord/>
      <trackRevisions>false</trackRevisions>
    </reviewItem>
    <reviewItem>
      <errorID>62706058-deef-402a-9c60-1a1a5e37d274</errorID>
      <errorWord>"</errorWord>
      <group>L1_Format</group>
      <groupName>格式问题</groupName>
      <ability>L2_HalfPunc</ability>
      <abilityName>全半角检查</abilityName>
      <candidateList>
        <item>”</item>
      </candidateList>
      <explain>文本全半角错误。</explain>
      <paraID>5002E752</paraID>
      <start>46</start>
      <end>47</end>
      <status>unmodified</status>
      <modifiedWord/>
      <trackRevisions>false</trackRevisions>
    </reviewItem>
    <reviewItem>
      <errorID>92afcea0-df83-4f9a-90b9-1074f9d8c22a</errorID>
      <errorWord>)</errorWord>
      <group>L1_Format</group>
      <groupName>格式问题</groupName>
      <ability>L2_HalfPunc</ability>
      <abilityName>全半角检查</abilityName>
      <candidateList>
        <item>）</item>
      </candidateList>
      <explain>文本全半角错误。</explain>
      <paraID>5002E752</paraID>
      <start>63</start>
      <end>64</end>
      <status>unmodified</status>
      <modifiedWord/>
      <trackRevisions>false</trackRevisions>
    </reviewItem>
    <reviewItem>
      <errorID>6f6dcd80-e002-4644-82a3-b8fe16a97a39</errorID>
      <errorWord>其它</errorWord>
      <group>L1_Word</group>
      <groupName>字词问题</groupName>
      <ability>L2_Alias</ability>
      <abilityName>也作/曾用词</abilityName>
      <candidateList>
        <item>其他</item>
      </candidateList>
      <explain>词汇[其它]为不规范表述或旧称，其规范书面表述为[其他]。</explain>
      <paraID>3C6D5D48</paraID>
      <start>2</start>
      <end>4</end>
      <status>unmodified</status>
      <modifiedWord/>
      <trackRevisions>false</trackRevisions>
    </reviewItem>
    <reviewItem>
      <errorID>0af7fdb0-77de-42d3-8378-d4f30a3cfe9d</errorID>
      <errorWord>-</errorWord>
      <group>L1_Format</group>
      <groupName>格式问题</groupName>
      <ability>L2_HalfPunc</ability>
      <abilityName>全半角检查</abilityName>
      <candidateList>
        <item>－</item>
      </candidateList>
      <explain>文本全半角错误。</explain>
      <paraID>3D91DE5E</paraID>
      <start>40</start>
      <end>41</end>
      <status>unmodified</status>
      <modifiedWord/>
      <trackRevisions>false</trackRevisions>
    </reviewItem>
    <reviewItem>
      <errorID>7dfc9ae6-1d1a-4ae1-9c23-c7da63c95c02</errorID>
      <errorWord>-</errorWord>
      <group>L1_Format</group>
      <groupName>格式问题</groupName>
      <ability>L2_HalfPunc</ability>
      <abilityName>全半角检查</abilityName>
      <candidateList>
        <item>－</item>
      </candidateList>
      <explain>文本全半角错误。</explain>
      <paraID>3D91DE5E</paraID>
      <start>41</start>
      <end>42</end>
      <status>unmodified</status>
      <modifiedWord/>
      <trackRevisions>false</trackRevisions>
    </reviewItem>
    <reviewItem>
      <errorID>eebdf01d-270a-4b59-af2f-8d7074c0b27a</errorID>
      <errorWord>-</errorWord>
      <group>L1_Format</group>
      <groupName>格式问题</groupName>
      <ability>L2_HalfPunc</ability>
      <abilityName>全半角检查</abilityName>
      <candidateList>
        <item>－</item>
      </candidateList>
      <explain>文本全半角错误。</explain>
      <paraID>3D91DE5E</paraID>
      <start>67</start>
      <end>68</end>
      <status>unmodified</status>
      <modifiedWord/>
      <trackRevisions>false</trackRevisions>
    </reviewItem>
    <reviewItem>
      <errorID>be908a3b-0a7d-42d0-ad0f-9ce3d4fc330a</errorID>
      <errorWord>-</errorWord>
      <group>L1_Format</group>
      <groupName>格式问题</groupName>
      <ability>L2_HalfPunc</ability>
      <abilityName>全半角检查</abilityName>
      <candidateList>
        <item>－</item>
      </candidateList>
      <explain>文本全半角错误。</explain>
      <paraID>3D91DE5E</paraID>
      <start>68</start>
      <end>69</end>
      <status>unmodified</status>
      <modifiedWord/>
      <trackRevisions>false</trackRevisions>
    </reviewItem>
    <reviewItem>
      <errorID>9c73ceb4-bd2e-4d8a-8325-c9bd8d89a687</errorID>
      <errorWord>“.</errorWord>
      <group>L1_Punc</group>
      <groupName>标点问题</groupName>
      <ability>L2_Punc</ability>
      <abilityName>标点符号检查</abilityName>
      <candidateList>
        <item>“</item>
      </candidateList>
      <explain/>
      <paraID>3D91DE5E</paraID>
      <start>80</start>
      <end>82</end>
      <status>unmodified</status>
      <modifiedWord/>
      <trackRevisions>false</trackRevisions>
    </reviewItem>
    <reviewItem>
      <errorID>e65ad7ee-6073-43bb-996b-074bb31ad1f2</errorID>
      <errorWord>“.</errorWord>
      <group>L1_Punc</group>
      <groupName>标点问题</groupName>
      <ability>L2_Punc</ability>
      <abilityName>标点符号检查</abilityName>
      <candidateList>
        <item>“</item>
      </candidateList>
      <explain/>
      <paraID>3D91DE5E</paraID>
      <start>95</start>
      <end>97</end>
      <status>unmodified</status>
      <modifiedWord/>
      <trackRevisions>false</trackRevisions>
    </reviewItem>
    <reviewItem>
      <errorID>63d28dcc-1723-4e2f-bbc2-d406710470f7</errorID>
      <errorWord>-</errorWord>
      <group>L1_Format</group>
      <groupName>格式问题</groupName>
      <ability>L2_HalfPunc</ability>
      <abilityName>全半角检查</abilityName>
      <candidateList>
        <item>－</item>
      </candidateList>
      <explain>文本全半角错误。</explain>
      <paraID>3D91DE5E</paraID>
      <start>118</start>
      <end>119</end>
      <status>unmodified</status>
      <modifiedWord/>
      <trackRevisions>false</trackRevisions>
    </reviewItem>
    <reviewItem>
      <errorID>8de0a571-5953-4027-accc-afbd1ebf3c34</errorID>
      <errorWord>-</errorWord>
      <group>L1_Format</group>
      <groupName>格式问题</groupName>
      <ability>L2_HalfPunc</ability>
      <abilityName>全半角检查</abilityName>
      <candidateList>
        <item>－</item>
      </candidateList>
      <explain>文本全半角错误。</explain>
      <paraID>3D91DE5E</paraID>
      <start>119</start>
      <end>120</end>
      <status>unmodified</status>
      <modifiedWord/>
      <trackRevisions>false</trackRevisions>
    </reviewItem>
    <reviewItem>
      <errorID>c4dd98e9-c97d-41ea-a18f-095c8969e962</errorID>
      <errorWord>-</errorWord>
      <group>L1_Format</group>
      <groupName>格式问题</groupName>
      <ability>L2_HalfPunc</ability>
      <abilityName>全半角检查</abilityName>
      <candidateList>
        <item>－</item>
      </candidateList>
      <explain>文本全半角错误。</explain>
      <paraID>3D91DE5E</paraID>
      <start>126</start>
      <end>127</end>
      <status>unmodified</status>
      <modifiedWord/>
      <trackRevisions>false</trackRevisions>
    </reviewItem>
    <reviewItem>
      <errorID>63f2962e-41a7-4efe-9066-8bc6de1afcd4</errorID>
      <errorWord>-</errorWord>
      <group>L1_Format</group>
      <groupName>格式问题</groupName>
      <ability>L2_HalfPunc</ability>
      <abilityName>全半角检查</abilityName>
      <candidateList>
        <item>－</item>
      </candidateList>
      <explain>文本全半角错误。</explain>
      <paraID>3D91DE5E</paraID>
      <start>127</start>
      <end>128</end>
      <status>unmodified</status>
      <modifiedWord/>
      <trackRevisions>false</trackRevisions>
    </reviewItem>
    <reviewItem>
      <errorID>44c0dd17-f573-4489-af65-f9372f2921c1</errorID>
      <errorWord>。</errorWord>
      <group>L1_Format</group>
      <groupName>格式问题</groupName>
      <ability>L2_HalfPunc</ability>
      <abilityName>全半角检查</abilityName>
      <candidateList>
        <item>.</item>
      </candidateList>
      <explain>文本全半角错误。</explain>
      <paraID>5F507D26</paraID>
      <start>82</start>
      <end>83</end>
      <status>unmodified</status>
      <modifiedWord/>
      <trackRevisions>false</trackRevisions>
    </reviewItem>
    <reviewItem>
      <errorID>16329782-2d6e-4100-8c63-f4ae12291a2d</errorID>
      <errorWord>“.</errorWord>
      <group>L1_Punc</group>
      <groupName>标点问题</groupName>
      <ability>L2_Punc</ability>
      <abilityName>标点符号检查</abilityName>
      <candidateList>
        <item>“</item>
      </candidateList>
      <explain/>
      <paraID>4C0C16C1</paraID>
      <start>12</start>
      <end>14</end>
      <status>unmodified</status>
      <modifiedWord/>
      <trackRevisions>false</trackRevisions>
    </reviewItem>
    <reviewItem>
      <errorID>7de8d8e9-1036-45f9-a996-1f5dbb8835b0</errorID>
      <errorWord>-</errorWord>
      <group>L1_Format</group>
      <groupName>格式问题</groupName>
      <ability>L2_HalfPunc</ability>
      <abilityName>全半角检查</abilityName>
      <candidateList>
        <item>－</item>
      </candidateList>
      <explain>文本全半角错误。</explain>
      <paraID>4C0C16C1</paraID>
      <start>49</start>
      <end>50</end>
      <status>unmodified</status>
      <modifiedWord/>
      <trackRevisions>false</trackRevisions>
    </reviewItem>
    <reviewItem>
      <errorID>252602d4-ffdf-49ec-b15d-d6e7ccab6cd2</errorID>
      <errorWord>-</errorWord>
      <group>L1_Format</group>
      <groupName>格式问题</groupName>
      <ability>L2_HalfPunc</ability>
      <abilityName>全半角检查</abilityName>
      <candidateList>
        <item>－</item>
      </candidateList>
      <explain>文本全半角错误。</explain>
      <paraID>4C0C16C1</paraID>
      <start>50</start>
      <end>51</end>
      <status>unmodified</status>
      <modifiedWord/>
      <trackRevisions>false</trackRevisions>
    </reviewItem>
    <reviewItem>
      <errorID>2b21d921-29c0-4b46-9327-5df67665517c</errorID>
      <errorWord>-</errorWord>
      <group>L1_Format</group>
      <groupName>格式问题</groupName>
      <ability>L2_HalfPunc</ability>
      <abilityName>全半角检查</abilityName>
      <candidateList>
        <item>－</item>
      </candidateList>
      <explain>文本全半角错误。</explain>
      <paraID>4C0C16C1</paraID>
      <start>56</start>
      <end>57</end>
      <status>unmodified</status>
      <modifiedWord/>
      <trackRevisions>false</trackRevisions>
    </reviewItem>
    <reviewItem>
      <errorID>33a97820-0fed-41a2-9af2-779425be7dc1</errorID>
      <errorWord>-</errorWord>
      <group>L1_Format</group>
      <groupName>格式问题</groupName>
      <ability>L2_HalfPunc</ability>
      <abilityName>全半角检查</abilityName>
      <candidateList>
        <item>－</item>
      </candidateList>
      <explain>文本全半角错误。</explain>
      <paraID>4C0C16C1</paraID>
      <start>57</start>
      <end>58</end>
      <status>unmodified</status>
      <modifiedWord/>
      <trackRevisions>false</trackRevisions>
    </reviewItem>
    <reviewItem>
      <errorID>4a930bcc-48b1-4516-95e6-de87035b7cda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351DE147</paraID>
      <start>35</start>
      <end>38</end>
      <status>unmodified</status>
      <modifiedWord/>
      <trackRevisions>false</trackRevisions>
    </reviewItem>
    <reviewItem>
      <errorID>5c880d97-639a-405d-a349-923cc32d94c7</errorID>
      <errorWord>(</errorWord>
      <group>L1_Format</group>
      <groupName>格式问题</groupName>
      <ability>L2_HalfPunc</ability>
      <abilityName>全半角检查</abilityName>
      <candidateList>
        <item>（</item>
      </candidateList>
      <explain>文本全半角错误。</explain>
      <paraID>42DE6B47</paraID>
      <start>126</start>
      <end>127</end>
      <status>unmodified</status>
      <modifiedWord/>
      <trackRevisions>false</trackRevisions>
    </reviewItem>
    <reviewItem>
      <errorID>14e4973d-1b2c-484e-98bf-20fee819d0d0</errorID>
      <errorWord>)</errorWord>
      <group>L1_Format</group>
      <groupName>格式问题</groupName>
      <ability>L2_HalfPunc</ability>
      <abilityName>全半角检查</abilityName>
      <candidateList>
        <item>）</item>
      </candidateList>
      <explain>文本全半角错误。</explain>
      <paraID>42DE6B47</paraID>
      <start>164</start>
      <end>165</end>
      <status>unmodified</status>
      <modifiedWord/>
      <trackRevisions>false</trackRevisions>
    </reviewItem>
    <reviewItem>
      <errorID>20fec373-fd13-4185-9f39-ac45845b3966</errorID>
      <errorWord>《</errorWord>
      <group>L1_Punc</group>
      <groupName>标点问题</groupName>
      <ability>L2_Punc</ability>
      <abilityName>标点符号检查</abilityName>
      <candidateList/>
      <explain>同一形式括号套用。</explain>
      <paraID>6867D069</paraID>
      <start>36</start>
      <end>37</end>
      <status>unmodified</status>
      <modifiedWord/>
      <trackRevisions>false</trackRevisions>
    </reviewItem>
    <reviewItem>
      <errorID>3c09abc1-1ed4-466e-8854-d319862cc0d2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6867D069</paraID>
      <start>53</start>
      <end>56</end>
      <status>unmodified</status>
      <modifiedWord/>
      <trackRevisions>false</trackRevisions>
    </reviewItem>
    <reviewItem>
      <errorID>9d26fc9a-5a47-4e5c-9155-824a6da7f482</errorID>
      <errorWord>》</errorWord>
      <group>L1_Punc</group>
      <groupName>标点问题</groupName>
      <ability>L2_Punc</ability>
      <abilityName>标点符号检查</abilityName>
      <candidateList/>
      <explain>同一形式括号套用。</explain>
      <paraID>6867D069</paraID>
      <start>72</start>
      <end>73</end>
      <status>unmodified</status>
      <modifiedWord/>
      <trackRevisions>false</trackRevisions>
    </reviewItem>
    <reviewItem>
      <errorID>8fa61df5-1e9f-4493-8af2-ce68c254d6e3</errorID>
      <errorWord>不影响其它</errorWord>
      <group>L1_Word</group>
      <groupName>字词问题</groupName>
      <ability>L2_Alias</ability>
      <abilityName>也作/曾用词</abilityName>
      <candidateList>
        <item>不影响其他</item>
      </candidateList>
      <explain>词汇[不影响其它]为不规范表述或旧称，其规范书面表述为[不影响其他]。</explain>
      <paraID>63AA456F</paraID>
      <start>34</start>
      <end>39</end>
      <status>unmodified</status>
      <modifiedWord/>
      <trackRevisions>false</trackRevisions>
    </reviewItem>
    <reviewItem>
      <errorID>6061c343-7454-4fa6-b79c-ceee83b0ee1e</errorID>
      <errorWord>[2024]20号</errorWord>
      <group>L1_Knowledge</group>
      <groupName>知识性问题</groupName>
      <ability>L2_Knowledge</ability>
      <abilityName>其他知识</abilityName>
      <candidateList>
        <item>〔2024〕20号</item>
      </candidateList>
      <explain>发文字号格式错误。</explain>
      <paraID>7B1E145B</paraID>
      <start>26</start>
      <end>35</end>
      <status>unmodified</status>
      <modifiedWord/>
      <trackRevisions>false</trackRevisions>
    </reviewItem>
    <reviewItem>
      <errorID>bdf16e7c-278c-428b-aecc-b18e6b088c03</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A0C0F5C</paraID>
      <start>8</start>
      <end>9</end>
      <status>unmodified</status>
      <modifiedWord/>
      <trackRevisions>false</trackRevisions>
    </reviewItem>
    <reviewItem>
      <errorID>11ca81b9-9393-4875-be97-add28b12d8ad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784D124F</paraID>
      <start>21</start>
      <end>24</end>
      <status>unmodified</status>
      <modifiedWord/>
      <trackRevisions>false</trackRevisions>
    </reviewItem>
    <reviewItem>
      <errorID>09892260-49ad-4263-b79b-cdad5f34ffef</errorID>
      <errorWord>(</errorWord>
      <group>L1_Format</group>
      <groupName>格式问题</groupName>
      <ability>L2_HalfPunc</ability>
      <abilityName>全半角检查</abilityName>
      <candidateList>
        <item>（</item>
      </candidateList>
      <explain>文本全半角错误。</explain>
      <paraID>3ED906C4</paraID>
      <start>111</start>
      <end>112</end>
      <status>unmodified</status>
      <modifiedWord/>
      <trackRevisions>false</trackRevisions>
    </reviewItem>
    <reviewItem>
      <errorID>e5abb477-1df5-44af-8072-cc521c3c1dae</errorID>
      <errorWord>)</errorWord>
      <group>L1_Format</group>
      <groupName>格式问题</groupName>
      <ability>L2_HalfPunc</ability>
      <abilityName>全半角检查</abilityName>
      <candidateList>
        <item>）</item>
      </candidateList>
      <explain>文本全半角错误。</explain>
      <paraID>3ED906C4</paraID>
      <start>134</start>
      <end>135</end>
      <status>unmodified</status>
      <modifiedWord/>
      <trackRevisions>false</trackRevisions>
    </reviewItem>
    <reviewItem>
      <errorID>dad87958-7c7e-4efc-8340-6c8904ccb10d</errorID>
      <errorWord>涉及到</errorWord>
      <group>L1_Grammar</group>
      <groupName>语法问题</groupName>
      <ability>L2_Grammar</ability>
      <abilityName>语法错误</abilityName>
      <candidateList>
        <item>涉及</item>
      </candidateList>
      <explain>〈动〉牵涉到；关联到：案子～好几个人｜这个问题～面很广。</explain>
      <paraID>13C2D937</paraID>
      <start>13</start>
      <end>16</end>
      <status>unmodified</status>
      <modifiedWord/>
      <trackRevisions>false</trackRevisions>
    </reviewItem>
    <reviewItem>
      <errorID>acf6b0ad-0e44-428a-a553-06b199dfa193</errorID>
      <errorWord>有助于对</errorWord>
      <group>L1_Grammar</group>
      <groupName>语法问题</groupName>
      <ability>L2_Grammar</ability>
      <abilityName>语法错误</abilityName>
      <candidateList>
        <item>有助于</item>
      </candidateList>
      <explain/>
      <paraID> 802E173</paraID>
      <start>10</start>
      <end>14</end>
      <status>unmodified</status>
      <modifiedWord/>
      <trackRevisions>false</trackRevisions>
    </reviewItem>
    <reviewItem>
      <errorID>3326f104-5ba5-40ce-9404-c18ab73e287a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737601EF</paraID>
      <start>50</start>
      <end>51</end>
      <status>unmodified</status>
      <modifiedWord/>
      <trackRevisions>false</trackRevisions>
    </reviewItem>
    <reviewItem>
      <errorID>dece11fd-9439-445e-954c-dbb81f0c2d89</errorID>
      <errorWord>"</errorWord>
      <group>L1_Format</group>
      <groupName>格式问题</groupName>
      <ability>L2_HalfPunc</ability>
      <abilityName>全半角检查</abilityName>
      <candidateList>
        <item>”</item>
      </candidateList>
      <explain>文本全半角错误。</explain>
      <paraID>737601EF</paraID>
      <start>58</start>
      <end>59</end>
      <status>unmodified</status>
      <modifiedWord/>
      <trackRevisions>false</trackRevisions>
    </reviewItem>
    <reviewItem>
      <errorID>bf6e78ba-8743-4c34-9d8d-def98016e7b6</errorID>
      <errorWord>)</errorWord>
      <group>L1_Format</group>
      <groupName>格式问题</groupName>
      <ability>L2_HalfPunc</ability>
      <abilityName>全半角检查</abilityName>
      <candidateList>
        <item>）</item>
      </candidateList>
      <explain>文本全半角错误。</explain>
      <paraID>737601EF</paraID>
      <start>75</start>
      <end>76</end>
      <status>unmodified</status>
      <modifiedWord/>
      <trackRevisions>false</trackRevisions>
    </reviewItem>
    <reviewItem>
      <errorID>ffda13e9-ad61-4ec7-a2d3-d61da2fde16e</errorID>
      <errorWord>,</errorWord>
      <group>L1_Format</group>
      <groupName>格式问题</groupName>
      <ability>L2_HalfPunc</ability>
      <abilityName>全半角检查</abilityName>
      <candidateList>
        <item>，</item>
      </candidateList>
      <explain>文本全半角错误。</explain>
      <paraID>607EAF68</paraID>
      <start>57</start>
      <end>58</end>
      <status>unmodified</status>
      <modifiedWord/>
      <trackRevisions>false</trackRevisions>
    </reviewItem>
    <reviewItem>
      <errorID>a40241c2-e473-4103-ba68-065cf4127048</errorID>
      <errorWord>保持通讯畅通</errorWord>
      <group>L1_Word</group>
      <groupName>字词问题</groupName>
      <ability>L2_Typo</ability>
      <abilityName>字词错误</abilityName>
      <candidateList>
        <item>保持通信畅通</item>
      </candidateList>
      <explain/>
      <paraID>7EF9B8AB</paraID>
      <start>18</start>
      <end>24</end>
      <status>unmodified</status>
      <modifiedWord/>
      <trackRevisions>false</trackRevisions>
    </reviewItem>
    <reviewItem>
      <errorID>515a9d1f-1cf0-4552-9dff-314942950013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6D51FEFE</paraID>
      <start>45</start>
      <end>46</end>
      <status>unmodified</status>
      <modifiedWord/>
      <trackRevisions>false</trackRevisions>
    </reviewItem>
    <reviewItem>
      <errorID>1fab0cc7-b6fa-417f-bc0b-acbba1e0c05f</errorID>
      <errorWord>"</errorWord>
      <group>L1_Format</group>
      <groupName>格式问题</groupName>
      <ability>L2_HalfPunc</ability>
      <abilityName>全半角检查</abilityName>
      <candidateList>
        <item>”</item>
      </candidateList>
      <explain>文本全半角错误。</explain>
      <paraID>6D51FEFE</paraID>
      <start>53</start>
      <end>54</end>
      <status>unmodified</status>
      <modifiedWord/>
      <trackRevisions>false</trackRevisions>
    </reviewItem>
    <reviewItem>
      <errorID>1b9b3d4b-863e-41b5-8fb5-baf36ae5efc9</errorID>
      <errorWord>)</errorWord>
      <group>L1_Format</group>
      <groupName>格式问题</groupName>
      <ability>L2_HalfPunc</ability>
      <abilityName>全半角检查</abilityName>
      <candidateList>
        <item>）</item>
      </candidateList>
      <explain>文本全半角错误。</explain>
      <paraID>6D51FEFE</paraID>
      <start>70</start>
      <end>71</end>
      <status>unmodified</status>
      <modifiedWord/>
      <trackRevisions>false</trackRevisions>
    </reviewItem>
    <reviewItem>
      <errorID>7887770b-1509-4320-b6f9-d68af9dfef19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808F8F2</paraID>
      <start>45</start>
      <end>48</end>
      <status>unmodified</status>
      <modifiedWord/>
      <trackRevisions>false</trackRevisions>
    </reviewItem>
    <reviewItem>
      <errorID>9d9229ce-7268-406d-9c0b-4a7384576803</errorID>
      <errorWord>法律、法规</errorWord>
      <group>L1_Word</group>
      <groupName>字词问题</groupName>
      <ability>L2_Typo</ability>
      <abilityName>字词错误</abilityName>
      <candidateList>
        <item>法律法规</item>
      </candidateList>
      <explain/>
      <paraID>74A656F6</paraID>
      <start>9</start>
      <end>14</end>
      <status>unmodified</status>
      <modifiedWord/>
      <trackRevisions>false</trackRevisions>
    </reviewItem>
    <reviewItem>
      <errorID>69ece788-1344-4acf-aa23-fd91459c252d</errorID>
      <errorWord>属</errorWord>
      <group>L1_Word</group>
      <groupName>字词问题</groupName>
      <ability>L2_Typo</ability>
      <abilityName>字词错误</abilityName>
      <candidateList>
        <item>属于</item>
      </candidateList>
      <explain/>
      <paraID>74A656F6</paraID>
      <start>23</start>
      <end>24</end>
      <status>unmodified</status>
      <modifiedWord/>
      <trackRevisions>false</trackRevisions>
    </reviewItem>
    <reviewItem>
      <errorID>d84454b1-ef6d-4f88-b691-c05bf3ba9dc2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1794C5DF</paraID>
      <start>19</start>
      <end>22</end>
      <status>unmodified</status>
      <modifiedWord/>
      <trackRevisions>false</trackRevisions>
    </reviewItem>
    <reviewItem>
      <errorID>00ca284b-095f-407c-a9e0-0a33f43db861</errorID>
      <errorWord>法律、法规</errorWord>
      <group>L1_Word</group>
      <groupName>字词问题</groupName>
      <ability>L2_Typo</ability>
      <abilityName>字词错误</abilityName>
      <candidateList>
        <item>法律法规</item>
      </candidateList>
      <explain/>
      <paraID>38448265</paraID>
      <start>9</start>
      <end>14</end>
      <status>unmodified</status>
      <modifiedWord/>
      <trackRevisions>false</trackRevisions>
    </reviewItem>
    <reviewItem>
      <errorID>ef6fd9e4-606b-4031-b9f0-c740f074088e</errorID>
      <errorWord>须</errorWord>
      <group>L1_Word</group>
      <groupName>字词问题</groupName>
      <ability>L2_Typo</ability>
      <abilityName>字词错误</abilityName>
      <candidateList>
        <item>需</item>
      </candidateList>
      <explain>存在发音相同字词的误用。</explain>
      <paraID>5EAA34DE</paraID>
      <start>23</start>
      <end>24</end>
      <status>unmodified</status>
      <modifiedWord/>
      <trackRevisions>false</trackRevisions>
    </reviewItem>
    <reviewItem>
      <errorID>81beba03-4f93-4d39-8af0-49c82fb0e0e8</errorID>
      <errorWord>围</errorWord>
      <group>L1_Word</group>
      <groupName>字词问题</groupName>
      <ability>L2_Typo</ability>
      <abilityName>字词错误</abilityName>
      <candidateList>
        <item>围内</item>
      </candidateList>
      <explain/>
      <paraID>7397B3A9</paraID>
      <start>7</start>
      <end>8</end>
      <status>unmodified</status>
      <modifiedWord/>
      <trackRevisions>false</trackRevisions>
    </reviewItem>
    <reviewItem>
      <errorID>20697763-fe02-4290-bcd5-c0a72711d411</errorID>
      <errorWord>,</errorWord>
      <group>L1_Format</group>
      <groupName>格式问题</groupName>
      <ability>L2_HalfPunc</ability>
      <abilityName>全半角检查</abilityName>
      <candidateList>
        <item>，</item>
      </candidateList>
      <explain>文本全半角错误。</explain>
      <paraID>27B0A3C0</paraID>
      <start>70</start>
      <end>71</end>
      <status>unmodified</status>
      <modifiedWord/>
      <trackRevisions>false</trackRevisions>
    </reviewItem>
    <reviewItem>
      <errorID>b1c54c98-d29c-486f-8ff6-1e2f75108173</errorID>
      <errorWord>(</errorWord>
      <group>L1_Format</group>
      <groupName>格式问题</groupName>
      <ability>L2_HalfPunc</ability>
      <abilityName>全半角检查</abilityName>
      <candidateList>
        <item>（</item>
      </candidateList>
      <explain>文本全半角错误。</explain>
      <paraID>137AA5E0</paraID>
      <start>25</start>
      <end>26</end>
      <status>unmodified</status>
      <modifiedWord/>
      <trackRevisions>false</trackRevisions>
    </reviewItem>
    <reviewItem>
      <errorID>ea384bff-b309-4b79-ada2-0a7e4a11990d</errorID>
      <errorWord>)</errorWord>
      <group>L1_Format</group>
      <groupName>格式问题</groupName>
      <ability>L2_HalfPunc</ability>
      <abilityName>全半角检查</abilityName>
      <candidateList>
        <item>）</item>
      </candidateList>
      <explain>文本全半角错误。</explain>
      <paraID>137AA5E0</paraID>
      <start>47</start>
      <end>48</end>
      <status>unmodified</status>
      <modifiedWord/>
      <trackRevisions>false</trackRevisions>
    </reviewItem>
    <reviewItem>
      <errorID>ef6ccd63-3d81-4c6e-a85b-2e32eb8e4a4c</errorID>
      <errorWord>,</errorWord>
      <group>L1_Format</group>
      <groupName>格式问题</groupName>
      <ability>L2_HalfPunc</ability>
      <abilityName>全半角检查</abilityName>
      <candidateList>
        <item>，</item>
      </candidateList>
      <explain>文本全半角错误。</explain>
      <paraID>3B92E77B</paraID>
      <start>37</start>
      <end>38</end>
      <status>unmodified</status>
      <modifiedWord/>
      <trackRevisions>false</trackRevisions>
    </reviewItem>
    <reviewItem>
      <errorID>fdbe4f8c-9165-4606-adb1-a1a3bed1950a</errorID>
      <errorWord>,</errorWord>
      <group>L1_Format</group>
      <groupName>格式问题</groupName>
      <ability>L2_HalfPunc</ability>
      <abilityName>全半角检查</abilityName>
      <candidateList>
        <item>，</item>
      </candidateList>
      <explain>文本全半角错误。</explain>
      <paraID>3B92E77B</paraID>
      <start>78</start>
      <end>79</end>
      <status>unmodified</status>
      <modifiedWord/>
      <trackRevisions>false</trackRevisions>
    </reviewItem>
    <reviewItem>
      <errorID>ba507d91-077e-4be0-9537-7ad72129df4b</errorID>
      <errorWord>,</errorWord>
      <group>L1_Format</group>
      <groupName>格式问题</groupName>
      <ability>L2_HalfPunc</ability>
      <abilityName>全半角检查</abilityName>
      <candidateList>
        <item>，</item>
      </candidateList>
      <explain>文本全半角错误。</explain>
      <paraID>3B92E77B</paraID>
      <start>88</start>
      <end>89</end>
      <status>unmodified</status>
      <modifiedWord/>
      <trackRevisions>false</trackRevisions>
    </reviewItem>
    <reviewItem>
      <errorID>625d56aa-8d9c-448d-9f0e-f275857524e7</errorID>
      <errorWord>,</errorWord>
      <group>L1_Format</group>
      <groupName>格式问题</groupName>
      <ability>L2_HalfPunc</ability>
      <abilityName>全半角检查</abilityName>
      <candidateList>
        <item>，</item>
      </candidateList>
      <explain>文本全半角错误。</explain>
      <paraID>3B92E77B</paraID>
      <start>107</start>
      <end>108</end>
      <status>unmodified</status>
      <modifiedWord/>
      <trackRevisions>false</trackRevisions>
    </reviewItem>
    <reviewItem>
      <errorID>b845e3f6-c7bb-4aac-adf3-85903f7d87ab</errorID>
      <errorWord>,</errorWord>
      <group>L1_Format</group>
      <groupName>格式问题</groupName>
      <ability>L2_HalfPunc</ability>
      <abilityName>全半角检查</abilityName>
      <candidateList>
        <item>，</item>
      </candidateList>
      <explain>文本全半角错误。</explain>
      <paraID> A568162</paraID>
      <start>11</start>
      <end>12</end>
      <status>unmodified</status>
      <modifiedWord/>
      <trackRevisions>false</trackRevisions>
    </reviewItem>
    <reviewItem>
      <errorID>b0dc26dc-b2ae-4810-9f24-ead2e903be20</errorID>
      <errorWord>日</errorWord>
      <group>L1_Word</group>
      <groupName>字词问题</groupName>
      <ability>L2_Typo</ability>
      <abilityName>字词错误</abilityName>
      <candidateList>
        <item>日起</item>
      </candidateList>
      <explain/>
      <paraID>7471929E</paraID>
      <start>42</start>
      <end>43</end>
      <status>unmodified</status>
      <modifiedWord/>
      <trackRevisions>false</trackRevisions>
    </reviewItem>
    <reviewItem>
      <errorID>05a9fff8-856b-4985-aff6-3bd70885ccee</errorID>
      <errorWord>房屋的</errorWord>
      <group>L1_Word</group>
      <groupName>字词问题</groupName>
      <ability>L2_Typo</ability>
      <abilityName>字词错误</abilityName>
      <candidateList>
        <item>房屋</item>
      </candidateList>
      <explain/>
      <paraID>6E96E7AB</paraID>
      <start>66</start>
      <end>69</end>
      <status>unmodified</status>
      <modifiedWord/>
      <trackRevisions>false</trackRevisions>
    </reviewItem>
    <reviewItem>
      <errorID>a2741c0d-f076-4cec-9ae5-4fca586b39e5</errorID>
      <errorWord>-</errorWord>
      <group>L1_Format</group>
      <groupName>格式问题</groupName>
      <ability>L2_HalfPunc</ability>
      <abilityName>全半角检查</abilityName>
      <candidateList>
        <item>－</item>
      </candidateList>
      <explain>文本全半角错误。</explain>
      <paraID>17E6A592</paraID>
      <start>6</start>
      <end>7</end>
      <status>unmodified</status>
      <modifiedWord/>
      <trackRevisions>false</trackRevisions>
    </reviewItem>
    <reviewItem>
      <errorID>c2731bcf-193f-4254-9864-c3e2a6886eb6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2A60139C</paraID>
      <start>16</start>
      <end>17</end>
      <status>unmodified</status>
      <modifiedWord/>
      <trackRevisions>false</trackRevisions>
    </reviewItem>
    <reviewItem>
      <errorID>8313e986-d79c-48c2-9388-72f1ac56fdae</errorID>
      <errorWord>:</errorWord>
      <group>L1_Format</group>
      <groupName>格式问题</groupName>
      <ability>L2_HalfPunc</ability>
      <abilityName>全半角检查</abilityName>
      <candidateList>
        <item>：</item>
      </candidateList>
      <explain>文本全半角错误。</explain>
      <paraID>5197F715</paraID>
      <start>4</start>
      <end>5</end>
      <status>unmodified</status>
      <modifiedWord/>
      <trackRevisions>false</trackRevisions>
    </reviewItem>
    <reviewItem>
      <errorID>e468f51f-849d-41eb-8cb0-e00ec6afc7e4</errorID>
      <errorWord>(</errorWord>
      <group>L1_Format</group>
      <groupName>格式问题</groupName>
      <ability>L2_HalfPunc</ability>
      <abilityName>全半角检查</abilityName>
      <candidateList>
        <item>（</item>
      </candidateList>
      <explain>文本全半角错误。</explain>
      <paraID>  2F6ED0</paraID>
      <start>120</start>
      <end>121</end>
      <status>unmodified</status>
      <modifiedWord/>
      <trackRevisions>false</trackRevisions>
    </reviewItem>
    <reviewItem>
      <errorID>fbcdf6ef-80d7-42aa-9ccb-9e04c47b0e0c</errorID>
      <errorWord>)</errorWord>
      <group>L1_Format</group>
      <groupName>格式问题</groupName>
      <ability>L2_HalfPunc</ability>
      <abilityName>全半角检查</abilityName>
      <candidateList>
        <item>）</item>
      </candidateList>
      <explain>文本全半角错误。</explain>
      <paraID>  2F6ED0</paraID>
      <start>158</start>
      <end>159</end>
      <status>unmodified</status>
      <modifiedWord/>
      <trackRevisions>false</trackRevisions>
    </reviewItem>
    <reviewItem>
      <errorID>c8f38281-d294-430d-9f28-ecfd32f1ea53</errorID>
      <errorWord>《</errorWord>
      <group>L1_Punc</group>
      <groupName>标点问题</groupName>
      <ability>L2_Punc</ability>
      <abilityName>标点符号检查</abilityName>
      <candidateList/>
      <explain>同一形式括号套用。</explain>
      <paraID>44BFF5CF</paraID>
      <start>34</start>
      <end>35</end>
      <status>unmodified</status>
      <modifiedWord/>
      <trackRevisions>false</trackRevisions>
    </reviewItem>
    <reviewItem>
      <errorID>f25ac9a8-cdcf-46d1-ba2c-f8087b6d63a7</errorID>
      <errorWord>》</errorWord>
      <group>L1_Punc</group>
      <groupName>标点问题</groupName>
      <ability>L2_Punc</ability>
      <abilityName>标点符号检查</abilityName>
      <candidateList/>
      <explain>同一形式括号套用。</explain>
      <paraID>44BFF5CF</paraID>
      <start>51</start>
      <end>52</end>
      <status>unmodified</status>
      <modifiedWord/>
      <trackRevisions>false</trackRevisions>
    </reviewItem>
    <reviewItem>
      <errorID>08909d9f-e6de-4aff-88a8-ba2b40927c2f</errorID>
      <errorWord>《</errorWord>
      <group>L1_Punc</group>
      <groupName>标点问题</groupName>
      <ability>L2_Punc</ability>
      <abilityName>标点符号检查</abilityName>
      <candidateList/>
      <explain>同一形式括号套用。</explain>
      <paraID>44BFF5CF</paraID>
      <start>52</start>
      <end>53</end>
      <status>unmodified</status>
      <modifiedWord/>
      <trackRevisions>false</trackRevisions>
    </reviewItem>
    <reviewItem>
      <errorID>6fbf9389-6060-48d7-ad93-b31aa90f06a6</errorID>
      <errorWord>》</errorWord>
      <group>L1_Punc</group>
      <groupName>标点问题</groupName>
      <ability>L2_Punc</ability>
      <abilityName>标点符号检查</abilityName>
      <candidateList/>
      <explain>同一形式括号套用。</explain>
      <paraID>44BFF5CF</paraID>
      <start>69</start>
      <end>70</end>
      <status>unmodified</status>
      <modifiedWord/>
      <trackRevisions>false</trackRevisions>
    </reviewItem>
    <reviewItem>
      <errorID>1e96df88-7b6a-4fe4-860b-89076c721d05</errorID>
      <errorWord>,</errorWord>
      <group>L1_Format</group>
      <groupName>格式问题</groupName>
      <ability>L2_HalfPunc</ability>
      <abilityName>全半角检查</abilityName>
      <candidateList>
        <item>，</item>
      </candidateList>
      <explain>文本全半角错误。</explain>
      <paraID>311FC55E</paraID>
      <start>41</start>
      <end>42</end>
      <status>unmodified</status>
      <modifiedWord/>
      <trackRevisions>false</trackRevisions>
    </reviewItem>
    <reviewItem>
      <errorID>2f666e2e-7b77-429f-ba50-8b3202760b7e</errorID>
      <errorWord>,</errorWord>
      <group>L1_Format</group>
      <groupName>格式问题</groupName>
      <ability>L2_HalfPunc</ability>
      <abilityName>全半角检查</abilityName>
      <candidateList>
        <item>，</item>
      </candidateList>
      <explain>文本全半角错误。</explain>
      <paraID>7A47DD42</paraID>
      <start>47</start>
      <end>48</end>
      <status>unmodified</status>
      <modifiedWord/>
      <trackRevisions>false</trackRevisions>
    </reviewItem>
    <reviewItem>
      <errorID>b3a50375-f1b5-4710-a35e-b2513447d84b</errorID>
      <errorWord>，</errorWord>
      <group>L1_Word</group>
      <groupName>字词问题</groupName>
      <ability>L2_Typo</ability>
      <abilityName>字词错误</abilityName>
      <candidateList>
        <item>，有</item>
      </candidateList>
      <explain/>
      <paraID>2FFE1A67</paraID>
      <start>23</start>
      <end>24</end>
      <status>unmodified</status>
      <modifiedWord/>
      <trackRevisions>false</trackRevisions>
    </reviewItem>
    <reviewItem>
      <errorID>d38a870c-acbe-4051-bd27-8a08fb626f10</errorID>
      <errorWord>各</errorWord>
      <group>L1_Word</group>
      <groupName>字词问题</groupName>
      <ability>L2_Typo</ability>
      <abilityName>字词错误</abilityName>
      <candidateList>
        <item>各项</item>
      </candidateList>
      <explain/>
      <paraID>32CF0010</paraID>
      <start>13</start>
      <end>14</end>
      <status>unmodified</status>
      <modifiedWord/>
      <trackRevisions>false</trackRevisions>
    </reviewItem>
    <reviewItem>
      <errorID>3cead8e9-7581-46f3-b082-703a76e96e38</errorID>
      <errorWord>各</errorWord>
      <group>L1_Word</group>
      <groupName>字词问题</groupName>
      <ability>L2_Typo</ability>
      <abilityName>字词错误</abilityName>
      <candidateList>
        <item>各项</item>
      </candidateList>
      <explain/>
      <paraID>33AD24B6</paraID>
      <start>34</start>
      <end>35</end>
      <status>unmodified</status>
      <modifiedWord/>
      <trackRevisions>false</trackRevisions>
    </reviewItem>
    <reviewItem>
      <errorID>93ab88ad-c2ce-440c-96fe-d52235532da9</errorID>
      <errorWord>其它</errorWord>
      <group>L1_Word</group>
      <groupName>字词问题</groupName>
      <ability>L2_Alias</ability>
      <abilityName>也作/曾用词</abilityName>
      <candidateList>
        <item>其他</item>
      </candidateList>
      <explain>词汇[其它]为不规范表述或旧称，其规范书面表述为[其他]。</explain>
      <paraID>1CF337B4</paraID>
      <start>50</start>
      <end>52</end>
      <status>unmodified</status>
      <modifiedWord/>
      <trackRevisions>false</trackRevisions>
    </reviewItem>
    <reviewItem>
      <errorID>bd66b334-15b7-41a7-8445-0f2c6f128ad4</errorID>
      <errorWord>其它</errorWord>
      <group>L1_Word</group>
      <groupName>字词问题</groupName>
      <ability>L2_Alias</ability>
      <abilityName>也作/曾用词</abilityName>
      <candidateList>
        <item>其他</item>
      </candidateList>
      <explain>词汇[其它]为不规范表述或旧称，其规范书面表述为[其他]。</explain>
      <paraID>1CF337B4</paraID>
      <start>78</start>
      <end>80</end>
      <status>unmodified</status>
      <modifiedWord/>
      <trackRevisions>false</trackRevisions>
    </reviewItem>
    <reviewItem>
      <errorID>5ba3f213-fef5-41f6-ad74-974548afbad6</errorID>
      <errorWord>(</errorWord>
      <group>L1_Format</group>
      <groupName>格式问题</groupName>
      <ability>L2_HalfPunc</ability>
      <abilityName>全半角检查</abilityName>
      <candidateList>
        <item>（</item>
      </candidateList>
      <explain>文本全半角错误。</explain>
      <paraID>4DA883DA</paraID>
      <start>5</start>
      <end>6</end>
      <status>unmodified</status>
      <modifiedWord/>
      <trackRevisions>false</trackRevisions>
    </reviewItem>
    <reviewItem>
      <errorID>ef1b464b-e9b9-41f2-873e-341cf49d920c</errorID>
      <errorWord>(</errorWord>
      <group>L1_Format</group>
      <groupName>格式问题</groupName>
      <ability>L2_HalfPunc</ability>
      <abilityName>全半角检查</abilityName>
      <candidateList>
        <item>（</item>
      </candidateList>
      <explain>文本全半角错误。</explain>
      <paraID>286ABAE2</paraID>
      <start>10</start>
      <end>11</end>
      <status>unmodified</status>
      <modifiedWord/>
      <trackRevisions>false</trackRevisions>
    </reviewItem>
    <reviewItem>
      <errorID>fca26e7f-dae6-413f-b57a-6c03d4765aea</errorID>
      <errorWord>(</errorWord>
      <group>L1_Format</group>
      <groupName>格式问题</groupName>
      <ability>L2_HalfPunc</ability>
      <abilityName>全半角检查</abilityName>
      <candidateList>
        <item>（</item>
      </candidateList>
      <explain>文本全半角错误。</explain>
      <paraID> C34FE12</paraID>
      <start>5</start>
      <end>6</end>
      <status>unmodified</status>
      <modifiedWord/>
      <trackRevisions>false</trackRevisions>
    </reviewItem>
    <reviewItem>
      <errorID>88614d2b-ca42-42ca-9c72-eb3c04efe778</errorID>
      <errorWord>(</errorWord>
      <group>L1_Format</group>
      <groupName>格式问题</groupName>
      <ability>L2_HalfPunc</ability>
      <abilityName>全半角检查</abilityName>
      <candidateList>
        <item>（</item>
      </candidateList>
      <explain>文本全半角错误。</explain>
      <paraID>2FD154C6</paraID>
      <start>7</start>
      <end>8</end>
      <status>unmodified</status>
      <modifiedWord/>
      <trackRevisions>false</trackRevisions>
    </reviewItem>
    <reviewItem>
      <errorID>a7a95197-585f-47ea-ac57-bb5b4cb5d54f</errorID>
      <errorWord>(</errorWord>
      <group>L1_Format</group>
      <groupName>格式问题</groupName>
      <ability>L2_HalfPunc</ability>
      <abilityName>全半角检查</abilityName>
      <candidateList>
        <item>（</item>
      </candidateList>
      <explain>文本全半角错误。</explain>
      <paraID>143B2873</paraID>
      <start>5</start>
      <end>6</end>
      <status>unmodified</status>
      <modifiedWord/>
      <trackRevisions>false</trackRevisions>
    </reviewItem>
    <reviewItem>
      <errorID>0a1bbc6d-f338-4a28-adb2-ccfe5f64f3c0</errorID>
      <errorWord>(</errorWord>
      <group>L1_Format</group>
      <groupName>格式问题</groupName>
      <ability>L2_HalfPunc</ability>
      <abilityName>全半角检查</abilityName>
      <candidateList>
        <item>（</item>
      </candidateList>
      <explain>文本全半角错误。</explain>
      <paraID>1B9C99CB</paraID>
      <start>5</start>
      <end>6</end>
      <status>unmodified</status>
      <modifiedWord/>
      <trackRevisions>false</trackRevisions>
    </reviewItem>
    <reviewItem>
      <errorID>b550c4ad-56b0-492c-913d-9bc2c4746a0e</errorID>
      <errorWord>(</errorWord>
      <group>L1_Format</group>
      <groupName>格式问题</groupName>
      <ability>L2_HalfPunc</ability>
      <abilityName>全半角检查</abilityName>
      <candidateList>
        <item>（</item>
      </candidateList>
      <explain>文本全半角错误。</explain>
      <paraID>1D5EECD6</paraID>
      <start>5</start>
      <end>6</end>
      <status>unmodified</status>
      <modifiedWord/>
      <trackRevisions>false</trackRevisions>
    </reviewItem>
    <reviewItem>
      <errorID>7f9905e4-0202-4824-877b-ca1874f74bfe</errorID>
      <errorWord>(</errorWord>
      <group>L1_Format</group>
      <groupName>格式问题</groupName>
      <ability>L2_HalfPunc</ability>
      <abilityName>全半角检查</abilityName>
      <candidateList>
        <item>（</item>
      </candidateList>
      <explain>文本全半角错误。</explain>
      <paraID>3D0B4518</paraID>
      <start>5</start>
      <end>6</end>
      <status>unmodified</status>
      <modifiedWord/>
      <trackRevisions>false</trackRevisions>
    </reviewItem>
    <reviewItem>
      <errorID>338d23bb-80a6-4817-9b08-3e50214e8c6e</errorID>
      <errorWord>-</errorWord>
      <group>L1_Format</group>
      <groupName>格式问题</groupName>
      <ability>L2_HalfPunc</ability>
      <abilityName>全半角检查</abilityName>
      <candidateList>
        <item>－</item>
      </candidateList>
      <explain>文本全半角错误。</explain>
      <paraID>3D1B88A2</paraID>
      <start>12</start>
      <end>13</end>
      <status>unmodified</status>
      <modifiedWord/>
      <trackRevisions>false</trackRevisions>
    </reviewItem>
    <reviewItem>
      <errorID>99b4ac36-4b29-426b-9ce5-d75abafa2a18</errorID>
      <errorWord>消弱</errorWord>
      <group>L1_Word</group>
      <groupName>字词问题</groupName>
      <ability>L2_Typo</ability>
      <abilityName>字词错误</abilityName>
      <candidateList>
        <item>削弱</item>
      </candidateList>
      <explain>〈动〉❶（力量、势力）变弱：几名主力队员离队后，球队实力有所～。❷使变弱：～敌人的力量。</explain>
      <paraID>48E83839</paraID>
      <start>15</start>
      <end>17</end>
      <status>unmodified</status>
      <modifiedWord/>
      <trackRevisions>false</trackRevisions>
    </reviewItem>
    <reviewItem>
      <errorID>64346a6e-5728-4b37-a465-59f1635f6e6a</errorID>
      <errorWord>（</errorWord>
      <group>L1_Punc</group>
      <groupName>标点问题</groupName>
      <ability>L2_Punc</ability>
      <abilityName>标点符号检查</abilityName>
      <candidateList/>
      <explain>同一形式括号套用。</explain>
      <paraID>31D667EA</paraID>
      <start>11</start>
      <end>12</end>
      <status>unmodified</status>
      <modifiedWord/>
      <trackRevisions>false</trackRevisions>
    </reviewItem>
    <reviewItem>
      <errorID>27578717-f200-4fce-962e-79a03b36d2c9</errorID>
      <errorWord>）</errorWord>
      <group>L1_Punc</group>
      <groupName>标点问题</groupName>
      <ability>L2_Punc</ability>
      <abilityName>标点符号检查</abilityName>
      <candidateList/>
      <explain>同一形式括号套用。</explain>
      <paraID>31D667EA</paraID>
      <start>13</start>
      <end>14</end>
      <status>unmodified</status>
      <modifiedWord/>
      <trackRevisions>false</trackRevisions>
    </reviewItem>
    <reviewItem>
      <errorID>b976dc9c-29ab-4b8d-b705-c5913efeb1e6</errorID>
      <errorWord>（</errorWord>
      <group>L1_Punc</group>
      <groupName>标点问题</groupName>
      <ability>L2_Punc</ability>
      <abilityName>标点符号检查</abilityName>
      <candidateList/>
      <explain>同一形式括号套用。</explain>
      <paraID>31D667EA</paraID>
      <start>21</start>
      <end>22</end>
      <status>unmodified</status>
      <modifiedWord/>
      <trackRevisions>false</trackRevisions>
    </reviewItem>
    <reviewItem>
      <errorID>6e714629-b9ed-40d5-a5b6-fb9e2e368dd3</errorID>
      <errorWord>）</errorWord>
      <group>L1_Punc</group>
      <groupName>标点问题</groupName>
      <ability>L2_Punc</ability>
      <abilityName>标点符号检查</abilityName>
      <candidateList/>
      <explain>同一形式括号套用。</explain>
      <paraID>31D667EA</paraID>
      <start>23</start>
      <end>24</end>
      <status>unmodified</status>
      <modifiedWord/>
      <trackRevisions>false</trackRevisions>
    </reviewItem>
    <reviewItem>
      <errorID>6b9ec734-314e-410c-98b4-b5cbf424b15b</errorID>
      <errorWord>支承</errorWord>
      <group>L1_Word</group>
      <groupName>字词问题</groupName>
      <ability>L2_Typo</ability>
      <abilityName>字词错误</abilityName>
      <candidateList>
        <item>支撑</item>
      </candidateList>
      <explain>存在发音相同字词的误用。</explain>
      <paraID>1E7D3BF9</paraID>
      <start>23</start>
      <end>25</end>
      <status>unmodified</status>
      <modifiedWord/>
      <trackRevisions>false</trackRevisions>
    </reviewItem>
    <reviewItem>
      <errorID>bbfa0c2e-7177-4bb5-a586-58b129f6cfff</errorID>
      <errorWord>超</errorWord>
      <group>L1_Word</group>
      <groupName>字词问题</groupName>
      <ability>L2_Typo</ability>
      <abilityName>字词错误</abilityName>
      <candidateList>
        <item>超过</item>
      </candidateList>
      <explain/>
      <paraID>5BB190F1</paraID>
      <start>27</start>
      <end>28</end>
      <status>unmodified</status>
      <modifiedWord/>
      <trackRevisions>false</trackRevisions>
    </reviewItem>
    <reviewItem>
      <errorID>34430fb3-30ce-4850-ac3f-73e4bd5067e5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9AAFEE6</paraID>
      <start>0</start>
      <end>2</end>
      <status>modified</status>
      <modifiedWord>1.</modifiedWord>
      <trackRevisions>false</trackRevisions>
    </reviewItem>
    <reviewItem>
      <errorID>d2614c72-c8b3-4ef1-b8a2-e597ffed80c0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16775BAD</paraID>
      <start>0</start>
      <end>2</end>
      <status>modified</status>
      <modifiedWord>2.</modifiedWord>
      <trackRevisions>false</trackRevisions>
    </reviewItem>
    <reviewItem>
      <errorID>7e849ee0-b96f-439d-b2c9-b81bee64063d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77ACEEF2</paraID>
      <start>0</start>
      <end>2</end>
      <status>modified</status>
      <modifiedWord>3.</modifiedWord>
      <trackRevisions>false</trackRevisions>
    </reviewItem>
    <reviewItem>
      <errorID>f45fca11-4339-4319-972b-93a022ce12cc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DFB0C7F</paraID>
      <start>0</start>
      <end>2</end>
      <status>modified</status>
      <modifiedWord>1.</modifiedWord>
      <trackRevisions>false</trackRevisions>
    </reviewItem>
    <reviewItem>
      <errorID>427a51fc-ae09-45a1-806e-0b028645ffb7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5D9527E6</paraID>
      <start>0</start>
      <end>2</end>
      <status>modified</status>
      <modifiedWord>2.</modifiedWord>
      <trackRevisions>false</trackRevisions>
    </reviewItem>
    <reviewItem>
      <errorID>fadf9cf0-e30e-412c-93ce-32f3fbb45fd2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6771DA3F</paraID>
      <start>0</start>
      <end>2</end>
      <status>modified</status>
      <modifiedWord>3.</modifiedWord>
      <trackRevisions>false</trackRevisions>
    </reviewItem>
    <reviewItem>
      <errorID>e34ce6ff-3736-4048-810e-b444ec409d14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257A9B79</paraID>
      <start>0</start>
      <end>2</end>
      <status>modified</status>
      <modifiedWord>1.</modifiedWord>
      <trackRevisions>false</trackRevisions>
    </reviewItem>
    <reviewItem>
      <errorID>82ed4a33-e99a-45ae-a2fc-d32a4a62b38d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57BD5E9D</paraID>
      <start>0</start>
      <end>2</end>
      <status>modified</status>
      <modifiedWord>2.</modifiedWord>
      <trackRevisions>false</trackRevisions>
    </reviewItem>
    <reviewItem>
      <errorID>07598edb-2a32-40cc-bc65-c4b45a45072c</errorID>
      <errorWord>建议建议</errorWord>
      <group>L1_Word</group>
      <groupName>字词问题</groupName>
      <ability>L2_Typo</ability>
      <abilityName>字词错误</abilityName>
      <candidateList>
        <item>建议</item>
      </candidateList>
      <explain/>
      <paraID>57BD5E9D</paraID>
      <start>16</start>
      <end>18</end>
      <status>modified</status>
      <modifiedWord>建议</modifiedWord>
      <trackRevisions>false</trackRevisions>
    </reviewItem>
    <reviewItem>
      <errorID>ea6bb3c0-89f8-4cc3-9f3b-606ff42f67b2</errorID>
      <errorWord>房屋的</errorWord>
      <group>L1_Word</group>
      <groupName>字词问题</groupName>
      <ability>L2_Typo</ability>
      <abilityName>字词错误</abilityName>
      <candidateList>
        <item>房屋</item>
      </candidateList>
      <explain/>
      <paraID>3173B6CE</paraID>
      <start>66</start>
      <end>69</end>
      <status>unmodified</status>
      <modifiedWord/>
      <trackRevisions>false</trackRevisions>
    </reviewItem>
    <reviewItem>
      <errorID>455d9603-307a-4612-b1a2-9bcaaad858b3</errorID>
      <errorWord>-</errorWord>
      <group>L1_Format</group>
      <groupName>格式问题</groupName>
      <ability>L2_HalfPunc</ability>
      <abilityName>全半角检查</abilityName>
      <candidateList>
        <item>－</item>
      </candidateList>
      <explain>文本全半角错误。</explain>
      <paraID>1AF58E0E</paraID>
      <start>6</start>
      <end>7</end>
      <status>unmodified</status>
      <modifiedWord/>
      <trackRevisions>false</trackRevisions>
    </reviewItem>
    <reviewItem>
      <errorID>b9ea429d-a472-4c80-89e5-288c3a9a2511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AC7BBFF</paraID>
      <start>16</start>
      <end>17</end>
      <status>unmodified</status>
      <modifiedWord/>
      <trackRevisions>false</trackRevisions>
    </reviewItem>
    <reviewItem>
      <errorID>dc665f25-2b68-43cb-b8f6-13ae2ab527ac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58085D74</paraID>
      <start>42</start>
      <end>43</end>
      <status>unmodified</status>
      <modifiedWord/>
      <trackRevisions>false</trackRevisions>
    </reviewItem>
    <reviewItem>
      <errorID>2d763772-c813-4798-98d3-1ad0b2ed963b</errorID>
      <errorWord>(</errorWord>
      <group>L1_Format</group>
      <groupName>格式问题</groupName>
      <ability>L2_HalfPunc</ability>
      <abilityName>全半角检查</abilityName>
      <candidateList>
        <item>（</item>
      </candidateList>
      <explain>文本全半角错误。</explain>
      <paraID>2C7D7BD3</paraID>
      <start>36</start>
      <end>37</end>
      <status>unmodified</status>
      <modifiedWord/>
      <trackRevisions>false</trackRevisions>
    </reviewItem>
    <reviewItem>
      <errorID>c405818e-41e7-4374-bd01-713698886a15</errorID>
      <errorWord>)</errorWord>
      <group>L1_Format</group>
      <groupName>格式问题</groupName>
      <ability>L2_HalfPunc</ability>
      <abilityName>全半角检查</abilityName>
      <candidateList>
        <item>）</item>
      </candidateList>
      <explain>文本全半角错误。</explain>
      <paraID>2C7D7BD3</paraID>
      <start>46</start>
      <end>47</end>
      <status>unmodified</status>
      <modifiedWord/>
      <trackRevisions>false</trackRevisions>
    </reviewItem>
    <reviewItem>
      <errorID>d777ea03-804a-4df1-9dd4-5d22b516298c</errorID>
      <errorWord>[2014]68号</errorWord>
      <group>L1_Knowledge</group>
      <groupName>知识性问题</groupName>
      <ability>L2_Knowledge</ability>
      <abilityName>其他知识</abilityName>
      <candidateList>
        <item>〔2014〕68号</item>
      </candidateList>
      <explain>发文字号格式错误。</explain>
      <paraID>3F2FB7AA</paraID>
      <start>38</start>
      <end>47</end>
      <status>unmodified</status>
      <modifiedWord/>
      <trackRevisions>false</trackRevisions>
    </reviewItem>
    <reviewItem>
      <errorID>15b4ca7f-0be5-4aea-84c6-ba4d6756658f</errorID>
      <errorWord>(</errorWord>
      <group>L1_Format</group>
      <groupName>格式问题</groupName>
      <ability>L2_HalfPunc</ability>
      <abilityName>全半角检查</abilityName>
      <candidateList>
        <item>（</item>
      </candidateList>
      <explain>文本全半角错误。</explain>
      <paraID> 941657D</paraID>
      <start>12</start>
      <end>13</end>
      <status>unmodified</status>
      <modifiedWord/>
      <trackRevisions>false</trackRevisions>
    </reviewItem>
    <reviewItem>
      <errorID>7ae41d2c-a5ff-4bfa-867e-46962fe70721</errorID>
      <errorWord>)</errorWord>
      <group>L1_Format</group>
      <groupName>格式问题</groupName>
      <ability>L2_HalfPunc</ability>
      <abilityName>全半角检查</abilityName>
      <candidateList>
        <item>）</item>
      </candidateList>
      <explain>文本全半角错误。</explain>
      <paraID> 941657D</paraID>
      <start>15</start>
      <end>16</end>
      <status>unmodified</status>
      <modifiedWord/>
      <trackRevisions>false</trackRevisions>
    </reviewItem>
    <reviewItem>
      <errorID>5fee8429-bb34-4b44-8952-40600cb48f56</errorID>
      <errorWord>(</errorWord>
      <group>L1_Format</group>
      <groupName>格式问题</groupName>
      <ability>L2_HalfPunc</ability>
      <abilityName>全半角检查</abilityName>
      <candidateList>
        <item>（</item>
      </candidateList>
      <explain>文本全半角错误。</explain>
      <paraID>53660E6A</paraID>
      <start>9</start>
      <end>10</end>
      <status>unmodified</status>
      <modifiedWord/>
      <trackRevisions>false</trackRevisions>
    </reviewItem>
    <reviewItem>
      <errorID>b7cdacd8-f72c-4da0-97a6-081f26493c10</errorID>
      <errorWord>)</errorWord>
      <group>L1_Format</group>
      <groupName>格式问题</groupName>
      <ability>L2_HalfPunc</ability>
      <abilityName>全半角检查</abilityName>
      <candidateList>
        <item>）</item>
      </candidateList>
      <explain>文本全半角错误。</explain>
      <paraID>53660E6A</paraID>
      <start>12</start>
      <end>13</end>
      <status>unmodified</status>
      <modifiedWord/>
      <trackRevisions>false</trackRevisions>
    </reviewItem>
    <reviewItem>
      <errorID>f42b1f57-cb94-4abd-9528-78efdf75e9df</errorID>
      <errorWord>(</errorWord>
      <group>L1_Format</group>
      <groupName>格式问题</groupName>
      <ability>L2_HalfPunc</ability>
      <abilityName>全半角检查</abilityName>
      <candidateList>
        <item>（</item>
      </candidateList>
      <explain>文本全半角错误。</explain>
      <paraID>203013DB</paraID>
      <start>8</start>
      <end>9</end>
      <status>unmodified</status>
      <modifiedWord/>
      <trackRevisions>false</trackRevisions>
    </reviewItem>
    <reviewItem>
      <errorID>6a54e859-b336-4db8-8414-6c18d4e09ab3</errorID>
      <errorWord>)</errorWord>
      <group>L1_Format</group>
      <groupName>格式问题</groupName>
      <ability>L2_HalfPunc</ability>
      <abilityName>全半角检查</abilityName>
      <candidateList>
        <item>）</item>
      </candidateList>
      <explain>文本全半角错误。</explain>
      <paraID>203013DB</paraID>
      <start>11</start>
      <end>12</end>
      <status>unmodified</status>
      <modifiedWord/>
      <trackRevisions>false</trackRevisions>
    </reviewItem>
    <reviewItem>
      <errorID>cf13c4c3-4373-464f-a08e-c369b3174ab4</errorID>
      <errorWord>(</errorWord>
      <group>L1_Format</group>
      <groupName>格式问题</groupName>
      <ability>L2_HalfPunc</ability>
      <abilityName>全半角检查</abilityName>
      <candidateList>
        <item>（</item>
      </candidateList>
      <explain>文本全半角错误。</explain>
      <paraID>4A41C195</paraID>
      <start>8</start>
      <end>9</end>
      <status>unmodified</status>
      <modifiedWord/>
      <trackRevisions>false</trackRevisions>
    </reviewItem>
    <reviewItem>
      <errorID>42c821f4-332e-4b40-9258-3a598b83de00</errorID>
      <errorWord>)</errorWord>
      <group>L1_Format</group>
      <groupName>格式问题</groupName>
      <ability>L2_HalfPunc</ability>
      <abilityName>全半角检查</abilityName>
      <candidateList>
        <item>）</item>
      </candidateList>
      <explain>文本全半角错误。</explain>
      <paraID>4A41C195</paraID>
      <start>11</start>
      <end>12</end>
      <status>unmodified</status>
      <modifiedWord/>
      <trackRevisions>false</trackRevisions>
    </reviewItem>
    <reviewItem>
      <errorID>47c79e61-edca-49df-b20c-b225b22315ca</errorID>
      <errorWord>(</errorWord>
      <group>L1_Format</group>
      <groupName>格式问题</groupName>
      <ability>L2_HalfPunc</ability>
      <abilityName>全半角检查</abilityName>
      <candidateList>
        <item>（</item>
      </candidateList>
      <explain>文本全半角错误。</explain>
      <paraID>67B8CF8C</paraID>
      <start>44</start>
      <end>45</end>
      <status>unmodified</status>
      <modifiedWord/>
      <trackRevisions>false</trackRevisions>
    </reviewItem>
    <reviewItem>
      <errorID>7f49a35f-06aa-47c4-b3b1-6179fbac8d88</errorID>
      <errorWord>)</errorWord>
      <group>L1_Format</group>
      <groupName>格式问题</groupName>
      <ability>L2_HalfPunc</ability>
      <abilityName>全半角检查</abilityName>
      <candidateList>
        <item>）</item>
      </candidateList>
      <explain>文本全半角错误。</explain>
      <paraID>67B8CF8C</paraID>
      <start>100</start>
      <end>101</end>
      <status>unmodified</status>
      <modifiedWord/>
      <trackRevisions>false</trackRevisions>
    </reviewItem>
    <reviewItem>
      <errorID>cfefb6ee-9578-444c-8035-a8551f4f57fc</errorID>
      <errorWord>(</errorWord>
      <group>L1_Format</group>
      <groupName>格式问题</groupName>
      <ability>L2_HalfPunc</ability>
      <abilityName>全半角检查</abilityName>
      <candidateList>
        <item>（</item>
      </candidateList>
      <explain>文本全半角错误。</explain>
      <paraID> FED5CD8</paraID>
      <start>0</start>
      <end>1</end>
      <status>unmodified</status>
      <modifiedWord/>
      <trackRevisions>false</trackRevisions>
    </reviewItem>
    <reviewItem>
      <errorID>95e2ccc5-13e4-46b3-b2fd-5525491885cb</errorID>
      <errorWord>)</errorWord>
      <group>L1_Format</group>
      <groupName>格式问题</groupName>
      <ability>L2_HalfPunc</ability>
      <abilityName>全半角检查</abilityName>
      <candidateList>
        <item>）</item>
      </candidateList>
      <explain>文本全半角错误。</explain>
      <paraID> FED5CD8</paraID>
      <start>4</start>
      <end>5</end>
      <status>unmodified</status>
      <modifiedWord/>
      <trackRevisions>false</trackRevisions>
    </reviewItem>
    <reviewItem>
      <errorID>e1e588d4-bce7-4855-96df-7895406c25d7</errorID>
      <errorWord>(</errorWord>
      <group>L1_Format</group>
      <groupName>格式问题</groupName>
      <ability>L2_HalfPunc</ability>
      <abilityName>全半角检查</abilityName>
      <candidateList>
        <item>（</item>
      </candidateList>
      <explain>文本全半角错误。</explain>
      <paraID>4832A733</paraID>
      <start>15</start>
      <end>16</end>
      <status>unmodified</status>
      <modifiedWord/>
      <trackRevisions>false</trackRevisions>
    </reviewItem>
    <reviewItem>
      <errorID>f60d7332-f252-4a88-9831-e4c9ea886291</errorID>
      <errorWord>)</errorWord>
      <group>L1_Format</group>
      <groupName>格式问题</groupName>
      <ability>L2_HalfPunc</ability>
      <abilityName>全半角检查</abilityName>
      <candidateList>
        <item>）</item>
      </candidateList>
      <explain>文本全半角错误。</explain>
      <paraID>4832A733</paraID>
      <start>18</start>
      <end>19</end>
      <status>unmodified</status>
      <modifiedWord/>
      <trackRevisions>false</trackRevisions>
    </reviewItem>
    <reviewItem>
      <errorID>7e528e05-b2ec-4732-8f50-58616d7470fd</errorID>
      <errorWord>，</errorWord>
      <group>L1_Word</group>
      <groupName>字词问题</groupName>
      <ability>L2_Typo</ability>
      <abilityName>字词错误</abilityName>
      <candidateList>
        <item>，在</item>
      </candidateList>
      <explain/>
      <paraID>7158B693</paraID>
      <start>16</start>
      <end>17</end>
      <status>unmodified</status>
      <modifiedWord/>
      <trackRevisions>false</trackRevisions>
    </reviewItem>
    <reviewItem>
      <errorID>a4312950-997a-4f93-9bd3-5b7d3725f966</errorID>
      <errorWord>&lt;</errorWord>
      <group>L1_Format</group>
      <groupName>格式问题</groupName>
      <ability>L2_HalfPunc</ability>
      <abilityName>全半角检查</abilityName>
      <candidateList>
        <item>〈</item>
      </candidateList>
      <explain>文本全半角错误。</explain>
      <paraID>1E7520FB</paraID>
      <start>49</start>
      <end>50</end>
      <status>unmodified</status>
      <modifiedWord/>
      <trackRevisions>false</trackRevisions>
    </reviewItem>
    <reviewItem>
      <errorID>e5e77054-b09c-4337-bc2e-561dd2b946bc</errorID>
      <errorWord>&lt;</errorWord>
      <group>L1_Format</group>
      <groupName>格式问题</groupName>
      <ability>L2_HalfPunc</ability>
      <abilityName>全半角检查</abilityName>
      <candidateList>
        <item>〈</item>
      </candidateList>
      <explain>文本全半角错误。</explain>
      <paraID>42662330</paraID>
      <start>49</start>
      <end>50</end>
      <status>unmodified</status>
      <modifiedWord/>
      <trackRevisions>false</trackRevisions>
    </reviewItem>
    <reviewItem>
      <errorID>43ceaa54-a8d5-491d-9b2f-4d5c0adba003</errorID>
      <errorWord>&lt;</errorWord>
      <group>L1_Format</group>
      <groupName>格式问题</groupName>
      <ability>L2_HalfPunc</ability>
      <abilityName>全半角检查</abilityName>
      <candidateList>
        <item>〈</item>
      </candidateList>
      <explain>文本全半角错误。</explain>
      <paraID>7615F33C</paraID>
      <start>34</start>
      <end>35</end>
      <status>unmodified</status>
      <modifiedWord/>
      <trackRevisions>false</trackRevisions>
    </reviewItem>
    <reviewItem>
      <errorID>0770fa81-23d7-4601-a3ed-ad825357cf86</errorID>
      <errorWord>)</errorWord>
      <group>L1_Format</group>
      <groupName>格式问题</groupName>
      <ability>L2_HalfPunc</ability>
      <abilityName>全半角检查</abilityName>
      <candidateList>
        <item>）</item>
      </candidateList>
      <explain>文本全半角错误。</explain>
      <paraID> 40167AD</paraID>
      <start>130</start>
      <end>131</end>
      <status>unmodified</status>
      <modifiedWord/>
      <trackRevisions>false</trackRevisions>
    </reviewItem>
    <reviewItem>
      <errorID>c90e84ab-b5a3-4928-a2fe-22e877514c4f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4D5AEAA8</paraID>
      <start>35</start>
      <end>36</end>
      <status>unmodified</status>
      <modifiedWord/>
      <trackRevisions>false</trackRevisions>
    </reviewItem>
    <reviewItem>
      <errorID>a03b2672-4a53-4882-aeb5-be2bb8ba10cb</errorID>
      <errorWord>"</errorWord>
      <group>L1_Format</group>
      <groupName>格式问题</groupName>
      <ability>L2_HalfPunc</ability>
      <abilityName>全半角检查</abilityName>
      <candidateList>
        <item>”</item>
      </candidateList>
      <explain>文本全半角错误。</explain>
      <paraID>4D5AEAA8</paraID>
      <start>43</start>
      <end>44</end>
      <status>unmodified</status>
      <modifiedWord/>
      <trackRevisions>false</trackRevisions>
    </reviewItem>
    <reviewItem>
      <errorID>b774c466-ded6-46bd-a14c-bf81386698a8</errorID>
      <errorWord>)</errorWord>
      <group>L1_Format</group>
      <groupName>格式问题</groupName>
      <ability>L2_HalfPunc</ability>
      <abilityName>全半角检查</abilityName>
      <candidateList>
        <item>）</item>
      </candidateList>
      <explain>文本全半角错误。</explain>
      <paraID>4D5AEAA8</paraID>
      <start>60</start>
      <end>61</end>
      <status>unmodified</status>
      <modifiedWord/>
      <trackRevisions>false</trackRevisions>
    </reviewItem>
    <reviewItem>
      <errorID>6c256777-02c7-4ec9-b4e8-8ccad722c30f</errorID>
      <errorWord>法律、法规</errorWord>
      <group>L1_Word</group>
      <groupName>字词问题</groupName>
      <ability>L2_Typo</ability>
      <abilityName>字词错误</abilityName>
      <candidateList>
        <item>法律法规</item>
      </candidateList>
      <explain/>
      <paraID>2A6F8BE3</paraID>
      <start>8</start>
      <end>13</end>
      <status>unmodified</status>
      <modifiedWord/>
      <trackRevisions>false</trackRevisions>
    </reviewItem>
    <reviewItem>
      <errorID>eef8fd9c-1179-4fdc-a09d-cddded51b71b</errorID>
      <errorWord>(</errorWord>
      <group>L1_Format</group>
      <groupName>格式问题</groupName>
      <ability>L2_HalfPunc</ability>
      <abilityName>全半角检查</abilityName>
      <candidateList>
        <item>（</item>
      </candidateList>
      <explain>文本全半角错误。</explain>
      <paraID>3989D59A</paraID>
      <start>43</start>
      <end>44</end>
      <status>unmodified</status>
      <modifiedWord/>
      <trackRevisions>false</trackRevisions>
    </reviewItem>
    <reviewItem>
      <errorID>e4471b8e-b167-4709-a05b-10b3b9b040cf</errorID>
      <errorWord>)</errorWord>
      <group>L1_Format</group>
      <groupName>格式问题</groupName>
      <ability>L2_HalfPunc</ability>
      <abilityName>全半角检查</abilityName>
      <candidateList>
        <item>）</item>
      </candidateList>
      <explain>文本全半角错误。</explain>
      <paraID>3989D59A</paraID>
      <start>46</start>
      <end>47</end>
      <status>unmodified</status>
      <modifiedWord/>
      <trackRevisions>false</trackRevisions>
    </reviewItem>
    <reviewItem>
      <errorID>d0b31468-a432-4a02-9495-17db13e80520</errorID>
      <errorWord>,</errorWord>
      <group>L1_Format</group>
      <groupName>格式问题</groupName>
      <ability>L2_HalfPunc</ability>
      <abilityName>全半角检查</abilityName>
      <candidateList>
        <item>，</item>
      </candidateList>
      <explain>文本全半角错误。</explain>
      <paraID>1DEF1EC2</paraID>
      <start>8</start>
      <end>9</end>
      <status>unmodified</status>
      <modifiedWord/>
      <trackRevisions>false</trackRevisions>
    </reviewItem>
    <reviewItem>
      <errorID>cacb7c60-a05e-40bf-b26b-8c1bc06930b2</errorID>
      <errorWord>,</errorWord>
      <group>L1_Format</group>
      <groupName>格式问题</groupName>
      <ability>L2_HalfPunc</ability>
      <abilityName>全半角检查</abilityName>
      <candidateList>
        <item>，</item>
      </candidateList>
      <explain>文本全半角错误。</explain>
      <paraID>1DEF1EC2</paraID>
      <start>34</start>
      <end>35</end>
      <status>unmodified</status>
      <modifiedWord/>
      <trackRevisions>false</trackRevisions>
    </reviewItem>
    <reviewItem>
      <errorID>b5491317-46c8-42c2-9087-77da15785de0</errorID>
      <errorWord>间</errorWord>
      <group>L1_Word</group>
      <groupName>字词问题</groupName>
      <ability>L2_Typo</ability>
      <abilityName>字词错误</abilityName>
      <candidateList>
        <item>间内</item>
      </candidateList>
      <explain/>
      <paraID>1DEF1EC2</paraID>
      <start>47</start>
      <end>48</end>
      <status>unmodified</status>
      <modifiedWord/>
      <trackRevisions>false</trackRevisions>
    </reviewItem>
    <reviewItem>
      <errorID>aea882d1-29b4-4bfb-bde8-0f94c0c190ac</errorID>
      <errorWord>[2011]300号</errorWord>
      <group>L1_Knowledge</group>
      <groupName>知识性问题</groupName>
      <ability>L2_Knowledge</ability>
      <abilityName>其他知识</abilityName>
      <candidateList>
        <item>〔2011〕300号</item>
      </candidateList>
      <explain>发文字号格式错误。</explain>
      <paraID>4F519D02</paraID>
      <start>35</start>
      <end>45</end>
      <status>unmodified</status>
      <modifiedWord/>
      <trackRevisions>false</trackRevisions>
    </reviewItem>
    <reviewItem>
      <errorID>37d48b0c-e9d5-436c-9e6b-4ce61a9bd367</errorID>
      <errorWord>〔2017〕 141号</errorWord>
      <group>L1_Knowledge</group>
      <groupName>知识性问题</groupName>
      <ability>L2_Knowledge</ability>
      <abilityName>其他知识</abilityName>
      <candidateList>
        <item>〔2017〕141号</item>
      </candidateList>
      <explain>发文字号格式错误。</explain>
      <paraID>354FC8CE</paraID>
      <start>49</start>
      <end>60</end>
      <status>unmodified</status>
      <modifiedWord/>
      <trackRevisions>false</trackRevisions>
    </reviewItem>
    <reviewItem>
      <errorID>516fe633-1b99-4b75-a138-62b4c43a7d60</errorID>
      <errorWord>(</errorWord>
      <group>L1_Format</group>
      <groupName>格式问题</groupName>
      <ability>L2_HalfPunc</ability>
      <abilityName>全半角检查</abilityName>
      <candidateList>
        <item>（</item>
      </candidateList>
      <explain>文本全半角错误。</explain>
      <paraID>5184ABE2</paraID>
      <start>3</start>
      <end>4</end>
      <status>unmodified</status>
      <modifiedWord/>
      <trackRevisions>false</trackRevisions>
    </reviewItem>
    <reviewItem>
      <errorID>17b93266-622f-4937-bbf7-2ffc0da74ca1</errorID>
      <errorWord>)</errorWord>
      <group>L1_Format</group>
      <groupName>格式问题</groupName>
      <ability>L2_HalfPunc</ability>
      <abilityName>全半角检查</abilityName>
      <candidateList>
        <item>）</item>
      </candidateList>
      <explain>文本全半角错误。</explain>
      <paraID>5184ABE2</paraID>
      <start>6</start>
      <end>7</end>
      <status>unmodified</status>
      <modifiedWord/>
      <trackRevisions>false</trackRevisions>
    </reviewItem>
    <reviewItem>
      <errorID>f881c4eb-e544-4c56-a09b-a42778109d9c</errorID>
      <errorWord>(</errorWord>
      <group>L1_Format</group>
      <groupName>格式问题</groupName>
      <ability>L2_HalfPunc</ability>
      <abilityName>全半角检查</abilityName>
      <candidateList>
        <item>（</item>
      </candidateList>
      <explain>文本全半角错误。</explain>
      <paraID>7EBB7A7E</paraID>
      <start>3</start>
      <end>4</end>
      <status>unmodified</status>
      <modifiedWord/>
      <trackRevisions>false</trackRevisions>
    </reviewItem>
    <reviewItem>
      <errorID>8008729b-c230-49fd-bedf-a7dd9a678a29</errorID>
      <errorWord>)</errorWord>
      <group>L1_Format</group>
      <groupName>格式问题</groupName>
      <ability>L2_HalfPunc</ability>
      <abilityName>全半角检查</abilityName>
      <candidateList>
        <item>）</item>
      </candidateList>
      <explain>文本全半角错误。</explain>
      <paraID>7EBB7A7E</paraID>
      <start>6</start>
      <end>7</end>
      <status>unmodified</status>
      <modifiedWord/>
      <trackRevisions>false</trackRevisions>
    </reviewItem>
    <reviewItem>
      <errorID>30c18e7c-8e17-49d5-8cb9-3e532ff2e76c</errorID>
      <errorWord>......</errorWord>
      <group>L1_Punc</group>
      <groupName>标点问题</groupName>
      <ability>L2_Punc</ability>
      <abilityName>标点符号检查</abilityName>
      <candidateList>
        <item>……</item>
      </candidateList>
      <explain/>
      <paraID>28BFF08A</paraID>
      <start>0</start>
      <end>6</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808FED9-BF28-4E0F-AFAE-10BABC65F1AD}"/>
</file>

<file path=customXml/itemProps2.xml><?xml version="1.0" encoding="utf-8"?>
<ds:datastoreItem xmlns:ds="http://schemas.openxmlformats.org/officeDocument/2006/customXml" ds:itemID="{51AEA69C-27FD-48F9-B59C-EACD2784D87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赵金鸿</cp:lastModifiedBy>
  <cp:revision>27</cp:revision>
  <dcterms:created xsi:type="dcterms:W3CDTF">2024-08-07T07:47:00Z</dcterms:created>
  <dcterms:modified xsi:type="dcterms:W3CDTF">2026-05-07T07:38:41Z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D1E76C9F88A347F0BCC7BF33CF08E379_13</vt:lpwstr>
  </property>
  <property fmtid="{D5CDD505-2E9C-101B-9397-08002B2CF9AE}" pid="4" name="KSOTemplateDocerSaveRecord">
    <vt:lpwstr>eyJoZGlkIjoiNzdmMDIzYWExOWI1OGEzYmYxZGM5YWU5YjY0MjgwNjgiLCJ1c2VySWQiOiI0MzExNzI0OTMifQ==</vt:lpwstr>
  </property>
</Properties>
</file>