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rFonts w:hint="eastAsia"/>
          <w:b/>
          <w:bCs/>
          <w:color w:val="auto"/>
          <w:sz w:val="56"/>
          <w:szCs w:val="56"/>
          <w:highlight w:val="none"/>
          <w:lang w:eastAsia="zh-CN"/>
        </w:rPr>
        <w:t xml:space="preserve">大明路西侧、龙锦路南侧（QQ030102)地块固废混合物合规处置项目</w:t>
      </w:r>
      <w:r>
        <w:rPr>
          <w:rFonts w:hint="eastAsia"/>
          <w:b/>
          <w:bCs/>
          <w:color w:val="auto"/>
          <w:sz w:val="60"/>
          <w:szCs w:val="60"/>
          <w:highlight w:val="none"/>
        </w:rPr>
        <w:t xml:space="preserve">公开招标文件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大明路西侧、龙锦路南侧（QQ030102)地块固废混合物合规处置项目</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JSZC-320402022-SYZB-G2026-0030</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江苏常州天宁经济开发区管理委员会</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line="360" w:lineRule="auto"/>
        <w:rPr>
          <w:b/>
          <w:bCs/>
          <w:color w:val="auto"/>
          <w:sz w:val="44"/>
          <w:highlight w:val="none"/>
        </w:rPr>
      </w:pPr>
      <w:r>
        <w:rPr>
          <w:b/>
          <w:bCs/>
          <w:color w:val="auto"/>
          <w:sz w:val="44"/>
          <w:highlight w:val="none"/>
        </w:rPr>
        <w:br w:type="page" w:clear="all"/>
      </w:r>
      <w:bookmarkStart w:id="0" w:name="_Toc99301418"/>
      <w:r/>
      <w:r/>
    </w:p>
    <w:p>
      <w:pPr>
        <w:jc w:val="center"/>
        <w:spacing w:line="360" w:lineRule="auto"/>
        <w:rPr>
          <w:b/>
          <w:bCs/>
          <w:color w:val="auto"/>
          <w:sz w:val="44"/>
          <w:highlight w:val="none"/>
        </w:rPr>
      </w:pPr>
      <w:r>
        <w:rPr>
          <w:b/>
          <w:bCs/>
          <w:color w:val="auto"/>
          <w:sz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528"/>
        <w:spacing w:line="360" w:lineRule="auto"/>
        <w:rPr>
          <w:b w:val="0"/>
          <w:bCs/>
          <w:color w:val="auto"/>
          <w:sz w:val="44"/>
          <w:highlight w:val="none"/>
        </w:rPr>
      </w:pPr>
      <w:r>
        <w:rPr>
          <w:b w:val="0"/>
          <w:bCs/>
          <w:color w:val="auto"/>
          <w:sz w:val="44"/>
          <w:highlight w:val="none"/>
        </w:rPr>
      </w:r>
      <w:r/>
    </w:p>
    <w:p>
      <w:pPr>
        <w:pStyle w:val="1528"/>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 xml:space="preserve">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 xml:space="preserve">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 xml:space="preserve">7</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 xml:space="preserve">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24</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 xml:space="preserve">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26</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 xml:space="preserve">第五章   采购需求</w:t>
      </w:r>
      <w:r>
        <w:rPr>
          <w:rFonts w:hint="eastAsia" w:cs="宋体"/>
          <w:color w:val="auto"/>
          <w:sz w:val="32"/>
          <w:szCs w:val="32"/>
          <w:highlight w:val="none"/>
        </w:rPr>
        <w:tab/>
      </w:r>
      <w:r>
        <w:rPr>
          <w:rFonts w:hint="eastAsia" w:cs="宋体"/>
          <w:color w:val="auto"/>
          <w:sz w:val="32"/>
          <w:szCs w:val="32"/>
          <w:highlight w:val="none"/>
        </w:rPr>
        <w:t xml:space="preserve">3</w:t>
      </w:r>
      <w:r>
        <w:rPr>
          <w:rFonts w:hint="eastAsia" w:cs="宋体"/>
          <w:color w:val="auto"/>
          <w:sz w:val="32"/>
          <w:szCs w:val="32"/>
          <w:highlight w:val="none"/>
        </w:rPr>
        <w:fldChar w:fldCharType="end"/>
      </w:r>
      <w:r>
        <w:rPr>
          <w:rFonts w:hint="eastAsia" w:cs="宋体"/>
          <w:color w:val="auto"/>
          <w:sz w:val="32"/>
          <w:szCs w:val="32"/>
          <w:highlight w:val="none"/>
        </w:rPr>
        <w:t xml:space="preserve">2</w:t>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 xml:space="preserve">第六章   拟签订的合同文本</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1</w:t>
      </w:r>
      <w:r/>
    </w:p>
    <w:p>
      <w:pPr>
        <w:pStyle w:val="1528"/>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 xml:space="preserve">第七章   投标文件格式</w:t>
      </w:r>
      <w:r>
        <w:rPr>
          <w:rFonts w:hint="eastAsia" w:cs="宋体"/>
          <w:color w:val="auto"/>
          <w:sz w:val="32"/>
          <w:szCs w:val="32"/>
          <w:highlight w:val="none"/>
        </w:rPr>
        <w:tab/>
      </w:r>
      <w:r>
        <w:rPr>
          <w:rFonts w:hint="eastAsia" w:cs="宋体"/>
          <w:color w:val="auto"/>
          <w:sz w:val="32"/>
          <w:szCs w:val="32"/>
          <w:highlight w:val="none"/>
        </w:rPr>
        <w:t xml:space="preserve">4</w:t>
      </w:r>
      <w:r>
        <w:rPr>
          <w:rFonts w:hint="eastAsia" w:cs="宋体"/>
          <w:color w:val="auto"/>
          <w:sz w:val="32"/>
          <w:szCs w:val="32"/>
          <w:highlight w:val="none"/>
        </w:rPr>
        <w:fldChar w:fldCharType="end"/>
      </w:r>
      <w:r>
        <w:rPr>
          <w:rFonts w:hint="eastAsia" w:cs="宋体"/>
          <w:color w:val="auto"/>
          <w:sz w:val="32"/>
          <w:szCs w:val="32"/>
          <w:highlight w:val="none"/>
        </w:rPr>
        <w:t xml:space="preserve">4</w:t>
      </w:r>
      <w:r/>
    </w:p>
    <w:p>
      <w:pPr>
        <w:pStyle w:val="1528"/>
        <w:spacing w:line="360" w:lineRule="auto"/>
        <w:rPr>
          <w:rFonts w:cs="宋体"/>
          <w:color w:val="auto"/>
          <w:sz w:val="32"/>
          <w:szCs w:val="32"/>
          <w:highlight w:val="none"/>
        </w:rPr>
      </w:pPr>
      <w:r>
        <w:rPr>
          <w:rFonts w:hint="eastAsia" w:cs="宋体"/>
          <w:color w:val="auto"/>
          <w:sz w:val="32"/>
          <w:szCs w:val="32"/>
          <w:highlight w:val="none"/>
        </w:rPr>
        <w:fldChar w:fldCharType="end"/>
      </w:r>
      <w:r/>
    </w:p>
    <w:p>
      <w:pPr>
        <w:pStyle w:val="1528"/>
        <w:jc w:val="center"/>
        <w:spacing w:line="360" w:lineRule="auto"/>
        <w:rPr>
          <w:color w:val="auto"/>
          <w:sz w:val="36"/>
          <w:szCs w:val="36"/>
          <w:highlight w:val="none"/>
        </w:rPr>
      </w:pPr>
      <w:r>
        <w:rPr>
          <w:rFonts w:hint="eastAsia" w:cs="宋体"/>
          <w:color w:val="auto"/>
          <w:sz w:val="32"/>
          <w:szCs w:val="32"/>
          <w:highlight w:val="none"/>
        </w:rPr>
        <w:br w:type="page" w:clear="all"/>
      </w:r>
      <w:bookmarkStart w:id="1" w:name="_Toc15932"/>
      <w:r/>
      <w:bookmarkStart w:id="2" w:name="_Toc99301419"/>
      <w:r>
        <w:rPr>
          <w:color w:val="auto"/>
          <w:sz w:val="36"/>
          <w:szCs w:val="36"/>
          <w:highlight w:val="none"/>
        </w:rPr>
        <w:t xml:space="preserve">第一章   投标邀请</w:t>
      </w:r>
      <w:bookmarkEnd w:id="1"/>
      <w:r/>
      <w:bookmarkEnd w:id="2"/>
      <w:r/>
      <w:r/>
    </w:p>
    <w:p>
      <w:pPr>
        <w:spacing w:line="360" w:lineRule="auto"/>
        <w:rPr>
          <w:rFonts w:ascii="宋体" w:hAnsi="宋体"/>
          <w:b/>
          <w:bCs/>
          <w:color w:val="auto"/>
          <w:sz w:val="24"/>
          <w:highlight w:val="none"/>
        </w:rPr>
      </w:pPr>
      <w:r/>
      <w:bookmarkStart w:id="3" w:name="_Toc35393621"/>
      <w:r/>
      <w:bookmarkStart w:id="4" w:name="_Toc28359079"/>
      <w:r/>
      <w:bookmarkStart w:id="5" w:name="_Toc28359002"/>
      <w:r/>
      <w:bookmarkStart w:id="6" w:name="_Toc35393790"/>
      <w:r/>
      <w:bookmarkStart w:id="7" w:name="_Hlk24379207"/>
      <w:r>
        <w:rPr>
          <w:rFonts w:hint="eastAsia" w:ascii="宋体" w:hAnsi="宋体"/>
          <w:b/>
          <w:bCs/>
          <w:color w:val="auto"/>
          <w:sz w:val="24"/>
          <w:highlight w:val="none"/>
        </w:rPr>
        <w:t xml:space="preserve">一、项目基本情况</w:t>
      </w:r>
      <w:bookmarkEnd w:id="3"/>
      <w:r/>
      <w:bookmarkEnd w:id="4"/>
      <w:r/>
      <w:bookmarkEnd w:id="5"/>
      <w:r/>
      <w:bookmarkEnd w:id="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JSZC-320402022-SYZB-G2026-0030</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大明路西侧、龙锦路南侧（QQ030102)地块固废混合物合规处置项目</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425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425 </w:t>
      </w:r>
      <w:r>
        <w:rPr>
          <w:rFonts w:hint="eastAsia" w:ascii="宋体" w:hAnsi="宋体" w:eastAsia="宋体" w:cs="宋体"/>
          <w:color w:val="auto"/>
          <w:sz w:val="24"/>
          <w:szCs w:val="24"/>
          <w:highlight w:val="non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bookmarkEnd w:id="7"/>
      <w:r/>
      <w:r/>
    </w:p>
    <w:tbl>
      <w:tblPr>
        <w:tblStyle w:val="150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2105"/>
        <w:gridCol w:w="845"/>
        <w:gridCol w:w="4764"/>
      </w:tblGrid>
      <w:tr>
        <w:trPr>
          <w:trHeight w:val="454"/>
        </w:trPr>
        <w:tc>
          <w:tcPr>
            <w:tcW w:w="84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标的名称</w:t>
            </w:r>
            <w:r/>
          </w:p>
        </w:tc>
        <w:tc>
          <w:tcPr>
            <w:tcW w:w="11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包</w:t>
            </w:r>
            <w:r>
              <w:rPr>
                <w:rFonts w:hint="eastAsia" w:ascii="宋体" w:hAnsi="宋体" w:eastAsia="宋体" w:cs="宋体"/>
                <w:bCs/>
                <w:color w:val="auto"/>
                <w:sz w:val="24"/>
                <w:szCs w:val="24"/>
                <w:highlight w:val="none"/>
              </w:rPr>
              <w:t xml:space="preserve">预算金额</w:t>
            </w:r>
            <w:r/>
          </w:p>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（万元）</w:t>
            </w:r>
            <w:r/>
          </w:p>
        </w:tc>
        <w:tc>
          <w:tcPr>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数量</w:t>
            </w:r>
            <w:r/>
          </w:p>
        </w:tc>
        <w:tc>
          <w:tcPr>
            <w:tcW w:w="2566"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简要技术需求或服务要求</w:t>
            </w:r>
            <w:r/>
          </w:p>
        </w:tc>
      </w:tr>
      <w:tr>
        <w:trPr>
          <w:trHeight w:val="434"/>
        </w:trPr>
        <w:tc>
          <w:tcPr>
            <w:shd w:val="clear" w:color="auto" w:fill="auto"/>
            <w:tcW w:w="84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eastAsia="zh-CN"/>
              </w:rPr>
              <w:t xml:space="preserve">大明路西侧、龙锦路南侧（QQ030102)地块固废混合物合规处置</w:t>
            </w:r>
            <w:r/>
          </w:p>
        </w:tc>
        <w:tc>
          <w:tcPr>
            <w:shd w:val="clear" w:color="auto" w:fill="auto"/>
            <w:tcW w:w="113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425</w:t>
            </w:r>
            <w:r/>
          </w:p>
        </w:tc>
        <w:tc>
          <w:tcPr>
            <w:shd w:val="clear" w:color="auto" w:fill="auto"/>
            <w:tcW w:w="455"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rPr>
              <w:t xml:space="preserve">1</w:t>
            </w:r>
            <w:r/>
          </w:p>
        </w:tc>
        <w:tc>
          <w:tcPr>
            <w:shd w:val="clear" w:color="auto" w:fill="auto"/>
            <w:tcW w:w="2566" w:type="pct"/>
            <w:vAlign w:val="center"/>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eastAsia="zh-CN"/>
              </w:rPr>
              <w:t xml:space="preserve">本项目是大明路西侧、龙锦路南侧（QQ030102)地块固废混合物合规处置项目，</w:t>
            </w:r>
            <w:r>
              <w:rPr>
                <w:rFonts w:hint="eastAsia" w:ascii="宋体" w:hAnsi="宋体" w:cs="宋体"/>
                <w:color w:val="auto"/>
                <w:sz w:val="24"/>
                <w:szCs w:val="24"/>
                <w:highlight w:val="none"/>
                <w:lang w:val="en-US" w:eastAsia="zh-CN"/>
              </w:rPr>
              <w:t xml:space="preserve">服务内容包括对该地块的固废混合物进行合规化处置，完成全部工作内容，并通过最终验收等。</w:t>
            </w:r>
            <w:r/>
          </w:p>
        </w:tc>
      </w:tr>
    </w:tbl>
    <w:p>
      <w:pPr>
        <w:ind w:firstLine="480"/>
        <w:spacing w:before="120"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自合同签订之日起50日历天内完成所有工作内容。</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6.本项目是否接受联合体：□是  ■否。</w:t>
      </w:r>
      <w:r/>
    </w:p>
    <w:p>
      <w:pPr>
        <w:spacing w:line="360" w:lineRule="auto"/>
        <w:rPr>
          <w:rFonts w:ascii="宋体" w:hAnsi="宋体"/>
          <w:b/>
          <w:bCs/>
          <w:color w:val="auto"/>
          <w:sz w:val="24"/>
          <w:highlight w:val="none"/>
        </w:rPr>
      </w:pPr>
      <w:r/>
      <w:bookmarkStart w:id="8" w:name="_Toc28359003"/>
      <w:r/>
      <w:bookmarkStart w:id="9" w:name="_Toc35393622"/>
      <w:r/>
      <w:bookmarkStart w:id="10" w:name="_Toc35393791"/>
      <w:r/>
      <w:bookmarkStart w:id="11" w:name="_Toc28359080"/>
      <w:r>
        <w:rPr>
          <w:rFonts w:hint="eastAsia" w:ascii="宋体" w:hAnsi="宋体"/>
          <w:b/>
          <w:bCs/>
          <w:color w:val="auto"/>
          <w:sz w:val="24"/>
          <w:highlight w:val="none"/>
        </w:rPr>
        <w:t xml:space="preserve">二、申请人的资格要求（须同时满足）</w:t>
      </w:r>
      <w:bookmarkEnd w:id="8"/>
      <w:r/>
      <w:bookmarkEnd w:id="9"/>
      <w:r/>
      <w:bookmarkEnd w:id="10"/>
      <w:r/>
      <w:bookmarkEnd w:id="1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bookmarkStart w:id="12" w:name="_Toc28359081"/>
      <w:r/>
      <w:bookmarkStart w:id="13" w:name="_Toc28359004"/>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采购。即：提供的服务全部由符合政策要求的中小企业承接。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u w:val="none"/>
        </w:rPr>
      </w:pPr>
      <w:r>
        <w:rPr>
          <w:rFonts w:hint="eastAsia" w:ascii="宋体" w:hAnsi="宋体" w:cs="宋体"/>
          <w:color w:val="auto"/>
          <w:sz w:val="24"/>
          <w:highlight w:val="none"/>
        </w:rPr>
        <w:t xml:space="preserve">3.3其他特定资格要求：</w:t>
      </w:r>
      <w:r>
        <w:rPr>
          <w:rFonts w:hint="eastAsia" w:ascii="宋体" w:hAnsi="宋体" w:cs="宋体"/>
          <w:color w:val="auto"/>
          <w:sz w:val="24"/>
          <w:highlight w:val="none"/>
          <w:u w:val="single"/>
        </w:rPr>
        <w:t xml:space="preserve"> 投标人须具备道路运输经营许可证，或提供与具备该资质单位的合作协议 </w:t>
      </w:r>
      <w:r>
        <w:rPr>
          <w:rFonts w:hint="eastAsia" w:ascii="宋体" w:hAnsi="宋体" w:cs="宋体"/>
          <w:color w:val="auto"/>
          <w:sz w:val="24"/>
          <w:highlight w:val="none"/>
        </w:rPr>
        <w:t xml:space="preserve">。</w:t>
      </w:r>
      <w:bookmarkEnd w:id="12"/>
      <w:r/>
      <w:bookmarkEnd w:id="13"/>
      <w:r/>
      <w:r/>
    </w:p>
    <w:p>
      <w:pPr>
        <w:spacing w:line="360" w:lineRule="auto"/>
        <w:rPr>
          <w:rFonts w:ascii="宋体" w:hAnsi="宋体"/>
          <w:b/>
          <w:bCs/>
          <w:color w:val="auto"/>
          <w:sz w:val="24"/>
          <w:highlight w:val="none"/>
        </w:rPr>
      </w:pPr>
      <w:r/>
      <w:bookmarkStart w:id="14" w:name="_Toc35393623"/>
      <w:r/>
      <w:bookmarkStart w:id="15" w:name="_Toc35393792"/>
      <w:r>
        <w:rPr>
          <w:rFonts w:hint="eastAsia" w:ascii="宋体" w:hAnsi="宋体"/>
          <w:b/>
          <w:bCs/>
          <w:color w:val="auto"/>
          <w:sz w:val="24"/>
          <w:highlight w:val="none"/>
        </w:rPr>
        <w:t xml:space="preserve">三、获取招标文件</w:t>
      </w:r>
      <w:bookmarkEnd w:id="14"/>
      <w:r/>
      <w:bookmarkEnd w:id="15"/>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bookmarkStart w:id="16" w:name="_Toc28359005"/>
      <w:r/>
      <w:bookmarkStart w:id="17" w:name="_Toc28359082"/>
      <w:r/>
      <w:bookmarkStart w:id="18" w:name="_Toc35393793"/>
      <w:r/>
      <w:bookmarkStart w:id="19" w:name="_Toc35393624"/>
      <w:r>
        <w:rPr>
          <w:rFonts w:hint="eastAsia" w:ascii="宋体" w:hAnsi="宋体" w:eastAsia="宋体" w:cs="宋体"/>
          <w:color w:val="auto"/>
          <w:sz w:val="24"/>
          <w:highlight w:val="none"/>
          <w:lang w:bidi="ar"/>
        </w:rPr>
        <w:t xml:space="preserve">1.时间：自招标文件公告发布之日起5个工作日。</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u w:val="single"/>
          <w:lang w:bidi="ar"/>
        </w:rPr>
        <w:t xml:space="preserve">投标人登</w:t>
      </w:r>
      <w:r>
        <w:rPr>
          <w:rFonts w:hint="eastAsia" w:ascii="宋体" w:hAnsi="宋体" w:cs="宋体"/>
          <w:color w:val="auto"/>
          <w:sz w:val="24"/>
          <w:highlight w:val="none"/>
          <w:u w:val="single"/>
          <w:lang w:val="en-US" w:eastAsia="zh-CN" w:bidi="ar"/>
        </w:rPr>
        <w:t xml:space="preserve">录</w:t>
      </w:r>
      <w:r>
        <w:rPr>
          <w:rFonts w:hint="eastAsia" w:ascii="宋体" w:hAnsi="宋体" w:cs="宋体"/>
          <w:color w:val="auto"/>
          <w:sz w:val="24"/>
          <w:highlight w:val="none"/>
          <w:u w:val="singl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四、提交投标文件</w:t>
      </w:r>
      <w:bookmarkEnd w:id="16"/>
      <w:r/>
      <w:bookmarkEnd w:id="17"/>
      <w:r>
        <w:rPr>
          <w:rFonts w:hint="eastAsia" w:ascii="宋体" w:hAnsi="宋体"/>
          <w:b/>
          <w:bCs/>
          <w:color w:val="auto"/>
          <w:sz w:val="24"/>
          <w:highlight w:val="none"/>
        </w:rPr>
        <w:t xml:space="preserve">截止时间、开标时间和地点</w:t>
      </w:r>
      <w:bookmarkEnd w:id="18"/>
      <w:r/>
      <w:bookmarkEnd w:id="19"/>
      <w:r/>
      <w:r/>
    </w:p>
    <w:p>
      <w:pPr>
        <w:ind w:firstLine="480"/>
        <w:spacing w:line="360" w:lineRule="auto"/>
        <w:rPr>
          <w:rFonts w:ascii="宋体" w:hAnsi="宋体" w:cs="宋体"/>
          <w:iCs/>
          <w:color w:val="auto"/>
          <w:sz w:val="24"/>
          <w:highlight w:val="none"/>
          <w:lang w:bidi="ar"/>
        </w:rPr>
      </w:pPr>
      <w:r>
        <w:rPr>
          <w:color w:val="auto"/>
          <w:sz w:val="24"/>
          <w:highlight w:val="none"/>
          <w:lang w:bidi="ar"/>
        </w:rPr>
        <w:t xml:space="preserve">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val="en-US" w:eastAsia="zh-CN"/>
        </w:rPr>
        <w:t xml:space="preserve"> 5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val="en-US" w:eastAsia="zh-CN"/>
        </w:rPr>
        <w:t xml:space="preserve"> 18</w:t>
      </w:r>
      <w:bookmarkStart w:id="910" w:name="_GoBack"/>
      <w:r/>
      <w:bookmarkEnd w:id="910"/>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lang w:val="en-US" w:eastAsia="zh-CN"/>
        </w:rPr>
        <w:t xml:space="preserve"> 14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lang w:val="en-US" w:eastAsia="zh-CN"/>
        </w:rPr>
        <w:t xml:space="preserve"> 00 </w:t>
      </w:r>
      <w:r>
        <w:rPr>
          <w:rFonts w:hint="eastAsia" w:ascii="宋体" w:hAnsi="宋体" w:cs="宋体"/>
          <w:color w:val="auto"/>
          <w:sz w:val="24"/>
          <w:highlight w:val="none"/>
          <w:lang w:bidi="ar"/>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u w:val="single"/>
          <w:lang w:bidi="ar"/>
        </w:rPr>
      </w:pPr>
      <w:r/>
      <w:bookmarkStart w:id="20" w:name="_Toc35393625"/>
      <w:r/>
      <w:bookmarkStart w:id="21" w:name="_Toc35393794"/>
      <w:r/>
      <w:bookmarkStart w:id="22" w:name="_Toc28359007"/>
      <w:r/>
      <w:bookmarkStart w:id="23" w:name="_Toc28359084"/>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lang w:bidi="ar"/>
        </w:rPr>
        <w:t xml:space="preserve">“苏采云”政府采购</w:t>
      </w:r>
      <w:r>
        <w:rPr>
          <w:rFonts w:hint="eastAsia" w:ascii="宋体" w:hAnsi="宋体" w:cs="宋体"/>
          <w:color w:val="auto"/>
          <w:sz w:val="24"/>
          <w:highlight w:val="none"/>
          <w:u w:val="single"/>
        </w:rPr>
        <w:t xml:space="preserve">一体化平台</w:t>
      </w:r>
      <w:r>
        <w:rPr>
          <w:rFonts w:hint="eastAsia" w:ascii="宋体" w:hAnsi="宋体" w:cs="宋体"/>
          <w:color w:val="auto"/>
          <w:sz w:val="24"/>
          <w:highlight w:val="none"/>
          <w:u w:val="single"/>
          <w:lang w:bidi="ar"/>
        </w:rPr>
        <w:t xml:space="preserve">网上开标大厅</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自本公告发布之日起5个工作日。</w:t>
      </w:r>
      <w:r/>
    </w:p>
    <w:p>
      <w:pPr>
        <w:spacing w:line="360" w:lineRule="auto"/>
        <w:rPr>
          <w:rFonts w:ascii="宋体" w:hAnsi="宋体"/>
          <w:b/>
          <w:bCs/>
          <w:color w:val="auto"/>
          <w:sz w:val="24"/>
          <w:highlight w:val="none"/>
        </w:rPr>
      </w:pPr>
      <w:r/>
      <w:bookmarkStart w:id="24" w:name="_Toc35393795"/>
      <w:r/>
      <w:bookmarkStart w:id="25" w:name="_Toc35393626"/>
      <w:r>
        <w:rPr>
          <w:rFonts w:hint="eastAsia" w:ascii="宋体" w:hAnsi="宋体"/>
          <w:b/>
          <w:bCs/>
          <w:color w:val="auto"/>
          <w:sz w:val="24"/>
          <w:highlight w:val="none"/>
        </w:rPr>
        <w:t xml:space="preserve">六、其他补充事宜</w:t>
      </w:r>
      <w:bookmarkEnd w:id="24"/>
      <w:r/>
      <w:bookmarkEnd w:id="25"/>
      <w:r/>
      <w:r/>
    </w:p>
    <w:p>
      <w:pPr>
        <w:ind w:firstLine="480"/>
        <w:spacing w:line="360" w:lineRule="auto"/>
        <w:rPr>
          <w:rFonts w:hint="eastAsia" w:ascii="宋体" w:hAnsi="宋体" w:cs="宋体"/>
          <w:color w:val="auto"/>
          <w:sz w:val="24"/>
          <w:highlight w:val="none"/>
        </w:rPr>
      </w:pPr>
      <w:r/>
      <w:bookmarkStart w:id="26" w:name="_Toc28359008"/>
      <w:r/>
      <w:bookmarkStart w:id="27" w:name="_Toc35393796"/>
      <w:r/>
      <w:bookmarkStart w:id="28" w:name="_Toc28359085"/>
      <w:r/>
      <w:bookmarkStart w:id="29" w:name="_Toc35393627"/>
      <w:r>
        <w:rPr>
          <w:rFonts w:hint="eastAsia" w:ascii="宋体" w:hAnsi="宋体" w:cs="宋体"/>
          <w:color w:val="auto"/>
          <w:sz w:val="24"/>
          <w:highlight w:val="none"/>
        </w:rPr>
        <w:t xml:space="preserve">1.本项目需要落实的政府采购政策</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val="en-US" w:eastAsia="zh-CN"/>
        </w:rPr>
        <w:t xml:space="preserve"> / </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.本项目采用远程“不见面”交易方式，无需到现场提交，请</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在提交时间截止前提前登入“苏采云”，通过系统在线提交电子投标文件。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.有关本次招标的事项若存在变动或修改，敬请及时关注“江苏政府采购网”、“常州市政府采购网”发布的更正公告。</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.本项目不收取投标保证金。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，视为未参与该项政府采购活动，不具备对该政府采购项目提出质疑的法定权利，但因</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资格条件或报名时间设定不符合有关法律法规规定等原因使</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.如潜在</w:t>
      </w: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rPr>
        <w:t xml:space="preserve">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.关于常州市中小企业政府采购信用融资：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.关于深入开展常州市政府采购线上合同信用融资：</w:t>
      </w:r>
      <w:r/>
    </w:p>
    <w:p>
      <w:pPr>
        <w:ind w:firstLine="480"/>
        <w:spacing w:line="360" w:lineRule="auto"/>
        <w:rPr>
          <w:color w:val="auto"/>
          <w:sz w:val="24"/>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七、对本次招标提出询问，请按以下方式联系。</w:t>
      </w:r>
      <w:bookmarkEnd w:id="26"/>
      <w:r/>
      <w:bookmarkEnd w:id="27"/>
      <w:r/>
      <w:bookmarkEnd w:id="28"/>
      <w:r/>
      <w:bookmarkEnd w:id="29"/>
      <w:r/>
      <w:r/>
    </w:p>
    <w:p>
      <w:pPr>
        <w:ind w:firstLine="482"/>
        <w:jc w:val="left"/>
        <w:spacing w:line="360" w:lineRule="auto"/>
        <w:widowControl/>
        <w:rPr>
          <w:rFonts w:ascii="宋体" w:hAnsi="宋体" w:cs="宋体"/>
          <w:b/>
          <w:bCs/>
          <w:color w:val="auto"/>
          <w:sz w:val="24"/>
          <w:highlight w:val="none"/>
          <w:lang w:val="zh-TW" w:bidi="ar"/>
        </w:rPr>
      </w:pPr>
      <w:r/>
      <w:bookmarkStart w:id="30" w:name="_Toc353825548"/>
      <w:r/>
      <w:bookmarkStart w:id="31" w:name="_Toc265228423"/>
      <w:r/>
      <w:bookmarkStart w:id="32" w:name="_Toc264969275"/>
      <w:r/>
      <w:bookmarkStart w:id="33" w:name="_Toc353873938"/>
      <w:r/>
      <w:bookmarkStart w:id="34" w:name="_Toc150774783"/>
      <w:r/>
      <w:bookmarkStart w:id="35" w:name="_Toc127151777"/>
      <w:r/>
      <w:bookmarkStart w:id="36" w:name="_Toc305158854"/>
      <w:r/>
      <w:bookmarkStart w:id="37" w:name="_Toc226965856"/>
      <w:r/>
      <w:bookmarkStart w:id="38" w:name="_Toc512937850"/>
      <w:r/>
      <w:bookmarkStart w:id="39" w:name="_Toc305158928"/>
      <w:r/>
      <w:bookmarkStart w:id="40" w:name="_Toc99301420"/>
      <w:r/>
      <w:bookmarkStart w:id="41" w:name="_Toc195842950"/>
      <w:r/>
      <w:bookmarkStart w:id="42" w:name="_Toc127161488"/>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 xml:space="preserve">江苏常州天宁经济开发区管理委员会</w:t>
      </w:r>
      <w:r>
        <w:rPr>
          <w:rFonts w:hint="eastAsia" w:ascii="宋体" w:hAnsi="宋体" w:cs="宋体"/>
          <w:color w:val="auto"/>
          <w:sz w:val="24"/>
          <w:highlight w:val="none"/>
          <w:u w:val="single"/>
          <w:lang w:bidi="ar"/>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北塘河东路5号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val="en-US" w:eastAsia="zh-CN" w:bidi="ar"/>
        </w:rPr>
        <w:t xml:space="preserve">刘先生、0519-85500890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嵇玲</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 xml:space="preserve">0</w:t>
      </w:r>
      <w:r>
        <w:rPr>
          <w:rFonts w:hint="eastAsia" w:ascii="宋体" w:hAnsi="宋体" w:cs="宋体"/>
          <w:color w:val="auto"/>
          <w:sz w:val="24"/>
          <w:highlight w:val="none"/>
          <w:u w:val="single"/>
          <w:lang w:val="zh-TW" w:bidi="ar"/>
        </w:rPr>
        <w:t xml:space="preserve">）</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ascii="宋体" w:hAnsi="宋体" w:cs="宋体"/>
          <w:color w:val="auto"/>
          <w:sz w:val="24"/>
          <w:highlight w:val="none"/>
          <w:lang w:val="zh-TW" w:bidi="ar"/>
        </w:rPr>
      </w:r>
      <w:r/>
    </w:p>
    <w:p>
      <w:pPr>
        <w:jc w:val="center"/>
        <w:spacing w:line="360" w:lineRule="auto"/>
        <w:rPr>
          <w:rFonts w:ascii="宋体" w:hAnsi="宋体" w:cs="宋体"/>
          <w:color w:val="auto"/>
          <w:sz w:val="24"/>
          <w:highlight w:val="none"/>
        </w:rPr>
        <w:sectPr>
          <w:headerReference w:type="default" r:id="rId9"/>
          <w:headerReference w:type="first" r:id="rId10"/>
          <w:footerReference w:type="default" r:id="rId23"/>
          <w:footerReference w:type="first" r:id="rId24"/>
          <w:footnotePr/>
          <w:endnotePr/>
          <w:type w:val="nextColumn"/>
          <w:pgSz w:w="11907" w:h="16840" w:orient="portrait"/>
          <w:pgMar w:top="1418" w:right="1134" w:bottom="1418" w:left="1701" w:header="851" w:footer="851" w:gutter="0"/>
          <w:pgNumType w:start="1"/>
          <w:cols w:num="1" w:sep="0" w:space="720" w:equalWidth="1"/>
          <w:docGrid w:linePitch="360"/>
          <w:titlePg/>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43" w:name="_Toc11085"/>
      <w:r>
        <w:rPr>
          <w:b/>
          <w:color w:val="auto"/>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ascii="宋体" w:hAnsi="宋体"/>
          <w:b/>
          <w:bCs/>
          <w:color w:val="auto"/>
          <w:sz w:val="28"/>
          <w:szCs w:val="28"/>
          <w:highlight w:val="none"/>
        </w:rPr>
      </w:pPr>
      <w:r/>
      <w:bookmarkStart w:id="44" w:name="_Toc226965792"/>
      <w:r/>
      <w:bookmarkStart w:id="45" w:name="_Toc151193907"/>
      <w:r/>
      <w:bookmarkStart w:id="46" w:name="_Toc164608788"/>
      <w:r/>
      <w:bookmarkStart w:id="47" w:name="_Toc150774619"/>
      <w:r/>
      <w:bookmarkStart w:id="48" w:name="_Toc520356144"/>
      <w:r/>
      <w:bookmarkStart w:id="49" w:name="_Toc151193617"/>
      <w:r/>
      <w:bookmarkStart w:id="50" w:name="_Toc127151720"/>
      <w:r/>
      <w:bookmarkStart w:id="51" w:name="_Toc226309763"/>
      <w:r/>
      <w:bookmarkStart w:id="52" w:name="_Toc164229360"/>
      <w:r/>
      <w:bookmarkStart w:id="53" w:name="_Toc127161433"/>
      <w:r/>
      <w:bookmarkStart w:id="54" w:name="_Toc151193761"/>
      <w:r/>
      <w:bookmarkStart w:id="55" w:name="_Toc151193833"/>
      <w:r/>
      <w:bookmarkStart w:id="56" w:name="_Toc164351613"/>
      <w:r/>
      <w:bookmarkStart w:id="57" w:name="_Toc151193689"/>
      <w:r/>
      <w:bookmarkStart w:id="58" w:name="_Toc195842884"/>
      <w:r/>
      <w:bookmarkStart w:id="59" w:name="_Toc164229214"/>
      <w:r/>
      <w:bookmarkStart w:id="60" w:name="_Toc150480757"/>
      <w:r/>
      <w:bookmarkStart w:id="61" w:name="_Toc226337215"/>
      <w:r/>
      <w:bookmarkStart w:id="62" w:name="_Toc149720812"/>
      <w:r/>
      <w:bookmarkStart w:id="63" w:name="_Toc127151519"/>
      <w:r/>
      <w:bookmarkStart w:id="64" w:name="_Toc226965709"/>
      <w:r/>
      <w:bookmarkStart w:id="65" w:name="_Toc164608633"/>
      <w:r/>
      <w:bookmarkStart w:id="66" w:name="_Toc150509270"/>
      <w:r/>
      <w:bookmarkStart w:id="67" w:name="_Toc151190146"/>
      <w:r/>
      <w:bookmarkStart w:id="68" w:name="_Toc142311021"/>
      <w:r/>
      <w:bookmarkStart w:id="69" w:name="_Toc150774724"/>
      <w:r>
        <w:rPr>
          <w:rFonts w:hint="eastAsia" w:ascii="宋体" w:hAnsi="宋体"/>
          <w:b/>
          <w:bCs/>
          <w:color w:val="auto"/>
          <w:sz w:val="28"/>
          <w:szCs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本表是对投标人须知的具体补充和修改，如有矛盾，均以本资料表为准。</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标记“■”的选项意为适用于本项目，标记“□”的选项意为不适用于本项目。</w:t>
      </w:r>
      <w:r/>
    </w:p>
    <w:tbl>
      <w:tblPr>
        <w:tblStyle w:val="15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1028"/>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tc>
      </w:tr>
      <w:tr>
        <w:trPr>
          <w:jc w:val="center"/>
          <w:trHeight w:val="1058"/>
        </w:trPr>
        <w:tc>
          <w:tcPr>
            <w:tcW w:w="988" w:type="dxa"/>
            <w:vAlign w:val="center"/>
            <w:vMerge w:val="restart"/>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1520"/>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1073"/>
        </w:trPr>
        <w:tc>
          <w:tcPr>
            <w:tcW w:w="988" w:type="dxa"/>
            <w:vAlign w:val="center"/>
            <w:vMerge w:val="continue"/>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80"/>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widowControl/>
              <w:rPr>
                <w:rFonts w:hint="default" w:ascii="宋体" w:hAnsi="宋体" w:cs="宋体"/>
                <w:color w:val="auto"/>
                <w:sz w:val="24"/>
                <w:highlight w:val="none"/>
                <w:lang w:val="en-US"/>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lang w:val="en-US" w:eastAsia="zh-CN" w:bidi="ar"/>
              </w:rPr>
              <w:t xml:space="preserve"> 其他未列明行业 </w:t>
            </w:r>
            <w:r/>
          </w:p>
        </w:tc>
      </w:tr>
      <w:tr>
        <w:trPr>
          <w:jc w:val="center"/>
          <w:trHeight w:val="1118"/>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496"/>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511"/>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37"/>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962"/>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 xml:space="preserve">。</w:t>
            </w:r>
            <w:r/>
          </w:p>
        </w:tc>
      </w:tr>
      <w:tr>
        <w:trPr>
          <w:jc w:val="center"/>
          <w:trHeight w:val="1340"/>
        </w:trPr>
        <w:tc>
          <w:tcPr>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 xml:space="preserve">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 xml:space="preserve">。</w:t>
            </w:r>
            <w:r/>
          </w:p>
        </w:tc>
      </w:tr>
      <w:tr>
        <w:trPr>
          <w:jc w:val="center"/>
          <w:trHeight w:val="253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52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中标人</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收费比例按差额定率分档累进法计算，收费差额费率：</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rPr>
              <w:t xml:space="preserve">金额在100万元(含)以下的为1.5%，</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rPr>
              <w:t xml:space="preserve">金额在100万元（不含）至500万元（含）的为0.8%</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lang w:val="en-US" w:eastAsia="zh-CN"/>
              </w:rPr>
              <w:t xml:space="preserve">中标</w:t>
            </w:r>
            <w:r>
              <w:rPr>
                <w:rFonts w:hint="eastAsia" w:ascii="宋体" w:hAnsi="宋体" w:eastAsia="宋体" w:cs="宋体"/>
                <w:color w:val="auto"/>
                <w:sz w:val="24"/>
                <w:szCs w:val="24"/>
                <w:highlight w:val="none"/>
                <w:u w:val="single"/>
              </w:rPr>
              <w:t xml:space="preserve">金额在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00万元（不含）至</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00万元（含）的为0.</w:t>
            </w:r>
            <w:r>
              <w:rPr>
                <w:rFonts w:hint="eastAsia" w:ascii="宋体" w:hAnsi="宋体" w:eastAsia="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highlight w:val="none"/>
                <w:u w:val="single"/>
              </w:rPr>
              <w:t xml:space="preserve">中标</w:t>
            </w:r>
            <w:r>
              <w:rPr>
                <w:rFonts w:hint="eastAsia" w:ascii="宋体" w:hAnsi="宋体" w:eastAsia="宋体" w:cs="宋体"/>
                <w:color w:val="auto"/>
                <w:sz w:val="24"/>
                <w:szCs w:val="24"/>
                <w:highlight w:val="none"/>
                <w:u w:val="single"/>
                <w:shd w:val="clear" w:color="auto" w:fill="auto"/>
              </w:rPr>
              <w:t xml:space="preserve">服务收费按上述计算方法</w:t>
            </w:r>
            <w:r>
              <w:rPr>
                <w:rFonts w:hint="eastAsia" w:ascii="宋体" w:hAnsi="宋体" w:eastAsia="宋体" w:cs="宋体"/>
                <w:color w:val="auto"/>
                <w:sz w:val="24"/>
                <w:szCs w:val="24"/>
                <w:highlight w:val="none"/>
                <w:u w:val="single"/>
                <w:shd w:val="clear" w:color="auto" w:fill="auto"/>
                <w:lang w:val="en-US" w:eastAsia="zh-CN"/>
              </w:rPr>
              <w:t xml:space="preserve">收取，</w:t>
            </w:r>
            <w:r>
              <w:rPr>
                <w:rFonts w:hint="eastAsia" w:ascii="宋体" w:hAnsi="宋体" w:eastAsia="宋体" w:cs="宋体"/>
                <w:color w:val="auto"/>
                <w:sz w:val="24"/>
                <w:szCs w:val="24"/>
                <w:highlight w:val="none"/>
                <w:u w:val="single"/>
                <w:shd w:val="clear" w:color="auto" w:fill="auto"/>
              </w:rPr>
              <w:t xml:space="preserve">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收款单位：江苏尚阳工程管理有限公司</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银行账号：406010100100626575</w:t>
            </w:r>
            <w:r/>
          </w:p>
          <w:p>
            <w:pPr>
              <w:jc w:val="left"/>
              <w:rPr>
                <w:rFonts w:ascii="宋体" w:hAnsi="宋体" w:cs="宋体"/>
                <w:color w:val="auto"/>
                <w:sz w:val="24"/>
                <w:highlight w:val="none"/>
              </w:rPr>
            </w:pPr>
            <w:r>
              <w:rPr>
                <w:rFonts w:hint="eastAsia" w:ascii="宋体" w:hAnsi="宋体" w:cs="宋体"/>
                <w:color w:val="auto"/>
                <w:sz w:val="24"/>
                <w:highlight w:val="none"/>
                <w:u w:val="single"/>
              </w:rPr>
              <w:t xml:space="preserve">开户银行：兴业银行股份有限公司常州分行</w:t>
            </w:r>
            <w:r/>
          </w:p>
        </w:tc>
      </w:tr>
      <w:tr>
        <w:trPr>
          <w:jc w:val="center"/>
          <w:trHeight w:val="286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52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20"/>
              <w:jc w:val="center"/>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电子系统意外情况处理条款</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为确保本项目电子化采购活动顺利进行，防范化解采购风险，特制定相关情形处置举措。所有潜在投标人及参与各方均应知悉并遵守以下规定：</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2.开标前环节故障处置：在</w:t>
            </w:r>
            <w:r>
              <w:rPr>
                <w:rFonts w:hint="eastAsia" w:ascii="宋体" w:hAnsi="宋体" w:cs="宋体"/>
                <w:color w:val="auto"/>
                <w:sz w:val="24"/>
                <w:highlight w:val="none"/>
                <w:u w:val="none"/>
                <w:lang w:val="en-US" w:eastAsia="zh-CN"/>
              </w:rPr>
              <w:t xml:space="preserve">投标人</w:t>
            </w:r>
            <w:r>
              <w:rPr>
                <w:rFonts w:hint="eastAsia" w:ascii="宋体" w:hAnsi="宋体" w:cs="宋体"/>
                <w:color w:val="auto"/>
                <w:sz w:val="24"/>
                <w:highlight w:val="none"/>
                <w:u w:val="none"/>
              </w:rPr>
              <w:t xml:space="preserve">报名、投标文件上传、投标文件解密及唱标环节等开标活动开始前的任何环节出现系统无法访问的情形，采购代理机构将按照以下原则处置：</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（一）若故障可在短时间内排除，采购代理机构将等待系统修复后，继续开展采购活动。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（二）若故障无法在预定开标时间前排除，或故障情况严重影响公平竞争，采购代理机构将通过发布更正公告推迟开标。</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（三）若因故障导致有效投标人不足法定家数或出现其他法定废标情形，采购代理机构将发布废标（终止）公告，重新开展采购活动。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特别说明：本项目投标文件递交方式以招标文件载明为准。在电子系统发生故障时，采购代理机构仅依据上述程序处理，不接受任何现场提交的纸质、U盘等非招标文件规定的投标文件。</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3.评审过程中故障处置：在评审委员会组建后至评审报告出具前的评审过程中出现系统无法访问的情形，采购代理机构将按照以下原则处置：</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（一）立即暂停评审：采购代理机构将立即宣布暂停评审活动，并采取必要措施封存所有投标文件及评审记录。</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（二）处置方案：视故障排除情况，采购代理机构将选择：</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1.若故障可在短时间内排除，采购代理机构将等待系统修复后，由原评审委员会继续完成评审；</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2.若故障无法在当日排除，或故障导致评审无法公正进行，将发布废标（终止）公告，重新开展采购活动；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3.若需在第二日继续评审，采购代理机构将重新从政府采购评审专家库中抽取专家，组建新的评审委员会，在系统修复后继续评审活动。</w:t>
            </w:r>
            <w:r/>
          </w:p>
          <w:p>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val="en-US" w:eastAsia="zh-CN"/>
              </w:rPr>
              <w:t xml:space="preserve">投标人</w:t>
            </w:r>
            <w:r>
              <w:rPr>
                <w:rFonts w:hint="eastAsia" w:ascii="宋体" w:hAnsi="宋体" w:cs="宋体"/>
                <w:color w:val="auto"/>
                <w:sz w:val="24"/>
                <w:highlight w:val="none"/>
                <w:u w:val="none"/>
              </w:rPr>
              <w:t xml:space="preserve">应密切关注上述网站公告，公告内容对各方具有约束力。</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u w:val="none"/>
              </w:rPr>
              <w:t xml:space="preserve">（四）</w:t>
            </w:r>
            <w:r>
              <w:rPr>
                <w:rFonts w:hint="eastAsia" w:ascii="宋体" w:hAnsi="宋体" w:cs="宋体"/>
                <w:color w:val="auto"/>
                <w:sz w:val="24"/>
                <w:highlight w:val="none"/>
                <w:u w:val="none"/>
                <w:lang w:val="en-US" w:eastAsia="zh-CN"/>
              </w:rPr>
              <w:t xml:space="preserve">投标人</w:t>
            </w:r>
            <w:r>
              <w:rPr>
                <w:rFonts w:hint="eastAsia" w:ascii="宋体" w:hAnsi="宋体" w:cs="宋体"/>
                <w:color w:val="auto"/>
                <w:sz w:val="24"/>
                <w:highlight w:val="none"/>
                <w:u w:val="none"/>
              </w:rPr>
              <w:t xml:space="preserve">责任：</w:t>
            </w:r>
            <w:r>
              <w:rPr>
                <w:rFonts w:hint="eastAsia" w:ascii="宋体" w:hAnsi="宋体" w:cs="宋体"/>
                <w:color w:val="auto"/>
                <w:sz w:val="24"/>
                <w:highlight w:val="none"/>
                <w:u w:val="none"/>
                <w:lang w:val="en-US" w:eastAsia="zh-CN"/>
              </w:rPr>
              <w:t xml:space="preserve">投标人</w:t>
            </w:r>
            <w:r>
              <w:rPr>
                <w:rFonts w:hint="eastAsia" w:ascii="宋体" w:hAnsi="宋体" w:cs="宋体"/>
                <w:color w:val="auto"/>
                <w:sz w:val="24"/>
                <w:highlight w:val="none"/>
                <w:u w:val="none"/>
              </w:rPr>
              <w:t xml:space="preserve">有责任确保自身网络环境、设备及数字证书（CA）的正常，并在招标文件规定的期限内完成文件上传、解密等操作。因</w:t>
            </w:r>
            <w:r>
              <w:rPr>
                <w:rFonts w:hint="eastAsia" w:ascii="宋体" w:hAnsi="宋体" w:cs="宋体"/>
                <w:color w:val="auto"/>
                <w:sz w:val="24"/>
                <w:highlight w:val="none"/>
                <w:u w:val="none"/>
                <w:lang w:val="en-US" w:eastAsia="zh-CN"/>
              </w:rPr>
              <w:t xml:space="preserve">投标人</w:t>
            </w:r>
            <w:r>
              <w:rPr>
                <w:rFonts w:hint="eastAsia" w:ascii="宋体" w:hAnsi="宋体" w:cs="宋体"/>
                <w:color w:val="auto"/>
                <w:sz w:val="24"/>
                <w:highlight w:val="none"/>
                <w:u w:val="none"/>
              </w:rPr>
              <w:t xml:space="preserve">自身原因导致的操作失败，不适用本意外情况处理条款。</w:t>
            </w:r>
            <w:r/>
          </w:p>
        </w:tc>
      </w:tr>
    </w:tbl>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tabs>
          <w:tab w:val="left" w:pos="5580" w:leader="none"/>
        </w:tabs>
        <w:rPr>
          <w:color w:val="auto"/>
          <w:sz w:val="24"/>
          <w:highlight w:val="none"/>
        </w:rPr>
      </w:pPr>
      <w:r>
        <w:rPr>
          <w:color w:val="auto"/>
          <w:sz w:val="24"/>
          <w:highlight w:val="none"/>
        </w:rPr>
      </w:r>
      <w:r/>
    </w:p>
    <w:p>
      <w:pPr>
        <w:jc w:val="both"/>
        <w:spacing w:line="360" w:lineRule="auto"/>
        <w:tabs>
          <w:tab w:val="left" w:pos="5580" w:leader="none"/>
        </w:tabs>
        <w:rPr>
          <w:color w:val="auto"/>
          <w:sz w:val="24"/>
          <w:highlight w:val="none"/>
        </w:rPr>
        <w:sectPr>
          <w:headerReference w:type="default" r:id="rId11"/>
          <w:headerReference w:type="first" r:id="rId12"/>
          <w:footerReference w:type="default" r:id="rId25"/>
          <w:footerReference w:type="first" r:id="rId26"/>
          <w:footnotePr/>
          <w:endnotePr/>
          <w:type w:val="nextColumn"/>
          <w:pgSz w:w="11907" w:h="16840" w:orient="portrait"/>
          <w:pgMar w:top="1418" w:right="1134" w:bottom="1418" w:left="1701" w:header="851" w:footer="851" w:gutter="0"/>
          <w:cols w:num="1" w:sep="0" w:space="720" w:equalWidth="1"/>
          <w:docGrid w:linePitch="360"/>
          <w:titlePg/>
        </w:sectPr>
      </w:pPr>
      <w:r>
        <w:rPr>
          <w:color w:val="auto"/>
          <w:sz w:val="24"/>
          <w:highlight w:val="none"/>
        </w:rPr>
      </w:r>
      <w:r/>
    </w:p>
    <w:p>
      <w:pPr>
        <w:jc w:val="center"/>
        <w:spacing w:before="312" w:after="312"/>
        <w:rPr>
          <w:b/>
          <w:color w:val="auto"/>
          <w:sz w:val="28"/>
          <w:szCs w:val="28"/>
          <w:highlight w:val="none"/>
        </w:rPr>
      </w:pPr>
      <w:r/>
      <w:bookmarkStart w:id="70" w:name="_Toc305158859"/>
      <w:r/>
      <w:bookmarkStart w:id="71" w:name="_Toc353873932"/>
      <w:r/>
      <w:bookmarkStart w:id="72" w:name="_Toc226337213"/>
      <w:r/>
      <w:bookmarkStart w:id="73" w:name="_Toc142311019"/>
      <w:r/>
      <w:bookmarkStart w:id="74" w:name="_Toc264969207"/>
      <w:r/>
      <w:bookmarkStart w:id="75" w:name="_Toc195842882"/>
      <w:r/>
      <w:bookmarkStart w:id="76" w:name="_Toc150774722"/>
      <w:r/>
      <w:bookmarkStart w:id="77" w:name="_Toc265228355"/>
      <w:r/>
      <w:bookmarkStart w:id="78" w:name="_Toc127151517"/>
      <w:r/>
      <w:bookmarkStart w:id="79" w:name="_Toc353825542"/>
      <w:r/>
      <w:bookmarkStart w:id="80" w:name="_Toc226965790"/>
      <w:r/>
      <w:bookmarkStart w:id="81" w:name="_Toc353873662"/>
      <w:r/>
      <w:bookmarkStart w:id="82" w:name="_Toc305158785"/>
      <w:r/>
      <w:bookmarkStart w:id="83" w:name="_Toc150480755"/>
      <w:r>
        <w:rPr>
          <w:b/>
          <w:color w:val="auto"/>
          <w:sz w:val="28"/>
          <w:szCs w:val="28"/>
          <w:highlight w:val="none"/>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jc w:val="center"/>
        <w:spacing w:line="360" w:lineRule="auto"/>
        <w:rPr>
          <w:rFonts w:ascii="宋体" w:hAnsi="宋体"/>
          <w:b/>
          <w:bCs/>
          <w:color w:val="auto"/>
          <w:sz w:val="28"/>
          <w:szCs w:val="28"/>
          <w:highlight w:val="none"/>
        </w:rPr>
      </w:pPr>
      <w:r/>
      <w:bookmarkStart w:id="84" w:name="_Toc305158786"/>
      <w:r/>
      <w:bookmarkStart w:id="85" w:name="_Toc151193688"/>
      <w:r/>
      <w:bookmarkStart w:id="86" w:name="_Toc150480756"/>
      <w:r/>
      <w:bookmarkStart w:id="87" w:name="_Toc142311020"/>
      <w:r/>
      <w:bookmarkStart w:id="88" w:name="_Toc151193616"/>
      <w:r/>
      <w:bookmarkStart w:id="89" w:name="_Toc265228356"/>
      <w:r/>
      <w:bookmarkStart w:id="90" w:name="_Toc264969208"/>
      <w:r/>
      <w:bookmarkStart w:id="91" w:name="_Toc226337214"/>
      <w:r/>
      <w:bookmarkStart w:id="92" w:name="_Toc151190145"/>
      <w:r/>
      <w:bookmarkStart w:id="93" w:name="_Toc151193832"/>
      <w:r/>
      <w:bookmarkStart w:id="94" w:name="_Toc195842883"/>
      <w:r/>
      <w:bookmarkStart w:id="95" w:name="_Toc151193760"/>
      <w:r/>
      <w:bookmarkStart w:id="96" w:name="_Toc520356143"/>
      <w:r/>
      <w:bookmarkStart w:id="97" w:name="_Toc226309762"/>
      <w:r/>
      <w:bookmarkStart w:id="98" w:name="_Toc226965708"/>
      <w:r/>
      <w:bookmarkStart w:id="99" w:name="_Toc150509269"/>
      <w:r/>
      <w:bookmarkStart w:id="100" w:name="_Toc127151518"/>
      <w:r/>
      <w:bookmarkStart w:id="101" w:name="_Toc150774723"/>
      <w:r/>
      <w:bookmarkStart w:id="102" w:name="_Toc226965791"/>
      <w:r/>
      <w:bookmarkStart w:id="103" w:name="_Toc150774618"/>
      <w:r/>
      <w:bookmarkStart w:id="104" w:name="_Toc151193906"/>
      <w:r/>
      <w:bookmarkStart w:id="105" w:name="_Toc305158860"/>
      <w:r>
        <w:rPr>
          <w:rFonts w:hint="eastAsia" w:ascii="宋体" w:hAnsi="宋体"/>
          <w:b/>
          <w:bCs/>
          <w:color w:val="auto"/>
          <w:sz w:val="28"/>
          <w:szCs w:val="28"/>
          <w:highlight w:val="none"/>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06" w:name="_Toc305158861"/>
      <w:r/>
      <w:bookmarkStart w:id="107" w:name="_Toc305158787"/>
      <w:r/>
      <w:bookmarkStart w:id="108" w:name="_Toc265228357"/>
      <w:r/>
      <w:bookmarkStart w:id="109" w:name="_Toc264969209"/>
      <w:r>
        <w:rPr>
          <w:rFonts w:hint="eastAsia" w:ascii="宋体" w:hAnsi="宋体" w:cs="宋体"/>
          <w:color w:val="auto"/>
          <w:sz w:val="24"/>
          <w:highlight w:val="none"/>
        </w:rPr>
        <w:t xml:space="preserve">采购人、采购代理机构、投标人</w:t>
      </w:r>
      <w:bookmarkEnd w:id="106"/>
      <w:r/>
      <w:bookmarkEnd w:id="107"/>
      <w:r/>
      <w:bookmarkEnd w:id="108"/>
      <w:r/>
      <w:bookmarkEnd w:id="109"/>
      <w:r>
        <w:rPr>
          <w:rFonts w:hint="eastAsia" w:ascii="宋体" w:hAnsi="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bookmarkStart w:id="110" w:name="_Toc151190147"/>
      <w:r/>
      <w:bookmarkStart w:id="111" w:name="_Toc142311022"/>
      <w:r/>
      <w:bookmarkStart w:id="112" w:name="_Toc149720813"/>
      <w:r/>
      <w:bookmarkStart w:id="113" w:name="_Toc164608634"/>
      <w:r/>
      <w:bookmarkStart w:id="114" w:name="_Toc265228358"/>
      <w:r/>
      <w:bookmarkStart w:id="115" w:name="_Toc150774620"/>
      <w:r/>
      <w:bookmarkStart w:id="116" w:name="_Toc226965710"/>
      <w:r/>
      <w:bookmarkStart w:id="117" w:name="_Toc164351614"/>
      <w:r/>
      <w:bookmarkStart w:id="118" w:name="_Toc164608789"/>
      <w:r/>
      <w:bookmarkStart w:id="119" w:name="_Toc264969210"/>
      <w:r/>
      <w:bookmarkStart w:id="120" w:name="_Toc150480758"/>
      <w:r/>
      <w:bookmarkStart w:id="121" w:name="_Toc305158862"/>
      <w:r/>
      <w:bookmarkStart w:id="122" w:name="_Toc127161434"/>
      <w:r/>
      <w:bookmarkStart w:id="123" w:name="_Toc151193762"/>
      <w:r/>
      <w:bookmarkStart w:id="124" w:name="_Toc195842885"/>
      <w:r/>
      <w:bookmarkStart w:id="125" w:name="_Toc151193618"/>
      <w:r/>
      <w:bookmarkStart w:id="126" w:name="_Toc151193690"/>
      <w:r/>
      <w:bookmarkStart w:id="127" w:name="_Toc127151520"/>
      <w:r/>
      <w:bookmarkStart w:id="128" w:name="_Toc305158788"/>
      <w:r/>
      <w:bookmarkStart w:id="129" w:name="_Toc164229215"/>
      <w:r/>
      <w:bookmarkStart w:id="130" w:name="_Toc226965793"/>
      <w:r/>
      <w:bookmarkStart w:id="131" w:name="_Toc151193834"/>
      <w:r/>
      <w:bookmarkStart w:id="132" w:name="_Toc150509271"/>
      <w:r/>
      <w:bookmarkStart w:id="133" w:name="_Toc150774725"/>
      <w:r/>
      <w:bookmarkStart w:id="134" w:name="_Toc151193908"/>
      <w:r/>
      <w:bookmarkStart w:id="135" w:name="_Toc226309764"/>
      <w:r/>
      <w:bookmarkStart w:id="136" w:name="_Toc164229361"/>
      <w:r/>
      <w:bookmarkStart w:id="137" w:name="_Toc226337216"/>
      <w:r/>
      <w:bookmarkStart w:id="138" w:name="_Toc127151721"/>
      <w:r>
        <w:rPr>
          <w:rFonts w:hint="eastAsia" w:ascii="宋体" w:hAnsi="宋体" w:cs="宋体"/>
          <w:color w:val="auto"/>
          <w:sz w:val="24"/>
          <w:highlight w:val="none"/>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cs="宋体"/>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核心产品见《投标人须知资料表》。（本项目不涉及）</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39" w:name="_Toc226965795"/>
      <w:r/>
      <w:bookmarkStart w:id="140" w:name="_Toc151193764"/>
      <w:r/>
      <w:bookmarkStart w:id="141" w:name="_Toc264969212"/>
      <w:r/>
      <w:bookmarkStart w:id="142" w:name="_Toc226965712"/>
      <w:r/>
      <w:bookmarkStart w:id="143" w:name="_Toc305158790"/>
      <w:r/>
      <w:bookmarkStart w:id="144" w:name="_Toc520356146"/>
      <w:r/>
      <w:bookmarkStart w:id="145" w:name="_Toc150509273"/>
      <w:r/>
      <w:bookmarkStart w:id="146" w:name="_Toc265228360"/>
      <w:r/>
      <w:bookmarkStart w:id="147" w:name="_Toc151193620"/>
      <w:r/>
      <w:bookmarkStart w:id="148" w:name="_Toc151193692"/>
      <w:r/>
      <w:bookmarkStart w:id="149" w:name="_Toc226309766"/>
      <w:r/>
      <w:bookmarkStart w:id="150" w:name="_Toc150480760"/>
      <w:r/>
      <w:bookmarkStart w:id="151" w:name="_Toc142311024"/>
      <w:r/>
      <w:bookmarkStart w:id="152" w:name="_Toc151190149"/>
      <w:r/>
      <w:bookmarkStart w:id="153" w:name="_Toc127151522"/>
      <w:r/>
      <w:bookmarkStart w:id="154" w:name="_Toc150774622"/>
      <w:r/>
      <w:bookmarkStart w:id="155" w:name="_Toc305158864"/>
      <w:r/>
      <w:bookmarkStart w:id="156" w:name="_Toc151193836"/>
      <w:r/>
      <w:bookmarkStart w:id="157" w:name="_Toc150774727"/>
      <w:r/>
      <w:bookmarkStart w:id="158" w:name="_Toc195842887"/>
      <w:r/>
      <w:bookmarkStart w:id="159" w:name="_Toc151193910"/>
      <w:r/>
      <w:bookmarkStart w:id="160" w:name="_Toc226337218"/>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样品（本项目不涉及）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609"/>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0"/>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1"/>
          <w:numId w:val="9"/>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609"/>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609"/>
        <w:numPr>
          <w:ilvl w:val="2"/>
          <w:numId w:val="9"/>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61" w:name="_1.8_计量单位"/>
      <w:r/>
      <w:bookmarkEnd w:id="161"/>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162" w:name="_Toc164608792"/>
      <w:r/>
      <w:bookmarkStart w:id="163" w:name="_Toc520356147"/>
      <w:r/>
      <w:bookmarkStart w:id="164" w:name="_Toc226965796"/>
      <w:r/>
      <w:bookmarkStart w:id="165" w:name="_Toc151193911"/>
      <w:r/>
      <w:bookmarkStart w:id="166" w:name="_Toc164351617"/>
      <w:r/>
      <w:bookmarkStart w:id="167" w:name="_Toc149720816"/>
      <w:r/>
      <w:bookmarkStart w:id="168" w:name="_Toc226965713"/>
      <w:r/>
      <w:bookmarkStart w:id="169" w:name="_Toc150509274"/>
      <w:r/>
      <w:bookmarkStart w:id="170" w:name="_Toc164229218"/>
      <w:r/>
      <w:bookmarkStart w:id="171" w:name="_Toc151193621"/>
      <w:r/>
      <w:bookmarkStart w:id="172" w:name="_Toc151193765"/>
      <w:r/>
      <w:bookmarkStart w:id="173" w:name="_Toc226309767"/>
      <w:r/>
      <w:bookmarkStart w:id="174" w:name="_Toc142311025"/>
      <w:r/>
      <w:bookmarkStart w:id="175" w:name="_Toc127151523"/>
      <w:r/>
      <w:bookmarkStart w:id="176" w:name="_Toc150774728"/>
      <w:r/>
      <w:bookmarkStart w:id="177" w:name="_Toc264969213"/>
      <w:r/>
      <w:bookmarkStart w:id="178" w:name="_Toc151193693"/>
      <w:r/>
      <w:bookmarkStart w:id="179" w:name="_Toc226337219"/>
      <w:r/>
      <w:bookmarkStart w:id="180" w:name="_Toc265228361"/>
      <w:r/>
      <w:bookmarkStart w:id="181" w:name="_Toc127161437"/>
      <w:r/>
      <w:bookmarkStart w:id="182" w:name="_Toc305158791"/>
      <w:r/>
      <w:bookmarkStart w:id="183" w:name="_Toc127151724"/>
      <w:r/>
      <w:bookmarkStart w:id="184" w:name="_Toc164608637"/>
      <w:r/>
      <w:bookmarkStart w:id="185" w:name="_Toc150774623"/>
      <w:r/>
      <w:bookmarkStart w:id="186" w:name="_Toc164229364"/>
      <w:r/>
      <w:bookmarkStart w:id="187" w:name="_Toc151193837"/>
      <w:r/>
      <w:bookmarkStart w:id="188" w:name="_Toc305158865"/>
      <w:r/>
      <w:bookmarkStart w:id="189" w:name="_Toc195842888"/>
      <w:r/>
      <w:bookmarkStart w:id="190" w:name="_Toc150480761"/>
      <w:r/>
      <w:bookmarkStart w:id="191" w:name="_Toc151190150"/>
      <w:r>
        <w:rPr>
          <w:rFonts w:hint="eastAsia" w:ascii="宋体" w:hAnsi="宋体" w:cs="宋体"/>
          <w:color w:val="auto"/>
          <w:sz w:val="24"/>
          <w:highlight w:val="none"/>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spacing w:line="360" w:lineRule="auto"/>
        <w:rPr>
          <w:rFonts w:ascii="宋体" w:hAnsi="宋体"/>
          <w:b/>
          <w:bCs/>
          <w:color w:val="auto"/>
          <w:sz w:val="28"/>
          <w:szCs w:val="28"/>
          <w:highlight w:val="none"/>
        </w:rPr>
      </w:pPr>
      <w:r/>
      <w:bookmarkStart w:id="192" w:name="_Toc516367020"/>
      <w:r/>
      <w:bookmarkStart w:id="193" w:name="_Toc305158794"/>
      <w:r/>
      <w:bookmarkStart w:id="194" w:name="_Toc142311028"/>
      <w:r/>
      <w:bookmarkStart w:id="195" w:name="_Toc151193768"/>
      <w:r/>
      <w:bookmarkStart w:id="196" w:name="_Toc151190153"/>
      <w:r/>
      <w:bookmarkStart w:id="197" w:name="_Toc150774626"/>
      <w:r/>
      <w:bookmarkStart w:id="198" w:name="_Toc150480764"/>
      <w:r/>
      <w:bookmarkStart w:id="199" w:name="_Toc305158868"/>
      <w:r/>
      <w:bookmarkStart w:id="200" w:name="_Toc151193914"/>
      <w:r/>
      <w:bookmarkStart w:id="201" w:name="_Toc226309770"/>
      <w:r/>
      <w:bookmarkStart w:id="202" w:name="_Toc127151526"/>
      <w:r/>
      <w:bookmarkStart w:id="203" w:name="_Toc226965716"/>
      <w:r/>
      <w:bookmarkStart w:id="204" w:name="_Toc151193840"/>
      <w:r/>
      <w:bookmarkStart w:id="205" w:name="_Toc265228364"/>
      <w:r/>
      <w:bookmarkStart w:id="206" w:name="_Toc150509277"/>
      <w:r/>
      <w:bookmarkStart w:id="207" w:name="_Toc195842891"/>
      <w:r/>
      <w:bookmarkStart w:id="208" w:name="_Toc226337222"/>
      <w:r/>
      <w:bookmarkStart w:id="209" w:name="_Toc520356150"/>
      <w:r/>
      <w:bookmarkStart w:id="210" w:name="_Toc264969216"/>
      <w:r/>
      <w:bookmarkStart w:id="211" w:name="_Toc226965799"/>
      <w:r/>
      <w:bookmarkStart w:id="212" w:name="_Toc151193696"/>
      <w:r/>
      <w:bookmarkStart w:id="213" w:name="_Toc150774731"/>
      <w:r/>
      <w:bookmarkStart w:id="214" w:name="_Toc151193624"/>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投标文件</w:t>
      </w:r>
      <w:bookmarkEnd w:id="192"/>
      <w:r>
        <w:rPr>
          <w:rFonts w:hint="eastAsia" w:ascii="宋体" w:hAnsi="宋体"/>
          <w:b/>
          <w:bCs/>
          <w:color w:val="auto"/>
          <w:sz w:val="28"/>
          <w:szCs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15" w:name="_Toc142311029"/>
      <w:r/>
      <w:bookmarkStart w:id="216" w:name="_Toc305158869"/>
      <w:r/>
      <w:bookmarkStart w:id="217" w:name="_Toc151193697"/>
      <w:r/>
      <w:bookmarkStart w:id="218" w:name="_Toc164229222"/>
      <w:r/>
      <w:bookmarkStart w:id="219" w:name="_Toc264969217"/>
      <w:r/>
      <w:bookmarkStart w:id="220" w:name="_Toc226965800"/>
      <w:r/>
      <w:bookmarkStart w:id="221" w:name="_Toc150509278"/>
      <w:r/>
      <w:bookmarkStart w:id="222" w:name="_Toc226309771"/>
      <w:r/>
      <w:bookmarkStart w:id="223" w:name="_Toc127151728"/>
      <w:r/>
      <w:bookmarkStart w:id="224" w:name="_Toc151190154"/>
      <w:r/>
      <w:bookmarkStart w:id="225" w:name="_Toc149720820"/>
      <w:r/>
      <w:bookmarkStart w:id="226" w:name="_Toc516367021"/>
      <w:r/>
      <w:bookmarkStart w:id="227" w:name="_Toc226965717"/>
      <w:r/>
      <w:bookmarkStart w:id="228" w:name="_Toc151193841"/>
      <w:r/>
      <w:bookmarkStart w:id="229" w:name="_Toc151193769"/>
      <w:r/>
      <w:bookmarkStart w:id="230" w:name="_Toc150774627"/>
      <w:r/>
      <w:bookmarkStart w:id="231" w:name="_Toc127151527"/>
      <w:r/>
      <w:bookmarkStart w:id="232" w:name="_Toc151193625"/>
      <w:r/>
      <w:bookmarkStart w:id="233" w:name="_Toc150774732"/>
      <w:r/>
      <w:bookmarkStart w:id="234" w:name="_Toc164608641"/>
      <w:r/>
      <w:bookmarkStart w:id="235" w:name="_Toc164351621"/>
      <w:r/>
      <w:bookmarkStart w:id="236" w:name="_Toc226337223"/>
      <w:r/>
      <w:bookmarkStart w:id="237" w:name="_Toc265228365"/>
      <w:r/>
      <w:bookmarkStart w:id="238" w:name="_Toc150480765"/>
      <w:r/>
      <w:bookmarkStart w:id="239" w:name="_Toc195842892"/>
      <w:r/>
      <w:bookmarkStart w:id="240" w:name="_Toc127161441"/>
      <w:r/>
      <w:bookmarkStart w:id="241" w:name="_Toc151193915"/>
      <w:r/>
      <w:bookmarkStart w:id="242" w:name="_Toc520356151"/>
      <w:r/>
      <w:bookmarkStart w:id="243" w:name="_Toc305158795"/>
      <w:r/>
      <w:bookmarkStart w:id="244" w:name="_Toc164229368"/>
      <w:r/>
      <w:bookmarkStart w:id="245" w:name="_Toc164608796"/>
      <w:r>
        <w:rPr>
          <w:rFonts w:hint="eastAsia" w:ascii="宋体" w:hAnsi="宋体" w:cs="宋体"/>
          <w:color w:val="auto"/>
          <w:sz w:val="24"/>
          <w:highlight w:val="none"/>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cs="宋体"/>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46" w:name="_Ref467306195"/>
      <w:r/>
      <w:bookmarkStart w:id="247" w:name="_Toc516367022"/>
      <w:r/>
      <w:bookmarkStart w:id="248" w:name="_Ref467306676"/>
      <w:r/>
      <w:bookmarkStart w:id="249" w:name="_Toc226337224"/>
      <w:r/>
      <w:bookmarkStart w:id="250" w:name="_Toc226965718"/>
      <w:r/>
      <w:bookmarkStart w:id="251" w:name="_Toc151193842"/>
      <w:r/>
      <w:bookmarkStart w:id="252" w:name="_Toc305158870"/>
      <w:r/>
      <w:bookmarkStart w:id="253" w:name="_Toc164351622"/>
      <w:r/>
      <w:bookmarkStart w:id="254" w:name="_Toc149720821"/>
      <w:r/>
      <w:bookmarkStart w:id="255" w:name="_Toc164229223"/>
      <w:r/>
      <w:bookmarkStart w:id="256" w:name="_Toc127151528"/>
      <w:r/>
      <w:bookmarkStart w:id="257" w:name="_Toc127151729"/>
      <w:r/>
      <w:bookmarkStart w:id="258" w:name="_Toc151193916"/>
      <w:r/>
      <w:bookmarkStart w:id="259" w:name="_Toc150509279"/>
      <w:r/>
      <w:bookmarkStart w:id="260" w:name="_Toc151193626"/>
      <w:r/>
      <w:bookmarkStart w:id="261" w:name="_Toc151193698"/>
      <w:r/>
      <w:bookmarkStart w:id="262" w:name="_Toc164229369"/>
      <w:r/>
      <w:bookmarkStart w:id="263" w:name="_Toc164608797"/>
      <w:r/>
      <w:bookmarkStart w:id="264" w:name="_Toc127161442"/>
      <w:r/>
      <w:bookmarkStart w:id="265" w:name="_Toc520356152"/>
      <w:r/>
      <w:bookmarkStart w:id="266" w:name="_Toc150480766"/>
      <w:r/>
      <w:bookmarkStart w:id="267" w:name="_Toc305158796"/>
      <w:r/>
      <w:bookmarkStart w:id="268" w:name="_Toc264969218"/>
      <w:r/>
      <w:bookmarkStart w:id="269" w:name="_Toc151190155"/>
      <w:r/>
      <w:bookmarkStart w:id="270" w:name="_Toc226965801"/>
      <w:r/>
      <w:bookmarkStart w:id="271" w:name="_Toc164608642"/>
      <w:r/>
      <w:bookmarkStart w:id="272" w:name="_Toc151193770"/>
      <w:r/>
      <w:bookmarkStart w:id="273" w:name="_Toc150774628"/>
      <w:r/>
      <w:bookmarkStart w:id="274" w:name="_Toc195842893"/>
      <w:r/>
      <w:bookmarkStart w:id="275" w:name="_Toc142311030"/>
      <w:r/>
      <w:bookmarkStart w:id="276" w:name="_Toc226309772"/>
      <w:r/>
      <w:bookmarkStart w:id="277" w:name="_Toc150774733"/>
      <w:r/>
      <w:bookmarkStart w:id="278" w:name="_Toc265228366"/>
      <w:r>
        <w:rPr>
          <w:rFonts w:hint="eastAsia" w:ascii="宋体" w:hAnsi="宋体" w:cs="宋体"/>
          <w:color w:val="auto"/>
          <w:sz w:val="24"/>
          <w:highlight w:val="none"/>
        </w:rPr>
        <w:t xml:space="preserve">投标文件</w:t>
      </w:r>
      <w:bookmarkEnd w:id="246"/>
      <w:r/>
      <w:bookmarkEnd w:id="247"/>
      <w:r/>
      <w:bookmarkEnd w:id="248"/>
      <w:r>
        <w:rPr>
          <w:rFonts w:hint="eastAsia" w:ascii="宋体" w:hAnsi="宋体" w:cs="宋体"/>
          <w:color w:val="auto"/>
          <w:sz w:val="24"/>
          <w:highlight w:val="none"/>
        </w:rPr>
        <w:t xml:space="preserve">构成</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bookmarkStart w:id="279"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79"/>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280" w:name="_Toc195842895"/>
      <w:r/>
      <w:bookmarkStart w:id="281" w:name="_Toc164608799"/>
      <w:r/>
      <w:bookmarkStart w:id="282" w:name="_Toc150509281"/>
      <w:r/>
      <w:bookmarkStart w:id="283" w:name="_Toc164229371"/>
      <w:r/>
      <w:bookmarkStart w:id="284" w:name="_Toc127161444"/>
      <w:r/>
      <w:bookmarkStart w:id="285" w:name="_Toc142311032"/>
      <w:r/>
      <w:bookmarkStart w:id="286" w:name="_Toc150480768"/>
      <w:r/>
      <w:bookmarkStart w:id="287" w:name="_Toc520356155"/>
      <w:r/>
      <w:bookmarkStart w:id="288" w:name="_Toc151190157"/>
      <w:r/>
      <w:bookmarkStart w:id="289" w:name="_Toc127151731"/>
      <w:r/>
      <w:bookmarkStart w:id="290" w:name="_Toc149720823"/>
      <w:r/>
      <w:bookmarkStart w:id="291" w:name="_Toc151193844"/>
      <w:r/>
      <w:bookmarkStart w:id="292" w:name="_Toc151193918"/>
      <w:r/>
      <w:bookmarkStart w:id="293" w:name="_Toc164229225"/>
      <w:r/>
      <w:bookmarkStart w:id="294" w:name="_Toc164608644"/>
      <w:r/>
      <w:bookmarkStart w:id="295" w:name="_Toc150774735"/>
      <w:r/>
      <w:bookmarkStart w:id="296" w:name="_Toc150774630"/>
      <w:r/>
      <w:bookmarkStart w:id="297" w:name="_Toc164351624"/>
      <w:r/>
      <w:bookmarkStart w:id="298" w:name="_Toc151193772"/>
      <w:r/>
      <w:bookmarkStart w:id="299" w:name="_Toc151193700"/>
      <w:r/>
      <w:bookmarkStart w:id="300" w:name="_Toc151193628"/>
      <w:r/>
      <w:bookmarkStart w:id="301" w:name="_Toc127151530"/>
      <w:r>
        <w:rPr>
          <w:rFonts w:hint="eastAsia" w:ascii="宋体" w:hAnsi="宋体" w:cs="宋体"/>
          <w:color w:val="auto"/>
          <w:sz w:val="24"/>
          <w:highlight w:val="none"/>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02" w:name="_Toc164608645"/>
      <w:r/>
      <w:bookmarkStart w:id="303" w:name="_Toc151193845"/>
      <w:r/>
      <w:bookmarkStart w:id="304" w:name="_Toc520356156"/>
      <w:r/>
      <w:bookmarkStart w:id="305" w:name="_Toc226309775"/>
      <w:r/>
      <w:bookmarkStart w:id="306" w:name="_Toc164608800"/>
      <w:r/>
      <w:bookmarkStart w:id="307" w:name="_Toc142311033"/>
      <w:r/>
      <w:bookmarkStart w:id="308" w:name="_Toc226337227"/>
      <w:r/>
      <w:bookmarkStart w:id="309" w:name="_Toc195842896"/>
      <w:r/>
      <w:bookmarkStart w:id="310" w:name="_Toc151193773"/>
      <w:r/>
      <w:bookmarkStart w:id="311" w:name="_Toc164229372"/>
      <w:r/>
      <w:bookmarkStart w:id="312" w:name="_Toc149720824"/>
      <w:r/>
      <w:bookmarkStart w:id="313" w:name="_Toc150509282"/>
      <w:r/>
      <w:bookmarkStart w:id="314" w:name="_Toc164229226"/>
      <w:r/>
      <w:bookmarkStart w:id="315" w:name="_Toc226965804"/>
      <w:r/>
      <w:bookmarkStart w:id="316" w:name="_Toc151193919"/>
      <w:r/>
      <w:bookmarkStart w:id="317" w:name="_Toc164351625"/>
      <w:r/>
      <w:bookmarkStart w:id="318" w:name="_Toc127151732"/>
      <w:r/>
      <w:bookmarkStart w:id="319" w:name="_Toc150774631"/>
      <w:r/>
      <w:bookmarkStart w:id="320" w:name="_Toc264969221"/>
      <w:r/>
      <w:bookmarkStart w:id="321" w:name="_Toc127161445"/>
      <w:r/>
      <w:bookmarkStart w:id="322" w:name="_Toc305158873"/>
      <w:r/>
      <w:bookmarkStart w:id="323" w:name="_Toc305158799"/>
      <w:r/>
      <w:bookmarkStart w:id="324" w:name="_Toc151193701"/>
      <w:r/>
      <w:bookmarkStart w:id="325" w:name="_Toc150774736"/>
      <w:r/>
      <w:bookmarkStart w:id="326" w:name="_Toc226965721"/>
      <w:r/>
      <w:bookmarkStart w:id="327" w:name="_Toc150480769"/>
      <w:r/>
      <w:bookmarkStart w:id="328" w:name="_Toc265228369"/>
      <w:r/>
      <w:bookmarkStart w:id="329" w:name="_Toc151190158"/>
      <w:r/>
      <w:bookmarkStart w:id="330" w:name="_Toc127151531"/>
      <w:r/>
      <w:bookmarkStart w:id="331" w:name="_Toc151193629"/>
      <w:r/>
      <w:bookmarkStart w:id="332" w:name="_Ref467306513"/>
      <w:r>
        <w:rPr>
          <w:rFonts w:hint="eastAsia" w:ascii="宋体" w:hAnsi="宋体" w:cs="宋体"/>
          <w:color w:val="auto"/>
          <w:sz w:val="24"/>
          <w:highlight w:val="none"/>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ind w:left="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333" w:name="_Toc164608801"/>
      <w:r/>
      <w:bookmarkStart w:id="334" w:name="_Toc164351626"/>
      <w:r/>
      <w:bookmarkStart w:id="335" w:name="_Toc150509283"/>
      <w:r/>
      <w:bookmarkStart w:id="336" w:name="_Toc127151733"/>
      <w:r/>
      <w:bookmarkStart w:id="337" w:name="_Toc226337228"/>
      <w:r/>
      <w:bookmarkStart w:id="338" w:name="_Toc149720825"/>
      <w:r/>
      <w:bookmarkStart w:id="339" w:name="_Toc264969222"/>
      <w:r/>
      <w:bookmarkStart w:id="340" w:name="_Toc127151532"/>
      <w:r/>
      <w:bookmarkStart w:id="341" w:name="_Toc164229227"/>
      <w:r/>
      <w:bookmarkStart w:id="342" w:name="_Toc127161446"/>
      <w:r/>
      <w:bookmarkStart w:id="343" w:name="_Toc150774737"/>
      <w:r/>
      <w:bookmarkStart w:id="344" w:name="_Toc150774632"/>
      <w:r/>
      <w:bookmarkStart w:id="345" w:name="_Toc226965722"/>
      <w:r/>
      <w:bookmarkStart w:id="346" w:name="_Toc164608646"/>
      <w:r/>
      <w:bookmarkStart w:id="347" w:name="_Toc151193920"/>
      <w:r/>
      <w:bookmarkStart w:id="348" w:name="_Toc151193702"/>
      <w:r/>
      <w:bookmarkStart w:id="349" w:name="_Toc150480770"/>
      <w:r/>
      <w:bookmarkStart w:id="350" w:name="_Toc151193774"/>
      <w:r/>
      <w:bookmarkStart w:id="351" w:name="_Toc151190159"/>
      <w:r/>
      <w:bookmarkStart w:id="352" w:name="_Toc305158800"/>
      <w:r/>
      <w:bookmarkStart w:id="353" w:name="_Toc195842897"/>
      <w:r/>
      <w:bookmarkStart w:id="354" w:name="_Toc151193846"/>
      <w:r/>
      <w:bookmarkStart w:id="355" w:name="_Toc226965805"/>
      <w:r/>
      <w:bookmarkStart w:id="356" w:name="_Toc265228370"/>
      <w:r/>
      <w:bookmarkStart w:id="357" w:name="_Toc142311034"/>
      <w:r/>
      <w:bookmarkStart w:id="358" w:name="_Toc520356157"/>
      <w:r/>
      <w:bookmarkStart w:id="359" w:name="_Toc151193630"/>
      <w:r/>
      <w:bookmarkStart w:id="360" w:name="_Toc226309776"/>
      <w:r/>
      <w:bookmarkStart w:id="361" w:name="_Toc305158874"/>
      <w:r/>
      <w:bookmarkStart w:id="362" w:name="_Toc164229373"/>
      <w:r>
        <w:rPr>
          <w:rFonts w:hint="eastAsia" w:ascii="宋体" w:hAnsi="宋体" w:cs="宋体"/>
          <w:color w:val="auto"/>
          <w:sz w:val="24"/>
          <w:highlight w:val="none"/>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265228371"/>
      <w:r/>
      <w:bookmarkStart w:id="364" w:name="_Toc305158801"/>
      <w:r/>
      <w:bookmarkStart w:id="365" w:name="_Toc151193847"/>
      <w:r/>
      <w:bookmarkStart w:id="366" w:name="_Toc226309777"/>
      <w:r/>
      <w:bookmarkStart w:id="367" w:name="_Toc164229228"/>
      <w:r/>
      <w:bookmarkStart w:id="368" w:name="_Toc142311035"/>
      <w:r/>
      <w:bookmarkStart w:id="369" w:name="_Toc164608647"/>
      <w:r/>
      <w:bookmarkStart w:id="370" w:name="_Toc164351627"/>
      <w:r/>
      <w:bookmarkStart w:id="371" w:name="_Toc520356158"/>
      <w:r/>
      <w:bookmarkStart w:id="372" w:name="_Toc127161447"/>
      <w:r/>
      <w:bookmarkStart w:id="373" w:name="_Toc151193703"/>
      <w:r/>
      <w:bookmarkStart w:id="374" w:name="_Toc150774633"/>
      <w:r/>
      <w:bookmarkStart w:id="375" w:name="_Toc226337229"/>
      <w:r/>
      <w:bookmarkStart w:id="376" w:name="_Toc195842898"/>
      <w:r/>
      <w:bookmarkStart w:id="377" w:name="_Toc305158875"/>
      <w:r/>
      <w:bookmarkStart w:id="378" w:name="_Toc150509284"/>
      <w:r/>
      <w:bookmarkStart w:id="379" w:name="_Toc164608802"/>
      <w:r/>
      <w:bookmarkStart w:id="380" w:name="_Toc127151533"/>
      <w:r/>
      <w:bookmarkStart w:id="381" w:name="_Toc150480771"/>
      <w:r/>
      <w:bookmarkStart w:id="382" w:name="_Toc226965723"/>
      <w:r/>
      <w:bookmarkStart w:id="383" w:name="_Toc151193775"/>
      <w:r/>
      <w:bookmarkStart w:id="384" w:name="_Toc164229374"/>
      <w:r/>
      <w:bookmarkStart w:id="385" w:name="_Toc264969223"/>
      <w:r/>
      <w:bookmarkStart w:id="386" w:name="_Toc127151734"/>
      <w:r/>
      <w:bookmarkStart w:id="387" w:name="_Toc149720826"/>
      <w:r/>
      <w:bookmarkStart w:id="388" w:name="_Toc226965806"/>
      <w:r/>
      <w:bookmarkStart w:id="389" w:name="_Toc150774738"/>
      <w:r/>
      <w:bookmarkStart w:id="390" w:name="_Toc151193631"/>
      <w:r/>
      <w:bookmarkStart w:id="391" w:name="_Toc151190160"/>
      <w:r/>
      <w:bookmarkStart w:id="392" w:name="_Toc151193921"/>
      <w:r/>
      <w:bookmarkStart w:id="393" w:name="_Toc195842899"/>
      <w:r/>
      <w:bookmarkStart w:id="394" w:name="_Toc226965724"/>
      <w:r/>
      <w:bookmarkStart w:id="395" w:name="_Toc142311036"/>
      <w:r/>
      <w:bookmarkStart w:id="396" w:name="_Toc150774634"/>
      <w:r/>
      <w:bookmarkStart w:id="397" w:name="_Toc226965807"/>
      <w:r/>
      <w:bookmarkStart w:id="398" w:name="_Toc151193922"/>
      <w:r/>
      <w:bookmarkStart w:id="399" w:name="_Toc226309778"/>
      <w:r/>
      <w:bookmarkStart w:id="400" w:name="_Toc151193776"/>
      <w:r/>
      <w:bookmarkStart w:id="401" w:name="_Toc264969224"/>
      <w:r/>
      <w:bookmarkStart w:id="402" w:name="_Toc265228372"/>
      <w:r/>
      <w:bookmarkStart w:id="403" w:name="_Toc127151534"/>
      <w:r/>
      <w:bookmarkStart w:id="404" w:name="_Toc151193848"/>
      <w:r/>
      <w:bookmarkStart w:id="405" w:name="_Toc150509285"/>
      <w:r/>
      <w:bookmarkStart w:id="406" w:name="_Toc226337230"/>
      <w:r/>
      <w:bookmarkStart w:id="407" w:name="_Toc305158876"/>
      <w:r/>
      <w:bookmarkStart w:id="408" w:name="_Toc150774739"/>
      <w:r/>
      <w:bookmarkStart w:id="409" w:name="_Toc150480772"/>
      <w:r/>
      <w:bookmarkStart w:id="410" w:name="_Toc151193704"/>
      <w:r/>
      <w:bookmarkStart w:id="411" w:name="_Toc151193632"/>
      <w:r/>
      <w:bookmarkStart w:id="412" w:name="_Toc520356159"/>
      <w:r/>
      <w:bookmarkStart w:id="413" w:name="_Toc305158802"/>
      <w:r/>
      <w:bookmarkStart w:id="414" w:name="_Toc151190161"/>
      <w:r>
        <w:rPr>
          <w:color w:val="auto"/>
          <w:sz w:val="24"/>
          <w:highlight w:val="none"/>
        </w:rPr>
        <w:t xml:space="preserve">投标文件的签署</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pStyle w:val="1497"/>
        <w:spacing w:before="0" w:line="360" w:lineRule="auto"/>
        <w:rPr>
          <w:rFonts w:ascii="Times New Roman" w:hAnsi="Times New Roman" w:eastAsia="宋体"/>
          <w:color w:val="auto"/>
          <w:sz w:val="28"/>
          <w:highlight w:val="none"/>
        </w:rPr>
      </w:pPr>
      <w:r/>
      <w:bookmarkStart w:id="415" w:name="_Toc520356169"/>
      <w:r>
        <w:rPr>
          <w:rFonts w:ascii="Times New Roman" w:hAnsi="Times New Roman" w:eastAsia="宋体"/>
          <w:color w:val="auto"/>
          <w:sz w:val="28"/>
          <w:highlight w:val="none"/>
        </w:rPr>
        <w:t xml:space="preserve">四   投标文件的提交</w:t>
      </w:r>
      <w:r/>
    </w:p>
    <w:p>
      <w:pPr>
        <w:numPr>
          <w:ilvl w:val="0"/>
          <w:numId w:val="8"/>
        </w:numPr>
        <w:ind w:left="357" w:hanging="357"/>
        <w:spacing w:line="360" w:lineRule="auto"/>
        <w:tabs>
          <w:tab w:val="left" w:pos="360" w:leader="none"/>
        </w:tabs>
        <w:rPr>
          <w:color w:val="auto"/>
          <w:sz w:val="24"/>
          <w:highlight w:val="none"/>
        </w:rPr>
        <w:outlineLvl w:val="1"/>
      </w:pPr>
      <w:r/>
      <w:bookmarkStart w:id="416" w:name="_Toc226309779"/>
      <w:r/>
      <w:bookmarkStart w:id="417" w:name="_Toc150774740"/>
      <w:r/>
      <w:bookmarkStart w:id="418" w:name="_Toc226965808"/>
      <w:r/>
      <w:bookmarkStart w:id="419" w:name="_Toc142311037"/>
      <w:r/>
      <w:bookmarkStart w:id="420" w:name="_Toc151193705"/>
      <w:r/>
      <w:bookmarkStart w:id="421" w:name="_Toc127161449"/>
      <w:r/>
      <w:bookmarkStart w:id="422" w:name="_Toc164229376"/>
      <w:r/>
      <w:bookmarkStart w:id="423" w:name="_Toc226337231"/>
      <w:r/>
      <w:bookmarkStart w:id="424" w:name="_Toc127151535"/>
      <w:r/>
      <w:bookmarkStart w:id="425" w:name="_Toc151193633"/>
      <w:r/>
      <w:bookmarkStart w:id="426" w:name="_Toc151193849"/>
      <w:r/>
      <w:bookmarkStart w:id="427" w:name="_Toc265228373"/>
      <w:r/>
      <w:bookmarkStart w:id="428" w:name="_Toc164229230"/>
      <w:r/>
      <w:bookmarkStart w:id="429" w:name="_Toc151190162"/>
      <w:r/>
      <w:bookmarkStart w:id="430" w:name="_Toc150509286"/>
      <w:r/>
      <w:bookmarkStart w:id="431" w:name="_Toc150774635"/>
      <w:r/>
      <w:bookmarkStart w:id="432" w:name="_Toc226965725"/>
      <w:r/>
      <w:bookmarkStart w:id="433" w:name="_Toc127151736"/>
      <w:r/>
      <w:bookmarkStart w:id="434" w:name="_Toc164351629"/>
      <w:r/>
      <w:bookmarkStart w:id="435" w:name="_Toc195842900"/>
      <w:r/>
      <w:bookmarkStart w:id="436" w:name="_Toc264969225"/>
      <w:r/>
      <w:bookmarkStart w:id="437" w:name="_Toc305158803"/>
      <w:r/>
      <w:bookmarkStart w:id="438" w:name="_Toc149720828"/>
      <w:r/>
      <w:bookmarkStart w:id="439" w:name="_Toc164608804"/>
      <w:r/>
      <w:bookmarkStart w:id="440" w:name="_Toc151193923"/>
      <w:r/>
      <w:bookmarkStart w:id="441" w:name="_Toc520356160"/>
      <w:r/>
      <w:bookmarkStart w:id="442" w:name="_Toc164608649"/>
      <w:r/>
      <w:bookmarkStart w:id="443" w:name="_Toc151193777"/>
      <w:r/>
      <w:bookmarkStart w:id="444" w:name="_Toc305158877"/>
      <w:r/>
      <w:bookmarkStart w:id="445" w:name="_Toc150480773"/>
      <w:r>
        <w:rPr>
          <w:color w:val="auto"/>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“苏采云”政府采购一体化平台</w:t>
      </w:r>
      <w:r>
        <w:rPr>
          <w:color w:val="auto"/>
          <w:sz w:val="24"/>
          <w:highlight w:val="none"/>
        </w:rPr>
        <w:t xml:space="preserve">。投标人根据招标文件及</w:t>
      </w:r>
      <w:r>
        <w:rPr>
          <w:rFonts w:hint="eastAsia"/>
          <w:color w:val="auto"/>
          <w:sz w:val="24"/>
          <w:highlight w:val="none"/>
          <w:lang w:bidi="ar"/>
        </w:rPr>
        <w:t xml:space="preserve">“苏采云”政府采购一体化平台</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46" w:name="_Toc226337232"/>
      <w:r/>
      <w:bookmarkStart w:id="447" w:name="_Toc226965726"/>
      <w:r/>
      <w:bookmarkStart w:id="448" w:name="_Toc150774741"/>
      <w:r/>
      <w:bookmarkStart w:id="449" w:name="_Toc164229377"/>
      <w:r/>
      <w:bookmarkStart w:id="450" w:name="_Toc164351630"/>
      <w:r/>
      <w:bookmarkStart w:id="451" w:name="_Toc305158878"/>
      <w:r/>
      <w:bookmarkStart w:id="452" w:name="_Toc150480774"/>
      <w:r/>
      <w:bookmarkStart w:id="453" w:name="_Toc127151536"/>
      <w:r/>
      <w:bookmarkStart w:id="454" w:name="_Toc151193778"/>
      <w:r/>
      <w:bookmarkStart w:id="455" w:name="_Toc164608650"/>
      <w:r/>
      <w:bookmarkStart w:id="456" w:name="_Toc142311038"/>
      <w:r/>
      <w:bookmarkStart w:id="457" w:name="_Toc150509287"/>
      <w:r/>
      <w:bookmarkStart w:id="458" w:name="_Toc226309780"/>
      <w:r/>
      <w:bookmarkStart w:id="459" w:name="_Toc151190163"/>
      <w:r/>
      <w:bookmarkStart w:id="460" w:name="_Toc265228374"/>
      <w:r/>
      <w:bookmarkStart w:id="461" w:name="_Toc305158804"/>
      <w:r/>
      <w:bookmarkStart w:id="462" w:name="_Toc127151737"/>
      <w:r/>
      <w:bookmarkStart w:id="463" w:name="_Toc264969226"/>
      <w:r/>
      <w:bookmarkStart w:id="464" w:name="_Toc151193850"/>
      <w:r/>
      <w:bookmarkStart w:id="465" w:name="_Toc520356161"/>
      <w:r/>
      <w:bookmarkStart w:id="466" w:name="_Toc151193634"/>
      <w:r/>
      <w:bookmarkStart w:id="467" w:name="_Toc164608805"/>
      <w:r/>
      <w:bookmarkStart w:id="468" w:name="_Toc151193706"/>
      <w:r/>
      <w:bookmarkStart w:id="469" w:name="_Toc149720829"/>
      <w:r/>
      <w:bookmarkStart w:id="470" w:name="_Toc226965809"/>
      <w:r/>
      <w:bookmarkStart w:id="471" w:name="_Toc164229231"/>
      <w:r/>
      <w:bookmarkStart w:id="472" w:name="_Toc127161450"/>
      <w:r/>
      <w:bookmarkStart w:id="473" w:name="_Toc195842901"/>
      <w:r/>
      <w:bookmarkStart w:id="474" w:name="_Toc150774636"/>
      <w:r/>
      <w:bookmarkStart w:id="475" w:name="_Toc151193924"/>
      <w:r>
        <w:rPr>
          <w:color w:val="auto"/>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76" w:name="_Toc151193925"/>
      <w:r/>
      <w:bookmarkStart w:id="477" w:name="_Toc151190164"/>
      <w:r/>
      <w:bookmarkStart w:id="478" w:name="_Toc226965810"/>
      <w:r/>
      <w:bookmarkStart w:id="479" w:name="_Toc226337233"/>
      <w:r/>
      <w:bookmarkStart w:id="480" w:name="_Toc151193707"/>
      <w:r/>
      <w:bookmarkStart w:id="481" w:name="_Toc164229378"/>
      <w:r/>
      <w:bookmarkStart w:id="482" w:name="_Toc164608806"/>
      <w:r/>
      <w:bookmarkStart w:id="483" w:name="_Toc226309781"/>
      <w:r/>
      <w:bookmarkStart w:id="484" w:name="_Toc226965727"/>
      <w:r/>
      <w:bookmarkStart w:id="485" w:name="_Toc164608651"/>
      <w:r/>
      <w:bookmarkStart w:id="486" w:name="_Toc127151537"/>
      <w:r/>
      <w:bookmarkStart w:id="487" w:name="_Toc151193851"/>
      <w:r/>
      <w:bookmarkStart w:id="488" w:name="_Toc265228375"/>
      <w:r/>
      <w:bookmarkStart w:id="489" w:name="_Toc127161451"/>
      <w:r/>
      <w:bookmarkStart w:id="490" w:name="_Toc150774637"/>
      <w:r/>
      <w:bookmarkStart w:id="491" w:name="_Toc195842902"/>
      <w:r/>
      <w:bookmarkStart w:id="492" w:name="_Toc127151738"/>
      <w:r/>
      <w:bookmarkStart w:id="493" w:name="_Toc150509288"/>
      <w:r/>
      <w:bookmarkStart w:id="494" w:name="_Toc164229232"/>
      <w:r/>
      <w:bookmarkStart w:id="495" w:name="_Toc151193779"/>
      <w:r/>
      <w:bookmarkStart w:id="496" w:name="_Toc142311039"/>
      <w:r/>
      <w:bookmarkStart w:id="497" w:name="_Toc149720830"/>
      <w:r/>
      <w:bookmarkStart w:id="498" w:name="_Toc264969227"/>
      <w:r/>
      <w:bookmarkStart w:id="499" w:name="_Toc150774742"/>
      <w:r/>
      <w:bookmarkStart w:id="500" w:name="_Toc164351631"/>
      <w:r/>
      <w:bookmarkStart w:id="501" w:name="_Toc151193635"/>
      <w:r/>
      <w:bookmarkStart w:id="502" w:name="_Toc150480775"/>
      <w:r/>
      <w:bookmarkStart w:id="503" w:name="_Toc520356162"/>
      <w:r/>
      <w:bookmarkStart w:id="504" w:name="_Toc305158805"/>
      <w:r/>
      <w:bookmarkStart w:id="505" w:name="_Toc305158879"/>
      <w:r>
        <w:rPr>
          <w:color w:val="auto"/>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497"/>
        <w:spacing w:before="0" w:line="360" w:lineRule="auto"/>
        <w:rPr>
          <w:rFonts w:ascii="Times New Roman" w:hAnsi="Times New Roman" w:eastAsia="宋体"/>
          <w:color w:val="auto"/>
          <w:sz w:val="28"/>
          <w:highlight w:val="none"/>
        </w:rPr>
      </w:pPr>
      <w:r/>
      <w:bookmarkStart w:id="506" w:name="_Toc264969228"/>
      <w:r/>
      <w:bookmarkStart w:id="507" w:name="_Toc520356163"/>
      <w:r/>
      <w:bookmarkStart w:id="508" w:name="_Toc151193636"/>
      <w:r/>
      <w:bookmarkStart w:id="509" w:name="_Toc151190165"/>
      <w:r/>
      <w:bookmarkStart w:id="510" w:name="_Toc226965811"/>
      <w:r/>
      <w:bookmarkStart w:id="511" w:name="_Toc150774743"/>
      <w:r/>
      <w:bookmarkStart w:id="512" w:name="_Toc151193708"/>
      <w:r/>
      <w:bookmarkStart w:id="513" w:name="_Toc226337234"/>
      <w:r/>
      <w:bookmarkStart w:id="514" w:name="_Toc150774638"/>
      <w:r/>
      <w:bookmarkStart w:id="515" w:name="_Toc142311040"/>
      <w:r/>
      <w:bookmarkStart w:id="516" w:name="_Toc127151538"/>
      <w:r/>
      <w:bookmarkStart w:id="517" w:name="_Toc151193926"/>
      <w:r/>
      <w:bookmarkStart w:id="518" w:name="_Toc151193780"/>
      <w:r/>
      <w:bookmarkStart w:id="519" w:name="_Toc226965728"/>
      <w:r/>
      <w:bookmarkStart w:id="520" w:name="_Toc305158806"/>
      <w:r/>
      <w:bookmarkStart w:id="521" w:name="_Toc150509289"/>
      <w:r/>
      <w:bookmarkStart w:id="522" w:name="_Toc305158880"/>
      <w:r/>
      <w:bookmarkStart w:id="523" w:name="_Toc151193852"/>
      <w:r/>
      <w:bookmarkStart w:id="524" w:name="_Toc150480776"/>
      <w:r/>
      <w:bookmarkStart w:id="525" w:name="_Toc226309782"/>
      <w:r/>
      <w:bookmarkStart w:id="526" w:name="_Toc265228376"/>
      <w:r/>
      <w:bookmarkStart w:id="527" w:name="_Toc195842903"/>
      <w:r>
        <w:rPr>
          <w:rFonts w:ascii="Times New Roman" w:hAnsi="Times New Roman" w:eastAsia="宋体"/>
          <w:color w:val="auto"/>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numPr>
          <w:ilvl w:val="0"/>
          <w:numId w:val="8"/>
        </w:numPr>
        <w:ind w:left="357" w:hanging="357"/>
        <w:spacing w:line="360" w:lineRule="auto"/>
        <w:tabs>
          <w:tab w:val="left" w:pos="360" w:leader="none"/>
        </w:tabs>
        <w:rPr>
          <w:color w:val="auto"/>
          <w:sz w:val="24"/>
          <w:highlight w:val="none"/>
        </w:rPr>
        <w:outlineLvl w:val="1"/>
      </w:pPr>
      <w:r/>
      <w:bookmarkStart w:id="528" w:name="_Toc265228377"/>
      <w:r/>
      <w:bookmarkStart w:id="529" w:name="_Toc164608653"/>
      <w:r/>
      <w:bookmarkStart w:id="530" w:name="_Toc226309783"/>
      <w:r/>
      <w:bookmarkStart w:id="531" w:name="_Toc151193709"/>
      <w:r/>
      <w:bookmarkStart w:id="532" w:name="_Toc150774639"/>
      <w:r/>
      <w:bookmarkStart w:id="533" w:name="_Toc264969229"/>
      <w:r/>
      <w:bookmarkStart w:id="534" w:name="_Toc142311041"/>
      <w:r/>
      <w:bookmarkStart w:id="535" w:name="_Toc164229234"/>
      <w:r/>
      <w:bookmarkStart w:id="536" w:name="_Toc151193781"/>
      <w:r/>
      <w:bookmarkStart w:id="537" w:name="_Toc195842904"/>
      <w:r/>
      <w:bookmarkStart w:id="538" w:name="_Toc151190166"/>
      <w:r/>
      <w:bookmarkStart w:id="539" w:name="_Toc164229380"/>
      <w:r/>
      <w:bookmarkStart w:id="540" w:name="_Toc305158807"/>
      <w:r/>
      <w:bookmarkStart w:id="541" w:name="_Toc151193927"/>
      <w:r/>
      <w:bookmarkStart w:id="542" w:name="_Toc127161453"/>
      <w:r/>
      <w:bookmarkStart w:id="543" w:name="_Toc127151539"/>
      <w:r/>
      <w:bookmarkStart w:id="544" w:name="_Toc305158881"/>
      <w:r/>
      <w:bookmarkStart w:id="545" w:name="_Toc151193637"/>
      <w:r/>
      <w:bookmarkStart w:id="546" w:name="_Toc150774744"/>
      <w:r/>
      <w:bookmarkStart w:id="547" w:name="_Toc151193853"/>
      <w:r/>
      <w:bookmarkStart w:id="548" w:name="_Toc149720832"/>
      <w:r/>
      <w:bookmarkStart w:id="549" w:name="_Toc226965729"/>
      <w:r/>
      <w:bookmarkStart w:id="550" w:name="_Toc164608808"/>
      <w:r/>
      <w:bookmarkStart w:id="551" w:name="_Toc226337235"/>
      <w:r/>
      <w:bookmarkStart w:id="552" w:name="_Toc226965812"/>
      <w:r/>
      <w:bookmarkStart w:id="553" w:name="_Toc150509290"/>
      <w:r/>
      <w:bookmarkStart w:id="554" w:name="_Toc150480777"/>
      <w:r/>
      <w:bookmarkStart w:id="555" w:name="_Toc520356164"/>
      <w:r/>
      <w:bookmarkStart w:id="556" w:name="_Toc164351633"/>
      <w:r/>
      <w:bookmarkStart w:id="557" w:name="_Toc127151740"/>
      <w:r>
        <w:rPr>
          <w:color w:val="auto"/>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58" w:name="_Toc520356165"/>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投标人</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w:t>
      </w:r>
      <w:r>
        <w:rPr>
          <w:rFonts w:hint="eastAsia"/>
          <w:color w:val="auto"/>
          <w:sz w:val="24"/>
          <w:highlight w:val="none"/>
          <w:lang w:val="en-US" w:eastAsia="zh-CN"/>
        </w:rPr>
        <w:t xml:space="preserve">评标委员会</w:t>
      </w:r>
      <w:r>
        <w:rPr>
          <w:rFonts w:hint="eastAsia"/>
          <w:color w:val="auto"/>
          <w:sz w:val="24"/>
          <w:highlight w:val="none"/>
        </w:rPr>
        <w:t xml:space="preserve">发出的指令和要求进行响应操作。如果因为无人值守造成不能及时回应系统或者</w:t>
      </w:r>
      <w:r>
        <w:rPr>
          <w:rFonts w:hint="eastAsia"/>
          <w:color w:val="auto"/>
          <w:sz w:val="24"/>
          <w:highlight w:val="none"/>
          <w:lang w:val="en-US" w:eastAsia="zh-CN"/>
        </w:rPr>
        <w:t xml:space="preserve">评标委员会</w:t>
      </w:r>
      <w:r>
        <w:rPr>
          <w:rFonts w:hint="eastAsia"/>
          <w:color w:val="auto"/>
          <w:sz w:val="24"/>
          <w:highlight w:val="none"/>
        </w:rPr>
        <w:t xml:space="preserve">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58"/>
      <w:r/>
      <w:r/>
    </w:p>
    <w:p>
      <w:pPr>
        <w:numPr>
          <w:ilvl w:val="0"/>
          <w:numId w:val="8"/>
        </w:numPr>
        <w:ind w:left="357" w:hanging="357"/>
        <w:spacing w:line="360" w:lineRule="auto"/>
        <w:tabs>
          <w:tab w:val="left" w:pos="360" w:leader="none"/>
        </w:tabs>
        <w:rPr>
          <w:color w:val="auto"/>
          <w:sz w:val="24"/>
          <w:highlight w:val="none"/>
        </w:rPr>
        <w:outlineLvl w:val="1"/>
      </w:pPr>
      <w:r/>
      <w:bookmarkStart w:id="559" w:name="_Toc150480778"/>
      <w:r/>
      <w:bookmarkStart w:id="560" w:name="_Toc164608654"/>
      <w:r/>
      <w:bookmarkStart w:id="561" w:name="_Toc226337236"/>
      <w:r/>
      <w:bookmarkStart w:id="562" w:name="_Toc151193928"/>
      <w:r/>
      <w:bookmarkStart w:id="563" w:name="_Toc226965813"/>
      <w:r/>
      <w:bookmarkStart w:id="564" w:name="_Toc164351634"/>
      <w:r/>
      <w:bookmarkStart w:id="565" w:name="_Toc151193710"/>
      <w:r/>
      <w:bookmarkStart w:id="566" w:name="_Toc195842905"/>
      <w:r/>
      <w:bookmarkStart w:id="567" w:name="_Toc265228378"/>
      <w:r/>
      <w:bookmarkStart w:id="568" w:name="_Toc226965730"/>
      <w:r/>
      <w:bookmarkStart w:id="569" w:name="_Toc164229235"/>
      <w:r/>
      <w:bookmarkStart w:id="570" w:name="_Toc127161454"/>
      <w:r/>
      <w:bookmarkStart w:id="571" w:name="_Toc142311042"/>
      <w:r/>
      <w:bookmarkStart w:id="572" w:name="_Toc151193782"/>
      <w:r/>
      <w:bookmarkStart w:id="573" w:name="_Toc164229381"/>
      <w:r/>
      <w:bookmarkStart w:id="574" w:name="_Toc127151540"/>
      <w:r/>
      <w:bookmarkStart w:id="575" w:name="_Toc164608809"/>
      <w:r/>
      <w:bookmarkStart w:id="576" w:name="_Toc150509291"/>
      <w:r/>
      <w:bookmarkStart w:id="577" w:name="_Toc305158882"/>
      <w:r/>
      <w:bookmarkStart w:id="578" w:name="_Toc149720833"/>
      <w:r/>
      <w:bookmarkStart w:id="579" w:name="_Toc150774640"/>
      <w:r/>
      <w:bookmarkStart w:id="580" w:name="_Toc305158808"/>
      <w:r/>
      <w:bookmarkStart w:id="581" w:name="_Toc151193638"/>
      <w:r/>
      <w:bookmarkStart w:id="582" w:name="_Toc127151741"/>
      <w:r/>
      <w:bookmarkStart w:id="583" w:name="_Toc150774745"/>
      <w:r/>
      <w:bookmarkStart w:id="584" w:name="_Toc226309784"/>
      <w:r/>
      <w:bookmarkStart w:id="585" w:name="_Toc151193854"/>
      <w:r/>
      <w:bookmarkStart w:id="586" w:name="_Toc264969230"/>
      <w:r/>
      <w:bookmarkStart w:id="587" w:name="_Toc151190167"/>
      <w:r>
        <w:rPr>
          <w:color w:val="auto"/>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8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8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jc w:val="center"/>
        <w:spacing w:line="360" w:lineRule="auto"/>
        <w:rPr>
          <w:rFonts w:ascii="宋体" w:hAnsi="宋体"/>
          <w:b/>
          <w:bCs/>
          <w:color w:val="auto"/>
          <w:sz w:val="28"/>
          <w:szCs w:val="28"/>
          <w:highlight w:val="none"/>
        </w:rPr>
      </w:pPr>
      <w:r/>
      <w:bookmarkStart w:id="589" w:name="_Toc151193643"/>
      <w:r/>
      <w:bookmarkStart w:id="590" w:name="_Toc226337241"/>
      <w:r/>
      <w:bookmarkStart w:id="591" w:name="_Toc151193787"/>
      <w:r/>
      <w:bookmarkStart w:id="592" w:name="_Toc151193715"/>
      <w:r/>
      <w:bookmarkStart w:id="593" w:name="_Toc305158813"/>
      <w:r/>
      <w:bookmarkStart w:id="594" w:name="_Toc150774750"/>
      <w:r/>
      <w:bookmarkStart w:id="595" w:name="_Toc150480783"/>
      <w:r/>
      <w:bookmarkStart w:id="596" w:name="_Toc150509296"/>
      <w:r/>
      <w:bookmarkStart w:id="597" w:name="_Toc226965818"/>
      <w:r/>
      <w:bookmarkStart w:id="598" w:name="_Toc226965735"/>
      <w:r/>
      <w:bookmarkStart w:id="599" w:name="_Toc195842910"/>
      <w:r/>
      <w:bookmarkStart w:id="600" w:name="_Toc305158887"/>
      <w:r/>
      <w:bookmarkStart w:id="601" w:name="_Toc264969235"/>
      <w:r/>
      <w:bookmarkStart w:id="602" w:name="_Toc150774645"/>
      <w:r/>
      <w:bookmarkStart w:id="603" w:name="_Toc265228383"/>
      <w:r/>
      <w:bookmarkStart w:id="604" w:name="_Toc127151545"/>
      <w:r/>
      <w:bookmarkStart w:id="605" w:name="_Toc151190172"/>
      <w:r/>
      <w:bookmarkStart w:id="606" w:name="_Toc226309789"/>
      <w:r/>
      <w:bookmarkStart w:id="607" w:name="_Toc151193859"/>
      <w:r/>
      <w:bookmarkStart w:id="608" w:name="_Toc142311047"/>
      <w:r/>
      <w:bookmarkStart w:id="609" w:name="_Toc151193933"/>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151193861"/>
      <w:r/>
      <w:bookmarkStart w:id="611" w:name="_Toc264969237"/>
      <w:r/>
      <w:bookmarkStart w:id="612" w:name="_Toc226965820"/>
      <w:r/>
      <w:bookmarkStart w:id="613" w:name="_Toc150774647"/>
      <w:r/>
      <w:bookmarkStart w:id="614" w:name="_Toc142311049"/>
      <w:r/>
      <w:bookmarkStart w:id="615" w:name="_Toc150480785"/>
      <w:r/>
      <w:bookmarkStart w:id="616" w:name="_Toc305158815"/>
      <w:r/>
      <w:bookmarkStart w:id="617" w:name="_Toc150509298"/>
      <w:r/>
      <w:bookmarkStart w:id="618" w:name="_Toc127161461"/>
      <w:r/>
      <w:bookmarkStart w:id="619" w:name="_Toc226309791"/>
      <w:r/>
      <w:bookmarkStart w:id="620" w:name="_Toc164351641"/>
      <w:r/>
      <w:bookmarkStart w:id="621" w:name="_Toc226337243"/>
      <w:r/>
      <w:bookmarkStart w:id="622" w:name="_Toc226965737"/>
      <w:r/>
      <w:bookmarkStart w:id="623" w:name="_Toc149720840"/>
      <w:r/>
      <w:bookmarkStart w:id="624" w:name="_Toc151193789"/>
      <w:r/>
      <w:bookmarkStart w:id="625" w:name="_Toc127151748"/>
      <w:r/>
      <w:bookmarkStart w:id="626" w:name="_Toc305158889"/>
      <w:r/>
      <w:bookmarkStart w:id="627" w:name="_Toc151193935"/>
      <w:r/>
      <w:bookmarkStart w:id="628" w:name="_Toc265228385"/>
      <w:r/>
      <w:bookmarkStart w:id="629" w:name="_Toc151193717"/>
      <w:r/>
      <w:bookmarkStart w:id="630" w:name="_Toc127151547"/>
      <w:r/>
      <w:bookmarkStart w:id="631" w:name="_Toc151190174"/>
      <w:r/>
      <w:bookmarkStart w:id="632" w:name="_Toc164229242"/>
      <w:r/>
      <w:bookmarkStart w:id="633" w:name="_Toc164229388"/>
      <w:r/>
      <w:bookmarkStart w:id="634" w:name="_Toc150774752"/>
      <w:r/>
      <w:bookmarkStart w:id="635" w:name="_Toc195842912"/>
      <w:r/>
      <w:bookmarkStart w:id="636" w:name="_Toc151193645"/>
      <w:r/>
      <w:bookmarkStart w:id="637" w:name="_Toc164608661"/>
      <w:r/>
      <w:bookmarkStart w:id="638" w:name="_Toc164608816"/>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cs="宋体"/>
          <w:color w:val="auto"/>
          <w:sz w:val="24"/>
          <w:highlight w:val="none"/>
          <w:lang w:eastAsia="zh-CN"/>
        </w:rPr>
        <w:t xml:space="preserve">中标人</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，中标候选人并列的，由采购人依法确定。</w:t>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39" w:name="_Toc305158817"/>
      <w:r/>
      <w:bookmarkStart w:id="640" w:name="_Toc305158891"/>
      <w:r/>
      <w:bookmarkStart w:id="641" w:name="_Toc150774649"/>
      <w:r/>
      <w:bookmarkStart w:id="642" w:name="_Toc127151750"/>
      <w:r/>
      <w:bookmarkStart w:id="643" w:name="_Toc164229244"/>
      <w:r/>
      <w:bookmarkStart w:id="644" w:name="_Toc226337245"/>
      <w:r/>
      <w:bookmarkStart w:id="645" w:name="_Toc150774754"/>
      <w:r/>
      <w:bookmarkStart w:id="646" w:name="_Toc265228387"/>
      <w:r/>
      <w:bookmarkStart w:id="647" w:name="_Toc150509300"/>
      <w:r/>
      <w:bookmarkStart w:id="648" w:name="_Toc264969239"/>
      <w:r/>
      <w:bookmarkStart w:id="649" w:name="_Toc195842914"/>
      <w:r/>
      <w:bookmarkStart w:id="650" w:name="_Toc149720842"/>
      <w:r/>
      <w:bookmarkStart w:id="651" w:name="_Toc150480787"/>
      <w:r/>
      <w:bookmarkStart w:id="652" w:name="_Toc142311051"/>
      <w:r/>
      <w:bookmarkStart w:id="653" w:name="_Toc151193647"/>
      <w:r/>
      <w:bookmarkStart w:id="654" w:name="_Toc151193791"/>
      <w:r/>
      <w:bookmarkStart w:id="655" w:name="_Toc226309793"/>
      <w:r/>
      <w:bookmarkStart w:id="656" w:name="_Toc226965739"/>
      <w:r/>
      <w:bookmarkStart w:id="657" w:name="_Toc226965822"/>
      <w:r/>
      <w:bookmarkStart w:id="658" w:name="_Toc151193863"/>
      <w:r/>
      <w:bookmarkStart w:id="659" w:name="_Toc127161463"/>
      <w:r/>
      <w:bookmarkStart w:id="660" w:name="_Toc164608663"/>
      <w:r/>
      <w:bookmarkStart w:id="661" w:name="_Toc151190176"/>
      <w:r/>
      <w:bookmarkStart w:id="662" w:name="_Toc164229390"/>
      <w:r/>
      <w:bookmarkStart w:id="663" w:name="_Toc164608818"/>
      <w:r/>
      <w:bookmarkStart w:id="664" w:name="_Toc164351643"/>
      <w:r/>
      <w:bookmarkStart w:id="665" w:name="_Toc151193719"/>
      <w:r/>
      <w:bookmarkStart w:id="666" w:name="_Toc151193937"/>
      <w:r/>
      <w:bookmarkStart w:id="667" w:name="_Toc127151549"/>
      <w:r/>
      <w:bookmarkStart w:id="668" w:name="_Ref467306425"/>
      <w:r/>
      <w:bookmarkStart w:id="669" w:name="_Ref467307090"/>
      <w:r/>
      <w:bookmarkStart w:id="670" w:name="_Toc520356176"/>
      <w:r>
        <w:rPr>
          <w:rFonts w:hint="eastAsia" w:ascii="宋体" w:hAnsi="宋体" w:cs="宋体"/>
          <w:color w:val="auto"/>
          <w:sz w:val="24"/>
          <w:highlight w:val="none"/>
        </w:rPr>
        <w:t xml:space="preserve">中标公告与中标通知书</w:t>
      </w:r>
      <w:bookmarkEnd w:id="639"/>
      <w:r/>
      <w:bookmarkEnd w:id="640"/>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采购人或采购代理机构自</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确定之日起2个工作日内，</w:t>
      </w:r>
      <w:r>
        <w:rPr>
          <w:rFonts w:hint="eastAsia" w:ascii="宋体" w:hAnsi="宋体" w:cs="宋体"/>
          <w:color w:val="auto"/>
          <w:sz w:val="24"/>
          <w:highlight w:val="none"/>
        </w:rPr>
        <w:t xml:space="preserve">在江苏政府采购网、常州市政府采购网</w:t>
      </w:r>
      <w:r>
        <w:rPr>
          <w:rFonts w:hint="eastAsia" w:ascii="宋体" w:hAnsi="宋体" w:cs="宋体"/>
          <w:color w:val="auto"/>
          <w:sz w:val="24"/>
          <w:highlight w:val="none"/>
        </w:rPr>
        <w:t xml:space="preserve">和江苏尚阳工程管理有限公司网</w:t>
      </w:r>
      <w:r>
        <w:rPr>
          <w:rFonts w:hint="eastAsia" w:ascii="宋体" w:hAnsi="宋体" w:cs="宋体"/>
          <w:color w:val="auto"/>
          <w:sz w:val="24"/>
          <w:highlight w:val="none"/>
        </w:rPr>
        <w:t xml:space="preserve">公告中标结果</w:t>
      </w:r>
      <w:r>
        <w:rPr>
          <w:rFonts w:hint="eastAsia" w:ascii="宋体" w:hAnsi="宋体" w:cs="宋体"/>
          <w:color w:val="auto"/>
          <w:sz w:val="24"/>
          <w:highlight w:val="none"/>
        </w:rPr>
        <w:t xml:space="preserve">，同时向</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中标通知书对采购人和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均具有法律效力。中标通知书发出后，采购人改变中标结果的，或者</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放弃中标项目的，应当依法承担法律责任。</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符合专业条件的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spacing w:line="360" w:lineRule="auto"/>
        <w:rPr>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numPr>
          <w:ilvl w:val="0"/>
          <w:numId w:val="8"/>
        </w:numPr>
        <w:ind w:left="357" w:hanging="357"/>
        <w:spacing w:line="360" w:lineRule="auto"/>
        <w:tabs>
          <w:tab w:val="left" w:pos="360" w:leader="none"/>
        </w:tabs>
        <w:rPr>
          <w:rFonts w:ascii="宋体" w:hAnsi="宋体" w:cs="宋体"/>
          <w:color w:val="auto"/>
          <w:sz w:val="24"/>
          <w:highlight w:val="none"/>
        </w:rPr>
      </w:pPr>
      <w:r/>
      <w:bookmarkStart w:id="671" w:name="_Ref467307062"/>
      <w:r/>
      <w:bookmarkStart w:id="672" w:name="_Toc142311052"/>
      <w:r/>
      <w:bookmarkStart w:id="673" w:name="_Ref467306377"/>
      <w:r/>
      <w:bookmarkStart w:id="674" w:name="_Toc127151751"/>
      <w:r/>
      <w:bookmarkStart w:id="675" w:name="_Ref467307204"/>
      <w:r/>
      <w:bookmarkStart w:id="676" w:name="_Toc151193792"/>
      <w:r/>
      <w:bookmarkStart w:id="677" w:name="_Toc151193938"/>
      <w:r/>
      <w:bookmarkStart w:id="678" w:name="_Toc226337246"/>
      <w:r/>
      <w:bookmarkStart w:id="679" w:name="_Toc164229245"/>
      <w:r/>
      <w:bookmarkStart w:id="680" w:name="_Toc151193648"/>
      <w:r/>
      <w:bookmarkStart w:id="681" w:name="_Toc164608664"/>
      <w:r/>
      <w:bookmarkStart w:id="682" w:name="_Toc164351644"/>
      <w:r/>
      <w:bookmarkStart w:id="683" w:name="_Toc265228388"/>
      <w:r/>
      <w:bookmarkStart w:id="684" w:name="_Toc195842915"/>
      <w:r/>
      <w:bookmarkStart w:id="685" w:name="_Toc150509301"/>
      <w:r/>
      <w:bookmarkStart w:id="686" w:name="_Toc151193720"/>
      <w:r/>
      <w:bookmarkStart w:id="687" w:name="_Ref467306978"/>
      <w:r/>
      <w:bookmarkStart w:id="688" w:name="_Toc305158892"/>
      <w:r/>
      <w:bookmarkStart w:id="689" w:name="_Toc151193864"/>
      <w:r/>
      <w:bookmarkStart w:id="690" w:name="_Toc520356175"/>
      <w:r/>
      <w:bookmarkStart w:id="691" w:name="_Toc164229391"/>
      <w:r/>
      <w:bookmarkStart w:id="692" w:name="_Toc305158818"/>
      <w:r/>
      <w:bookmarkStart w:id="693" w:name="_Toc150480788"/>
      <w:r/>
      <w:bookmarkStart w:id="694" w:name="_Toc150774650"/>
      <w:r/>
      <w:bookmarkStart w:id="695" w:name="_Toc149720843"/>
      <w:r/>
      <w:bookmarkStart w:id="696" w:name="_Toc164608819"/>
      <w:r/>
      <w:bookmarkStart w:id="697" w:name="_Toc151190177"/>
      <w:r/>
      <w:bookmarkStart w:id="698" w:name="_Toc226965823"/>
      <w:r/>
      <w:bookmarkStart w:id="699" w:name="_Toc226965740"/>
      <w:r/>
      <w:bookmarkStart w:id="700" w:name="_Toc226309794"/>
      <w:r/>
      <w:bookmarkStart w:id="701" w:name="_Toc264969240"/>
      <w:r/>
      <w:bookmarkStart w:id="702" w:name="_Toc127151550"/>
      <w:r/>
      <w:bookmarkStart w:id="703" w:name="_Toc150774755"/>
      <w:r/>
      <w:bookmarkStart w:id="704" w:name="_Toc127161464"/>
      <w:r>
        <w:rPr>
          <w:rFonts w:hint="eastAsia" w:ascii="宋体" w:hAnsi="宋体" w:cs="宋体"/>
          <w:color w:val="auto"/>
          <w:sz w:val="24"/>
          <w:highlight w:val="none"/>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、采购人应当自中标通知书发出之日起30日内，按照招标文件和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投标文件的规定签订书面合同。所签订的合同不得对招标文件确定的事项和</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的投标文件作实质性修改。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拒绝与采购人签订合同的，采购人可以按照评标报告推荐的中标候选人名单排序，确定下一候选人为</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本项目的非主体、非关键性工作是否允许分包，见《投标人须知资料表》。</w:t>
      </w:r>
      <w:bookmarkEnd w:id="668"/>
      <w:r/>
      <w:bookmarkEnd w:id="669"/>
      <w:r/>
      <w:bookmarkEnd w:id="670"/>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549"/>
          <w:rFonts w:hint="eastAsia" w:ascii="宋体" w:hAnsi="宋体" w:cs="宋体"/>
          <w:color w:val="auto"/>
          <w:sz w:val="24"/>
          <w:highlight w:val="none"/>
        </w:rPr>
        <w:t xml:space="preserve">http://gk</w:t>
      </w:r>
      <w:bookmarkStart w:id="705" w:name="_Hlt100654014"/>
      <w:r>
        <w:rPr>
          <w:rStyle w:val="1549"/>
          <w:rFonts w:hint="eastAsia" w:ascii="宋体" w:hAnsi="宋体" w:cs="宋体"/>
          <w:color w:val="auto"/>
          <w:sz w:val="24"/>
          <w:highlight w:val="none"/>
        </w:rPr>
        <w:t xml:space="preserve">s</w:t>
      </w:r>
      <w:bookmarkEnd w:id="705"/>
      <w:r>
        <w:rPr>
          <w:rStyle w:val="1549"/>
          <w:rFonts w:hint="eastAsia" w:ascii="宋体" w:hAnsi="宋体" w:cs="宋体"/>
          <w:color w:val="auto"/>
          <w:sz w:val="24"/>
          <w:highlight w:val="none"/>
        </w:rPr>
        <w:t xml:space="preserve">.m</w:t>
      </w:r>
      <w:bookmarkStart w:id="706" w:name="_Hlt100653993"/>
      <w:r/>
      <w:bookmarkStart w:id="707" w:name="_Hlt100653994"/>
      <w:r>
        <w:rPr>
          <w:rStyle w:val="1549"/>
          <w:rFonts w:hint="eastAsia" w:ascii="宋体" w:hAnsi="宋体" w:cs="宋体"/>
          <w:color w:val="auto"/>
          <w:sz w:val="24"/>
          <w:highlight w:val="none"/>
        </w:rPr>
        <w:t xml:space="preserve">o</w:t>
      </w:r>
      <w:bookmarkEnd w:id="706"/>
      <w:r/>
      <w:bookmarkEnd w:id="707"/>
      <w:r>
        <w:rPr>
          <w:rStyle w:val="1549"/>
          <w:rFonts w:hint="eastAsia" w:ascii="宋体" w:hAnsi="宋体" w:cs="宋体"/>
          <w:color w:val="auto"/>
          <w:sz w:val="24"/>
          <w:highlight w:val="none"/>
        </w:rPr>
        <w:t xml:space="preserve">f.gov.cn/ztztz/zhengfucaigouguanli/201802/t20180201_2804589.htm</w:t>
      </w:r>
      <w:r>
        <w:rPr>
          <w:rStyle w:val="1549"/>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收费对象、收费标准及缴纳时间见《投标人须知资料表》。由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支付的，</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须一次性向采购代理机构缴纳代理费，投标报价应包含代理费用。</w:t>
      </w:r>
      <w:r/>
    </w:p>
    <w:p>
      <w:pPr>
        <w:jc w:val="center"/>
        <w:spacing w:line="360" w:lineRule="auto"/>
        <w:rPr>
          <w:b/>
          <w:color w:val="auto"/>
          <w:sz w:val="36"/>
          <w:szCs w:val="36"/>
          <w:highlight w:val="none"/>
        </w:rPr>
        <w:outlineLvl w:val="0"/>
      </w:pPr>
      <w:r/>
      <w:bookmarkStart w:id="708" w:name="_Toc226965827"/>
      <w:r/>
      <w:bookmarkStart w:id="709" w:name="_Toc150774759"/>
      <w:r/>
      <w:bookmarkStart w:id="710" w:name="_Toc305158896"/>
      <w:r/>
      <w:bookmarkStart w:id="711" w:name="_Toc353873664"/>
      <w:r/>
      <w:bookmarkStart w:id="712" w:name="_Toc265228392"/>
      <w:r/>
      <w:bookmarkStart w:id="713" w:name="_Toc264969244"/>
      <w:r/>
      <w:bookmarkStart w:id="714" w:name="_Toc353825544"/>
      <w:r/>
      <w:bookmarkStart w:id="715" w:name="_Toc305158822"/>
      <w:r/>
      <w:bookmarkStart w:id="716" w:name="_Toc127151554"/>
      <w:r/>
      <w:bookmarkStart w:id="717" w:name="_Toc353873934"/>
      <w:r/>
      <w:bookmarkStart w:id="718" w:name="_Toc150480792"/>
      <w:r/>
      <w:bookmarkStart w:id="719" w:name="_Toc226337250"/>
      <w:r/>
      <w:bookmarkStart w:id="720" w:name="_Toc142311056"/>
      <w:r/>
      <w:bookmarkStart w:id="721" w:name="_Toc99301421"/>
      <w:r/>
      <w:bookmarkStart w:id="722" w:name="_Toc4607"/>
      <w:r>
        <w:rPr>
          <w:b/>
          <w:color w:val="auto"/>
          <w:sz w:val="36"/>
          <w:szCs w:val="36"/>
          <w:highlight w:val="none"/>
        </w:rPr>
        <w:t xml:space="preserve">第三章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color w:val="auto"/>
          <w:sz w:val="36"/>
          <w:szCs w:val="36"/>
          <w:highlight w:val="none"/>
        </w:rPr>
        <w:t xml:space="preserve">资格审查</w:t>
      </w:r>
      <w:bookmarkEnd w:id="721"/>
      <w:r/>
      <w:bookmarkEnd w:id="722"/>
      <w:r/>
      <w:bookmarkStart w:id="723" w:name="_Toc487900382"/>
      <w:r/>
      <w:r/>
    </w:p>
    <w:p>
      <w:pPr>
        <w:jc w:val="center"/>
        <w:spacing w:line="360" w:lineRule="auto"/>
        <w:rPr>
          <w:rFonts w:ascii="宋体" w:hAnsi="宋体"/>
          <w:b/>
          <w:bCs/>
          <w:color w:val="auto"/>
          <w:sz w:val="28"/>
          <w:szCs w:val="28"/>
          <w:highlight w:val="none"/>
        </w:rPr>
      </w:pPr>
      <w:r/>
      <w:bookmarkStart w:id="724" w:name="_Toc99301422"/>
      <w:r>
        <w:rPr>
          <w:rFonts w:hint="eastAsia" w:ascii="宋体" w:hAnsi="宋体"/>
          <w:b/>
          <w:bCs/>
          <w:color w:val="auto"/>
          <w:sz w:val="28"/>
          <w:szCs w:val="28"/>
          <w:highlight w:val="none"/>
        </w:rPr>
        <w:t xml:space="preserve">一、资格审查程序</w:t>
      </w:r>
      <w:bookmarkEnd w:id="724"/>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425" w:hanging="425"/>
        <w:spacing w:line="360" w:lineRule="auto"/>
        <w:tabs>
          <w:tab w:val="left" w:pos="426" w:leader="none"/>
          <w:tab w:val="left" w:pos="851" w:leader="none"/>
          <w:tab w:val="clear" w:pos="900" w:leader="none"/>
        </w:tabs>
        <w:rPr>
          <w:rFonts w:ascii="宋体" w:hAnsi="宋体" w:cs="宋体"/>
          <w:color w:val="auto"/>
          <w:sz w:val="24"/>
          <w:highlight w:val="none"/>
        </w:rPr>
      </w:pPr>
      <w:r>
        <w:rPr>
          <w:rFonts w:hint="eastAsia" w:ascii="宋体" w:hAnsi="宋体" w:cs="宋体"/>
          <w:color w:val="auto"/>
          <w:sz w:val="24"/>
          <w:highlight w:val="none"/>
        </w:rPr>
        <w:t xml:space="preserve">资格审查合格的投标人不足3家的，不进行评标。</w:t>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二、资格审查要求</w:t>
      </w:r>
      <w:r/>
    </w:p>
    <w:tbl>
      <w:tblPr>
        <w:tblStyle w:val="150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color w:val="auto"/>
                <w:sz w:val="24"/>
                <w:highlight w:val="none"/>
              </w:rPr>
            </w:pPr>
            <w:r/>
            <w:bookmarkStart w:id="725" w:name="_Hlt487972895"/>
            <w:r/>
            <w:bookmarkEnd w:id="725"/>
            <w:r>
              <w:rPr>
                <w:b/>
                <w:color w:val="auto"/>
                <w:sz w:val="24"/>
                <w:highlight w:val="none"/>
              </w:rPr>
              <w:t xml:space="preserve">序号</w:t>
            </w:r>
            <w:r/>
          </w:p>
        </w:tc>
        <w:tc>
          <w:tcPr>
            <w:tcW w:w="198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82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638"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8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无须投标人提供，由采购人查询。</w:t>
            </w:r>
            <w:r/>
          </w:p>
        </w:tc>
      </w:tr>
      <w:tr>
        <w:trPr>
          <w:cantSplit/>
          <w:trHeight w:val="468"/>
        </w:trPr>
        <w:tc>
          <w:tcPr>
            <w:shd w:val="clear" w:color="auto" w:fill="auto"/>
            <w:tcW w:w="846"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bookmarkStart w:id="726" w:name="_Toc353825550"/>
            <w:r/>
            <w:bookmarkStart w:id="727" w:name="_Toc127151779"/>
            <w:r/>
            <w:bookmarkStart w:id="728" w:name="_Toc127161490"/>
            <w:r/>
            <w:bookmarkStart w:id="729" w:name="_Toc353873940"/>
            <w:r/>
            <w:bookmarkStart w:id="730" w:name="_Toc226965858"/>
            <w:r>
              <w:rPr>
                <w:rFonts w:hint="eastAsia" w:ascii="宋体" w:hAnsi="宋体" w:cs="宋体"/>
                <w:color w:val="auto"/>
                <w:sz w:val="24"/>
                <w:highlight w:val="none"/>
              </w:rPr>
              <w:t xml:space="preserve">2</w:t>
            </w:r>
            <w:r/>
          </w:p>
        </w:tc>
        <w:tc>
          <w:tcPr>
            <w:shd w:val="clear" w:color="auto" w:fill="auto"/>
            <w:tcW w:w="198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落实政府采购政策需满足的资格要求</w:t>
            </w:r>
            <w:r/>
          </w:p>
        </w:tc>
        <w:tc>
          <w:tcPr>
            <w:shd w:val="clear" w:color="auto" w:fill="auto"/>
            <w:tcW w:w="482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具体要求见第一章《</w:t>
            </w:r>
            <w:r>
              <w:rPr>
                <w:color w:val="auto"/>
                <w:sz w:val="24"/>
                <w:highlight w:val="none"/>
              </w:rPr>
              <w:t xml:space="preserve">投标邀请</w:t>
            </w:r>
            <w:r>
              <w:rPr>
                <w:rFonts w:hint="eastAsia" w:ascii="宋体" w:hAnsi="宋体" w:cs="宋体"/>
                <w:color w:val="auto"/>
                <w:sz w:val="24"/>
                <w:highlight w:val="none"/>
              </w:rPr>
              <w:t xml:space="preserve">》</w:t>
            </w:r>
            <w:r/>
          </w:p>
        </w:tc>
        <w:tc>
          <w:tcPr>
            <w:shd w:val="clear" w:color="auto" w:fill="auto"/>
            <w:tcW w:w="1638"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tc>
      </w:tr>
      <w:tr>
        <w:trPr>
          <w:cantSplit/>
          <w:trHeight w:val="468"/>
        </w:trPr>
        <w:tc>
          <w:tcPr>
            <w:shd w:val="clear" w:color="auto" w:fill="auto"/>
            <w:tcW w:w="846"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2-1</w:t>
            </w:r>
            <w:r/>
          </w:p>
        </w:tc>
        <w:tc>
          <w:tcPr>
            <w:shd w:val="clear" w:color="auto" w:fill="auto"/>
            <w:tcW w:w="1982" w:type="dxa"/>
            <w:vAlign w:val="center"/>
            <w:textDirection w:val="lrTb"/>
            <w:noWrap w:val="false"/>
          </w:tcPr>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中小企业声明函</w:t>
            </w:r>
            <w:r/>
          </w:p>
        </w:tc>
        <w:tc>
          <w:tcPr>
            <w:shd w:val="clear" w:color="auto" w:fill="auto"/>
            <w:tcW w:w="4822"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投标人单独投标的，应提供中小企业声明函；如为监狱企业或残疾人福利性单位，不必提供中小企业声明函，但须按注1或注2要求提供证明材料。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Times New Roman" w:hAnsi="Times New Roman" w:eastAsia="宋体" w:cs="Times New Roman"/>
                <w:color w:val="auto"/>
                <w:sz w:val="24"/>
                <w:szCs w:val="24"/>
                <w:highlight w:val="none"/>
                <w:lang w:val="en-US" w:eastAsia="zh-CN" w:bidi="ar-SA"/>
              </w:rPr>
            </w:pPr>
            <w:r>
              <w:rPr>
                <w:rFonts w:hint="eastAsia" w:ascii="宋体" w:hAnsi="宋体" w:cs="宋体"/>
                <w:bCs/>
                <w:color w:val="auto"/>
                <w:sz w:val="24"/>
                <w:highlight w:val="none"/>
              </w:rPr>
              <w:t xml:space="preserve">注2：残疾人福利性单位须按招标文件要求提供《残疾人福利性单位声明函》。</w:t>
            </w:r>
            <w:r/>
          </w:p>
        </w:tc>
        <w:tc>
          <w:tcPr>
            <w:shd w:val="clear" w:color="auto" w:fill="auto"/>
            <w:tcW w:w="1638"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 xml:space="preserve">格式见《投标文件格式》</w:t>
            </w:r>
            <w:r/>
          </w:p>
        </w:tc>
      </w:tr>
      <w:tr>
        <w:trPr>
          <w:cantSplit/>
          <w:trHeight w:val="468"/>
        </w:trPr>
        <w:tc>
          <w:tcPr>
            <w:shd w:val="clear" w:color="auto" w:fill="auto"/>
            <w:tcW w:w="846"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highlight w:val="none"/>
                <w:lang w:val="en-US" w:eastAsia="zh-CN"/>
              </w:rPr>
              <w:t xml:space="preserve">3</w:t>
            </w:r>
            <w:r/>
          </w:p>
        </w:tc>
        <w:tc>
          <w:tcPr>
            <w:shd w:val="clear" w:color="auto" w:fill="auto"/>
            <w:tcW w:w="1982"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highlight w:val="none"/>
              </w:rPr>
              <w:t xml:space="preserve">本项目的特定资格要求</w:t>
            </w:r>
            <w:r/>
          </w:p>
        </w:tc>
        <w:tc>
          <w:tcPr>
            <w:shd w:val="clear" w:color="auto" w:fill="auto"/>
            <w:tcW w:w="4822" w:type="dxa"/>
            <w:vAlign w:val="center"/>
            <w:textDirection w:val="lrTb"/>
            <w:noWrap w:val="false"/>
          </w:tcPr>
          <w:p>
            <w:pPr>
              <w:tabs>
                <w:tab w:val="left" w:pos="1080" w:leader="none"/>
              </w:tabs>
              <w:rPr>
                <w:rFonts w:hint="eastAsia" w:ascii="宋体" w:hAnsi="宋体" w:eastAsia="宋体" w:cs="宋体"/>
                <w:bCs/>
                <w:color w:val="auto"/>
                <w:sz w:val="24"/>
                <w:szCs w:val="24"/>
                <w:highlight w:val="none"/>
                <w:lang w:val="en-US" w:eastAsia="zh-CN" w:bidi="ar-SA"/>
              </w:rPr>
              <w:outlineLvl w:val="9"/>
            </w:pPr>
            <w:r>
              <w:rPr>
                <w:color w:val="auto"/>
                <w:sz w:val="24"/>
                <w:highlight w:val="none"/>
              </w:rPr>
              <w:t xml:space="preserve">见第一章《投标邀请》</w:t>
            </w:r>
            <w:r/>
          </w:p>
        </w:tc>
        <w:tc>
          <w:tcPr>
            <w:shd w:val="clear" w:color="auto" w:fill="auto"/>
            <w:tcW w:w="1638"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cantSplit/>
          <w:trHeight w:val="468"/>
        </w:trPr>
        <w:tc>
          <w:tcPr>
            <w:shd w:val="clear" w:color="auto" w:fill="auto"/>
            <w:tcW w:w="846"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outlineLvl w:val="9"/>
            </w:pPr>
            <w:r>
              <w:rPr>
                <w:rFonts w:hint="eastAsia"/>
                <w:color w:val="auto"/>
                <w:sz w:val="24"/>
                <w:highlight w:val="none"/>
                <w:lang w:val="en-US" w:eastAsia="zh-CN"/>
              </w:rPr>
              <w:t xml:space="preserve">3-1</w:t>
            </w:r>
            <w:r/>
          </w:p>
        </w:tc>
        <w:tc>
          <w:tcPr>
            <w:shd w:val="clear" w:color="auto" w:fill="auto"/>
            <w:tcW w:w="1982"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outlineLvl w:val="9"/>
            </w:pPr>
            <w:r>
              <w:rPr>
                <w:rFonts w:hint="default"/>
                <w:color w:val="auto"/>
                <w:sz w:val="24"/>
                <w:highlight w:val="none"/>
                <w:lang w:val="en-US" w:eastAsia="zh-CN"/>
              </w:rPr>
              <w:t xml:space="preserve">其他特定资格要求</w:t>
            </w:r>
            <w:r/>
          </w:p>
        </w:tc>
        <w:tc>
          <w:tcPr>
            <w:shd w:val="clear" w:color="auto" w:fill="auto"/>
            <w:tcW w:w="4822"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outlineLvl w:val="9"/>
            </w:pPr>
            <w:r>
              <w:rPr>
                <w:rFonts w:hint="default"/>
                <w:color w:val="auto"/>
                <w:sz w:val="24"/>
                <w:highlight w:val="none"/>
                <w:lang w:val="en-US" w:eastAsia="zh-CN"/>
              </w:rPr>
              <w:t xml:space="preserve">见第一章《投标邀请》</w:t>
            </w:r>
            <w:r/>
          </w:p>
        </w:tc>
        <w:tc>
          <w:tcPr>
            <w:shd w:val="clear" w:color="auto" w:fill="auto"/>
            <w:tcW w:w="1638" w:type="dxa"/>
            <w:vAlign w:val="center"/>
            <w:textDirection w:val="lrTb"/>
            <w:noWrap w:val="false"/>
          </w:tcPr>
          <w:p>
            <w:pPr>
              <w:tabs>
                <w:tab w:val="left" w:pos="1080" w:leader="none"/>
              </w:tabs>
              <w:rPr>
                <w:rFonts w:hint="eastAsia" w:ascii="Times New Roman" w:hAnsi="Times New Roman" w:eastAsia="宋体" w:cs="Times New Roman"/>
                <w:color w:val="auto"/>
                <w:sz w:val="24"/>
                <w:szCs w:val="24"/>
                <w:highlight w:val="none"/>
                <w:lang w:val="en-US" w:eastAsia="zh-CN" w:bidi="ar-SA"/>
              </w:rPr>
              <w:outlineLvl w:val="9"/>
            </w:pPr>
            <w:r>
              <w:rPr>
                <w:rFonts w:hint="default"/>
                <w:color w:val="auto"/>
                <w:sz w:val="24"/>
                <w:highlight w:val="none"/>
                <w:lang w:val="en-US" w:eastAsia="zh-CN"/>
              </w:rPr>
              <w:t xml:space="preserve">提供</w:t>
            </w:r>
            <w:r>
              <w:rPr>
                <w:rFonts w:hint="eastAsia"/>
                <w:color w:val="auto"/>
                <w:sz w:val="24"/>
                <w:highlight w:val="none"/>
                <w:lang w:val="en-US" w:eastAsia="zh-CN"/>
              </w:rPr>
              <w:t xml:space="preserve">证书</w:t>
            </w:r>
            <w:r>
              <w:rPr>
                <w:rFonts w:hint="eastAsia"/>
                <w:color w:val="ff0000"/>
                <w:sz w:val="24"/>
                <w:highlight w:val="none"/>
                <w:lang w:val="en-US" w:eastAsia="zh-CN"/>
              </w:rPr>
              <w:t xml:space="preserve">或协议</w:t>
            </w:r>
            <w:r>
              <w:rPr>
                <w:rFonts w:hint="default"/>
                <w:color w:val="auto"/>
                <w:sz w:val="24"/>
                <w:highlight w:val="none"/>
                <w:lang w:val="en-US" w:eastAsia="zh-CN"/>
              </w:rPr>
              <w:t xml:space="preserve">的电子件或电子证照</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23"/>
            <w:r/>
            <w:r/>
          </w:p>
        </w:tc>
      </w:tr>
    </w:tbl>
    <w:p>
      <w:pPr>
        <w:jc w:val="center"/>
        <w:widowControl/>
        <w:rPr>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sz w:val="24"/>
          <w:highlight w:val="none"/>
        </w:rPr>
      </w:r>
      <w:r/>
    </w:p>
    <w:p>
      <w:pPr>
        <w:jc w:val="center"/>
        <w:widowControl/>
        <w:rPr>
          <w:b/>
          <w:color w:val="auto"/>
          <w:sz w:val="36"/>
          <w:szCs w:val="36"/>
          <w:highlight w:val="none"/>
        </w:rPr>
        <w:outlineLvl w:val="0"/>
      </w:pPr>
      <w:r/>
      <w:bookmarkStart w:id="731" w:name="_Toc8940"/>
      <w:r/>
      <w:bookmarkStart w:id="732" w:name="_Toc99301423"/>
      <w:r>
        <w:rPr>
          <w:b/>
          <w:color w:val="auto"/>
          <w:sz w:val="36"/>
          <w:szCs w:val="36"/>
          <w:highlight w:val="none"/>
        </w:rPr>
        <w:t xml:space="preserve">第四章   </w:t>
      </w:r>
      <w:bookmarkEnd w:id="726"/>
      <w:r/>
      <w:bookmarkEnd w:id="727"/>
      <w:r/>
      <w:bookmarkEnd w:id="728"/>
      <w:r/>
      <w:bookmarkEnd w:id="729"/>
      <w:r/>
      <w:bookmarkEnd w:id="730"/>
      <w:r/>
      <w:bookmarkStart w:id="733" w:name="_Hlt164229061"/>
      <w:r/>
      <w:bookmarkEnd w:id="733"/>
      <w:r>
        <w:rPr>
          <w:b/>
          <w:color w:val="auto"/>
          <w:sz w:val="36"/>
          <w:szCs w:val="36"/>
          <w:highlight w:val="none"/>
        </w:rPr>
        <w:t xml:space="preserve">评标程序、评标方法和评标标准</w:t>
      </w:r>
      <w:bookmarkEnd w:id="731"/>
      <w:r/>
      <w:bookmarkEnd w:id="732"/>
      <w:r/>
      <w:r/>
    </w:p>
    <w:p>
      <w:pPr>
        <w:jc w:val="center"/>
        <w:spacing w:line="360" w:lineRule="auto"/>
        <w:tabs>
          <w:tab w:val="left" w:pos="360" w:leader="none"/>
          <w:tab w:val="left" w:pos="900" w:leader="none"/>
        </w:tabs>
        <w:rPr>
          <w:b/>
          <w:color w:val="auto"/>
          <w:highlight w:val="none"/>
        </w:rPr>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pPr>
      <w:r/>
      <w:bookmarkStart w:id="734" w:name="_Toc164229236"/>
      <w:r/>
      <w:bookmarkStart w:id="735" w:name="_Toc127151742"/>
      <w:r/>
      <w:bookmarkStart w:id="736" w:name="_Toc164608810"/>
      <w:r/>
      <w:bookmarkStart w:id="737" w:name="_Toc150774641"/>
      <w:r/>
      <w:bookmarkStart w:id="738" w:name="_Toc305158809"/>
      <w:r/>
      <w:bookmarkStart w:id="739" w:name="_Toc226337237"/>
      <w:r/>
      <w:bookmarkStart w:id="740" w:name="_Toc142311043"/>
      <w:r/>
      <w:bookmarkStart w:id="741" w:name="_Toc305158883"/>
      <w:r/>
      <w:bookmarkStart w:id="742" w:name="_Toc151190168"/>
      <w:r/>
      <w:bookmarkStart w:id="743" w:name="_Toc226965731"/>
      <w:r/>
      <w:bookmarkStart w:id="744" w:name="_Toc226309785"/>
      <w:r/>
      <w:bookmarkStart w:id="745" w:name="_Toc150509292"/>
      <w:r/>
      <w:bookmarkStart w:id="746" w:name="_Toc164608655"/>
      <w:r/>
      <w:bookmarkStart w:id="747" w:name="_Toc151193639"/>
      <w:r/>
      <w:bookmarkStart w:id="748" w:name="_Toc226965814"/>
      <w:r/>
      <w:bookmarkStart w:id="749" w:name="_Toc164351635"/>
      <w:r/>
      <w:bookmarkStart w:id="750" w:name="_Toc195842906"/>
      <w:r/>
      <w:bookmarkStart w:id="751" w:name="_Toc127151541"/>
      <w:r/>
      <w:bookmarkStart w:id="752" w:name="_Toc150774746"/>
      <w:r/>
      <w:bookmarkStart w:id="753" w:name="_Toc164229382"/>
      <w:r/>
      <w:bookmarkStart w:id="754" w:name="_Toc151193855"/>
      <w:r/>
      <w:bookmarkStart w:id="755" w:name="_Toc151193711"/>
      <w:r/>
      <w:bookmarkStart w:id="756" w:name="_Toc265228379"/>
      <w:r/>
      <w:bookmarkStart w:id="757" w:name="_Toc151193783"/>
      <w:r/>
      <w:bookmarkStart w:id="758" w:name="_Toc150480779"/>
      <w:r/>
      <w:bookmarkStart w:id="759" w:name="_Toc264969231"/>
      <w:r/>
      <w:bookmarkStart w:id="760" w:name="_Toc149720834"/>
      <w:r/>
      <w:bookmarkStart w:id="761" w:name="_Toc127161455"/>
      <w:r/>
      <w:bookmarkStart w:id="762" w:name="_Toc151193929"/>
      <w:r/>
      <w:bookmarkStart w:id="763" w:name="_Toc353873941"/>
      <w:r/>
      <w:bookmarkStart w:id="764" w:name="_Toc353825551"/>
      <w:r/>
      <w:bookmarkStart w:id="765" w:name="_Toc265228393"/>
      <w:r/>
      <w:bookmarkStart w:id="766" w:name="_Toc305158823"/>
      <w:r/>
      <w:bookmarkStart w:id="767" w:name="_Toc305158897"/>
      <w:r/>
      <w:bookmarkStart w:id="768" w:name="_Toc353873935"/>
      <w:r/>
      <w:bookmarkStart w:id="769" w:name="_Toc150480793"/>
      <w:r/>
      <w:bookmarkStart w:id="770" w:name="_Toc264969245"/>
      <w:r/>
      <w:bookmarkStart w:id="771" w:name="_Toc127151555"/>
      <w:r/>
      <w:bookmarkStart w:id="772" w:name="_Toc195842920"/>
      <w:r/>
      <w:bookmarkStart w:id="773" w:name="_Toc353825545"/>
      <w:r/>
      <w:bookmarkStart w:id="774" w:name="_Toc353873665"/>
      <w:r/>
      <w:bookmarkStart w:id="775" w:name="_Toc150774760"/>
      <w:r/>
      <w:bookmarkStart w:id="776" w:name="_Toc142311057"/>
      <w:r/>
      <w:bookmarkStart w:id="777" w:name="_Toc226337251"/>
      <w:r/>
      <w:bookmarkStart w:id="778" w:name="_Toc226965828"/>
      <w:r>
        <w:rPr>
          <w:color w:val="auto"/>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79"/>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150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72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w:t>
            </w:r>
            <w:r>
              <w:rPr>
                <w:rFonts w:hint="eastAsia"/>
                <w:color w:val="auto"/>
                <w:sz w:val="24"/>
                <w:highlight w:val="none"/>
              </w:rPr>
              <w:t xml:space="preserve">法定代表人资格证明书和政府采购供应商信用承诺书</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w:t>
            </w:r>
            <w:r>
              <w:rPr>
                <w:rFonts w:hint="eastAsia"/>
                <w:color w:val="auto"/>
                <w:sz w:val="24"/>
                <w:highlight w:val="none"/>
                <w:lang w:val="en-US" w:eastAsia="zh-CN"/>
              </w:rPr>
              <w:t xml:space="preserve">项目</w:t>
            </w:r>
            <w:r>
              <w:rPr>
                <w:color w:val="auto"/>
                <w:sz w:val="24"/>
                <w:highlight w:val="none"/>
              </w:rPr>
              <w:t xml:space="preserve">中的内容拆开投标；</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超过招标文件中规定的项目预算金额或者项目最高限价</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shd w:val="clear" w:color="auto" w:fill="auto"/>
            <w:tcW w:w="750" w:type="dxa"/>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8</w:t>
            </w:r>
            <w:r/>
          </w:p>
        </w:tc>
        <w:tc>
          <w:tcPr>
            <w:shd w:val="clear" w:color="auto" w:fill="auto"/>
            <w:tcW w:w="1813"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报价的修正</w:t>
            </w:r>
            <w:r>
              <w:rPr>
                <w:rFonts w:hint="eastAsia"/>
                <w:color w:val="auto"/>
                <w:sz w:val="24"/>
                <w:highlight w:val="none"/>
                <w:lang w:val="en-US" w:eastAsia="zh-CN"/>
              </w:rPr>
              <w:t xml:space="preserve"> </w:t>
            </w:r>
            <w:r/>
          </w:p>
        </w:tc>
        <w:tc>
          <w:tcPr>
            <w:shd w:val="clear" w:color="auto" w:fill="auto"/>
            <w:tcW w:w="6725"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w:t>
            </w:r>
            <w:r/>
          </w:p>
        </w:tc>
      </w:tr>
      <w:tr>
        <w:trPr>
          <w:jc w:val="center"/>
          <w:trHeight w:val="685"/>
        </w:trPr>
        <w:tc>
          <w:tcPr>
            <w:shd w:val="clear" w:color="auto" w:fill="auto"/>
            <w:tcW w:w="750" w:type="dxa"/>
            <w:vAlign w:val="center"/>
            <w:textDirection w:val="lrTb"/>
            <w:noWrap w:val="false"/>
          </w:tcPr>
          <w:p>
            <w:pPr>
              <w:jc w:val="center"/>
              <w:widowControl/>
              <w:rPr>
                <w:rFonts w:hint="default"/>
                <w:color w:val="auto"/>
                <w:sz w:val="24"/>
                <w:highlight w:val="none"/>
                <w:lang w:val="en-US" w:eastAsia="zh-CN"/>
              </w:rPr>
            </w:pPr>
            <w:r>
              <w:rPr>
                <w:rFonts w:hint="eastAsia"/>
                <w:color w:val="auto"/>
                <w:sz w:val="24"/>
                <w:highlight w:val="none"/>
                <w:lang w:val="en-US" w:eastAsia="zh-CN"/>
              </w:rPr>
              <w:t xml:space="preserve">9</w:t>
            </w:r>
            <w:r/>
          </w:p>
        </w:tc>
        <w:tc>
          <w:tcPr>
            <w:shd w:val="clear" w:color="auto" w:fill="auto"/>
            <w:tcW w:w="1813" w:type="dxa"/>
            <w:vAlign w:val="center"/>
            <w:textDirection w:val="lrTb"/>
            <w:noWrap w:val="false"/>
          </w:tcPr>
          <w:p>
            <w:pPr>
              <w:jc w:val="left"/>
              <w:widowControl/>
              <w:rPr>
                <w:color w:val="auto"/>
                <w:sz w:val="24"/>
                <w:highlight w:val="none"/>
              </w:rPr>
            </w:pPr>
            <w:r>
              <w:rPr>
                <w:rFonts w:ascii="Segoe UI Symbol" w:hAnsi="Segoe UI Symbol" w:cs="Segoe UI Symbol"/>
                <w:color w:val="000000"/>
                <w:sz w:val="24"/>
              </w:rPr>
              <w:t xml:space="preserve">★</w:t>
            </w:r>
            <w:r>
              <w:rPr>
                <w:color w:val="000000"/>
                <w:sz w:val="24"/>
              </w:rPr>
              <w:t xml:space="preserve">号条款响应</w:t>
            </w:r>
            <w:r/>
          </w:p>
        </w:tc>
        <w:tc>
          <w:tcPr>
            <w:shd w:val="clear" w:color="auto" w:fill="auto"/>
            <w:tcW w:w="6725" w:type="dxa"/>
            <w:vAlign w:val="center"/>
            <w:textDirection w:val="lrTb"/>
            <w:noWrap w:val="false"/>
          </w:tcPr>
          <w:p>
            <w:pPr>
              <w:jc w:val="left"/>
              <w:widowControl/>
              <w:rPr>
                <w:color w:val="auto"/>
                <w:sz w:val="24"/>
                <w:highlight w:val="none"/>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shd w:val="clear" w:color="auto" w:fill="auto"/>
            <w:tcW w:w="750" w:type="dxa"/>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10</w:t>
            </w:r>
            <w:r/>
          </w:p>
        </w:tc>
        <w:tc>
          <w:tcPr>
            <w:shd w:val="clear" w:color="auto" w:fill="auto"/>
            <w:tcW w:w="1813"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报价合理性</w:t>
            </w:r>
            <w:r/>
          </w:p>
        </w:tc>
        <w:tc>
          <w:tcPr>
            <w:shd w:val="clear" w:color="auto" w:fill="auto"/>
            <w:tcW w:w="6725"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报价合理，或</w:t>
            </w:r>
            <w:r>
              <w:rPr>
                <w:rFonts w:hint="eastAsia"/>
                <w:color w:val="auto"/>
                <w:sz w:val="24"/>
                <w:highlight w:val="none"/>
              </w:rPr>
              <w:t xml:space="preserve">投标人的报价明显低于其他通过符合性审查投标人的报价，</w:t>
            </w:r>
            <w:r>
              <w:rPr>
                <w:color w:val="auto"/>
                <w:sz w:val="24"/>
                <w:highlight w:val="none"/>
              </w:rPr>
              <w:t xml:space="preserve">有可能影响</w:t>
            </w:r>
            <w:r>
              <w:rPr>
                <w:rFonts w:hint="eastAsia"/>
                <w:color w:val="auto"/>
                <w:sz w:val="24"/>
                <w:highlight w:val="none"/>
              </w:rPr>
              <w:t xml:space="preserve">服务</w:t>
            </w:r>
            <w:r>
              <w:rPr>
                <w:color w:val="auto"/>
                <w:sz w:val="24"/>
                <w:highlight w:val="none"/>
              </w:rPr>
              <w:t xml:space="preserve">质量或者不能诚信履约的</w:t>
            </w:r>
            <w:r>
              <w:rPr>
                <w:rFonts w:hint="eastAsia"/>
                <w:color w:val="auto"/>
                <w:sz w:val="24"/>
                <w:highlight w:val="none"/>
              </w:rPr>
              <w:t xml:space="preserve">，能够应评标委员会要求在规定时间内证明其报价合理性的</w:t>
            </w:r>
            <w:r>
              <w:rPr>
                <w:color w:val="auto"/>
                <w:sz w:val="24"/>
                <w:highlight w:val="none"/>
              </w:rPr>
              <w:t xml:space="preserve">；</w:t>
            </w:r>
            <w:r/>
          </w:p>
        </w:tc>
      </w:tr>
      <w:tr>
        <w:trPr>
          <w:jc w:val="center"/>
          <w:trHeight w:val="685"/>
        </w:trPr>
        <w:tc>
          <w:tcPr>
            <w:shd w:val="clear" w:color="auto" w:fill="auto"/>
            <w:tcW w:w="750" w:type="dxa"/>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11</w:t>
            </w:r>
            <w:r/>
          </w:p>
        </w:tc>
        <w:tc>
          <w:tcPr>
            <w:shd w:val="clear" w:color="auto" w:fill="auto"/>
            <w:tcW w:w="1813" w:type="dxa"/>
            <w:vAlign w:val="center"/>
            <w:textDirection w:val="lrTb"/>
            <w:noWrap w:val="false"/>
          </w:tcPr>
          <w:p>
            <w:pPr>
              <w:jc w:val="left"/>
              <w:widowControl/>
              <w:rPr>
                <w:rFonts w:hint="default" w:ascii="Times New Roman" w:hAnsi="Times New Roman" w:eastAsia="宋体" w:cs="Times New Roman"/>
                <w:color w:val="auto"/>
                <w:sz w:val="24"/>
                <w:szCs w:val="24"/>
                <w:highlight w:val="none"/>
                <w:lang w:val="en-US" w:eastAsia="zh-CN" w:bidi="ar-SA"/>
              </w:rPr>
            </w:pPr>
            <w:r>
              <w:rPr>
                <w:color w:val="auto"/>
                <w:sz w:val="24"/>
                <w:highlight w:val="none"/>
              </w:rPr>
              <w:t xml:space="preserve">公平竞争</w:t>
            </w:r>
            <w:r/>
          </w:p>
        </w:tc>
        <w:tc>
          <w:tcPr>
            <w:shd w:val="clear" w:color="auto" w:fill="auto"/>
            <w:tcW w:w="6725"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750" w:type="dxa"/>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12</w:t>
            </w:r>
            <w:r/>
          </w:p>
        </w:tc>
        <w:tc>
          <w:tcPr>
            <w:shd w:val="clear" w:color="auto" w:fill="auto"/>
            <w:tcW w:w="1813"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串通投标</w:t>
            </w:r>
            <w:r/>
          </w:p>
        </w:tc>
        <w:tc>
          <w:tcPr>
            <w:shd w:val="clear" w:color="auto" w:fill="auto"/>
            <w:tcW w:w="6725"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w:t>
            </w:r>
            <w:r/>
          </w:p>
        </w:tc>
      </w:tr>
      <w:tr>
        <w:trPr>
          <w:jc w:val="center"/>
          <w:trHeight w:val="685"/>
        </w:trPr>
        <w:tc>
          <w:tcPr>
            <w:shd w:val="clear" w:color="auto" w:fill="auto"/>
            <w:tcW w:w="75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13</w:t>
            </w:r>
            <w:r/>
          </w:p>
        </w:tc>
        <w:tc>
          <w:tcPr>
            <w:shd w:val="clear" w:color="auto" w:fill="auto"/>
            <w:tcW w:w="1813"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附加条件</w:t>
            </w:r>
            <w:r/>
          </w:p>
        </w:tc>
        <w:tc>
          <w:tcPr>
            <w:shd w:val="clear" w:color="auto" w:fill="auto"/>
            <w:tcW w:w="6725"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shd w:val="clear" w:color="auto" w:fill="auto"/>
            <w:tcW w:w="75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14</w:t>
            </w:r>
            <w:r/>
          </w:p>
        </w:tc>
        <w:tc>
          <w:tcPr>
            <w:shd w:val="clear" w:color="auto" w:fill="auto"/>
            <w:tcW w:w="1813"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其他无效情形</w:t>
            </w:r>
            <w:r/>
          </w:p>
        </w:tc>
        <w:tc>
          <w:tcPr>
            <w:shd w:val="clear" w:color="auto" w:fill="auto"/>
            <w:tcW w:w="6725" w:type="dxa"/>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bl>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w:t>
      </w:r>
      <w:r>
        <w:rPr>
          <w:rFonts w:hint="eastAsia" w:ascii="宋体" w:hAnsi="宋体" w:cs="宋体"/>
          <w:color w:val="auto"/>
          <w:sz w:val="24"/>
          <w:highlight w:val="none"/>
          <w:lang w:val="en-US" w:eastAsia="zh-CN"/>
        </w:rPr>
        <w:t xml:space="preserve">和服务</w:t>
      </w:r>
      <w:r>
        <w:rPr>
          <w:rFonts w:hint="eastAsia" w:ascii="宋体" w:hAnsi="宋体" w:cs="宋体"/>
          <w:color w:val="auto"/>
          <w:sz w:val="24"/>
          <w:highlight w:val="none"/>
        </w:rPr>
        <w:t xml:space="preserve">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实施政府采购异常低价审查的有关要求：具体按照</w:t>
      </w:r>
      <w:r>
        <w:rPr>
          <w:rFonts w:hint="eastAsia" w:ascii="宋体" w:hAnsi="宋体" w:cs="宋体"/>
          <w:color w:val="auto"/>
          <w:sz w:val="24"/>
          <w:highlight w:val="none"/>
          <w:lang w:eastAsia="zh-CN"/>
        </w:rPr>
        <w:t xml:space="preserve">财库〔2026〕2号</w:t>
      </w:r>
      <w:r>
        <w:rPr>
          <w:rFonts w:hint="eastAsia" w:ascii="宋体" w:hAnsi="宋体" w:eastAsia="宋体" w:cs="宋体"/>
          <w:color w:val="auto"/>
          <w:sz w:val="24"/>
          <w:highlight w:val="none"/>
        </w:rPr>
        <w:t xml:space="preserve">《关于推动解决政府采购异常低价问题的通知》要求</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（一）政府采购评审中出现下列情形之一的，评审委员会应当启动异常低价投标（响应）审查程序：</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相关法律法规对供应商报价有规定的，从其规定。</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中的内容拆开投标，其</w:t>
      </w:r>
      <w:r>
        <w:rPr>
          <w:rFonts w:hint="eastAsia" w:ascii="宋体" w:hAnsi="宋体" w:eastAsia="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cs="宋体"/>
          <w:color w:val="auto"/>
          <w:sz w:val="24"/>
          <w:highlight w:val="none"/>
        </w:rPr>
        <w:t xml:space="preserve">落实政府采购政策的价格调整：</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780" w:name="_Toc151193934"/>
      <w:r/>
      <w:bookmarkStart w:id="781" w:name="_Toc264969236"/>
      <w:r/>
      <w:bookmarkStart w:id="782" w:name="_Toc265228384"/>
      <w:r/>
      <w:bookmarkStart w:id="783" w:name="_Toc226337242"/>
      <w:r/>
      <w:bookmarkStart w:id="784" w:name="_Toc226965736"/>
      <w:r/>
      <w:bookmarkStart w:id="785" w:name="_Toc151190173"/>
      <w:r/>
      <w:bookmarkStart w:id="786" w:name="_Toc226965819"/>
      <w:r/>
      <w:bookmarkStart w:id="787" w:name="_Toc151193788"/>
      <w:r/>
      <w:bookmarkStart w:id="788" w:name="_Toc151193860"/>
      <w:r/>
      <w:bookmarkStart w:id="789" w:name="_Toc226309790"/>
      <w:r/>
      <w:bookmarkStart w:id="790" w:name="_Ref467307010"/>
      <w:r/>
      <w:bookmarkStart w:id="791" w:name="_Toc305158814"/>
      <w:r/>
      <w:bookmarkStart w:id="792" w:name="_Toc150509297"/>
      <w:r/>
      <w:bookmarkStart w:id="793" w:name="_Toc142311048"/>
      <w:r/>
      <w:bookmarkStart w:id="794" w:name="_Toc164351640"/>
      <w:r/>
      <w:bookmarkStart w:id="795" w:name="_Toc127161460"/>
      <w:r/>
      <w:bookmarkStart w:id="796" w:name="_Toc520356170"/>
      <w:r/>
      <w:bookmarkStart w:id="797" w:name="_Toc127151747"/>
      <w:r/>
      <w:bookmarkStart w:id="798" w:name="_Toc164229241"/>
      <w:r/>
      <w:bookmarkStart w:id="799" w:name="_Toc149720839"/>
      <w:r/>
      <w:bookmarkStart w:id="800" w:name="_Toc164229387"/>
      <w:r/>
      <w:bookmarkStart w:id="801" w:name="_Toc151193644"/>
      <w:r/>
      <w:bookmarkStart w:id="802" w:name="_Toc164608815"/>
      <w:r/>
      <w:bookmarkStart w:id="803" w:name="_Toc150774751"/>
      <w:r/>
      <w:bookmarkStart w:id="804" w:name="_Toc150774646"/>
      <w:r/>
      <w:bookmarkStart w:id="805" w:name="_Toc150480784"/>
      <w:r/>
      <w:bookmarkStart w:id="806" w:name="_Toc195842911"/>
      <w:r/>
      <w:bookmarkStart w:id="807" w:name="_Toc151193716"/>
      <w:r/>
      <w:bookmarkStart w:id="808" w:name="_Toc164608660"/>
      <w:r/>
      <w:bookmarkStart w:id="809" w:name="_Toc305158888"/>
      <w:r/>
      <w:bookmarkStart w:id="810" w:name="_Toc127151546"/>
      <w:r>
        <w:rPr>
          <w:rFonts w:hint="eastAsia" w:ascii="宋体" w:hAnsi="宋体" w:cs="宋体"/>
          <w:color w:val="auto"/>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评标委员会要对评分汇总情况进行复核，特别是对排名第一的、报价最低的、投标或投标文件被认定为无效的情形进行重点复核。</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eastAsia="宋体" w:cs="宋体"/>
          <w:color w:val="auto"/>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 xml:space="preserve">。</w:t>
      </w:r>
      <w:r/>
    </w:p>
    <w:p>
      <w:pPr>
        <w:numPr>
          <w:ilvl w:val="0"/>
          <w:numId w:val="12"/>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12"/>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3"/>
        </w:numPr>
        <w:jc w:val="center"/>
        <w:spacing w:line="360" w:lineRule="auto"/>
        <w:widowControl/>
        <w:rPr>
          <w:rFonts w:ascii="宋体" w:hAnsi="宋体"/>
          <w:b/>
          <w:bCs/>
          <w:color w:val="auto"/>
          <w:sz w:val="28"/>
          <w:szCs w:val="28"/>
          <w:highlight w:val="none"/>
        </w:rPr>
      </w:pPr>
      <w:r>
        <w:rPr>
          <w:rFonts w:hint="eastAsia" w:ascii="宋体" w:hAnsi="宋体" w:cs="宋体"/>
          <w:b/>
          <w:color w:val="auto"/>
          <w:sz w:val="24"/>
          <w:highlight w:val="none"/>
        </w:rPr>
        <w:br w:type="page" w:clear="all"/>
      </w:r>
      <w:r>
        <w:rPr>
          <w:rFonts w:hint="eastAsia" w:ascii="宋体" w:hAnsi="宋体"/>
          <w:b/>
          <w:bCs/>
          <w:color w:val="auto"/>
          <w:sz w:val="28"/>
          <w:szCs w:val="28"/>
          <w:highlight w:val="none"/>
        </w:rPr>
        <w:t xml:space="preserve">评标标准</w:t>
      </w:r>
      <w:r/>
    </w:p>
    <w:tbl>
      <w:tblPr>
        <w:tblStyle w:val="1756"/>
        <w:tblW w:w="5581" w:type="pct"/>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1"/>
        <w:gridCol w:w="689"/>
        <w:gridCol w:w="665"/>
        <w:gridCol w:w="7267"/>
      </w:tblGrid>
      <w:tr>
        <w:trPr>
          <w:trHeight w:val="283"/>
        </w:trPr>
        <w:tc>
          <w:tcPr>
            <w:tcW w:w="661" w:type="dxa"/>
            <w:vAlign w:val="center"/>
            <w:textDirection w:val="lrTb"/>
            <w:noWrap w:val="false"/>
          </w:tcPr>
          <w:p>
            <w:pPr>
              <w:jc w:val="cente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序号</w:t>
            </w:r>
            <w:r/>
          </w:p>
        </w:tc>
        <w:tc>
          <w:tcPr>
            <w:tcW w:w="688" w:type="dxa"/>
            <w:vAlign w:val="center"/>
            <w:textDirection w:val="lrTb"/>
            <w:noWrap w:val="false"/>
          </w:tcPr>
          <w:p>
            <w:pPr>
              <w:jc w:val="cente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评审因素</w:t>
            </w:r>
            <w:r/>
          </w:p>
        </w:tc>
        <w:tc>
          <w:tcPr>
            <w:tcW w:w="664" w:type="dxa"/>
            <w:vAlign w:val="center"/>
            <w:textDirection w:val="lrTb"/>
            <w:noWrap w:val="false"/>
          </w:tcPr>
          <w:p>
            <w:pPr>
              <w:jc w:val="cente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分值</w:t>
            </w:r>
            <w:r/>
          </w:p>
        </w:tc>
        <w:tc>
          <w:tcPr>
            <w:tcW w:w="7259" w:type="dxa"/>
            <w:vAlign w:val="center"/>
            <w:textDirection w:val="lrTb"/>
            <w:noWrap w:val="false"/>
          </w:tcPr>
          <w:p>
            <w:pPr>
              <w:jc w:val="cente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评分标准</w:t>
            </w:r>
            <w:r/>
          </w:p>
        </w:tc>
      </w:tr>
      <w:tr>
        <w:trPr>
          <w:trHeight w:val="283"/>
        </w:trPr>
        <w:tc>
          <w:tcPr>
            <w:gridSpan w:val="4"/>
            <w:tcW w:w="9272" w:type="dxa"/>
            <w:vAlign w:val="center"/>
            <w:textDirection w:val="lrTb"/>
            <w:noWrap w:val="false"/>
          </w:tcPr>
          <w:p>
            <w:pP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一、投标报价（</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lang w:eastAsia="en-US"/>
              </w:rPr>
              <w:t xml:space="preserve">分）</w:t>
            </w:r>
            <w:r/>
          </w:p>
        </w:tc>
      </w:tr>
      <w:tr>
        <w:trPr>
          <w:trHeight w:val="283"/>
        </w:trPr>
        <w:tc>
          <w:tcPr>
            <w:tcW w:w="661" w:type="dxa"/>
            <w:vAlign w:val="center"/>
            <w:textDirection w:val="lrTb"/>
            <w:noWrap w:val="false"/>
          </w:tcPr>
          <w:p>
            <w:pPr>
              <w:jc w:val="center"/>
              <w:spacing w:line="440" w:lineRule="exact"/>
              <w:widowControl/>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p>
        </w:tc>
        <w:tc>
          <w:tcPr>
            <w:tcW w:w="688" w:type="dxa"/>
            <w:vAlign w:val="center"/>
            <w:textDirection w:val="lrTb"/>
            <w:noWrap w:val="false"/>
          </w:tcPr>
          <w:p>
            <w:pPr>
              <w:jc w:val="center"/>
              <w:spacing w:line="440" w:lineRule="exact"/>
              <w:widowControl/>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价格</w:t>
            </w:r>
            <w:r/>
          </w:p>
        </w:tc>
        <w:tc>
          <w:tcPr>
            <w:tcW w:w="664" w:type="dxa"/>
            <w:vAlign w:val="center"/>
            <w:textDirection w:val="lrTb"/>
            <w:noWrap w:val="false"/>
          </w:tcPr>
          <w:p>
            <w:pPr>
              <w:jc w:val="center"/>
              <w:spacing w:line="440" w:lineRule="exact"/>
              <w:widowControl/>
              <w:tabs>
                <w:tab w:val="left" w:pos="12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W w:w="7259" w:type="dxa"/>
            <w:vAlign w:val="center"/>
            <w:textDirection w:val="lrTb"/>
            <w:noWrap w:val="false"/>
          </w:tcPr>
          <w:p>
            <w:pPr>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满足招标文件要求且报价最低的报价为评标基准价，其价格分为满分。其他投标人的价格分统一按照下列公式计算：价格分得分＝（评标基准价/报价）×分值。</w:t>
            </w:r>
            <w:r/>
          </w:p>
          <w:p>
            <w:pPr>
              <w:spacing w:line="440" w:lineRule="exact"/>
              <w:rPr>
                <w:rFonts w:hint="eastAsia" w:ascii="宋体" w:hAnsi="宋体" w:cs="宋体"/>
                <w:color w:val="auto"/>
                <w:sz w:val="24"/>
                <w:highlight w:val="none"/>
                <w:lang w:eastAsia="zh-CN"/>
              </w:rPr>
            </w:pPr>
            <w:r>
              <w:rPr>
                <w:rFonts w:hint="eastAsia" w:ascii="宋体" w:hAnsi="宋体" w:eastAsia="宋体" w:cs="宋体"/>
                <w:b/>
                <w:bCs/>
                <w:color w:val="auto"/>
                <w:sz w:val="24"/>
                <w:szCs w:val="24"/>
                <w:highlight w:val="none"/>
                <w:lang w:val="en-US" w:eastAsia="zh-CN"/>
              </w:rPr>
              <w:t xml:space="preserve">注：此处投标报价指经过报价修正后的报价。</w:t>
            </w:r>
            <w:r/>
          </w:p>
        </w:tc>
      </w:tr>
      <w:tr>
        <w:trPr>
          <w:trHeight w:val="283"/>
        </w:trPr>
        <w:tc>
          <w:tcPr>
            <w:gridSpan w:val="4"/>
            <w:tcW w:w="9272" w:type="dxa"/>
            <w:vAlign w:val="center"/>
            <w:textDirection w:val="lrTb"/>
            <w:noWrap w:val="false"/>
          </w:tcPr>
          <w:p>
            <w:pP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二、主观分（</w:t>
            </w:r>
            <w:r>
              <w:rPr>
                <w:rFonts w:hint="eastAsia" w:ascii="宋体" w:hAnsi="宋体" w:cs="宋体"/>
                <w:b/>
                <w:color w:val="auto"/>
                <w:sz w:val="24"/>
                <w:highlight w:val="none"/>
                <w:lang w:val="en-US" w:eastAsia="zh-CN"/>
              </w:rPr>
              <w:t xml:space="preserve">54</w:t>
            </w:r>
            <w:r>
              <w:rPr>
                <w:rFonts w:hint="eastAsia" w:ascii="宋体" w:hAnsi="宋体" w:cs="宋体"/>
                <w:b/>
                <w:color w:val="auto"/>
                <w:sz w:val="24"/>
                <w:highlight w:val="none"/>
                <w:lang w:eastAsia="en-US"/>
              </w:rPr>
              <w:t xml:space="preserve">分）</w:t>
            </w:r>
            <w:r/>
          </w:p>
        </w:tc>
      </w:tr>
      <w:tr>
        <w:trPr>
          <w:trHeight w:val="283"/>
        </w:trPr>
        <w:tc>
          <w:tcPr>
            <w:tcW w:w="661" w:type="dxa"/>
            <w:vAlign w:val="center"/>
            <w:textDirection w:val="lrTb"/>
            <w:noWrap w:val="false"/>
          </w:tcPr>
          <w:p>
            <w:pPr>
              <w:jc w:val="center"/>
              <w:spacing w:line="440" w:lineRule="exact"/>
              <w:widowControl/>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固废处置方案</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固废处置方案</w:t>
            </w:r>
            <w:r>
              <w:rPr>
                <w:rFonts w:hint="eastAsia" w:ascii="宋体" w:hAnsi="宋体" w:cs="宋体"/>
                <w:color w:val="auto"/>
                <w:sz w:val="24"/>
                <w:highlight w:val="none"/>
                <w:lang w:val="zh-CN"/>
              </w:rPr>
              <w:t xml:space="preserve">进行综合评审。</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（1）固废处置方案规范严谨、内容全面、处置逻辑合理，细节描述详实且紧密贴合项目实际需求，针对性突出，得9分；</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（2）固废处置方案符合基本规范要求，内容较为全面，处置思路合理，描述较为具体，可满足项目基础需求，得7分；</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（3）固废处置方案基本符合规范，内容基本完整，处置方式基本可行，描述简洁、无明显漏洞，具备基础可操作性，得5分；</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（4）固废处置方案存在部分不合理之处，核心内容描述不够完善，处置流程存在衔接问题，实施过程中存在一定难度，得3分；</w:t>
            </w:r>
            <w:r/>
          </w:p>
          <w:p>
            <w:pP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（5）固废处置方案存在多处明显不合理项，关键内容缺失、描述模糊，处置逻辑混乱，实施难度较大，无法保障处置效果，得1分；</w:t>
            </w:r>
            <w:r/>
          </w:p>
          <w:p>
            <w:pPr>
              <w:spacing w:line="440" w:lineRule="exact"/>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（6）未提供的不得分。</w:t>
            </w:r>
            <w:r/>
          </w:p>
        </w:tc>
      </w:tr>
      <w:tr>
        <w:trPr>
          <w:trHeight w:val="283"/>
        </w:trPr>
        <w:tc>
          <w:tcPr>
            <w:tcW w:w="661" w:type="dxa"/>
            <w:vAlign w:val="center"/>
            <w:textDirection w:val="lrTb"/>
            <w:noWrap w:val="false"/>
          </w:tcPr>
          <w:p>
            <w:pPr>
              <w:jc w:val="center"/>
              <w:spacing w:line="440" w:lineRule="exact"/>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技术方案</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技术方案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针对本项目，从工艺技术的先进性，资源化利用方案，智能化监测系统，节能减排效果等技术方案</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zh-CN"/>
              </w:rPr>
              <w:t xml:space="preserve">进行综合评审。</w:t>
            </w:r>
            <w:r/>
          </w:p>
          <w:p>
            <w:pPr>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（1）技术方案体系完善、规范有序，各子项内容全面且科学合理，技术细节阐述详尽，贴合项目核心技术需求，针对性极强，得9分；</w:t>
            </w:r>
            <w:r/>
          </w:p>
          <w:p>
            <w:pPr>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（2）技术方案整体规范，各子项内容较为全面，设计思路合理，技术描述清晰，能够适配项目实际技术要求，得7分；</w:t>
            </w:r>
            <w:r/>
          </w:p>
          <w:p>
            <w:pPr>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（3）技术方案基本达到规范标准，各子项内容基本齐全，设计合理可行，描述基本清晰，具备实际可操作性，得5分；</w:t>
            </w:r>
            <w:r/>
          </w:p>
          <w:p>
            <w:pPr>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（4）技术方案存在不合理设计，部分子项描述简略、内容欠缺，技术衔接不够顺畅，实施过程中存在一定的阻碍，得3分；</w:t>
            </w:r>
            <w:r/>
          </w:p>
          <w:p>
            <w:pPr>
              <w:keepLines w:val="0"/>
              <w:keepNext w:val="0"/>
              <w:pageBreakBefore w:val="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（5）技术方案存在大量明显不合理设计，多个子项内容缺失、描述笼统，技术可行性低，实施难度高，难以落地执行，得1分；</w:t>
            </w:r>
            <w:r/>
          </w:p>
          <w:p>
            <w:pPr>
              <w:keepLines w:val="0"/>
              <w:keepNext w:val="0"/>
              <w:pageBreakBefore w:val="0"/>
              <w:spacing w:line="440" w:lineRule="exact"/>
              <w:rPr>
                <w:rFonts w:hint="eastAsia" w:ascii="宋体" w:hAnsi="宋体" w:cs="宋体"/>
                <w:color w:val="auto"/>
                <w:sz w:val="24"/>
                <w:highlight w:val="none"/>
                <w:lang w:eastAsia="zh-CN" w:bidi="ar"/>
              </w:rPr>
            </w:pPr>
            <w:r>
              <w:rPr>
                <w:rFonts w:hint="eastAsia" w:ascii="宋体" w:hAnsi="宋体" w:cs="宋体"/>
                <w:color w:val="auto"/>
                <w:sz w:val="24"/>
                <w:highlight w:val="none"/>
                <w:lang w:val="en-US" w:eastAsia="zh-CN"/>
              </w:rPr>
              <w:t xml:space="preserve">（6）未提供的不得分。</w:t>
            </w:r>
            <w:r/>
          </w:p>
        </w:tc>
      </w:tr>
      <w:tr>
        <w:trPr>
          <w:trHeight w:val="283"/>
        </w:trPr>
        <w:tc>
          <w:tcPr>
            <w:tcW w:w="661" w:type="dxa"/>
            <w:vAlign w:val="center"/>
            <w:textDirection w:val="lrTb"/>
            <w:noWrap w:val="false"/>
          </w:tcPr>
          <w:p>
            <w:pPr>
              <w:jc w:val="center"/>
              <w:spacing w:line="440" w:lineRule="exact"/>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3</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设备配置方案</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设备配置方案</w:t>
            </w:r>
            <w:r>
              <w:rPr>
                <w:rFonts w:hint="eastAsia" w:ascii="宋体" w:hAnsi="宋体" w:cs="宋体"/>
                <w:color w:val="auto"/>
                <w:sz w:val="24"/>
                <w:highlight w:val="none"/>
                <w:lang w:val="zh-CN"/>
              </w:rPr>
              <w:t xml:space="preserve">进行综合评审。</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（1）设备配置方案规范、全面、合理，描述详细且针对性强的，得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（2）设备配置方案较规范全面、较合理，描述较为详细的，得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（3）设备配置方案基本规范全面、基本合理、描述一般、存在可操作性的，得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（4）设备配置方案具有不合理项、描述略欠缺、存在一定的实施难度的，得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cs="宋体"/>
                <w:color w:val="auto"/>
                <w:sz w:val="24"/>
                <w:highlight w:val="none"/>
                <w:lang w:eastAsia="zh-CN" w:bidi="ar"/>
              </w:rPr>
            </w:pPr>
            <w:r>
              <w:rPr>
                <w:rFonts w:hint="eastAsia" w:ascii="宋体" w:hAnsi="宋体" w:eastAsia="宋体" w:cs="宋体"/>
                <w:color w:val="auto"/>
                <w:sz w:val="24"/>
                <w:szCs w:val="24"/>
                <w:highlight w:val="none"/>
                <w:lang w:val="en-US" w:eastAsia="zh-CN" w:bidi="ar-SA"/>
              </w:rPr>
              <w:t xml:space="preserve">（5）未提供的不得分。</w:t>
            </w:r>
            <w:r/>
          </w:p>
        </w:tc>
      </w:tr>
      <w:tr>
        <w:trPr>
          <w:trHeight w:val="283"/>
        </w:trPr>
        <w:tc>
          <w:tcPr>
            <w:tcW w:w="661" w:type="dxa"/>
            <w:vAlign w:val="center"/>
            <w:textDirection w:val="lrTb"/>
            <w:noWrap w:val="false"/>
          </w:tcPr>
          <w:p>
            <w:pPr>
              <w:jc w:val="center"/>
              <w:spacing w:line="440" w:lineRule="exact"/>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4</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安全文明方案</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安全文明方案</w:t>
            </w:r>
            <w:r>
              <w:rPr>
                <w:rFonts w:hint="eastAsia" w:ascii="宋体" w:hAnsi="宋体" w:cs="宋体"/>
                <w:color w:val="auto"/>
                <w:sz w:val="24"/>
                <w:highlight w:val="none"/>
                <w:lang w:val="zh-CN"/>
              </w:rPr>
              <w:t xml:space="preserve">进行综合评审。</w:t>
            </w:r>
            <w:r/>
          </w:p>
          <w:p>
            <w:pPr>
              <w:jc w:val="left"/>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（1）安全文明方案编制规范、管控内容全面、措施科学合理，现场管控细节描述详实，且紧密贴合项目现场实际，针对性突出，得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（2）安全文明方案基本符合规范要求，管控内容较为全面，措施较为合理，现场相关描述较为详细，可满足基础管控需求，得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（3）安全文明方案基本达到规范标准，管控内容基本完整，措施基本可行，描述较为简洁、无明显疏漏，具备基础现场可操作性，得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（4）安全文明方案存在部分管控措施不合理，核心管控内容描述略欠详实，部分条款缺乏针对性，实施过程中存在一定难度，得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cs="宋体"/>
                <w:color w:val="auto"/>
                <w:sz w:val="24"/>
                <w:highlight w:val="none"/>
                <w:lang w:val="zh-CN" w:eastAsia="zh-CN"/>
              </w:rPr>
            </w:pPr>
            <w:r>
              <w:rPr>
                <w:rFonts w:hint="eastAsia" w:ascii="宋体" w:hAnsi="宋体" w:eastAsia="宋体" w:cs="宋体"/>
                <w:color w:val="auto"/>
                <w:sz w:val="24"/>
                <w:szCs w:val="24"/>
                <w:highlight w:val="none"/>
                <w:lang w:val="en-US" w:eastAsia="zh-CN" w:bidi="ar-SA"/>
              </w:rPr>
              <w:t xml:space="preserve">（5）未提供的不得分。</w:t>
            </w:r>
            <w:r/>
          </w:p>
        </w:tc>
      </w:tr>
      <w:tr>
        <w:trPr>
          <w:trHeight w:val="283"/>
        </w:trPr>
        <w:tc>
          <w:tcPr>
            <w:tcW w:w="661" w:type="dxa"/>
            <w:vAlign w:val="center"/>
            <w:textDirection w:val="lrTb"/>
            <w:noWrap w:val="false"/>
          </w:tcPr>
          <w:p>
            <w:pPr>
              <w:jc w:val="center"/>
              <w:spacing w:line="440" w:lineRule="exact"/>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5</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应急及事故处理方案</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应急及事故处理方案</w:t>
            </w:r>
            <w:r>
              <w:rPr>
                <w:rFonts w:hint="eastAsia" w:ascii="宋体" w:hAnsi="宋体" w:cs="宋体"/>
                <w:color w:val="auto"/>
                <w:sz w:val="24"/>
                <w:highlight w:val="none"/>
                <w:lang w:val="zh-CN"/>
              </w:rPr>
              <w:t xml:space="preserve">进行综合评审。</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（1）应急及事故处理方案体系健全、合规规范，处置内容全面系统，应急流程清晰合理，处置细节阐述详尽，针对性极强，能有效应对各类突发情况，得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（2）应急及事故处理方案整体规范可行，处置内容较为全面，应急流程基本清晰，相关描述较为详细，可应对常见突发事故，得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（3）应急及事故处理方案基本符合规范，处置内容基本完整，应急流程基本合理，描述一般，无明显逻辑漏洞，具备基础应急可操作性，得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（4）应急及事故处理方案存在处置流程不合理项，关键处置环节描述略欠缺，应急措施不够完善，实施过程中存在一定阻碍，得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（5）未提供的不得分。</w:t>
            </w:r>
            <w:r/>
          </w:p>
        </w:tc>
      </w:tr>
      <w:tr>
        <w:trPr>
          <w:trHeight w:val="283"/>
        </w:trPr>
        <w:tc>
          <w:tcPr>
            <w:tcW w:w="661" w:type="dxa"/>
            <w:vAlign w:val="center"/>
            <w:textDirection w:val="lrTb"/>
            <w:noWrap w:val="false"/>
          </w:tcPr>
          <w:p>
            <w:pPr>
              <w:jc w:val="center"/>
              <w:spacing w:line="440" w:lineRule="exact"/>
              <w:tabs>
                <w:tab w:val="left" w:pos="1200" w:leader="none"/>
              </w:tabs>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6</w:t>
            </w:r>
            <w:r/>
          </w:p>
        </w:tc>
        <w:tc>
          <w:tcPr>
            <w:shd w:val="clear" w:color="auto" w:fill="auto"/>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服务承诺</w:t>
            </w:r>
            <w:r/>
          </w:p>
        </w:tc>
        <w:tc>
          <w:tcPr>
            <w:tcW w:w="664"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评标委员会</w:t>
            </w:r>
            <w:r>
              <w:rPr>
                <w:rFonts w:hint="eastAsia" w:ascii="宋体" w:hAnsi="宋体" w:cs="宋体"/>
                <w:color w:val="auto"/>
                <w:sz w:val="24"/>
                <w:highlight w:val="none"/>
                <w:lang w:val="zh-CN"/>
              </w:rPr>
              <w:t xml:space="preserve">根据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val="zh-CN"/>
              </w:rPr>
              <w:t xml:space="preserve">提供的</w:t>
            </w:r>
            <w:r>
              <w:rPr>
                <w:rFonts w:hint="eastAsia" w:ascii="宋体" w:hAnsi="宋体" w:eastAsia="宋体" w:cs="宋体"/>
                <w:color w:val="auto"/>
                <w:sz w:val="24"/>
                <w:highlight w:val="none"/>
                <w:lang w:val="en-US" w:eastAsia="zh-CN"/>
              </w:rPr>
              <w:t xml:space="preserve">服务承诺</w:t>
            </w:r>
            <w:r>
              <w:rPr>
                <w:rFonts w:hint="eastAsia" w:ascii="宋体" w:hAnsi="宋体" w:cs="宋体"/>
                <w:color w:val="auto"/>
                <w:sz w:val="24"/>
                <w:highlight w:val="none"/>
                <w:lang w:val="zh-CN"/>
              </w:rPr>
              <w:t xml:space="preserve">进行综合评审。</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（1）服务承诺条款规范严谨、内容全面完整，承诺标准合理，细节描述详实具体，紧密贴合项目服务需求，针对性突出，得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（2）服务承诺基本规范，条款内容较为全面，承诺标准较为合理，相关描述较为详细，可满足项目基础服务要求，得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（3）服务承诺符合基本要求，条款内容基本完整，承诺标准基本合理，描述简洁一般，无明显不合理条款，具备实际履约可操作性，得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（4）服务承诺存在部分条款不合理，核心承诺内容描述略欠缺，承诺可行性不足，履约过程中存在一定难度，得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440" w:lineRule="exact"/>
              <w:widowControl/>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（5）未提供的不得分。</w:t>
            </w:r>
            <w:r/>
          </w:p>
        </w:tc>
      </w:tr>
      <w:tr>
        <w:trPr>
          <w:trHeight w:val="283"/>
        </w:trPr>
        <w:tc>
          <w:tcPr>
            <w:gridSpan w:val="4"/>
            <w:tcW w:w="9272" w:type="dxa"/>
            <w:vAlign w:val="center"/>
            <w:textDirection w:val="lrTb"/>
            <w:noWrap w:val="false"/>
          </w:tcPr>
          <w:p>
            <w:pPr>
              <w:spacing w:line="440" w:lineRule="exact"/>
              <w:tabs>
                <w:tab w:val="left" w:pos="426" w:leader="none"/>
              </w:tabs>
              <w:rPr>
                <w:rFonts w:hint="eastAsia" w:ascii="宋体" w:hAnsi="宋体" w:cs="宋体"/>
                <w:b/>
                <w:color w:val="auto"/>
                <w:sz w:val="24"/>
                <w:highlight w:val="none"/>
                <w:lang w:eastAsia="en-US"/>
              </w:rPr>
            </w:pPr>
            <w:r>
              <w:rPr>
                <w:rFonts w:hint="eastAsia" w:ascii="宋体" w:hAnsi="宋体" w:cs="宋体"/>
                <w:b/>
                <w:color w:val="auto"/>
                <w:sz w:val="24"/>
                <w:highlight w:val="none"/>
                <w:lang w:eastAsia="en-US"/>
              </w:rPr>
              <w:t xml:space="preserve">三、客观分（</w:t>
            </w:r>
            <w:r>
              <w:rPr>
                <w:rFonts w:hint="eastAsia" w:ascii="宋体" w:hAnsi="宋体" w:cs="宋体"/>
                <w:b/>
                <w:color w:val="auto"/>
                <w:sz w:val="24"/>
                <w:highlight w:val="none"/>
                <w:lang w:val="en-US" w:eastAsia="zh-CN"/>
              </w:rPr>
              <w:t xml:space="preserve">31</w:t>
            </w:r>
            <w:r>
              <w:rPr>
                <w:rFonts w:hint="eastAsia" w:ascii="宋体" w:hAnsi="宋体" w:cs="宋体"/>
                <w:b/>
                <w:color w:val="auto"/>
                <w:sz w:val="24"/>
                <w:highlight w:val="none"/>
                <w:lang w:eastAsia="en-US"/>
              </w:rPr>
              <w:t xml:space="preserve">分）</w:t>
            </w:r>
            <w:r/>
          </w:p>
        </w:tc>
      </w:tr>
      <w:tr>
        <w:trPr>
          <w:trHeight w:val="90"/>
        </w:trPr>
        <w:tc>
          <w:tcPr>
            <w:tcW w:w="661" w:type="dxa"/>
            <w:vAlign w:val="center"/>
            <w:textDirection w:val="lrTb"/>
            <w:noWrap w:val="false"/>
          </w:tcPr>
          <w:p>
            <w:pPr>
              <w:jc w:val="center"/>
              <w:spacing w:line="440" w:lineRule="exact"/>
              <w:widowControl/>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1</w:t>
            </w:r>
            <w:r/>
          </w:p>
        </w:tc>
        <w:tc>
          <w:tcPr>
            <w:tcW w:w="68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业绩</w:t>
            </w:r>
            <w:r/>
          </w:p>
        </w:tc>
        <w:tc>
          <w:tcPr>
            <w:tcW w:w="664" w:type="dxa"/>
            <w:vAlign w:val="center"/>
            <w:textDirection w:val="lrTb"/>
            <w:noWrap w:val="false"/>
          </w:tcPr>
          <w:p>
            <w:pPr>
              <w:jc w:val="center"/>
              <w:spacing w:line="44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7259" w:type="dxa"/>
            <w:vAlign w:val="center"/>
            <w:textDirection w:val="lrTb"/>
            <w:noWrap w:val="false"/>
          </w:tcPr>
          <w:p>
            <w:pPr>
              <w:spacing w:line="3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投标人自2023年1月1日以来</w:t>
            </w:r>
            <w:r>
              <w:rPr>
                <w:rFonts w:hint="eastAsia" w:ascii="宋体" w:hAnsi="宋体" w:eastAsia="宋体" w:cs="宋体"/>
                <w:color w:val="auto"/>
                <w:sz w:val="24"/>
                <w:highlight w:val="none"/>
                <w:lang w:val="zh-CN"/>
              </w:rPr>
              <w:t xml:space="preserve">（时间以合同签订时间为准）承</w:t>
            </w:r>
            <w:r>
              <w:rPr>
                <w:rFonts w:hint="eastAsia" w:ascii="宋体" w:hAnsi="宋体" w:cs="宋体"/>
                <w:color w:val="auto"/>
                <w:sz w:val="24"/>
                <w:highlight w:val="none"/>
                <w:lang w:val="en-US" w:eastAsia="zh-CN"/>
              </w:rPr>
              <w:t xml:space="preserve">接</w:t>
            </w:r>
            <w:r>
              <w:rPr>
                <w:rFonts w:hint="eastAsia" w:ascii="宋体" w:hAnsi="宋体" w:eastAsia="宋体" w:cs="宋体"/>
                <w:color w:val="auto"/>
                <w:sz w:val="24"/>
                <w:highlight w:val="none"/>
                <w:lang w:val="zh-CN"/>
              </w:rPr>
              <w:t xml:space="preserve">过类似项目的，</w:t>
            </w:r>
            <w:r>
              <w:rPr>
                <w:rFonts w:hint="eastAsia" w:ascii="宋体" w:hAnsi="宋体" w:eastAsia="宋体" w:cs="宋体"/>
                <w:color w:val="auto"/>
                <w:sz w:val="24"/>
                <w:highlight w:val="none"/>
                <w:lang w:val="en-US" w:eastAsia="zh-CN"/>
              </w:rPr>
              <w:t xml:space="preserve">每题供一份合同</w:t>
            </w:r>
            <w:r>
              <w:rPr>
                <w:rFonts w:hint="eastAsia" w:ascii="宋体" w:hAnsi="宋体" w:eastAsia="宋体" w:cs="宋体"/>
                <w:color w:val="auto"/>
                <w:sz w:val="24"/>
                <w:highlight w:val="none"/>
                <w:lang w:val="zh-CN"/>
              </w:rPr>
              <w:t xml:space="preserve">得</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lang w:val="zh-CN"/>
              </w:rPr>
              <w:t xml:space="preserve">分,最高</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zh-CN"/>
              </w:rPr>
              <w:t xml:space="preserve">分。</w:t>
            </w:r>
            <w:r/>
          </w:p>
          <w:p>
            <w:pPr>
              <w:jc w:val="left"/>
              <w:spacing w:line="440" w:lineRule="exact"/>
              <w:widowControl/>
              <w:rPr>
                <w:rFonts w:hint="eastAsia" w:ascii="宋体" w:hAnsi="宋体" w:cs="宋体"/>
                <w:color w:val="auto"/>
                <w:sz w:val="24"/>
                <w:highlight w:val="none"/>
                <w:lang w:val="zh-CN" w:eastAsia="zh-CN"/>
              </w:rPr>
            </w:pPr>
            <w:r>
              <w:rPr>
                <w:rFonts w:hint="eastAsia" w:ascii="宋体" w:hAnsi="宋体" w:eastAsia="宋体" w:cs="宋体"/>
                <w:b/>
                <w:bCs/>
                <w:color w:val="auto"/>
                <w:sz w:val="24"/>
                <w:highlight w:val="none"/>
                <w:lang w:val="zh-CN"/>
              </w:rPr>
              <w:t xml:space="preserve">注：</w:t>
            </w:r>
            <w:r>
              <w:rPr>
                <w:rFonts w:hint="eastAsia" w:ascii="宋体" w:hAnsi="宋体" w:eastAsia="宋体" w:cs="宋体"/>
                <w:b/>
                <w:bCs/>
                <w:color w:val="auto"/>
                <w:sz w:val="24"/>
                <w:highlight w:val="none"/>
                <w:lang w:val="en-US" w:eastAsia="zh-CN"/>
              </w:rPr>
              <w:t xml:space="preserve">投标文件中</w:t>
            </w:r>
            <w:r>
              <w:rPr>
                <w:rFonts w:hint="eastAsia" w:ascii="宋体" w:hAnsi="宋体" w:eastAsia="宋体" w:cs="宋体"/>
                <w:b/>
                <w:bCs/>
                <w:color w:val="auto"/>
                <w:sz w:val="24"/>
                <w:highlight w:val="none"/>
                <w:lang w:val="zh-CN"/>
              </w:rPr>
              <w:t xml:space="preserve">提供合同证明材料，</w:t>
            </w:r>
            <w:r>
              <w:rPr>
                <w:rFonts w:hint="eastAsia" w:ascii="宋体" w:hAnsi="宋体" w:eastAsia="宋体" w:cs="宋体"/>
                <w:b/>
                <w:bCs/>
                <w:color w:val="auto"/>
                <w:sz w:val="24"/>
                <w:highlight w:val="none"/>
                <w:lang w:val="en-US" w:eastAsia="zh-CN"/>
              </w:rPr>
              <w:t xml:space="preserve">并加盖投标人公章，否则不得分。</w:t>
            </w:r>
            <w:r/>
          </w:p>
        </w:tc>
      </w:tr>
      <w:tr>
        <w:trPr>
          <w:trHeight w:val="283"/>
        </w:trPr>
        <w:tc>
          <w:tcPr>
            <w:tcW w:w="661" w:type="dxa"/>
            <w:vAlign w:val="center"/>
            <w:textDirection w:val="lrTb"/>
            <w:noWrap w:val="false"/>
          </w:tcPr>
          <w:p>
            <w:pPr>
              <w:jc w:val="center"/>
              <w:spacing w:line="440" w:lineRule="exact"/>
              <w:widowControl/>
              <w:rPr>
                <w:rFonts w:hint="eastAsia" w:ascii="宋体" w:hAnsi="宋体" w:cs="宋体"/>
                <w:color w:val="auto"/>
                <w:sz w:val="24"/>
                <w:highlight w:val="none"/>
                <w:lang w:eastAsia="en-US"/>
              </w:rPr>
            </w:pPr>
            <w:r>
              <w:rPr>
                <w:rFonts w:hint="eastAsia" w:ascii="宋体" w:hAnsi="宋体" w:cs="宋体"/>
                <w:color w:val="auto"/>
                <w:sz w:val="24"/>
                <w:highlight w:val="none"/>
                <w:lang w:eastAsia="en-US"/>
              </w:rPr>
              <w:t xml:space="preserve">2</w:t>
            </w:r>
            <w:r/>
          </w:p>
        </w:tc>
        <w:tc>
          <w:tcPr>
            <w:shd w:val="clear" w:color="auto" w:fill="auto"/>
            <w:tcW w:w="688" w:type="dxa"/>
            <w:vAlign w:val="center"/>
            <w:textDirection w:val="lrTb"/>
            <w:noWrap w:val="false"/>
          </w:tcPr>
          <w:p>
            <w:pPr>
              <w:jc w:val="center"/>
              <w:spacing w:line="360" w:lineRule="exact"/>
              <w:tabs>
                <w:tab w:val="left" w:pos="426" w:leader="none"/>
              </w:tabs>
              <w:rPr>
                <w:rFonts w:hint="eastAsia" w:ascii="宋体" w:hAnsi="宋体" w:eastAsia="宋体" w:cs="宋体"/>
                <w:color w:val="auto"/>
                <w:sz w:val="24"/>
                <w:szCs w:val="24"/>
                <w:highlight w:val="none"/>
                <w:lang w:val="en-US" w:eastAsia="en-US" w:bidi="ar-SA"/>
              </w:rPr>
            </w:pPr>
            <w:r>
              <w:rPr>
                <w:rFonts w:hint="eastAsia" w:ascii="宋体" w:hAnsi="宋体" w:cs="宋体"/>
                <w:color w:val="auto"/>
                <w:sz w:val="24"/>
                <w:highlight w:val="none"/>
                <w:lang w:val="en-US" w:eastAsia="zh-CN"/>
              </w:rPr>
              <w:t xml:space="preserve">项目人员</w:t>
            </w:r>
            <w:r/>
          </w:p>
        </w:tc>
        <w:tc>
          <w:tcPr>
            <w:shd w:val="clear" w:color="auto" w:fill="auto"/>
            <w:tcW w:w="664" w:type="dxa"/>
            <w:vAlign w:val="center"/>
            <w:textDirection w:val="lrTb"/>
            <w:noWrap w:val="false"/>
          </w:tcPr>
          <w:p>
            <w:pPr>
              <w:jc w:val="center"/>
              <w:spacing w:line="360" w:lineRule="exact"/>
              <w:tabs>
                <w:tab w:val="left" w:pos="426" w:leader="none"/>
              </w:tabs>
              <w:rPr>
                <w:rFonts w:hint="default" w:ascii="宋体" w:hAnsi="宋体" w:eastAsia="宋体" w:cs="宋体"/>
                <w:color w:val="auto"/>
                <w:sz w:val="24"/>
                <w:szCs w:val="24"/>
                <w:highlight w:val="none"/>
                <w:lang w:val="en-US" w:eastAsia="en-US" w:bidi="ar-SA"/>
              </w:rPr>
            </w:pPr>
            <w:r>
              <w:rPr>
                <w:rFonts w:hint="eastAsia" w:ascii="宋体" w:hAnsi="宋体" w:cs="宋体"/>
                <w:color w:val="auto"/>
                <w:sz w:val="24"/>
                <w:highlight w:val="none"/>
                <w:lang w:val="en-US" w:eastAsia="zh-CN"/>
              </w:rPr>
              <w:t xml:space="preserve">12</w:t>
            </w:r>
            <w:r/>
          </w:p>
        </w:tc>
        <w:tc>
          <w:tcPr>
            <w:shd w:val="clear" w:color="auto" w:fill="auto"/>
            <w:tcW w:w="7259" w:type="dxa"/>
            <w:vAlign w:val="center"/>
            <w:textDirection w:val="lrTb"/>
            <w:noWrap w:val="false"/>
          </w:tcPr>
          <w:p>
            <w:pPr>
              <w:spacing w:line="360" w:lineRule="exact"/>
              <w:tabs>
                <w:tab w:val="left" w:pos="42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1.拟投入本项目的</w:t>
            </w:r>
            <w:r>
              <w:rPr>
                <w:rFonts w:hint="eastAsia" w:ascii="宋体" w:hAnsi="宋体" w:cs="宋体"/>
                <w:b/>
                <w:bCs/>
                <w:color w:val="auto"/>
                <w:sz w:val="24"/>
                <w:highlight w:val="none"/>
                <w:lang w:val="en-US" w:eastAsia="zh-CN"/>
              </w:rPr>
              <w:t xml:space="preserve">项目负责人</w:t>
            </w:r>
            <w:r>
              <w:rPr>
                <w:rFonts w:hint="eastAsia" w:ascii="宋体" w:hAnsi="宋体" w:cs="宋体"/>
                <w:color w:val="auto"/>
                <w:sz w:val="24"/>
                <w:highlight w:val="none"/>
                <w:lang w:val="en-US" w:eastAsia="zh-CN"/>
              </w:rPr>
              <w:t xml:space="preserve">具有本科及以上学历的，得2分；具有环境相关专业中级及以上工程师职称证书的，得2分，最高得4分。</w:t>
            </w:r>
            <w:r/>
          </w:p>
          <w:p>
            <w:pPr>
              <w:spacing w:line="360" w:lineRule="exact"/>
              <w:tabs>
                <w:tab w:val="left" w:pos="42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2.拟投入本项目的</w:t>
            </w:r>
            <w:r>
              <w:rPr>
                <w:rFonts w:hint="eastAsia" w:ascii="宋体" w:hAnsi="宋体" w:cs="宋体"/>
                <w:b/>
                <w:bCs/>
                <w:color w:val="auto"/>
                <w:sz w:val="24"/>
                <w:highlight w:val="none"/>
                <w:lang w:val="en-US" w:eastAsia="zh-CN"/>
              </w:rPr>
              <w:t xml:space="preserve">技术负责人</w:t>
            </w:r>
            <w:r>
              <w:rPr>
                <w:rFonts w:hint="eastAsia" w:ascii="宋体" w:hAnsi="宋体" w:cs="宋体"/>
                <w:color w:val="auto"/>
                <w:sz w:val="24"/>
                <w:highlight w:val="none"/>
                <w:lang w:val="en-US" w:eastAsia="zh-CN"/>
              </w:rPr>
              <w:t xml:space="preserve">；具有环境相关专业中级及以上工程师职称证书的，得2分。</w:t>
            </w:r>
            <w:r/>
          </w:p>
          <w:p>
            <w:pPr>
              <w:spacing w:line="360" w:lineRule="exact"/>
              <w:tabs>
                <w:tab w:val="left" w:pos="426" w:leader="none"/>
              </w:tabs>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3.拟投入本项目的</w:t>
            </w:r>
            <w:r>
              <w:rPr>
                <w:rFonts w:hint="eastAsia" w:ascii="宋体" w:hAnsi="宋体" w:cs="宋体"/>
                <w:b/>
                <w:bCs/>
                <w:color w:val="auto"/>
                <w:sz w:val="24"/>
                <w:highlight w:val="none"/>
                <w:lang w:val="en-US" w:eastAsia="zh-CN"/>
              </w:rPr>
              <w:t xml:space="preserve">安全管理人员</w:t>
            </w:r>
            <w:r>
              <w:rPr>
                <w:rFonts w:hint="eastAsia" w:ascii="宋体" w:hAnsi="宋体" w:cs="宋体"/>
                <w:color w:val="auto"/>
                <w:sz w:val="24"/>
                <w:highlight w:val="none"/>
                <w:lang w:val="en-US" w:eastAsia="zh-CN"/>
              </w:rPr>
              <w:t xml:space="preserve">具有本科及以上学历的，得2分；具有环境相关专业中级及以上工程师职称证书的，得2分；具有注册安全工程师证书的，得2分，最高得6分</w:t>
            </w:r>
            <w:r>
              <w:rPr>
                <w:rFonts w:hint="eastAsia" w:ascii="宋体" w:hAnsi="宋体" w:eastAsia="宋体" w:cs="宋体"/>
                <w:color w:val="auto"/>
                <w:sz w:val="24"/>
                <w:highlight w:val="none"/>
                <w:lang w:val="zh-CN"/>
              </w:rPr>
              <w:t xml:space="preserve">。</w:t>
            </w:r>
            <w:r/>
          </w:p>
          <w:p>
            <w:pPr>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文件中</w:t>
            </w:r>
            <w:r>
              <w:rPr>
                <w:rFonts w:hint="eastAsia" w:ascii="宋体" w:hAnsi="宋体" w:eastAsia="宋体" w:cs="宋体"/>
                <w:b/>
                <w:bCs/>
                <w:color w:val="auto"/>
                <w:sz w:val="24"/>
                <w:highlight w:val="none"/>
                <w:lang w:val="zh-CN"/>
              </w:rPr>
              <w:t xml:space="preserve">提供</w:t>
            </w:r>
            <w:r>
              <w:rPr>
                <w:rFonts w:hint="eastAsia" w:ascii="宋体" w:hAnsi="宋体" w:cs="宋体"/>
                <w:b/>
                <w:bCs/>
                <w:color w:val="auto"/>
                <w:sz w:val="24"/>
                <w:highlight w:val="none"/>
                <w:lang w:val="en-US" w:eastAsia="zh-CN"/>
              </w:rPr>
              <w:t xml:space="preserve">相关</w:t>
            </w:r>
            <w:r>
              <w:rPr>
                <w:rFonts w:hint="eastAsia" w:ascii="宋体" w:hAnsi="宋体" w:eastAsia="宋体" w:cs="宋体"/>
                <w:b/>
                <w:bCs/>
                <w:color w:val="auto"/>
                <w:sz w:val="24"/>
                <w:highlight w:val="none"/>
                <w:lang w:val="zh-CN"/>
              </w:rPr>
              <w:t xml:space="preserve">证书，</w:t>
            </w:r>
            <w:r>
              <w:rPr>
                <w:rFonts w:hint="eastAsia" w:ascii="宋体" w:hAnsi="宋体" w:eastAsia="宋体" w:cs="宋体"/>
                <w:b/>
                <w:bCs/>
                <w:color w:val="auto"/>
                <w:sz w:val="24"/>
                <w:highlight w:val="none"/>
                <w:lang w:val="en-US" w:eastAsia="zh-CN"/>
              </w:rPr>
              <w:t xml:space="preserve">并加盖</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en-US" w:eastAsia="zh-CN"/>
              </w:rPr>
              <w:t xml:space="preserve">公章，否则不得分。</w:t>
            </w:r>
            <w:r/>
          </w:p>
        </w:tc>
      </w:tr>
      <w:tr>
        <w:trPr>
          <w:trHeight w:val="283"/>
        </w:trPr>
        <w:tc>
          <w:tcPr>
            <w:tcW w:w="661" w:type="dxa"/>
            <w:vAlign w:val="center"/>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shd w:val="clear" w:color="auto" w:fill="auto"/>
            <w:tcW w:w="688" w:type="dxa"/>
            <w:vAlign w:val="center"/>
            <w:textDirection w:val="lrTb"/>
            <w:noWrap w:val="false"/>
          </w:tcPr>
          <w:p>
            <w:pPr>
              <w:jc w:val="center"/>
              <w:spacing w:line="360" w:lineRule="exact"/>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设备</w:t>
            </w:r>
            <w:r/>
          </w:p>
        </w:tc>
        <w:tc>
          <w:tcPr>
            <w:shd w:val="clear" w:color="auto" w:fill="auto"/>
            <w:tcW w:w="664" w:type="dxa"/>
            <w:vAlign w:val="center"/>
            <w:textDirection w:val="lrTb"/>
            <w:noWrap w:val="false"/>
          </w:tcPr>
          <w:p>
            <w:pPr>
              <w:jc w:val="center"/>
              <w:spacing w:line="360" w:lineRule="exact"/>
              <w:tabs>
                <w:tab w:val="left" w:pos="42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shd w:val="clear" w:color="auto" w:fill="auto"/>
            <w:tcW w:w="7259" w:type="dxa"/>
            <w:vAlign w:val="center"/>
            <w:textDirection w:val="lrTb"/>
            <w:noWrap w:val="false"/>
          </w:tcPr>
          <w:p>
            <w:pPr>
              <w:spacing w:line="360" w:lineRule="exact"/>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具有挖掘机、机械化筛分设备，每有一项得3分(同一机械不重复得分)，本项最高得</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zh-CN"/>
              </w:rPr>
              <w:t xml:space="preserve">分。</w:t>
            </w:r>
            <w:r/>
          </w:p>
          <w:p>
            <w:pPr>
              <w:spacing w:line="360" w:lineRule="exact"/>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en-US" w:eastAsia="zh-CN"/>
              </w:rPr>
              <w:t xml:space="preserve">若为</w:t>
            </w:r>
            <w:r>
              <w:rPr>
                <w:rFonts w:hint="eastAsia" w:ascii="宋体" w:hAnsi="宋体" w:eastAsia="宋体" w:cs="宋体"/>
                <w:b/>
                <w:bCs/>
                <w:color w:val="auto"/>
                <w:sz w:val="24"/>
                <w:highlight w:val="none"/>
                <w:lang w:val="zh-CN"/>
              </w:rPr>
              <w:t xml:space="preserve">自有</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文件中</w:t>
            </w:r>
            <w:r>
              <w:rPr>
                <w:rFonts w:hint="eastAsia" w:ascii="宋体" w:hAnsi="宋体" w:eastAsia="宋体" w:cs="宋体"/>
                <w:b/>
                <w:bCs/>
                <w:color w:val="auto"/>
                <w:sz w:val="24"/>
                <w:highlight w:val="none"/>
                <w:lang w:val="zh-CN"/>
              </w:rPr>
              <w:t xml:space="preserve">提供</w:t>
            </w:r>
            <w:r>
              <w:rPr>
                <w:rFonts w:hint="eastAsia" w:ascii="宋体" w:hAnsi="宋体" w:cs="宋体"/>
                <w:b/>
                <w:bCs/>
                <w:color w:val="auto"/>
                <w:sz w:val="24"/>
                <w:highlight w:val="none"/>
                <w:lang w:val="en-US" w:eastAsia="zh-CN"/>
              </w:rPr>
              <w:t xml:space="preserve">购买</w:t>
            </w:r>
            <w:r>
              <w:rPr>
                <w:rFonts w:hint="eastAsia" w:ascii="宋体" w:hAnsi="宋体" w:eastAsia="宋体" w:cs="宋体"/>
                <w:b/>
                <w:bCs/>
                <w:color w:val="auto"/>
                <w:sz w:val="24"/>
                <w:highlight w:val="none"/>
                <w:lang w:val="zh-CN"/>
              </w:rPr>
              <w:t xml:space="preserve">发票，</w:t>
            </w:r>
            <w:r>
              <w:rPr>
                <w:rFonts w:hint="eastAsia" w:ascii="宋体" w:hAnsi="宋体" w:eastAsia="宋体" w:cs="宋体"/>
                <w:b/>
                <w:bCs/>
                <w:color w:val="auto"/>
                <w:sz w:val="24"/>
                <w:highlight w:val="none"/>
                <w:lang w:val="en-US" w:eastAsia="zh-CN"/>
              </w:rPr>
              <w:t xml:space="preserve">并加盖</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en-US" w:eastAsia="zh-CN"/>
              </w:rPr>
              <w:t xml:space="preserve">公章，否则不得分</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lang w:val="en-US" w:eastAsia="zh-CN"/>
              </w:rPr>
              <w:t xml:space="preserve">若为租赁，投标</w:t>
            </w:r>
            <w:r>
              <w:rPr>
                <w:rFonts w:hint="eastAsia" w:ascii="宋体" w:hAnsi="宋体" w:eastAsia="宋体" w:cs="宋体"/>
                <w:b/>
                <w:bCs/>
                <w:color w:val="auto"/>
                <w:sz w:val="24"/>
                <w:highlight w:val="none"/>
                <w:lang w:val="en-US" w:eastAsia="zh-CN"/>
              </w:rPr>
              <w:t xml:space="preserve">文件中</w:t>
            </w:r>
            <w:r>
              <w:rPr>
                <w:rFonts w:hint="eastAsia" w:ascii="宋体" w:hAnsi="宋体" w:eastAsia="宋体" w:cs="宋体"/>
                <w:b/>
                <w:bCs/>
                <w:color w:val="auto"/>
                <w:sz w:val="24"/>
                <w:highlight w:val="none"/>
                <w:lang w:val="zh-CN"/>
              </w:rPr>
              <w:t xml:space="preserve">提供租赁协议及打款证明，</w:t>
            </w:r>
            <w:r>
              <w:rPr>
                <w:rFonts w:hint="eastAsia" w:ascii="宋体" w:hAnsi="宋体" w:eastAsia="宋体" w:cs="宋体"/>
                <w:b/>
                <w:bCs/>
                <w:color w:val="auto"/>
                <w:sz w:val="24"/>
                <w:highlight w:val="none"/>
                <w:lang w:val="en-US" w:eastAsia="zh-CN"/>
              </w:rPr>
              <w:t xml:space="preserve">并加盖</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en-US" w:eastAsia="zh-CN"/>
              </w:rPr>
              <w:t xml:space="preserve">公章，否则不得分</w:t>
            </w:r>
            <w:r>
              <w:rPr>
                <w:rFonts w:hint="eastAsia" w:ascii="宋体" w:hAnsi="宋体" w:eastAsia="宋体" w:cs="宋体"/>
                <w:b/>
                <w:bCs/>
                <w:color w:val="auto"/>
                <w:sz w:val="24"/>
                <w:highlight w:val="none"/>
                <w:lang w:val="zh-CN"/>
              </w:rPr>
              <w:t xml:space="preserve">。</w:t>
            </w:r>
            <w:r/>
          </w:p>
        </w:tc>
      </w:tr>
      <w:tr>
        <w:trPr>
          <w:trHeight w:val="283"/>
        </w:trPr>
        <w:tc>
          <w:tcPr>
            <w:tcW w:w="661" w:type="dxa"/>
            <w:vAlign w:val="center"/>
            <w:textDirection w:val="lrTb"/>
            <w:noWrap w:val="false"/>
          </w:tcPr>
          <w:p>
            <w:pPr>
              <w:jc w:val="center"/>
              <w:spacing w:line="440" w:lineRule="exact"/>
              <w:widowControl/>
              <w:rPr>
                <w:rFonts w:hint="eastAsia" w:ascii="宋体" w:hAnsi="宋体" w:cs="宋体"/>
                <w:color w:val="auto"/>
                <w:sz w:val="24"/>
                <w:highlight w:val="none"/>
                <w:lang w:eastAsia="en-US"/>
              </w:rPr>
            </w:pPr>
            <w:r>
              <w:rPr>
                <w:rFonts w:hint="eastAsia" w:ascii="宋体" w:hAnsi="宋体" w:cs="宋体"/>
                <w:color w:val="auto"/>
                <w:sz w:val="24"/>
                <w:highlight w:val="none"/>
                <w:lang w:val="en-US" w:eastAsia="zh-CN"/>
              </w:rPr>
              <w:t xml:space="preserve">4</w:t>
            </w:r>
            <w:r/>
          </w:p>
        </w:tc>
        <w:tc>
          <w:tcPr>
            <w:shd w:val="clear" w:color="auto" w:fill="auto"/>
            <w:tcW w:w="688" w:type="dxa"/>
            <w:vAlign w:val="center"/>
            <w:textDirection w:val="lrTb"/>
            <w:noWrap w:val="false"/>
          </w:tcPr>
          <w:p>
            <w:pPr>
              <w:jc w:val="center"/>
              <w:spacing w:line="360" w:lineRule="exact"/>
              <w:tabs>
                <w:tab w:val="left" w:pos="42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处置能力</w:t>
            </w:r>
            <w:r/>
          </w:p>
        </w:tc>
        <w:tc>
          <w:tcPr>
            <w:shd w:val="clear" w:color="auto" w:fill="auto"/>
            <w:tcW w:w="664" w:type="dxa"/>
            <w:vAlign w:val="center"/>
            <w:textDirection w:val="lrTb"/>
            <w:noWrap w:val="false"/>
          </w:tcPr>
          <w:p>
            <w:pPr>
              <w:jc w:val="center"/>
              <w:spacing w:line="360" w:lineRule="exact"/>
              <w:tabs>
                <w:tab w:val="left" w:pos="426"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shd w:val="clear" w:color="auto" w:fill="auto"/>
            <w:tcW w:w="7259" w:type="dxa"/>
            <w:vAlign w:val="center"/>
            <w:textDirection w:val="lrTb"/>
            <w:noWrap w:val="false"/>
          </w:tcPr>
          <w:p>
            <w:pPr>
              <w:spacing w:line="360" w:lineRule="exact"/>
              <w:rPr>
                <w:rFonts w:hint="eastAsia" w:ascii="宋体" w:hAnsi="宋体" w:eastAsia="宋体" w:cs="宋体"/>
                <w:b w:val="0"/>
                <w:bCs w:val="0"/>
                <w:color w:val="auto"/>
                <w:sz w:val="24"/>
                <w:highlight w:val="none"/>
                <w:lang w:val="zh-CN"/>
              </w:rPr>
            </w:pPr>
            <w:r>
              <w:rPr>
                <w:rFonts w:hint="eastAsia" w:ascii="宋体" w:hAnsi="宋体" w:cs="宋体"/>
                <w:b w:val="0"/>
                <w:bCs w:val="0"/>
                <w:color w:val="auto"/>
                <w:sz w:val="24"/>
                <w:highlight w:val="none"/>
                <w:lang w:val="en-US" w:eastAsia="zh-CN"/>
              </w:rPr>
              <w:t xml:space="preserve">投标人提供与合规处置的资源化处置单位(合规处置废水、废土等接收单位)签订的处置协议(协议服务有效期需至2026年8月31日之后)的，得3分；投标人承诺中标之后7个日历日内提供与合规处置的资源化处置单位(合规处置废水、废土等接收单位)签订的处置协议的，得2分；投标人承诺中标之后25个日历日内提供与合规处置的资源化处置单位(合规处置废水、废土等接收单位)签订的处置协议的，得1分；未提供不得分，最高得3分。</w:t>
            </w:r>
            <w:r/>
          </w:p>
          <w:p>
            <w:pPr>
              <w:spacing w:line="360" w:lineRule="exact"/>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文件中</w:t>
            </w:r>
            <w:r>
              <w:rPr>
                <w:rFonts w:hint="eastAsia" w:ascii="宋体" w:hAnsi="宋体" w:eastAsia="宋体" w:cs="宋体"/>
                <w:b/>
                <w:bCs/>
                <w:color w:val="auto"/>
                <w:sz w:val="24"/>
                <w:highlight w:val="none"/>
                <w:lang w:val="zh-CN"/>
              </w:rPr>
              <w:t xml:space="preserve">提供</w:t>
            </w:r>
            <w:r>
              <w:rPr>
                <w:rFonts w:hint="eastAsia" w:ascii="宋体" w:hAnsi="宋体" w:cs="宋体"/>
                <w:b/>
                <w:bCs/>
                <w:color w:val="auto"/>
                <w:sz w:val="24"/>
                <w:highlight w:val="none"/>
                <w:lang w:val="en-US" w:eastAsia="zh-CN"/>
              </w:rPr>
              <w:t xml:space="preserve">承诺函</w:t>
            </w:r>
            <w:r>
              <w:rPr>
                <w:rFonts w:hint="eastAsia" w:ascii="宋体" w:hAnsi="宋体" w:eastAsia="宋体" w:cs="宋体"/>
                <w:b/>
                <w:bCs/>
                <w:color w:val="auto"/>
                <w:sz w:val="24"/>
                <w:highlight w:val="none"/>
                <w:lang w:val="zh-CN"/>
              </w:rPr>
              <w:t xml:space="preserve">（</w:t>
            </w:r>
            <w:r>
              <w:rPr>
                <w:rFonts w:hint="eastAsia" w:ascii="宋体" w:hAnsi="宋体" w:cs="宋体"/>
                <w:b/>
                <w:bCs/>
                <w:color w:val="auto"/>
                <w:sz w:val="24"/>
                <w:highlight w:val="none"/>
                <w:lang w:val="en-US" w:eastAsia="zh-CN"/>
              </w:rPr>
              <w:t xml:space="preserve">格式自拟</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加盖</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en-US" w:eastAsia="zh-CN"/>
              </w:rPr>
              <w:t xml:space="preserve">公章，否则不得分</w:t>
            </w:r>
            <w:r>
              <w:rPr>
                <w:rFonts w:hint="eastAsia" w:ascii="宋体" w:hAnsi="宋体" w:eastAsia="宋体" w:cs="宋体"/>
                <w:b/>
                <w:bCs/>
                <w:color w:val="auto"/>
                <w:sz w:val="24"/>
                <w:highlight w:val="none"/>
                <w:lang w:val="zh-CN"/>
              </w:rPr>
              <w:t xml:space="preserve">。</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注：1.评分细则中要求提供的证明文件及资料等在投标文件中提供并加盖公章，否则不得分。</w:t>
      </w:r>
      <w:r/>
    </w:p>
    <w:p>
      <w:pPr>
        <w:contextualSpacing/>
        <w:ind w:firstLine="480"/>
        <w:spacing w:line="360" w:lineRule="auto"/>
        <w:rPr>
          <w:color w:val="auto"/>
          <w:highlight w:val="none"/>
        </w:rPr>
      </w:pPr>
      <w:r>
        <w:rPr>
          <w:rFonts w:hint="eastAsia" w:ascii="宋体" w:hAnsi="宋体" w:cs="宋体"/>
          <w:bCs/>
          <w:color w:val="auto"/>
          <w:sz w:val="24"/>
          <w:highlight w:val="none"/>
        </w:rPr>
        <w:t xml:space="preserve">2.评审时，未能按以上要求提供相应证明的，不作为评审依据，不得分。</w:t>
      </w:r>
      <w:r/>
    </w:p>
    <w:p>
      <w:pPr>
        <w:pStyle w:val="1542"/>
        <w:ind w:firstLine="480"/>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811" w:name="_Toc29962"/>
      <w:r/>
      <w:bookmarkStart w:id="812" w:name="_Toc99301424"/>
      <w:r>
        <w:rPr>
          <w:b/>
          <w:color w:val="auto"/>
          <w:sz w:val="36"/>
          <w:szCs w:val="36"/>
          <w:highlight w:val="none"/>
        </w:rPr>
        <w:t xml:space="preserve">第五章   采购需求</w:t>
      </w:r>
      <w:bookmarkEnd w:id="811"/>
      <w:r/>
      <w:bookmarkEnd w:id="812"/>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bookmarkStart w:id="813" w:name="_Toc4597"/>
      <w:r/>
      <w:bookmarkStart w:id="814" w:name="_Toc99301425"/>
      <w:r/>
      <w:bookmarkStart w:id="815" w:name="_Toc13366"/>
      <w:r>
        <w:rPr>
          <w:rFonts w:hint="eastAsia" w:ascii="宋体" w:hAnsi="宋体" w:eastAsia="宋体" w:cs="宋体"/>
          <w:b/>
          <w:bCs/>
          <w:color w:val="auto"/>
          <w:spacing w:val="2"/>
          <w:sz w:val="24"/>
          <w:szCs w:val="24"/>
          <w:highlight w:val="none"/>
          <w:u w:val="none"/>
          <w:lang w:val="en-US" w:eastAsia="zh-CN"/>
        </w:rPr>
        <w:t xml:space="preserve">一、采购标的</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lang w:val="en-US" w:eastAsia="zh-CN"/>
        </w:rPr>
        <w:outlineLvl w:val="9"/>
      </w:pPr>
      <w:r>
        <w:rPr>
          <w:rFonts w:hint="eastAsia" w:ascii="宋体" w:hAnsi="宋体" w:eastAsia="宋体" w:cs="宋体"/>
          <w:color w:val="auto"/>
          <w:spacing w:val="2"/>
          <w:sz w:val="24"/>
          <w:szCs w:val="24"/>
          <w:highlight w:val="none"/>
          <w:u w:val="none"/>
          <w:lang w:val="en-US" w:eastAsia="zh-CN"/>
        </w:rPr>
        <w:t xml:space="preserve">本项目是</w:t>
      </w:r>
      <w:r>
        <w:rPr>
          <w:rFonts w:hint="eastAsia" w:ascii="宋体" w:hAnsi="宋体" w:cs="宋体"/>
          <w:color w:val="auto"/>
          <w:spacing w:val="2"/>
          <w:sz w:val="24"/>
          <w:szCs w:val="24"/>
          <w:highlight w:val="none"/>
          <w:u w:val="none"/>
          <w:lang w:val="en-US" w:eastAsia="zh-CN"/>
        </w:rPr>
        <w:t xml:space="preserve">大明路西侧、龙锦路南侧（QQ030102)地块固废混合物合规处置项目</w:t>
      </w:r>
      <w:r>
        <w:rPr>
          <w:rFonts w:hint="eastAsia" w:ascii="宋体" w:hAnsi="宋体" w:eastAsia="宋体" w:cs="宋体"/>
          <w:color w:val="auto"/>
          <w:spacing w:val="2"/>
          <w:sz w:val="24"/>
          <w:szCs w:val="24"/>
          <w:highlight w:val="none"/>
          <w:u w:val="none"/>
          <w:lang w:val="en-US" w:eastAsia="zh-CN"/>
        </w:rPr>
        <w:t xml:space="preserve">，服务内容包括</w:t>
      </w:r>
      <w:r>
        <w:rPr>
          <w:rFonts w:hint="eastAsia" w:ascii="宋体" w:hAnsi="宋体" w:cs="宋体"/>
          <w:color w:val="auto"/>
          <w:spacing w:val="2"/>
          <w:sz w:val="24"/>
          <w:szCs w:val="24"/>
          <w:highlight w:val="none"/>
          <w:u w:val="none"/>
          <w:lang w:val="en-US" w:eastAsia="zh-CN"/>
        </w:rPr>
        <w:t xml:space="preserve">对该地块的固废混合物进行合规化处置，完成全部工作内容，并通过最终验收</w:t>
      </w:r>
      <w:r>
        <w:rPr>
          <w:rFonts w:hint="eastAsia" w:ascii="宋体" w:hAnsi="宋体" w:eastAsia="宋体" w:cs="宋体"/>
          <w:color w:val="auto"/>
          <w:spacing w:val="2"/>
          <w:sz w:val="24"/>
          <w:szCs w:val="24"/>
          <w:highlight w:val="none"/>
          <w:u w:val="none"/>
          <w:lang w:val="en-US" w:eastAsia="zh-CN"/>
        </w:rPr>
        <w:t xml:space="preserve">等。</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二、商务要求</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1.服务期限</w:t>
      </w:r>
      <w:r/>
    </w:p>
    <w:p>
      <w:pPr>
        <w:contextualSpacing/>
        <w:ind w:firstLine="480"/>
        <w:keepLines w:val="0"/>
        <w:keepNext w:val="0"/>
        <w:pageBreakBefore w:val="0"/>
        <w:spacing w:line="360" w:lineRule="auto"/>
        <w:widowControl w:val="off"/>
        <w:rPr>
          <w:rFonts w:hint="eastAsia" w:ascii="宋体" w:hAnsi="宋体" w:cs="宋体"/>
          <w:color w:val="auto"/>
          <w:sz w:val="24"/>
          <w:highlight w:val="none"/>
          <w:u w:val="single"/>
          <w:lang w:eastAsia="zh-CN"/>
        </w:rPr>
        <w:outlineLvl w:val="9"/>
      </w:pPr>
      <w:r>
        <w:rPr>
          <w:rFonts w:hint="eastAsia" w:ascii="宋体" w:hAnsi="宋体" w:cs="宋体"/>
          <w:color w:val="auto"/>
          <w:sz w:val="24"/>
          <w:highlight w:val="none"/>
          <w:u w:val="none"/>
          <w:lang w:eastAsia="zh-CN"/>
        </w:rPr>
        <w:t xml:space="preserve">自合同签订之日起50日历天内完成所有工作内容。</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2.付款方式</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lang w:val="en-US" w:eastAsia="zh-CN"/>
        </w:rPr>
        <w:outlineLvl w:val="9"/>
      </w:pPr>
      <w:r>
        <w:rPr>
          <w:rFonts w:hint="eastAsia" w:ascii="宋体" w:hAnsi="宋体" w:eastAsia="宋体" w:cs="宋体"/>
          <w:color w:val="auto"/>
          <w:spacing w:val="2"/>
          <w:sz w:val="24"/>
          <w:szCs w:val="24"/>
          <w:highlight w:val="none"/>
          <w:u w:val="none"/>
          <w:lang w:val="en-US" w:eastAsia="zh-CN"/>
        </w:rPr>
        <w:t xml:space="preserve">合同签订后支付合同价的30%；项目筛分量达到8000吨（如需审计的需经审计后），支付至合同价的50%；</w:t>
      </w:r>
      <w:r>
        <w:rPr>
          <w:rFonts w:hint="eastAsia" w:ascii="宋体" w:hAnsi="宋体" w:cs="宋体"/>
          <w:color w:val="auto"/>
          <w:spacing w:val="2"/>
          <w:sz w:val="24"/>
          <w:szCs w:val="24"/>
          <w:highlight w:val="none"/>
          <w:u w:val="none"/>
          <w:lang w:val="en-US" w:eastAsia="zh-CN"/>
        </w:rPr>
        <w:t xml:space="preserve">项目验收完成并（如需审计后）付至合同价(审定价)的100%</w:t>
      </w:r>
      <w:r>
        <w:rPr>
          <w:rFonts w:hint="eastAsia" w:ascii="宋体" w:hAnsi="宋体" w:eastAsia="宋体" w:cs="宋体"/>
          <w:color w:val="auto"/>
          <w:spacing w:val="2"/>
          <w:sz w:val="24"/>
          <w:szCs w:val="24"/>
          <w:highlight w:val="none"/>
          <w:u w:val="none"/>
          <w:lang w:val="en-US" w:eastAsia="zh-CN"/>
        </w:rPr>
        <w:t xml:space="preserve">。</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三、技术要求</w:t>
      </w:r>
      <w:r/>
    </w:p>
    <w:p>
      <w:pPr>
        <w:ind w:firstLine="488"/>
        <w:keepLines w:val="0"/>
        <w:keepNext w:val="0"/>
        <w:pageBreakBefore w:val="0"/>
        <w:spacing w:line="360" w:lineRule="auto"/>
        <w:widowControl w:val="off"/>
        <w:rPr>
          <w:rFonts w:hint="default"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（一）</w:t>
      </w:r>
      <w:r>
        <w:rPr>
          <w:rFonts w:hint="eastAsia" w:ascii="宋体" w:hAnsi="宋体" w:cs="宋体"/>
          <w:b/>
          <w:bCs/>
          <w:color w:val="auto"/>
          <w:spacing w:val="2"/>
          <w:sz w:val="24"/>
          <w:szCs w:val="24"/>
          <w:highlight w:val="none"/>
          <w:u w:val="none"/>
          <w:lang w:val="en-US" w:eastAsia="zh-CN"/>
        </w:rPr>
        <w:t xml:space="preserve">项目概况</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大明路西侧、龙锦路南侧(QQ030102)地块位于常州市天宁经济开发区，地块位于大明路西侧、龙锦路南侧地块，规划用地红线面积约5150㎡。2013年开始，地块为荒地，不再种植庄稼或树木，2018年后，地块一直处于闲置状态，部分区域堆放有附近工厂的钢材及活动板房，地块历史上一直未从事过工业生产活动。地块东侧为河塘和树木，再往东为大明路；南侧为河塘和空地；西侧为国电东青220kV变电站；北侧为空地，再往北为龙锦路。</w:t>
      </w:r>
      <w:r/>
    </w:p>
    <w:p>
      <w:pPr>
        <w:jc w:val="center"/>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mc:AlternateContent>
          <mc:Choice Requires="wpg">
            <w:drawing>
              <wp:inline xmlns:wp="http://schemas.openxmlformats.org/drawingml/2006/wordprocessingDrawing" distT="0" distB="0" distL="0" distR="0">
                <wp:extent cx="2921000" cy="4319905"/>
                <wp:effectExtent l="0" t="0" r="12700" b="4445"/>
                <wp:docPr id="1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r/>
                      </pic:nvPicPr>
                      <pic:blipFill>
                        <a:blip r:embed="rId38"/>
                        <a:stretch/>
                      </pic:blipFill>
                      <pic:spPr bwMode="auto">
                        <a:xfrm>
                          <a:off x="0" y="0"/>
                          <a:ext cx="2921000" cy="4319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30.0pt;height:340.1pt;mso-wrap-distance-left:0.0pt;mso-wrap-distance-top:0.0pt;mso-wrap-distance-right:0.0pt;mso-wrap-distance-bottom:0.0pt;" stroked="false">
                <v:path textboxrect="0,0,0,0"/>
                <v:imagedata r:id="rId38" o:title=""/>
              </v:shape>
            </w:pict>
          </mc:Fallback>
        </mc:AlternateContent>
      </w:r>
      <w:r/>
    </w:p>
    <w:p>
      <w:pPr>
        <w:jc w:val="center"/>
        <w:keepLines w:val="0"/>
        <w:keepNext w:val="0"/>
        <w:pageBreakBefore w:val="0"/>
        <w:spacing w:line="360" w:lineRule="auto"/>
        <w:widowControl w:val="off"/>
        <w:rPr>
          <w:rFonts w:hint="default"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地理位置示意图</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经检测，土壤中的所检污染物含量均不超过《土壤环境质量建设用地土污染风险管控标准》(GB36600-2018)中一类建设用地污染风险筛值，固废样品浸出毒性浓度均不超过《危险废物鉴别标准一浸出毒性鉴别》(GB 5085.3-2007)中浸出液中危害成分浓度限值。</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本次应急处置项目目标是对大明路西侧、龙锦路南侧(QQ030102)地块内的填埋物进行清挖，外运至有处置能力的单位进行处置。对填埋物进行处置，待处理的填埋物方量约为1.5万吨。处置量见下表。</w:t>
      </w:r>
      <w:r/>
    </w:p>
    <w:tbl>
      <w:tblPr>
        <w:tblStyle w:val="15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4"/>
        <w:gridCol w:w="5358"/>
      </w:tblGrid>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处置区城</w:t>
            </w:r>
            <w:r/>
          </w:p>
        </w:tc>
        <w:tc>
          <w:tcPr>
            <w:tcW w:w="5358"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大明路西侧、龙锦路南侧(QQ030102)地块</w:t>
            </w:r>
            <w:r/>
          </w:p>
        </w:tc>
      </w:tr>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面积（㎡）</w:t>
            </w:r>
            <w:r/>
          </w:p>
        </w:tc>
        <w:tc>
          <w:tcPr>
            <w:tcW w:w="5358" w:type="dxa"/>
            <w:textDirection w:val="lrTb"/>
            <w:noWrap w:val="false"/>
          </w:tcPr>
          <w:p>
            <w:pPr>
              <w:jc w:val="center"/>
              <w:spacing w:line="440" w:lineRule="exact"/>
              <w:tabs>
                <w:tab w:val="left" w:pos="1200" w:leader="none"/>
              </w:tabs>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5150</w:t>
            </w:r>
            <w:r/>
          </w:p>
        </w:tc>
      </w:tr>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深度（m）</w:t>
            </w:r>
            <w:r/>
          </w:p>
        </w:tc>
        <w:tc>
          <w:tcPr>
            <w:tcW w:w="5358"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1.6</w:t>
            </w:r>
            <w:r/>
          </w:p>
        </w:tc>
      </w:tr>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处置对象</w:t>
            </w:r>
            <w:r/>
          </w:p>
        </w:tc>
        <w:tc>
          <w:tcPr>
            <w:tcW w:w="5358"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垃圾(建筑垃圾和生活垃圾)</w:t>
            </w:r>
            <w:r/>
          </w:p>
        </w:tc>
      </w:tr>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筛分前开挖总方量（m³）</w:t>
            </w:r>
            <w:r/>
          </w:p>
        </w:tc>
        <w:tc>
          <w:tcPr>
            <w:tcW w:w="5358"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8154</w:t>
            </w:r>
            <w:r/>
          </w:p>
        </w:tc>
      </w:tr>
      <w:tr>
        <w:trPr/>
        <w:tc>
          <w:tcPr>
            <w:tcW w:w="3164"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筛分前开挖总重量（t）</w:t>
            </w:r>
            <w:r/>
          </w:p>
        </w:tc>
        <w:tc>
          <w:tcPr>
            <w:tcW w:w="5358" w:type="dxa"/>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15000</w:t>
            </w:r>
            <w:r/>
          </w:p>
        </w:tc>
      </w:tr>
    </w:tbl>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注：</w:t>
      </w:r>
      <w:r>
        <w:rPr>
          <w:rFonts w:hint="eastAsia" w:ascii="宋体" w:hAnsi="宋体" w:cs="宋体"/>
          <w:b w:val="0"/>
          <w:bCs w:val="0"/>
          <w:color w:val="auto"/>
          <w:spacing w:val="2"/>
          <w:sz w:val="24"/>
          <w:szCs w:val="24"/>
          <w:highlight w:val="none"/>
          <w:u w:val="none"/>
          <w:lang w:val="en-US" w:eastAsia="zh-CN"/>
        </w:rPr>
        <w:t xml:space="preserve">（1）</w:t>
      </w:r>
      <w:r>
        <w:rPr>
          <w:rFonts w:hint="eastAsia" w:ascii="宋体" w:hAnsi="宋体" w:eastAsia="宋体" w:cs="宋体"/>
          <w:b w:val="0"/>
          <w:bCs w:val="0"/>
          <w:color w:val="auto"/>
          <w:spacing w:val="2"/>
          <w:sz w:val="24"/>
          <w:szCs w:val="24"/>
          <w:highlight w:val="none"/>
          <w:u w:val="none"/>
          <w:lang w:val="en-US" w:eastAsia="zh-CN"/>
        </w:rPr>
        <w:t xml:space="preserve">筛分前混合物密度按照1.8t/</w:t>
      </w:r>
      <w:r>
        <w:rPr>
          <w:rFonts w:hint="eastAsia" w:ascii="宋体" w:hAnsi="宋体" w:eastAsia="宋体" w:cs="宋体"/>
          <w:color w:val="auto"/>
          <w:sz w:val="24"/>
          <w:lang w:val="en-US" w:eastAsia="zh-CN"/>
        </w:rPr>
        <w:t xml:space="preserve">m³</w:t>
      </w:r>
      <w:r>
        <w:rPr>
          <w:rFonts w:hint="eastAsia" w:ascii="宋体" w:hAnsi="宋体" w:eastAsia="宋体" w:cs="宋体"/>
          <w:b w:val="0"/>
          <w:bCs w:val="0"/>
          <w:color w:val="auto"/>
          <w:spacing w:val="2"/>
          <w:sz w:val="24"/>
          <w:szCs w:val="24"/>
          <w:highlight w:val="none"/>
          <w:u w:val="none"/>
          <w:lang w:val="en-US" w:eastAsia="zh-CN"/>
        </w:rPr>
        <w:t xml:space="preserve">计（密度未实测，以实际测量值为准）。</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cs="宋体"/>
          <w:b w:val="0"/>
          <w:bCs w:val="0"/>
          <w:color w:val="auto"/>
          <w:spacing w:val="2"/>
          <w:sz w:val="24"/>
          <w:szCs w:val="24"/>
          <w:highlight w:val="none"/>
          <w:u w:val="none"/>
          <w:lang w:val="en-US" w:eastAsia="zh-CN"/>
        </w:rPr>
        <w:t xml:space="preserve">（2）</w:t>
      </w:r>
      <w:r>
        <w:rPr>
          <w:rFonts w:hint="eastAsia" w:ascii="宋体" w:hAnsi="宋体" w:eastAsia="宋体" w:cs="宋体"/>
          <w:b w:val="0"/>
          <w:bCs w:val="0"/>
          <w:color w:val="auto"/>
          <w:spacing w:val="2"/>
          <w:sz w:val="24"/>
          <w:szCs w:val="24"/>
          <w:highlight w:val="none"/>
          <w:u w:val="none"/>
          <w:lang w:val="en-US" w:eastAsia="zh-CN"/>
        </w:rPr>
        <w:t xml:space="preserve">以上为预估工程量，实际以</w:t>
      </w:r>
      <w:r>
        <w:rPr>
          <w:rFonts w:hint="eastAsia" w:ascii="宋体" w:hAnsi="宋体" w:cs="宋体"/>
          <w:b w:val="0"/>
          <w:bCs w:val="0"/>
          <w:color w:val="auto"/>
          <w:spacing w:val="2"/>
          <w:sz w:val="24"/>
          <w:szCs w:val="24"/>
          <w:highlight w:val="none"/>
          <w:u w:val="none"/>
          <w:lang w:val="en-US" w:eastAsia="zh-CN"/>
        </w:rPr>
        <w:t xml:space="preserve">采购人</w:t>
      </w:r>
      <w:r>
        <w:rPr>
          <w:rFonts w:hint="eastAsia" w:ascii="宋体" w:hAnsi="宋体" w:eastAsia="宋体" w:cs="宋体"/>
          <w:b w:val="0"/>
          <w:bCs w:val="0"/>
          <w:color w:val="auto"/>
          <w:spacing w:val="2"/>
          <w:sz w:val="24"/>
          <w:szCs w:val="24"/>
          <w:highlight w:val="none"/>
          <w:u w:val="none"/>
          <w:lang w:val="en-US" w:eastAsia="zh-CN"/>
        </w:rPr>
        <w:t xml:space="preserve">通知为准。超出预估工程量的不再额外支付相关费用。</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（二）应急处置技术方案</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基于前期调查结果，根据地块处置目标、处置时限及处置范围等，结合经费投入、地块利益相关方需求等，按照科学、安全、规范、可行、经济的原则，以移除或者清理污染源为最终目标，通过工程技术手段，对本项目地块填埋物实施处置，具体如下：</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垃圾混合物清挖后，全部运送至有筛分能力的处置单位进行筛分（不在地块现场筛分），生活垃圾由有环保手续的水泥窑协同处置，建筑垃圾和土壤由有环保手续的资源化单位进行处置。</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（三）处置工作范围</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处置工作范围是对大明路西侧、龙锦路南侧（QQ030102）地块垃圾（建筑垃圾和生活垃圾）与土壤混合物开展开挖劳务服务以及运输筛分、处置服务，包括垃圾（建筑垃圾和生活垃圾）与土壤混合物清挖、外运至处置单位筛分、处置。垃圾混合物全部运送至有筛分能力的处置单位进行筛分（不在地块现场筛分），筛分后的生活垃圾由环保手续的水泥窑协同处置，建筑垃圾和土壤由有环保手续的资源化单位进行处置</w:t>
      </w:r>
      <w:r>
        <w:rPr>
          <w:rFonts w:hint="eastAsia" w:ascii="宋体" w:hAnsi="宋体" w:cs="宋体"/>
          <w:b w:val="0"/>
          <w:bCs w:val="0"/>
          <w:color w:val="auto"/>
          <w:spacing w:val="2"/>
          <w:sz w:val="24"/>
          <w:szCs w:val="24"/>
          <w:highlight w:val="none"/>
          <w:u w:val="none"/>
          <w:lang w:val="en-US" w:eastAsia="zh-CN"/>
        </w:rPr>
        <w:t xml:space="preserve">，废水、废土由合规处置的资源化处置单位</w:t>
      </w:r>
      <w:r>
        <w:rPr>
          <w:rFonts w:hint="eastAsia" w:ascii="宋体" w:hAnsi="宋体" w:eastAsia="宋体" w:cs="宋体"/>
          <w:b w:val="0"/>
          <w:bCs w:val="0"/>
          <w:color w:val="auto"/>
          <w:spacing w:val="2"/>
          <w:sz w:val="24"/>
          <w:szCs w:val="24"/>
          <w:highlight w:val="none"/>
          <w:u w:val="none"/>
          <w:lang w:val="en-US" w:eastAsia="zh-CN"/>
        </w:rPr>
        <w:t xml:space="preserve">进行处置。处置项目实施过程中的环境监测，二次污染防治措施的落实。</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本次处置范围仅限于业主提供的地块规划红线内，红线范围外不在本次处置方案工作范围内。</w:t>
      </w:r>
      <w:r/>
    </w:p>
    <w:p>
      <w:pPr>
        <w:jc w:val="center"/>
        <w:keepLines w:val="0"/>
        <w:keepNext w:val="0"/>
        <w:pageBreakBefore w:val="0"/>
        <w:spacing w:line="360" w:lineRule="auto"/>
        <w:widowControl w:val="off"/>
        <w:rPr>
          <w:rFonts w:hint="default" w:ascii="宋体" w:hAnsi="宋体" w:eastAsia="宋体" w:cs="宋体"/>
          <w:b w:val="0"/>
          <w:bCs w:val="0"/>
          <w:color w:val="auto"/>
          <w:spacing w:val="2"/>
          <w:sz w:val="24"/>
          <w:szCs w:val="24"/>
          <w:highlight w:val="none"/>
          <w:u w:val="none"/>
          <w:lang w:val="en-US" w:eastAsia="zh-CN"/>
        </w:rPr>
        <w:outlineLvl w:val="9"/>
      </w:pPr>
      <w:r>
        <w:rPr>
          <w:rFonts w:hint="default" w:ascii="宋体" w:hAnsi="宋体" w:eastAsia="宋体" w:cs="宋体"/>
          <w:b w:val="0"/>
          <w:bCs w:val="0"/>
          <w:color w:val="auto"/>
          <w:spacing w:val="2"/>
          <w:sz w:val="24"/>
          <w:szCs w:val="24"/>
          <w:highlight w:val="none"/>
          <w:u w:val="none"/>
          <w:lang w:val="en-US" w:eastAsia="zh-CN"/>
        </w:rPr>
        <mc:AlternateContent>
          <mc:Choice Requires="wpg">
            <w:drawing>
              <wp:inline xmlns:wp="http://schemas.openxmlformats.org/drawingml/2006/wordprocessingDrawing" distT="0" distB="0" distL="0" distR="0">
                <wp:extent cx="3818890" cy="3131820"/>
                <wp:effectExtent l="0" t="0" r="10160" b="11430"/>
                <wp:docPr id="12"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r/>
                      </pic:nvPicPr>
                      <pic:blipFill>
                        <a:blip r:embed="rId39"/>
                        <a:stretch/>
                      </pic:blipFill>
                      <pic:spPr bwMode="auto">
                        <a:xfrm>
                          <a:off x="0" y="0"/>
                          <a:ext cx="3818890" cy="313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00.7pt;height:246.6pt;mso-wrap-distance-left:0.0pt;mso-wrap-distance-top:0.0pt;mso-wrap-distance-right:0.0pt;mso-wrap-distance-bottom:0.0pt;" stroked="false">
                <v:path textboxrect="0,0,0,0"/>
                <v:imagedata r:id="rId39" o:title=""/>
              </v:shape>
            </w:pict>
          </mc:Fallback>
        </mc:AlternateContent>
      </w:r>
      <w:r/>
    </w:p>
    <w:p>
      <w:pPr>
        <w:jc w:val="center"/>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地块红线图</w:t>
      </w:r>
      <w:r/>
    </w:p>
    <w:tbl>
      <w:tblPr>
        <w:tblStyle w:val="1756"/>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0"/>
        <w:gridCol w:w="3001"/>
        <w:gridCol w:w="2255"/>
        <w:gridCol w:w="2260"/>
      </w:tblGrid>
      <w:tr>
        <w:trPr>
          <w:trHeight w:val="321"/>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序号</w:t>
            </w:r>
            <w:r/>
          </w:p>
        </w:tc>
        <w:tc>
          <w:tcPr>
            <w:tcW w:w="3001"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处置区域</w:t>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X坐标（m）</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Y坐标（m）</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c>
          <w:tcPr>
            <w:tcBorders>
              <w:bottom w:val="none" w:color="000000" w:sz="4" w:space="0"/>
            </w:tcBorders>
            <w:tcW w:w="3001" w:type="dxa"/>
            <w:vAlign w:val="center"/>
            <w:vMerge w:val="restart"/>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大明路西侧、龙锦路南侧（QQ030102）地块</w:t>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3517062.795</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40503030.324</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3517045.699</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40503101.115</w:t>
            </w:r>
            <w:r/>
          </w:p>
        </w:tc>
      </w:tr>
      <w:tr>
        <w:trPr>
          <w:trHeight w:val="319"/>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3517031.691</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40503100.555</w:t>
            </w:r>
            <w:r/>
          </w:p>
        </w:tc>
      </w:tr>
      <w:tr>
        <w:trPr>
          <w:trHeight w:val="317"/>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3517015.469</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40503096.773</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3517004.593</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40503093.203</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3516996.900</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40503089.640</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3516988.584</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40503081.112</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3516986.054</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40503073.004</w:t>
            </w:r>
            <w:r/>
          </w:p>
        </w:tc>
      </w:tr>
      <w:tr>
        <w:trPr>
          <w:trHeight w:val="319"/>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3516985.331</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40503064.534</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3516985.069</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40503037.810</w:t>
            </w:r>
            <w:r/>
          </w:p>
        </w:tc>
      </w:tr>
      <w:tr>
        <w:trPr>
          <w:trHeight w:val="316"/>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tcBorders>
              <w:top w:val="none" w:color="000000" w:sz="4" w:space="0"/>
              <w:bottom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3516994.275</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40503010.681</w:t>
            </w:r>
            <w:r/>
          </w:p>
        </w:tc>
      </w:tr>
      <w:tr>
        <w:trPr>
          <w:trHeight w:val="321"/>
        </w:trPr>
        <w:tc>
          <w:tcPr>
            <w:tcW w:w="101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w:t>
            </w:r>
            <w:r/>
          </w:p>
        </w:tc>
        <w:tc>
          <w:tcPr>
            <w:tcBorders>
              <w:top w:val="none" w:color="000000" w:sz="4" w:space="0"/>
            </w:tcBorders>
            <w:tcW w:w="3001" w:type="dxa"/>
            <w:vAlign w:val="center"/>
            <w:vMerge w:val="continue"/>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W w:w="2255"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3517027.732</w:t>
            </w:r>
            <w:r/>
          </w:p>
        </w:tc>
        <w:tc>
          <w:tcPr>
            <w:tcW w:w="2260" w:type="dxa"/>
            <w:vAlign w:val="center"/>
            <w:textDirection w:val="lrTb"/>
            <w:noWrap w:val="false"/>
          </w:tcPr>
          <w:p>
            <w:pPr>
              <w:jc w:val="center"/>
              <w:spacing w:line="440" w:lineRule="exact"/>
              <w:tabs>
                <w:tab w:val="left" w:pos="1200"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40503022.136</w:t>
            </w:r>
            <w:r/>
          </w:p>
        </w:tc>
      </w:tr>
    </w:tbl>
    <w:p>
      <w:pPr>
        <w:jc w:val="center"/>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填埋区处置范围拐点坐标</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w:t>
      </w:r>
      <w:r>
        <w:rPr>
          <w:rFonts w:hint="eastAsia" w:ascii="宋体" w:hAnsi="宋体" w:cs="宋体"/>
          <w:b/>
          <w:bCs/>
          <w:color w:val="auto"/>
          <w:spacing w:val="2"/>
          <w:sz w:val="24"/>
          <w:szCs w:val="24"/>
          <w:highlight w:val="none"/>
          <w:u w:val="none"/>
          <w:lang w:val="en-US" w:eastAsia="zh-CN"/>
        </w:rPr>
        <w:t xml:space="preserve">四</w:t>
      </w:r>
      <w:r>
        <w:rPr>
          <w:rFonts w:hint="eastAsia" w:ascii="宋体" w:hAnsi="宋体" w:eastAsia="宋体" w:cs="宋体"/>
          <w:b/>
          <w:bCs/>
          <w:color w:val="auto"/>
          <w:spacing w:val="2"/>
          <w:sz w:val="24"/>
          <w:szCs w:val="24"/>
          <w:highlight w:val="none"/>
          <w:u w:val="none"/>
          <w:lang w:val="en-US" w:eastAsia="zh-CN"/>
        </w:rPr>
        <w:t xml:space="preserve">）土壤检测分析结果</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本次调查地块内共布设土壤采样点13个，共采集、送检并分析检测13个土壤样品(不含平行样)。共检测土壤因子65种(不含pH)，检出土壤因子12种，检出率18.46%</w:t>
      </w:r>
      <w:r>
        <w:rPr>
          <w:rFonts w:hint="eastAsia" w:ascii="宋体" w:hAnsi="宋体" w:cs="宋体"/>
          <w:b w:val="0"/>
          <w:bCs w:val="0"/>
          <w:color w:val="auto"/>
          <w:spacing w:val="2"/>
          <w:sz w:val="24"/>
          <w:szCs w:val="24"/>
          <w:highlight w:val="none"/>
          <w:u w:val="none"/>
          <w:lang w:val="en-US" w:eastAsia="zh-CN"/>
        </w:rPr>
        <w:t xml:space="preserve">；</w:t>
      </w:r>
      <w:r>
        <w:rPr>
          <w:rFonts w:hint="eastAsia" w:ascii="宋体" w:hAnsi="宋体" w:eastAsia="宋体" w:cs="宋体"/>
          <w:b w:val="0"/>
          <w:bCs w:val="0"/>
          <w:color w:val="auto"/>
          <w:spacing w:val="2"/>
          <w:sz w:val="24"/>
          <w:szCs w:val="24"/>
          <w:highlight w:val="none"/>
          <w:u w:val="none"/>
          <w:lang w:val="en-US" w:eastAsia="zh-CN"/>
        </w:rPr>
        <w:t xml:space="preserve">取得146个土壤检测因子检出数据，所检因子含量均未超过《土壤环境质量建设用地土壤污染风险管控标准(试行)》(GB36600-2018)中第一类建设用地土壤污染风险筛选值。</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注</w:t>
      </w:r>
      <w:r>
        <w:rPr>
          <w:rFonts w:hint="eastAsia" w:ascii="宋体" w:hAnsi="宋体" w:cs="宋体"/>
          <w:b/>
          <w:bCs/>
          <w:color w:val="auto"/>
          <w:spacing w:val="2"/>
          <w:sz w:val="24"/>
          <w:szCs w:val="24"/>
          <w:highlight w:val="none"/>
          <w:u w:val="none"/>
          <w:lang w:val="en-US" w:eastAsia="zh-CN"/>
        </w:rPr>
        <w:t xml:space="preserve">：</w:t>
      </w:r>
      <w:r>
        <w:rPr>
          <w:rFonts w:hint="eastAsia" w:ascii="宋体" w:hAnsi="宋体" w:eastAsia="宋体" w:cs="宋体"/>
          <w:b/>
          <w:bCs/>
          <w:color w:val="auto"/>
          <w:spacing w:val="2"/>
          <w:sz w:val="24"/>
          <w:szCs w:val="24"/>
          <w:highlight w:val="none"/>
          <w:u w:val="none"/>
          <w:lang w:val="en-US" w:eastAsia="zh-CN"/>
        </w:rPr>
        <w:t xml:space="preserve">以上为不完全统计，需</w:t>
      </w:r>
      <w:r>
        <w:rPr>
          <w:rFonts w:hint="eastAsia" w:ascii="宋体" w:hAnsi="宋体" w:cs="宋体"/>
          <w:b/>
          <w:bCs/>
          <w:color w:val="auto"/>
          <w:spacing w:val="2"/>
          <w:sz w:val="24"/>
          <w:szCs w:val="24"/>
          <w:highlight w:val="none"/>
          <w:u w:val="none"/>
          <w:lang w:val="en-US" w:eastAsia="zh-CN"/>
        </w:rPr>
        <w:t xml:space="preserve">投标人</w:t>
      </w:r>
      <w:r>
        <w:rPr>
          <w:rFonts w:hint="eastAsia" w:ascii="宋体" w:hAnsi="宋体" w:eastAsia="宋体" w:cs="宋体"/>
          <w:b/>
          <w:bCs/>
          <w:color w:val="auto"/>
          <w:spacing w:val="2"/>
          <w:sz w:val="24"/>
          <w:szCs w:val="24"/>
          <w:highlight w:val="none"/>
          <w:u w:val="none"/>
          <w:lang w:val="en-US" w:eastAsia="zh-CN"/>
        </w:rPr>
        <w:t xml:space="preserve">自行勘察评估现场情况。</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eastAsia="宋体" w:cs="宋体"/>
          <w:b/>
          <w:bCs/>
          <w:color w:val="auto"/>
          <w:spacing w:val="2"/>
          <w:sz w:val="24"/>
          <w:szCs w:val="24"/>
          <w:highlight w:val="none"/>
          <w:u w:val="none"/>
          <w:lang w:val="en-US" w:eastAsia="zh-CN"/>
        </w:rPr>
        <w:t xml:space="preserve">（五）固废检测分析结果</w:t>
      </w:r>
      <w:r/>
    </w:p>
    <w:p>
      <w:pPr>
        <w:ind w:firstLine="488"/>
        <w:keepLines w:val="0"/>
        <w:keepNext w:val="0"/>
        <w:pageBreakBefore w:val="0"/>
        <w:spacing w:line="360" w:lineRule="auto"/>
        <w:widowControl w:val="off"/>
        <w:rPr>
          <w:rFonts w:hint="eastAsia" w:ascii="宋体" w:hAnsi="宋体" w:eastAsia="宋体" w:cs="宋体"/>
          <w:b w:val="0"/>
          <w:bCs w:val="0"/>
          <w:color w:val="auto"/>
          <w:spacing w:val="2"/>
          <w:sz w:val="24"/>
          <w:szCs w:val="24"/>
          <w:highlight w:val="none"/>
          <w:u w:val="none"/>
          <w:lang w:val="en-US" w:eastAsia="zh-CN"/>
        </w:rPr>
        <w:outlineLvl w:val="9"/>
      </w:pPr>
      <w:r>
        <w:rPr>
          <w:rFonts w:hint="eastAsia" w:ascii="宋体" w:hAnsi="宋体" w:eastAsia="宋体" w:cs="宋体"/>
          <w:b w:val="0"/>
          <w:bCs w:val="0"/>
          <w:color w:val="auto"/>
          <w:spacing w:val="2"/>
          <w:sz w:val="24"/>
          <w:szCs w:val="24"/>
          <w:highlight w:val="none"/>
          <w:u w:val="none"/>
          <w:lang w:val="en-US" w:eastAsia="zh-CN"/>
        </w:rPr>
        <w:t xml:space="preserve">本次调查地块内共布设固废采样点5个，共采集、送检并分析检测5个固废样品(不含平行样)。共检测固废浸出毒性因子33种(不含pH)，检出固废因子9种，检出率27.27%;取得43个浸出毒性因子检出数据，所检因子含量均未超过《危险废物鉴别标准浸出毒性鉴别》(GB5805.3-2007)中的浸出毒性鉴别标准。</w:t>
      </w:r>
      <w:r/>
    </w:p>
    <w:p>
      <w:pPr>
        <w:ind w:firstLine="488"/>
        <w:keepLines w:val="0"/>
        <w:keepNext w:val="0"/>
        <w:pageBreakBefore w:val="0"/>
        <w:spacing w:line="360" w:lineRule="auto"/>
        <w:widowControl w:val="off"/>
        <w:rPr>
          <w:rFonts w:hint="eastAsia" w:ascii="宋体" w:hAnsi="宋体" w:cs="宋体"/>
          <w:b/>
          <w:bCs/>
          <w:color w:val="auto"/>
          <w:spacing w:val="2"/>
          <w:sz w:val="24"/>
          <w:szCs w:val="24"/>
          <w:highlight w:val="none"/>
          <w:u w:val="none"/>
          <w:lang w:val="en-US" w:eastAsia="zh-CN"/>
        </w:rPr>
        <w:outlineLvl w:val="9"/>
      </w:pPr>
      <w:r>
        <w:rPr>
          <w:rFonts w:hint="eastAsia" w:ascii="宋体" w:hAnsi="宋体" w:cs="宋体"/>
          <w:b/>
          <w:bCs/>
          <w:color w:val="auto"/>
          <w:spacing w:val="2"/>
          <w:sz w:val="24"/>
          <w:szCs w:val="24"/>
          <w:highlight w:val="none"/>
          <w:u w:val="none"/>
          <w:lang w:val="en-US" w:eastAsia="zh-CN"/>
        </w:rPr>
        <w:t xml:space="preserve">注：以上为不完全统计，需投标人自行勘察评估现场情况。</w:t>
      </w:r>
      <w:r/>
    </w:p>
    <w:p>
      <w:pPr>
        <w:ind w:firstLine="488"/>
        <w:keepLines w:val="0"/>
        <w:keepNext w:val="0"/>
        <w:pageBreakBefore w:val="0"/>
        <w:spacing w:line="360" w:lineRule="auto"/>
        <w:widowControl w:val="off"/>
        <w:rPr>
          <w:rFonts w:hint="eastAsia" w:ascii="宋体" w:hAnsi="宋体" w:eastAsia="宋体" w:cs="宋体"/>
          <w:b/>
          <w:bCs/>
          <w:color w:val="auto"/>
          <w:spacing w:val="2"/>
          <w:sz w:val="24"/>
          <w:szCs w:val="24"/>
          <w:highlight w:val="none"/>
          <w:u w:val="none"/>
          <w:lang w:val="en-US" w:eastAsia="zh-CN"/>
        </w:rPr>
        <w:outlineLvl w:val="9"/>
      </w:pPr>
      <w:r>
        <w:rPr>
          <w:rFonts w:hint="eastAsia" w:ascii="宋体" w:hAnsi="宋体" w:cs="宋体"/>
          <w:b/>
          <w:bCs/>
          <w:color w:val="auto"/>
          <w:spacing w:val="2"/>
          <w:sz w:val="24"/>
          <w:szCs w:val="24"/>
          <w:highlight w:val="none"/>
          <w:u w:val="none"/>
          <w:lang w:val="en-US" w:eastAsia="zh-CN"/>
        </w:rPr>
        <w:t xml:space="preserve">（六）</w:t>
      </w:r>
      <w:r>
        <w:rPr>
          <w:rFonts w:hint="eastAsia" w:ascii="宋体" w:hAnsi="宋体" w:eastAsia="宋体" w:cs="宋体"/>
          <w:b/>
          <w:bCs/>
          <w:color w:val="auto"/>
          <w:spacing w:val="2"/>
          <w:sz w:val="24"/>
          <w:szCs w:val="24"/>
          <w:highlight w:val="none"/>
          <w:u w:val="none"/>
          <w:lang w:val="en-US" w:eastAsia="zh-CN"/>
        </w:rPr>
        <w:t xml:space="preserve">服务内容</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1.场地处理：基础建设设施，车辆停放区、建设临时道路、废水暂存区、基础建设设施，包括但不限于原便道加铺碎石面层或浇筑砼路面，</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lang w:val="en-US" w:eastAsia="zh-CN"/>
        </w:rPr>
        <w:t xml:space="preserve">自行踏勘现场综合考虑施工方案,满足运输以及人员通行的需要等。</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2.污染土壤挖掘、处置等</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余方弃置</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污染土壤转运：含翻挖、人工配合清挖，短驳，配合称重、装车等；土方运至水泥窑进行焚烧处理；外运方式及运距自行考虑；土壤外运按相关规范执行，且运输过程需全程监测及控制，确保不产生二次污染</w:t>
      </w:r>
      <w:r>
        <w:rPr>
          <w:rFonts w:hint="eastAsia" w:ascii="宋体" w:hAnsi="宋体" w:eastAsia="宋体" w:cs="宋体"/>
          <w:bCs/>
          <w:color w:val="000000"/>
          <w:sz w:val="24"/>
          <w:szCs w:val="24"/>
          <w:highlight w:val="none"/>
          <w:lang w:val="en-US" w:eastAsia="zh-CN"/>
        </w:rPr>
        <w:t xml:space="preserve">。</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水泥窑协同处置，水泥窑协同处置：运至水泥窑协同处理厂后，称重并进行检测和试烧，满足标准后进行水泥窑协同处置；满足设计、规范及方案要求。</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3.废水处理</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废水处置，施工范围内产生废水处理：含收集、处理及外运处置；收集、处理及外运处置方式自行考虑；满足设计、规范及方案要求。</w:t>
      </w:r>
      <w:r/>
    </w:p>
    <w:p>
      <w:p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废水处理设备，购买污染水处理设施及设备：一体化水处理设备、支架水池、相关配套设施、耗材、使用；设备规格、数量等均需满足满足设计、规范及方案要求。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应将项目实施计划、质量保证措施、转运及处置进度等各类材料由采购人审核，审核通过后方可实施。实施计划等要求不得低于</w:t>
      </w:r>
      <w:r>
        <w:rPr>
          <w:rFonts w:hint="eastAsia" w:ascii="宋体" w:hAnsi="宋体" w:cs="宋体"/>
          <w:bCs/>
          <w:color w:val="000000"/>
          <w:sz w:val="24"/>
          <w:szCs w:val="24"/>
          <w:highlight w:val="none"/>
          <w:lang w:val="en-US" w:eastAsia="zh-CN"/>
        </w:rPr>
        <w:t xml:space="preserve">采购文件</w:t>
      </w:r>
      <w:r>
        <w:rPr>
          <w:rFonts w:hint="eastAsia" w:ascii="宋体" w:hAnsi="宋体" w:eastAsia="宋体" w:cs="宋体"/>
          <w:bCs/>
          <w:color w:val="000000"/>
          <w:sz w:val="24"/>
          <w:szCs w:val="24"/>
          <w:highlight w:val="none"/>
        </w:rPr>
        <w:t xml:space="preserve">中工作要求。</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需考虑完成本项目可能发生的情况，超出合同金额的，不再另行增加费用。</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实施过程中各类终端处置单位应具备处置类别的环评批复或经环保主管部门的批复许可等相关证明材料，确保</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和废水合规处置。</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应在</w:t>
      </w:r>
      <w:r>
        <w:rPr>
          <w:rFonts w:hint="eastAsia" w:ascii="宋体" w:hAnsi="宋体" w:cs="宋体"/>
          <w:bCs/>
          <w:color w:val="000000"/>
          <w:sz w:val="24"/>
          <w:szCs w:val="24"/>
          <w:highlight w:val="none"/>
          <w:lang w:eastAsia="zh-CN"/>
        </w:rPr>
        <w:t xml:space="preserve">中标</w:t>
      </w:r>
      <w:r>
        <w:rPr>
          <w:rFonts w:hint="eastAsia" w:ascii="宋体" w:hAnsi="宋体" w:eastAsia="宋体" w:cs="宋体"/>
          <w:bCs/>
          <w:color w:val="000000"/>
          <w:sz w:val="24"/>
          <w:szCs w:val="24"/>
          <w:highlight w:val="none"/>
        </w:rPr>
        <w:t xml:space="preserve">一周内完成转运手续办理，具备转运条件。</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及终端处置单位的接收及处置能力需满足现场工期需求，保障地块现场的</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和废水及时转运。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.转运管理要求：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中标人应在合同签订后3个工作日内，向采购人提交《固废转运实施方案》，内容包括运输路线、车辆信息、接收单位资质、污染防治措施等。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中标人应配合采购人，在合同签订后7个工作日内，完成向生态环境、城市管理、交通运输等主管部门的转运计划备案或报批手续，并取得书面回执或准运许可。</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所有因中标人自身原因产生的手续申请费、材料编制费、车辆通行证费等，由中标人自行承担。涉及政府行政性收费的，按现行政策执行。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中标人须确保所用运输车辆符合道路运输法规要求，并提供车辆营运证及驾驶员从业资格证明。如委托第三方运输，须提供有效合作协议及对方资质文件。</w:t>
      </w:r>
      <w:r/>
    </w:p>
    <w:p>
      <w:pPr>
        <w:ind w:firstLine="480"/>
        <w:spacing w:line="360" w:lineRule="auto"/>
        <w:rPr>
          <w:rFonts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提供的车辆总转运能力满足现场工期需求，且车辆必须防渗漏及密闭，满足现场现有道路的行驶，现场需派专人对车辆进出场进行协调，施工期间保证场内相邻道路的畅通；派驻专人在终端单位负责接收；所有外运车辆必须确保密闭运输，</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不遗撒，废水不泄露，车辆冲洗干净后方可出场，</w:t>
      </w:r>
      <w:r>
        <w:rPr>
          <w:rFonts w:hint="eastAsia" w:ascii="宋体" w:hAnsi="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派专人负责车辆清洗；所有运输车辆必须并按照转运计划中路线转运，转运过程执行转移联单制度。</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应严格落实施工期间二次污染防治措施（包含但不限于处置方案明确的二次污染防治措施），合理安排作业时间，尽可能避免对周边环境产生影响。出场后运输途中的道路清洗均由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在实施过程中造成二次污染或其他第三方损害的，</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负责整改到位并且承担由此产生的一切责任。</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必须确保现场安全，在实施过程中发生的所有安全事故均由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承担全部责任和后果。</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未经招标人同意，不得对相关方案进行变更，否则一切责任和后果均由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全部承担，采购人有权无条件终止本项目的服务合同。</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w:t>
      </w:r>
      <w:r>
        <w:rPr>
          <w:rFonts w:hint="eastAsia" w:ascii="宋体" w:hAnsi="宋体" w:cs="宋体"/>
          <w:bCs/>
          <w:color w:val="000000"/>
          <w:sz w:val="24"/>
          <w:szCs w:val="24"/>
          <w:highlight w:val="none"/>
          <w:lang w:eastAsia="zh-CN"/>
        </w:rPr>
        <w:t xml:space="preserve">中标</w:t>
      </w:r>
      <w:r>
        <w:rPr>
          <w:rFonts w:hint="eastAsia" w:ascii="宋体" w:hAnsi="宋体" w:eastAsia="宋体" w:cs="宋体"/>
          <w:bCs/>
          <w:color w:val="000000"/>
          <w:sz w:val="24"/>
          <w:szCs w:val="24"/>
          <w:highlight w:val="none"/>
        </w:rPr>
        <w:t xml:space="preserve">后项目实施期间，如需变更方案，应书面进行变更可行性分析，并履行相关变更手续，必要时进行专家论证，经各方确认后方可变更。变更所产生的费用均包含在合同价中，不再另外增加费用。</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.采购人若委托验收单位、监理及跟踪审计单位参与本项目，</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需配合参建单位的工作要求。采购人同时会专门委托相关审计单位。</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应当为项目参建单位、采购人的检查、检验、验收等提供必要协助。未经采购人同意的不利物质条件造成的工期延误及费用增加由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自行承担。</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.由于</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原因引起的验收不合格而引起的工期延误及其它返工等一切经济损失由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原因而引起的工期延误，造成的其他施工单位损失均由</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地块内固体废物清理、处置及场地整理工作，最终场地恢复形式、标高控制及表层处理要求，以采购人现场书面指令为准。投标人应综合考虑场地平整、表层处理、覆土、压实等各类可能的施工内容及相关费用，无论采购人最终确定采用何种场地恢复方式，投标人均应无条件执行，采购人不因此增加任何费用、不调整合同价款。</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质量及安全要求</w:t>
      </w:r>
      <w:r/>
    </w:p>
    <w:p>
      <w:pPr>
        <w:ind w:firstLine="482"/>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按照处置方案要求的范围及方量进行开挖、筛分，筛分后的土、生活垃圾和污染土壤、建筑垃圾以及废水均按照处置方案要求进行规范处置。项目结束后，需达到验收要求，通过验收。</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rPr>
        <w:t xml:space="preserve">负责办理各相关部门的手续。</w:t>
      </w:r>
      <w:r/>
    </w:p>
    <w:p>
      <w:pPr>
        <w:ind w:firstLine="482"/>
        <w:spacing w:line="360" w:lineRule="auto"/>
        <w:rPr>
          <w:rFonts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验收标准</w:t>
      </w:r>
      <w:r/>
    </w:p>
    <w:p>
      <w:pPr>
        <w:ind w:firstLine="480"/>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1.本项目验收标准、验收内容、验收程序、合格判定条件均按照国家及地方现行有效规范执行。</w:t>
      </w:r>
      <w:r/>
    </w:p>
    <w:p>
      <w:pPr>
        <w:ind w:firstLine="480"/>
        <w:spacing w:line="360" w:lineRule="auto"/>
        <w:rPr>
          <w:rFonts w:ascii="宋体" w:hAnsi="宋体" w:eastAsia="宋体" w:cs="宋体"/>
          <w:b/>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本项目对</w:t>
      </w:r>
      <w:r>
        <w:rPr>
          <w:rFonts w:ascii="宋体" w:hAnsi="宋体" w:eastAsia="宋体" w:cs="宋体"/>
          <w:bCs/>
          <w:color w:val="000000"/>
          <w:sz w:val="24"/>
          <w:szCs w:val="24"/>
          <w:highlight w:val="none"/>
        </w:rPr>
        <w:t xml:space="preserve">污染土壤</w:t>
      </w:r>
      <w:r>
        <w:rPr>
          <w:rFonts w:hint="eastAsia" w:ascii="宋体" w:hAnsi="宋体" w:eastAsia="宋体" w:cs="宋体"/>
          <w:bCs/>
          <w:color w:val="000000"/>
          <w:sz w:val="24"/>
          <w:szCs w:val="24"/>
          <w:highlight w:val="none"/>
        </w:rPr>
        <w:t xml:space="preserve">和废水外运处置等满足处置方案、</w:t>
      </w:r>
      <w:r>
        <w:rPr>
          <w:rFonts w:hint="eastAsia" w:ascii="宋体" w:hAnsi="宋体" w:cs="宋体"/>
          <w:bCs/>
          <w:color w:val="000000"/>
          <w:sz w:val="24"/>
          <w:szCs w:val="24"/>
          <w:highlight w:val="none"/>
          <w:lang w:val="en-US" w:eastAsia="zh-CN"/>
        </w:rPr>
        <w:t xml:space="preserve">采购文件</w:t>
      </w:r>
      <w:r>
        <w:rPr>
          <w:rFonts w:hint="eastAsia" w:ascii="宋体" w:hAnsi="宋体" w:eastAsia="宋体" w:cs="宋体"/>
          <w:bCs/>
          <w:color w:val="000000"/>
          <w:sz w:val="24"/>
          <w:szCs w:val="24"/>
          <w:highlight w:val="none"/>
        </w:rPr>
        <w:t xml:space="preserve">、验收要求及相关环保法律法规等要求，确保项目通过验收及专家评审。</w:t>
      </w:r>
      <w:r/>
    </w:p>
    <w:p>
      <w:pPr>
        <w:ind w:firstLine="482"/>
        <w:spacing w:line="360" w:lineRule="auto"/>
        <w:rPr>
          <w:rFonts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保密要求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负责对采购人所提供资料及最终成果保密，</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及其专业技术人员需遵守采购人的保密规定，不以任何形式将收集的所有资料、数据等进行泄漏、传播。</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需签署相关保密协议，承担工作中接触相关内容的保密义务。</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3.项目成果所有权归属采购人，在项目完成时</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必须全部移交，不得以任何形式公开项目信息。</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须维护项目服务成果，不得转让给第三方重复使用。</w:t>
      </w:r>
      <w:r/>
    </w:p>
    <w:p>
      <w:pPr>
        <w:ind w:firstLine="480"/>
        <w:spacing w:line="360" w:lineRule="auto"/>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5.以上保密规定如有违反，采购人有权追究</w:t>
      </w:r>
      <w:r>
        <w:rPr>
          <w:rFonts w:hint="eastAsia" w:ascii="宋体" w:hAnsi="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相关法律责任并有权不进行费用结算。</w:t>
      </w:r>
      <w:r/>
    </w:p>
    <w:p>
      <w:pPr>
        <w:ind w:firstLine="488"/>
        <w:keepLines w:val="0"/>
        <w:keepNext w:val="0"/>
        <w:pageBreakBefore w:val="0"/>
        <w:spacing w:line="360" w:lineRule="auto"/>
        <w:widowControl w:val="off"/>
        <w:rPr>
          <w:rFonts w:hint="eastAsia" w:ascii="宋体" w:hAnsi="宋体" w:cs="宋体"/>
          <w:b/>
          <w:bCs/>
          <w:color w:val="auto"/>
          <w:spacing w:val="2"/>
          <w:sz w:val="24"/>
          <w:szCs w:val="24"/>
          <w:highlight w:val="none"/>
          <w:u w:val="none"/>
          <w:lang w:val="en-US" w:eastAsia="zh-CN"/>
        </w:rPr>
        <w:outlineLvl w:val="9"/>
      </w:pPr>
      <w:r>
        <w:rPr>
          <w:rFonts w:hint="eastAsia" w:ascii="宋体" w:hAnsi="宋体" w:cs="宋体"/>
          <w:b/>
          <w:bCs/>
          <w:color w:val="auto"/>
          <w:spacing w:val="2"/>
          <w:sz w:val="24"/>
          <w:szCs w:val="24"/>
          <w:highlight w:val="none"/>
          <w:u w:val="none"/>
          <w:lang w:val="en-US" w:eastAsia="zh-CN"/>
        </w:rPr>
        <w:t xml:space="preserve">（十）报价方式</w:t>
      </w:r>
      <w:r/>
    </w:p>
    <w:p>
      <w:pPr>
        <w:contextualSpacing/>
        <w:ind w:firstLine="480"/>
        <w:keepLines w:val="0"/>
        <w:keepNext w:val="0"/>
        <w:pageBreakBefore w:val="0"/>
        <w:spacing w:line="360" w:lineRule="auto"/>
        <w:widowControl w:val="off"/>
        <w:rPr>
          <w:rFonts w:hint="eastAsia" w:ascii="宋体" w:hAnsi="宋体" w:cs="宋体"/>
          <w:color w:val="auto"/>
          <w:sz w:val="24"/>
          <w:highlight w:val="none"/>
          <w:u w:val="none"/>
          <w:lang w:val="en-US" w:eastAsia="zh-CN"/>
        </w:rPr>
        <w:outlineLvl w:val="9"/>
      </w:pPr>
      <w:r>
        <w:rPr>
          <w:rFonts w:hint="eastAsia" w:ascii="宋体" w:hAnsi="宋体" w:cs="宋体"/>
          <w:color w:val="auto"/>
          <w:sz w:val="24"/>
          <w:highlight w:val="none"/>
          <w:u w:val="none"/>
          <w:lang w:val="en-US" w:eastAsia="zh-CN"/>
        </w:rPr>
        <w:t xml:space="preserve">本项目报价为</w:t>
      </w:r>
      <w:r>
        <w:rPr>
          <w:rFonts w:hint="eastAsia" w:ascii="宋体" w:hAnsi="宋体" w:cs="宋体"/>
          <w:b/>
          <w:bCs/>
          <w:color w:val="auto"/>
          <w:sz w:val="24"/>
          <w:highlight w:val="none"/>
          <w:u w:val="none"/>
          <w:lang w:val="en-US" w:eastAsia="zh-CN"/>
        </w:rPr>
        <w:t xml:space="preserve">固定单价</w:t>
      </w:r>
      <w:r>
        <w:rPr>
          <w:rFonts w:hint="eastAsia" w:ascii="宋体" w:hAnsi="宋体" w:cs="宋体"/>
          <w:color w:val="auto"/>
          <w:sz w:val="24"/>
          <w:highlight w:val="none"/>
          <w:u w:val="none"/>
          <w:lang w:val="en-US" w:eastAsia="zh-CN"/>
        </w:rPr>
        <w:t xml:space="preserve">，投标报价应包括采购文件所确定的采购范围相应服务的提供、人员（包括工资和补贴）、专家评审费、办公场所及设施、机械费、材料费、不可预见费用、保险、劳保、管理、各种税费、利润、税金、政策性文件规定及合同包含的所有风险、责任等各项应有费用，以及为完成该项服务项目所涉及到的一切相关费用，采购人不再支付其他任何费用。</w:t>
      </w:r>
      <w:r/>
    </w:p>
    <w:p>
      <w:pPr>
        <w:contextualSpacing/>
        <w:ind w:firstLine="420"/>
        <w:keepLines w:val="0"/>
        <w:keepNext w:val="0"/>
        <w:pageBreakBefore w:val="0"/>
        <w:spacing w:line="360" w:lineRule="auto"/>
        <w:widowControl w:val="off"/>
        <w:rPr>
          <w:rFonts w:hint="eastAsia" w:ascii="宋体" w:hAnsi="宋体" w:cs="宋体"/>
          <w:b/>
          <w:bCs/>
          <w:color w:val="auto"/>
          <w:sz w:val="24"/>
          <w:highlight w:val="none"/>
          <w:u w:val="none"/>
          <w:lang w:val="en-US" w:eastAsia="zh-CN"/>
        </w:rPr>
        <w:outlineLvl w:val="9"/>
      </w:pPr>
      <w:r>
        <w:rPr>
          <w:rFonts w:hint="eastAsia" w:ascii="宋体" w:hAnsi="宋体" w:cs="宋体"/>
          <w:color w:val="auto"/>
          <w:szCs w:val="21"/>
          <w:highlight w:val="none"/>
          <w:lang w:eastAsia="zh-CN"/>
        </w:rPr>
        <w:t xml:space="preserve">★</w:t>
      </w:r>
      <w:r>
        <w:rPr>
          <w:rFonts w:hint="eastAsia" w:ascii="宋体" w:hAnsi="宋体" w:cs="宋体"/>
          <w:b/>
          <w:bCs/>
          <w:color w:val="auto"/>
          <w:sz w:val="24"/>
          <w:highlight w:val="none"/>
          <w:u w:val="none"/>
          <w:lang w:val="en-US" w:eastAsia="zh-CN"/>
        </w:rPr>
        <w:t xml:space="preserve">注</w:t>
      </w:r>
      <w:r>
        <w:rPr>
          <w:rFonts w:hint="eastAsia" w:ascii="宋体" w:hAnsi="宋体" w:cs="宋体"/>
          <w:b/>
          <w:bCs/>
          <w:color w:val="auto"/>
          <w:spacing w:val="2"/>
          <w:sz w:val="24"/>
          <w:szCs w:val="24"/>
          <w:highlight w:val="none"/>
          <w:u w:val="none"/>
          <w:lang w:val="en-US" w:eastAsia="zh-CN"/>
        </w:rPr>
        <w:t xml:space="preserve">：</w:t>
      </w:r>
      <w:r>
        <w:rPr>
          <w:rFonts w:hint="eastAsia" w:ascii="宋体" w:hAnsi="宋体" w:cs="宋体"/>
          <w:b/>
          <w:bCs/>
          <w:color w:val="auto"/>
          <w:sz w:val="24"/>
          <w:highlight w:val="none"/>
          <w:u w:val="none"/>
          <w:lang w:val="en-US" w:eastAsia="zh-CN"/>
        </w:rPr>
        <w:t xml:space="preserve">固定单价，按实结算，且合同结算金额不超过中标金额，投标文件中提供承诺函式（格式自拟）并加盖投标人公章，否则视为无效响应。</w:t>
      </w:r>
      <w:r/>
    </w:p>
    <w:p>
      <w:pPr>
        <w:contextualSpacing/>
        <w:ind w:firstLine="480"/>
        <w:keepLines w:val="0"/>
        <w:keepNext w:val="0"/>
        <w:pageBreakBefore w:val="0"/>
        <w:spacing w:line="360" w:lineRule="auto"/>
        <w:widowControl w:val="off"/>
        <w:rPr>
          <w:rFonts w:hint="eastAsia" w:asciiTheme="majorEastAsia" w:hAnsiTheme="majorEastAsia" w:eastAsiaTheme="majorEastAsia"/>
          <w:b/>
          <w:bCs/>
          <w:color w:val="auto"/>
          <w:sz w:val="44"/>
          <w:szCs w:val="44"/>
          <w:highlight w:val="none"/>
        </w:rPr>
        <w:outlineLvl w:val="9"/>
      </w:pPr>
      <w:r>
        <w:rPr>
          <w:rFonts w:hint="eastAsia" w:ascii="宋体" w:hAnsi="宋体" w:cs="宋体"/>
          <w:color w:val="auto"/>
          <w:sz w:val="24"/>
          <w:highlight w:val="none"/>
          <w:u w:val="none"/>
          <w:lang w:eastAsia="zh-CN"/>
        </w:rPr>
        <w:br w:type="page" w:clear="all"/>
      </w:r>
      <w:bookmarkEnd w:id="813"/>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814"/>
      <w:r/>
      <w:bookmarkEnd w:id="815"/>
      <w:r/>
      <w:r/>
    </w:p>
    <w:p>
      <w:pPr>
        <w:pStyle w:val="15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16" w:name="_Toc18832"/>
      <w:r/>
      <w:bookmarkStart w:id="817" w:name="_Toc99301426"/>
      <w:r>
        <w:rPr>
          <w:rFonts w:hint="eastAsia" w:hAnsi="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lang w:val="zh-CN"/>
        </w:rPr>
        <w:t xml:space="preserve">（以下称甲</w:t>
      </w:r>
      <w:r>
        <w:rPr>
          <w:rFonts w:hint="eastAsia" w:ascii="宋体" w:hAnsi="宋体" w:eastAsia="宋体" w:cs="宋体"/>
          <w:b/>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江苏常州天宁经济开发区管理委员会</w:t>
      </w:r>
      <w:r>
        <w:rPr>
          <w:rFonts w:hint="eastAsia" w:ascii="宋体" w:hAnsi="宋体" w:eastAsia="宋体" w:cs="宋体"/>
          <w:color w:val="auto"/>
          <w:sz w:val="24"/>
          <w:szCs w:val="24"/>
          <w:highlight w:val="none"/>
          <w:u w:val="single"/>
        </w:rPr>
        <w:t xml:space="preserve"> </w:t>
      </w:r>
      <w:r/>
    </w:p>
    <w:p>
      <w:pPr>
        <w:pStyle w:val="152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以下称</w:t>
      </w: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p>
    <w:p>
      <w:pPr>
        <w:pStyle w:val="1507"/>
        <w:ind w:firstLine="9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pStyle w:val="150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1507"/>
        <w:jc w:val="righ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甲乙双方依据</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以及有关法律、法规的规定，经协商一致，订立本合同，以便共同遵守。</w:t>
      </w:r>
      <w:r/>
    </w:p>
    <w:p>
      <w:pPr>
        <w:pStyle w:val="1520"/>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第一条 合同标的</w:t>
      </w:r>
      <w:r/>
    </w:p>
    <w:p>
      <w:pPr>
        <w:ind w:firstLine="484"/>
        <w:jc w:val="left"/>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系指根据合同规定乙方须承担与服务有关的所有辅助服务</w:t>
      </w:r>
      <w:r>
        <w:rPr>
          <w:rFonts w:hint="eastAsia" w:ascii="宋体" w:hAnsi="宋体" w:eastAsia="宋体" w:cs="宋体"/>
          <w:color w:val="auto"/>
          <w:sz w:val="24"/>
          <w:szCs w:val="24"/>
          <w:highlight w:val="none"/>
          <w:lang w:val="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第二条 合同价格</w:t>
      </w:r>
      <w:r/>
    </w:p>
    <w:p>
      <w:pPr>
        <w:pStyle w:val="1520"/>
        <w:ind w:firstLine="487"/>
        <w:jc w:val="left"/>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rPr>
        <w:t xml:space="preserve">签约合同价（人民币，下同）</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本合同价</w:t>
      </w:r>
      <w:r>
        <w:rPr>
          <w:rFonts w:hint="eastAsia" w:ascii="宋体" w:hAnsi="宋体" w:eastAsia="宋体" w:cs="宋体"/>
          <w:color w:val="auto"/>
          <w:spacing w:val="2"/>
          <w:sz w:val="24"/>
          <w:szCs w:val="24"/>
          <w:highlight w:val="none"/>
          <w:u w:val="none"/>
          <w:lang w:val="en-US" w:eastAsia="zh-CN"/>
        </w:rPr>
        <w:t xml:space="preserve">包括招标文件所确定的采购范围</w:t>
      </w:r>
      <w:r>
        <w:rPr>
          <w:rFonts w:hint="eastAsia" w:hAnsi="宋体" w:cs="宋体"/>
          <w:color w:val="auto"/>
          <w:spacing w:val="2"/>
          <w:sz w:val="24"/>
          <w:szCs w:val="24"/>
          <w:highlight w:val="none"/>
          <w:u w:val="none"/>
          <w:lang w:val="en-US" w:eastAsia="zh-CN"/>
        </w:rPr>
        <w:t xml:space="preserve">内</w:t>
      </w:r>
      <w:r>
        <w:rPr>
          <w:rFonts w:hint="eastAsia" w:ascii="宋体" w:hAnsi="宋体" w:eastAsia="宋体" w:cs="宋体"/>
          <w:color w:val="auto"/>
          <w:spacing w:val="2"/>
          <w:sz w:val="24"/>
          <w:szCs w:val="24"/>
          <w:highlight w:val="none"/>
          <w:u w:val="none"/>
          <w:lang w:val="en-US" w:eastAsia="zh-CN"/>
        </w:rPr>
        <w:t xml:space="preserve">相应服务的提供、人员（包括工资和补贴）、</w:t>
      </w:r>
      <w:r>
        <w:rPr>
          <w:rFonts w:hint="eastAsia" w:ascii="宋体" w:hAnsi="宋体" w:cs="宋体"/>
          <w:color w:val="auto"/>
          <w:sz w:val="24"/>
          <w:highlight w:val="none"/>
          <w:u w:val="none"/>
          <w:lang w:val="en-US" w:eastAsia="zh-CN"/>
        </w:rPr>
        <w:t xml:space="preserve">专家评审费、</w:t>
      </w:r>
      <w:r>
        <w:rPr>
          <w:rFonts w:hint="eastAsia" w:ascii="宋体" w:hAnsi="宋体" w:eastAsia="宋体" w:cs="宋体"/>
          <w:color w:val="auto"/>
          <w:spacing w:val="2"/>
          <w:sz w:val="24"/>
          <w:szCs w:val="24"/>
          <w:highlight w:val="none"/>
          <w:u w:val="none"/>
          <w:lang w:val="en-US" w:eastAsia="zh-CN"/>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不再支付其他任何费用。</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本合同总价款还包含乙方应当提供的伴随服务/售后服务费用。</w:t>
      </w:r>
      <w:r/>
    </w:p>
    <w:p>
      <w:pPr>
        <w:pStyle w:val="1520"/>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 组成本合同的有关文件</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（编号：</w:t>
      </w:r>
      <w:r>
        <w:rPr>
          <w:rFonts w:hint="eastAsia" w:hAnsi="宋体" w:cs="宋体"/>
          <w:color w:val="auto"/>
          <w:sz w:val="24"/>
          <w:szCs w:val="24"/>
          <w:highlight w:val="none"/>
          <w:lang w:eastAsia="zh-CN"/>
        </w:rPr>
        <w:t xml:space="preserve">JSZC-320402022-SYZB-G2026-0030</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pStyle w:val="152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（4）甲乙双方商定的其他文件等。</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条 合同款结算及支付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1.本合同项下所有款项均以人民币支付。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484"/>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结算方式：固定单价，按实结算。</w:t>
      </w:r>
      <w:r/>
    </w:p>
    <w:p>
      <w:pPr>
        <w:ind w:firstLine="484"/>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pacing w:val="2"/>
          <w:sz w:val="24"/>
          <w:szCs w:val="24"/>
          <w:highlight w:val="none"/>
          <w:u w:val="none"/>
          <w:lang w:val="en-US" w:eastAsia="zh-CN"/>
        </w:rPr>
        <w:t xml:space="preserve">合同签订后支付合同价的30%；项目筛分量达到8000吨（如需审计的需经审计后），支付至合同价的50%；</w:t>
      </w:r>
      <w:r>
        <w:rPr>
          <w:rFonts w:hint="eastAsia" w:ascii="宋体" w:hAnsi="宋体" w:cs="宋体"/>
          <w:color w:val="auto"/>
          <w:spacing w:val="2"/>
          <w:sz w:val="24"/>
          <w:szCs w:val="24"/>
          <w:highlight w:val="none"/>
          <w:u w:val="none"/>
          <w:lang w:val="en-US" w:eastAsia="zh-CN"/>
        </w:rPr>
        <w:t xml:space="preserve">项目验收完成并（如需审计后）付至合同价(审定价)的100%</w:t>
      </w:r>
      <w:r>
        <w:rPr>
          <w:rFonts w:hint="eastAsia" w:ascii="宋体" w:hAnsi="宋体" w:eastAsia="宋体" w:cs="宋体"/>
          <w:color w:val="auto"/>
          <w:spacing w:val="2"/>
          <w:sz w:val="24"/>
          <w:szCs w:val="24"/>
          <w:highlight w:val="none"/>
          <w:u w:val="none"/>
          <w:lang w:val="en-US" w:eastAsia="zh-CN"/>
        </w:rPr>
        <w:t xml:space="preserve">。</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条 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1.如乙方不能按约定进行服务的，甲方有权解除合同，同时有权要求乙方按照合同总价5%的标准支付违约金，解除合同的通知自发出之日生效。</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.乙方未按本合同的规定和“服务承诺”提供伴随服务的，甲方有权提前解除本合同，同时乙方应按合同总价款的5 %向甲方承担违约责任。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 合同的变更和终止</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 合同的转让</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条 不可抗力</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条 争议的解决</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（1）向甲方所在地人民法院提起诉讼；</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（2）向甲方所在地仲裁委员会按其仲裁规则申请仲裁。</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如没有约定，默认采取第2种方式解决争议。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第十条 诚实信用 </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承诺履行合同，不向甲方进行商业贿赂或者提供不正当利益。</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 合同生效及其他</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eastAsia="zh-CN"/>
        </w:rPr>
        <w:sectPr>
          <w:headerReference w:type="default" r:id="rId13"/>
          <w:footerReference w:type="default" r:id="rId27"/>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szCs w:val="24"/>
          <w:highlight w:val="none"/>
          <w:lang w:val="en-US" w:eastAsia="zh-CN"/>
        </w:rPr>
      </w:r>
      <w:r/>
    </w:p>
    <w:p>
      <w:pPr>
        <w:spacing w:line="40" w:lineRule="exact"/>
        <w:rPr>
          <w:color w:val="auto"/>
          <w:highlight w:val="none"/>
        </w:rPr>
      </w:pPr>
      <w:r>
        <w:rPr>
          <w:color w:val="auto"/>
          <w:highlight w:val="none"/>
        </w:rPr>
      </w:r>
      <w:r/>
    </w:p>
    <w:p>
      <w:pPr>
        <w:contextualSpacing/>
        <w:jc w:val="center"/>
        <w:spacing w:line="360" w:lineRule="auto"/>
        <w:rPr>
          <w:b/>
          <w:color w:val="auto"/>
          <w:sz w:val="36"/>
          <w:szCs w:val="36"/>
          <w:highlight w:val="none"/>
        </w:rPr>
        <w:outlineLvl w:val="0"/>
      </w:pPr>
      <w:r>
        <w:rPr>
          <w:b/>
          <w:color w:val="auto"/>
          <w:sz w:val="36"/>
          <w:szCs w:val="36"/>
          <w:highlight w:val="none"/>
        </w:rPr>
        <w:t xml:space="preserve">第七章   投标文件格式</w:t>
      </w:r>
      <w:bookmarkEnd w:id="816"/>
      <w:r/>
      <w:bookmarkEnd w:id="817"/>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b/>
          <w:color w:val="auto"/>
          <w:sz w:val="30"/>
          <w:szCs w:val="20"/>
          <w:highlight w:val="none"/>
        </w:rPr>
      </w:pPr>
      <w:r>
        <w:rPr>
          <w:color w:val="auto"/>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b/>
          <w:bCs/>
          <w:color w:val="auto"/>
          <w:highlight w:val="none"/>
        </w:rPr>
      </w:pPr>
      <w:r>
        <w:rPr>
          <w:b/>
          <w:color w:val="auto"/>
          <w:highlight w:val="none"/>
        </w:rPr>
        <w:t xml:space="preserve">1-</w:t>
      </w:r>
      <w:r>
        <w:rPr>
          <w:rFonts w:hint="eastAsia"/>
          <w:b/>
          <w:color w:val="auto"/>
          <w:highlight w:val="none"/>
        </w:rPr>
        <w:t xml:space="preserve">1</w:t>
      </w:r>
      <w:r>
        <w:rPr>
          <w:b/>
          <w:color w:val="auto"/>
          <w:highlight w:val="none"/>
        </w:rPr>
        <w:t xml:space="preserve"> 投标人资格声明</w:t>
      </w:r>
      <w:r>
        <w:rPr>
          <w:rFonts w:hint="eastAsia"/>
          <w:b/>
          <w:color w:val="auto"/>
          <w:highlight w:val="none"/>
        </w:rPr>
        <w:t xml:space="preserve">函</w:t>
      </w:r>
      <w:r>
        <w:rPr>
          <w:b/>
          <w:color w:val="auto"/>
          <w:sz w:val="24"/>
          <w:highlight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507"/>
        <w:ind w:firstLine="480"/>
        <w:spacing w:line="460" w:lineRule="exact"/>
        <w:rPr>
          <w:color w:val="auto"/>
          <w:highlight w:val="none"/>
        </w:rPr>
      </w:pPr>
      <w:r>
        <w:rPr>
          <w:color w:val="auto"/>
          <w:highlight w:val="none"/>
        </w:rPr>
      </w:r>
      <w:r/>
    </w:p>
    <w:p>
      <w:pPr>
        <w:pStyle w:val="1507"/>
        <w:ind w:firstLine="480"/>
        <w:spacing w:line="460" w:lineRule="exact"/>
        <w:rPr>
          <w:color w:val="auto"/>
          <w:highlight w:val="none"/>
        </w:rPr>
      </w:pPr>
      <w:r>
        <w:rPr>
          <w:rFonts w:hint="eastAsia"/>
          <w:color w:val="auto"/>
          <w:highlight w:val="none"/>
        </w:rPr>
        <w:t xml:space="preserve">致：江苏尚阳工程管理有限公司</w:t>
      </w:r>
      <w:r/>
    </w:p>
    <w:p>
      <w:pPr>
        <w:pStyle w:val="1507"/>
        <w:ind w:firstLine="960"/>
        <w:spacing w:line="460" w:lineRule="exact"/>
        <w:rPr>
          <w:color w:val="auto"/>
          <w:highlight w:val="none"/>
          <w:u w:val="single"/>
        </w:rPr>
      </w:pPr>
      <w:r>
        <w:rPr>
          <w:rFonts w:hint="eastAsia"/>
          <w:color w:val="auto"/>
          <w:highlight w:val="none"/>
          <w:u w:val="single"/>
        </w:rPr>
        <w:t xml:space="preserve">（采购人名称）</w:t>
      </w:r>
      <w:r/>
    </w:p>
    <w:p>
      <w:pPr>
        <w:pStyle w:val="1507"/>
        <w:ind w:firstLine="480"/>
        <w:spacing w:line="460" w:lineRule="exact"/>
        <w:rPr>
          <w:color w:val="auto"/>
          <w:highlight w:val="none"/>
        </w:rPr>
      </w:pPr>
      <w:r>
        <w:rPr>
          <w:color w:val="auto"/>
          <w:highlight w:val="none"/>
        </w:rPr>
      </w:r>
      <w:r/>
    </w:p>
    <w:p>
      <w:pPr>
        <w:pStyle w:val="1507"/>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50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1507"/>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507"/>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507"/>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50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50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507"/>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507"/>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507"/>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50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50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50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507"/>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507"/>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50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50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50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507"/>
        <w:ind w:firstLine="480"/>
        <w:spacing w:line="460" w:lineRule="exact"/>
        <w:rPr>
          <w:color w:val="auto"/>
          <w:highlight w:val="none"/>
        </w:rPr>
      </w:pPr>
      <w:r>
        <w:rPr>
          <w:color w:val="auto"/>
          <w:highlight w:val="none"/>
        </w:rPr>
      </w:r>
      <w:r/>
    </w:p>
    <w:p>
      <w:pPr>
        <w:pStyle w:val="150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507"/>
        <w:ind w:firstLine="480"/>
        <w:spacing w:line="460" w:lineRule="exact"/>
        <w:rPr>
          <w:color w:val="auto"/>
          <w:highlight w:val="none"/>
        </w:rPr>
      </w:pPr>
      <w:r>
        <w:rPr>
          <w:color w:val="auto"/>
          <w:highlight w:val="none"/>
        </w:rPr>
      </w:r>
      <w:r/>
    </w:p>
    <w:p>
      <w:pPr>
        <w:pStyle w:val="1507"/>
        <w:ind w:firstLine="480"/>
        <w:spacing w:line="460" w:lineRule="exact"/>
        <w:rPr>
          <w:color w:val="auto"/>
          <w:highlight w:val="none"/>
        </w:rPr>
      </w:pPr>
      <w:r>
        <w:rPr>
          <w:color w:val="auto"/>
          <w:highlight w:val="none"/>
        </w:rPr>
      </w:r>
      <w:r/>
    </w:p>
    <w:p>
      <w:pPr>
        <w:pStyle w:val="1507"/>
        <w:ind w:firstLine="480"/>
        <w:spacing w:line="460" w:lineRule="exact"/>
        <w:rPr>
          <w:color w:val="auto"/>
          <w:highlight w:val="none"/>
        </w:rPr>
      </w:pPr>
      <w:r>
        <w:rPr>
          <w:rFonts w:hint="eastAsia"/>
          <w:color w:val="auto"/>
          <w:highlight w:val="none"/>
        </w:rPr>
        <w:t xml:space="preserve">                                            投标人：（加盖公章）</w:t>
      </w:r>
      <w:r/>
    </w:p>
    <w:p>
      <w:pPr>
        <w:pStyle w:val="1507"/>
        <w:ind w:firstLine="480"/>
        <w:spacing w:line="460" w:lineRule="exact"/>
        <w:rPr>
          <w:color w:val="auto"/>
          <w:highlight w:val="none"/>
        </w:rPr>
      </w:pPr>
      <w:r>
        <w:rPr>
          <w:rFonts w:hint="eastAsia"/>
          <w:color w:val="auto"/>
          <w:highlight w:val="none"/>
        </w:rPr>
        <w:t xml:space="preserve">                                           法定代表人（或单位负责人）签字或盖章：</w:t>
      </w:r>
      <w:r/>
    </w:p>
    <w:p>
      <w:pPr>
        <w:pStyle w:val="1507"/>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投标人承诺不实的，依据《政府采购法》第七十七条“提供虚假材料谋取中标的”有关规定予以处理</w:t>
      </w:r>
      <w:r>
        <w:rPr>
          <w:color w:val="auto"/>
          <w:sz w:val="24"/>
          <w:highlight w:val="none"/>
        </w:rPr>
        <w:t xml:space="preserve">。</w:t>
      </w:r>
      <w:r/>
    </w:p>
    <w:p>
      <w:pPr>
        <w:spacing w:line="360" w:lineRule="auto"/>
        <w:rPr>
          <w:color w:val="auto"/>
          <w:sz w:val="24"/>
          <w:highlight w:val="none"/>
        </w:rPr>
      </w:pPr>
      <w:r>
        <w:rPr>
          <w:color w:val="auto"/>
          <w:sz w:val="24"/>
          <w:highlight w:val="none"/>
        </w:rPr>
      </w:r>
      <w:r/>
    </w:p>
    <w:p>
      <w:pPr>
        <w:spacing w:line="360" w:lineRule="auto"/>
        <w:tabs>
          <w:tab w:val="left" w:pos="5580" w:leader="none"/>
        </w:tabs>
        <w:rPr>
          <w:color w:val="auto"/>
          <w:sz w:val="24"/>
          <w:highlight w:val="none"/>
        </w:rPr>
        <w:sectPr>
          <w:headerReference w:type="default" r:id="rId14"/>
          <w:footerReference w:type="default" r:id="rId28"/>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rFonts w:hint="default" w:eastAsia="宋体"/>
          <w:color w:val="auto"/>
          <w:sz w:val="24"/>
          <w:szCs w:val="20"/>
          <w:highlight w:val="none"/>
          <w:lang w:val="en-US" w:eastAsia="zh-CN"/>
        </w:rPr>
        <w:outlineLvl w:val="2"/>
      </w:pPr>
      <w:r>
        <w:rPr>
          <w:rFonts w:hint="eastAsia"/>
          <w:color w:val="auto"/>
          <w:sz w:val="24"/>
          <w:szCs w:val="20"/>
          <w:highlight w:val="none"/>
          <w:lang w:val="en-US" w:eastAsia="zh-CN"/>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w:t>
      </w:r>
      <w:r>
        <w:rPr>
          <w:rFonts w:hint="eastAsia"/>
          <w:color w:val="auto"/>
          <w:sz w:val="24"/>
          <w:szCs w:val="20"/>
          <w:highlight w:val="none"/>
          <w:lang w:val="en-US" w:eastAsia="zh-CN"/>
        </w:rPr>
        <w:t xml:space="preserve">-1</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lang w:eastAsia="zh-CN"/>
        </w:rPr>
        <w:t xml:space="preserve">（</w:t>
      </w:r>
      <w:r>
        <w:rPr>
          <w:rFonts w:hint="eastAsia"/>
          <w:color w:val="auto"/>
          <w:sz w:val="24"/>
          <w:highlight w:val="none"/>
        </w:rPr>
        <w:t xml:space="preserve">1）本项目</w:t>
      </w:r>
      <w:r>
        <w:rPr>
          <w:rFonts w:hint="eastAsia"/>
          <w:color w:val="auto"/>
          <w:sz w:val="24"/>
          <w:highlight w:val="none"/>
          <w:lang w:val="en-US" w:eastAsia="zh-CN"/>
        </w:rPr>
        <w:t xml:space="preserve">专门面向中小企业采购，须提供《中小企业声明函》（实质性格式）</w:t>
      </w:r>
      <w:r>
        <w:rPr>
          <w:rFonts w:hint="eastAsia"/>
          <w:color w:val="auto"/>
          <w:sz w:val="24"/>
          <w:highlight w:val="none"/>
        </w:rPr>
        <w:t xml:space="preserve">。</w:t>
      </w:r>
      <w:r/>
    </w:p>
    <w:p>
      <w:pPr>
        <w:spacing w:line="360" w:lineRule="auto"/>
        <w:tabs>
          <w:tab w:val="left" w:pos="5580" w:leader="none"/>
        </w:tabs>
        <w:rPr>
          <w:rFonts w:hint="default"/>
          <w:color w:val="auto"/>
          <w:sz w:val="24"/>
          <w:highlight w:val="none"/>
          <w:lang w:val="en-US" w:eastAsia="zh-CN"/>
        </w:rPr>
      </w:pPr>
      <w:r>
        <w:rPr>
          <w:rFonts w:hint="eastAsia"/>
          <w:color w:val="auto"/>
          <w:sz w:val="24"/>
          <w:highlight w:val="none"/>
          <w:lang w:eastAsia="zh-CN"/>
        </w:rPr>
        <w:t xml:space="preserve">（</w:t>
      </w:r>
      <w:r>
        <w:rPr>
          <w:rFonts w:hint="eastAsia"/>
          <w:color w:val="auto"/>
          <w:sz w:val="24"/>
          <w:highlight w:val="none"/>
        </w:rPr>
        <w:t xml:space="preserve">2）</w:t>
      </w:r>
      <w:r>
        <w:rPr>
          <w:rFonts w:hint="eastAsia"/>
          <w:color w:val="auto"/>
          <w:sz w:val="24"/>
          <w:highlight w:val="none"/>
          <w:lang w:val="en-US" w:eastAsia="zh-CN"/>
        </w:rPr>
        <w:t xml:space="preserve">中小企业参加政府采购活动，应当出具此格式文件。《中小企业声明函》由参加政府采购活动的供应商出具。</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rPr>
        <w:t xml:space="preserve">）温馨提示：为方便广大中小企业识别企业规模类型，工业和信息化部组织开发了中小企业规模类型自测小程序，在国务院客户端和工业和信息化部网站上均有链接，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 xml:space="preserve">投标人</w:t>
      </w:r>
      <w:r>
        <w:rPr>
          <w:rFonts w:hint="eastAsia"/>
          <w:color w:val="auto"/>
          <w:sz w:val="24"/>
          <w:highlight w:val="none"/>
        </w:rPr>
        <w:t xml:space="preserve">填写所属的行业和指标数据可自动生成企业规模类型测试结果。（工信部网址：https://baosong.miit.gov.cn/ScaleTest）</w:t>
      </w:r>
      <w:r/>
    </w:p>
    <w:p>
      <w:pPr>
        <w:spacing w:line="360" w:lineRule="auto"/>
        <w:rPr>
          <w:color w:val="auto"/>
          <w:sz w:val="24"/>
          <w:highlight w:val="none"/>
        </w:rPr>
      </w:pPr>
      <w:r>
        <w:rPr>
          <w:color w:val="auto"/>
          <w:sz w:val="24"/>
          <w:highlight w:val="none"/>
        </w:rPr>
      </w:r>
      <w:r/>
    </w:p>
    <w:p>
      <w:pPr>
        <w:spacing w:line="360" w:lineRule="auto"/>
        <w:tabs>
          <w:tab w:val="left" w:pos="5580" w:leader="none"/>
        </w:tabs>
        <w:rPr>
          <w:color w:val="auto"/>
          <w:sz w:val="24"/>
          <w:highlight w:val="none"/>
        </w:rPr>
        <w:sectPr>
          <w:headerReference w:type="default" r:id="rId15"/>
          <w:footerReference w:type="default" r:id="rId29"/>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 xml:space="preserve">（</w:t>
      </w:r>
      <w:r>
        <w:rPr>
          <w:rFonts w:hint="eastAsia"/>
          <w:color w:val="auto"/>
          <w:spacing w:val="6"/>
          <w:sz w:val="24"/>
          <w:highlight w:val="none"/>
          <w:u w:val="single"/>
        </w:rPr>
        <w:t xml:space="preserve">此处填</w:t>
      </w:r>
      <w:r>
        <w:rPr>
          <w:rFonts w:hint="eastAsia"/>
          <w:color w:val="auto"/>
          <w:spacing w:val="6"/>
          <w:sz w:val="24"/>
          <w:highlight w:val="none"/>
          <w:u w:val="single"/>
          <w:lang w:val="en-US" w:eastAsia="zh-CN"/>
        </w:rPr>
        <w:t xml:space="preserve">供应商</w:t>
      </w:r>
      <w:r>
        <w:rPr>
          <w:color w:val="auto"/>
          <w:spacing w:val="6"/>
          <w:sz w:val="24"/>
          <w:highlight w:val="none"/>
          <w:u w:val="single"/>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w:t>
      </w:r>
      <w:r>
        <w:rPr>
          <w:rFonts w:hint="eastAsia" w:ascii="宋体" w:hAnsi="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w:t>
      </w:r>
      <w:r>
        <w:rPr>
          <w:rFonts w:hint="eastAsia" w:ascii="宋体" w:hAnsi="宋体" w:cs="宋体"/>
          <w:color w:val="auto"/>
          <w:sz w:val="24"/>
          <w:szCs w:val="24"/>
          <w:highlight w:val="none"/>
          <w:lang w:eastAsia="zh-CN"/>
        </w:rPr>
        <w:t xml:space="preserve">大明路西侧、龙锦路南侧（QQ030102)地块固废混合物合规处置项目</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如XX服务</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761"/>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单位名称（加盖公章）：</w:t>
      </w:r>
      <w:r/>
    </w:p>
    <w:p>
      <w:pPr>
        <w:ind w:firstLine="504"/>
        <w:spacing w:line="588" w:lineRule="exact"/>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 xml:space="preserve">日  期：</w:t>
      </w:r>
      <w:r/>
    </w:p>
    <w:p>
      <w:pPr>
        <w:spacing w:line="360" w:lineRule="auto"/>
        <w:rPr>
          <w:color w:val="auto"/>
          <w:sz w:val="24"/>
          <w:highlight w:val="none"/>
        </w:rPr>
      </w:pPr>
      <w:r>
        <w:rPr>
          <w:color w:val="auto"/>
          <w:sz w:val="24"/>
          <w:highlight w:val="none"/>
        </w:rPr>
      </w:r>
      <w:r/>
    </w:p>
    <w:p>
      <w:pPr>
        <w:spacing w:line="360" w:lineRule="auto"/>
        <w:tabs>
          <w:tab w:val="left" w:pos="5580" w:leader="none"/>
        </w:tabs>
        <w:rPr>
          <w:color w:val="auto"/>
          <w:sz w:val="24"/>
          <w:highlight w:val="none"/>
        </w:rPr>
        <w:sectPr>
          <w:headerReference w:type="default" r:id="rId16"/>
          <w:footerReference w:type="default" r:id="rId30"/>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highlight w:val="none"/>
        </w:rPr>
        <w:outlineLvl w:val="2"/>
      </w:pPr>
      <w:r>
        <w:rPr>
          <w:rFonts w:hint="eastAsia"/>
          <w:color w:val="auto"/>
          <w:sz w:val="24"/>
          <w:szCs w:val="20"/>
          <w:highlight w:val="none"/>
          <w:lang w:val="en-US" w:eastAsia="zh-CN"/>
        </w:rPr>
        <w:t xml:space="preserve">3</w:t>
      </w:r>
      <w:r>
        <w:rPr>
          <w:color w:val="auto"/>
          <w:sz w:val="24"/>
          <w:szCs w:val="20"/>
          <w:highlight w:val="none"/>
        </w:rPr>
        <w:t xml:space="preserve"> </w:t>
      </w:r>
      <w:r>
        <w:rPr>
          <w:color w:val="auto"/>
          <w:sz w:val="24"/>
          <w:highlight w:val="none"/>
        </w:rPr>
        <w:t xml:space="preserve">本项目的特定资格要求</w:t>
      </w:r>
      <w:r/>
    </w:p>
    <w:p>
      <w:pPr>
        <w:spacing w:line="360" w:lineRule="auto"/>
        <w:rPr>
          <w:color w:val="auto"/>
          <w:sz w:val="24"/>
          <w:highlight w:val="none"/>
        </w:rPr>
      </w:pPr>
      <w:r>
        <w:rPr>
          <w:rFonts w:hint="eastAsia"/>
          <w:color w:val="auto"/>
          <w:sz w:val="24"/>
          <w:highlight w:val="none"/>
        </w:rPr>
        <w:t xml:space="preserve">投标人须具备道路运输经营许可证，或提供与具备该资质单位的合作协议</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sectPr>
          <w:headerReference w:type="default" r:id="rId17"/>
          <w:footerReference w:type="default" r:id="rId31"/>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rFonts w:ascii="宋体" w:hAnsi="宋体"/>
          <w:b/>
          <w:color w:val="auto"/>
          <w:sz w:val="32"/>
          <w:szCs w:val="32"/>
          <w:highlight w:val="none"/>
        </w:rPr>
      </w:pPr>
      <w:r>
        <w:rPr>
          <w:rFonts w:ascii="宋体" w:hAnsi="宋体"/>
          <w:b/>
          <w:color w:val="auto"/>
          <w:sz w:val="32"/>
          <w:szCs w:val="32"/>
          <w:highlight w:val="none"/>
        </w:rPr>
        <w:t xml:space="preserve">二、商务技术文件格式</w:t>
      </w:r>
      <w:bookmarkStart w:id="818" w:name="_Toc150480794"/>
      <w:r/>
      <w:bookmarkStart w:id="819" w:name="_Toc226965829"/>
      <w:r/>
      <w:bookmarkStart w:id="820" w:name="_Toc520356217"/>
      <w:r/>
      <w:bookmarkStart w:id="821" w:name="_Ref467988698"/>
      <w:r/>
      <w:bookmarkStart w:id="822" w:name="_Toc195842921"/>
      <w:r/>
      <w:bookmarkStart w:id="823" w:name="_Toc480942349"/>
      <w:r/>
      <w:bookmarkStart w:id="824" w:name="_Toc127151556"/>
      <w:r/>
      <w:bookmarkStart w:id="825" w:name="_Toc226965746"/>
      <w:r/>
      <w:bookmarkStart w:id="826" w:name="_Toc150774761"/>
      <w:r/>
      <w:bookmarkStart w:id="827" w:name="_Toc142311058"/>
      <w:r/>
      <w:bookmarkStart w:id="828" w:name="_Toc226309800"/>
      <w:r/>
      <w:bookmarkStart w:id="829" w:name="_Toc226337252"/>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auto"/>
          <w:sz w:val="24"/>
          <w:highlight w:val="none"/>
        </w:rPr>
        <w:t xml:space="preserve">函</w:t>
      </w:r>
      <w:r>
        <w:rPr>
          <w:rFonts w:hint="eastAsia"/>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30" w:name="_Hlt520355938"/>
      <w:r/>
      <w:bookmarkEnd w:id="830"/>
      <w:r/>
      <w:bookmarkStart w:id="831" w:name="_Hlt520356243"/>
      <w:r/>
      <w:bookmarkEnd w:id="831"/>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rFonts w:hint="eastAsia"/>
          <w:color w:val="auto"/>
          <w:sz w:val="24"/>
          <w:szCs w:val="20"/>
          <w:highlight w:val="none"/>
        </w:rPr>
        <w:t xml:space="preserve"> </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514"/>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15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headerReference w:type="default" r:id="rId18"/>
          <w:headerReference w:type="even" r:id="rId19"/>
          <w:headerReference w:type="first" r:id="rId20"/>
          <w:footerReference w:type="default" r:id="rId32"/>
          <w:footerReference w:type="even" r:id="rId33"/>
          <w:footerReference w:type="first" r:id="rId34"/>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rFonts w:hint="eastAsia"/>
          <w:color w:val="auto"/>
          <w:sz w:val="24"/>
          <w:szCs w:val="20"/>
          <w:highlight w:val="none"/>
        </w:rPr>
        <w:t xml:space="preserve"> </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lang w:val="en-US" w:eastAsia="zh-CN"/>
        </w:rPr>
        <w:t xml:space="preserve">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62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832" w:name="_Hlt520273711"/>
      <w:r/>
      <w:bookmarkEnd w:id="832"/>
      <w:r/>
      <w:bookmarkStart w:id="833" w:name="_Hlt520343000"/>
      <w:r/>
      <w:bookmarkEnd w:id="833"/>
      <w:r/>
      <w:bookmarkStart w:id="834" w:name="_Hlt520350918"/>
      <w:r/>
      <w:bookmarkEnd w:id="834"/>
      <w:r/>
      <w:bookmarkStart w:id="835" w:name="_Hlt520271212"/>
      <w:r/>
      <w:bookmarkEnd w:id="835"/>
      <w:r/>
      <w:bookmarkStart w:id="836" w:name="_Hlt520343392"/>
      <w:r/>
      <w:bookmarkEnd w:id="836"/>
      <w:r/>
      <w:bookmarkStart w:id="837" w:name="_Hlt520355504"/>
      <w:r/>
      <w:bookmarkEnd w:id="837"/>
      <w:r/>
      <w:bookmarkStart w:id="838" w:name="_Hlt520274121"/>
      <w:r/>
      <w:bookmarkEnd w:id="838"/>
      <w:r/>
      <w:bookmarkStart w:id="839" w:name="_Hlt520274407"/>
      <w:r/>
      <w:bookmarkEnd w:id="839"/>
      <w:r/>
      <w:bookmarkStart w:id="840" w:name="_Hlt520274393"/>
      <w:r/>
      <w:bookmarkEnd w:id="840"/>
      <w:r/>
      <w:bookmarkStart w:id="841" w:name="_Hlt520274065"/>
      <w:r/>
      <w:bookmarkEnd w:id="841"/>
      <w:r/>
      <w:bookmarkStart w:id="842" w:name="_Toc226309801"/>
      <w:r/>
      <w:bookmarkStart w:id="843" w:name="_Toc150774762"/>
      <w:r/>
      <w:bookmarkStart w:id="844" w:name="_Toc226965747"/>
      <w:r/>
      <w:bookmarkStart w:id="845" w:name="_Toc226965830"/>
      <w:r/>
      <w:bookmarkStart w:id="846" w:name="_Toc480942350"/>
      <w:r/>
      <w:bookmarkStart w:id="847" w:name="_Toc305158899"/>
      <w:r/>
      <w:bookmarkStart w:id="848" w:name="_Toc226337253"/>
      <w:r/>
      <w:bookmarkStart w:id="849" w:name="_Toc127151557"/>
      <w:r/>
      <w:bookmarkStart w:id="850" w:name="_Ref467988705"/>
      <w:r/>
      <w:bookmarkStart w:id="851" w:name="_Toc150480795"/>
      <w:r/>
      <w:bookmarkStart w:id="852" w:name="_Toc264969247"/>
      <w:r/>
      <w:bookmarkStart w:id="853" w:name="_Toc520356218"/>
      <w:r/>
      <w:bookmarkStart w:id="854" w:name="_Toc265228395"/>
      <w:r/>
      <w:bookmarkStart w:id="855" w:name="_Toc195842922"/>
      <w:r/>
      <w:bookmarkStart w:id="856" w:name="_Toc142311059"/>
      <w:r/>
      <w:bookmarkStart w:id="857" w:name="_Toc305158825"/>
      <w:r>
        <w:rPr>
          <w:color w:val="auto"/>
          <w:sz w:val="24"/>
          <w:szCs w:val="20"/>
          <w:highlight w:val="none"/>
        </w:rPr>
        <w:br w:type="page" w:clear="all"/>
      </w:r>
      <w:r>
        <w:rPr>
          <w:rFonts w:hint="eastAsia"/>
          <w:color w:val="auto"/>
          <w:sz w:val="24"/>
          <w:szCs w:val="20"/>
          <w:highlight w:val="none"/>
        </w:rPr>
        <w:t xml:space="preserve">4</w:t>
      </w:r>
      <w:r>
        <w:rPr>
          <w:color w:val="auto"/>
          <w:sz w:val="24"/>
          <w:szCs w:val="20"/>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
    </w:p>
    <w:p>
      <w:pPr>
        <w:jc w:val="center"/>
        <w:spacing w:line="360" w:lineRule="auto"/>
        <w:tabs>
          <w:tab w:val="left" w:pos="2775" w:leader="none"/>
          <w:tab w:val="center" w:pos="4153" w:leader="none"/>
        </w:tabs>
        <w:rPr>
          <w:rFonts w:hint="eastAsia" w:eastAsia="宋体"/>
          <w:b/>
          <w:color w:val="auto"/>
          <w:sz w:val="36"/>
          <w:szCs w:val="36"/>
          <w:highlight w:val="none"/>
          <w:lang w:eastAsia="zh-CN"/>
        </w:rPr>
        <w:outlineLvl w:val="9"/>
      </w:pPr>
      <w:r/>
      <w:bookmarkStart w:id="858" w:name="_Toc305158826"/>
      <w:r/>
      <w:bookmarkStart w:id="859" w:name="_Toc226337254"/>
      <w:r/>
      <w:bookmarkStart w:id="860" w:name="_Toc305158900"/>
      <w:r/>
      <w:bookmarkStart w:id="861" w:name="_Toc226309802"/>
      <w:r/>
      <w:bookmarkStart w:id="862" w:name="_Toc164608827"/>
      <w:r/>
      <w:bookmarkStart w:id="863" w:name="_Toc164608672"/>
      <w:r/>
      <w:bookmarkStart w:id="864" w:name="_Toc226965748"/>
      <w:r/>
      <w:bookmarkStart w:id="865" w:name="_Toc195842923"/>
      <w:r/>
      <w:bookmarkStart w:id="866" w:name="_Toc264969248"/>
      <w:r/>
      <w:bookmarkStart w:id="867" w:name="_Toc226965831"/>
      <w:r/>
      <w:bookmarkStart w:id="868" w:name="_Toc265228396"/>
      <w:r/>
      <w:bookmarkStart w:id="869" w:name="_Toc226309803"/>
      <w:r/>
      <w:bookmarkStart w:id="870" w:name="_Toc226965832"/>
      <w:r/>
      <w:bookmarkStart w:id="871" w:name="_Toc226965749"/>
      <w:r/>
      <w:bookmarkStart w:id="872" w:name="_Toc264969249"/>
      <w:r/>
      <w:bookmarkStart w:id="873" w:name="_Toc305158901"/>
      <w:r/>
      <w:bookmarkStart w:id="874" w:name="_Toc127151558"/>
      <w:r/>
      <w:bookmarkStart w:id="875" w:name="_Toc150480796"/>
      <w:r/>
      <w:bookmarkStart w:id="876" w:name="_Toc150774763"/>
      <w:r/>
      <w:bookmarkStart w:id="877" w:name="_Toc195842924"/>
      <w:r/>
      <w:bookmarkStart w:id="878" w:name="_Toc305158827"/>
      <w:r/>
      <w:bookmarkStart w:id="879" w:name="_Toc142311060"/>
      <w:r/>
      <w:bookmarkStart w:id="880" w:name="_Toc265228397"/>
      <w:r/>
      <w:bookmarkStart w:id="881" w:name="_Toc226337255"/>
      <w:r>
        <w:rPr>
          <w:rFonts w:hint="eastAsia"/>
          <w:b/>
          <w:color w:val="auto"/>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
    </w:p>
    <w:p>
      <w:pPr>
        <w:jc w:val="left"/>
        <w:spacing w:line="360" w:lineRule="auto"/>
        <w:tabs>
          <w:tab w:val="left" w:pos="1800" w:leader="none"/>
          <w:tab w:val="left" w:pos="5580" w:leader="none"/>
        </w:tabs>
        <w:rPr>
          <w:i/>
          <w:color w:val="auto"/>
          <w:sz w:val="24"/>
          <w:highlight w:val="none"/>
        </w:rPr>
        <w:outlineLvl w:val="9"/>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outlineLvl w:val="9"/>
      </w:pPr>
      <w:r>
        <w:rPr>
          <w:color w:val="auto"/>
          <w:sz w:val="24"/>
          <w:highlight w:val="none"/>
        </w:rPr>
        <w:t xml:space="preserve">项目编号：_____________________     项目名称：____________</w:t>
      </w:r>
      <w:r/>
    </w:p>
    <w:tbl>
      <w:tblPr>
        <w:tblStyle w:val="15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b/>
                <w:color w:val="auto"/>
                <w:sz w:val="24"/>
                <w:highlight w:val="none"/>
              </w:rPr>
              <w:outlineLvl w:val="9"/>
            </w:pPr>
            <w:r>
              <w:rPr>
                <w:b/>
                <w:color w:val="auto"/>
                <w:sz w:val="24"/>
                <w:highlight w:val="none"/>
              </w:rPr>
              <w:t xml:space="preserve">序号</w:t>
            </w:r>
            <w:r/>
          </w:p>
        </w:tc>
        <w:tc>
          <w:tcPr>
            <w:tcW w:w="3709" w:type="dxa"/>
            <w:vAlign w:val="center"/>
            <w:vMerge w:val="restart"/>
            <w:textDirection w:val="lrTb"/>
            <w:noWrap w:val="false"/>
          </w:tcPr>
          <w:p>
            <w:pPr>
              <w:jc w:val="center"/>
              <w:tabs>
                <w:tab w:val="left" w:pos="5580" w:leader="none"/>
              </w:tabs>
              <w:rPr>
                <w:b/>
                <w:color w:val="auto"/>
                <w:sz w:val="24"/>
                <w:highlight w:val="none"/>
              </w:rPr>
              <w:outlineLvl w:val="9"/>
            </w:pPr>
            <w:r>
              <w:rPr>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hint="eastAsia" w:eastAsia="宋体"/>
                <w:b/>
                <w:color w:val="auto"/>
                <w:sz w:val="24"/>
                <w:highlight w:val="none"/>
                <w:lang w:eastAsia="zh-CN"/>
              </w:rPr>
              <w:outlineLvl w:val="9"/>
            </w:pPr>
            <w:r>
              <w:rPr>
                <w:b/>
                <w:color w:val="auto"/>
                <w:sz w:val="24"/>
                <w:highlight w:val="none"/>
              </w:rPr>
              <w:t xml:space="preserve">投标报价</w:t>
            </w:r>
            <w:r>
              <w:rPr>
                <w:rFonts w:hint="eastAsia"/>
                <w:b/>
                <w:color w:val="auto"/>
                <w:sz w:val="24"/>
                <w:highlight w:val="none"/>
                <w:lang w:eastAsia="zh-CN"/>
              </w:rPr>
              <w:t xml:space="preserve">（</w:t>
            </w:r>
            <w:r>
              <w:rPr>
                <w:rFonts w:hint="eastAsia"/>
                <w:b/>
                <w:color w:val="auto"/>
                <w:sz w:val="24"/>
                <w:highlight w:val="none"/>
                <w:lang w:val="en-US" w:eastAsia="zh-CN"/>
              </w:rPr>
              <w:t xml:space="preserve">人民币：元</w:t>
            </w:r>
            <w:r>
              <w:rPr>
                <w:rFonts w:hint="eastAsia"/>
                <w:b/>
                <w:color w:val="auto"/>
                <w:sz w:val="24"/>
                <w:highlight w:val="none"/>
                <w:lang w:eastAsia="zh-CN"/>
              </w:rPr>
              <w:t xml:space="preserve">）</w:t>
            </w:r>
            <w:r/>
          </w:p>
        </w:tc>
      </w:tr>
      <w:tr>
        <w:trPr>
          <w:jc w:val="center"/>
          <w:trHeight w:val="674"/>
        </w:trPr>
        <w:tc>
          <w:tcPr>
            <w:tcW w:w="690" w:type="dxa"/>
            <w:vAlign w:val="center"/>
            <w:vMerge w:val="continue"/>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3709" w:type="dxa"/>
            <w:vAlign w:val="center"/>
            <w:vMerge w:val="continue"/>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1989" w:type="dxa"/>
            <w:vAlign w:val="center"/>
            <w:textDirection w:val="lrTb"/>
            <w:noWrap w:val="false"/>
          </w:tcPr>
          <w:p>
            <w:pPr>
              <w:jc w:val="center"/>
              <w:tabs>
                <w:tab w:val="left" w:pos="5580" w:leader="none"/>
              </w:tabs>
              <w:rPr>
                <w:b/>
                <w:color w:val="auto"/>
                <w:sz w:val="24"/>
                <w:highlight w:val="none"/>
              </w:rPr>
              <w:outlineLvl w:val="9"/>
            </w:pPr>
            <w:r>
              <w:rPr>
                <w:b/>
                <w:color w:val="auto"/>
                <w:sz w:val="24"/>
                <w:highlight w:val="none"/>
              </w:rPr>
              <w:t xml:space="preserve">大写</w:t>
            </w:r>
            <w:r/>
          </w:p>
        </w:tc>
        <w:tc>
          <w:tcPr>
            <w:tcW w:w="1984" w:type="dxa"/>
            <w:vAlign w:val="center"/>
            <w:textDirection w:val="lrTb"/>
            <w:noWrap w:val="false"/>
          </w:tcPr>
          <w:p>
            <w:pPr>
              <w:jc w:val="center"/>
              <w:tabs>
                <w:tab w:val="left" w:pos="5580" w:leader="none"/>
              </w:tabs>
              <w:rPr>
                <w:b/>
                <w:color w:val="auto"/>
                <w:sz w:val="24"/>
                <w:highlight w:val="none"/>
              </w:rPr>
              <w:outlineLvl w:val="9"/>
            </w:pPr>
            <w:r>
              <w:rPr>
                <w:b/>
                <w:color w:val="auto"/>
                <w:sz w:val="24"/>
                <w:highlight w:val="none"/>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3709"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1989"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1984"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r>
    </w:tbl>
    <w:p>
      <w:pPr>
        <w:jc w:val="left"/>
        <w:rPr>
          <w:color w:val="auto"/>
          <w:sz w:val="24"/>
          <w:highlight w:val="none"/>
        </w:rPr>
        <w:outlineLvl w:val="9"/>
      </w:pPr>
      <w:r>
        <w:rPr>
          <w:color w:val="auto"/>
          <w:sz w:val="24"/>
          <w:highlight w:val="none"/>
        </w:rPr>
      </w:r>
      <w:r/>
    </w:p>
    <w:p>
      <w:pPr>
        <w:jc w:val="left"/>
        <w:rPr>
          <w:color w:val="auto"/>
          <w:sz w:val="24"/>
          <w:szCs w:val="20"/>
          <w:highlight w:val="none"/>
        </w:rPr>
        <w:outlineLvl w:val="9"/>
      </w:pPr>
      <w:r>
        <w:rPr>
          <w:color w:val="auto"/>
          <w:sz w:val="24"/>
          <w:highlight w:val="none"/>
        </w:rPr>
        <w:t xml:space="preserve">注：</w:t>
      </w:r>
      <w:r>
        <w:rPr>
          <w:color w:val="auto"/>
          <w:sz w:val="24"/>
          <w:szCs w:val="20"/>
          <w:highlight w:val="none"/>
        </w:rPr>
        <w:t xml:space="preserve">此表的投标报价应和《投标分项报价表》中的总价相一致。</w:t>
      </w:r>
      <w:r/>
    </w:p>
    <w:p>
      <w:pPr>
        <w:spacing w:before="25" w:after="25" w:line="360" w:lineRule="auto"/>
        <w:rPr>
          <w:color w:val="auto"/>
          <w:sz w:val="24"/>
          <w:highlight w:val="none"/>
          <w:lang w:val="zh-CN"/>
        </w:rPr>
        <w:outlineLvl w:val="9"/>
      </w:pPr>
      <w:r>
        <w:rPr>
          <w:color w:val="auto"/>
          <w:sz w:val="24"/>
          <w:highlight w:val="none"/>
          <w:lang w:val="zh-CN"/>
        </w:rPr>
      </w:r>
      <w:r/>
    </w:p>
    <w:p>
      <w:pPr>
        <w:spacing w:before="25" w:after="25" w:line="360" w:lineRule="auto"/>
        <w:rPr>
          <w:color w:val="auto"/>
          <w:sz w:val="24"/>
          <w:highlight w:val="none"/>
          <w:lang w:val="zh-CN"/>
        </w:rPr>
        <w:outlineLvl w:val="9"/>
      </w:pPr>
      <w:r>
        <w:rPr>
          <w:color w:val="auto"/>
          <w:sz w:val="24"/>
          <w:highlight w:val="none"/>
          <w:lang w:val="zh-CN"/>
        </w:rPr>
        <w:t xml:space="preserve">                         </w:t>
      </w:r>
      <w:r/>
    </w:p>
    <w:p>
      <w:pPr>
        <w:spacing w:before="25" w:after="25" w:line="360" w:lineRule="auto"/>
        <w:rPr>
          <w:color w:val="auto"/>
          <w:sz w:val="24"/>
          <w:highlight w:val="none"/>
          <w:lang w:val="zh-CN"/>
        </w:rPr>
        <w:outlineLvl w:val="9"/>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9"/>
      </w:pPr>
      <w:r>
        <w:rPr>
          <w:color w:val="auto"/>
          <w:sz w:val="24"/>
          <w:szCs w:val="20"/>
          <w:highlight w:val="none"/>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
    </w:p>
    <w:p>
      <w:pPr>
        <w:spacing w:line="360" w:lineRule="auto"/>
        <w:rPr>
          <w:b/>
          <w:bCs/>
          <w:color w:val="auto"/>
          <w:sz w:val="24"/>
          <w:szCs w:val="20"/>
          <w:highlight w:val="none"/>
        </w:rPr>
        <w:outlineLvl w:val="2"/>
      </w:pPr>
      <w:r/>
      <w:bookmarkStart w:id="882" w:name="_Toc226965835"/>
      <w:r/>
      <w:bookmarkStart w:id="883" w:name="_Toc305158904"/>
      <w:r/>
      <w:bookmarkStart w:id="884" w:name="_Toc195842927"/>
      <w:r/>
      <w:bookmarkStart w:id="885" w:name="_Toc226337258"/>
      <w:r/>
      <w:bookmarkStart w:id="886" w:name="_Toc150774765"/>
      <w:r/>
      <w:bookmarkStart w:id="887" w:name="_Toc127151562"/>
      <w:r/>
      <w:bookmarkStart w:id="888" w:name="_Toc142311062"/>
      <w:r/>
      <w:bookmarkStart w:id="889" w:name="_Toc226309806"/>
      <w:r/>
      <w:bookmarkStart w:id="890" w:name="_Toc150480798"/>
      <w:r/>
      <w:bookmarkStart w:id="891" w:name="_Toc305158830"/>
      <w:r/>
      <w:bookmarkStart w:id="892" w:name="_Toc226965752"/>
      <w:r/>
      <w:bookmarkStart w:id="893" w:name="_Toc265228400"/>
      <w:r/>
      <w:bookmarkStart w:id="894" w:name="_Toc264969252"/>
      <w:r/>
      <w:bookmarkStart w:id="895" w:name="_Toc265228399"/>
      <w:r/>
      <w:bookmarkStart w:id="896" w:name="_Toc226337257"/>
      <w:r/>
      <w:bookmarkStart w:id="897" w:name="_Toc226965751"/>
      <w:r/>
      <w:bookmarkStart w:id="898" w:name="_Toc150774764"/>
      <w:r/>
      <w:bookmarkStart w:id="899" w:name="_Toc226965834"/>
      <w:r/>
      <w:bookmarkStart w:id="900" w:name="_Toc150480797"/>
      <w:r/>
      <w:bookmarkStart w:id="901" w:name="_Toc226309805"/>
      <w:r/>
      <w:bookmarkStart w:id="902" w:name="_Toc305158829"/>
      <w:r/>
      <w:bookmarkStart w:id="903" w:name="_Toc195842926"/>
      <w:r/>
      <w:bookmarkStart w:id="904" w:name="_Toc264969251"/>
      <w:r/>
      <w:bookmarkStart w:id="905" w:name="_Toc127151561"/>
      <w:r/>
      <w:bookmarkStart w:id="906" w:name="_Toc142311061"/>
      <w:r/>
      <w:bookmarkStart w:id="907" w:name="_Toc305158903"/>
      <w:r>
        <w:rPr>
          <w:rFonts w:hint="eastAsia"/>
          <w:color w:val="auto"/>
          <w:sz w:val="24"/>
          <w:szCs w:val="20"/>
          <w:highlight w:val="none"/>
        </w:rPr>
        <w:t xml:space="preserve">5</w:t>
      </w:r>
      <w:r>
        <w:rPr>
          <w:color w:val="auto"/>
          <w:sz w:val="24"/>
          <w:szCs w:val="20"/>
          <w:highlight w:val="none"/>
        </w:rPr>
        <w:t xml:space="preserve">  投标分项报价表</w:t>
      </w:r>
      <w:r/>
    </w:p>
    <w:p>
      <w:pPr>
        <w:jc w:val="center"/>
        <w:spacing w:line="360" w:lineRule="auto"/>
        <w:tabs>
          <w:tab w:val="left" w:pos="2775" w:leader="none"/>
          <w:tab w:val="center" w:pos="4153" w:leader="none"/>
        </w:tabs>
        <w:rPr>
          <w:rFonts w:hint="eastAsia" w:eastAsia="宋体"/>
          <w:b/>
          <w:color w:val="auto"/>
          <w:sz w:val="36"/>
          <w:szCs w:val="36"/>
          <w:highlight w:val="none"/>
          <w:lang w:eastAsia="zh-CN"/>
        </w:rPr>
      </w:pPr>
      <w:r>
        <w:rPr>
          <w:rFonts w:hint="eastAsia" w:eastAsia="宋体"/>
          <w:b/>
          <w:color w:val="auto"/>
          <w:sz w:val="36"/>
          <w:szCs w:val="36"/>
          <w:highlight w:val="none"/>
        </w:rPr>
        <w:t xml:space="preserve">投标分项报价表</w:t>
      </w:r>
      <w:r/>
    </w:p>
    <w:p>
      <w:pPr>
        <w:keepLines w:val="0"/>
        <w:keepNext w:val="0"/>
        <w:pageBreakBefore w:val="0"/>
        <w:spacing w:after="233"/>
        <w:widowControl w:val="off"/>
        <w:tabs>
          <w:tab w:val="left" w:pos="1800" w:leader="none"/>
          <w:tab w:val="left" w:pos="5580" w:leader="none"/>
        </w:tabs>
        <w:rPr>
          <w:color w:val="auto"/>
          <w:sz w:val="24"/>
          <w:highlight w:val="none"/>
        </w:rPr>
      </w:pPr>
      <w:r>
        <w:rPr>
          <w:color w:val="auto"/>
          <w:sz w:val="24"/>
          <w:highlight w:val="none"/>
        </w:rPr>
        <w:t xml:space="preserve">项目编号：___________ 项目名称：__________</w:t>
      </w:r>
      <w:r>
        <w:rPr>
          <w:rFonts w:hint="eastAsia"/>
          <w:color w:val="auto"/>
          <w:sz w:val="24"/>
          <w:highlight w:val="none"/>
          <w:lang w:val="en-US" w:eastAsia="zh-CN"/>
        </w:rPr>
        <w:t xml:space="preserve">        </w:t>
      </w:r>
      <w:r>
        <w:rPr>
          <w:color w:val="auto"/>
          <w:sz w:val="24"/>
          <w:highlight w:val="none"/>
        </w:rPr>
        <w:t xml:space="preserve">报价单位：人民币元</w:t>
      </w:r>
      <w:r/>
    </w:p>
    <w:tbl>
      <w:tblPr>
        <w:tblStyle w:val="150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983"/>
        <w:gridCol w:w="2789"/>
        <w:gridCol w:w="1109"/>
        <w:gridCol w:w="779"/>
        <w:gridCol w:w="1336"/>
        <w:gridCol w:w="1758"/>
      </w:tblGrid>
      <w:tr>
        <w:trPr>
          <w:cantSplit/>
          <w:jc w:val="center"/>
          <w:trHeight w:val="470"/>
        </w:trPr>
        <w:tc>
          <w:tcPr>
            <w:tcBorders>
              <w:top w:val="single" w:color="auto" w:sz="4" w:space="0"/>
              <w:left w:val="single" w:color="auto" w:sz="4" w:space="0"/>
              <w:right w:val="single" w:color="auto" w:sz="4" w:space="0"/>
            </w:tcBorders>
            <w:tcW w:w="288"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529"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分项名称</w:t>
            </w:r>
            <w:r/>
          </w:p>
        </w:tc>
        <w:tc>
          <w:tcPr>
            <w:tcBorders>
              <w:top w:val="single" w:color="auto" w:sz="4" w:space="0"/>
              <w:left w:val="single" w:color="auto" w:sz="4" w:space="0"/>
              <w:right w:val="single" w:color="auto" w:sz="4" w:space="0"/>
            </w:tcBorders>
            <w:tcW w:w="1500"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auto" w:sz="4" w:space="0"/>
              <w:left w:val="single" w:color="auto" w:sz="4" w:space="0"/>
              <w:right w:val="single" w:color="auto" w:sz="4" w:space="0"/>
            </w:tcBorders>
            <w:tcW w:w="597"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right w:val="single" w:color="auto" w:sz="4" w:space="0"/>
            </w:tcBorders>
            <w:tcW w:w="419"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gridSpan w:val="2"/>
            <w:tcBorders>
              <w:top w:val="single" w:color="auto" w:sz="4" w:space="0"/>
              <w:left w:val="single" w:color="auto" w:sz="4" w:space="0"/>
              <w:right w:val="single" w:color="auto" w:sz="4" w:space="0"/>
            </w:tcBorders>
            <w:tcW w:w="1665" w:type="pct"/>
            <w:vAlign w:val="center"/>
            <w:textDirection w:val="lrTb"/>
            <w:noWrap w:val="false"/>
          </w:tcPr>
          <w:p>
            <w:pPr>
              <w:jc w:val="center"/>
              <w:keepLines w:val="0"/>
              <w:keepNext w:val="0"/>
              <w:pageBreakBefore w:val="0"/>
              <w:spacing w:line="36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投标价格</w:t>
            </w:r>
            <w:r/>
          </w:p>
        </w:tc>
      </w:tr>
      <w:tr>
        <w:trPr>
          <w:cantSplit/>
          <w:jc w:val="center"/>
          <w:trHeight w:val="1025"/>
        </w:trPr>
        <w:tc>
          <w:tcPr>
            <w:tcBorders>
              <w:left w:val="single" w:color="auto" w:sz="4" w:space="0"/>
              <w:bottom w:val="single" w:color="auto" w:sz="4" w:space="0"/>
              <w:right w:val="single" w:color="auto" w:sz="4" w:space="0"/>
            </w:tcBorders>
            <w:tcW w:w="288"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529"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500"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597"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419"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单价</w:t>
            </w:r>
            <w:r/>
          </w:p>
        </w:tc>
        <w:tc>
          <w:tcPr>
            <w:tcBorders>
              <w:top w:val="single" w:color="auto" w:sz="4" w:space="0"/>
              <w:left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46" w:type="pct"/>
            <w:vAlign w:val="center"/>
            <w:textDirection w:val="lrTb"/>
            <w:noWrap w:val="false"/>
          </w:tcPr>
          <w:p>
            <w:pPr>
              <w:jc w:val="center"/>
              <w:keepLines w:val="0"/>
              <w:keepNext w:val="0"/>
              <w:pageBreakBefore w:val="0"/>
              <w:spacing w:line="360" w:lineRule="exact"/>
              <w:widowControl/>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231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t xml:space="preserve">总价</w:t>
            </w:r>
            <w:r>
              <w:rPr>
                <w:rFonts w:hint="eastAsia" w:ascii="宋体" w:hAnsi="宋体" w:cs="宋体"/>
                <w:bCs/>
                <w:color w:val="auto"/>
                <w:sz w:val="24"/>
                <w:szCs w:val="24"/>
                <w:highlight w:val="none"/>
                <w:vertAlign w:val="baseline"/>
                <w:lang w:val="en-US" w:eastAsia="zh-CN" w:bidi="ar-SA"/>
              </w:rPr>
              <w:t xml:space="preserve">（元）</w:t>
            </w:r>
            <w:r/>
          </w:p>
        </w:tc>
        <w:tc>
          <w:tcPr>
            <w:gridSpan w:val="4"/>
            <w:tcBorders>
              <w:top w:val="single" w:color="auto" w:sz="4" w:space="0"/>
              <w:left w:val="single" w:color="auto" w:sz="4" w:space="0"/>
              <w:bottom w:val="single" w:color="auto" w:sz="4" w:space="0"/>
              <w:right w:val="single" w:color="auto" w:sz="4" w:space="0"/>
            </w:tcBorders>
            <w:tcW w:w="26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bCs/>
                <w:color w:val="auto"/>
                <w:sz w:val="24"/>
                <w:szCs w:val="24"/>
                <w:highlight w:val="none"/>
                <w:vertAlign w:val="baseline"/>
                <w:lang w:val="en-US" w:eastAsia="zh-CN" w:bidi="ar-SA"/>
              </w:rPr>
            </w:r>
            <w:r/>
          </w:p>
        </w:tc>
      </w:tr>
    </w:tbl>
    <w:p>
      <w:pPr>
        <w:keepLines w:val="0"/>
        <w:keepNext w:val="0"/>
        <w:pageBreakBefore w:val="0"/>
        <w:spacing w:before="25" w:after="25" w:line="360" w:lineRule="exact"/>
        <w:widowControl w:val="off"/>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 xml:space="preserve">注：如果不提供分项报价将视为没有实质性响应招标文件。</w:t>
      </w:r>
      <w:r/>
    </w:p>
    <w:p>
      <w:pPr>
        <w:keepLines w:val="0"/>
        <w:keepNext w:val="0"/>
        <w:pageBreakBefore w:val="0"/>
        <w:spacing w:before="10" w:line="360" w:lineRule="auto"/>
        <w:widowControl w:val="off"/>
        <w:rPr>
          <w:color w:val="auto"/>
          <w:sz w:val="24"/>
          <w:highlight w:val="none"/>
        </w:rPr>
      </w:pPr>
      <w:r>
        <w:rPr>
          <w:color w:val="auto"/>
          <w:sz w:val="24"/>
          <w:highlight w:val="none"/>
        </w:rPr>
      </w:r>
      <w:r/>
    </w:p>
    <w:p>
      <w:pPr>
        <w:keepLines w:val="0"/>
        <w:keepNext w:val="0"/>
        <w:pageBreakBefore w:val="0"/>
        <w:spacing w:before="10" w:line="360" w:lineRule="auto"/>
        <w:widowControl w:val="off"/>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rPr>
          <w:color w:val="auto"/>
          <w:sz w:val="24"/>
          <w:szCs w:val="20"/>
          <w:highlight w:val="none"/>
        </w:rPr>
        <w:br w:type="page" w:clear="all"/>
      </w:r>
      <w:r>
        <w:rPr>
          <w:rFonts w:hint="eastAsia"/>
          <w:color w:val="auto"/>
          <w:sz w:val="24"/>
          <w:szCs w:val="20"/>
          <w:highlight w:val="none"/>
          <w:lang w:val="en-US" w:eastAsia="zh-CN"/>
        </w:rPr>
        <w:t xml:space="preserve">6</w:t>
      </w:r>
      <w:r>
        <w:rPr>
          <w:color w:val="auto"/>
          <w:sz w:val="24"/>
          <w:szCs w:val="20"/>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color w:val="auto"/>
          <w:sz w:val="24"/>
          <w:szCs w:val="20"/>
          <w:highlight w:val="none"/>
        </w:rPr>
        <w:t xml:space="preserve"> </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项目编号：_____________________     项目名称：_____________</w:t>
      </w:r>
      <w:r/>
    </w:p>
    <w:tbl>
      <w:tblPr>
        <w:tblStyle w:val="15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23"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w:t>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lang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auto"/>
          <w:sz w:val="24"/>
          <w:szCs w:val="20"/>
          <w:highlight w:val="none"/>
        </w:rPr>
        <w:t xml:space="preserve">采购需求偏离表</w:t>
      </w:r>
      <w:r>
        <w:rPr>
          <w:rFonts w:hint="eastAsia"/>
          <w:color w:val="auto"/>
          <w:sz w:val="24"/>
          <w:szCs w:val="20"/>
          <w:highlight w:val="none"/>
        </w:rPr>
        <w:t xml:space="preserve"> </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15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w:t>
      </w:r>
      <w:r>
        <w:rPr>
          <w:rFonts w:hint="eastAsia"/>
          <w:color w:val="auto"/>
          <w:sz w:val="24"/>
          <w:highlight w:val="none"/>
          <w:lang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ascii="Times New Roman" w:hAnsi="Times New Roman" w:eastAsia="宋体" w:cs="Times New Roman"/>
          <w:color w:val="auto"/>
          <w:spacing w:val="6"/>
          <w:sz w:val="24"/>
          <w:highlight w:val="none"/>
        </w:rPr>
      </w:pPr>
      <w:r>
        <w:rPr>
          <w:color w:val="auto"/>
          <w:sz w:val="24"/>
          <w:szCs w:val="20"/>
          <w:highlight w:val="none"/>
        </w:rPr>
        <w:br w:type="page" w:clear="all"/>
      </w:r>
      <w:r/>
    </w:p>
    <w:p>
      <w:pPr>
        <w:ind w:firstLine="480"/>
        <w:spacing w:line="588" w:lineRule="exact"/>
        <w:rPr>
          <w:color w:val="auto"/>
          <w:sz w:val="24"/>
          <w:szCs w:val="20"/>
          <w:highlight w:val="none"/>
        </w:rPr>
      </w:pPr>
      <w:r>
        <w:rPr>
          <w:rFonts w:hint="eastAsia"/>
          <w:color w:val="auto"/>
          <w:sz w:val="24"/>
          <w:szCs w:val="20"/>
          <w:highlight w:val="none"/>
          <w:lang w:val="en-US" w:eastAsia="zh-CN"/>
        </w:rPr>
        <w:t xml:space="preserve">8</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1</w:t>
      </w:r>
      <w:r>
        <w:rPr>
          <w:rFonts w:hint="eastAsia"/>
          <w:color w:val="auto"/>
          <w:sz w:val="24"/>
          <w:szCs w:val="20"/>
          <w:highlight w:val="none"/>
          <w:lang w:eastAsia="zh-CN"/>
        </w:rPr>
        <w:t xml:space="preserve">）固废处置方案</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2</w:t>
      </w:r>
      <w:r>
        <w:rPr>
          <w:rFonts w:hint="eastAsia"/>
          <w:color w:val="auto"/>
          <w:sz w:val="24"/>
          <w:szCs w:val="20"/>
          <w:highlight w:val="none"/>
          <w:lang w:eastAsia="zh-CN"/>
        </w:rPr>
        <w:t xml:space="preserve">）技术方案</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3</w:t>
      </w:r>
      <w:r>
        <w:rPr>
          <w:rFonts w:hint="eastAsia"/>
          <w:color w:val="auto"/>
          <w:sz w:val="24"/>
          <w:szCs w:val="20"/>
          <w:highlight w:val="none"/>
          <w:lang w:eastAsia="zh-CN"/>
        </w:rPr>
        <w:t xml:space="preserve">）设备配置方案</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4</w:t>
      </w:r>
      <w:r>
        <w:rPr>
          <w:rFonts w:hint="eastAsia"/>
          <w:color w:val="auto"/>
          <w:sz w:val="24"/>
          <w:szCs w:val="20"/>
          <w:highlight w:val="none"/>
          <w:lang w:eastAsia="zh-CN"/>
        </w:rPr>
        <w:t xml:space="preserve">）安全文明方案</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5</w:t>
      </w:r>
      <w:r>
        <w:rPr>
          <w:rFonts w:hint="eastAsia"/>
          <w:color w:val="auto"/>
          <w:sz w:val="24"/>
          <w:szCs w:val="20"/>
          <w:highlight w:val="none"/>
          <w:lang w:eastAsia="zh-CN"/>
        </w:rPr>
        <w:t xml:space="preserve">）应急及事故处理方案</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6</w:t>
      </w:r>
      <w:r>
        <w:rPr>
          <w:rFonts w:hint="eastAsia"/>
          <w:color w:val="auto"/>
          <w:sz w:val="24"/>
          <w:szCs w:val="20"/>
          <w:highlight w:val="none"/>
          <w:lang w:eastAsia="zh-CN"/>
        </w:rPr>
        <w:t xml:space="preserve">）服务承诺</w:t>
      </w:r>
      <w:r/>
    </w:p>
    <w:p>
      <w:pPr>
        <w:ind w:firstLine="480"/>
        <w:spacing w:line="560" w:lineRule="exact"/>
        <w:rPr>
          <w:rFonts w:hint="eastAsia"/>
          <w:color w:val="auto"/>
          <w:sz w:val="24"/>
          <w:szCs w:val="20"/>
          <w:highlight w:val="none"/>
          <w:lang w:eastAsia="zh-CN"/>
        </w:rPr>
        <w:outlineLvl w:val="9"/>
      </w:pPr>
      <w:r>
        <w:rPr>
          <w:rFonts w:hint="eastAsia"/>
          <w:color w:val="auto"/>
          <w:sz w:val="24"/>
          <w:szCs w:val="20"/>
          <w:highlight w:val="none"/>
          <w:lang w:eastAsia="zh-CN"/>
        </w:rPr>
      </w:r>
      <w:r/>
    </w:p>
    <w:p>
      <w:pPr>
        <w:ind w:firstLine="480"/>
        <w:spacing w:line="560" w:lineRule="exact"/>
        <w:rPr>
          <w:rFonts w:hint="eastAsia" w:eastAsia="宋体"/>
          <w:color w:val="auto"/>
          <w:sz w:val="24"/>
          <w:szCs w:val="20"/>
          <w:highlight w:val="none"/>
          <w:lang w:val="en-US" w:eastAsia="zh-CN"/>
        </w:rPr>
        <w:sectPr>
          <w:headerReference w:type="even" r:id="rId21"/>
          <w:headerReference w:type="first" r:id="rId22"/>
          <w:footerReference w:type="even" r:id="rId35"/>
          <w:footerReference w:type="first" r:id="rId36"/>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color w:val="auto"/>
          <w:sz w:val="24"/>
          <w:szCs w:val="20"/>
          <w:highlight w:val="none"/>
          <w:lang w:val="en-US" w:eastAsia="zh-CN"/>
        </w:rPr>
      </w:r>
      <w:r/>
    </w:p>
    <w:p>
      <w:pPr>
        <w:rPr>
          <w:color w:val="auto"/>
          <w:sz w:val="24"/>
          <w:szCs w:val="20"/>
          <w:highlight w:val="none"/>
        </w:rPr>
      </w:pPr>
      <w:r>
        <w:rPr>
          <w:rFonts w:hint="eastAsia"/>
          <w:color w:val="auto"/>
          <w:sz w:val="24"/>
          <w:szCs w:val="20"/>
          <w:highlight w:val="none"/>
          <w:lang w:val="en-US" w:eastAsia="zh-CN"/>
        </w:rPr>
        <w:t xml:space="preserve">9</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50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908" w:name="_Toc288738839"/>
      <w:r/>
      <w:bookmarkStart w:id="909" w:name="_Toc288738397"/>
      <w:r>
        <w:rPr>
          <w:rFonts w:hint="eastAsia"/>
          <w:color w:val="auto"/>
          <w:sz w:val="24"/>
          <w:szCs w:val="20"/>
          <w:highlight w:val="none"/>
          <w:lang w:val="en-US" w:eastAsia="zh-CN"/>
        </w:rPr>
        <w:t xml:space="preserve">10</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08"/>
      <w:r/>
      <w:bookmarkEnd w:id="90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506"/>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lang w:val="en-US" w:eastAsia="zh-CN"/>
        </w:rPr>
        <w:t xml:space="preserve">11</w:t>
      </w:r>
      <w:r>
        <w:rPr>
          <w:rFonts w:hint="eastAsia"/>
          <w:color w:val="auto"/>
          <w:sz w:val="24"/>
          <w:szCs w:val="20"/>
          <w:highlight w:val="none"/>
        </w:rPr>
        <w:t xml:space="preserve">  </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方正仿宋_GB2312">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rPr>
        <w:rStyle w:val="154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25"/>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1525"/>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p>
  <w:p>
    <w:pPr>
      <w:pStyle w:val="1525"/>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p>
  <w:p>
    <w:pPr>
      <w:pStyle w:val="1525"/>
      <w:ind w:right="360"/>
    </w:pPr>
    <w:r/>
    <w:r/>
  </w:p>
  <w:p>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Bdr>
        <w:bottom w:val="single" w:color="auto" w:sz="4" w:space="1"/>
      </w:pBdr>
    </w:pPr>
    <w:r>
      <w:rPr>
        <w:rFonts w:hint="eastAsia"/>
        <w:color w:val="auto"/>
        <w:lang w:eastAsia="zh-CN"/>
      </w:rPr>
      <w:t xml:space="preserve">大明路西侧、龙锦路南侧（QQ030102)地块固废混合物合规处置项目</w:t>
    </w:r>
    <w:r>
      <w:rPr>
        <w:rFonts w:hint="eastAsia"/>
        <w:color w:val="auto"/>
      </w:rPr>
      <w:t xml:space="preserve">公开招</w:t>
    </w:r>
    <w:r>
      <w:rPr>
        <w:rFonts w:hint="eastAsia"/>
      </w:rPr>
      <w:t xml:space="preserve">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Bdr>
        <w:bottom w:val="single" w:color="auto" w:sz="4" w:space="1"/>
      </w:pBdr>
    </w:pPr>
    <w:r>
      <w:rPr>
        <w:rFonts w:hint="eastAsia"/>
        <w:color w:val="auto"/>
        <w:lang w:eastAsia="zh-CN"/>
      </w:rPr>
      <w:t xml:space="preserve">大明路西侧、龙锦路南侧（QQ030102)地块固废混合物合规处置项目</w:t>
    </w:r>
    <w:r>
      <w:rPr>
        <w:rFonts w:hint="eastAsia"/>
        <w:color w:val="auto"/>
      </w:rPr>
      <w:t xml:space="preserve">公</w:t>
    </w:r>
    <w:r>
      <w:rPr>
        <w:rFonts w:hint="eastAsia"/>
      </w:rPr>
      <w:t xml:space="preserve">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w:t>
    </w:r>
    <w:r>
      <w:rPr>
        <w:rFonts w:hint="eastAsia"/>
      </w:rPr>
      <w:t xml:space="preserve">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w:t>
    </w:r>
    <w:r>
      <w:rPr>
        <w:rFonts w:hint="eastAsia"/>
      </w:rPr>
      <w:t xml:space="preserve">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rPr>
        <w:color w:val="auto"/>
      </w:rPr>
    </w:pPr>
    <w:r>
      <w:rPr>
        <w:rFonts w:hint="eastAsia"/>
        <w:color w:val="auto"/>
        <w:lang w:eastAsia="zh-CN"/>
      </w:rPr>
      <w:t xml:space="preserve">大明路西侧、龙锦路南侧（QQ030102)地块固废混合物合规处置项目</w:t>
    </w:r>
    <w:r>
      <w:rPr>
        <w:rFonts w:hint="eastAsia"/>
        <w:color w:val="auto"/>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公开招标</w:t>
    </w:r>
    <w:r>
      <w:rPr>
        <w:rFonts w:hint="eastAsia"/>
      </w:rPr>
      <w:t xml:space="preserve">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公开招标</w:t>
    </w:r>
    <w:r>
      <w:rPr>
        <w:rFonts w:hint="eastAsia"/>
      </w:rPr>
      <w:t xml:space="preserve">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公开招标</w:t>
    </w:r>
    <w:r>
      <w:rPr>
        <w:rFonts w:hint="eastAsia"/>
      </w:rPr>
      <w:t xml:space="preserve">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公开招标</w:t>
    </w:r>
    <w:r>
      <w:rPr>
        <w:rFonts w:hint="eastAsia"/>
      </w:rPr>
      <w:t xml:space="preserve">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right"/>
    </w:pPr>
    <w:r>
      <w:rPr>
        <w:rFonts w:hint="eastAsia"/>
        <w:color w:val="auto"/>
        <w:lang w:eastAsia="zh-CN"/>
      </w:rPr>
      <w:t xml:space="preserve">大明路西侧、龙锦路南侧（QQ030102)地块固废混合物合规处置项目</w:t>
    </w:r>
    <w:r>
      <w:rPr>
        <w:rFonts w:hint="eastAsia"/>
        <w:color w:val="auto"/>
      </w:rPr>
      <w:t xml:space="preserve">公开招标</w:t>
    </w:r>
    <w:r>
      <w:rPr>
        <w:rFonts w:hint="eastAsia"/>
      </w:rPr>
      <w:t xml:space="preserve">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
  </w:p>
  <w:p>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
  </w:p>
  <w:p>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6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72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67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63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63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72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73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74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67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68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63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69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632"/>
      <w:isLgl w:val="false"/>
      <w:suff w:val="tab"/>
      <w:lvlText w:val="%1"/>
      <w:lvlJc w:val="left"/>
      <w:pPr>
        <w:ind w:left="680" w:hanging="680"/>
      </w:pPr>
      <w:rPr>
        <w:rFonts w:hint="eastAsia" w:ascii="宋体" w:hAnsi="宋体" w:eastAsia="宋体"/>
      </w:rPr>
    </w:lvl>
    <w:lvl w:ilvl="1">
      <w:start w:val="1"/>
      <w:numFmt w:val="decimal"/>
      <w:pStyle w:val="1696"/>
      <w:isLgl w:val="false"/>
      <w:suff w:val="tab"/>
      <w:lvlText w:val="%1.%2"/>
      <w:lvlJc w:val="left"/>
      <w:pPr>
        <w:ind w:left="851" w:hanging="851"/>
      </w:pPr>
      <w:rPr>
        <w:rFonts w:hint="eastAsia" w:ascii="宋体" w:hAnsi="宋体" w:eastAsia="宋体"/>
        <w:color w:val="auto"/>
      </w:rPr>
    </w:lvl>
    <w:lvl w:ilvl="2">
      <w:start w:val="1"/>
      <w:numFmt w:val="decimal"/>
      <w:pStyle w:val="16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45">
    <w:name w:val="Heading 1 Char"/>
    <w:basedOn w:val="1505"/>
    <w:link w:val="1496"/>
    <w:uiPriority w:val="9"/>
    <w:rPr>
      <w:rFonts w:ascii="Arial" w:hAnsi="Arial" w:eastAsia="Arial" w:cs="Arial"/>
      <w:sz w:val="40"/>
      <w:szCs w:val="40"/>
    </w:rPr>
  </w:style>
  <w:style w:type="character" w:styleId="1346">
    <w:name w:val="Heading 2 Char"/>
    <w:basedOn w:val="1505"/>
    <w:link w:val="1497"/>
    <w:uiPriority w:val="9"/>
    <w:rPr>
      <w:rFonts w:ascii="Arial" w:hAnsi="Arial" w:eastAsia="Arial" w:cs="Arial"/>
      <w:sz w:val="34"/>
    </w:rPr>
  </w:style>
  <w:style w:type="character" w:styleId="1347">
    <w:name w:val="Heading 3 Char"/>
    <w:basedOn w:val="1505"/>
    <w:link w:val="1498"/>
    <w:uiPriority w:val="9"/>
    <w:rPr>
      <w:rFonts w:ascii="Arial" w:hAnsi="Arial" w:eastAsia="Arial" w:cs="Arial"/>
      <w:sz w:val="30"/>
      <w:szCs w:val="30"/>
    </w:rPr>
  </w:style>
  <w:style w:type="character" w:styleId="1348">
    <w:name w:val="Heading 4 Char"/>
    <w:basedOn w:val="1505"/>
    <w:link w:val="1499"/>
    <w:uiPriority w:val="9"/>
    <w:rPr>
      <w:rFonts w:ascii="Arial" w:hAnsi="Arial" w:eastAsia="Arial" w:cs="Arial"/>
      <w:b/>
      <w:bCs/>
      <w:sz w:val="26"/>
      <w:szCs w:val="26"/>
    </w:rPr>
  </w:style>
  <w:style w:type="character" w:styleId="1349">
    <w:name w:val="Heading 5 Char"/>
    <w:basedOn w:val="1505"/>
    <w:link w:val="1500"/>
    <w:uiPriority w:val="9"/>
    <w:rPr>
      <w:rFonts w:ascii="Arial" w:hAnsi="Arial" w:eastAsia="Arial" w:cs="Arial"/>
      <w:b/>
      <w:bCs/>
      <w:sz w:val="24"/>
      <w:szCs w:val="24"/>
    </w:rPr>
  </w:style>
  <w:style w:type="character" w:styleId="1350">
    <w:name w:val="Heading 6 Char"/>
    <w:basedOn w:val="1505"/>
    <w:link w:val="1501"/>
    <w:uiPriority w:val="9"/>
    <w:rPr>
      <w:rFonts w:ascii="Arial" w:hAnsi="Arial" w:eastAsia="Arial" w:cs="Arial"/>
      <w:b/>
      <w:bCs/>
      <w:sz w:val="22"/>
      <w:szCs w:val="22"/>
    </w:rPr>
  </w:style>
  <w:style w:type="character" w:styleId="1351">
    <w:name w:val="Heading 7 Char"/>
    <w:basedOn w:val="1505"/>
    <w:link w:val="1502"/>
    <w:uiPriority w:val="9"/>
    <w:rPr>
      <w:rFonts w:ascii="Arial" w:hAnsi="Arial" w:eastAsia="Arial" w:cs="Arial"/>
      <w:b/>
      <w:bCs/>
      <w:i/>
      <w:iCs/>
      <w:sz w:val="22"/>
      <w:szCs w:val="22"/>
    </w:rPr>
  </w:style>
  <w:style w:type="character" w:styleId="1352">
    <w:name w:val="Heading 8 Char"/>
    <w:basedOn w:val="1505"/>
    <w:link w:val="1503"/>
    <w:uiPriority w:val="9"/>
    <w:rPr>
      <w:rFonts w:ascii="Arial" w:hAnsi="Arial" w:eastAsia="Arial" w:cs="Arial"/>
      <w:i/>
      <w:iCs/>
      <w:sz w:val="22"/>
      <w:szCs w:val="22"/>
    </w:rPr>
  </w:style>
  <w:style w:type="character" w:styleId="1353">
    <w:name w:val="Heading 9 Char"/>
    <w:basedOn w:val="1505"/>
    <w:link w:val="1504"/>
    <w:uiPriority w:val="9"/>
    <w:rPr>
      <w:rFonts w:ascii="Arial" w:hAnsi="Arial" w:eastAsia="Arial" w:cs="Arial"/>
      <w:i/>
      <w:iCs/>
      <w:sz w:val="21"/>
      <w:szCs w:val="21"/>
    </w:rPr>
  </w:style>
  <w:style w:type="character" w:styleId="1354">
    <w:name w:val="Title Char"/>
    <w:basedOn w:val="1505"/>
    <w:link w:val="1539"/>
    <w:uiPriority w:val="10"/>
    <w:rPr>
      <w:sz w:val="48"/>
      <w:szCs w:val="48"/>
    </w:rPr>
  </w:style>
  <w:style w:type="character" w:styleId="1355">
    <w:name w:val="Subtitle Char"/>
    <w:basedOn w:val="1505"/>
    <w:link w:val="1530"/>
    <w:uiPriority w:val="11"/>
    <w:rPr>
      <w:sz w:val="24"/>
      <w:szCs w:val="24"/>
    </w:rPr>
  </w:style>
  <w:style w:type="paragraph" w:styleId="1356">
    <w:name w:val="Quote"/>
    <w:basedOn w:val="1495"/>
    <w:next w:val="1495"/>
    <w:link w:val="1357"/>
    <w:uiPriority w:val="29"/>
    <w:qFormat/>
    <w:pPr>
      <w:ind w:left="720" w:right="720"/>
    </w:pPr>
    <w:rPr>
      <w:i/>
    </w:rPr>
  </w:style>
  <w:style w:type="character" w:styleId="1357">
    <w:name w:val="Quote Char"/>
    <w:link w:val="1356"/>
    <w:uiPriority w:val="29"/>
    <w:rPr>
      <w:i/>
    </w:rPr>
  </w:style>
  <w:style w:type="paragraph" w:styleId="1358">
    <w:name w:val="Intense Quote"/>
    <w:basedOn w:val="1495"/>
    <w:next w:val="1495"/>
    <w:link w:val="13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9">
    <w:name w:val="Intense Quote Char"/>
    <w:link w:val="1358"/>
    <w:uiPriority w:val="30"/>
    <w:rPr>
      <w:i/>
    </w:rPr>
  </w:style>
  <w:style w:type="character" w:styleId="1360">
    <w:name w:val="Header Char"/>
    <w:basedOn w:val="1505"/>
    <w:link w:val="1527"/>
    <w:uiPriority w:val="99"/>
  </w:style>
  <w:style w:type="character" w:styleId="1361">
    <w:name w:val="Footer Char"/>
    <w:basedOn w:val="1505"/>
    <w:link w:val="1525"/>
    <w:uiPriority w:val="99"/>
  </w:style>
  <w:style w:type="character" w:styleId="1362">
    <w:name w:val="Caption Char"/>
    <w:basedOn w:val="1509"/>
    <w:link w:val="1525"/>
    <w:uiPriority w:val="99"/>
  </w:style>
  <w:style w:type="table" w:styleId="1363">
    <w:name w:val="Table Grid Light"/>
    <w:basedOn w:val="15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4">
    <w:name w:val="Plain Table 1"/>
    <w:basedOn w:val="15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5">
    <w:name w:val="Plain Table 2"/>
    <w:basedOn w:val="15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6">
    <w:name w:val="Plain Table 3"/>
    <w:basedOn w:val="15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7">
    <w:name w:val="Plain Table 4"/>
    <w:basedOn w:val="15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8">
    <w:name w:val="Plain Table 5"/>
    <w:basedOn w:val="15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69">
    <w:name w:val="Grid Table 1 Light"/>
    <w:basedOn w:val="15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0">
    <w:name w:val="Grid Table 1 Light - Accent 1"/>
    <w:basedOn w:val="15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1">
    <w:name w:val="Grid Table 1 Light - Accent 2"/>
    <w:basedOn w:val="15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2">
    <w:name w:val="Grid Table 1 Light - Accent 3"/>
    <w:basedOn w:val="15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3">
    <w:name w:val="Grid Table 1 Light - Accent 4"/>
    <w:basedOn w:val="15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4">
    <w:name w:val="Grid Table 1 Light - Accent 5"/>
    <w:basedOn w:val="15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5">
    <w:name w:val="Grid Table 1 Light - Accent 6"/>
    <w:basedOn w:val="15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6">
    <w:name w:val="Grid Table 2"/>
    <w:basedOn w:val="15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7">
    <w:name w:val="Grid Table 2 - Accent 1"/>
    <w:basedOn w:val="15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8">
    <w:name w:val="Grid Table 2 - Accent 2"/>
    <w:basedOn w:val="15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79">
    <w:name w:val="Grid Table 2 - Accent 3"/>
    <w:basedOn w:val="15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0">
    <w:name w:val="Grid Table 2 - Accent 4"/>
    <w:basedOn w:val="15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1">
    <w:name w:val="Grid Table 2 - Accent 5"/>
    <w:basedOn w:val="15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2">
    <w:name w:val="Grid Table 2 - Accent 6"/>
    <w:basedOn w:val="15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3">
    <w:name w:val="Grid Table 3"/>
    <w:basedOn w:val="15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4">
    <w:name w:val="Grid Table 3 - Accent 1"/>
    <w:basedOn w:val="15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5">
    <w:name w:val="Grid Table 3 - Accent 2"/>
    <w:basedOn w:val="15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6">
    <w:name w:val="Grid Table 3 - Accent 3"/>
    <w:basedOn w:val="15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4"/>
    <w:basedOn w:val="15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5"/>
    <w:basedOn w:val="15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6"/>
    <w:basedOn w:val="15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4"/>
    <w:basedOn w:val="15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1">
    <w:name w:val="Grid Table 4 - Accent 1"/>
    <w:basedOn w:val="15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2">
    <w:name w:val="Grid Table 4 - Accent 2"/>
    <w:basedOn w:val="15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3">
    <w:name w:val="Grid Table 4 - Accent 3"/>
    <w:basedOn w:val="15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4">
    <w:name w:val="Grid Table 4 - Accent 4"/>
    <w:basedOn w:val="15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5">
    <w:name w:val="Grid Table 4 - Accent 5"/>
    <w:basedOn w:val="15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6">
    <w:name w:val="Grid Table 4 - Accent 6"/>
    <w:basedOn w:val="15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7">
    <w:name w:val="Grid Table 5 Dark"/>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8">
    <w:name w:val="Grid Table 5 Dark- Accent 1"/>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399">
    <w:name w:val="Grid Table 5 Dark - Accent 2"/>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400">
    <w:name w:val="Grid Table 5 Dark - Accent 3"/>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401">
    <w:name w:val="Grid Table 5 Dark- Accent 4"/>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402">
    <w:name w:val="Grid Table 5 Dark - Accent 5"/>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403">
    <w:name w:val="Grid Table 5 Dark - Accent 6"/>
    <w:basedOn w:val="15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404">
    <w:name w:val="Grid Table 6 Colorful"/>
    <w:basedOn w:val="15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5">
    <w:name w:val="Grid Table 6 Colorful - Accent 1"/>
    <w:basedOn w:val="15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406">
    <w:name w:val="Grid Table 6 Colorful - Accent 2"/>
    <w:basedOn w:val="15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407">
    <w:name w:val="Grid Table 6 Colorful - Accent 3"/>
    <w:basedOn w:val="15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408">
    <w:name w:val="Grid Table 6 Colorful - Accent 4"/>
    <w:basedOn w:val="15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409">
    <w:name w:val="Grid Table 6 Colorful - Accent 5"/>
    <w:basedOn w:val="15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10">
    <w:name w:val="Grid Table 6 Colorful - Accent 6"/>
    <w:basedOn w:val="15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11">
    <w:name w:val="Grid Table 7 Colorful"/>
    <w:basedOn w:val="15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2">
    <w:name w:val="Grid Table 7 Colorful - Accent 1"/>
    <w:basedOn w:val="15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3">
    <w:name w:val="Grid Table 7 Colorful - Accent 2"/>
    <w:basedOn w:val="15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4">
    <w:name w:val="Grid Table 7 Colorful - Accent 3"/>
    <w:basedOn w:val="15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5">
    <w:name w:val="Grid Table 7 Colorful - Accent 4"/>
    <w:basedOn w:val="15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6">
    <w:name w:val="Grid Table 7 Colorful - Accent 5"/>
    <w:basedOn w:val="15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7">
    <w:name w:val="Grid Table 7 Colorful - Accent 6"/>
    <w:basedOn w:val="15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8">
    <w:name w:val="List Table 1 Light"/>
    <w:basedOn w:val="15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9">
    <w:name w:val="List Table 1 Light - Accent 1"/>
    <w:basedOn w:val="15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0">
    <w:name w:val="List Table 1 Light - Accent 2"/>
    <w:basedOn w:val="15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1">
    <w:name w:val="List Table 1 Light - Accent 3"/>
    <w:basedOn w:val="15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2">
    <w:name w:val="List Table 1 Light - Accent 4"/>
    <w:basedOn w:val="15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3">
    <w:name w:val="List Table 1 Light - Accent 5"/>
    <w:basedOn w:val="15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4">
    <w:name w:val="List Table 1 Light - Accent 6"/>
    <w:basedOn w:val="15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5">
    <w:name w:val="List Table 2"/>
    <w:basedOn w:val="15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6">
    <w:name w:val="List Table 2 - Accent 1"/>
    <w:basedOn w:val="15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7">
    <w:name w:val="List Table 2 - Accent 2"/>
    <w:basedOn w:val="15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8">
    <w:name w:val="List Table 2 - Accent 3"/>
    <w:basedOn w:val="15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29">
    <w:name w:val="List Table 2 - Accent 4"/>
    <w:basedOn w:val="15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0">
    <w:name w:val="List Table 2 - Accent 5"/>
    <w:basedOn w:val="15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1">
    <w:name w:val="List Table 2 - Accent 6"/>
    <w:basedOn w:val="15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2">
    <w:name w:val="List Table 3"/>
    <w:basedOn w:val="15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3">
    <w:name w:val="List Table 3 - Accent 1"/>
    <w:basedOn w:val="15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434">
    <w:name w:val="List Table 3 - Accent 2"/>
    <w:basedOn w:val="15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435">
    <w:name w:val="List Table 3 - Accent 3"/>
    <w:basedOn w:val="15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436">
    <w:name w:val="List Table 3 - Accent 4"/>
    <w:basedOn w:val="15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437">
    <w:name w:val="List Table 3 - Accent 5"/>
    <w:basedOn w:val="15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438">
    <w:name w:val="List Table 3 - Accent 6"/>
    <w:basedOn w:val="15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439">
    <w:name w:val="List Table 4"/>
    <w:basedOn w:val="15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0">
    <w:name w:val="List Table 4 - Accent 1"/>
    <w:basedOn w:val="15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441">
    <w:name w:val="List Table 4 - Accent 2"/>
    <w:basedOn w:val="15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442">
    <w:name w:val="List Table 4 - Accent 3"/>
    <w:basedOn w:val="15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443">
    <w:name w:val="List Table 4 - Accent 4"/>
    <w:basedOn w:val="15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444">
    <w:name w:val="List Table 4 - Accent 5"/>
    <w:basedOn w:val="15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445">
    <w:name w:val="List Table 4 - Accent 6"/>
    <w:basedOn w:val="15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446">
    <w:name w:val="List Table 5 Dark"/>
    <w:basedOn w:val="15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7">
    <w:name w:val="List Table 5 Dark - Accent 1"/>
    <w:basedOn w:val="15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8">
    <w:name w:val="List Table 5 Dark - Accent 2"/>
    <w:basedOn w:val="15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9">
    <w:name w:val="List Table 5 Dark - Accent 3"/>
    <w:basedOn w:val="15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4"/>
    <w:basedOn w:val="15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5"/>
    <w:basedOn w:val="15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6"/>
    <w:basedOn w:val="15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6 Colorful"/>
    <w:basedOn w:val="15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4">
    <w:name w:val="List Table 6 Colorful - Accent 1"/>
    <w:basedOn w:val="15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55">
    <w:name w:val="List Table 6 Colorful - Accent 2"/>
    <w:basedOn w:val="15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56">
    <w:name w:val="List Table 6 Colorful - Accent 3"/>
    <w:basedOn w:val="15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57">
    <w:name w:val="List Table 6 Colorful - Accent 4"/>
    <w:basedOn w:val="15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58">
    <w:name w:val="List Table 6 Colorful - Accent 5"/>
    <w:basedOn w:val="15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9">
    <w:name w:val="List Table 6 Colorful - Accent 6"/>
    <w:basedOn w:val="15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0">
    <w:name w:val="List Table 7 Colorful"/>
    <w:basedOn w:val="15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1">
    <w:name w:val="List Table 7 Colorful - Accent 1"/>
    <w:basedOn w:val="15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462">
    <w:name w:val="List Table 7 Colorful - Accent 2"/>
    <w:basedOn w:val="15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463">
    <w:name w:val="List Table 7 Colorful - Accent 3"/>
    <w:basedOn w:val="15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464">
    <w:name w:val="List Table 7 Colorful - Accent 4"/>
    <w:basedOn w:val="15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465">
    <w:name w:val="List Table 7 Colorful - Accent 5"/>
    <w:basedOn w:val="15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466">
    <w:name w:val="List Table 7 Colorful - Accent 6"/>
    <w:basedOn w:val="15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467">
    <w:name w:val="Lined - Accent"/>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8">
    <w:name w:val="Lined - Accent 1"/>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469">
    <w:name w:val="Lined - Accent 2"/>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470">
    <w:name w:val="Lined - Accent 3"/>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471">
    <w:name w:val="Lined - Accent 4"/>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472">
    <w:name w:val="Lined - Accent 5"/>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473">
    <w:name w:val="Lined - Accent 6"/>
    <w:basedOn w:val="15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474">
    <w:name w:val="Bordered &amp; Lined - Accent"/>
    <w:basedOn w:val="15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5">
    <w:name w:val="Bordered &amp; Lined - Accent 1"/>
    <w:basedOn w:val="15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476">
    <w:name w:val="Bordered &amp; Lined - Accent 2"/>
    <w:basedOn w:val="15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477">
    <w:name w:val="Bordered &amp; Lined - Accent 3"/>
    <w:basedOn w:val="15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478">
    <w:name w:val="Bordered &amp; Lined - Accent 4"/>
    <w:basedOn w:val="15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479">
    <w:name w:val="Bordered &amp; Lined - Accent 5"/>
    <w:basedOn w:val="15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480">
    <w:name w:val="Bordered &amp; Lined - Accent 6"/>
    <w:basedOn w:val="15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481">
    <w:name w:val="Bordered"/>
    <w:basedOn w:val="15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2">
    <w:name w:val="Bordered - Accent 1"/>
    <w:basedOn w:val="15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3">
    <w:name w:val="Bordered - Accent 2"/>
    <w:basedOn w:val="15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4">
    <w:name w:val="Bordered - Accent 3"/>
    <w:basedOn w:val="15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5">
    <w:name w:val="Bordered - Accent 4"/>
    <w:basedOn w:val="15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6">
    <w:name w:val="Bordered - Accent 5"/>
    <w:basedOn w:val="15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7">
    <w:name w:val="Bordered - Accent 6"/>
    <w:basedOn w:val="15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8">
    <w:name w:val="Footnote Text Char"/>
    <w:link w:val="1531"/>
    <w:uiPriority w:val="99"/>
    <w:rPr>
      <w:sz w:val="18"/>
    </w:rPr>
  </w:style>
  <w:style w:type="character" w:styleId="1489">
    <w:name w:val="footnote reference"/>
    <w:basedOn w:val="1505"/>
    <w:uiPriority w:val="99"/>
    <w:unhideWhenUsed/>
    <w:rPr>
      <w:vertAlign w:val="superscript"/>
    </w:rPr>
  </w:style>
  <w:style w:type="paragraph" w:styleId="1490">
    <w:name w:val="endnote text"/>
    <w:basedOn w:val="1495"/>
    <w:link w:val="1491"/>
    <w:uiPriority w:val="99"/>
    <w:semiHidden/>
    <w:unhideWhenUsed/>
    <w:pPr>
      <w:spacing w:after="0" w:line="240" w:lineRule="auto"/>
    </w:pPr>
    <w:rPr>
      <w:sz w:val="20"/>
    </w:rPr>
  </w:style>
  <w:style w:type="character" w:styleId="1491">
    <w:name w:val="Endnote Text Char"/>
    <w:link w:val="1490"/>
    <w:uiPriority w:val="99"/>
    <w:rPr>
      <w:sz w:val="20"/>
    </w:rPr>
  </w:style>
  <w:style w:type="character" w:styleId="1492">
    <w:name w:val="endnote reference"/>
    <w:basedOn w:val="1505"/>
    <w:uiPriority w:val="99"/>
    <w:semiHidden/>
    <w:unhideWhenUsed/>
    <w:rPr>
      <w:vertAlign w:val="superscript"/>
    </w:rPr>
  </w:style>
  <w:style w:type="paragraph" w:styleId="1493">
    <w:name w:val="TOC Heading"/>
    <w:uiPriority w:val="39"/>
    <w:unhideWhenUsed/>
  </w:style>
  <w:style w:type="paragraph" w:styleId="1494">
    <w:name w:val="table of figures"/>
    <w:basedOn w:val="1495"/>
    <w:next w:val="1495"/>
    <w:uiPriority w:val="99"/>
    <w:unhideWhenUsed/>
    <w:pPr>
      <w:spacing w:after="0" w:afterAutospacing="0"/>
    </w:pPr>
  </w:style>
  <w:style w:type="paragraph" w:styleId="14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496">
    <w:name w:val="Heading 1"/>
    <w:basedOn w:val="1495"/>
    <w:next w:val="1495"/>
    <w:link w:val="1554"/>
    <w:uiPriority w:val="0"/>
    <w:qFormat/>
    <w:pPr>
      <w:jc w:val="center"/>
      <w:keepLines/>
      <w:keepNext/>
      <w:spacing w:before="240" w:after="120" w:line="300" w:lineRule="auto"/>
      <w:outlineLvl w:val="0"/>
    </w:pPr>
    <w:rPr>
      <w:rFonts w:ascii="宋体"/>
      <w:b/>
      <w:sz w:val="32"/>
      <w:szCs w:val="20"/>
    </w:rPr>
  </w:style>
  <w:style w:type="paragraph" w:styleId="1497">
    <w:name w:val="Heading 2"/>
    <w:basedOn w:val="1495"/>
    <w:next w:val="1507"/>
    <w:link w:val="1555"/>
    <w:uiPriority w:val="0"/>
    <w:qFormat/>
    <w:pPr>
      <w:jc w:val="center"/>
      <w:keepLines/>
      <w:keepNext/>
      <w:spacing w:before="120" w:line="300" w:lineRule="auto"/>
      <w:outlineLvl w:val="1"/>
    </w:pPr>
    <w:rPr>
      <w:rFonts w:ascii="Arial" w:hAnsi="Arial" w:eastAsia="黑体"/>
      <w:b/>
      <w:sz w:val="30"/>
      <w:szCs w:val="20"/>
    </w:rPr>
  </w:style>
  <w:style w:type="paragraph" w:styleId="1498">
    <w:name w:val="Heading 3"/>
    <w:basedOn w:val="1495"/>
    <w:next w:val="1495"/>
    <w:link w:val="1557"/>
    <w:uiPriority w:val="0"/>
    <w:qFormat/>
    <w:pPr>
      <w:jc w:val="left"/>
      <w:keepLines/>
      <w:keepNext/>
      <w:spacing w:before="360" w:after="120"/>
      <w:outlineLvl w:val="2"/>
    </w:pPr>
    <w:rPr>
      <w:rFonts w:ascii="宋体"/>
      <w:b/>
      <w:sz w:val="24"/>
      <w:szCs w:val="20"/>
      <w:u w:val="single"/>
    </w:rPr>
  </w:style>
  <w:style w:type="paragraph" w:styleId="1499">
    <w:name w:val="Heading 4"/>
    <w:basedOn w:val="1495"/>
    <w:next w:val="1507"/>
    <w:link w:val="1558"/>
    <w:uiPriority w:val="0"/>
    <w:qFormat/>
    <w:pPr>
      <w:keepLines/>
      <w:keepNext/>
      <w:spacing w:before="280" w:after="290" w:line="376" w:lineRule="atLeast"/>
      <w:outlineLvl w:val="3"/>
    </w:pPr>
    <w:rPr>
      <w:rFonts w:ascii="Arial" w:hAnsi="Arial" w:eastAsia="黑体"/>
      <w:b/>
      <w:sz w:val="28"/>
      <w:szCs w:val="20"/>
    </w:rPr>
  </w:style>
  <w:style w:type="paragraph" w:styleId="1500">
    <w:name w:val="Heading 5"/>
    <w:basedOn w:val="1495"/>
    <w:next w:val="1495"/>
    <w:link w:val="1559"/>
    <w:uiPriority w:val="0"/>
    <w:qFormat/>
    <w:pPr>
      <w:keepLines/>
      <w:keepNext/>
      <w:spacing w:before="280" w:after="290" w:line="376" w:lineRule="atLeast"/>
      <w:outlineLvl w:val="4"/>
    </w:pPr>
    <w:rPr>
      <w:b/>
      <w:sz w:val="28"/>
      <w:szCs w:val="20"/>
    </w:rPr>
  </w:style>
  <w:style w:type="paragraph" w:styleId="1501">
    <w:name w:val="Heading 6"/>
    <w:basedOn w:val="1495"/>
    <w:next w:val="1495"/>
    <w:link w:val="1560"/>
    <w:uiPriority w:val="0"/>
    <w:qFormat/>
    <w:pPr>
      <w:keepLines/>
      <w:keepNext/>
      <w:spacing w:before="240" w:after="64" w:line="320" w:lineRule="atLeast"/>
      <w:outlineLvl w:val="5"/>
    </w:pPr>
    <w:rPr>
      <w:rFonts w:ascii="Arial" w:hAnsi="Arial" w:eastAsia="黑体"/>
      <w:b/>
      <w:sz w:val="24"/>
      <w:szCs w:val="20"/>
    </w:rPr>
  </w:style>
  <w:style w:type="paragraph" w:styleId="1502">
    <w:name w:val="Heading 7"/>
    <w:basedOn w:val="1495"/>
    <w:next w:val="1495"/>
    <w:link w:val="1561"/>
    <w:uiPriority w:val="0"/>
    <w:qFormat/>
    <w:pPr>
      <w:keepLines/>
      <w:keepNext/>
      <w:spacing w:before="240" w:after="64" w:line="320" w:lineRule="atLeast"/>
      <w:outlineLvl w:val="6"/>
    </w:pPr>
    <w:rPr>
      <w:b/>
      <w:sz w:val="24"/>
      <w:szCs w:val="20"/>
    </w:rPr>
  </w:style>
  <w:style w:type="paragraph" w:styleId="1503">
    <w:name w:val="Heading 8"/>
    <w:basedOn w:val="1495"/>
    <w:next w:val="1495"/>
    <w:link w:val="1562"/>
    <w:uiPriority w:val="0"/>
    <w:qFormat/>
    <w:pPr>
      <w:keepLines/>
      <w:keepNext/>
      <w:spacing w:before="240" w:after="64" w:line="320" w:lineRule="atLeast"/>
      <w:outlineLvl w:val="7"/>
    </w:pPr>
    <w:rPr>
      <w:rFonts w:ascii="Arial" w:hAnsi="Arial" w:eastAsia="黑体"/>
      <w:sz w:val="24"/>
      <w:szCs w:val="20"/>
    </w:rPr>
  </w:style>
  <w:style w:type="paragraph" w:styleId="1504">
    <w:name w:val="Heading 9"/>
    <w:basedOn w:val="1495"/>
    <w:next w:val="1495"/>
    <w:link w:val="1563"/>
    <w:uiPriority w:val="0"/>
    <w:qFormat/>
    <w:pPr>
      <w:keepLines/>
      <w:keepNext/>
      <w:spacing w:before="240" w:after="64" w:line="320" w:lineRule="atLeast"/>
      <w:outlineLvl w:val="8"/>
    </w:pPr>
    <w:rPr>
      <w:rFonts w:ascii="Arial" w:hAnsi="Arial" w:eastAsia="黑体"/>
      <w:szCs w:val="20"/>
    </w:rPr>
  </w:style>
  <w:style w:type="character" w:styleId="1505" w:default="1">
    <w:name w:val="Default Paragraph Font"/>
    <w:uiPriority w:val="1"/>
    <w:semiHidden/>
    <w:unhideWhenUsed/>
    <w:qFormat/>
  </w:style>
  <w:style w:type="table" w:styleId="1506" w:default="1">
    <w:name w:val="Normal Table"/>
    <w:uiPriority w:val="99"/>
    <w:semiHidden/>
    <w:unhideWhenUsed/>
    <w:qFormat/>
    <w:tblPr>
      <w:tblCellMar>
        <w:left w:w="108" w:type="dxa"/>
        <w:top w:w="0" w:type="dxa"/>
        <w:right w:w="108" w:type="dxa"/>
        <w:bottom w:w="0" w:type="dxa"/>
      </w:tblCellMar>
    </w:tblPr>
  </w:style>
  <w:style w:type="paragraph" w:styleId="1507">
    <w:name w:val="Normal Indent"/>
    <w:basedOn w:val="1495"/>
    <w:next w:val="1495"/>
    <w:link w:val="1556"/>
    <w:uiPriority w:val="0"/>
    <w:qFormat/>
    <w:pPr>
      <w:ind w:firstLine="420"/>
      <w:jc w:val="left"/>
    </w:pPr>
    <w:rPr>
      <w:rFonts w:ascii="宋体"/>
      <w:sz w:val="24"/>
    </w:rPr>
  </w:style>
  <w:style w:type="paragraph" w:styleId="1508">
    <w:name w:val="toc 7"/>
    <w:basedOn w:val="1495"/>
    <w:next w:val="1495"/>
    <w:uiPriority w:val="0"/>
    <w:qFormat/>
    <w:pPr>
      <w:ind w:left="2520"/>
    </w:pPr>
  </w:style>
  <w:style w:type="paragraph" w:styleId="1509">
    <w:name w:val="Caption"/>
    <w:basedOn w:val="1495"/>
    <w:next w:val="1495"/>
    <w:uiPriority w:val="0"/>
    <w:qFormat/>
    <w:pPr>
      <w:spacing w:line="480" w:lineRule="auto"/>
    </w:pPr>
    <w:rPr>
      <w:rFonts w:ascii="华文中宋" w:hAnsi="华文中宋" w:eastAsia="华文中宋"/>
      <w:sz w:val="36"/>
      <w:szCs w:val="20"/>
    </w:rPr>
  </w:style>
  <w:style w:type="paragraph" w:styleId="1510">
    <w:name w:val="index 5"/>
    <w:basedOn w:val="1495"/>
    <w:next w:val="1495"/>
    <w:uiPriority w:val="99"/>
    <w:unhideWhenUsed/>
    <w:qFormat/>
    <w:pPr>
      <w:ind w:left="800"/>
    </w:pPr>
  </w:style>
  <w:style w:type="paragraph" w:styleId="1511">
    <w:name w:val="Document Map"/>
    <w:basedOn w:val="1495"/>
    <w:link w:val="1564"/>
    <w:uiPriority w:val="0"/>
    <w:qFormat/>
    <w:pPr>
      <w:shd w:val="clear" w:color="auto" w:fill="000080"/>
    </w:pPr>
  </w:style>
  <w:style w:type="paragraph" w:styleId="1512">
    <w:name w:val="annotation text"/>
    <w:basedOn w:val="1495"/>
    <w:link w:val="1565"/>
    <w:uiPriority w:val="0"/>
    <w:qFormat/>
    <w:pPr>
      <w:jc w:val="left"/>
    </w:pPr>
  </w:style>
  <w:style w:type="paragraph" w:styleId="1513">
    <w:name w:val="Body Text 3"/>
    <w:basedOn w:val="1495"/>
    <w:link w:val="1566"/>
    <w:uiPriority w:val="0"/>
    <w:qFormat/>
    <w:pPr>
      <w:spacing w:after="120"/>
    </w:pPr>
    <w:rPr>
      <w:sz w:val="16"/>
      <w:szCs w:val="16"/>
    </w:rPr>
  </w:style>
  <w:style w:type="paragraph" w:styleId="1514">
    <w:name w:val="Body Text"/>
    <w:basedOn w:val="1495"/>
    <w:next w:val="1495"/>
    <w:link w:val="1567"/>
    <w:uiPriority w:val="0"/>
    <w:qFormat/>
    <w:pPr>
      <w:spacing w:before="120" w:line="22" w:lineRule="atLeast"/>
      <w:tabs>
        <w:tab w:val="left" w:pos="567" w:leader="none"/>
      </w:tabs>
    </w:pPr>
    <w:rPr>
      <w:rFonts w:ascii="宋体" w:hAnsi="宋体"/>
      <w:sz w:val="24"/>
    </w:rPr>
  </w:style>
  <w:style w:type="paragraph" w:styleId="1515">
    <w:name w:val="Body Text Indent"/>
    <w:basedOn w:val="1495"/>
    <w:link w:val="1568"/>
    <w:uiPriority w:val="0"/>
    <w:qFormat/>
    <w:pPr>
      <w:ind w:firstLine="570"/>
      <w:spacing w:line="360" w:lineRule="auto"/>
    </w:pPr>
    <w:rPr>
      <w:sz w:val="24"/>
    </w:rPr>
  </w:style>
  <w:style w:type="paragraph" w:styleId="1516">
    <w:name w:val="List 2"/>
    <w:basedOn w:val="1495"/>
    <w:uiPriority w:val="0"/>
    <w:qFormat/>
    <w:pPr>
      <w:ind w:left="100" w:hanging="200"/>
    </w:pPr>
  </w:style>
  <w:style w:type="paragraph" w:styleId="1517">
    <w:name w:val="Block Text"/>
    <w:basedOn w:val="1495"/>
    <w:uiPriority w:val="0"/>
    <w:qFormat/>
    <w:pPr>
      <w:ind w:left="480" w:right="-341" w:firstLine="513"/>
      <w:widowControl/>
    </w:pPr>
    <w:rPr>
      <w:sz w:val="24"/>
      <w:szCs w:val="20"/>
    </w:rPr>
  </w:style>
  <w:style w:type="paragraph" w:styleId="1518">
    <w:name w:val="toc 5"/>
    <w:basedOn w:val="1495"/>
    <w:next w:val="1495"/>
    <w:uiPriority w:val="0"/>
    <w:qFormat/>
    <w:pPr>
      <w:ind w:left="1680"/>
    </w:pPr>
  </w:style>
  <w:style w:type="paragraph" w:styleId="1519">
    <w:name w:val="toc 3"/>
    <w:basedOn w:val="1495"/>
    <w:next w:val="1495"/>
    <w:uiPriority w:val="39"/>
    <w:qFormat/>
    <w:pPr>
      <w:ind w:left="840"/>
    </w:pPr>
  </w:style>
  <w:style w:type="paragraph" w:styleId="1520">
    <w:name w:val="Plain Text"/>
    <w:basedOn w:val="1495"/>
    <w:next w:val="1507"/>
    <w:link w:val="1569"/>
    <w:uiPriority w:val="0"/>
    <w:qFormat/>
    <w:rPr>
      <w:rFonts w:hint="eastAsia" w:ascii="宋体" w:hAnsi="Courier New"/>
      <w:szCs w:val="20"/>
    </w:rPr>
  </w:style>
  <w:style w:type="paragraph" w:styleId="1521">
    <w:name w:val="toc 8"/>
    <w:basedOn w:val="1495"/>
    <w:next w:val="1495"/>
    <w:uiPriority w:val="0"/>
    <w:qFormat/>
    <w:pPr>
      <w:ind w:left="2940"/>
    </w:pPr>
  </w:style>
  <w:style w:type="paragraph" w:styleId="1522">
    <w:name w:val="Date"/>
    <w:basedOn w:val="1495"/>
    <w:next w:val="1495"/>
    <w:link w:val="1570"/>
    <w:uiPriority w:val="0"/>
    <w:qFormat/>
    <w:pPr>
      <w:ind w:left="100"/>
    </w:pPr>
    <w:rPr>
      <w:rFonts w:ascii="仿宋_GB2312" w:hAnsi="宋体" w:eastAsia="仿宋_GB2312"/>
      <w:color w:val="000000"/>
      <w:sz w:val="24"/>
    </w:rPr>
  </w:style>
  <w:style w:type="paragraph" w:styleId="1523">
    <w:name w:val="Body Text Indent 2"/>
    <w:basedOn w:val="1495"/>
    <w:link w:val="1571"/>
    <w:uiPriority w:val="0"/>
    <w:qFormat/>
    <w:pPr>
      <w:ind w:firstLine="480"/>
    </w:pPr>
    <w:rPr>
      <w:rFonts w:ascii="仿宋_GB2312" w:eastAsia="仿宋_GB2312"/>
      <w:sz w:val="24"/>
    </w:rPr>
  </w:style>
  <w:style w:type="paragraph" w:styleId="1524">
    <w:name w:val="Balloon Text"/>
    <w:basedOn w:val="1495"/>
    <w:link w:val="1572"/>
    <w:uiPriority w:val="0"/>
    <w:qFormat/>
    <w:rPr>
      <w:sz w:val="18"/>
      <w:szCs w:val="18"/>
    </w:rPr>
  </w:style>
  <w:style w:type="paragraph" w:styleId="1525">
    <w:name w:val="Footer"/>
    <w:basedOn w:val="1495"/>
    <w:link w:val="1573"/>
    <w:uiPriority w:val="99"/>
    <w:qFormat/>
    <w:pPr>
      <w:jc w:val="left"/>
      <w:tabs>
        <w:tab w:val="center" w:pos="4153" w:leader="none"/>
        <w:tab w:val="right" w:pos="8306" w:leader="none"/>
      </w:tabs>
    </w:pPr>
    <w:rPr>
      <w:rFonts w:ascii="宋体"/>
      <w:sz w:val="18"/>
      <w:szCs w:val="20"/>
    </w:rPr>
  </w:style>
  <w:style w:type="paragraph" w:styleId="1526">
    <w:name w:val="envelope return"/>
    <w:basedOn w:val="1495"/>
    <w:uiPriority w:val="0"/>
    <w:qFormat/>
    <w:rPr>
      <w:rFonts w:ascii="Arial" w:hAnsi="Arial"/>
    </w:rPr>
  </w:style>
  <w:style w:type="paragraph" w:styleId="1527">
    <w:name w:val="Header"/>
    <w:basedOn w:val="1495"/>
    <w:link w:val="1574"/>
    <w:uiPriority w:val="0"/>
    <w:qFormat/>
    <w:pPr>
      <w:jc w:val="center"/>
      <w:tabs>
        <w:tab w:val="center" w:pos="4153" w:leader="none"/>
        <w:tab w:val="right" w:pos="8306" w:leader="none"/>
      </w:tabs>
      <w:pBdr>
        <w:bottom w:val="single" w:color="auto" w:sz="6" w:space="1"/>
      </w:pBdr>
    </w:pPr>
    <w:rPr>
      <w:sz w:val="18"/>
      <w:szCs w:val="18"/>
    </w:rPr>
  </w:style>
  <w:style w:type="paragraph" w:styleId="1528">
    <w:name w:val="toc 1"/>
    <w:basedOn w:val="1495"/>
    <w:next w:val="1495"/>
    <w:uiPriority w:val="39"/>
    <w:qFormat/>
    <w:pPr>
      <w:spacing w:line="300" w:lineRule="auto"/>
      <w:tabs>
        <w:tab w:val="left" w:pos="1050" w:leader="none"/>
        <w:tab w:val="right" w:pos="8937" w:leader="dot"/>
      </w:tabs>
    </w:pPr>
    <w:rPr>
      <w:rFonts w:ascii="宋体" w:hAnsi="宋体"/>
      <w:b/>
      <w:sz w:val="24"/>
    </w:rPr>
  </w:style>
  <w:style w:type="paragraph" w:styleId="1529">
    <w:name w:val="toc 4"/>
    <w:basedOn w:val="1495"/>
    <w:next w:val="1495"/>
    <w:uiPriority w:val="0"/>
    <w:qFormat/>
    <w:pPr>
      <w:ind w:left="1260"/>
    </w:pPr>
  </w:style>
  <w:style w:type="paragraph" w:styleId="1530">
    <w:name w:val="Subtitle"/>
    <w:basedOn w:val="1495"/>
    <w:next w:val="1495"/>
    <w:uiPriority w:val="0"/>
    <w:qFormat/>
    <w:pPr>
      <w:jc w:val="center"/>
      <w:spacing w:before="240" w:after="60" w:line="312" w:lineRule="auto"/>
      <w:outlineLvl w:val="1"/>
    </w:pPr>
    <w:rPr>
      <w:rFonts w:ascii="Arial" w:hAnsi="Arial" w:cs="Arial"/>
      <w:b/>
      <w:bCs/>
      <w:sz w:val="32"/>
      <w:szCs w:val="32"/>
    </w:rPr>
  </w:style>
  <w:style w:type="paragraph" w:styleId="1531">
    <w:name w:val="footnote text"/>
    <w:basedOn w:val="1495"/>
    <w:next w:val="1510"/>
    <w:uiPriority w:val="0"/>
    <w:qFormat/>
    <w:pPr>
      <w:ind w:firstLine="425"/>
      <w:jc w:val="left"/>
      <w:spacing w:before="120" w:line="360" w:lineRule="auto"/>
    </w:pPr>
    <w:rPr>
      <w:sz w:val="18"/>
      <w:szCs w:val="20"/>
    </w:rPr>
  </w:style>
  <w:style w:type="paragraph" w:styleId="1532">
    <w:name w:val="toc 6"/>
    <w:basedOn w:val="1495"/>
    <w:next w:val="1495"/>
    <w:uiPriority w:val="0"/>
    <w:qFormat/>
    <w:pPr>
      <w:ind w:left="2100"/>
    </w:pPr>
  </w:style>
  <w:style w:type="paragraph" w:styleId="1533">
    <w:name w:val="Body Text Indent 3"/>
    <w:basedOn w:val="1495"/>
    <w:link w:val="1575"/>
    <w:uiPriority w:val="0"/>
    <w:qFormat/>
    <w:pPr>
      <w:ind w:left="720" w:firstLine="480"/>
      <w:jc w:val="left"/>
      <w:spacing w:before="120" w:line="22" w:lineRule="atLeast"/>
    </w:pPr>
    <w:rPr>
      <w:rFonts w:ascii="宋体"/>
      <w:sz w:val="24"/>
      <w:szCs w:val="20"/>
    </w:rPr>
  </w:style>
  <w:style w:type="paragraph" w:styleId="1534">
    <w:name w:val="toc 2"/>
    <w:basedOn w:val="1495"/>
    <w:next w:val="1495"/>
    <w:uiPriority w:val="39"/>
    <w:qFormat/>
    <w:pPr>
      <w:ind w:left="420"/>
      <w:spacing w:line="312" w:lineRule="auto"/>
      <w:tabs>
        <w:tab w:val="right" w:pos="8937" w:leader="dot"/>
      </w:tabs>
    </w:pPr>
  </w:style>
  <w:style w:type="paragraph" w:styleId="1535">
    <w:name w:val="toc 9"/>
    <w:basedOn w:val="1495"/>
    <w:next w:val="1495"/>
    <w:uiPriority w:val="0"/>
    <w:qFormat/>
    <w:pPr>
      <w:ind w:left="3360"/>
    </w:pPr>
  </w:style>
  <w:style w:type="paragraph" w:styleId="1536">
    <w:name w:val="HTML Preformatted"/>
    <w:basedOn w:val="1495"/>
    <w:link w:val="15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537">
    <w:name w:val="Normal (Web)"/>
    <w:basedOn w:val="1495"/>
    <w:uiPriority w:val="0"/>
    <w:unhideWhenUsed/>
    <w:qFormat/>
    <w:pPr>
      <w:jc w:val="left"/>
      <w:spacing w:before="100" w:beforeAutospacing="1" w:after="100" w:afterAutospacing="1"/>
      <w:widowControl/>
    </w:pPr>
    <w:rPr>
      <w:rFonts w:ascii="宋体" w:hAnsi="宋体" w:cs="宋体"/>
      <w:sz w:val="24"/>
    </w:rPr>
  </w:style>
  <w:style w:type="paragraph" w:styleId="1538">
    <w:name w:val="index 1"/>
    <w:basedOn w:val="1495"/>
    <w:next w:val="1495"/>
    <w:uiPriority w:val="0"/>
    <w:qFormat/>
    <w:rPr>
      <w:szCs w:val="20"/>
    </w:rPr>
  </w:style>
  <w:style w:type="paragraph" w:styleId="1539">
    <w:name w:val="Title"/>
    <w:basedOn w:val="1495"/>
    <w:link w:val="1577"/>
    <w:uiPriority w:val="0"/>
    <w:qFormat/>
    <w:pPr>
      <w:jc w:val="center"/>
      <w:outlineLvl w:val="0"/>
    </w:pPr>
    <w:rPr>
      <w:b/>
      <w:sz w:val="32"/>
      <w:szCs w:val="20"/>
    </w:rPr>
  </w:style>
  <w:style w:type="paragraph" w:styleId="1540">
    <w:name w:val="annotation subject"/>
    <w:basedOn w:val="1512"/>
    <w:next w:val="1512"/>
    <w:link w:val="1578"/>
    <w:uiPriority w:val="0"/>
    <w:qFormat/>
    <w:rPr>
      <w:b/>
      <w:bCs/>
    </w:rPr>
  </w:style>
  <w:style w:type="paragraph" w:styleId="1541">
    <w:name w:val="Body Text First Indent"/>
    <w:basedOn w:val="1514"/>
    <w:uiPriority w:val="0"/>
    <w:qFormat/>
    <w:pPr>
      <w:ind w:firstLine="420"/>
    </w:pPr>
    <w:rPr>
      <w:szCs w:val="20"/>
    </w:rPr>
  </w:style>
  <w:style w:type="paragraph" w:styleId="1542">
    <w:name w:val="Body Text First Indent 2"/>
    <w:basedOn w:val="1515"/>
    <w:link w:val="1580"/>
    <w:uiPriority w:val="0"/>
    <w:qFormat/>
    <w:pPr>
      <w:ind w:left="420" w:firstLine="420"/>
      <w:spacing w:after="120" w:line="480" w:lineRule="exact"/>
    </w:pPr>
    <w:rPr>
      <w:szCs w:val="20"/>
    </w:rPr>
  </w:style>
  <w:style w:type="table" w:styleId="1543">
    <w:name w:val="Table Grid"/>
    <w:basedOn w:val="150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44">
    <w:name w:val="Medium Grid 1 Accent 2"/>
    <w:basedOn w:val="150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545">
    <w:name w:val="Strong"/>
    <w:uiPriority w:val="0"/>
    <w:qFormat/>
    <w:rPr>
      <w:b/>
      <w:bCs/>
    </w:rPr>
  </w:style>
  <w:style w:type="character" w:styleId="1546">
    <w:name w:val="page number"/>
    <w:uiPriority w:val="0"/>
    <w:qFormat/>
  </w:style>
  <w:style w:type="character" w:styleId="1547">
    <w:name w:val="FollowedHyperlink"/>
    <w:uiPriority w:val="0"/>
    <w:qFormat/>
    <w:rPr>
      <w:color w:val="800080"/>
      <w:u w:val="single"/>
    </w:rPr>
  </w:style>
  <w:style w:type="character" w:styleId="1548">
    <w:name w:val="Emphasis"/>
    <w:uiPriority w:val="0"/>
    <w:qFormat/>
    <w:rPr>
      <w:color w:val="cc0033"/>
    </w:rPr>
  </w:style>
  <w:style w:type="character" w:styleId="1549">
    <w:name w:val="Hyperlink"/>
    <w:uiPriority w:val="99"/>
    <w:qFormat/>
    <w:rPr>
      <w:color w:val="0000ff"/>
      <w:u w:val="single"/>
    </w:rPr>
  </w:style>
  <w:style w:type="character" w:styleId="1550">
    <w:name w:val="annotation reference"/>
    <w:uiPriority w:val="99"/>
    <w:qFormat/>
    <w:rPr>
      <w:sz w:val="21"/>
      <w:szCs w:val="21"/>
    </w:rPr>
  </w:style>
  <w:style w:type="character" w:styleId="1551">
    <w:name w:val="HTML Cite"/>
    <w:uiPriority w:val="0"/>
    <w:qFormat/>
    <w:rPr>
      <w:i/>
      <w:iCs/>
    </w:rPr>
  </w:style>
  <w:style w:type="paragraph" w:styleId="1552" w:customStyle="1">
    <w:name w:val="标题 311"/>
    <w:basedOn w:val="1495"/>
    <w:next w:val="1495"/>
    <w:uiPriority w:val="0"/>
    <w:qFormat/>
    <w:pPr>
      <w:jc w:val="left"/>
      <w:keepLines/>
      <w:keepNext/>
      <w:spacing w:before="360" w:after="120"/>
      <w:outlineLvl w:val="2"/>
    </w:pPr>
    <w:rPr>
      <w:rFonts w:ascii="宋体"/>
      <w:b/>
      <w:sz w:val="24"/>
      <w:szCs w:val="20"/>
      <w:u w:val="single"/>
    </w:rPr>
  </w:style>
  <w:style w:type="paragraph" w:styleId="1553" w:customStyle="1">
    <w:name w:val="段"/>
    <w:next w:val="1495"/>
    <w:uiPriority w:val="0"/>
    <w:qFormat/>
    <w:pPr>
      <w:ind w:firstLine="200"/>
      <w:jc w:val="both"/>
    </w:pPr>
    <w:rPr>
      <w:rFonts w:ascii="宋体" w:hAnsi="Times New Roman" w:eastAsia="宋体" w:cs="Times New Roman"/>
      <w:sz w:val="21"/>
      <w:lang w:val="en-US" w:eastAsia="zh-CN" w:bidi="ar-SA"/>
    </w:rPr>
  </w:style>
  <w:style w:type="character" w:styleId="1554" w:customStyle="1">
    <w:name w:val="标题 1 字符"/>
    <w:link w:val="1496"/>
    <w:uiPriority w:val="0"/>
    <w:qFormat/>
    <w:rPr>
      <w:rFonts w:ascii="宋体"/>
      <w:b/>
      <w:sz w:val="32"/>
    </w:rPr>
  </w:style>
  <w:style w:type="character" w:styleId="1555" w:customStyle="1">
    <w:name w:val="标题 2 字符"/>
    <w:link w:val="1497"/>
    <w:uiPriority w:val="0"/>
    <w:qFormat/>
    <w:rPr>
      <w:rFonts w:ascii="Arial" w:hAnsi="Arial" w:eastAsia="黑体"/>
      <w:b/>
      <w:sz w:val="30"/>
      <w:lang w:val="en-US" w:eastAsia="zh-CN" w:bidi="ar-SA"/>
    </w:rPr>
  </w:style>
  <w:style w:type="character" w:styleId="1556" w:customStyle="1">
    <w:name w:val="正文缩进 字符"/>
    <w:link w:val="1507"/>
    <w:uiPriority w:val="0"/>
    <w:qFormat/>
    <w:rPr>
      <w:rFonts w:ascii="宋体" w:eastAsia="宋体"/>
      <w:sz w:val="24"/>
      <w:szCs w:val="24"/>
      <w:lang w:val="en-US" w:eastAsia="zh-CN" w:bidi="ar-SA"/>
    </w:rPr>
  </w:style>
  <w:style w:type="character" w:styleId="1557" w:customStyle="1">
    <w:name w:val="标题 3 字符"/>
    <w:link w:val="1498"/>
    <w:uiPriority w:val="0"/>
    <w:qFormat/>
    <w:rPr>
      <w:rFonts w:ascii="宋体" w:eastAsia="宋体"/>
      <w:b/>
      <w:sz w:val="24"/>
      <w:u w:val="single"/>
      <w:lang w:val="en-US" w:eastAsia="zh-CN" w:bidi="ar-SA"/>
    </w:rPr>
  </w:style>
  <w:style w:type="character" w:styleId="1558" w:customStyle="1">
    <w:name w:val="标题 4 字符"/>
    <w:link w:val="1499"/>
    <w:uiPriority w:val="0"/>
    <w:qFormat/>
    <w:rPr>
      <w:rFonts w:ascii="Arial" w:hAnsi="Arial" w:eastAsia="黑体"/>
      <w:b/>
      <w:sz w:val="28"/>
    </w:rPr>
  </w:style>
  <w:style w:type="character" w:styleId="1559" w:customStyle="1">
    <w:name w:val="标题 5 字符"/>
    <w:link w:val="1500"/>
    <w:uiPriority w:val="0"/>
    <w:qFormat/>
    <w:rPr>
      <w:b/>
      <w:sz w:val="28"/>
    </w:rPr>
  </w:style>
  <w:style w:type="character" w:styleId="1560" w:customStyle="1">
    <w:name w:val="标题 6 字符"/>
    <w:link w:val="1501"/>
    <w:uiPriority w:val="0"/>
    <w:qFormat/>
    <w:rPr>
      <w:rFonts w:ascii="Arial" w:hAnsi="Arial" w:eastAsia="黑体"/>
      <w:b/>
      <w:sz w:val="24"/>
    </w:rPr>
  </w:style>
  <w:style w:type="character" w:styleId="1561" w:customStyle="1">
    <w:name w:val="标题 7 字符"/>
    <w:link w:val="1502"/>
    <w:uiPriority w:val="0"/>
    <w:qFormat/>
    <w:rPr>
      <w:b/>
      <w:sz w:val="24"/>
    </w:rPr>
  </w:style>
  <w:style w:type="character" w:styleId="1562" w:customStyle="1">
    <w:name w:val="标题 8 字符"/>
    <w:link w:val="1503"/>
    <w:uiPriority w:val="0"/>
    <w:qFormat/>
    <w:rPr>
      <w:rFonts w:ascii="Arial" w:hAnsi="Arial" w:eastAsia="黑体"/>
      <w:sz w:val="24"/>
    </w:rPr>
  </w:style>
  <w:style w:type="character" w:styleId="1563" w:customStyle="1">
    <w:name w:val="标题 9 字符"/>
    <w:link w:val="1504"/>
    <w:uiPriority w:val="0"/>
    <w:qFormat/>
    <w:rPr>
      <w:rFonts w:ascii="Arial" w:hAnsi="Arial" w:eastAsia="黑体"/>
      <w:sz w:val="21"/>
    </w:rPr>
  </w:style>
  <w:style w:type="character" w:styleId="1564" w:customStyle="1">
    <w:name w:val="文档结构图 字符"/>
    <w:link w:val="1511"/>
    <w:uiPriority w:val="0"/>
    <w:qFormat/>
    <w:rPr>
      <w:sz w:val="21"/>
      <w:szCs w:val="24"/>
      <w:shd w:val="clear" w:color="auto" w:fill="000080"/>
    </w:rPr>
  </w:style>
  <w:style w:type="character" w:styleId="1565" w:customStyle="1">
    <w:name w:val="批注文字 字符1"/>
    <w:link w:val="1512"/>
    <w:uiPriority w:val="99"/>
    <w:qFormat/>
    <w:rPr>
      <w:sz w:val="21"/>
      <w:szCs w:val="24"/>
    </w:rPr>
  </w:style>
  <w:style w:type="character" w:styleId="1566" w:customStyle="1">
    <w:name w:val="正文文本 3 字符"/>
    <w:link w:val="1513"/>
    <w:uiPriority w:val="0"/>
    <w:qFormat/>
    <w:rPr>
      <w:sz w:val="16"/>
      <w:szCs w:val="16"/>
    </w:rPr>
  </w:style>
  <w:style w:type="character" w:styleId="1567" w:customStyle="1">
    <w:name w:val="正文文本 字符"/>
    <w:link w:val="1514"/>
    <w:uiPriority w:val="0"/>
    <w:qFormat/>
    <w:rPr>
      <w:rFonts w:ascii="宋体" w:hAnsi="宋体"/>
      <w:sz w:val="24"/>
      <w:szCs w:val="24"/>
    </w:rPr>
  </w:style>
  <w:style w:type="character" w:styleId="1568" w:customStyle="1">
    <w:name w:val="正文文本缩进 字符"/>
    <w:link w:val="1515"/>
    <w:uiPriority w:val="0"/>
    <w:qFormat/>
    <w:rPr>
      <w:rFonts w:eastAsia="宋体"/>
      <w:sz w:val="24"/>
      <w:szCs w:val="24"/>
      <w:lang w:val="en-US" w:eastAsia="zh-CN" w:bidi="ar-SA"/>
    </w:rPr>
  </w:style>
  <w:style w:type="character" w:styleId="1569" w:customStyle="1">
    <w:name w:val="纯文本 字符2"/>
    <w:link w:val="1520"/>
    <w:uiPriority w:val="0"/>
    <w:qFormat/>
    <w:rPr>
      <w:rFonts w:hint="eastAsia" w:ascii="宋体" w:hAnsi="Courier New" w:eastAsia="宋体" w:cs="宋体"/>
      <w:sz w:val="21"/>
    </w:rPr>
  </w:style>
  <w:style w:type="character" w:styleId="1570" w:customStyle="1">
    <w:name w:val="日期 字符"/>
    <w:link w:val="1522"/>
    <w:uiPriority w:val="0"/>
    <w:qFormat/>
    <w:rPr>
      <w:rFonts w:ascii="仿宋_GB2312" w:hAnsi="宋体" w:eastAsia="仿宋_GB2312"/>
      <w:color w:val="000000"/>
      <w:sz w:val="24"/>
      <w:szCs w:val="24"/>
    </w:rPr>
  </w:style>
  <w:style w:type="character" w:styleId="1571" w:customStyle="1">
    <w:name w:val="正文文本缩进 2 字符"/>
    <w:link w:val="1523"/>
    <w:uiPriority w:val="0"/>
    <w:qFormat/>
    <w:rPr>
      <w:rFonts w:ascii="仿宋_GB2312" w:eastAsia="仿宋_GB2312"/>
      <w:sz w:val="24"/>
      <w:szCs w:val="24"/>
    </w:rPr>
  </w:style>
  <w:style w:type="character" w:styleId="1572" w:customStyle="1">
    <w:name w:val="批注框文本 字符"/>
    <w:link w:val="1524"/>
    <w:uiPriority w:val="0"/>
    <w:qFormat/>
    <w:rPr>
      <w:sz w:val="18"/>
      <w:szCs w:val="18"/>
    </w:rPr>
  </w:style>
  <w:style w:type="character" w:styleId="1573" w:customStyle="1">
    <w:name w:val="页脚 字符"/>
    <w:link w:val="1525"/>
    <w:uiPriority w:val="99"/>
    <w:qFormat/>
    <w:rPr>
      <w:rFonts w:ascii="宋体" w:eastAsia="宋体"/>
      <w:sz w:val="18"/>
      <w:lang w:val="en-US" w:eastAsia="zh-CN" w:bidi="ar-SA"/>
    </w:rPr>
  </w:style>
  <w:style w:type="character" w:styleId="1574" w:customStyle="1">
    <w:name w:val="页眉 字符"/>
    <w:link w:val="1527"/>
    <w:uiPriority w:val="0"/>
    <w:qFormat/>
    <w:rPr>
      <w:rFonts w:eastAsia="宋体"/>
      <w:sz w:val="18"/>
      <w:szCs w:val="18"/>
      <w:lang w:val="en-US" w:eastAsia="zh-CN" w:bidi="ar-SA"/>
    </w:rPr>
  </w:style>
  <w:style w:type="character" w:styleId="1575" w:customStyle="1">
    <w:name w:val="正文文本缩进 3 字符"/>
    <w:link w:val="1533"/>
    <w:uiPriority w:val="0"/>
    <w:qFormat/>
    <w:rPr>
      <w:rFonts w:ascii="宋体"/>
      <w:sz w:val="24"/>
    </w:rPr>
  </w:style>
  <w:style w:type="character" w:styleId="1576" w:customStyle="1">
    <w:name w:val="HTML 预设格式 字符"/>
    <w:link w:val="1536"/>
    <w:uiPriority w:val="0"/>
    <w:qFormat/>
    <w:rPr>
      <w:rFonts w:ascii="宋体" w:hAnsi="宋体" w:cs="宋体"/>
      <w:sz w:val="24"/>
      <w:szCs w:val="24"/>
    </w:rPr>
  </w:style>
  <w:style w:type="character" w:styleId="1577" w:customStyle="1">
    <w:name w:val="标题 字符"/>
    <w:link w:val="1539"/>
    <w:uiPriority w:val="0"/>
    <w:qFormat/>
    <w:rPr>
      <w:b/>
      <w:sz w:val="32"/>
    </w:rPr>
  </w:style>
  <w:style w:type="character" w:styleId="1578" w:customStyle="1">
    <w:name w:val="批注主题 字符"/>
    <w:link w:val="1540"/>
    <w:uiPriority w:val="0"/>
    <w:qFormat/>
    <w:rPr>
      <w:rFonts w:ascii="Times New Roman" w:hAnsi="Times New Roman" w:eastAsia="宋体" w:cs="Times New Roman"/>
      <w:b/>
      <w:bCs/>
      <w:sz w:val="21"/>
      <w:szCs w:val="24"/>
      <w:lang w:val="en-US" w:eastAsia="zh-CN" w:bidi="ar-SA"/>
    </w:rPr>
  </w:style>
  <w:style w:type="character" w:styleId="1579" w:customStyle="1">
    <w:name w:val="批注文字 字符"/>
    <w:uiPriority w:val="99"/>
    <w:qFormat/>
    <w:rPr>
      <w:rFonts w:ascii="Times New Roman" w:hAnsi="Times New Roman" w:eastAsia="宋体" w:cs="Times New Roman"/>
      <w:sz w:val="24"/>
      <w:lang w:val="en-US" w:eastAsia="zh-CN" w:bidi="ar-SA"/>
    </w:rPr>
  </w:style>
  <w:style w:type="character" w:styleId="1580" w:customStyle="1">
    <w:name w:val="正文首行缩进 2 字符"/>
    <w:link w:val="1542"/>
    <w:uiPriority w:val="0"/>
    <w:qFormat/>
    <w:rPr>
      <w:rFonts w:eastAsia="宋体"/>
      <w:sz w:val="24"/>
      <w:szCs w:val="24"/>
      <w:lang w:val="en-US" w:eastAsia="zh-CN" w:bidi="ar-SA"/>
    </w:rPr>
  </w:style>
  <w:style w:type="character" w:styleId="1581" w:customStyle="1">
    <w:name w:val="Char Char111"/>
    <w:uiPriority w:val="0"/>
    <w:qFormat/>
    <w:rPr>
      <w:rFonts w:ascii="宋体" w:eastAsia="宋体"/>
      <w:b/>
      <w:sz w:val="24"/>
      <w:u w:val="single"/>
      <w:lang w:val="en-US" w:eastAsia="zh-CN" w:bidi="ar-SA"/>
    </w:rPr>
  </w:style>
  <w:style w:type="character" w:styleId="1582" w:customStyle="1">
    <w:name w:val="bjh-p"/>
    <w:uiPriority w:val="0"/>
    <w:qFormat/>
  </w:style>
  <w:style w:type="character" w:styleId="1583" w:customStyle="1">
    <w:name w:val="纯文本 字符"/>
    <w:uiPriority w:val="99"/>
    <w:qFormat/>
    <w:rPr>
      <w:rFonts w:ascii="宋体" w:hAnsi="Courier New" w:eastAsia="宋体" w:cs="Times New Roman"/>
      <w:sz w:val="21"/>
      <w:szCs w:val="21"/>
      <w:lang w:val="en-US" w:eastAsia="zh-CN" w:bidi="ar-SA"/>
    </w:rPr>
  </w:style>
  <w:style w:type="character" w:styleId="1584" w:customStyle="1">
    <w:name w:val="正文重点 Char"/>
    <w:link w:val="1585"/>
    <w:uiPriority w:val="0"/>
    <w:qFormat/>
    <w:rPr>
      <w:b/>
      <w:sz w:val="24"/>
    </w:rPr>
  </w:style>
  <w:style w:type="paragraph" w:styleId="1585" w:customStyle="1">
    <w:name w:val="正文重点"/>
    <w:basedOn w:val="1495"/>
    <w:link w:val="1584"/>
    <w:uiPriority w:val="0"/>
    <w:qFormat/>
    <w:pPr>
      <w:ind w:firstLine="482"/>
      <w:jc w:val="left"/>
      <w:spacing w:line="360" w:lineRule="auto"/>
    </w:pPr>
    <w:rPr>
      <w:b/>
      <w:sz w:val="24"/>
      <w:szCs w:val="20"/>
    </w:rPr>
  </w:style>
  <w:style w:type="character" w:styleId="1586" w:customStyle="1">
    <w:name w:val="Char Char11"/>
    <w:uiPriority w:val="0"/>
    <w:qFormat/>
    <w:rPr>
      <w:rFonts w:ascii="宋体" w:eastAsia="宋体"/>
      <w:b/>
      <w:sz w:val="24"/>
      <w:u w:val="single"/>
      <w:lang w:val="en-US" w:eastAsia="zh-CN" w:bidi="ar-SA"/>
    </w:rPr>
  </w:style>
  <w:style w:type="character" w:styleId="1587" w:customStyle="1">
    <w:name w:val="chanpin1"/>
    <w:uiPriority w:val="0"/>
    <w:qFormat/>
    <w:rPr>
      <w:rFonts w:hint="default" w:ascii="ˎ̥" w:hAnsi="ˎ̥"/>
      <w:color w:val="000000"/>
      <w:sz w:val="20"/>
      <w:szCs w:val="20"/>
      <w:u w:val="none"/>
    </w:rPr>
  </w:style>
  <w:style w:type="character" w:styleId="1588" w:customStyle="1">
    <w:name w:val="标题 Char"/>
    <w:uiPriority w:val="0"/>
    <w:qFormat/>
    <w:rPr>
      <w:b/>
      <w:sz w:val="32"/>
    </w:rPr>
  </w:style>
  <w:style w:type="character" w:styleId="1589" w:customStyle="1">
    <w:name w:val="段1 Char"/>
    <w:uiPriority w:val="0"/>
    <w:qFormat/>
    <w:rPr>
      <w:rFonts w:ascii="宋体" w:eastAsia="宋体"/>
      <w:sz w:val="24"/>
      <w:lang w:val="en-US" w:eastAsia="zh-CN" w:bidi="ar-SA"/>
    </w:rPr>
  </w:style>
  <w:style w:type="character" w:styleId="1590" w:customStyle="1">
    <w:name w:val="页脚 Char"/>
    <w:uiPriority w:val="0"/>
    <w:qFormat/>
    <w:rPr>
      <w:rFonts w:ascii="宋体" w:eastAsia="宋体"/>
      <w:sz w:val="18"/>
      <w:lang w:val="en-US" w:eastAsia="zh-CN" w:bidi="ar-SA"/>
    </w:rPr>
  </w:style>
  <w:style w:type="character" w:styleId="1591" w:customStyle="1">
    <w:name w:val="c21"/>
    <w:uiPriority w:val="0"/>
    <w:qFormat/>
    <w:rPr>
      <w:rFonts w:hint="default" w:ascii="ˎ̥" w:hAnsi="ˎ̥"/>
      <w:color w:val="000000"/>
      <w:sz w:val="20"/>
      <w:szCs w:val="20"/>
      <w:u w:val="none"/>
    </w:rPr>
  </w:style>
  <w:style w:type="character" w:styleId="1592" w:customStyle="1">
    <w:name w:val="标题 3 Char"/>
    <w:uiPriority w:val="0"/>
    <w:qFormat/>
    <w:rPr>
      <w:rFonts w:ascii="宋体" w:eastAsia="宋体"/>
      <w:b/>
      <w:sz w:val="24"/>
      <w:u w:val="single"/>
      <w:lang w:val="en-US" w:eastAsia="zh-CN" w:bidi="ar-SA"/>
    </w:rPr>
  </w:style>
  <w:style w:type="character" w:styleId="1593" w:customStyle="1">
    <w:name w:val="正文大标题 Char"/>
    <w:link w:val="1594"/>
    <w:uiPriority w:val="0"/>
    <w:qFormat/>
    <w:rPr>
      <w:rFonts w:ascii="宋体" w:hAnsi="宋体"/>
      <w:b/>
      <w:color w:val="000000"/>
      <w:sz w:val="28"/>
      <w:szCs w:val="21"/>
    </w:rPr>
  </w:style>
  <w:style w:type="paragraph" w:styleId="1594" w:customStyle="1">
    <w:name w:val="正文大标题"/>
    <w:basedOn w:val="1595"/>
    <w:next w:val="1507"/>
    <w:link w:val="1593"/>
    <w:uiPriority w:val="0"/>
    <w:qFormat/>
    <w:pPr>
      <w:jc w:val="center"/>
    </w:pPr>
    <w:rPr>
      <w:i w:val="0"/>
      <w:color w:val="000000"/>
      <w:sz w:val="28"/>
      <w:szCs w:val="21"/>
    </w:rPr>
  </w:style>
  <w:style w:type="paragraph" w:styleId="1595" w:customStyle="1">
    <w:name w:val="正文小标题"/>
    <w:basedOn w:val="1495"/>
    <w:next w:val="1507"/>
    <w:link w:val="1596"/>
    <w:uiPriority w:val="0"/>
    <w:qFormat/>
    <w:pPr>
      <w:ind w:firstLine="482"/>
      <w:jc w:val="left"/>
      <w:spacing w:before="312" w:after="312"/>
    </w:pPr>
    <w:rPr>
      <w:rFonts w:ascii="宋体" w:hAnsi="宋体"/>
      <w:b/>
      <w:i/>
      <w:color w:val="ff0000"/>
      <w:sz w:val="24"/>
      <w:szCs w:val="20"/>
    </w:rPr>
  </w:style>
  <w:style w:type="character" w:styleId="1596" w:customStyle="1">
    <w:name w:val="正文小标题 Char"/>
    <w:link w:val="1595"/>
    <w:uiPriority w:val="0"/>
    <w:qFormat/>
    <w:rPr>
      <w:rFonts w:ascii="宋体" w:hAnsi="宋体"/>
      <w:b/>
      <w:i/>
      <w:color w:val="ff0000"/>
      <w:sz w:val="24"/>
    </w:rPr>
  </w:style>
  <w:style w:type="character" w:styleId="1597" w:customStyle="1">
    <w:name w:val="正文格式 Char"/>
    <w:link w:val="1598"/>
    <w:uiPriority w:val="0"/>
    <w:qFormat/>
    <w:rPr>
      <w:rFonts w:ascii="宋体" w:hAnsi="宋体"/>
      <w:sz w:val="24"/>
      <w:szCs w:val="24"/>
      <w:lang w:val="en-GB"/>
    </w:rPr>
  </w:style>
  <w:style w:type="paragraph" w:styleId="1598" w:customStyle="1">
    <w:name w:val="正文格式"/>
    <w:basedOn w:val="1495"/>
    <w:link w:val="1597"/>
    <w:uiPriority w:val="0"/>
    <w:qFormat/>
    <w:pPr>
      <w:ind w:firstLine="480"/>
      <w:spacing w:line="360" w:lineRule="auto"/>
    </w:pPr>
    <w:rPr>
      <w:rFonts w:ascii="宋体" w:hAnsi="宋体"/>
      <w:sz w:val="24"/>
      <w:lang w:val="en-GB"/>
    </w:rPr>
  </w:style>
  <w:style w:type="character" w:styleId="1599" w:customStyle="1">
    <w:name w:val="中等深浅网格 1 - 强调文字颜色 2 Char"/>
    <w:link w:val="1600"/>
    <w:uiPriority w:val="0"/>
    <w:qFormat/>
    <w:rPr>
      <w:sz w:val="21"/>
      <w:szCs w:val="24"/>
      <w:lang w:val="zh-CN" w:eastAsia="zh-CN" w:bidi="ar-SA"/>
    </w:rPr>
  </w:style>
  <w:style w:type="paragraph" w:styleId="1600" w:customStyle="1">
    <w:name w:val="1"/>
    <w:link w:val="1599"/>
    <w:uiPriority w:val="0"/>
    <w:qFormat/>
    <w:rPr>
      <w:rFonts w:ascii="Times New Roman" w:hAnsi="Times New Roman" w:eastAsia="宋体" w:cs="Times New Roman"/>
      <w:sz w:val="21"/>
      <w:szCs w:val="24"/>
      <w:lang w:val="zh-CN" w:eastAsia="zh-CN" w:bidi="ar-SA"/>
    </w:rPr>
  </w:style>
  <w:style w:type="character" w:styleId="1601" w:customStyle="1">
    <w:name w:val="locality"/>
    <w:uiPriority w:val="0"/>
    <w:qFormat/>
  </w:style>
  <w:style w:type="character" w:styleId="1602" w:customStyle="1">
    <w:name w:val="批注文字 Char"/>
    <w:uiPriority w:val="99"/>
    <w:qFormat/>
    <w:rPr>
      <w:sz w:val="21"/>
      <w:szCs w:val="24"/>
    </w:rPr>
  </w:style>
  <w:style w:type="character" w:styleId="1603" w:customStyle="1">
    <w:name w:val="正文表格 Char"/>
    <w:link w:val="1604"/>
    <w:uiPriority w:val="0"/>
    <w:qFormat/>
    <w:rPr>
      <w:rFonts w:ascii="宋体" w:hAnsi="宋体"/>
      <w:color w:val="000000"/>
      <w:sz w:val="21"/>
      <w:szCs w:val="21"/>
    </w:rPr>
  </w:style>
  <w:style w:type="paragraph" w:styleId="1604" w:customStyle="1">
    <w:name w:val="正文表格"/>
    <w:basedOn w:val="1495"/>
    <w:link w:val="1603"/>
    <w:uiPriority w:val="0"/>
    <w:qFormat/>
    <w:pPr>
      <w:jc w:val="left"/>
    </w:pPr>
    <w:rPr>
      <w:rFonts w:ascii="宋体" w:hAnsi="宋体"/>
      <w:color w:val="000000"/>
      <w:szCs w:val="21"/>
    </w:rPr>
  </w:style>
  <w:style w:type="character" w:styleId="1605" w:customStyle="1">
    <w:name w:val="纯文本 字符1"/>
    <w:uiPriority w:val="0"/>
    <w:qFormat/>
    <w:rPr>
      <w:rFonts w:ascii="宋体" w:hAnsi="Courier New"/>
    </w:rPr>
  </w:style>
  <w:style w:type="character" w:styleId="1606" w:customStyle="1">
    <w:name w:val="纯文本 Char1"/>
    <w:uiPriority w:val="0"/>
    <w:qFormat/>
    <w:rPr>
      <w:rFonts w:ascii="宋体" w:hAnsi="Courier New" w:eastAsia="宋体"/>
      <w:sz w:val="21"/>
      <w:lang w:val="en-US" w:eastAsia="zh-CN" w:bidi="ar-SA"/>
    </w:rPr>
  </w:style>
  <w:style w:type="character" w:styleId="1607" w:customStyle="1">
    <w:name w:val="street-address"/>
    <w:uiPriority w:val="0"/>
    <w:qFormat/>
  </w:style>
  <w:style w:type="character" w:styleId="1608" w:customStyle="1">
    <w:name w:val="列出段落 字符"/>
    <w:link w:val="1609"/>
    <w:uiPriority w:val="34"/>
    <w:qFormat/>
    <w:rPr>
      <w:rFonts w:ascii="Calibri" w:hAnsi="Calibri" w:eastAsia="宋体"/>
      <w:sz w:val="21"/>
      <w:szCs w:val="22"/>
      <w:lang w:val="en-US" w:eastAsia="zh-CN" w:bidi="ar-SA"/>
    </w:rPr>
  </w:style>
  <w:style w:type="paragraph" w:styleId="1609">
    <w:name w:val="List Paragraph"/>
    <w:basedOn w:val="1495"/>
    <w:link w:val="1608"/>
    <w:uiPriority w:val="34"/>
    <w:qFormat/>
    <w:pPr>
      <w:ind w:firstLine="420"/>
    </w:pPr>
    <w:rPr>
      <w:rFonts w:ascii="Calibri" w:hAnsi="Calibri"/>
      <w:szCs w:val="22"/>
    </w:rPr>
  </w:style>
  <w:style w:type="character" w:styleId="1610" w:customStyle="1">
    <w:name w:val="txt"/>
    <w:uiPriority w:val="0"/>
    <w:qFormat/>
  </w:style>
  <w:style w:type="character" w:styleId="1611" w:customStyle="1">
    <w:name w:val="列出段落 Char"/>
    <w:uiPriority w:val="0"/>
    <w:qFormat/>
    <w:rPr>
      <w:rFonts w:ascii="Calibri" w:hAnsi="Calibri" w:eastAsia="宋体"/>
      <w:sz w:val="21"/>
      <w:szCs w:val="22"/>
      <w:lang w:val="en-US" w:eastAsia="zh-CN" w:bidi="ar-SA"/>
    </w:rPr>
  </w:style>
  <w:style w:type="character" w:styleId="1612" w:customStyle="1">
    <w:name w:val="black1"/>
    <w:uiPriority w:val="0"/>
    <w:qFormat/>
    <w:rPr>
      <w:color w:val="000000"/>
    </w:rPr>
  </w:style>
  <w:style w:type="character" w:styleId="1613" w:customStyle="1">
    <w:name w:val="正文文本缩进 Char"/>
    <w:uiPriority w:val="0"/>
    <w:qFormat/>
    <w:rPr>
      <w:rFonts w:eastAsia="宋体"/>
      <w:sz w:val="24"/>
      <w:szCs w:val="24"/>
      <w:lang w:val="en-US" w:eastAsia="zh-CN" w:bidi="ar-SA"/>
    </w:rPr>
  </w:style>
  <w:style w:type="character" w:styleId="1614" w:customStyle="1">
    <w:name w:val="正文缩进 Char Char"/>
    <w:link w:val="1615"/>
    <w:uiPriority w:val="0"/>
    <w:qFormat/>
    <w:rPr>
      <w:rFonts w:ascii="宋体" w:eastAsia="宋体"/>
      <w:color w:val="000000"/>
      <w:sz w:val="28"/>
      <w:lang w:bidi="ar-SA"/>
    </w:rPr>
  </w:style>
  <w:style w:type="paragraph" w:styleId="1615" w:customStyle="1">
    <w:name w:val="正文缩进1"/>
    <w:basedOn w:val="1495"/>
    <w:link w:val="1614"/>
    <w:uiPriority w:val="0"/>
    <w:qFormat/>
    <w:pPr>
      <w:ind w:firstLine="567"/>
      <w:spacing w:line="480" w:lineRule="exact"/>
      <w:widowControl/>
    </w:pPr>
    <w:rPr>
      <w:rFonts w:ascii="宋体"/>
      <w:color w:val="000000"/>
      <w:sz w:val="28"/>
      <w:szCs w:val="20"/>
    </w:rPr>
  </w:style>
  <w:style w:type="character" w:styleId="1616" w:customStyle="1">
    <w:name w:val="标题 2 Char Char"/>
    <w:uiPriority w:val="0"/>
    <w:qFormat/>
    <w:rPr>
      <w:rFonts w:ascii="Arial" w:hAnsi="Arial" w:eastAsia="黑体"/>
      <w:b/>
      <w:bCs/>
      <w:sz w:val="32"/>
      <w:szCs w:val="32"/>
      <w:lang w:val="en-US" w:eastAsia="zh-CN" w:bidi="ar-SA"/>
    </w:rPr>
  </w:style>
  <w:style w:type="character" w:styleId="1617" w:customStyle="1">
    <w:name w:val="正文缩进 Char"/>
    <w:uiPriority w:val="0"/>
    <w:qFormat/>
    <w:rPr>
      <w:rFonts w:ascii="宋体" w:eastAsia="宋体"/>
      <w:sz w:val="24"/>
      <w:szCs w:val="24"/>
      <w:lang w:val="en-US" w:eastAsia="zh-CN" w:bidi="ar-SA"/>
    </w:rPr>
  </w:style>
  <w:style w:type="character" w:styleId="1618" w:customStyle="1">
    <w:name w:val="普通文字1 Char1"/>
    <w:uiPriority w:val="0"/>
    <w:qFormat/>
    <w:rPr>
      <w:rFonts w:ascii="宋体" w:hAnsi="Courier New" w:eastAsia="宋体"/>
      <w:sz w:val="21"/>
      <w:lang w:val="en-US" w:eastAsia="zh-CN" w:bidi="ar-SA"/>
    </w:rPr>
  </w:style>
  <w:style w:type="character" w:styleId="1619" w:customStyle="1">
    <w:name w:val="页眉 Char"/>
    <w:uiPriority w:val="0"/>
    <w:qFormat/>
    <w:rPr>
      <w:rFonts w:eastAsia="宋体"/>
      <w:sz w:val="18"/>
      <w:szCs w:val="18"/>
      <w:lang w:val="en-US" w:eastAsia="zh-CN" w:bidi="ar-SA"/>
    </w:rPr>
  </w:style>
  <w:style w:type="character" w:styleId="1620" w:customStyle="1">
    <w:name w:val="注释 Char"/>
    <w:link w:val="1621"/>
    <w:uiPriority w:val="0"/>
    <w:qFormat/>
    <w:rPr>
      <w:rFonts w:ascii="宋体" w:hAnsi="宋体"/>
      <w:sz w:val="21"/>
      <w:szCs w:val="21"/>
    </w:rPr>
  </w:style>
  <w:style w:type="paragraph" w:styleId="1621" w:customStyle="1">
    <w:name w:val="注释"/>
    <w:basedOn w:val="1495"/>
    <w:link w:val="1620"/>
    <w:uiPriority w:val="0"/>
    <w:qFormat/>
    <w:pPr>
      <w:ind w:left="420" w:hanging="420"/>
      <w:jc w:val="left"/>
    </w:pPr>
    <w:rPr>
      <w:rFonts w:ascii="宋体" w:hAnsi="宋体"/>
      <w:szCs w:val="21"/>
    </w:rPr>
  </w:style>
  <w:style w:type="character" w:styleId="1622" w:customStyle="1">
    <w:name w:val="成文日期 Char"/>
    <w:link w:val="1623"/>
    <w:uiPriority w:val="0"/>
    <w:qFormat/>
    <w:rPr>
      <w:rFonts w:ascii="仿宋_GB2312" w:eastAsia="仿宋_GB2312"/>
      <w:sz w:val="32"/>
    </w:rPr>
  </w:style>
  <w:style w:type="paragraph" w:styleId="1623" w:customStyle="1">
    <w:name w:val="成文日期"/>
    <w:basedOn w:val="1495"/>
    <w:link w:val="1622"/>
    <w:uiPriority w:val="0"/>
    <w:qFormat/>
    <w:pPr>
      <w:ind w:right="400" w:firstLine="200"/>
      <w:jc w:val="right"/>
      <w:spacing w:line="570" w:lineRule="exact"/>
    </w:pPr>
    <w:rPr>
      <w:rFonts w:ascii="仿宋_GB2312" w:eastAsia="仿宋_GB2312"/>
      <w:sz w:val="32"/>
      <w:szCs w:val="20"/>
    </w:rPr>
  </w:style>
  <w:style w:type="character" w:styleId="1624" w:customStyle="1">
    <w:name w:val="apple-style-span"/>
    <w:uiPriority w:val="0"/>
    <w:qFormat/>
    <w:rPr>
      <w:rFonts w:cs="Times New Roman"/>
    </w:rPr>
  </w:style>
  <w:style w:type="character" w:styleId="1625" w:customStyle="1">
    <w:name w:val="title4"/>
    <w:uiPriority w:val="0"/>
    <w:qFormat/>
    <w:rPr>
      <w:b/>
      <w:bCs/>
      <w:color w:val="1d87b3"/>
      <w:sz w:val="15"/>
      <w:szCs w:val="15"/>
    </w:rPr>
  </w:style>
  <w:style w:type="character" w:styleId="1626" w:customStyle="1">
    <w:name w:val="标题 2 Char"/>
    <w:uiPriority w:val="0"/>
    <w:qFormat/>
    <w:rPr>
      <w:rFonts w:ascii="Arial" w:hAnsi="Arial" w:eastAsia="黑体"/>
      <w:b/>
      <w:sz w:val="30"/>
      <w:lang w:val="en-US" w:eastAsia="zh-CN" w:bidi="ar-SA"/>
    </w:rPr>
  </w:style>
  <w:style w:type="character" w:styleId="1627" w:customStyle="1">
    <w:name w:val="标题 3 Char Char"/>
    <w:uiPriority w:val="0"/>
    <w:qFormat/>
    <w:rPr>
      <w:rFonts w:eastAsia="宋体"/>
      <w:b/>
      <w:bCs/>
      <w:sz w:val="32"/>
      <w:szCs w:val="32"/>
      <w:lang w:val="en-US" w:eastAsia="zh-CN" w:bidi="ar-SA"/>
    </w:rPr>
  </w:style>
  <w:style w:type="character" w:styleId="1628" w:customStyle="1">
    <w:name w:val="正文文本缩进 Char1"/>
    <w:link w:val="1629"/>
    <w:uiPriority w:val="0"/>
    <w:qFormat/>
    <w:rPr>
      <w:rFonts w:ascii="宋体" w:hAnsi="宋体" w:eastAsia="宋体"/>
      <w:sz w:val="24"/>
      <w:szCs w:val="24"/>
      <w:lang w:bidi="ar-SA"/>
    </w:rPr>
  </w:style>
  <w:style w:type="paragraph" w:styleId="1629" w:customStyle="1">
    <w:name w:val="正文文本缩进1"/>
    <w:basedOn w:val="1495"/>
    <w:link w:val="1628"/>
    <w:uiPriority w:val="0"/>
    <w:qFormat/>
    <w:pPr>
      <w:ind w:firstLine="480"/>
      <w:spacing w:line="480" w:lineRule="exact"/>
    </w:pPr>
    <w:rPr>
      <w:rFonts w:ascii="宋体" w:hAnsi="宋体"/>
      <w:sz w:val="24"/>
    </w:rPr>
  </w:style>
  <w:style w:type="character" w:styleId="1630" w:customStyle="1">
    <w:name w:val="chanpin拷贝"/>
    <w:uiPriority w:val="0"/>
    <w:qFormat/>
  </w:style>
  <w:style w:type="paragraph" w:styleId="1631" w:customStyle="1">
    <w:name w:val="样式 标题 2 + 宋体 五号 行距: 单倍行距"/>
    <w:basedOn w:val="1497"/>
    <w:uiPriority w:val="0"/>
    <w:qFormat/>
    <w:pPr>
      <w:numPr>
        <w:ilvl w:val="1"/>
        <w:numId w:val="1"/>
      </w:numPr>
      <w:jc w:val="left"/>
      <w:spacing w:before="260" w:after="260" w:line="240" w:lineRule="auto"/>
    </w:pPr>
    <w:rPr>
      <w:rFonts w:ascii="宋体" w:hAnsi="宋体" w:eastAsia="宋体"/>
      <w:bCs/>
      <w:sz w:val="21"/>
    </w:rPr>
  </w:style>
  <w:style w:type="paragraph" w:styleId="1632" w:customStyle="1">
    <w:name w:val="正文须知-1级"/>
    <w:basedOn w:val="1495"/>
    <w:next w:val="1495"/>
    <w:uiPriority w:val="0"/>
    <w:qFormat/>
    <w:pPr>
      <w:numPr>
        <w:ilvl w:val="0"/>
        <w:numId w:val="2"/>
      </w:numPr>
      <w:spacing w:line="300" w:lineRule="auto"/>
    </w:pPr>
    <w:rPr>
      <w:rFonts w:ascii="宋体" w:hAnsi="Calibri"/>
      <w:sz w:val="24"/>
      <w:szCs w:val="21"/>
    </w:rPr>
  </w:style>
  <w:style w:type="paragraph" w:styleId="1633" w:customStyle="1">
    <w:name w:val="background1"/>
    <w:basedOn w:val="1495"/>
    <w:uiPriority w:val="0"/>
    <w:qFormat/>
    <w:pPr>
      <w:jc w:val="left"/>
      <w:spacing w:before="100" w:beforeAutospacing="1" w:after="100" w:afterAutospacing="1"/>
      <w:widowControl/>
    </w:pPr>
    <w:rPr>
      <w:rFonts w:ascii="宋体" w:hAnsi="宋体" w:cs="宋体"/>
      <w:sz w:val="24"/>
    </w:rPr>
  </w:style>
  <w:style w:type="paragraph" w:styleId="1634" w:customStyle="1">
    <w:name w:val="xl40"/>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35" w:customStyle="1">
    <w:name w:val="纯文本1"/>
    <w:next w:val="1529"/>
    <w:uiPriority w:val="0"/>
    <w:qFormat/>
    <w:pPr>
      <w:jc w:val="both"/>
      <w:widowControl w:val="off"/>
    </w:pPr>
    <w:rPr>
      <w:rFonts w:ascii="宋体" w:hAnsi="宋体" w:eastAsia="宋体" w:cs="Times New Roman"/>
      <w:sz w:val="26"/>
      <w:lang w:val="en-US" w:eastAsia="zh-CN" w:bidi="ar-SA"/>
    </w:rPr>
  </w:style>
  <w:style w:type="paragraph" w:styleId="1636" w:customStyle="1">
    <w:name w:val="修订1"/>
    <w:uiPriority w:val="0"/>
    <w:qFormat/>
    <w:rPr>
      <w:rFonts w:ascii="Times New Roman" w:hAnsi="Times New Roman" w:eastAsia="宋体" w:cs="Times New Roman"/>
      <w:sz w:val="21"/>
      <w:szCs w:val="24"/>
      <w:lang w:val="en-US" w:eastAsia="zh-CN" w:bidi="ar-SA"/>
    </w:rPr>
  </w:style>
  <w:style w:type="paragraph" w:styleId="1637" w:customStyle="1">
    <w:name w:val="二级条标题"/>
    <w:basedOn w:val="1638"/>
    <w:next w:val="149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638" w:customStyle="1">
    <w:name w:val="一级条标题"/>
    <w:basedOn w:val="1639"/>
    <w:next w:val="1495"/>
    <w:uiPriority w:val="0"/>
    <w:qFormat/>
    <w:pPr>
      <w:numPr>
        <w:ilvl w:val="1"/>
      </w:numPr>
      <w:ind w:left="0" w:hanging="840"/>
      <w:tabs>
        <w:tab w:val="left" w:pos="360" w:leader="none"/>
        <w:tab w:val="left" w:pos="840" w:leader="none"/>
      </w:tabs>
      <w:outlineLvl w:val="1"/>
    </w:pPr>
  </w:style>
  <w:style w:type="paragraph" w:styleId="1639" w:customStyle="1">
    <w:name w:val="章标题"/>
    <w:next w:val="1495"/>
    <w:uiPriority w:val="0"/>
    <w:qFormat/>
    <w:pPr>
      <w:numPr>
        <w:ilvl w:val="0"/>
        <w:numId w:val="3"/>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640" w:customStyle="1">
    <w:name w:val="Char Char1 Char Char Char Char Char Char Char Char"/>
    <w:basedOn w:val="1495"/>
    <w:uiPriority w:val="0"/>
    <w:qFormat/>
    <w:pPr>
      <w:jc w:val="left"/>
      <w:spacing w:after="160" w:line="240" w:lineRule="exact"/>
      <w:widowControl/>
    </w:pPr>
    <w:rPr>
      <w:rFonts w:ascii="Verdana" w:hAnsi="Verdana"/>
      <w:sz w:val="20"/>
      <w:szCs w:val="20"/>
      <w:lang w:eastAsia="en-US"/>
    </w:rPr>
  </w:style>
  <w:style w:type="paragraph" w:styleId="1641" w:customStyle="1">
    <w:name w:val="Char Char Char1 Char"/>
    <w:basedOn w:val="1495"/>
    <w:uiPriority w:val="0"/>
    <w:qFormat/>
    <w:rPr>
      <w:rFonts w:ascii="Tahoma" w:hAnsi="Tahoma"/>
      <w:sz w:val="24"/>
      <w:szCs w:val="20"/>
    </w:rPr>
  </w:style>
  <w:style w:type="paragraph" w:styleId="1642" w:customStyle="1">
    <w:name w:val="xl42"/>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643" w:customStyle="1">
    <w:name w:val="xl24"/>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644" w:customStyle="1">
    <w:name w:val="Char2 Char Char Char Char Char Char"/>
    <w:basedOn w:val="1495"/>
    <w:uiPriority w:val="0"/>
    <w:qFormat/>
    <w:pPr>
      <w:jc w:val="center"/>
      <w:spacing w:line="400" w:lineRule="exact"/>
      <w:widowControl/>
    </w:pPr>
  </w:style>
  <w:style w:type="paragraph" w:styleId="1645" w:customStyle="1">
    <w:name w:val="xl39"/>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46" w:customStyle="1">
    <w:name w:val="1 Char Char Char Char"/>
    <w:basedOn w:val="1495"/>
    <w:uiPriority w:val="0"/>
    <w:qFormat/>
    <w:rPr>
      <w:rFonts w:ascii="Tahoma" w:hAnsi="Tahoma"/>
      <w:sz w:val="24"/>
      <w:szCs w:val="20"/>
    </w:rPr>
  </w:style>
  <w:style w:type="paragraph" w:styleId="1647" w:customStyle="1">
    <w:name w:val="xl43"/>
    <w:basedOn w:val="14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648" w:customStyle="1">
    <w:name w:val="字元 字元"/>
    <w:basedOn w:val="1495"/>
    <w:uiPriority w:val="0"/>
    <w:qFormat/>
    <w:rPr>
      <w:rFonts w:ascii="Tahoma" w:hAnsi="Tahoma"/>
      <w:sz w:val="24"/>
      <w:szCs w:val="20"/>
    </w:rPr>
  </w:style>
  <w:style w:type="paragraph" w:styleId="1649" w:customStyle="1">
    <w:name w:val="font7"/>
    <w:basedOn w:val="1495"/>
    <w:uiPriority w:val="0"/>
    <w:qFormat/>
    <w:pPr>
      <w:jc w:val="left"/>
      <w:spacing w:before="100" w:beforeAutospacing="1" w:after="100" w:afterAutospacing="1"/>
      <w:widowControl/>
    </w:pPr>
    <w:rPr>
      <w:rFonts w:eastAsia="Arial Unicode MS"/>
      <w:b/>
      <w:bCs/>
      <w:color w:val="000000"/>
      <w:sz w:val="20"/>
      <w:szCs w:val="20"/>
    </w:rPr>
  </w:style>
  <w:style w:type="paragraph" w:styleId="1650" w:customStyle="1">
    <w:name w:val="Char Char1 Char Char Char Char Char Char1"/>
    <w:basedOn w:val="1495"/>
    <w:uiPriority w:val="0"/>
    <w:qFormat/>
    <w:pPr>
      <w:jc w:val="left"/>
      <w:spacing w:after="160" w:line="240" w:lineRule="exact"/>
      <w:widowControl/>
    </w:pPr>
    <w:rPr>
      <w:rFonts w:ascii="Verdana" w:hAnsi="Verdana" w:eastAsia="仿宋_GB2312"/>
      <w:sz w:val="24"/>
      <w:szCs w:val="20"/>
      <w:lang w:eastAsia="en-US"/>
    </w:rPr>
  </w:style>
  <w:style w:type="paragraph" w:styleId="1651" w:customStyle="1">
    <w:name w:val="字元 字元1"/>
    <w:basedOn w:val="1495"/>
    <w:uiPriority w:val="0"/>
    <w:qFormat/>
    <w:rPr>
      <w:rFonts w:ascii="Tahoma" w:hAnsi="Tahoma"/>
      <w:sz w:val="24"/>
      <w:szCs w:val="20"/>
    </w:rPr>
  </w:style>
  <w:style w:type="paragraph" w:styleId="1652" w:customStyle="1">
    <w:name w:val="Char Char1 Char Char Char Char Char Char"/>
    <w:basedOn w:val="1495"/>
    <w:uiPriority w:val="0"/>
    <w:qFormat/>
    <w:pPr>
      <w:jc w:val="left"/>
      <w:spacing w:after="160" w:line="240" w:lineRule="exact"/>
      <w:widowControl/>
    </w:pPr>
    <w:rPr>
      <w:rFonts w:ascii="Verdana" w:hAnsi="Verdana" w:eastAsia="仿宋_GB2312"/>
      <w:sz w:val="24"/>
      <w:szCs w:val="20"/>
      <w:lang w:eastAsia="en-US"/>
    </w:rPr>
  </w:style>
  <w:style w:type="paragraph" w:styleId="1653" w:customStyle="1">
    <w:name w:val="xl26"/>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654" w:customStyle="1">
    <w:name w:val="font8"/>
    <w:basedOn w:val="1495"/>
    <w:uiPriority w:val="0"/>
    <w:qFormat/>
    <w:pPr>
      <w:jc w:val="left"/>
      <w:spacing w:before="100" w:beforeAutospacing="1" w:after="100" w:afterAutospacing="1"/>
      <w:widowControl/>
    </w:pPr>
    <w:rPr>
      <w:sz w:val="36"/>
      <w:szCs w:val="36"/>
    </w:rPr>
  </w:style>
  <w:style w:type="paragraph" w:styleId="1655" w:customStyle="1">
    <w:name w:val="Char Char41"/>
    <w:basedOn w:val="1495"/>
    <w:uiPriority w:val="0"/>
    <w:qFormat/>
    <w:pPr>
      <w:jc w:val="center"/>
      <w:spacing w:line="400" w:lineRule="exact"/>
      <w:widowControl/>
    </w:pPr>
  </w:style>
  <w:style w:type="paragraph" w:styleId="1656" w:customStyle="1">
    <w:name w:val="Char2"/>
    <w:basedOn w:val="1495"/>
    <w:uiPriority w:val="0"/>
    <w:qFormat/>
    <w:rPr>
      <w:rFonts w:ascii="Tahoma" w:hAnsi="Tahoma"/>
      <w:sz w:val="24"/>
      <w:szCs w:val="20"/>
    </w:rPr>
  </w:style>
  <w:style w:type="paragraph" w:styleId="1657" w:customStyle="1">
    <w:name w:val="正文文本样式 加粗"/>
    <w:basedOn w:val="1658"/>
    <w:uiPriority w:val="0"/>
    <w:qFormat/>
    <w:rPr>
      <w:b/>
    </w:rPr>
  </w:style>
  <w:style w:type="paragraph" w:styleId="1658" w:customStyle="1">
    <w:name w:val="正文文本样式"/>
    <w:basedOn w:val="1495"/>
    <w:uiPriority w:val="0"/>
    <w:qFormat/>
    <w:pPr>
      <w:ind w:firstLine="482"/>
      <w:spacing w:line="360" w:lineRule="auto"/>
    </w:pPr>
    <w:rPr>
      <w:rFonts w:cs="宋体"/>
      <w:sz w:val="24"/>
      <w:szCs w:val="20"/>
    </w:rPr>
  </w:style>
  <w:style w:type="paragraph" w:styleId="1659" w:customStyle="1">
    <w:name w:val="项目编号1"/>
    <w:basedOn w:val="1495"/>
    <w:uiPriority w:val="0"/>
    <w:qFormat/>
    <w:pPr>
      <w:numPr>
        <w:ilvl w:val="0"/>
        <w:numId w:val="4"/>
      </w:numPr>
      <w:spacing w:before="100" w:beforeAutospacing="1" w:after="100" w:afterAutospacing="1" w:line="360" w:lineRule="auto"/>
    </w:pPr>
    <w:rPr>
      <w:sz w:val="24"/>
    </w:rPr>
  </w:style>
  <w:style w:type="paragraph" w:styleId="1660" w:customStyle="1">
    <w:name w:val="xl23"/>
    <w:basedOn w:val="1495"/>
    <w:uiPriority w:val="0"/>
    <w:qFormat/>
    <w:pPr>
      <w:spacing w:before="100" w:beforeAutospacing="1" w:after="100" w:afterAutospacing="1" w:line="360" w:lineRule="auto"/>
      <w:widowControl/>
    </w:pPr>
    <w:rPr>
      <w:sz w:val="24"/>
      <w:szCs w:val="20"/>
    </w:rPr>
  </w:style>
  <w:style w:type="paragraph" w:styleId="1661" w:customStyle="1">
    <w:name w:val="_Style 15"/>
    <w:basedOn w:val="1495"/>
    <w:next w:val="1495"/>
    <w:uiPriority w:val="0"/>
    <w:qFormat/>
    <w:pPr>
      <w:ind w:left="420" w:firstLine="420"/>
      <w:spacing w:after="120"/>
    </w:pPr>
    <w:rPr>
      <w:szCs w:val="22"/>
    </w:rPr>
  </w:style>
  <w:style w:type="paragraph" w:styleId="1662" w:customStyle="1">
    <w:name w:val="xl32"/>
    <w:basedOn w:val="14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63" w:customStyle="1">
    <w:name w:val="正文须知-3级"/>
    <w:basedOn w:val="1495"/>
    <w:uiPriority w:val="0"/>
    <w:qFormat/>
    <w:pPr>
      <w:numPr>
        <w:ilvl w:val="2"/>
        <w:numId w:val="2"/>
      </w:numPr>
      <w:ind w:hanging="355"/>
      <w:spacing w:line="300" w:lineRule="auto"/>
    </w:pPr>
    <w:rPr>
      <w:rFonts w:ascii="宋体" w:hAnsi="Calibri"/>
      <w:sz w:val="24"/>
      <w:szCs w:val="21"/>
    </w:rPr>
  </w:style>
  <w:style w:type="paragraph" w:styleId="1664" w:customStyle="1">
    <w:name w:val="标题1-附件"/>
    <w:basedOn w:val="1496"/>
    <w:uiPriority w:val="0"/>
    <w:qFormat/>
    <w:pPr>
      <w:jc w:val="left"/>
    </w:pPr>
    <w:rPr>
      <w:sz w:val="24"/>
      <w:szCs w:val="24"/>
    </w:rPr>
  </w:style>
  <w:style w:type="paragraph" w:styleId="1665" w:customStyle="1">
    <w:name w:val="Char3"/>
    <w:basedOn w:val="1495"/>
    <w:uiPriority w:val="0"/>
    <w:qFormat/>
    <w:pPr>
      <w:tabs>
        <w:tab w:val="left" w:pos="360" w:leader="none"/>
      </w:tabs>
    </w:pPr>
    <w:rPr>
      <w:sz w:val="24"/>
    </w:rPr>
  </w:style>
  <w:style w:type="paragraph" w:styleId="1666" w:customStyle="1">
    <w:name w:val="xl31"/>
    <w:basedOn w:val="14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7" w:customStyle="1">
    <w:name w:val="xl53"/>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668" w:customStyle="1">
    <w:name w:val="font6"/>
    <w:basedOn w:val="1495"/>
    <w:uiPriority w:val="0"/>
    <w:qFormat/>
    <w:pPr>
      <w:jc w:val="left"/>
      <w:spacing w:before="100" w:beforeAutospacing="1" w:after="100" w:afterAutospacing="1"/>
      <w:widowControl/>
    </w:pPr>
    <w:rPr>
      <w:rFonts w:ascii="宋体" w:hAnsi="宋体" w:cs="宋体"/>
      <w:sz w:val="20"/>
      <w:szCs w:val="20"/>
    </w:rPr>
  </w:style>
  <w:style w:type="paragraph" w:styleId="1669" w:customStyle="1">
    <w:name w:val="xl35"/>
    <w:basedOn w:val="14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670" w:customStyle="1">
    <w:name w:val="Char Char Char1 Char2"/>
    <w:basedOn w:val="1495"/>
    <w:uiPriority w:val="0"/>
    <w:qFormat/>
    <w:rPr>
      <w:rFonts w:ascii="Tahoma" w:hAnsi="Tahoma"/>
      <w:sz w:val="24"/>
      <w:szCs w:val="20"/>
    </w:rPr>
  </w:style>
  <w:style w:type="paragraph" w:styleId="1671" w:customStyle="1">
    <w:name w:val="正文列项_字母"/>
    <w:basedOn w:val="1495"/>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672" w:customStyle="1">
    <w:name w:val="1名"/>
    <w:basedOn w:val="1495"/>
    <w:uiPriority w:val="0"/>
    <w:qFormat/>
    <w:pPr>
      <w:numPr>
        <w:ilvl w:val="0"/>
        <w:numId w:val="5"/>
      </w:numPr>
      <w:spacing w:before="120"/>
    </w:pPr>
    <w:rPr>
      <w:rFonts w:ascii="宋体"/>
      <w:sz w:val="28"/>
      <w:szCs w:val="20"/>
    </w:rPr>
  </w:style>
  <w:style w:type="paragraph" w:styleId="1673" w:customStyle="1">
    <w:name w:val="样式 宋体 五号 行距: 单倍行距"/>
    <w:basedOn w:val="1495"/>
    <w:uiPriority w:val="0"/>
    <w:qFormat/>
    <w:pPr>
      <w:jc w:val="left"/>
    </w:pPr>
    <w:rPr>
      <w:rFonts w:ascii="宋体" w:hAnsi="宋体"/>
      <w:szCs w:val="20"/>
    </w:rPr>
  </w:style>
  <w:style w:type="paragraph" w:styleId="1674" w:customStyle="1">
    <w:name w:val="表格1"/>
    <w:basedOn w:val="1495"/>
    <w:uiPriority w:val="0"/>
    <w:qFormat/>
    <w:pPr>
      <w:ind w:firstLine="480"/>
      <w:jc w:val="center"/>
    </w:pPr>
    <w:rPr>
      <w:sz w:val="24"/>
      <w:szCs w:val="20"/>
    </w:rPr>
  </w:style>
  <w:style w:type="paragraph" w:styleId="1675" w:customStyle="1">
    <w:name w:val="字元 字元2"/>
    <w:basedOn w:val="1495"/>
    <w:uiPriority w:val="0"/>
    <w:qFormat/>
    <w:rPr>
      <w:rFonts w:ascii="Tahoma" w:hAnsi="Tahoma"/>
      <w:sz w:val="24"/>
      <w:szCs w:val="20"/>
    </w:rPr>
  </w:style>
  <w:style w:type="paragraph" w:styleId="1676" w:customStyle="1">
    <w:name w:val="文档正文"/>
    <w:basedOn w:val="1495"/>
    <w:uiPriority w:val="0"/>
    <w:qFormat/>
    <w:pPr>
      <w:spacing w:before="120" w:after="120" w:line="180" w:lineRule="auto"/>
    </w:pPr>
    <w:rPr>
      <w:rFonts w:ascii="Arial" w:hAnsi="Arial"/>
      <w:szCs w:val="20"/>
    </w:rPr>
  </w:style>
  <w:style w:type="paragraph" w:styleId="1677" w:customStyle="1">
    <w:name w:val="xl48"/>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678" w:customStyle="1">
    <w:name w:val="xl51"/>
    <w:basedOn w:val="14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679" w:customStyle="1">
    <w:name w:val="xl37"/>
    <w:basedOn w:val="149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680" w:customStyle="1">
    <w:name w:val="Char1 Char Char Char1"/>
    <w:basedOn w:val="1495"/>
    <w:uiPriority w:val="0"/>
    <w:qFormat/>
    <w:rPr>
      <w:rFonts w:ascii="Tahoma" w:hAnsi="Tahoma" w:cs="仿宋_GB2312"/>
      <w:sz w:val="24"/>
      <w:szCs w:val="28"/>
    </w:rPr>
  </w:style>
  <w:style w:type="paragraph" w:styleId="1681" w:customStyle="1">
    <w:name w:val="图例"/>
    <w:basedOn w:val="1495"/>
    <w:uiPriority w:val="0"/>
    <w:qFormat/>
    <w:pPr>
      <w:jc w:val="center"/>
      <w:spacing w:before="120" w:after="120" w:line="360" w:lineRule="auto"/>
    </w:pPr>
    <w:rPr>
      <w:rFonts w:eastAsia="仿宋_GB2312"/>
      <w:b/>
      <w:sz w:val="24"/>
      <w:szCs w:val="20"/>
    </w:rPr>
  </w:style>
  <w:style w:type="paragraph" w:styleId="1682" w:customStyle="1">
    <w:name w:val="Char Char1"/>
    <w:basedOn w:val="1511"/>
    <w:uiPriority w:val="0"/>
    <w:qFormat/>
    <w:rPr>
      <w:rFonts w:ascii="Tahoma" w:hAnsi="Tahoma"/>
      <w:sz w:val="24"/>
    </w:rPr>
  </w:style>
  <w:style w:type="paragraph" w:styleId="1683" w:customStyle="1">
    <w:name w:val="Char Char Char Char Char Char Char Char Char Char Char Char Char Char Char Char"/>
    <w:basedOn w:val="1495"/>
    <w:uiPriority w:val="0"/>
    <w:qFormat/>
    <w:pPr>
      <w:jc w:val="center"/>
      <w:spacing w:after="160" w:line="240" w:lineRule="exact"/>
      <w:widowControl/>
    </w:pPr>
    <w:rPr>
      <w:rFonts w:ascii="宋体" w:hAnsi="宋体"/>
      <w:b/>
      <w:sz w:val="30"/>
      <w:szCs w:val="30"/>
      <w:lang w:eastAsia="en-US"/>
    </w:rPr>
  </w:style>
  <w:style w:type="paragraph" w:styleId="1684" w:customStyle="1">
    <w:name w:val="xl25"/>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685" w:customStyle="1">
    <w:name w:val="正文列项_数字"/>
    <w:basedOn w:val="1495"/>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686" w:customStyle="1">
    <w:name w:val="默认段落字体 Para Char Char Char Char"/>
    <w:basedOn w:val="1495"/>
    <w:uiPriority w:val="0"/>
    <w:qFormat/>
    <w:rPr>
      <w:rFonts w:ascii="Arial" w:hAnsi="Arial" w:cs="Arial"/>
      <w:szCs w:val="21"/>
    </w:rPr>
  </w:style>
  <w:style w:type="paragraph" w:styleId="1687" w:customStyle="1">
    <w:name w:val="xl44"/>
    <w:basedOn w:val="14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688" w:customStyle="1">
    <w:name w:val="xl29"/>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89" w:customStyle="1">
    <w:name w:val="font9"/>
    <w:basedOn w:val="149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690" w:customStyle="1">
    <w:name w:val="Char Char Char Char Char Char Char1"/>
    <w:basedOn w:val="1495"/>
    <w:uiPriority w:val="0"/>
    <w:qFormat/>
    <w:pPr>
      <w:ind w:firstLine="200"/>
      <w:spacing w:line="360" w:lineRule="auto"/>
    </w:pPr>
    <w:rPr>
      <w:rFonts w:eastAsia="仿宋_GB2312"/>
      <w:sz w:val="24"/>
    </w:rPr>
  </w:style>
  <w:style w:type="paragraph" w:styleId="1691" w:customStyle="1">
    <w:name w:val="Char Char4"/>
    <w:basedOn w:val="1495"/>
    <w:uiPriority w:val="0"/>
    <w:qFormat/>
    <w:pPr>
      <w:jc w:val="center"/>
      <w:spacing w:line="400" w:lineRule="exact"/>
      <w:widowControl/>
    </w:pPr>
  </w:style>
  <w:style w:type="paragraph" w:styleId="1692" w:customStyle="1">
    <w:name w:val="xl50"/>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693" w:customStyle="1">
    <w:name w:val="xl52"/>
    <w:basedOn w:val="14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694" w:customStyle="1">
    <w:name w:val="Char Char Char"/>
    <w:basedOn w:val="1495"/>
    <w:uiPriority w:val="0"/>
    <w:qFormat/>
    <w:rPr>
      <w:rFonts w:ascii="Tahoma" w:hAnsi="Tahoma"/>
      <w:sz w:val="24"/>
      <w:szCs w:val="20"/>
    </w:rPr>
  </w:style>
  <w:style w:type="paragraph" w:styleId="1695" w:customStyle="1">
    <w:name w:val="项目编号2"/>
    <w:basedOn w:val="1659"/>
    <w:uiPriority w:val="0"/>
    <w:qFormat/>
    <w:pPr>
      <w:numPr>
        <w:numId w:val="6"/>
      </w:numPr>
    </w:pPr>
  </w:style>
  <w:style w:type="paragraph" w:styleId="1696" w:customStyle="1">
    <w:name w:val="正文须知-2级"/>
    <w:basedOn w:val="1495"/>
    <w:uiPriority w:val="0"/>
    <w:qFormat/>
    <w:pPr>
      <w:numPr>
        <w:ilvl w:val="1"/>
        <w:numId w:val="2"/>
      </w:numPr>
      <w:spacing w:line="300" w:lineRule="auto"/>
    </w:pPr>
    <w:rPr>
      <w:rFonts w:ascii="宋体" w:hAnsi="Calibri"/>
      <w:sz w:val="24"/>
      <w:szCs w:val="21"/>
    </w:rPr>
  </w:style>
  <w:style w:type="paragraph" w:styleId="1697" w:customStyle="1">
    <w:name w:val="Char Char Char Char Char Char Char2"/>
    <w:basedOn w:val="1495"/>
    <w:uiPriority w:val="0"/>
    <w:qFormat/>
    <w:pPr>
      <w:ind w:firstLine="200"/>
      <w:spacing w:line="360" w:lineRule="auto"/>
    </w:pPr>
    <w:rPr>
      <w:rFonts w:eastAsia="仿宋_GB2312"/>
      <w:sz w:val="24"/>
    </w:rPr>
  </w:style>
  <w:style w:type="paragraph" w:styleId="169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699" w:customStyle="1">
    <w:name w:val="Char Char Char2"/>
    <w:basedOn w:val="1495"/>
    <w:uiPriority w:val="0"/>
    <w:qFormat/>
    <w:rPr>
      <w:rFonts w:ascii="Tahoma" w:hAnsi="Tahoma"/>
      <w:sz w:val="24"/>
      <w:szCs w:val="20"/>
    </w:rPr>
  </w:style>
  <w:style w:type="paragraph" w:styleId="1700" w:customStyle="1">
    <w:name w:val="Revision"/>
    <w:uiPriority w:val="99"/>
    <w:unhideWhenUsed/>
    <w:qFormat/>
    <w:rPr>
      <w:rFonts w:ascii="Times New Roman" w:hAnsi="Times New Roman" w:eastAsia="宋体" w:cs="Times New Roman"/>
      <w:sz w:val="21"/>
      <w:szCs w:val="24"/>
      <w:lang w:val="en-US" w:eastAsia="zh-CN" w:bidi="ar-SA"/>
    </w:rPr>
  </w:style>
  <w:style w:type="paragraph" w:styleId="1701" w:customStyle="1">
    <w:name w:val="xl45"/>
    <w:basedOn w:val="14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702" w:customStyle="1">
    <w:name w:val="列出段落2"/>
    <w:basedOn w:val="1495"/>
    <w:uiPriority w:val="0"/>
    <w:qFormat/>
    <w:pPr>
      <w:ind w:firstLine="420"/>
    </w:pPr>
    <w:rPr>
      <w:rFonts w:ascii="Calibri" w:hAnsi="Calibri"/>
      <w:szCs w:val="22"/>
    </w:rPr>
  </w:style>
  <w:style w:type="paragraph" w:styleId="1703" w:customStyle="1">
    <w:name w:val="xl30"/>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04" w:customStyle="1">
    <w:name w:val="图中文字"/>
    <w:basedOn w:val="1495"/>
    <w:uiPriority w:val="0"/>
    <w:qFormat/>
    <w:pPr>
      <w:jc w:val="center"/>
      <w:spacing w:line="0" w:lineRule="atLeast"/>
    </w:pPr>
    <w:rPr>
      <w:sz w:val="24"/>
      <w:szCs w:val="20"/>
    </w:rPr>
  </w:style>
  <w:style w:type="paragraph" w:styleId="1705" w:customStyle="1">
    <w:name w:val="Table Paragraph"/>
    <w:basedOn w:val="1495"/>
    <w:uiPriority w:val="1"/>
    <w:qFormat/>
    <w:pPr>
      <w:jc w:val="left"/>
    </w:pPr>
    <w:rPr>
      <w:rFonts w:ascii="宋体" w:hAnsi="宋体" w:cs="宋体"/>
      <w:sz w:val="22"/>
      <w:szCs w:val="22"/>
      <w:lang w:eastAsia="en-US"/>
    </w:rPr>
  </w:style>
  <w:style w:type="paragraph" w:styleId="1706" w:customStyle="1">
    <w:name w:val="正文 + 楷体_GB2312"/>
    <w:basedOn w:val="1495"/>
    <w:uiPriority w:val="0"/>
    <w:qFormat/>
    <w:pPr>
      <w:jc w:val="left"/>
      <w:widowControl/>
    </w:pPr>
    <w:rPr>
      <w:rFonts w:ascii="楷体_GB2312" w:eastAsia="楷体_GB2312" w:cs="Arial"/>
      <w:sz w:val="24"/>
    </w:rPr>
  </w:style>
  <w:style w:type="paragraph" w:styleId="1707" w:customStyle="1">
    <w:name w:val="缺省文本"/>
    <w:basedOn w:val="1495"/>
    <w:uiPriority w:val="0"/>
    <w:qFormat/>
    <w:pPr>
      <w:jc w:val="left"/>
    </w:pPr>
    <w:rPr>
      <w:sz w:val="24"/>
    </w:rPr>
  </w:style>
  <w:style w:type="paragraph" w:styleId="1708" w:customStyle="1">
    <w:name w:val="样式2"/>
    <w:basedOn w:val="1538"/>
    <w:uiPriority w:val="0"/>
    <w:qFormat/>
    <w:pPr>
      <w:jc w:val="center"/>
      <w:spacing w:line="360" w:lineRule="auto"/>
    </w:pPr>
    <w:rPr>
      <w:sz w:val="24"/>
    </w:rPr>
  </w:style>
  <w:style w:type="paragraph" w:styleId="1709" w:customStyle="1">
    <w:name w:val="_Style 11"/>
    <w:basedOn w:val="1495"/>
    <w:next w:val="1495"/>
    <w:uiPriority w:val="0"/>
    <w:qFormat/>
    <w:pPr>
      <w:ind w:left="420" w:firstLine="420"/>
      <w:spacing w:after="120"/>
    </w:pPr>
  </w:style>
  <w:style w:type="paragraph" w:styleId="1710" w:customStyle="1">
    <w:name w:val="图文"/>
    <w:basedOn w:val="1495"/>
    <w:uiPriority w:val="0"/>
    <w:qFormat/>
    <w:pPr>
      <w:spacing w:after="50" w:line="360" w:lineRule="auto"/>
    </w:pPr>
    <w:rPr>
      <w:sz w:val="24"/>
    </w:rPr>
  </w:style>
  <w:style w:type="paragraph" w:styleId="1711" w:customStyle="1">
    <w:name w:val="Char2 Char Char Char Char Char Char1"/>
    <w:basedOn w:val="1495"/>
    <w:uiPriority w:val="0"/>
    <w:qFormat/>
    <w:pPr>
      <w:jc w:val="center"/>
      <w:spacing w:line="400" w:lineRule="exact"/>
      <w:widowControl/>
    </w:pPr>
  </w:style>
  <w:style w:type="paragraph" w:styleId="1712" w:customStyle="1">
    <w:name w:val="Char Char Char Char Char Char Char Char Char Char1"/>
    <w:basedOn w:val="1495"/>
    <w:uiPriority w:val="0"/>
    <w:qFormat/>
    <w:rPr>
      <w:rFonts w:ascii="宋体" w:hAnsi="宋体" w:cs="Courier New"/>
      <w:sz w:val="32"/>
      <w:szCs w:val="32"/>
    </w:rPr>
  </w:style>
  <w:style w:type="paragraph" w:styleId="1713" w:customStyle="1">
    <w:name w:val="Char3 Char Char Char2"/>
    <w:basedOn w:val="1495"/>
    <w:uiPriority w:val="0"/>
    <w:qFormat/>
    <w:rPr>
      <w:rFonts w:ascii="Tahoma" w:hAnsi="Tahoma"/>
      <w:sz w:val="24"/>
      <w:szCs w:val="20"/>
    </w:rPr>
  </w:style>
  <w:style w:type="paragraph" w:styleId="1714" w:customStyle="1">
    <w:name w:val="Char1"/>
    <w:basedOn w:val="1495"/>
    <w:uiPriority w:val="0"/>
    <w:qFormat/>
    <w:pPr>
      <w:tabs>
        <w:tab w:val="left" w:pos="360" w:leader="none"/>
      </w:tabs>
    </w:pPr>
    <w:rPr>
      <w:sz w:val="24"/>
    </w:rPr>
  </w:style>
  <w:style w:type="paragraph" w:styleId="1715" w:customStyle="1">
    <w:name w:val="Char Char Char1"/>
    <w:basedOn w:val="1495"/>
    <w:uiPriority w:val="0"/>
    <w:qFormat/>
    <w:rPr>
      <w:rFonts w:ascii="Tahoma" w:hAnsi="Tahoma"/>
      <w:sz w:val="24"/>
      <w:szCs w:val="20"/>
    </w:rPr>
  </w:style>
  <w:style w:type="paragraph" w:styleId="1716" w:customStyle="1">
    <w:name w:val="xl46"/>
    <w:basedOn w:val="149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717" w:customStyle="1">
    <w:name w:val="_Style 160"/>
    <w:uiPriority w:val="0"/>
    <w:qFormat/>
    <w:rPr>
      <w:rFonts w:ascii="Times New Roman" w:hAnsi="Times New Roman" w:eastAsia="宋体" w:cs="Times New Roman"/>
      <w:sz w:val="21"/>
      <w:szCs w:val="24"/>
      <w:lang w:val="en-US" w:eastAsia="zh-CN" w:bidi="ar-SA"/>
    </w:rPr>
  </w:style>
  <w:style w:type="paragraph" w:styleId="1718" w:customStyle="1">
    <w:name w:val="无标题条"/>
    <w:next w:val="1495"/>
    <w:uiPriority w:val="0"/>
    <w:qFormat/>
    <w:pPr>
      <w:jc w:val="both"/>
    </w:pPr>
    <w:rPr>
      <w:rFonts w:ascii="Times New Roman" w:hAnsi="Times New Roman" w:eastAsia="宋体" w:cs="Times New Roman"/>
      <w:sz w:val="21"/>
      <w:lang w:val="en-US" w:eastAsia="zh-CN" w:bidi="ar-SA"/>
    </w:rPr>
  </w:style>
  <w:style w:type="paragraph" w:styleId="1719" w:customStyle="1">
    <w:name w:val="Char Char Char Char Char Char Char Char Char Char"/>
    <w:basedOn w:val="1495"/>
    <w:uiPriority w:val="0"/>
    <w:qFormat/>
  </w:style>
  <w:style w:type="paragraph" w:styleId="1720" w:customStyle="1">
    <w:name w:val="列出段落1"/>
    <w:basedOn w:val="1495"/>
    <w:uiPriority w:val="0"/>
    <w:qFormat/>
    <w:pPr>
      <w:ind w:firstLine="420"/>
    </w:pPr>
    <w:rPr>
      <w:rFonts w:ascii="Calibri" w:hAnsi="Calibri"/>
      <w:szCs w:val="22"/>
    </w:rPr>
  </w:style>
  <w:style w:type="paragraph" w:styleId="1721" w:customStyle="1">
    <w:name w:val="xl47"/>
    <w:basedOn w:val="14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722" w:customStyle="1">
    <w:name w:val="xl38"/>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723" w:customStyle="1">
    <w:name w:val="Char Char Char Char Char Char Char Char Char Char2"/>
    <w:basedOn w:val="1495"/>
    <w:uiPriority w:val="0"/>
    <w:qFormat/>
    <w:rPr>
      <w:rFonts w:ascii="宋体" w:hAnsi="宋体" w:cs="Courier New"/>
      <w:sz w:val="32"/>
      <w:szCs w:val="32"/>
    </w:rPr>
  </w:style>
  <w:style w:type="paragraph" w:styleId="1724" w:customStyle="1">
    <w:name w:val="Char Char Char Char Char Char Char Char Char Char Char Char Char Char Char Char1"/>
    <w:basedOn w:val="1495"/>
    <w:uiPriority w:val="0"/>
    <w:qFormat/>
    <w:pPr>
      <w:jc w:val="center"/>
      <w:spacing w:after="160" w:line="240" w:lineRule="exact"/>
      <w:widowControl/>
    </w:pPr>
    <w:rPr>
      <w:rFonts w:ascii="宋体" w:hAnsi="宋体"/>
      <w:b/>
      <w:sz w:val="30"/>
      <w:szCs w:val="30"/>
      <w:lang w:eastAsia="en-US"/>
    </w:rPr>
  </w:style>
  <w:style w:type="paragraph" w:styleId="1725" w:customStyle="1">
    <w:name w:val="Char Char Char Char Char Char Char"/>
    <w:basedOn w:val="1495"/>
    <w:uiPriority w:val="0"/>
    <w:qFormat/>
    <w:pPr>
      <w:ind w:firstLine="200"/>
      <w:spacing w:line="360" w:lineRule="auto"/>
    </w:pPr>
    <w:rPr>
      <w:rFonts w:eastAsia="仿宋_GB2312"/>
      <w:sz w:val="24"/>
    </w:rPr>
  </w:style>
  <w:style w:type="paragraph" w:styleId="1726" w:customStyle="1">
    <w:name w:val="三级条标题"/>
    <w:basedOn w:val="1637"/>
    <w:next w:val="1495"/>
    <w:uiPriority w:val="0"/>
    <w:qFormat/>
    <w:pPr>
      <w:numPr>
        <w:ilvl w:val="3"/>
        <w:numId w:val="3"/>
      </w:numPr>
      <w:ind w:left="0" w:hanging="840"/>
      <w:outlineLvl w:val="3"/>
    </w:pPr>
  </w:style>
  <w:style w:type="paragraph" w:styleId="1727" w:customStyle="1">
    <w:name w:val="正文缩进2"/>
    <w:basedOn w:val="1495"/>
    <w:uiPriority w:val="0"/>
    <w:qFormat/>
    <w:pPr>
      <w:ind w:firstLine="567"/>
      <w:spacing w:line="480" w:lineRule="exact"/>
      <w:widowControl/>
    </w:pPr>
    <w:rPr>
      <w:rFonts w:ascii="宋体"/>
      <w:color w:val="000000"/>
      <w:sz w:val="28"/>
      <w:szCs w:val="20"/>
      <w:lang w:val="zh-CN"/>
    </w:rPr>
  </w:style>
  <w:style w:type="paragraph" w:styleId="1728" w:customStyle="1">
    <w:name w:val="正文 + 宋体"/>
    <w:basedOn w:val="1495"/>
    <w:uiPriority w:val="0"/>
    <w:qFormat/>
    <w:pPr>
      <w:ind w:left="360" w:hanging="360"/>
      <w:jc w:val="left"/>
      <w:widowControl/>
    </w:pPr>
    <w:rPr>
      <w:rFonts w:ascii="宋体" w:hAnsi="宋体" w:cs="宋体"/>
      <w:b/>
      <w:bCs/>
      <w:color w:val="000000"/>
      <w:sz w:val="18"/>
      <w:szCs w:val="18"/>
    </w:rPr>
  </w:style>
  <w:style w:type="paragraph" w:styleId="1729" w:customStyle="1">
    <w:name w:val="项目编号3"/>
    <w:basedOn w:val="1658"/>
    <w:uiPriority w:val="0"/>
    <w:qFormat/>
    <w:pPr>
      <w:numPr>
        <w:ilvl w:val="0"/>
        <w:numId w:val="7"/>
      </w:numPr>
    </w:pPr>
  </w:style>
  <w:style w:type="paragraph" w:styleId="173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731" w:customStyle="1">
    <w:name w:val="xl27"/>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2" w:customStyle="1">
    <w:name w:val="xl28"/>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33" w:customStyle="1">
    <w:name w:val="正文文本缩进2"/>
    <w:basedOn w:val="1495"/>
    <w:uiPriority w:val="0"/>
    <w:qFormat/>
    <w:pPr>
      <w:ind w:firstLine="480"/>
      <w:spacing w:line="480" w:lineRule="exact"/>
    </w:pPr>
    <w:rPr>
      <w:rFonts w:ascii="宋体" w:hAnsi="宋体"/>
      <w:sz w:val="24"/>
      <w:lang w:val="zh-CN"/>
    </w:rPr>
  </w:style>
  <w:style w:type="paragraph" w:styleId="1734" w:customStyle="1">
    <w:name w:val="Char3 Char Char Char"/>
    <w:basedOn w:val="1495"/>
    <w:uiPriority w:val="0"/>
    <w:qFormat/>
    <w:rPr>
      <w:rFonts w:ascii="Tahoma" w:hAnsi="Tahoma"/>
      <w:sz w:val="24"/>
      <w:szCs w:val="20"/>
    </w:rPr>
  </w:style>
  <w:style w:type="paragraph" w:styleId="1735" w:customStyle="1">
    <w:name w:val="Char21"/>
    <w:basedOn w:val="1495"/>
    <w:uiPriority w:val="0"/>
    <w:qFormat/>
    <w:rPr>
      <w:rFonts w:ascii="Tahoma" w:hAnsi="Tahoma"/>
      <w:sz w:val="24"/>
      <w:szCs w:val="20"/>
    </w:rPr>
  </w:style>
  <w:style w:type="paragraph" w:styleId="1736" w:customStyle="1">
    <w:name w:val="List Paragraph1"/>
    <w:basedOn w:val="1495"/>
    <w:uiPriority w:val="0"/>
    <w:qFormat/>
    <w:pPr>
      <w:ind w:firstLine="420"/>
    </w:pPr>
    <w:rPr>
      <w:rFonts w:ascii="Calibri" w:hAnsi="Calibri"/>
      <w:szCs w:val="22"/>
    </w:rPr>
  </w:style>
  <w:style w:type="paragraph" w:styleId="1737" w:customStyle="1">
    <w:name w:val="四级条标题"/>
    <w:basedOn w:val="1726"/>
    <w:next w:val="1495"/>
    <w:uiPriority w:val="0"/>
    <w:qFormat/>
    <w:pPr>
      <w:numPr>
        <w:ilvl w:val="4"/>
      </w:numPr>
      <w:ind w:left="0" w:hanging="840"/>
      <w:outlineLvl w:val="4"/>
    </w:pPr>
  </w:style>
  <w:style w:type="paragraph" w:styleId="173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739" w:customStyle="1">
    <w:name w:val="xl49"/>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740" w:customStyle="1">
    <w:name w:val="font5"/>
    <w:basedOn w:val="1495"/>
    <w:uiPriority w:val="0"/>
    <w:qFormat/>
    <w:pPr>
      <w:jc w:val="left"/>
      <w:spacing w:before="100" w:beforeAutospacing="1" w:after="100" w:afterAutospacing="1"/>
      <w:widowControl/>
    </w:pPr>
    <w:rPr>
      <w:rFonts w:ascii="宋体" w:hAnsi="宋体" w:cs="宋体"/>
      <w:sz w:val="18"/>
      <w:szCs w:val="18"/>
    </w:rPr>
  </w:style>
  <w:style w:type="paragraph" w:styleId="1741" w:customStyle="1">
    <w:name w:val="Char Char Char1 Char1"/>
    <w:basedOn w:val="1495"/>
    <w:uiPriority w:val="0"/>
    <w:qFormat/>
    <w:rPr>
      <w:rFonts w:ascii="Tahoma" w:hAnsi="Tahoma"/>
      <w:sz w:val="24"/>
      <w:szCs w:val="20"/>
    </w:rPr>
  </w:style>
  <w:style w:type="paragraph" w:styleId="174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743" w:customStyle="1">
    <w:name w:val="项目符号1"/>
    <w:basedOn w:val="1658"/>
    <w:uiPriority w:val="0"/>
    <w:qFormat/>
    <w:pPr>
      <w:ind w:left="-25" w:firstLine="0"/>
    </w:pPr>
  </w:style>
  <w:style w:type="paragraph" w:styleId="1744" w:customStyle="1">
    <w:name w:val="xl33"/>
    <w:basedOn w:val="14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5" w:customStyle="1">
    <w:name w:val="22222222222222"/>
    <w:basedOn w:val="1495"/>
    <w:uiPriority w:val="0"/>
    <w:qFormat/>
    <w:pPr>
      <w:ind w:firstLine="480"/>
      <w:jc w:val="left"/>
      <w:spacing w:line="360" w:lineRule="auto"/>
      <w:widowControl/>
    </w:pPr>
    <w:rPr>
      <w:color w:val="ff0000"/>
      <w:sz w:val="24"/>
      <w:szCs w:val="20"/>
    </w:rPr>
  </w:style>
  <w:style w:type="paragraph" w:styleId="1746" w:customStyle="1">
    <w:name w:val="xl34"/>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747" w:customStyle="1">
    <w:name w:val="Char22"/>
    <w:basedOn w:val="1495"/>
    <w:uiPriority w:val="0"/>
    <w:qFormat/>
    <w:rPr>
      <w:rFonts w:ascii="Tahoma" w:hAnsi="Tahoma"/>
      <w:sz w:val="24"/>
      <w:szCs w:val="20"/>
    </w:rPr>
  </w:style>
  <w:style w:type="paragraph" w:styleId="1748" w:customStyle="1">
    <w:name w:val="Char3 Char Char Char1"/>
    <w:basedOn w:val="1495"/>
    <w:uiPriority w:val="0"/>
    <w:qFormat/>
    <w:rPr>
      <w:rFonts w:ascii="Tahoma" w:hAnsi="Tahoma"/>
      <w:sz w:val="24"/>
      <w:szCs w:val="20"/>
    </w:rPr>
  </w:style>
  <w:style w:type="paragraph" w:styleId="1749" w:customStyle="1">
    <w:name w:val="五级条标题"/>
    <w:basedOn w:val="1737"/>
    <w:next w:val="1495"/>
    <w:uiPriority w:val="0"/>
    <w:qFormat/>
    <w:pPr>
      <w:numPr>
        <w:ilvl w:val="5"/>
      </w:numPr>
      <w:ind w:left="0" w:hanging="840"/>
      <w:outlineLvl w:val="5"/>
    </w:pPr>
  </w:style>
  <w:style w:type="paragraph" w:styleId="1750" w:customStyle="1">
    <w:name w:val="表格文字"/>
    <w:basedOn w:val="1515"/>
    <w:uiPriority w:val="0"/>
    <w:qFormat/>
    <w:pPr>
      <w:ind w:firstLine="0"/>
      <w:spacing w:before="20" w:after="20" w:line="240" w:lineRule="auto"/>
    </w:pPr>
    <w:rPr>
      <w:rFonts w:ascii="Century Gothic" w:hAnsi="Century Gothic"/>
      <w:sz w:val="20"/>
      <w:szCs w:val="20"/>
    </w:rPr>
  </w:style>
  <w:style w:type="paragraph" w:styleId="1751" w:customStyle="1">
    <w:name w:val="default"/>
    <w:basedOn w:val="1495"/>
    <w:uiPriority w:val="0"/>
    <w:qFormat/>
    <w:pPr>
      <w:jc w:val="left"/>
      <w:spacing w:before="100" w:beforeAutospacing="1" w:after="100" w:afterAutospacing="1"/>
      <w:widowControl/>
    </w:pPr>
    <w:rPr>
      <w:rFonts w:ascii="宋体" w:hAnsi="宋体" w:cs="宋体"/>
      <w:sz w:val="24"/>
    </w:rPr>
  </w:style>
  <w:style w:type="paragraph" w:styleId="1752" w:customStyle="1">
    <w:name w:val="xl36"/>
    <w:basedOn w:val="149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753" w:customStyle="1">
    <w:name w:val="一级无"/>
    <w:basedOn w:val="1495"/>
    <w:uiPriority w:val="0"/>
    <w:qFormat/>
    <w:pPr>
      <w:jc w:val="left"/>
      <w:widowControl/>
      <w:outlineLvl w:val="2"/>
    </w:pPr>
    <w:rPr>
      <w:rFonts w:ascii="宋体"/>
      <w:szCs w:val="21"/>
    </w:rPr>
  </w:style>
  <w:style w:type="paragraph" w:styleId="1754" w:customStyle="1">
    <w:name w:val="Char"/>
    <w:basedOn w:val="1495"/>
    <w:uiPriority w:val="0"/>
    <w:qFormat/>
    <w:pPr>
      <w:tabs>
        <w:tab w:val="left" w:pos="360" w:leader="none"/>
      </w:tabs>
    </w:pPr>
    <w:rPr>
      <w:sz w:val="24"/>
    </w:rPr>
  </w:style>
  <w:style w:type="paragraph" w:styleId="1755" w:customStyle="1">
    <w:name w:val="xl41"/>
    <w:basedOn w:val="149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table" w:styleId="175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757" w:customStyle="1">
    <w:name w:val="NormalCharacter"/>
    <w:uiPriority w:val="0"/>
    <w:qFormat/>
    <w:rPr>
      <w:rFonts w:ascii="Calibri" w:hAnsi="Calibri" w:eastAsia="宋体" w:cs="Times New Roman"/>
      <w:sz w:val="21"/>
      <w:szCs w:val="22"/>
      <w:lang w:val="en-US" w:eastAsia="zh-CN" w:bidi="ar-SA"/>
    </w:rPr>
  </w:style>
  <w:style w:type="character" w:styleId="1758" w:customStyle="1">
    <w:name w:val="font11"/>
    <w:uiPriority w:val="0"/>
    <w:qFormat/>
    <w:rPr>
      <w:rFonts w:hint="eastAsia" w:ascii="仿宋_GB2312" w:eastAsia="仿宋_GB2312" w:cs="仿宋_GB2312"/>
      <w:color w:val="000000"/>
      <w:sz w:val="24"/>
      <w:szCs w:val="24"/>
      <w:u w:val="none"/>
    </w:rPr>
  </w:style>
  <w:style w:type="paragraph" w:styleId="1759" w:customStyle="1">
    <w:name w:val="表"/>
    <w:basedOn w:val="1495"/>
    <w:uiPriority w:val="0"/>
    <w:qFormat/>
    <w:pPr>
      <w:jc w:val="center"/>
    </w:pPr>
    <w:rPr>
      <w:rFonts w:hint="eastAsia" w:cs="方正仿宋_GB2312"/>
      <w:sz w:val="24"/>
      <w:szCs w:val="22"/>
      <w:lang w:val="zh-CN" w:bidi="zh-CN"/>
    </w:rPr>
  </w:style>
  <w:style w:type="paragraph" w:styleId="1760" w:customStyle="1">
    <w:name w:val="Table Text"/>
    <w:basedOn w:val="1495"/>
    <w:uiPriority w:val="0"/>
    <w:semiHidden/>
    <w:qFormat/>
    <w:rPr>
      <w:rFonts w:ascii="Times New Roman" w:hAnsi="Times New Roman" w:eastAsia="Times New Roman" w:cs="Times New Roman"/>
      <w:sz w:val="24"/>
      <w:szCs w:val="24"/>
      <w:lang w:eastAsia="en-US"/>
    </w:rPr>
  </w:style>
  <w:style w:type="paragraph" w:styleId="1761" w:customStyle="1">
    <w:name w:val="null3"/>
    <w:uiPriority w:val="0"/>
    <w:qFormat/>
    <w:rPr>
      <w:rFonts w:hint="eastAsia" w:ascii="Calibri" w:hAnsi="Calibri" w:eastAsia="宋体" w:cs="Times New Roman"/>
      <w:lang w:val="en-US" w:eastAsia="zh-CN" w:bidi="ar-SA"/>
    </w:rPr>
  </w:style>
  <w:style w:type="numbering" w:styleId="17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footer" Target="footer6.xml" /><Relationship Id="rId29" Type="http://schemas.openxmlformats.org/officeDocument/2006/relationships/footer" Target="footer7.xml" /><Relationship Id="rId30" Type="http://schemas.openxmlformats.org/officeDocument/2006/relationships/footer" Target="footer8.xml" /><Relationship Id="rId31" Type="http://schemas.openxmlformats.org/officeDocument/2006/relationships/footer" Target="footer9.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customXml" Target="../customXml/item1.xml" /><Relationship Id="rId38" Type="http://schemas.openxmlformats.org/officeDocument/2006/relationships/image" Target="media/image1.png"/><Relationship Id="rId3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Administrator</dc:creator>
  <cp:lastModifiedBy>嵇玲</cp:lastModifiedBy>
  <cp:revision>2</cp:revision>
  <dcterms:created xsi:type="dcterms:W3CDTF">2024-07-24T04:09:00Z</dcterms:created>
  <dcterms:modified xsi:type="dcterms:W3CDTF">2026-04-24T00:49:44Z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55716FF91A874134A0857B2B6DA50337_13</vt:lpwstr>
  </property>
  <property fmtid="{D5CDD505-2E9C-101B-9397-08002B2CF9AE}" pid="4" name="KSOTemplateDocerSaveRecord">
    <vt:lpwstr>eyJoZGlkIjoiY2RiYzU2ZTNjNDllZTMyOTFmNTE3MmRiOTliNjVlMDQiLCJ1c2VySWQiOiIxMDQ2OTQ3MzgyIn0=</vt:lpwstr>
  </property>
</Properties>
</file>