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highlight w:val="none"/>
        </w:rPr>
      </w:pPr>
      <w:r>
        <w:rPr>
          <w:rFonts w:ascii="宋体" w:hAnsi="宋体"/>
          <w:b/>
          <w:sz w:val="72"/>
          <w:highlight w:val="none"/>
        </w:rPr>
      </w:r>
      <w:r>
        <w:rPr>
          <w:highlight w:val="none"/>
        </w:rPr>
      </w:r>
    </w:p>
    <w:p>
      <w:pPr>
        <w:ind w:left="0"/>
        <w:jc w:val="center"/>
        <w:rPr>
          <w:rFonts w:ascii="宋体" w:hAnsi="宋体"/>
          <w:b/>
          <w:sz w:val="96"/>
          <w:highlight w:val="none"/>
        </w:rPr>
      </w:pPr>
      <w:r>
        <w:rPr>
          <w:rFonts w:ascii="宋体" w:hAnsi="宋体"/>
          <w:b/>
          <w:sz w:val="96"/>
          <w:highlight w:val="none"/>
        </w:rPr>
      </w:r>
      <w:r>
        <w:rPr>
          <w:highlight w:val="none"/>
        </w:rPr>
      </w:r>
    </w:p>
    <w:p>
      <w:pPr>
        <w:ind w:left="0"/>
        <w:jc w:val="center"/>
        <w:rPr>
          <w:rFonts w:ascii="宋体" w:hAnsi="宋体"/>
          <w:b/>
          <w:sz w:val="96"/>
          <w:highlight w:val="none"/>
        </w:rPr>
      </w:pPr>
      <w:r>
        <w:rPr>
          <w:rFonts w:hint="eastAsia" w:ascii="宋体" w:hAnsi="宋体"/>
          <w:b/>
          <w:sz w:val="96"/>
          <w:highlight w:val="none"/>
        </w:rPr>
        <w:t xml:space="preserve">苏州市相城区政府采购</w:t>
      </w:r>
      <w:r>
        <w:rPr>
          <w:highlight w:val="none"/>
        </w:rPr>
      </w:r>
    </w:p>
    <w:p>
      <w:pPr>
        <w:ind w:left="0"/>
        <w:jc w:val="center"/>
        <w:rPr>
          <w:rFonts w:ascii="宋体" w:hAnsi="宋体"/>
          <w:b/>
          <w:sz w:val="96"/>
          <w:highlight w:val="none"/>
        </w:rPr>
      </w:pPr>
      <w:r>
        <w:rPr>
          <w:rFonts w:hint="eastAsia" w:ascii="宋体" w:hAnsi="宋体"/>
          <w:b/>
          <w:sz w:val="96"/>
          <w:highlight w:val="none"/>
        </w:rPr>
        <w:t xml:space="preserve">招标文件</w:t>
      </w:r>
      <w:r>
        <w:rPr>
          <w:highlight w:val="none"/>
        </w:rPr>
      </w:r>
    </w:p>
    <w:p>
      <w:pPr>
        <w:ind w:left="0"/>
        <w:jc w:val="left"/>
        <w:spacing w:line="360" w:lineRule="auto"/>
        <w:rPr>
          <w:rFonts w:ascii="宋体" w:hAnsi="宋体"/>
          <w:highlight w:val="none"/>
        </w:rPr>
      </w:pP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2211070</wp:posOffset>
                </wp:positionH>
                <wp:positionV relativeFrom="paragraph">
                  <wp:posOffset>246380</wp:posOffset>
                </wp:positionV>
                <wp:extent cx="1605915" cy="1479550"/>
                <wp:effectExtent l="0" t="0" r="0" b="6350"/>
                <wp:wrapSquare wrapText="bothSides"/>
                <wp:docPr id="5" name="图片 5" descr="d:\Documents\WeChat Files\wxid_0dsp69hju7rl12\FileStorage\Temp\554ec0d5d2f95841b30a87efdf35a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Documents\WeChat Files\wxid_0dsp69hju7rl12\FileStorage\Temp\554ec0d5d2f95841b30a87efdf35ae6.png"/>
                        <pic:cNvPicPr>
                          <a:picLocks noChangeAspect="1"/>
                        </pic:cNvPicPr>
                        <pic:nvPr/>
                      </pic:nvPicPr>
                      <pic:blipFill>
                        <a:blip r:embed="rId16"/>
                        <a:stretch/>
                      </pic:blipFill>
                      <pic:spPr bwMode="auto">
                        <a:xfrm>
                          <a:off x="0" y="0"/>
                          <a:ext cx="1605600" cy="147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74.1pt;mso-position-horizontal:absolute;mso-position-vertical-relative:text;margin-top:19.4pt;mso-position-vertical:absolute;width:126.4pt;height:116.5pt;mso-wrap-distance-left:9.0pt;mso-wrap-distance-top:0.0pt;mso-wrap-distance-right:9.0pt;mso-wrap-distance-bottom:0.0pt;" stroked="f">
                <v:path textboxrect="0,0,0,0"/>
                <w10:wrap type="square"/>
                <v:imagedata r:id="rId16" o:title=""/>
              </v:shape>
            </w:pict>
          </mc:Fallback>
        </mc:AlternateContent>
      </w:r>
      <w:r>
        <w:rPr>
          <w:highlight w:val="none"/>
        </w:rPr>
      </w:r>
    </w:p>
    <w:p>
      <w:pPr>
        <w:ind w:left="0"/>
        <w:jc w:val="left"/>
        <w:spacing w:line="360" w:lineRule="auto"/>
        <w:rPr>
          <w:rFonts w:ascii="宋体" w:hAnsi="宋体"/>
          <w:highlight w:val="none"/>
        </w:rPr>
      </w:pPr>
      <w:r>
        <w:rPr>
          <w:rFonts w:ascii="宋体" w:hAnsi="宋体"/>
          <w:highlight w:val="none"/>
        </w:rPr>
      </w:r>
      <w:r>
        <w:rPr>
          <w:highlight w:val="none"/>
        </w:rPr>
      </w:r>
    </w:p>
    <w:p>
      <w:pPr>
        <w:ind w:left="0"/>
        <w:jc w:val="left"/>
        <w:spacing w:line="480" w:lineRule="auto"/>
        <w:rPr>
          <w:rFonts w:ascii="宋体" w:hAnsi="宋体"/>
          <w:b/>
          <w:sz w:val="32"/>
          <w:highlight w:val="none"/>
        </w:rPr>
      </w:pPr>
      <w:r>
        <w:rPr>
          <w:rFonts w:ascii="宋体" w:hAnsi="宋体"/>
          <w:b/>
          <w:sz w:val="32"/>
          <w:highlight w:val="none"/>
        </w:rPr>
      </w:r>
      <w:r>
        <w:rPr>
          <w:highlight w:val="none"/>
        </w:rPr>
      </w:r>
    </w:p>
    <w:p>
      <w:pPr>
        <w:ind w:left="1842"/>
        <w:jc w:val="left"/>
        <w:spacing w:line="480" w:lineRule="auto"/>
        <w:rPr>
          <w:rFonts w:ascii="宋体" w:hAnsi="宋体"/>
          <w:b/>
          <w:sz w:val="32"/>
          <w:highlight w:val="none"/>
        </w:rPr>
      </w:pPr>
      <w:r>
        <w:rPr>
          <w:rFonts w:ascii="宋体" w:hAnsi="宋体"/>
          <w:b/>
          <w:sz w:val="32"/>
          <w:highlight w:val="none"/>
        </w:rPr>
      </w:r>
      <w:r>
        <w:rPr>
          <w:highlight w:val="none"/>
        </w:rPr>
      </w:r>
    </w:p>
    <w:p>
      <w:pPr>
        <w:ind w:left="1842"/>
        <w:jc w:val="left"/>
        <w:spacing w:line="480" w:lineRule="auto"/>
        <w:rPr>
          <w:rFonts w:ascii="宋体" w:hAnsi="宋体"/>
          <w:b/>
          <w:sz w:val="32"/>
          <w:highlight w:val="none"/>
        </w:rPr>
      </w:pPr>
      <w:r>
        <w:rPr>
          <w:rFonts w:ascii="宋体" w:hAnsi="宋体"/>
          <w:b/>
          <w:sz w:val="32"/>
          <w:highlight w:val="none"/>
        </w:rPr>
      </w:r>
      <w:r>
        <w:rPr>
          <w:highlight w:val="none"/>
        </w:rPr>
      </w:r>
    </w:p>
    <w:p>
      <w:pPr>
        <w:ind w:left="1842"/>
        <w:jc w:val="left"/>
        <w:spacing w:line="480" w:lineRule="auto"/>
        <w:rPr>
          <w:rFonts w:ascii="宋体" w:hAnsi="宋体"/>
          <w:b/>
          <w:sz w:val="32"/>
          <w:highlight w:val="none"/>
        </w:rPr>
      </w:pPr>
      <w:r>
        <w:rPr>
          <w:rFonts w:ascii="宋体" w:hAnsi="宋体"/>
          <w:b/>
          <w:sz w:val="32"/>
          <w:highlight w:val="none"/>
        </w:rPr>
        <w:t xml:space="preserve">项目编号：</w:t>
      </w:r>
      <w:r>
        <w:rPr>
          <w:rFonts w:ascii="宋体" w:hAnsi="宋体"/>
          <w:b/>
          <w:sz w:val="32"/>
          <w:highlight w:val="none"/>
        </w:rPr>
        <w:t xml:space="preserve">JSZC-320507-SZGZ-G2026-0023</w:t>
      </w:r>
      <w:r>
        <w:rPr>
          <w:highlight w:val="none"/>
        </w:rPr>
      </w:r>
    </w:p>
    <w:p>
      <w:pPr>
        <w:ind w:left="1842"/>
        <w:jc w:val="left"/>
        <w:spacing w:line="480" w:lineRule="auto"/>
        <w:rPr>
          <w:rFonts w:ascii="宋体" w:hAnsi="宋体"/>
          <w:b/>
          <w:sz w:val="32"/>
          <w:highlight w:val="none"/>
        </w:rPr>
      </w:pPr>
      <w:r>
        <w:rPr>
          <w:rFonts w:ascii="宋体" w:hAnsi="宋体"/>
          <w:b/>
          <w:sz w:val="32"/>
          <w:highlight w:val="none"/>
        </w:rPr>
        <w:t xml:space="preserve">招标单位：</w:t>
      </w:r>
      <w:r>
        <w:rPr>
          <w:rFonts w:hint="eastAsia" w:ascii="宋体" w:hAnsi="宋体"/>
          <w:b/>
          <w:sz w:val="32"/>
          <w:highlight w:val="none"/>
        </w:rPr>
        <w:t xml:space="preserve">苏州市相城生态环境局</w:t>
      </w:r>
      <w:r>
        <w:rPr>
          <w:highlight w:val="none"/>
        </w:rPr>
      </w:r>
    </w:p>
    <w:p>
      <w:pPr>
        <w:ind w:left="1842"/>
        <w:jc w:val="left"/>
        <w:spacing w:line="480" w:lineRule="auto"/>
        <w:rPr>
          <w:rFonts w:ascii="宋体" w:hAnsi="宋体"/>
          <w:b/>
          <w:sz w:val="32"/>
          <w:highlight w:val="none"/>
        </w:rPr>
      </w:pPr>
      <w:r>
        <w:rPr>
          <w:rFonts w:ascii="宋体" w:hAnsi="宋体"/>
          <w:b/>
          <w:sz w:val="32"/>
          <w:highlight w:val="none"/>
        </w:rPr>
        <w:t xml:space="preserve">项目名称：</w:t>
      </w:r>
      <w:r>
        <w:rPr>
          <w:rFonts w:hint="eastAsia" w:ascii="宋体" w:hAnsi="宋体"/>
          <w:b/>
          <w:sz w:val="32"/>
          <w:highlight w:val="none"/>
        </w:rPr>
        <w:t xml:space="preserve">2026年度环境空气（噪声）质量保障项目</w:t>
      </w:r>
      <w:r>
        <w:rPr>
          <w:highlight w:val="none"/>
        </w:rPr>
      </w:r>
    </w:p>
    <w:p>
      <w:pPr>
        <w:ind w:left="1842"/>
        <w:jc w:val="left"/>
        <w:spacing w:line="480" w:lineRule="auto"/>
        <w:tabs>
          <w:tab w:val="center" w:pos="6264" w:leader="none"/>
        </w:tabs>
        <w:rPr>
          <w:rFonts w:ascii="宋体" w:hAnsi="宋体"/>
          <w:b/>
          <w:sz w:val="32"/>
          <w:highlight w:val="none"/>
        </w:rPr>
      </w:pPr>
      <w:r>
        <w:rPr>
          <w:rFonts w:ascii="宋体" w:hAnsi="宋体"/>
          <w:b/>
          <w:sz w:val="32"/>
          <w:highlight w:val="none"/>
        </w:rPr>
        <w:t xml:space="preserve">项目类别：</w:t>
      </w:r>
      <w:r>
        <w:rPr>
          <w:rFonts w:hint="eastAsia" w:ascii="宋体" w:hAnsi="宋体"/>
          <w:b/>
          <w:sz w:val="32"/>
          <w:highlight w:val="none"/>
        </w:rPr>
        <w:t xml:space="preserve">服务类</w:t>
      </w:r>
      <w:r>
        <w:rPr>
          <w:highlight w:val="none"/>
        </w:rPr>
      </w:r>
    </w:p>
    <w:p>
      <w:pPr>
        <w:ind w:left="1842"/>
        <w:jc w:val="left"/>
        <w:spacing w:line="480" w:lineRule="auto"/>
        <w:tabs>
          <w:tab w:val="center" w:pos="6264" w:leader="none"/>
        </w:tabs>
        <w:rPr>
          <w:rFonts w:ascii="宋体" w:hAnsi="宋体"/>
          <w:b/>
          <w:sz w:val="32"/>
          <w:highlight w:val="none"/>
        </w:rPr>
      </w:pPr>
      <w:r>
        <w:rPr>
          <w:rFonts w:hint="eastAsia" w:ascii="宋体" w:hAnsi="宋体"/>
          <w:b/>
          <w:sz w:val="32"/>
          <w:highlight w:val="none"/>
        </w:rPr>
        <w:t xml:space="preserve">（十六）其他未列明行业</w:t>
      </w:r>
      <w:r>
        <w:rPr>
          <w:highlight w:val="none"/>
        </w:rPr>
      </w:r>
    </w:p>
    <w:p>
      <w:pPr>
        <w:ind w:left="0" w:firstLine="2695"/>
        <w:jc w:val="left"/>
        <w:rPr>
          <w:rFonts w:ascii="宋体" w:hAnsi="宋体"/>
          <w:b/>
          <w:sz w:val="32"/>
          <w:highlight w:val="none"/>
        </w:rPr>
      </w:pPr>
      <w:r>
        <w:rPr>
          <w:rFonts w:ascii="宋体" w:hAnsi="宋体"/>
          <w:b/>
          <w:sz w:val="32"/>
          <w:highlight w:val="none"/>
        </w:rPr>
      </w:r>
      <w:r>
        <w:rPr>
          <w:highlight w:val="none"/>
        </w:rPr>
      </w:r>
    </w:p>
    <w:p>
      <w:pPr>
        <w:ind w:left="0"/>
        <w:jc w:val="left"/>
        <w:rPr>
          <w:rFonts w:ascii="宋体" w:hAnsi="宋体"/>
          <w:b/>
          <w:sz w:val="32"/>
          <w:highlight w:val="none"/>
        </w:rPr>
      </w:pPr>
      <w:r>
        <w:rPr>
          <w:rFonts w:ascii="宋体" w:hAnsi="宋体"/>
          <w:b/>
          <w:sz w:val="32"/>
          <w:highlight w:val="none"/>
        </w:rPr>
      </w:r>
      <w:r>
        <w:rPr>
          <w:highlight w:val="none"/>
        </w:rPr>
      </w:r>
    </w:p>
    <w:p>
      <w:pPr>
        <w:ind w:left="0"/>
        <w:jc w:val="left"/>
        <w:rPr>
          <w:rFonts w:ascii="宋体" w:hAnsi="宋体"/>
          <w:b/>
          <w:sz w:val="32"/>
          <w:highlight w:val="none"/>
        </w:rPr>
      </w:pPr>
      <w:r>
        <w:rPr>
          <w:rFonts w:ascii="宋体" w:hAnsi="宋体"/>
          <w:b/>
          <w:sz w:val="32"/>
          <w:highlight w:val="none"/>
        </w:rPr>
      </w:r>
      <w:r>
        <w:rPr>
          <w:highlight w:val="none"/>
        </w:rPr>
      </w:r>
    </w:p>
    <w:p>
      <w:pPr>
        <w:pStyle w:val="889"/>
        <w:rPr>
          <w:rFonts w:ascii="宋体" w:hAnsi="宋体"/>
          <w:highlight w:val="none"/>
        </w:rPr>
      </w:pPr>
      <w:r>
        <w:rPr>
          <w:rFonts w:ascii="宋体" w:hAnsi="宋体"/>
          <w:highlight w:val="none"/>
        </w:rPr>
      </w:r>
      <w:r>
        <w:rPr>
          <w:highlight w:val="none"/>
        </w:rPr>
      </w:r>
    </w:p>
    <w:p>
      <w:pPr>
        <w:ind w:left="0"/>
        <w:jc w:val="center"/>
        <w:rPr>
          <w:rFonts w:ascii="宋体" w:hAnsi="宋体"/>
          <w:b/>
          <w:sz w:val="32"/>
          <w:highlight w:val="none"/>
        </w:rPr>
      </w:pPr>
      <w:r>
        <w:rPr>
          <w:rFonts w:hint="eastAsia" w:ascii="宋体" w:hAnsi="宋体"/>
          <w:b/>
          <w:sz w:val="32"/>
          <w:highlight w:val="none"/>
        </w:rPr>
        <w:t xml:space="preserve">苏州公正建设咨询房地产评估有限公司</w:t>
      </w:r>
      <w:r>
        <w:rPr>
          <w:highlight w:val="none"/>
        </w:rPr>
      </w:r>
    </w:p>
    <w:p>
      <w:pPr>
        <w:ind w:left="0"/>
        <w:jc w:val="center"/>
        <w:rPr>
          <w:rFonts w:ascii="宋体" w:hAnsi="宋体"/>
          <w:b/>
          <w:sz w:val="32"/>
          <w:highlight w:val="none"/>
        </w:rPr>
      </w:pPr>
      <w:r>
        <w:rPr>
          <w:rFonts w:hint="eastAsia" w:ascii="宋体" w:hAnsi="宋体"/>
          <w:b/>
          <w:sz w:val="32"/>
          <w:highlight w:val="none"/>
        </w:rPr>
        <w:t xml:space="preserve">2</w:t>
      </w:r>
      <w:r>
        <w:rPr>
          <w:rFonts w:ascii="宋体" w:hAnsi="宋体"/>
          <w:b/>
          <w:sz w:val="32"/>
          <w:highlight w:val="none"/>
        </w:rPr>
        <w:t xml:space="preserve">026</w:t>
      </w:r>
      <w:r>
        <w:rPr>
          <w:rFonts w:hint="eastAsia" w:ascii="宋体" w:hAnsi="宋体"/>
          <w:b/>
          <w:sz w:val="32"/>
          <w:highlight w:val="none"/>
        </w:rPr>
        <w:t xml:space="preserve">年</w:t>
      </w:r>
      <w:r>
        <w:rPr>
          <w:rFonts w:ascii="宋体" w:hAnsi="宋体"/>
          <w:b/>
          <w:sz w:val="32"/>
          <w:highlight w:val="none"/>
        </w:rPr>
        <w:t xml:space="preserve">5</w:t>
      </w:r>
      <w:r>
        <w:rPr>
          <w:rFonts w:hint="eastAsia" w:ascii="宋体" w:hAnsi="宋体"/>
          <w:b/>
          <w:sz w:val="32"/>
          <w:highlight w:val="none"/>
        </w:rPr>
        <w:t xml:space="preserve">月</w:t>
      </w:r>
      <w:r>
        <w:rPr>
          <w:highlight w:val="none"/>
        </w:rPr>
      </w:r>
    </w:p>
    <w:p>
      <w:pPr>
        <w:ind w:left="0"/>
        <w:jc w:val="center"/>
        <w:rPr>
          <w:rFonts w:ascii="宋体" w:hAnsi="宋体"/>
          <w:sz w:val="48"/>
          <w:highlight w:val="none"/>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highlight w:val="none"/>
        </w:rPr>
      </w:r>
      <w:r>
        <w:rPr>
          <w:highlight w:val="none"/>
        </w:rPr>
      </w:r>
    </w:p>
    <w:p>
      <w:pPr>
        <w:ind w:left="0"/>
        <w:jc w:val="center"/>
        <w:rPr>
          <w:rFonts w:ascii="宋体" w:hAnsi="宋体"/>
          <w:b/>
          <w:spacing w:val="20"/>
          <w:sz w:val="30"/>
          <w:highlight w:val="none"/>
        </w:rPr>
      </w:pPr>
      <w:r>
        <w:rPr>
          <w:highlight w:val="none"/>
        </w:rPr>
      </w:r>
      <w:bookmarkStart w:id="0" w:name="_Toc17003"/>
      <w:r>
        <w:rPr>
          <w:highlight w:val="none"/>
        </w:rPr>
      </w:r>
      <w:bookmarkStart w:id="1" w:name="_Toc16121"/>
      <w:r>
        <w:rPr>
          <w:highlight w:val="none"/>
        </w:rPr>
      </w:r>
      <w:bookmarkStart w:id="2" w:name="_Toc15681"/>
      <w:r>
        <w:rPr>
          <w:rFonts w:ascii="宋体" w:hAnsi="宋体"/>
          <w:b/>
          <w:spacing w:val="20"/>
          <w:sz w:val="30"/>
          <w:highlight w:val="none"/>
        </w:rPr>
        <w:t xml:space="preserve">前 附 表</w:t>
      </w:r>
      <w:bookmarkEnd w:id="0"/>
      <w:r>
        <w:rPr>
          <w:highlight w:val="none"/>
        </w:rPr>
      </w:r>
      <w:bookmarkEnd w:id="1"/>
      <w:r>
        <w:rPr>
          <w:highlight w:val="none"/>
        </w:rPr>
      </w:r>
      <w:bookmarkEnd w:id="2"/>
      <w:r>
        <w:rPr>
          <w:highlight w:val="none"/>
        </w:rPr>
      </w:r>
      <w:r>
        <w:rPr>
          <w:highlight w:val="none"/>
        </w:rP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内               容</w:t>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项目编号</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ascii="宋体" w:hAnsi="宋体" w:cs="Times New Roman"/>
                <w:sz w:val="21"/>
                <w:szCs w:val="21"/>
                <w:highlight w:val="none"/>
              </w:rPr>
              <w:t xml:space="preserve">JSZC-320507-SZGZ-G2026-0023</w:t>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项目名称</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2026年度环境空气（噪声）质量保障项目</w:t>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highlight w:val="none"/>
              </w:rPr>
            </w:pPr>
            <w:r>
              <w:rPr>
                <w:rFonts w:hint="eastAsia" w:ascii="宋体" w:hAnsi="宋体" w:cs="Times New Roman"/>
                <w:sz w:val="21"/>
                <w:szCs w:val="21"/>
                <w:highlight w:val="none"/>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采购代理机构</w:t>
            </w:r>
            <w:r>
              <w:rPr>
                <w:highlight w:val="none"/>
              </w:rP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名称及地址</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名称：苏州公正建设咨询房地产评估有限公司</w:t>
            </w:r>
            <w:r>
              <w:rPr>
                <w:highlight w:val="none"/>
              </w:rP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联系地址：苏州市相城区华元路1902号2幢东楼2楼</w:t>
            </w:r>
            <w:r>
              <w:rPr>
                <w:highlight w:val="none"/>
              </w:rP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联系人：沈燕、项陈、杨富珍</w:t>
            </w:r>
            <w:r>
              <w:rPr>
                <w:highlight w:val="none"/>
              </w:rPr>
            </w:r>
          </w:p>
          <w:p>
            <w:pPr>
              <w:ind w:left="0"/>
              <w:jc w:val="left"/>
              <w:spacing w:line="440" w:lineRule="exact"/>
              <w:rPr>
                <w:rFonts w:ascii="宋体" w:hAnsi="宋体"/>
                <w:sz w:val="21"/>
                <w:szCs w:val="21"/>
                <w:highlight w:val="none"/>
              </w:rPr>
            </w:pPr>
            <w:r>
              <w:rPr>
                <w:rFonts w:hint="eastAsia" w:ascii="宋体" w:hAnsi="宋体" w:cs="Times New Roman"/>
                <w:sz w:val="21"/>
                <w:szCs w:val="21"/>
                <w:highlight w:val="none"/>
              </w:rPr>
              <w:t xml:space="preserve">联系电话：0512-67913588-6001</w:t>
            </w:r>
            <w:r>
              <w:rPr>
                <w:highlight w:val="none"/>
              </w:rP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招标单位</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名称：苏州市相城生态环境局</w:t>
            </w:r>
            <w:r>
              <w:rPr>
                <w:highlight w:val="none"/>
              </w:rP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地址：苏州市相城区阳澄湖东路8号</w:t>
            </w:r>
            <w:r>
              <w:rPr>
                <w:highlight w:val="none"/>
              </w:rP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联系人：邱攀</w:t>
            </w:r>
            <w:r>
              <w:rPr>
                <w:highlight w:val="none"/>
              </w:rP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联系电话：0512-85182768</w:t>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标书组成</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详见招标文件第二章</w:t>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投标保证金</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本项目不收取投标保证金</w:t>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投标有效期</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九十天（日历日）</w:t>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获取招标文件</w:t>
            </w:r>
            <w:r>
              <w:rPr>
                <w:highlight w:val="none"/>
              </w:rP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时间</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9</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rPr>
                <w:highlight w:val="none"/>
              </w:rPr>
            </w:r>
            <w:r>
              <w:rPr>
                <w:highlight w:val="none"/>
              </w:rP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ascii="宋体" w:hAnsi="宋体" w:cs="Times New Roman"/>
                <w:sz w:val="21"/>
                <w:szCs w:val="21"/>
                <w:highlight w:val="none"/>
              </w:rPr>
              <w:t xml:space="preserve">2026</w:t>
            </w:r>
            <w:r>
              <w:rPr>
                <w:rFonts w:hint="eastAsia" w:ascii="宋体" w:hAnsi="宋体" w:cs="Times New Roman"/>
                <w:sz w:val="21"/>
                <w:szCs w:val="21"/>
                <w:highlight w:val="none"/>
              </w:rPr>
              <w:t xml:space="preserve">年5</w:t>
            </w:r>
            <w:r>
              <w:rPr>
                <w:rFonts w:hint="eastAsia" w:ascii="宋体" w:hAnsi="宋体" w:cs="Times New Roman"/>
                <w:sz w:val="21"/>
                <w:szCs w:val="21"/>
                <w:highlight w:val="none"/>
              </w:rPr>
              <w:t xml:space="preserve">月29</w:t>
            </w:r>
            <w:r>
              <w:rPr>
                <w:rFonts w:hint="eastAsia" w:ascii="宋体" w:hAnsi="宋体" w:cs="Times New Roman"/>
                <w:sz w:val="21"/>
                <w:szCs w:val="21"/>
                <w:highlight w:val="none"/>
              </w:rPr>
              <w:t xml:space="preserve">日</w:t>
            </w:r>
            <w:r>
              <w:rPr>
                <w:rFonts w:hint="eastAsia" w:ascii="宋体" w:hAnsi="宋体" w:cs="Times New Roman"/>
                <w:sz w:val="21"/>
                <w:szCs w:val="21"/>
                <w:highlight w:val="none"/>
              </w:rPr>
              <w:t xml:space="preserve">9点</w:t>
            </w:r>
            <w:r>
              <w:rPr>
                <w:rFonts w:ascii="宋体" w:hAnsi="宋体" w:cs="Times New Roman"/>
                <w:sz w:val="21"/>
                <w:szCs w:val="21"/>
                <w:highlight w:val="none"/>
              </w:rPr>
              <w:t xml:space="preserve">30</w:t>
            </w:r>
            <w:r>
              <w:rPr>
                <w:rFonts w:hint="eastAsia" w:ascii="宋体" w:hAnsi="宋体" w:cs="Times New Roman"/>
                <w:sz w:val="21"/>
                <w:szCs w:val="21"/>
                <w:highlight w:val="none"/>
              </w:rPr>
              <w:t xml:space="preserve">分（北京时间）</w:t>
            </w:r>
            <w:r>
              <w:rPr>
                <w:rFonts w:ascii="宋体" w:hAnsi="宋体" w:cs="Times New Roman"/>
                <w:sz w:val="21"/>
                <w:szCs w:val="21"/>
                <w:highlight w:val="none"/>
              </w:rPr>
              <w:t xml:space="preserve"> </w:t>
            </w:r>
            <w:r>
              <w:rPr>
                <w:highlight w:val="none"/>
              </w:rPr>
            </w:r>
            <w:r>
              <w:rPr>
                <w:highlight w:val="none"/>
              </w:rP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rPr>
                <w:highlight w:val="none"/>
              </w:rPr>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rPr>
                <w:highlight w:val="none"/>
              </w:rPr>
            </w:r>
            <w:r>
              <w:rPr>
                <w:highlight w:val="none"/>
              </w:rP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ascii="宋体" w:hAnsi="宋体" w:cs="Times New Roman"/>
                <w:sz w:val="21"/>
                <w:szCs w:val="21"/>
                <w:highlight w:val="none"/>
              </w:rPr>
              <w:t xml:space="preserve">2026</w:t>
            </w:r>
            <w:r>
              <w:rPr>
                <w:rFonts w:hint="eastAsia" w:ascii="宋体" w:hAnsi="宋体" w:cs="Times New Roman"/>
                <w:sz w:val="21"/>
                <w:szCs w:val="21"/>
                <w:highlight w:val="none"/>
              </w:rPr>
              <w:t xml:space="preserve">年</w:t>
            </w:r>
            <w:r>
              <w:rPr>
                <w:rFonts w:hint="eastAsia" w:ascii="宋体" w:hAnsi="宋体" w:cs="Times New Roman"/>
                <w:sz w:val="21"/>
                <w:szCs w:val="21"/>
                <w:highlight w:val="none"/>
              </w:rPr>
              <w:t xml:space="preserve">5</w:t>
            </w:r>
            <w:r>
              <w:rPr>
                <w:rFonts w:hint="eastAsia" w:ascii="宋体" w:hAnsi="宋体" w:cs="Times New Roman"/>
                <w:sz w:val="21"/>
                <w:szCs w:val="21"/>
                <w:highlight w:val="none"/>
              </w:rPr>
              <w:t xml:space="preserve">月29</w:t>
            </w:r>
            <w:r>
              <w:rPr>
                <w:rFonts w:hint="eastAsia" w:ascii="宋体" w:hAnsi="宋体" w:cs="Times New Roman"/>
                <w:sz w:val="21"/>
                <w:szCs w:val="21"/>
                <w:highlight w:val="none"/>
              </w:rPr>
              <w:t xml:space="preserve">日</w:t>
            </w:r>
            <w:r>
              <w:rPr>
                <w:rFonts w:hint="eastAsia" w:ascii="宋体" w:hAnsi="宋体" w:cs="Times New Roman"/>
                <w:sz w:val="21"/>
                <w:szCs w:val="21"/>
                <w:highlight w:val="none"/>
              </w:rPr>
              <w:t xml:space="preserve">9</w:t>
            </w:r>
            <w:r>
              <w:rPr>
                <w:rFonts w:hint="eastAsia" w:ascii="宋体" w:hAnsi="宋体" w:cs="Times New Roman"/>
                <w:sz w:val="21"/>
                <w:szCs w:val="21"/>
                <w:highlight w:val="none"/>
              </w:rPr>
              <w:t xml:space="preserve">点</w:t>
            </w:r>
            <w:r>
              <w:rPr>
                <w:rFonts w:ascii="宋体" w:hAnsi="宋体" w:cs="Times New Roman"/>
                <w:sz w:val="21"/>
                <w:szCs w:val="21"/>
                <w:highlight w:val="none"/>
              </w:rPr>
              <w:t xml:space="preserve">30</w:t>
            </w:r>
            <w:r>
              <w:rPr>
                <w:rFonts w:hint="eastAsia" w:ascii="宋体" w:hAnsi="宋体" w:cs="Times New Roman"/>
                <w:sz w:val="21"/>
                <w:szCs w:val="21"/>
                <w:highlight w:val="none"/>
              </w:rPr>
              <w:t xml:space="preserve">分（北京时间）</w:t>
            </w:r>
            <w:r>
              <w:rPr>
                <w:highlight w:val="none"/>
              </w:rPr>
            </w:r>
            <w:r>
              <w:rPr>
                <w:highlight w:val="none"/>
              </w:rP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rPr>
                <w:highlight w:val="none"/>
              </w:rPr>
            </w:r>
            <w:r>
              <w:rPr>
                <w:highlight w:val="none"/>
              </w:rP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highlight w:val="none"/>
              </w:rPr>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投标文件份数</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本项目采用电子投标文件，投标人按照招标文件要求制作上传电子投标文件，投标人中标后需提供纸质投标文件一正二副。</w:t>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投标报价本位币</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人民币</w:t>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14</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履约保证金</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sz w:val="21"/>
                <w:highlight w:val="none"/>
              </w:rPr>
              <w:t xml:space="preserve">无</w:t>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中标通知书</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61"/>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rPr>
                <w:highlight w:val="none"/>
              </w:rPr>
            </w:r>
          </w:p>
          <w:p>
            <w:pPr>
              <w:pStyle w:val="1261"/>
              <w:ind w:left="0" w:firstLine="0"/>
              <w:spacing w:line="440" w:lineRule="exact"/>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16</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导致废标因素</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rPr>
                <w:highlight w:val="none"/>
              </w:rP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rPr>
                <w:highlight w:val="none"/>
              </w:rP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（三）投标人的报价均超过了采购预算，招标单位不能支付的； </w:t>
            </w:r>
            <w:r>
              <w:rPr>
                <w:highlight w:val="none"/>
              </w:rP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17</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导致无效标因素</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rPr>
                <w:highlight w:val="none"/>
              </w:rP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rPr>
                <w:highlight w:val="none"/>
              </w:rP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rPr>
                <w:highlight w:val="none"/>
              </w:rP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rPr>
                <w:highlight w:val="none"/>
              </w:rP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（四）投标文件含有招标单位不能接受的附加条件的；</w:t>
            </w:r>
            <w:r>
              <w:rPr>
                <w:highlight w:val="none"/>
              </w:rP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（五）法律、法规和招标文件规定的其他无效情形。</w:t>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18</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中标服务费金额</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中标服务费：本次招标项目中标服务费由中标人支付，本项目代理费金额</w:t>
            </w:r>
            <w:r>
              <w:rPr>
                <w:rFonts w:hint="eastAsia" w:ascii="宋体" w:hAnsi="宋体" w:cs="Times New Roman"/>
                <w:b/>
                <w:sz w:val="21"/>
                <w:szCs w:val="21"/>
                <w:highlight w:val="none"/>
              </w:rPr>
              <w:t xml:space="preserve">一标段为21930元，二标段为6900元</w:t>
            </w:r>
            <w:r>
              <w:rPr>
                <w:rFonts w:hint="eastAsia" w:ascii="宋体" w:hAnsi="宋体" w:cs="Times New Roman"/>
                <w:sz w:val="21"/>
                <w:szCs w:val="21"/>
                <w:highlight w:val="none"/>
              </w:rPr>
              <w:t xml:space="preserve">，供应商所投报价应当包含该项目代理服务费，该费用应在领取中标通知书时付清。具体收费以如下比例按差额定率累进法进行计算：</w:t>
            </w:r>
            <w:r>
              <w:rPr>
                <w:highlight w:val="none"/>
              </w:rP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收费标准：预算金额100万以下费率为预算金额的1.5%；</w:t>
            </w:r>
            <w:r>
              <w:rPr>
                <w:highlight w:val="none"/>
              </w:rP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预算金额100－500万费率为预算金额的1.1%。</w:t>
            </w:r>
            <w:r>
              <w:rPr>
                <w:highlight w:val="none"/>
              </w:rP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预算金额500－1000万费率为预算金额的0.8%。</w:t>
            </w:r>
            <w:r>
              <w:rPr>
                <w:highlight w:val="none"/>
              </w:rP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账 户 名：苏州公正建设咨询房地产评估有限公司新城分公司</w:t>
            </w:r>
            <w:r>
              <w:rPr>
                <w:highlight w:val="none"/>
              </w:rP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开户银行：平安银行苏州分行营业部</w:t>
            </w:r>
            <w:r>
              <w:rPr>
                <w:highlight w:val="none"/>
              </w:rP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账    号：15946344870016</w:t>
            </w:r>
            <w:r>
              <w:rPr>
                <w:highlight w:val="none"/>
              </w:rPr>
            </w:r>
          </w:p>
        </w:tc>
      </w:tr>
    </w:tbl>
    <w:p>
      <w:pPr>
        <w:ind w:left="0"/>
        <w:jc w:val="center"/>
        <w:rPr>
          <w:rFonts w:ascii="宋体" w:hAnsi="宋体"/>
          <w:b/>
          <w:sz w:val="44"/>
          <w:szCs w:val="22"/>
          <w:highlight w:val="none"/>
        </w:rPr>
      </w:pPr>
      <w:r>
        <w:rPr>
          <w:highlight w:val="none"/>
        </w:rPr>
      </w:r>
      <w:bookmarkStart w:id="3" w:name="_Toc28592"/>
      <w:r>
        <w:rPr>
          <w:highlight w:val="none"/>
        </w:rPr>
      </w:r>
      <w:bookmarkStart w:id="4" w:name="_Toc7166"/>
      <w:r>
        <w:rPr>
          <w:highlight w:val="none"/>
        </w:rPr>
      </w:r>
      <w:r>
        <w:rPr>
          <w:highlight w:val="none"/>
        </w:rPr>
      </w:r>
    </w:p>
    <w:p>
      <w:pPr>
        <w:ind w:left="0"/>
        <w:jc w:val="center"/>
        <w:rPr>
          <w:rFonts w:ascii="宋体" w:hAnsi="宋体"/>
          <w:b/>
          <w:sz w:val="44"/>
          <w:szCs w:val="22"/>
          <w:highlight w:val="none"/>
        </w:rPr>
      </w:pPr>
      <w:r>
        <w:rPr>
          <w:rFonts w:ascii="宋体" w:hAnsi="宋体"/>
          <w:b/>
          <w:sz w:val="44"/>
          <w:szCs w:val="22"/>
          <w:highlight w:val="none"/>
        </w:rPr>
      </w:r>
      <w:r>
        <w:rPr>
          <w:highlight w:val="none"/>
        </w:rPr>
      </w:r>
    </w:p>
    <w:p>
      <w:pPr>
        <w:pStyle w:val="903"/>
        <w:rPr>
          <w:rFonts w:ascii="宋体" w:hAnsi="宋体"/>
          <w:highlight w:val="none"/>
        </w:rPr>
      </w:pPr>
      <w:r>
        <w:rPr>
          <w:rFonts w:ascii="宋体" w:hAnsi="宋体"/>
          <w:highlight w:val="none"/>
        </w:rPr>
      </w:r>
      <w:r>
        <w:rPr>
          <w:highlight w:val="none"/>
        </w:rPr>
      </w:r>
    </w:p>
    <w:p>
      <w:pPr>
        <w:pStyle w:val="877"/>
        <w:ind w:left="431" w:firstLine="17"/>
        <w:jc w:val="center"/>
        <w:spacing w:before="0" w:after="0" w:line="360" w:lineRule="auto"/>
        <w:rPr>
          <w:rStyle w:val="1157"/>
          <w:rFonts w:ascii="宋体" w:hAnsi="宋体"/>
          <w:highlight w:val="none"/>
        </w:rPr>
      </w:pPr>
      <w:r>
        <w:rPr>
          <w:highlight w:val="none"/>
        </w:rPr>
      </w:r>
      <w:bookmarkStart w:id="5" w:name="_Toc159146111"/>
      <w:r>
        <w:rPr>
          <w:rFonts w:hint="eastAsia" w:ascii="宋体" w:hAnsi="宋体"/>
          <w:b/>
          <w:sz w:val="44"/>
          <w:szCs w:val="22"/>
          <w:highlight w:val="none"/>
        </w:rPr>
        <w:t xml:space="preserve">第一章 </w:t>
      </w:r>
      <w:bookmarkEnd w:id="3"/>
      <w:r>
        <w:rPr>
          <w:highlight w:val="none"/>
        </w:rPr>
      </w:r>
      <w:bookmarkEnd w:id="4"/>
      <w:r>
        <w:rPr>
          <w:highlight w:val="none"/>
        </w:rPr>
      </w:r>
      <w:bookmarkEnd w:id="5"/>
      <w:r>
        <w:rPr>
          <w:rFonts w:hint="eastAsia" w:ascii="宋体" w:hAnsi="宋体"/>
          <w:b/>
          <w:sz w:val="44"/>
          <w:szCs w:val="22"/>
          <w:highlight w:val="none"/>
        </w:rPr>
        <w:t xml:space="preserve">招标公告</w:t>
      </w:r>
      <w:r>
        <w:rPr>
          <w:highlight w:val="none"/>
        </w:rPr>
      </w:r>
    </w:p>
    <w:p>
      <w:pPr>
        <w:ind w:left="0" w:firstLine="422"/>
        <w:spacing w:line="360" w:lineRule="auto"/>
        <w:rPr>
          <w:rFonts w:ascii="宋体" w:hAnsi="宋体"/>
          <w:sz w:val="21"/>
          <w:szCs w:val="21"/>
          <w:highlight w:val="none"/>
        </w:rPr>
      </w:pPr>
      <w:r>
        <w:rPr>
          <w:rFonts w:hint="eastAsia" w:ascii="宋体" w:hAnsi="宋体"/>
          <w:sz w:val="21"/>
          <w:szCs w:val="21"/>
          <w:highlight w:val="none"/>
        </w:rPr>
        <w:t xml:space="preserve">项目概况：</w:t>
      </w:r>
      <w:r>
        <w:rPr>
          <w:rFonts w:hint="eastAsia" w:ascii="宋体" w:hAnsi="宋体"/>
          <w:sz w:val="21"/>
          <w:szCs w:val="21"/>
          <w:highlight w:val="none"/>
          <w:u w:val="single"/>
        </w:rPr>
        <w:t xml:space="preserve"> </w:t>
      </w:r>
      <w:r>
        <w:rPr>
          <w:rFonts w:ascii="宋体" w:hAnsi="宋体"/>
          <w:sz w:val="21"/>
          <w:szCs w:val="21"/>
          <w:highlight w:val="none"/>
          <w:u w:val="single"/>
        </w:rPr>
        <w:t xml:space="preserve">2026年度环境空气（噪声）质量保障项目 </w:t>
      </w:r>
      <w:r>
        <w:rPr>
          <w:rFonts w:hint="eastAsia" w:ascii="宋体" w:hAnsi="宋体"/>
          <w:sz w:val="21"/>
          <w:szCs w:val="21"/>
          <w:highlight w:val="none"/>
        </w:rPr>
        <w:t xml:space="preserve">招标项目的潜在投标人应在</w:t>
      </w:r>
      <w:r>
        <w:rPr>
          <w:rFonts w:hint="eastAsia" w:ascii="宋体" w:hAnsi="宋体"/>
          <w:sz w:val="21"/>
          <w:szCs w:val="21"/>
          <w:highlight w:val="none"/>
          <w:u w:val="single"/>
        </w:rPr>
        <w:t xml:space="preserve"> 苏采云系统 </w:t>
      </w:r>
      <w:r>
        <w:rPr>
          <w:rFonts w:hint="eastAsia" w:ascii="宋体" w:hAnsi="宋体"/>
          <w:sz w:val="21"/>
          <w:szCs w:val="21"/>
          <w:highlight w:val="none"/>
        </w:rPr>
        <w:t xml:space="preserve">获取招标文件，并</w:t>
      </w:r>
      <w:r>
        <w:rPr>
          <w:rFonts w:hint="eastAsia" w:ascii="宋体" w:hAnsi="宋体"/>
          <w:sz w:val="21"/>
          <w:szCs w:val="21"/>
          <w:highlight w:val="none"/>
        </w:rPr>
        <w:t xml:space="preserve">于</w:t>
      </w:r>
      <w:r>
        <w:rPr>
          <w:rFonts w:hint="eastAsia" w:ascii="宋体" w:hAnsi="宋体"/>
          <w:sz w:val="21"/>
          <w:szCs w:val="21"/>
          <w:highlight w:val="none"/>
          <w:u w:val="single"/>
        </w:rPr>
        <w:t xml:space="preserve">2026年5月29日</w:t>
      </w:r>
      <w:r>
        <w:rPr>
          <w:rFonts w:hint="eastAsia" w:ascii="宋体" w:hAnsi="宋体"/>
          <w:sz w:val="21"/>
          <w:szCs w:val="21"/>
          <w:highlight w:val="none"/>
          <w:u w:val="single"/>
        </w:rPr>
        <w:t xml:space="preserve">9点30分（北京时间）</w:t>
      </w:r>
      <w:r>
        <w:rPr>
          <w:rFonts w:hint="eastAsia" w:ascii="宋体" w:hAnsi="宋体"/>
          <w:sz w:val="21"/>
          <w:szCs w:val="21"/>
          <w:highlight w:val="none"/>
        </w:rPr>
        <w:t xml:space="preserve">前递交投标文件。</w:t>
      </w:r>
      <w:r>
        <w:rPr>
          <w:highlight w:val="none"/>
        </w:rPr>
      </w:r>
      <w:r>
        <w:rPr>
          <w:highlight w:val="none"/>
        </w:rPr>
      </w:r>
    </w:p>
    <w:p>
      <w:pPr>
        <w:pStyle w:val="895"/>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1.项目编号：</w:t>
      </w:r>
      <w:r>
        <w:rPr>
          <w:rFonts w:ascii="宋体" w:hAnsi="宋体"/>
          <w:sz w:val="21"/>
          <w:szCs w:val="21"/>
          <w:highlight w:val="none"/>
        </w:rPr>
        <w:t xml:space="preserve">JSZC-320507-SZGZ-G2026-0023</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w:t>
      </w:r>
      <w:r>
        <w:rPr>
          <w:rFonts w:ascii="宋体" w:hAnsi="宋体" w:cs="Segoe UI"/>
          <w:sz w:val="21"/>
          <w:szCs w:val="21"/>
          <w:highlight w:val="none"/>
        </w:rPr>
        <w:t xml:space="preserve">2026年度环境空气（噪声）质量保障项目</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4.采购预算：人民币贰佰零玖万元整（¥</w:t>
      </w:r>
      <w:r>
        <w:rPr>
          <w:rFonts w:ascii="宋体" w:hAnsi="宋体"/>
          <w:sz w:val="21"/>
          <w:szCs w:val="21"/>
          <w:highlight w:val="none"/>
        </w:rPr>
        <w:t xml:space="preserve">209</w:t>
      </w:r>
      <w:r>
        <w:rPr>
          <w:rFonts w:hint="eastAsia" w:ascii="宋体" w:hAnsi="宋体"/>
          <w:sz w:val="21"/>
          <w:szCs w:val="21"/>
          <w:highlight w:val="none"/>
        </w:rPr>
        <w:t xml:space="preserve">0000.00）</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5</w:t>
      </w:r>
      <w:r>
        <w:rPr>
          <w:rFonts w:ascii="宋体" w:hAnsi="宋体"/>
          <w:sz w:val="21"/>
          <w:szCs w:val="21"/>
          <w:highlight w:val="none"/>
        </w:rPr>
        <w:t xml:space="preserve">.</w:t>
      </w:r>
      <w:r>
        <w:rPr>
          <w:rFonts w:hint="eastAsia" w:ascii="宋体" w:hAnsi="宋体"/>
          <w:sz w:val="21"/>
          <w:szCs w:val="21"/>
          <w:highlight w:val="none"/>
        </w:rPr>
        <w:t xml:space="preserve">最高限价：人民币贰佰零玖万元整（¥</w:t>
      </w:r>
      <w:r>
        <w:rPr>
          <w:rFonts w:ascii="宋体" w:hAnsi="宋体"/>
          <w:sz w:val="21"/>
          <w:szCs w:val="21"/>
          <w:highlight w:val="none"/>
        </w:rPr>
        <w:t xml:space="preserve">209</w:t>
      </w:r>
      <w:r>
        <w:rPr>
          <w:rFonts w:hint="eastAsia" w:ascii="宋体" w:hAnsi="宋体"/>
          <w:sz w:val="21"/>
          <w:szCs w:val="21"/>
          <w:highlight w:val="none"/>
        </w:rPr>
        <w:t xml:space="preserve">0000.00）</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其中：</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一标段预算金额：人民币壹佰陆拾叁万元整（￥</w:t>
      </w:r>
      <w:r>
        <w:rPr>
          <w:rFonts w:ascii="宋体" w:hAnsi="宋体"/>
          <w:sz w:val="21"/>
          <w:szCs w:val="21"/>
          <w:highlight w:val="none"/>
        </w:rPr>
        <w:t xml:space="preserve">163</w:t>
      </w:r>
      <w:r>
        <w:rPr>
          <w:rFonts w:hint="eastAsia" w:ascii="宋体" w:hAnsi="宋体"/>
          <w:sz w:val="21"/>
          <w:szCs w:val="21"/>
          <w:highlight w:val="none"/>
        </w:rPr>
        <w:t xml:space="preserve">0000.00）</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二标段预算金额：人民币肆拾陆万元整（￥</w:t>
      </w:r>
      <w:r>
        <w:rPr>
          <w:rFonts w:ascii="宋体" w:hAnsi="宋体"/>
          <w:sz w:val="21"/>
          <w:szCs w:val="21"/>
          <w:highlight w:val="none"/>
        </w:rPr>
        <w:t xml:space="preserve">46</w:t>
      </w:r>
      <w:r>
        <w:rPr>
          <w:rFonts w:hint="eastAsia" w:ascii="宋体" w:hAnsi="宋体"/>
          <w:sz w:val="21"/>
          <w:szCs w:val="21"/>
          <w:highlight w:val="none"/>
        </w:rPr>
        <w:t xml:space="preserve">0000.00）</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6</w:t>
      </w:r>
      <w:r>
        <w:rPr>
          <w:rFonts w:ascii="宋体" w:hAnsi="宋体"/>
          <w:sz w:val="21"/>
          <w:szCs w:val="21"/>
          <w:highlight w:val="none"/>
        </w:rPr>
        <w:t xml:space="preserve">.</w:t>
      </w:r>
      <w:r>
        <w:rPr>
          <w:rFonts w:hint="eastAsia" w:ascii="宋体" w:hAnsi="宋体"/>
          <w:sz w:val="21"/>
          <w:szCs w:val="21"/>
          <w:highlight w:val="none"/>
        </w:rPr>
        <w:t xml:space="preserve">服务期限：自合同签订之日起一年。</w:t>
      </w:r>
      <w:r>
        <w:rPr>
          <w:highlight w:val="none"/>
        </w:rPr>
      </w:r>
    </w:p>
    <w:p>
      <w:pPr>
        <w:pStyle w:val="895"/>
        <w:ind w:left="0" w:firstLine="420"/>
        <w:spacing w:line="360" w:lineRule="auto"/>
        <w:rPr>
          <w:rFonts w:ascii="宋体" w:hAnsi="宋体"/>
          <w:sz w:val="21"/>
          <w:szCs w:val="21"/>
          <w:highlight w:val="none"/>
        </w:rPr>
      </w:pPr>
      <w:r>
        <w:rPr>
          <w:rFonts w:ascii="宋体" w:hAnsi="宋体"/>
          <w:sz w:val="21"/>
          <w:szCs w:val="21"/>
          <w:highlight w:val="none"/>
        </w:rPr>
        <w:t xml:space="preserve">7</w:t>
      </w:r>
      <w:r>
        <w:rPr>
          <w:rFonts w:hint="eastAsia" w:ascii="宋体" w:hAnsi="宋体"/>
          <w:sz w:val="21"/>
          <w:szCs w:val="21"/>
          <w:highlight w:val="none"/>
        </w:rPr>
        <w:t xml:space="preserve">.采购需求：</w:t>
      </w:r>
      <w:r>
        <w:rPr>
          <w:highlight w:val="none"/>
        </w:rPr>
      </w:r>
    </w:p>
    <w:p>
      <w:pPr>
        <w:pStyle w:val="895"/>
        <w:ind w:left="0" w:firstLine="420"/>
        <w:spacing w:line="360" w:lineRule="auto"/>
        <w:rPr>
          <w:highlight w:val="none"/>
        </w:rPr>
      </w:pPr>
      <w:r>
        <w:rPr>
          <w:rFonts w:hint="eastAsia" w:ascii="宋体" w:hAnsi="宋体"/>
          <w:sz w:val="21"/>
          <w:szCs w:val="21"/>
          <w:highlight w:val="none"/>
        </w:rPr>
        <w:t xml:space="preserve">一标段：保障空气（噪声）污染防治目标及任务顺利完成，推进我区空气（声）环境质量改善，提升科学治理水平。</w:t>
      </w:r>
      <w:r>
        <w:rPr>
          <w:rFonts w:hint="eastAsia" w:ascii="宋体" w:hAnsi="宋体"/>
          <w:sz w:val="21"/>
          <w:szCs w:val="21"/>
          <w:highlight w:val="none"/>
        </w:rPr>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二标段：围绕国控站点周边重点区域，进一步提升大气污染防治监管能力，采购高空高清摄像头视频数据服务、无人机巡飞巡查服务及相关配套服务。</w:t>
      </w:r>
      <w:r>
        <w:rPr>
          <w:rFonts w:hint="eastAsia" w:ascii="宋体" w:hAnsi="宋体"/>
          <w:sz w:val="21"/>
          <w:szCs w:val="21"/>
          <w:highlight w:val="none"/>
        </w:rPr>
      </w:r>
      <w:r>
        <w:rPr>
          <w:highlight w:val="none"/>
        </w:rPr>
      </w:r>
    </w:p>
    <w:p>
      <w:pPr>
        <w:pStyle w:val="895"/>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二、供应商的资格要求 </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rPr>
          <w:highlight w:val="none"/>
        </w:rPr>
      </w:r>
    </w:p>
    <w:p>
      <w:pPr>
        <w:ind w:left="0" w:firstLine="42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2、本项目的特定资格要求： </w:t>
      </w:r>
      <w:r>
        <w:rPr>
          <w:highlight w:val="none"/>
        </w:rPr>
      </w:r>
    </w:p>
    <w:p>
      <w:pPr>
        <w:ind w:left="0" w:firstLine="42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（1）本项目不接受联合体投标；</w:t>
      </w:r>
      <w:r>
        <w:rPr>
          <w:highlight w:val="none"/>
        </w:rPr>
      </w:r>
    </w:p>
    <w:p>
      <w:pPr>
        <w:ind w:left="0" w:firstLine="42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2）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rPr>
          <w:highlight w:val="none"/>
        </w:rPr>
      </w:r>
    </w:p>
    <w:p>
      <w:pPr>
        <w:ind w:left="0" w:firstLine="42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（3）本项目的特定资格要求：公益一类事业单位、使用事业编制且由财政拨款保障的群团组织，不作为政府购买服务的购买主体和承接主体。</w:t>
      </w:r>
      <w:r>
        <w:rPr>
          <w:highlight w:val="none"/>
        </w:rPr>
      </w:r>
    </w:p>
    <w:p>
      <w:pPr>
        <w:pStyle w:val="895"/>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注：</w:t>
      </w:r>
      <w:r>
        <w:rPr>
          <w:highlight w:val="none"/>
        </w:rPr>
      </w:r>
    </w:p>
    <w:p>
      <w:pPr>
        <w:pStyle w:val="895"/>
        <w:ind w:left="0" w:firstLine="420"/>
        <w:spacing w:line="360" w:lineRule="auto"/>
        <w:rPr>
          <w:rFonts w:ascii="宋体" w:hAnsi="宋体"/>
          <w:sz w:val="21"/>
          <w:szCs w:val="21"/>
          <w:highlight w:val="none"/>
        </w:rPr>
      </w:pPr>
      <w:r>
        <w:rPr>
          <w:rFonts w:hint="eastAsia" w:ascii="宋体" w:hAnsi="宋体" w:cs="Times New Roman"/>
          <w:sz w:val="21"/>
          <w:szCs w:val="21"/>
          <w:highlight w:val="none"/>
        </w:rPr>
        <w:t xml:space="preserve">（1）</w:t>
      </w:r>
      <w:r>
        <w:rPr>
          <w:rFonts w:hint="eastAsia" w:ascii="宋体" w:hAnsi="宋体"/>
          <w:sz w:val="21"/>
          <w:szCs w:val="21"/>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p>
    <w:p>
      <w:pPr>
        <w:pStyle w:val="895"/>
        <w:ind w:left="0" w:firstLine="42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（2）投标</w:t>
      </w:r>
      <w:r>
        <w:rPr>
          <w:rFonts w:hint="eastAsia" w:ascii="宋体" w:hAnsi="宋体" w:cs="Times New Roman"/>
          <w:sz w:val="21"/>
          <w:szCs w:val="21"/>
          <w:highlight w:val="none"/>
        </w:rPr>
        <w:t xml:space="preserve">单位可以同时申请选择</w:t>
      </w:r>
      <w:r>
        <w:rPr>
          <w:rFonts w:ascii="宋体" w:hAnsi="宋体" w:cs="Segoe UI"/>
          <w:sz w:val="21"/>
          <w:szCs w:val="21"/>
          <w:highlight w:val="none"/>
        </w:rPr>
        <w:t xml:space="preserve">2026年度环境空气（噪声）质量保障项目</w:t>
      </w:r>
      <w:r>
        <w:rPr>
          <w:rFonts w:hint="eastAsia" w:ascii="宋体" w:hAnsi="宋体" w:cs="Times New Roman"/>
          <w:sz w:val="21"/>
          <w:szCs w:val="21"/>
          <w:highlight w:val="none"/>
        </w:rPr>
        <w:t xml:space="preserve">一标段、二标段投标</w:t>
      </w:r>
      <w:r>
        <w:rPr>
          <w:rFonts w:hint="eastAsia" w:ascii="宋体" w:hAnsi="宋体" w:cs="Times New Roman"/>
          <w:sz w:val="21"/>
          <w:szCs w:val="21"/>
          <w:highlight w:val="none"/>
        </w:rPr>
        <w:t xml:space="preserve">，但只能中一个标段，不得同时中两个标段，按先开先中原则，中标顺序：一标段、二标段。</w:t>
      </w:r>
      <w:r>
        <w:rPr>
          <w:highlight w:val="none"/>
        </w:rPr>
      </w:r>
    </w:p>
    <w:p>
      <w:pPr>
        <w:pStyle w:val="895"/>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rPr>
          <w:highlight w:val="none"/>
        </w:rPr>
      </w:r>
    </w:p>
    <w:p>
      <w:pPr>
        <w:pStyle w:val="895"/>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bookmarkStart w:id="6" w:name="_GoBack"/>
      <w:r>
        <w:rPr>
          <w:highlight w:val="none"/>
        </w:rPr>
      </w:r>
      <w:bookmarkEnd w:id="6"/>
      <w:r>
        <w:rPr>
          <w:highlight w:val="none"/>
        </w:rPr>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2.地点：苏州市政府采购网自行下载</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w:t>
      </w:r>
      <w:r>
        <w:rPr>
          <w:rFonts w:ascii="SimSun" w:hAnsi="SimSun" w:eastAsia="SimSun" w:cs="SimSun"/>
          <w:b/>
          <w:color w:val="000000"/>
          <w:sz w:val="21"/>
          <w:highlight w:val="none"/>
        </w:rPr>
        <w:t xml:space="preserve">苏州市高新区邓尉路105号狮山科技馆一楼服务大厅，电话：0512-65737699。</w:t>
      </w:r>
      <w:r>
        <w:rPr>
          <w:rFonts w:hint="eastAsia" w:ascii="宋体" w:hAnsi="宋体"/>
          <w:sz w:val="21"/>
          <w:szCs w:val="21"/>
          <w:highlight w:val="none"/>
        </w:rPr>
      </w:r>
      <w:r>
        <w:rPr>
          <w:highlight w:val="none"/>
        </w:rPr>
      </w:r>
    </w:p>
    <w:p>
      <w:pPr>
        <w:pStyle w:val="895"/>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rPr>
          <w:highlight w:val="none"/>
        </w:rPr>
      </w:r>
    </w:p>
    <w:p>
      <w:pPr>
        <w:pStyle w:val="895"/>
        <w:ind w:left="0" w:firstLine="420"/>
        <w:jc w:val="left"/>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18261002950</w:t>
      </w:r>
      <w:r>
        <w:rPr>
          <w:rFonts w:hint="eastAsia" w:ascii="宋体" w:hAnsi="宋体"/>
          <w:sz w:val="21"/>
          <w:szCs w:val="21"/>
          <w:highlight w:val="none"/>
        </w:rPr>
        <w:t xml:space="preserve">；</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系统使用指导与咨询：联系电话：18261002950；QQ：3048755361、1315179389、895706745。</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rPr>
          <w:highlight w:val="none"/>
        </w:rPr>
      </w:r>
    </w:p>
    <w:p>
      <w:pPr>
        <w:pStyle w:val="895"/>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rPr>
        <w:t xml:space="preserve">：</w:t>
      </w:r>
      <w:r>
        <w:rPr>
          <w:rFonts w:hint="eastAsia" w:ascii="宋体" w:hAnsi="宋体"/>
          <w:sz w:val="21"/>
          <w:szCs w:val="21"/>
          <w:highlight w:val="none"/>
          <w:u w:val="single"/>
        </w:rPr>
        <w:t xml:space="preserve">2026年</w:t>
      </w:r>
      <w:r>
        <w:rPr>
          <w:rFonts w:ascii="宋体" w:hAnsi="宋体"/>
          <w:sz w:val="21"/>
          <w:szCs w:val="21"/>
          <w:highlight w:val="none"/>
          <w:u w:val="single"/>
        </w:rPr>
        <w:t xml:space="preserve">5</w:t>
      </w:r>
      <w:r>
        <w:rPr>
          <w:rFonts w:hint="eastAsia" w:ascii="宋体" w:hAnsi="宋体"/>
          <w:sz w:val="21"/>
          <w:szCs w:val="21"/>
          <w:highlight w:val="none"/>
          <w:u w:val="single"/>
        </w:rPr>
        <w:t xml:space="preserve">月</w:t>
      </w:r>
      <w:r>
        <w:rPr>
          <w:rFonts w:ascii="宋体" w:hAnsi="宋体"/>
          <w:sz w:val="21"/>
          <w:szCs w:val="21"/>
          <w:highlight w:val="none"/>
          <w:u w:val="single"/>
        </w:rPr>
        <w:t xml:space="preserve">29</w:t>
      </w:r>
      <w:r>
        <w:rPr>
          <w:rFonts w:hint="eastAsia" w:ascii="宋体" w:hAnsi="宋体"/>
          <w:sz w:val="21"/>
          <w:szCs w:val="21"/>
          <w:highlight w:val="none"/>
          <w:u w:val="single"/>
        </w:rPr>
        <w:t xml:space="preserve">日</w:t>
      </w:r>
      <w:r>
        <w:rPr>
          <w:rFonts w:ascii="宋体" w:hAnsi="宋体"/>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sz w:val="21"/>
          <w:szCs w:val="21"/>
          <w:highlight w:val="none"/>
        </w:rPr>
        <w:t xml:space="preserve">（北京时间）；</w:t>
      </w:r>
      <w:r>
        <w:rPr>
          <w:rFonts w:ascii="宋体" w:hAnsi="宋体"/>
          <w:sz w:val="21"/>
          <w:szCs w:val="21"/>
          <w:highlight w:val="none"/>
        </w:rPr>
        <w:t xml:space="preserve"> </w:t>
      </w:r>
      <w:r>
        <w:rPr>
          <w:highlight w:val="none"/>
        </w:rPr>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u w:val="single"/>
        </w:rPr>
        <w:t xml:space="preserve">2026年</w:t>
      </w:r>
      <w:r>
        <w:rPr>
          <w:rFonts w:ascii="宋体" w:hAnsi="宋体"/>
          <w:sz w:val="21"/>
          <w:szCs w:val="21"/>
          <w:highlight w:val="none"/>
          <w:u w:val="single"/>
        </w:rPr>
        <w:t xml:space="preserve">5</w:t>
      </w:r>
      <w:r>
        <w:rPr>
          <w:rFonts w:hint="eastAsia" w:ascii="宋体" w:hAnsi="宋体"/>
          <w:sz w:val="21"/>
          <w:szCs w:val="21"/>
          <w:highlight w:val="none"/>
          <w:u w:val="single"/>
        </w:rPr>
        <w:t xml:space="preserve">月</w:t>
      </w:r>
      <w:r>
        <w:rPr>
          <w:rFonts w:ascii="宋体" w:hAnsi="宋体"/>
          <w:sz w:val="21"/>
          <w:szCs w:val="21"/>
          <w:highlight w:val="none"/>
          <w:u w:val="single"/>
        </w:rPr>
        <w:t xml:space="preserve">29</w:t>
      </w:r>
      <w:r>
        <w:rPr>
          <w:rFonts w:hint="eastAsia" w:ascii="宋体" w:hAnsi="宋体"/>
          <w:sz w:val="21"/>
          <w:szCs w:val="21"/>
          <w:highlight w:val="none"/>
          <w:u w:val="single"/>
        </w:rPr>
        <w:t xml:space="preserve">日</w:t>
      </w:r>
      <w:r>
        <w:rPr>
          <w:rFonts w:ascii="宋体" w:hAnsi="宋体"/>
          <w:sz w:val="21"/>
          <w:szCs w:val="21"/>
          <w:highlight w:val="none"/>
          <w:u w:val="single"/>
        </w:rPr>
        <w:t xml:space="preserve">9</w:t>
      </w:r>
      <w:r>
        <w:rPr>
          <w:rFonts w:hint="eastAsia" w:ascii="宋体" w:hAnsi="宋体"/>
          <w:sz w:val="21"/>
          <w:szCs w:val="21"/>
          <w:highlight w:val="none"/>
          <w:u w:val="single"/>
        </w:rPr>
        <w:t xml:space="preserve">点30分</w:t>
      </w:r>
      <w:r>
        <w:rPr>
          <w:rFonts w:hint="eastAsia" w:ascii="宋体" w:hAnsi="宋体"/>
          <w:sz w:val="21"/>
          <w:szCs w:val="21"/>
          <w:highlight w:val="none"/>
        </w:rPr>
        <w:t xml:space="preserve">（北京时间）；</w:t>
      </w:r>
      <w:r>
        <w:rPr>
          <w:highlight w:val="none"/>
        </w:rPr>
      </w:r>
      <w:r>
        <w:rPr>
          <w:highlight w:val="none"/>
        </w:rPr>
      </w:r>
    </w:p>
    <w:p>
      <w:pPr>
        <w:pStyle w:val="895"/>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w:t>
      </w:r>
      <w:r>
        <w:rPr>
          <w:rFonts w:ascii="宋体" w:hAnsi="宋体"/>
          <w:sz w:val="21"/>
          <w:szCs w:val="21"/>
          <w:highlight w:val="none"/>
        </w:rPr>
        <w:t xml:space="preserve">zt.cn/</w:t>
      </w:r>
      <w:r>
        <w:rPr>
          <w:rFonts w:hint="eastAsia" w:ascii="宋体" w:hAnsi="宋体"/>
          <w:sz w:val="21"/>
          <w:szCs w:val="21"/>
          <w:highlight w:val="none"/>
        </w:rPr>
        <w:t xml:space="preserve">）</w:t>
      </w:r>
      <w:r>
        <w:rPr>
          <w:highlight w:val="none"/>
        </w:rPr>
      </w:r>
    </w:p>
    <w:p>
      <w:pPr>
        <w:pStyle w:val="895"/>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rPr>
          <w:highlight w:val="none"/>
        </w:rPr>
      </w:r>
    </w:p>
    <w:p>
      <w:pPr>
        <w:pStyle w:val="895"/>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highlight w:val="none"/>
        </w:rPr>
      </w:r>
    </w:p>
    <w:p>
      <w:pPr>
        <w:pStyle w:val="895"/>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rPr>
          <w:highlight w:val="none"/>
        </w:rPr>
      </w:r>
    </w:p>
    <w:p>
      <w:pPr>
        <w:pStyle w:val="895"/>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rPr>
          <w:highlight w:val="none"/>
        </w:rPr>
      </w:r>
    </w:p>
    <w:p>
      <w:pPr>
        <w:pStyle w:val="895"/>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六、其他补充事宜</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1、本项目获取招标文件截止日期之后仍可以下载招标文件，但截止日期之后下载的招标文件，视为非有效方式且不作为供应商权益受到损害的证明材料和依据。</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2、政府采购监督电话：0512-67591006、0512-67591005。</w:t>
      </w:r>
      <w:r>
        <w:rPr>
          <w:highlight w:val="none"/>
        </w:rPr>
      </w:r>
    </w:p>
    <w:p>
      <w:pPr>
        <w:pStyle w:val="895"/>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、本次采购的有关信息将在苏州市政府采购网、江苏政府采购网上发布；有关该采购项目的澄清、修正及中标等信息亦在以上网站发布，敬请留意。</w:t>
      </w:r>
      <w:r>
        <w:rPr>
          <w:highlight w:val="none"/>
        </w:rPr>
      </w:r>
    </w:p>
    <w:p>
      <w:pPr>
        <w:pStyle w:val="895"/>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七、对本次征集提出询问，请按以下方式联系</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1.招标单位信息 </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名称：苏州市相城生态环境局</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地址：苏州市相城区阳澄湖东路8号</w:t>
      </w:r>
      <w:r>
        <w:rPr>
          <w:highlight w:val="none"/>
        </w:rPr>
      </w:r>
    </w:p>
    <w:p>
      <w:pPr>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联系人：邱攀</w:t>
      </w:r>
      <w:r>
        <w:rPr>
          <w:highlight w:val="none"/>
        </w:rPr>
      </w:r>
    </w:p>
    <w:p>
      <w:pPr>
        <w:pStyle w:val="895"/>
        <w:ind w:left="0" w:firstLine="420"/>
        <w:spacing w:line="360" w:lineRule="auto"/>
        <w:rPr>
          <w:rFonts w:ascii="宋体" w:hAnsi="宋体"/>
          <w:sz w:val="21"/>
          <w:szCs w:val="21"/>
          <w:highlight w:val="none"/>
        </w:rPr>
      </w:pPr>
      <w:r>
        <w:rPr>
          <w:rFonts w:hint="eastAsia" w:ascii="宋体" w:hAnsi="宋体" w:cs="Times New Roman"/>
          <w:sz w:val="21"/>
          <w:szCs w:val="21"/>
          <w:highlight w:val="none"/>
        </w:rPr>
        <w:t xml:space="preserve">联系电话：0512-85182768</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2.采购代理机构信息 </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名称：苏州公正建设咨询房地产评估有限公司</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地址：苏州市相城区华元路1902号2幢东楼2楼 </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联系人：沈燕、项陈、杨富珍</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联系电话：0512-67913588-6001</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3.项目联系方式</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项目联系人：沈燕、项陈、杨富珍</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联系电话：0512-67913588-6001</w:t>
      </w:r>
      <w:r>
        <w:rPr>
          <w:highlight w:val="none"/>
        </w:rPr>
      </w:r>
    </w:p>
    <w:p>
      <w:pPr>
        <w:ind w:left="0" w:firstLine="420"/>
        <w:spacing w:line="460" w:lineRule="exact"/>
        <w:rPr>
          <w:rFonts w:ascii="宋体" w:hAnsi="宋体"/>
          <w:sz w:val="21"/>
          <w:szCs w:val="21"/>
          <w:highlight w:val="none"/>
        </w:rPr>
      </w:pPr>
      <w:r>
        <w:rPr>
          <w:rFonts w:ascii="宋体" w:hAnsi="宋体"/>
          <w:sz w:val="21"/>
          <w:szCs w:val="21"/>
          <w:highlight w:val="none"/>
        </w:rPr>
      </w:r>
      <w:r>
        <w:rPr>
          <w:highlight w:val="none"/>
        </w:rPr>
      </w:r>
    </w:p>
    <w:p>
      <w:pPr>
        <w:ind w:left="0" w:firstLine="420"/>
        <w:spacing w:line="460" w:lineRule="exact"/>
        <w:rPr>
          <w:rFonts w:ascii="宋体" w:hAnsi="宋体"/>
          <w:sz w:val="21"/>
          <w:szCs w:val="21"/>
          <w:highlight w:val="none"/>
        </w:rPr>
      </w:pPr>
      <w:r>
        <w:rPr>
          <w:rFonts w:ascii="宋体" w:hAnsi="宋体"/>
          <w:sz w:val="21"/>
          <w:szCs w:val="21"/>
          <w:highlight w:val="none"/>
        </w:rPr>
      </w:r>
      <w:r>
        <w:rPr>
          <w:highlight w:val="none"/>
        </w:rPr>
      </w:r>
    </w:p>
    <w:p>
      <w:pPr>
        <w:shd w:val="nil" w:color="auto"/>
        <w:rPr>
          <w:rFonts w:ascii="宋体" w:hAnsi="宋体"/>
          <w:b/>
          <w:bCs/>
          <w:sz w:val="44"/>
          <w:szCs w:val="44"/>
          <w:highlight w:val="none"/>
        </w:rPr>
      </w:pPr>
      <w:r>
        <w:rPr>
          <w:highlight w:val="none"/>
        </w:rPr>
        <w:br w:type="page" w:clear="all"/>
      </w:r>
      <w:r>
        <w:rPr>
          <w:highlight w:val="none"/>
        </w:rPr>
      </w:r>
      <w:r>
        <w:rPr>
          <w:highlight w:val="none"/>
        </w:rPr>
      </w:r>
    </w:p>
    <w:p>
      <w:pPr>
        <w:pStyle w:val="877"/>
        <w:ind w:left="0" w:firstLine="0"/>
        <w:jc w:val="center"/>
        <w:spacing w:line="240" w:lineRule="auto"/>
        <w:rPr>
          <w:highlight w:val="none"/>
        </w:rPr>
      </w:pPr>
      <w:r>
        <w:rPr>
          <w:highlight w:val="none"/>
        </w:rPr>
      </w:r>
      <w:bookmarkStart w:id="7" w:name="_Toc159146112"/>
      <w:r>
        <w:rPr>
          <w:highlight w:val="none"/>
        </w:rPr>
      </w:r>
      <w:bookmarkStart w:id="8" w:name="_Toc6217"/>
      <w:r>
        <w:rPr>
          <w:highlight w:val="none"/>
        </w:rPr>
      </w:r>
      <w:bookmarkStart w:id="9" w:name="_Toc2412"/>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10" w:name="投标人须知"/>
      <w:r>
        <w:rPr>
          <w:highlight w:val="none"/>
        </w:rPr>
      </w:r>
      <w:bookmarkEnd w:id="10"/>
      <w:r>
        <w:rPr>
          <w:rFonts w:ascii="宋体" w:hAnsi="宋体"/>
          <w:b/>
          <w:sz w:val="44"/>
          <w:szCs w:val="22"/>
          <w:highlight w:val="none"/>
        </w:rPr>
        <w:t xml:space="preserve">投标人须知</w:t>
      </w:r>
      <w:bookmarkEnd w:id="7"/>
      <w:r>
        <w:rPr>
          <w:highlight w:val="none"/>
        </w:rPr>
      </w:r>
      <w:bookmarkEnd w:id="8"/>
      <w:r>
        <w:rPr>
          <w:highlight w:val="none"/>
        </w:rPr>
      </w:r>
      <w:bookmarkEnd w:id="9"/>
      <w:r>
        <w:rPr>
          <w:highlight w:val="none"/>
        </w:rPr>
      </w:r>
      <w:r>
        <w:rPr>
          <w:highlight w:val="none"/>
        </w:rPr>
      </w:r>
    </w:p>
    <w:p>
      <w:pPr>
        <w:pStyle w:val="895"/>
        <w:ind w:left="0" w:firstLine="422"/>
        <w:spacing w:line="360" w:lineRule="auto"/>
        <w:rPr>
          <w:rFonts w:ascii="宋体" w:hAnsi="宋体"/>
          <w:b/>
          <w:sz w:val="21"/>
          <w:szCs w:val="21"/>
          <w:highlight w:val="none"/>
        </w:rPr>
      </w:pPr>
      <w:r>
        <w:rPr>
          <w:highlight w:val="none"/>
        </w:rPr>
      </w:r>
      <w:bookmarkStart w:id="11" w:name="_Toc13437"/>
      <w:r>
        <w:rPr>
          <w:highlight w:val="none"/>
        </w:rPr>
      </w:r>
      <w:bookmarkStart w:id="12" w:name="_Toc20132"/>
      <w:r>
        <w:rPr>
          <w:rFonts w:hint="eastAsia" w:ascii="宋体" w:hAnsi="宋体"/>
          <w:b/>
          <w:sz w:val="21"/>
          <w:szCs w:val="21"/>
          <w:highlight w:val="none"/>
        </w:rPr>
        <w:t xml:space="preserve">一、说明和释义</w:t>
      </w:r>
      <w:bookmarkEnd w:id="11"/>
      <w:r>
        <w:rPr>
          <w:highlight w:val="none"/>
        </w:rPr>
      </w:r>
      <w:bookmarkEnd w:id="12"/>
      <w:r>
        <w:rPr>
          <w:highlight w:val="none"/>
        </w:rPr>
      </w:r>
      <w:r>
        <w:rPr>
          <w:highlight w:val="none"/>
        </w:rPr>
      </w:r>
    </w:p>
    <w:p>
      <w:pPr>
        <w:pStyle w:val="895"/>
        <w:ind w:left="0" w:firstLine="422"/>
        <w:spacing w:line="360" w:lineRule="auto"/>
        <w:rPr>
          <w:rFonts w:ascii="宋体" w:hAnsi="宋体"/>
          <w:b/>
          <w:sz w:val="21"/>
          <w:szCs w:val="21"/>
          <w:highlight w:val="none"/>
        </w:rPr>
      </w:pPr>
      <w:r>
        <w:rPr>
          <w:highlight w:val="none"/>
        </w:rPr>
      </w:r>
      <w:bookmarkStart w:id="13" w:name="_Toc9408"/>
      <w:r>
        <w:rPr>
          <w:rFonts w:hint="eastAsia" w:ascii="宋体" w:hAnsi="宋体"/>
          <w:b/>
          <w:sz w:val="21"/>
          <w:szCs w:val="21"/>
          <w:highlight w:val="none"/>
        </w:rPr>
        <w:t xml:space="preserve">1.说明</w:t>
      </w:r>
      <w:bookmarkEnd w:id="13"/>
      <w:r>
        <w:rPr>
          <w:highlight w:val="none"/>
        </w:rPr>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1.1本招标文件仅适用苏州公正建设咨询房地产评估有限公司组织的招标活动。</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1.3本招标文件的解释权属苏州公正建设咨询房地产评估有限公司。</w:t>
      </w:r>
      <w:r>
        <w:rPr>
          <w:highlight w:val="none"/>
        </w:rPr>
      </w:r>
    </w:p>
    <w:p>
      <w:pPr>
        <w:pStyle w:val="895"/>
        <w:ind w:left="0" w:firstLine="422"/>
        <w:spacing w:line="360" w:lineRule="auto"/>
        <w:rPr>
          <w:rFonts w:ascii="宋体" w:hAnsi="宋体"/>
          <w:b/>
          <w:sz w:val="21"/>
          <w:szCs w:val="21"/>
          <w:highlight w:val="none"/>
        </w:rPr>
      </w:pPr>
      <w:r>
        <w:rPr>
          <w:highlight w:val="none"/>
        </w:rPr>
      </w:r>
      <w:bookmarkStart w:id="14" w:name="_Toc27555"/>
      <w:r>
        <w:rPr>
          <w:rFonts w:hint="eastAsia" w:ascii="宋体" w:hAnsi="宋体"/>
          <w:b/>
          <w:sz w:val="21"/>
          <w:szCs w:val="21"/>
          <w:highlight w:val="none"/>
        </w:rPr>
        <w:t xml:space="preserve">2.词语释义</w:t>
      </w:r>
      <w:bookmarkEnd w:id="14"/>
      <w:r>
        <w:rPr>
          <w:highlight w:val="none"/>
        </w:rPr>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2.1 招标单位：指依法进行政府采购的国家机关、事业单位、团体组织。</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2.2采购代理机构：指依法接受招标单位委托，从事货物、工程和服务等政府采购业务的采购代理机构。本项目的采购代理机构是苏州公正建设咨询房地产评估有限公司。</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投标人：指投标招标、参加投标竞争的法人、其他组织或自然人。</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投标：投标人根据招标单位或采购代理机构发布的招标文件，编制投标文件并按规定投标的行为。</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甲方（招标单位）：指招标文件中载明的，依法进行政府采购的国家机关、事业单位、团体组织。</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乙方（供应商）：合同中规定的向招标单位提供货物和服务的法人或其他组织和自然人。</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5" w:name="_Toc13350"/>
      <w:r>
        <w:rPr>
          <w:highlight w:val="none"/>
        </w:rPr>
      </w:r>
      <w:bookmarkStart w:id="16" w:name="_Toc14976"/>
      <w:r>
        <w:rPr>
          <w:highlight w:val="none"/>
        </w:rPr>
      </w:r>
      <w:r>
        <w:rPr>
          <w:highlight w:val="none"/>
        </w:rPr>
      </w:r>
    </w:p>
    <w:p>
      <w:pPr>
        <w:pStyle w:val="895"/>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5"/>
      <w:r>
        <w:rPr>
          <w:highlight w:val="none"/>
        </w:rPr>
      </w:r>
      <w:bookmarkEnd w:id="16"/>
      <w:r>
        <w:rPr>
          <w:highlight w:val="none"/>
        </w:rPr>
      </w:r>
      <w:r>
        <w:rPr>
          <w:highlight w:val="none"/>
        </w:rPr>
      </w:r>
    </w:p>
    <w:p>
      <w:pPr>
        <w:pStyle w:val="895"/>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rPr>
          <w:highlight w:val="none"/>
        </w:rPr>
      </w:r>
    </w:p>
    <w:p>
      <w:pPr>
        <w:pStyle w:val="93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rPr>
          <w:highlight w:val="none"/>
        </w:rPr>
      </w:r>
    </w:p>
    <w:p>
      <w:pPr>
        <w:pStyle w:val="93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rPr>
          <w:highlight w:val="none"/>
        </w:rPr>
      </w:r>
    </w:p>
    <w:p>
      <w:pPr>
        <w:pStyle w:val="93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rPr>
          <w:highlight w:val="none"/>
        </w:rPr>
      </w:r>
    </w:p>
    <w:p>
      <w:pPr>
        <w:pStyle w:val="93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rPr>
          <w:highlight w:val="none"/>
        </w:rPr>
      </w:r>
    </w:p>
    <w:p>
      <w:pPr>
        <w:pStyle w:val="93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rPr>
          <w:highlight w:val="none"/>
        </w:rPr>
      </w:r>
    </w:p>
    <w:p>
      <w:pPr>
        <w:pStyle w:val="93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rPr>
          <w:highlight w:val="none"/>
        </w:rPr>
      </w:r>
    </w:p>
    <w:p>
      <w:pPr>
        <w:pStyle w:val="93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rPr>
          <w:highlight w:val="none"/>
        </w:rPr>
      </w:r>
    </w:p>
    <w:p>
      <w:pPr>
        <w:pStyle w:val="93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3.2落实政府采购政策需满足的资格要求：详见招标公告。</w:t>
      </w:r>
      <w:r>
        <w:rPr>
          <w:highlight w:val="none"/>
        </w:rPr>
      </w:r>
    </w:p>
    <w:p>
      <w:pPr>
        <w:pStyle w:val="93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3.3本项目的特定资格要求：详见招标公告。</w:t>
      </w:r>
      <w:r>
        <w:rPr>
          <w:highlight w:val="none"/>
        </w:rPr>
      </w:r>
    </w:p>
    <w:p>
      <w:pPr>
        <w:pStyle w:val="935"/>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rPr>
          <w:highlight w:val="none"/>
        </w:rPr>
      </w:r>
    </w:p>
    <w:p>
      <w:pPr>
        <w:pStyle w:val="93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rPr>
          <w:highlight w:val="none"/>
        </w:rPr>
      </w:r>
    </w:p>
    <w:p>
      <w:pPr>
        <w:pStyle w:val="935"/>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rPr>
          <w:highlight w:val="none"/>
        </w:rPr>
      </w:r>
    </w:p>
    <w:p>
      <w:pPr>
        <w:pStyle w:val="935"/>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rPr>
          <w:highlight w:val="none"/>
        </w:rPr>
      </w:r>
    </w:p>
    <w:p>
      <w:pPr>
        <w:pStyle w:val="895"/>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5.2本次招标活动招标单位和采购代理机构不收取标书工本费与中标服务费。</w:t>
      </w:r>
      <w:r>
        <w:rPr>
          <w:highlight w:val="none"/>
        </w:rPr>
      </w:r>
    </w:p>
    <w:p>
      <w:pPr>
        <w:pStyle w:val="895"/>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rPr>
          <w:highlight w:val="none"/>
        </w:rPr>
      </w:r>
    </w:p>
    <w:p>
      <w:pPr>
        <w:pStyle w:val="895"/>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rPr>
          <w:highlight w:val="none"/>
        </w:rPr>
      </w:r>
    </w:p>
    <w:p>
      <w:pPr>
        <w:pStyle w:val="895"/>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7" w:name="_Toc31958"/>
      <w:r>
        <w:rPr>
          <w:highlight w:val="none"/>
        </w:rPr>
      </w:r>
      <w:bookmarkStart w:id="18" w:name="_Toc5764"/>
      <w:r>
        <w:rPr>
          <w:highlight w:val="none"/>
        </w:rPr>
      </w:r>
      <w:r>
        <w:rPr>
          <w:highlight w:val="none"/>
        </w:rPr>
      </w:r>
    </w:p>
    <w:p>
      <w:pPr>
        <w:pStyle w:val="895"/>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rPr>
          <w:highlight w:val="none"/>
        </w:rPr>
      </w:r>
    </w:p>
    <w:p>
      <w:pPr>
        <w:pStyle w:val="895"/>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17"/>
      <w:r>
        <w:rPr>
          <w:highlight w:val="none"/>
        </w:rPr>
      </w:r>
      <w:bookmarkEnd w:id="18"/>
      <w:r>
        <w:rPr>
          <w:highlight w:val="none"/>
        </w:rPr>
      </w:r>
      <w:r>
        <w:rPr>
          <w:highlight w:val="none"/>
        </w:rPr>
      </w:r>
    </w:p>
    <w:p>
      <w:pPr>
        <w:pStyle w:val="895"/>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7.2招标文件及其补充通知（包括更正公告）不是直接从财政部门指定的政府采购信息发布媒体上下载获得的，招标单位或采购代理机构对招标文件及其补遗的真实性、完整性不承担任何责任。</w:t>
      </w:r>
      <w:r>
        <w:rPr>
          <w:highlight w:val="none"/>
        </w:rP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8.1招标单位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招标单位或者采购代理机构应当在投标截止时间至少15日前，并通过苏州市政府采购网对外进行发布；不足15日的，招标单位或者采购代理机构应当顺延提交投标文件的截止时间。</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招标公告”自行查看项目的补充通知（包括更正公告）。补充通知（包括更正公告）将作为招标文件的组成部分，对所有投标人有约束力。</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rPr>
          <w:highlight w:val="none"/>
        </w:rP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招标单位或采购代理机构向投标人提供的有关现场的资料和数据，是招标单位或采购代理机构现有的并认为能使投标人可利用的资料。招标单位或采购代理机构对投标人由此而做出的推论、理解和结论概不负责。</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9.3经招标单位允许，投标人可为勘察目的进入招标单位的项目现场，但投标人不得因此使招标单位承担有关的责任和蒙受损失。投标人应承担勘察现场的责任和风险。</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招标单位或采购代理机构提出任何索赔的要求，对此招标单位或采购代理机构不承担任何责任并将不作任何答复与考虑。</w:t>
      </w:r>
      <w:r>
        <w:rPr>
          <w:highlight w:val="none"/>
        </w:rP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rPr>
          <w:highlight w:val="none"/>
        </w:rPr>
      </w:r>
    </w:p>
    <w:p>
      <w:pPr>
        <w:pStyle w:val="895"/>
        <w:ind w:left="0" w:firstLine="420"/>
        <w:spacing w:line="360" w:lineRule="auto"/>
        <w:rPr>
          <w:rFonts w:ascii="宋体" w:hAnsi="宋体"/>
          <w:sz w:val="21"/>
          <w:szCs w:val="21"/>
          <w:highlight w:val="none"/>
        </w:rPr>
      </w:pPr>
      <w:r>
        <w:rPr>
          <w:highlight w:val="none"/>
        </w:rPr>
      </w:r>
      <w:bookmarkStart w:id="19" w:name="_Toc16745"/>
      <w:r>
        <w:rPr>
          <w:highlight w:val="none"/>
        </w:rPr>
      </w:r>
      <w:bookmarkStart w:id="20" w:name="_Toc19463"/>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招标单位、采购代理机构提出质疑。采购代理机构应当在收到投标人书面质疑后7个工作日内作出答复。</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rPr>
          <w:highlight w:val="none"/>
        </w:rPr>
      </w:r>
    </w:p>
    <w:p>
      <w:pPr>
        <w:pStyle w:val="895"/>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rPr>
          <w:highlight w:val="none"/>
        </w:rPr>
      </w:r>
    </w:p>
    <w:p>
      <w:pPr>
        <w:pStyle w:val="895"/>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highlight w:val="none"/>
        </w:rPr>
        <w:t xml:space="preserve">《投标供应商确认函》</w:t>
      </w:r>
      <w:r>
        <w:rPr>
          <w:rFonts w:hint="eastAsia" w:ascii="宋体" w:hAnsi="宋体"/>
          <w:sz w:val="21"/>
          <w:szCs w:val="21"/>
          <w:highlight w:val="none"/>
        </w:rPr>
        <w:t xml:space="preserve">）与质疑函一起递交，否则不予受理。</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rPr>
          <w:highlight w:val="none"/>
        </w:rPr>
      </w:r>
    </w:p>
    <w:p>
      <w:pPr>
        <w:pStyle w:val="895"/>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19"/>
      <w:r>
        <w:rPr>
          <w:highlight w:val="none"/>
        </w:rPr>
      </w:r>
      <w:bookmarkEnd w:id="20"/>
      <w:r>
        <w:rPr>
          <w:highlight w:val="none"/>
        </w:rPr>
      </w:r>
      <w:r>
        <w:rPr>
          <w:highlight w:val="none"/>
        </w:rPr>
      </w:r>
    </w:p>
    <w:p>
      <w:pPr>
        <w:pStyle w:val="895"/>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.1投标人应仔细阅读招标文件的所有内容，应当按照招标文件的要求编制投标文件，并保证所提供全部资料的真实性，以使其投标对招标文件作出实质性投标，否则，其投标可能被拒绝。</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rPr>
          <w:highlight w:val="none"/>
        </w:rPr>
      </w:r>
    </w:p>
    <w:p>
      <w:pPr>
        <w:pStyle w:val="895"/>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.2投标文件应使用中文编制，投标文件中必须使用其他文字的，必须附有中文译本。对于未附有中文译本和中文译本不准确的投标文件，由此可能引起的对投标人不利的后果，招标单位和采购代理机构概不负责。</w:t>
      </w:r>
      <w:r>
        <w:rPr>
          <w:highlight w:val="none"/>
        </w:rP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none"/>
        </w:rP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rPr>
          <w:highlight w:val="none"/>
        </w:rP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rPr>
          <w:highlight w:val="none"/>
        </w:rP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rPr>
          <w:highlight w:val="none"/>
        </w:rP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rPr>
          <w:highlight w:val="none"/>
        </w:rP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rPr>
          <w:highlight w:val="none"/>
        </w:rP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14.1.4.2投标人基本情况表（格式见第三章）；</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14.1.4.3投标人法定代表人身份证复印件；</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14.1.4.4法定代表人授权委托书（如有授权，格式见第三章）；</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14.1.4.5投标人授权代理人身份证复印件（如有授权）；</w:t>
      </w:r>
      <w:r>
        <w:rPr>
          <w:highlight w:val="none"/>
        </w:rPr>
      </w:r>
    </w:p>
    <w:p>
      <w:pPr>
        <w:pStyle w:val="895"/>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14.1.4.6具有独立承担民事责任的能力证明。包括法人或者其他组织的营业执照等证明文件，自然人的身份证明；</w:t>
      </w:r>
      <w:r>
        <w:rPr>
          <w:highlight w:val="none"/>
        </w:rPr>
      </w:r>
    </w:p>
    <w:p>
      <w:pPr>
        <w:pStyle w:val="935"/>
        <w:ind w:left="0" w:right="0" w:firstLine="420"/>
        <w:spacing w:before="0" w:after="0" w:line="360" w:lineRule="auto"/>
        <w:rPr>
          <w:rFonts w:ascii="宋体" w:hAnsi="宋体" w:cs="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7</w:t>
      </w:r>
      <w:r>
        <w:rPr>
          <w:rFonts w:hint="eastAsia" w:ascii="宋体" w:hAnsi="宋体" w:cs="宋体"/>
          <w:sz w:val="21"/>
          <w:szCs w:val="21"/>
          <w:highlight w:val="none"/>
        </w:rPr>
        <w:t xml:space="preserve">具有良好的商业信誉和健全的财务会计制度证明</w:t>
      </w:r>
      <w:r>
        <w:rPr>
          <w:rFonts w:hint="eastAsia" w:ascii="宋体" w:hAnsi="宋体" w:cs="宋体"/>
          <w:b/>
          <w:sz w:val="21"/>
          <w:szCs w:val="21"/>
          <w:highlight w:val="none"/>
        </w:rPr>
        <w:t xml:space="preserve">（法人应提供最近一期经会计师事务所审计的财务报告或财务报表（至少包含利润表、现金流量表、资产负债表），其他组织、自然人及成立未满一年的法人应提供银行出具的资信证明）；</w:t>
      </w:r>
      <w:r>
        <w:rPr>
          <w:highlight w:val="none"/>
        </w:rPr>
      </w:r>
    </w:p>
    <w:p>
      <w:pPr>
        <w:pStyle w:val="935"/>
        <w:ind w:left="0" w:right="0" w:firstLine="420"/>
        <w:spacing w:before="0" w:after="0" w:line="360" w:lineRule="auto"/>
        <w:rPr>
          <w:rFonts w:ascii="宋体" w:hAnsi="宋体" w:cs="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8</w:t>
      </w:r>
      <w:r>
        <w:rPr>
          <w:rFonts w:hint="eastAsia" w:ascii="宋体" w:hAnsi="宋体" w:cs="宋体"/>
          <w:sz w:val="21"/>
          <w:szCs w:val="21"/>
          <w:highlight w:val="none"/>
        </w:rPr>
        <w:t xml:space="preserve">具备履行合同所必需的设备和专业技术能力的证明材料或承诺；</w:t>
      </w:r>
      <w:r>
        <w:rPr>
          <w:highlight w:val="none"/>
        </w:rPr>
      </w:r>
    </w:p>
    <w:p>
      <w:pPr>
        <w:pStyle w:val="895"/>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9</w:t>
      </w:r>
      <w:r>
        <w:rPr>
          <w:rFonts w:hint="eastAsia" w:ascii="宋体" w:hAnsi="宋体"/>
          <w:sz w:val="21"/>
          <w:szCs w:val="21"/>
          <w:highlight w:val="none"/>
        </w:rPr>
        <w:t xml:space="preserve">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rPr>
          <w:highlight w:val="none"/>
        </w:rPr>
      </w:r>
    </w:p>
    <w:p>
      <w:pPr>
        <w:pStyle w:val="895"/>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10</w:t>
      </w:r>
      <w:r>
        <w:rPr>
          <w:rFonts w:hint="eastAsia" w:ascii="宋体" w:hAnsi="宋体"/>
          <w:sz w:val="21"/>
          <w:szCs w:val="21"/>
          <w:highlight w:val="none"/>
        </w:rPr>
        <w:t xml:space="preserve">参加政府采购活动前三年内在经营活动中没有重大违法记录的书面声明函；</w:t>
      </w:r>
      <w:r>
        <w:rPr>
          <w:highlight w:val="none"/>
        </w:rPr>
      </w:r>
    </w:p>
    <w:p>
      <w:pPr>
        <w:pStyle w:val="895"/>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11</w:t>
      </w:r>
      <w:r>
        <w:rPr>
          <w:rFonts w:hint="eastAsia" w:ascii="宋体" w:hAnsi="宋体"/>
          <w:sz w:val="21"/>
          <w:szCs w:val="21"/>
          <w:highlight w:val="none"/>
        </w:rPr>
        <w:t xml:space="preserve">投标保证承诺书。</w:t>
      </w:r>
      <w:r>
        <w:rPr>
          <w:highlight w:val="none"/>
        </w:rPr>
      </w:r>
    </w:p>
    <w:p>
      <w:pPr>
        <w:pStyle w:val="895"/>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12</w:t>
      </w:r>
      <w:r>
        <w:rPr>
          <w:rFonts w:hint="eastAsia" w:ascii="宋体" w:hAnsi="宋体"/>
          <w:sz w:val="21"/>
          <w:szCs w:val="21"/>
          <w:highlight w:val="none"/>
        </w:rPr>
        <w:t xml:space="preserve">《中小企业声明函》或《残疾人福利性单位声明函》或由省级以上监狱管理局、戒毒管理局（含新疆生产建设兵团）出具的属于监狱企业的证明文件；</w:t>
      </w:r>
      <w:r>
        <w:rPr>
          <w:highlight w:val="none"/>
        </w:rP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rPr>
          <w:highlight w:val="none"/>
        </w:rPr>
      </w:r>
    </w:p>
    <w:p>
      <w:pPr>
        <w:pStyle w:val="895"/>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5.1</w:t>
      </w:r>
      <w:r>
        <w:rPr>
          <w:rFonts w:hint="eastAsia" w:ascii="宋体" w:hAnsi="宋体"/>
          <w:sz w:val="21"/>
          <w:szCs w:val="21"/>
          <w:highlight w:val="none"/>
        </w:rPr>
        <w:t xml:space="preserve">投标函（格式见第三章）；</w:t>
      </w:r>
      <w:r>
        <w:rPr>
          <w:highlight w:val="none"/>
        </w:rP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14.1.5.2</w:t>
      </w:r>
      <w:r>
        <w:rPr>
          <w:rFonts w:hint="eastAsia" w:ascii="宋体" w:hAnsi="宋体"/>
          <w:sz w:val="21"/>
          <w:szCs w:val="21"/>
          <w:highlight w:val="none"/>
        </w:rPr>
        <w:t xml:space="preserve">偏离表（格式见第三章）；</w:t>
      </w:r>
      <w:r>
        <w:rPr>
          <w:highlight w:val="none"/>
        </w:rP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14.1.5.3</w:t>
      </w:r>
      <w:r>
        <w:rPr>
          <w:rFonts w:hint="eastAsia" w:ascii="宋体" w:hAnsi="宋体"/>
          <w:sz w:val="21"/>
          <w:szCs w:val="21"/>
          <w:highlight w:val="none"/>
        </w:rPr>
        <w:t xml:space="preserve">项目服务人员配置表（格式见第三章）；</w:t>
      </w:r>
      <w:r>
        <w:rPr>
          <w:highlight w:val="none"/>
        </w:rP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4.1.5.4</w:t>
      </w:r>
      <w:r>
        <w:rPr>
          <w:rFonts w:hint="eastAsia" w:ascii="宋体" w:hAnsi="宋体"/>
          <w:sz w:val="21"/>
          <w:szCs w:val="21"/>
          <w:highlight w:val="none"/>
        </w:rPr>
        <w:t xml:space="preserve">投标人与其他单位存在控股、管理关系情况表（格式见第三章）。</w:t>
      </w:r>
      <w:r>
        <w:rPr>
          <w:highlight w:val="none"/>
        </w:rPr>
      </w:r>
    </w:p>
    <w:p>
      <w:pPr>
        <w:ind w:left="0" w:firstLine="408"/>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w:t>
      </w:r>
      <w:r>
        <w:rPr>
          <w:highlight w:val="none"/>
        </w:rPr>
      </w:r>
    </w:p>
    <w:p>
      <w:pPr>
        <w:ind w:left="0" w:firstLine="408"/>
        <w:spacing w:line="360" w:lineRule="auto"/>
        <w:rPr>
          <w:rFonts w:ascii="宋体" w:hAnsi="宋体" w:cs="Times New Roman"/>
          <w:sz w:val="21"/>
          <w:szCs w:val="21"/>
          <w:highlight w:val="none"/>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.1</w:t>
      </w:r>
      <w:r>
        <w:rPr>
          <w:rFonts w:hint="eastAsia" w:ascii="宋体" w:hAnsi="宋体"/>
          <w:b/>
          <w:sz w:val="21"/>
          <w:highlight w:val="none"/>
        </w:rPr>
        <w:t xml:space="preserve">技术服务方案</w:t>
      </w:r>
      <w:r>
        <w:rPr>
          <w:highlight w:val="none"/>
        </w:rPr>
      </w:r>
    </w:p>
    <w:p>
      <w:pPr>
        <w:ind w:left="0" w:firstLine="408"/>
        <w:spacing w:line="360" w:lineRule="auto"/>
        <w:rPr>
          <w:rFonts w:ascii="宋体" w:hAnsi="宋体" w:cs="Times New Roman"/>
          <w:sz w:val="21"/>
          <w:szCs w:val="21"/>
          <w:highlight w:val="none"/>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.2</w:t>
      </w:r>
      <w:r>
        <w:rPr>
          <w:rFonts w:hint="eastAsia" w:ascii="宋体" w:hAnsi="宋体"/>
          <w:b/>
          <w:sz w:val="21"/>
          <w:highlight w:val="none"/>
        </w:rPr>
        <w:t xml:space="preserve">投入本项目企业综合能力</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w:t>
      </w:r>
      <w:r>
        <w:rPr>
          <w:rFonts w:ascii="宋体" w:hAnsi="宋体"/>
          <w:sz w:val="21"/>
          <w:szCs w:val="21"/>
          <w:highlight w:val="none"/>
        </w:rPr>
        <w:t xml:space="preserve">7</w:t>
      </w:r>
      <w:r>
        <w:rPr>
          <w:rFonts w:hint="eastAsia" w:ascii="宋体" w:hAnsi="宋体"/>
          <w:sz w:val="21"/>
          <w:szCs w:val="21"/>
          <w:highlight w:val="none"/>
        </w:rPr>
        <w:t xml:space="preserve">对属于《节能产品政府采购品目清单》政府强制采购产品的，需提供该产品有效期内的认证等相关证明材料（如有）；</w:t>
      </w:r>
      <w:r>
        <w:rPr>
          <w:highlight w:val="none"/>
        </w:rP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其他可以证明投标人资质、服务质量的证书、文件等相关资料。</w:t>
      </w:r>
      <w:r>
        <w:rPr>
          <w:highlight w:val="none"/>
        </w:rPr>
      </w:r>
    </w:p>
    <w:p>
      <w:pPr>
        <w:pStyle w:val="1261"/>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14.1.4.1-14.1.4.12</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rPr>
          <w:highlight w:val="none"/>
        </w:rPr>
      </w:r>
    </w:p>
    <w:p>
      <w:pPr>
        <w:pStyle w:val="1261"/>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w:t>
      </w:r>
      <w:r>
        <w:rPr>
          <w:rFonts w:ascii="宋体" w:hAnsi="宋体" w:cs="宋体"/>
          <w:b/>
          <w:bCs/>
          <w:sz w:val="21"/>
          <w:szCs w:val="21"/>
          <w:highlight w:val="none"/>
          <w:lang w:val="en-US"/>
        </w:rPr>
        <w:t xml:space="preserve">4</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rPr>
          <w:highlight w:val="none"/>
        </w:rPr>
      </w:r>
    </w:p>
    <w:p>
      <w:pPr>
        <w:pStyle w:val="1261"/>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（3）“1</w:t>
      </w:r>
      <w:r>
        <w:rPr>
          <w:rFonts w:ascii="宋体" w:hAnsi="宋体"/>
          <w:b/>
          <w:sz w:val="21"/>
          <w:szCs w:val="21"/>
          <w:highlight w:val="none"/>
        </w:rPr>
        <w:t xml:space="preserve">4.1.4-14.1.8</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rPr>
          <w:highlight w:val="none"/>
        </w:rPr>
      </w:r>
    </w:p>
    <w:p>
      <w:pPr>
        <w:pStyle w:val="1261"/>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w:t>
      </w:r>
      <w:r>
        <w:rPr>
          <w:highlight w:val="none"/>
        </w:rPr>
      </w:r>
    </w:p>
    <w:p>
      <w:pPr>
        <w:pStyle w:val="1261"/>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rPr>
          <w:highlight w:val="none"/>
        </w:rP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rPr>
          <w:highlight w:val="none"/>
        </w:rP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w:t>
      </w:r>
      <w:r>
        <w:rPr>
          <w:rFonts w:hint="eastAsia" w:ascii="宋体" w:hAnsi="宋体"/>
          <w:sz w:val="21"/>
          <w:szCs w:val="21"/>
          <w:highlight w:val="none"/>
          <w:lang w:val="zh-CN"/>
        </w:rPr>
        <w:t xml:space="preserve">应综合考量</w:t>
      </w:r>
      <w:r>
        <w:rPr>
          <w:rFonts w:hint="eastAsia" w:ascii="宋体" w:hAnsi="宋体"/>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highlight w:val="none"/>
        </w:rPr>
        <w:t xml:space="preserve">。</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.2投标人应按《公开分项报价》要求的内容填写，并由其法定代表人或授权代理人签署。</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.4一项投标内容只允许一个报价，招标人不接受任何有选择性的投标报价。</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.5投标文件报价采用人民币表示，除非合同的特殊条款另有规定。</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.6最低的报价或最高的折扣率不能作为中标的保证。</w:t>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.2在特殊情况下，招标单位、采购代理机构可与投标人协商延长投标书的有效期。这种要求和答复都应以书面形式进行。同意延长有效期的投标人不能修改投标文件。</w:t>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rPr>
          <w:highlight w:val="none"/>
        </w:rPr>
      </w:r>
    </w:p>
    <w:p>
      <w:pPr>
        <w:pStyle w:val="1261"/>
        <w:ind w:left="0" w:firstLine="428"/>
        <w:spacing w:line="360" w:lineRule="auto"/>
        <w:rPr>
          <w:rFonts w:ascii="宋体" w:hAnsi="宋体"/>
          <w:b/>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9</w:t>
      </w:r>
      <w:r>
        <w:rPr>
          <w:rFonts w:hint="eastAsia" w:ascii="宋体" w:hAnsi="宋体" w:cs="宋体"/>
          <w:sz w:val="21"/>
          <w:szCs w:val="21"/>
          <w:highlight w:val="none"/>
        </w:rPr>
        <w:t xml:space="preserve">.1</w:t>
      </w:r>
      <w:r>
        <w:rPr>
          <w:rFonts w:hint="eastAsia" w:ascii="宋体" w:hAnsi="宋体"/>
          <w:sz w:val="21"/>
          <w:szCs w:val="21"/>
          <w:highlight w:val="none"/>
        </w:rPr>
        <w:t xml:space="preserve">本项目采用电子招投标形式，请供应商按照</w:t>
      </w:r>
      <w:r>
        <w:rPr>
          <w:rFonts w:hint="eastAsia" w:ascii="宋体" w:hAnsi="宋体"/>
          <w:b/>
          <w:sz w:val="21"/>
          <w:szCs w:val="21"/>
          <w:highlight w:val="none"/>
        </w:rPr>
        <w:t xml:space="preserve">《苏采云系统供应商操作手册》</w:t>
      </w:r>
      <w:r>
        <w:rPr>
          <w:rFonts w:hint="eastAsia" w:ascii="宋体" w:hAnsi="宋体"/>
          <w:sz w:val="21"/>
          <w:szCs w:val="21"/>
          <w:highlight w:val="none"/>
        </w:rPr>
        <w:t xml:space="preserve">进行制作、上传电子投标文件。</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9.2</w:t>
      </w:r>
      <w:r>
        <w:rPr>
          <w:rFonts w:hint="eastAsia" w:ascii="宋体" w:hAnsi="宋体" w:cs="宋体"/>
          <w:sz w:val="21"/>
          <w:szCs w:val="21"/>
          <w:highlight w:val="none"/>
        </w:rPr>
        <w:t xml:space="preserve">制作电子投标文件时，应按照招标文件要求加盖投标人电子公章。</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9</w:t>
      </w:r>
      <w:r>
        <w:rPr>
          <w:rFonts w:hint="eastAsia" w:ascii="宋体" w:hAnsi="宋体" w:cs="宋体"/>
          <w:sz w:val="21"/>
          <w:szCs w:val="21"/>
          <w:highlight w:val="none"/>
        </w:rPr>
        <w:t xml:space="preserve">.3</w:t>
      </w:r>
      <w:r>
        <w:rPr>
          <w:rFonts w:hint="eastAsia" w:ascii="宋体" w:hAnsi="宋体" w:cs="宋体"/>
          <w:b/>
          <w:sz w:val="21"/>
          <w:szCs w:val="21"/>
          <w:highlight w:val="none"/>
        </w:rPr>
        <w:t xml:space="preserve">电子投标文件制作完成后请于</w:t>
      </w:r>
      <w:r>
        <w:rPr>
          <w:rFonts w:hint="eastAsia" w:ascii="宋体" w:hAnsi="宋体"/>
          <w:b/>
          <w:sz w:val="21"/>
          <w:szCs w:val="21"/>
          <w:highlight w:val="none"/>
        </w:rPr>
        <w:t xml:space="preserve">投标文件网上提交截止时间</w:t>
      </w:r>
      <w:r>
        <w:rPr>
          <w:rFonts w:hint="eastAsia" w:ascii="宋体" w:hAnsi="宋体" w:cs="宋体"/>
          <w:b/>
          <w:sz w:val="21"/>
          <w:szCs w:val="21"/>
          <w:highlight w:val="none"/>
        </w:rPr>
        <w:t xml:space="preserve">前成功上传至“苏采云”系统，否则视为放弃参加该采购项目。</w:t>
      </w:r>
      <w:bookmarkStart w:id="21" w:name="_Toc25608"/>
      <w:r>
        <w:rPr>
          <w:highlight w:val="none"/>
        </w:rPr>
      </w:r>
      <w:bookmarkStart w:id="22" w:name="_Toc31150"/>
      <w:r>
        <w:rPr>
          <w:rFonts w:hint="eastAsia" w:ascii="宋体" w:hAnsi="宋体" w:cs="宋体"/>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1"/>
      <w:r>
        <w:rPr>
          <w:highlight w:val="none"/>
        </w:rPr>
      </w:r>
      <w:bookmarkEnd w:id="22"/>
      <w:r>
        <w:rPr>
          <w:highlight w:val="none"/>
        </w:rPr>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五、投标文件的递交、补充、修改和撤回</w:t>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20.投标文件的递交</w:t>
      </w:r>
      <w:r>
        <w:rPr>
          <w:highlight w:val="none"/>
        </w:rPr>
      </w:r>
    </w:p>
    <w:p>
      <w:pPr>
        <w:pStyle w:val="126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20</w:t>
      </w:r>
      <w:r>
        <w:rPr>
          <w:rFonts w:hint="eastAsia" w:ascii="宋体" w:hAnsi="宋体" w:cs="宋体"/>
          <w:sz w:val="21"/>
          <w:szCs w:val="21"/>
          <w:highlight w:val="none"/>
        </w:rPr>
        <w:t xml:space="preserve">.1投标人应当在在投标截止时间前制作并上传电子投标文件。</w:t>
      </w:r>
      <w:r>
        <w:rPr>
          <w:highlight w:val="none"/>
        </w:rPr>
      </w:r>
    </w:p>
    <w:p>
      <w:pPr>
        <w:pStyle w:val="895"/>
        <w:ind w:left="0" w:firstLine="420"/>
        <w:spacing w:line="360" w:lineRule="auto"/>
        <w:rPr>
          <w:rFonts w:ascii="宋体" w:hAnsi="宋体"/>
          <w:b/>
          <w:sz w:val="21"/>
          <w:szCs w:val="21"/>
          <w:highlight w:val="none"/>
        </w:rPr>
      </w:pPr>
      <w:r>
        <w:rPr>
          <w:rFonts w:ascii="宋体" w:hAnsi="宋体"/>
          <w:sz w:val="21"/>
          <w:szCs w:val="21"/>
          <w:highlight w:val="none"/>
        </w:rPr>
        <w:t xml:space="preserve">20</w:t>
      </w:r>
      <w:r>
        <w:rPr>
          <w:rFonts w:hint="eastAsia" w:ascii="宋体" w:hAnsi="宋体"/>
          <w:sz w:val="21"/>
          <w:szCs w:val="21"/>
          <w:highlight w:val="none"/>
        </w:rPr>
        <w:t xml:space="preserve">.2投标人通过</w:t>
      </w:r>
      <w:r>
        <w:rPr>
          <w:rFonts w:hint="eastAsia" w:ascii="宋体" w:hAnsi="宋体"/>
          <w:b/>
          <w:sz w:val="21"/>
          <w:szCs w:val="21"/>
          <w:highlight w:val="none"/>
        </w:rPr>
        <w:t xml:space="preserve">“苏采云”系统不见面开标大厅在线参与开标活动。（具体操作详见《苏采云系统供应商操作手册》，网址链接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highlight w:val="none"/>
        </w:rPr>
      </w:r>
    </w:p>
    <w:p>
      <w:pPr>
        <w:pStyle w:val="1261"/>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rPr>
          <w:highlight w:val="none"/>
        </w:rPr>
      </w:r>
    </w:p>
    <w:p>
      <w:pPr>
        <w:pStyle w:val="126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招标单位和采购代理机构</w:t>
      </w:r>
      <w:r>
        <w:rPr>
          <w:rFonts w:hint="eastAsia" w:ascii="宋体" w:hAnsi="宋体" w:cs="宋体"/>
          <w:sz w:val="21"/>
          <w:szCs w:val="21"/>
          <w:highlight w:val="none"/>
        </w:rPr>
        <w:t xml:space="preserve">拒绝接收。</w:t>
      </w:r>
      <w:r>
        <w:rPr>
          <w:highlight w:val="none"/>
        </w:rPr>
      </w:r>
    </w:p>
    <w:p>
      <w:pPr>
        <w:pStyle w:val="126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.2招标单位和采购代理机构推迟投标截止时间时，将按本须知规定的更正公告的方式对外发布。在这种情况下，</w:t>
      </w:r>
      <w:r>
        <w:rPr>
          <w:rFonts w:hint="eastAsia" w:ascii="宋体" w:hAnsi="宋体"/>
          <w:sz w:val="21"/>
          <w:szCs w:val="21"/>
          <w:highlight w:val="none"/>
        </w:rPr>
        <w:t xml:space="preserve">招标单位、采购代理机构</w:t>
      </w:r>
      <w:r>
        <w:rPr>
          <w:rFonts w:hint="eastAsia" w:ascii="宋体" w:hAnsi="宋体" w:cs="宋体"/>
          <w:sz w:val="21"/>
          <w:szCs w:val="21"/>
          <w:highlight w:val="none"/>
        </w:rPr>
        <w:t xml:space="preserve">和投标人的权利和义务将受到新的截止期的约束。</w:t>
      </w:r>
      <w:r>
        <w:rPr>
          <w:highlight w:val="none"/>
        </w:rPr>
      </w:r>
    </w:p>
    <w:p>
      <w:pPr>
        <w:pStyle w:val="126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2</w:t>
      </w:r>
      <w:r>
        <w:rPr>
          <w:rFonts w:hint="eastAsia" w:ascii="宋体" w:hAnsi="宋体" w:cs="宋体"/>
          <w:sz w:val="21"/>
          <w:szCs w:val="21"/>
          <w:highlight w:val="none"/>
        </w:rPr>
        <w:t xml:space="preserve">.1投标人在</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前，可以对其电子投标文件进行补充、修改，具体操作方法见</w:t>
      </w:r>
      <w:r>
        <w:rPr>
          <w:rFonts w:hint="eastAsia" w:ascii="宋体" w:hAnsi="宋体"/>
          <w:sz w:val="21"/>
          <w:szCs w:val="21"/>
          <w:highlight w:val="none"/>
        </w:rPr>
        <w:t xml:space="preserve">《苏采云系统供应商操作手册》</w:t>
      </w:r>
      <w:r>
        <w:rPr>
          <w:rFonts w:hint="eastAsia" w:ascii="宋体" w:hAnsi="宋体" w:cs="宋体"/>
          <w:sz w:val="21"/>
          <w:szCs w:val="21"/>
          <w:highlight w:val="none"/>
        </w:rPr>
        <w:t xml:space="preserve">。在</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之后，投标人不得对其电子投标文件作任何修改。</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2</w:t>
      </w:r>
      <w:r>
        <w:rPr>
          <w:rFonts w:hint="eastAsia" w:ascii="宋体" w:hAnsi="宋体" w:cs="宋体"/>
          <w:sz w:val="21"/>
          <w:szCs w:val="21"/>
          <w:highlight w:val="none"/>
        </w:rPr>
        <w:t xml:space="preserve">.2投标人在</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前，可以撤回其电子投标文件，具体操作方法见</w:t>
      </w:r>
      <w:r>
        <w:rPr>
          <w:rFonts w:hint="eastAsia" w:ascii="宋体" w:hAnsi="宋体"/>
          <w:sz w:val="21"/>
          <w:szCs w:val="21"/>
          <w:highlight w:val="none"/>
        </w:rPr>
        <w:t xml:space="preserve">《苏采云系统供应商操作手册》</w:t>
      </w:r>
      <w:r>
        <w:rPr>
          <w:rFonts w:hint="eastAsia" w:ascii="宋体" w:hAnsi="宋体" w:cs="宋体"/>
          <w:sz w:val="21"/>
          <w:szCs w:val="21"/>
          <w:highlight w:val="none"/>
        </w:rPr>
        <w:t xml:space="preserve">。</w:t>
      </w:r>
      <w:bookmarkStart w:id="23" w:name="_Toc22837"/>
      <w:r>
        <w:rPr>
          <w:highlight w:val="none"/>
        </w:rPr>
      </w:r>
      <w:bookmarkStart w:id="24" w:name="_Toc29371"/>
      <w:r>
        <w:rPr>
          <w:rFonts w:hint="eastAsia" w:ascii="宋体" w:hAnsi="宋体" w:cs="宋体"/>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sz w:val="21"/>
          <w:szCs w:val="21"/>
          <w:highlight w:val="none"/>
        </w:rPr>
        <w:t xml:space="preserve">六、开标和评标</w:t>
      </w:r>
      <w:bookmarkEnd w:id="23"/>
      <w:r>
        <w:rPr>
          <w:highlight w:val="none"/>
        </w:rPr>
      </w:r>
      <w:bookmarkEnd w:id="24"/>
      <w:r>
        <w:rPr>
          <w:highlight w:val="none"/>
        </w:rPr>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.开标</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.1开标由采购代理机构</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主持，邀请投标人</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参加。投标人应当按照</w:t>
      </w:r>
      <w:r>
        <w:rPr>
          <w:rFonts w:hint="eastAsia" w:ascii="宋体" w:hAnsi="宋体"/>
          <w:sz w:val="21"/>
          <w:szCs w:val="21"/>
          <w:highlight w:val="none"/>
        </w:rPr>
        <w:t xml:space="preserve">《苏采云系统供应商操作手册》</w:t>
      </w:r>
      <w:r>
        <w:rPr>
          <w:rFonts w:hint="eastAsia" w:ascii="宋体" w:hAnsi="宋体" w:cs="宋体"/>
          <w:sz w:val="21"/>
          <w:szCs w:val="21"/>
          <w:highlight w:val="none"/>
        </w:rPr>
        <w:t xml:space="preserve">规定，</w:t>
      </w:r>
      <w:r>
        <w:rPr>
          <w:rFonts w:hint="eastAsia" w:ascii="宋体" w:hAnsi="宋体" w:cs="宋体"/>
          <w:b/>
          <w:sz w:val="21"/>
          <w:szCs w:val="21"/>
          <w:highlight w:val="none"/>
        </w:rPr>
        <w:t xml:space="preserve">参加开标活动和在“苏采云”系统规定的时间内对投标文件进行解密</w:t>
      </w:r>
      <w:r>
        <w:rPr>
          <w:rFonts w:hint="eastAsia" w:ascii="宋体" w:hAnsi="宋体" w:cs="宋体"/>
          <w:sz w:val="21"/>
          <w:szCs w:val="21"/>
          <w:highlight w:val="none"/>
        </w:rPr>
        <w:t xml:space="preserve">。评标委员会成员不得参加开标活动。</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.1公开招标采购项目开标结束后，招标单位应当依法对投标人的资格进行审查，未通过资格审查的视为无效投标。</w:t>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.1.4确定中标候选人名单，以及根据招标单位委托直接确定中标人；</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.1.5向招标单位、采购代理机构或者有关部门报告评标中发现的违法行为。</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（五）评标结果，确定的中标候选人名单或者经招标单位委托直接确定的中标人；</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.2.6配合招标单位和采购代理机构答复投标人提出的质疑。</w:t>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.2在投标文件的审查、澄清、评价和比较以及授予合同的过程中，投标人对招标单位、采购代理机构和评标委员会成员施加影响的任何行为，都将取消其中标资格。</w:t>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.5 评标委员会成员对需要共同认定的事项存在争议的，应当按照少数服从多数的原则作出结论。持不同意见的评标委员会成员应当在评标报告上签署不同意见及理由，否则视为同意评标报告。</w:t>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rPr>
          <w:highlight w:val="none"/>
        </w:rPr>
      </w:r>
    </w:p>
    <w:p>
      <w:pPr>
        <w:pStyle w:val="1261"/>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sz w:val="21"/>
          <w:szCs w:val="21"/>
          <w:highlight w:val="none"/>
        </w:rPr>
        <w:t xml:space="preserve">供应商应随时保持系统在线，如因供应商自身原因未在规定时间内提交澄清确认资料的，导致的不利后果由供应商自行承担。</w:t>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）投标文件含有招标单位不能接受的附加条件的；</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（五）法律、法规和招标文件规定的其他无效情形。</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.2投标人应当遵循公平竞争的原则，不得恶意串通，不得妨碍其他投标人的竞争行为，不得损害招标单位或者其他投标人的合法权益。</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.1.3投标人的报价均超过了采购预算，招标单位不能支付的；</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.1.4因重大变故，采购任务取消的；</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.2废标后，招标单位和采购代理机构将把废标的理由通知所有投标人。</w:t>
      </w:r>
      <w:r>
        <w:rPr>
          <w:highlight w:val="none"/>
        </w:rPr>
      </w:r>
    </w:p>
    <w:p>
      <w:pPr>
        <w:pStyle w:val="1261"/>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rPr>
          <w:highlight w:val="none"/>
        </w:rPr>
      </w:r>
    </w:p>
    <w:p>
      <w:pPr>
        <w:pStyle w:val="126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highlight w:val="none"/>
        </w:rPr>
      </w:r>
    </w:p>
    <w:p>
      <w:pPr>
        <w:pStyle w:val="126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25" w:name="_Toc19501"/>
      <w:r>
        <w:rPr>
          <w:highlight w:val="none"/>
        </w:rPr>
      </w:r>
      <w:bookmarkStart w:id="26" w:name="_Toc18442"/>
      <w:r>
        <w:rPr>
          <w:highlight w:val="none"/>
        </w:rPr>
      </w:r>
      <w:r>
        <w:rPr>
          <w:highlight w:val="none"/>
        </w:rPr>
      </w:r>
    </w:p>
    <w:p>
      <w:pPr>
        <w:pStyle w:val="1261"/>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25"/>
      <w:r>
        <w:rPr>
          <w:highlight w:val="none"/>
        </w:rPr>
      </w:r>
      <w:bookmarkEnd w:id="26"/>
      <w:r>
        <w:rPr>
          <w:highlight w:val="none"/>
        </w:rPr>
      </w:r>
      <w:r>
        <w:rPr>
          <w:highlight w:val="none"/>
        </w:rPr>
      </w:r>
    </w:p>
    <w:p>
      <w:pPr>
        <w:pStyle w:val="1261"/>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rPr>
          <w:highlight w:val="none"/>
        </w:rPr>
      </w:r>
    </w:p>
    <w:p>
      <w:pPr>
        <w:pStyle w:val="126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.1评标委员会根据投标人资格审查情况，对投标文件进行评价和比较，按照评标办法和标准进行评标，并按招标单位的委托向招标单位推荐中标人。</w:t>
      </w:r>
      <w:r>
        <w:rPr>
          <w:highlight w:val="none"/>
        </w:rPr>
      </w:r>
    </w:p>
    <w:p>
      <w:pPr>
        <w:pStyle w:val="126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招标单位将把合同授予其投标文件在实质上响应投标招标文件要求且按本须知规定评选出的投标人。确定为中标的投标人必须具有实施本合同的能力和资源。</w:t>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rPr>
          <w:highlight w:val="none"/>
        </w:rPr>
      </w:r>
    </w:p>
    <w:p>
      <w:pPr>
        <w:pStyle w:val="1261"/>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.2中标通知书将成为合同的组成部分，对招标单位和中标人具有同等法律效力。</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中标通知书发出后，招标单位不得违法改变中标结果，中标人无正当理由不得放弃中标。</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bCs/>
          <w:sz w:val="21"/>
          <w:szCs w:val="21"/>
          <w:highlight w:val="none"/>
          <w:lang w:val="en-US"/>
        </w:rPr>
        <w:t xml:space="preserve">招标单位及其委托的代理机构在发放《中标（成交）通知书》的同时，向参与项目评审的未中标（成交）供应商发放《未中标（成交）通知书》，以电子邮件、纸质寄送等与投标（响应）供应商约定的方式书面告知该未中标（成交）供应商的评审得分与排名，未中标（成交）供应商未按约定的时间和方式获取告知信息的，视为自动放弃并自行承担相应后果。</w:t>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按照《关于做好政府采购支持企业发展有关事项的通知》（苏财购〔2020〕52号）及</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文件精神，招标单位与中标人原则上应当在中标通知书发出之日起十五日内，按照招标文件及投标文件确定的事项签订政府采购合同。</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招标单位与中标人所签订的合同不得对招标文件确定的事项和中标人投标文件作实质性修改，招标单位不得向中标人提出任何不合理的要求作为签订合同的条件。</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rPr>
          <w:highlight w:val="none"/>
        </w:rPr>
      </w:r>
    </w:p>
    <w:p>
      <w:pPr>
        <w:pStyle w:val="1261"/>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highlight w:val="none"/>
        </w:rP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政府采购合同履行中，招标单位需追加与合同标的相同货物、工程或者服务的，在不改变合同其他条款的前提下，可以与中标人协商签订补充合同，但所有补充合同的采购金额不得超过原合同采购金额的1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27" w:name="_Toc21029"/>
      <w:r>
        <w:rPr>
          <w:highlight w:val="none"/>
        </w:rPr>
      </w:r>
      <w:bookmarkStart w:id="28" w:name="_Toc8186"/>
      <w:r>
        <w:rPr>
          <w:highlight w:val="none"/>
        </w:rPr>
      </w:r>
      <w:r>
        <w:rPr>
          <w:highlight w:val="none"/>
        </w:rPr>
      </w:r>
    </w:p>
    <w:p>
      <w:pPr>
        <w:pStyle w:val="1261"/>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27"/>
      <w:r>
        <w:rPr>
          <w:highlight w:val="none"/>
        </w:rPr>
      </w:r>
      <w:bookmarkEnd w:id="28"/>
      <w:r>
        <w:rPr>
          <w:highlight w:val="none"/>
        </w:rPr>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.有关监督部门将对招投标全过程进行监督。</w:t>
      </w:r>
      <w:r>
        <w:rPr>
          <w:highlight w:val="none"/>
        </w:rPr>
      </w:r>
    </w:p>
    <w:p>
      <w:pPr>
        <w:pStyle w:val="1261"/>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w:t>
      </w:r>
      <w:r>
        <w:rPr>
          <w:rFonts w:hint="eastAsia"/>
          <w:highlight w:val="none"/>
        </w:rPr>
        <w:t xml:space="preserve"> </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rPr>
          <w:highlight w:val="none"/>
        </w:rPr>
      </w:r>
    </w:p>
    <w:p>
      <w:pPr>
        <w:pStyle w:val="877"/>
        <w:ind w:left="0" w:firstLine="0"/>
        <w:jc w:val="center"/>
        <w:spacing w:line="240" w:lineRule="auto"/>
        <w:rPr>
          <w:rFonts w:ascii="宋体" w:hAnsi="宋体" w:cs="Times New Roman"/>
          <w:b/>
          <w:bCs/>
          <w:sz w:val="28"/>
          <w:szCs w:val="28"/>
          <w:highlight w:val="none"/>
        </w:rPr>
      </w:pPr>
      <w:r>
        <w:rPr>
          <w:highlight w:val="none"/>
        </w:rPr>
      </w:r>
      <w:bookmarkStart w:id="29" w:name="_Toc7264"/>
      <w:r>
        <w:rPr>
          <w:highlight w:val="none"/>
        </w:rPr>
      </w:r>
      <w:bookmarkStart w:id="30" w:name="_Toc24711"/>
      <w:r>
        <w:rPr>
          <w:rFonts w:hint="eastAsia" w:ascii="宋体" w:hAnsi="宋体"/>
          <w:b/>
          <w:sz w:val="44"/>
          <w:szCs w:val="22"/>
          <w:highlight w:val="none"/>
        </w:rPr>
        <w:br w:type="page" w:clear="all"/>
      </w:r>
      <w:bookmarkStart w:id="31" w:name="_Toc159146113"/>
      <w:r>
        <w:rPr>
          <w:rFonts w:hint="eastAsia" w:ascii="宋体" w:hAnsi="宋体" w:cs="Times New Roman"/>
          <w:b/>
          <w:bCs/>
          <w:sz w:val="28"/>
          <w:szCs w:val="28"/>
          <w:highlight w:val="none"/>
          <w:lang w:val="zh-CN"/>
        </w:rPr>
        <w:t xml:space="preserve">第三章  </w:t>
      </w:r>
      <w:bookmarkStart w:id="32" w:name="投标文件格式"/>
      <w:r>
        <w:rPr>
          <w:highlight w:val="none"/>
        </w:rPr>
      </w:r>
      <w:bookmarkEnd w:id="32"/>
      <w:r>
        <w:rPr>
          <w:rFonts w:hint="eastAsia" w:ascii="宋体" w:hAnsi="宋体" w:cs="Times New Roman"/>
          <w:b/>
          <w:bCs/>
          <w:sz w:val="28"/>
          <w:szCs w:val="28"/>
          <w:highlight w:val="none"/>
          <w:lang w:val="zh-CN"/>
        </w:rPr>
        <w:t xml:space="preserve">投标文件格式</w:t>
      </w:r>
      <w:bookmarkEnd w:id="29"/>
      <w:r>
        <w:rPr>
          <w:highlight w:val="none"/>
        </w:rPr>
      </w:r>
      <w:bookmarkEnd w:id="30"/>
      <w:r>
        <w:rPr>
          <w:highlight w:val="none"/>
        </w:rPr>
      </w:r>
      <w:bookmarkEnd w:id="31"/>
      <w:r>
        <w:rPr>
          <w:highlight w:val="none"/>
        </w:rPr>
      </w:r>
      <w:r>
        <w:rPr>
          <w:highlight w:val="none"/>
        </w:rPr>
      </w:r>
    </w:p>
    <w:p>
      <w:pPr>
        <w:ind w:left="0" w:firstLine="420"/>
        <w:spacing w:line="440" w:lineRule="exact"/>
        <w:rPr>
          <w:rFonts w:ascii="宋体" w:hAnsi="宋体"/>
          <w:sz w:val="21"/>
          <w:szCs w:val="21"/>
          <w:highlight w:val="none"/>
        </w:rPr>
      </w:pPr>
      <w:r>
        <w:rPr>
          <w:rFonts w:ascii="宋体" w:hAnsi="宋体"/>
          <w:sz w:val="21"/>
          <w:szCs w:val="21"/>
          <w:highlight w:val="none"/>
          <w:lang w:val="zh-CN"/>
        </w:rPr>
        <w:t xml:space="preserve">说明：</w:t>
      </w:r>
      <w:r>
        <w:rPr>
          <w:highlight w:val="none"/>
        </w:rPr>
      </w:r>
    </w:p>
    <w:p>
      <w:pPr>
        <w:ind w:left="0" w:firstLine="420"/>
        <w:spacing w:line="440" w:lineRule="exact"/>
        <w:rPr>
          <w:rFonts w:ascii="宋体" w:hAnsi="宋体"/>
          <w:sz w:val="21"/>
          <w:szCs w:val="21"/>
          <w:highlight w:val="none"/>
        </w:rPr>
      </w:pPr>
      <w:r>
        <w:rPr>
          <w:rFonts w:ascii="宋体" w:hAnsi="宋体"/>
          <w:sz w:val="21"/>
          <w:szCs w:val="21"/>
          <w:highlight w:val="none"/>
          <w:lang w:val="zh-CN"/>
        </w:rPr>
        <w:t xml:space="preserve">对本章所有的投标书格式，投标方可根据自身情况进行补充和修改，但补充和修改不得造成与本格式内容有实质性的违背。</w:t>
      </w:r>
      <w:bookmarkStart w:id="33" w:name="_Toc71810480"/>
      <w:r>
        <w:rPr>
          <w:highlight w:val="none"/>
        </w:rPr>
      </w:r>
      <w:bookmarkStart w:id="34" w:name="_Toc159146114"/>
      <w:r>
        <w:rPr>
          <w:highlight w:val="none"/>
        </w:rPr>
      </w:r>
      <w:bookmarkStart w:id="35" w:name="_Toc3821"/>
      <w:r>
        <w:rPr>
          <w:highlight w:val="none"/>
        </w:rPr>
      </w:r>
      <w:bookmarkStart w:id="36" w:name="_Toc17036"/>
      <w:r>
        <w:rPr>
          <w:highlight w:val="none"/>
        </w:rPr>
      </w:r>
      <w:bookmarkStart w:id="37" w:name="_Toc105397779"/>
      <w:r>
        <w:rPr>
          <w:highlight w:val="none"/>
        </w:rPr>
      </w:r>
      <w:r>
        <w:rPr>
          <w:highlight w:val="none"/>
        </w:rPr>
      </w:r>
    </w:p>
    <w:p>
      <w:pPr>
        <w:ind w:left="0"/>
        <w:spacing w:line="440" w:lineRule="exact"/>
        <w:rPr>
          <w:rFonts w:ascii="宋体" w:hAnsi="宋体"/>
          <w:b/>
          <w:sz w:val="21"/>
          <w:szCs w:val="21"/>
          <w:highlight w:val="none"/>
        </w:rPr>
      </w:pPr>
      <w:r>
        <w:rPr>
          <w:rFonts w:hint="eastAsia" w:ascii="宋体" w:hAnsi="宋体"/>
          <w:b/>
          <w:sz w:val="21"/>
          <w:szCs w:val="21"/>
          <w:highlight w:val="none"/>
          <w:lang w:val="zh-CN"/>
        </w:rPr>
        <w:t xml:space="preserve">附件1.投标函</w:t>
      </w:r>
      <w:bookmarkEnd w:id="33"/>
      <w:r>
        <w:rPr>
          <w:highlight w:val="none"/>
        </w:rPr>
      </w:r>
      <w:bookmarkEnd w:id="34"/>
      <w:r>
        <w:rPr>
          <w:highlight w:val="none"/>
        </w:rPr>
      </w:r>
      <w:bookmarkEnd w:id="35"/>
      <w:r>
        <w:rPr>
          <w:highlight w:val="none"/>
        </w:rPr>
      </w:r>
      <w:bookmarkEnd w:id="36"/>
      <w:r>
        <w:rPr>
          <w:highlight w:val="none"/>
        </w:rPr>
      </w:r>
      <w:bookmarkEnd w:id="37"/>
      <w:r>
        <w:rPr>
          <w:highlight w:val="none"/>
        </w:rPr>
      </w:r>
      <w:r>
        <w:rPr>
          <w:highlight w:val="none"/>
        </w:rPr>
      </w:r>
    </w:p>
    <w:p>
      <w:pPr>
        <w:jc w:val="center"/>
        <w:spacing w:line="440" w:lineRule="exact"/>
        <w:rPr>
          <w:rFonts w:ascii="宋体" w:hAnsi="宋体"/>
          <w:b/>
          <w:sz w:val="21"/>
          <w:szCs w:val="21"/>
          <w:highlight w:val="none"/>
        </w:rPr>
      </w:pPr>
      <w:r>
        <w:rPr>
          <w:rFonts w:hint="eastAsia" w:ascii="宋体" w:hAnsi="宋体"/>
          <w:b/>
          <w:sz w:val="21"/>
          <w:szCs w:val="21"/>
          <w:highlight w:val="none"/>
        </w:rPr>
        <w:t xml:space="preserve">投标函</w:t>
      </w:r>
      <w:r>
        <w:rPr>
          <w:highlight w:val="none"/>
        </w:rPr>
      </w:r>
    </w:p>
    <w:p>
      <w:pPr>
        <w:ind w:left="0" w:firstLine="4638"/>
        <w:jc w:val="left"/>
        <w:spacing w:line="440" w:lineRule="exact"/>
        <w:rPr>
          <w:rFonts w:ascii="宋体" w:hAnsi="宋体"/>
          <w:b/>
          <w:sz w:val="21"/>
          <w:szCs w:val="21"/>
          <w:highlight w:val="none"/>
        </w:rPr>
      </w:pPr>
      <w:r>
        <w:rPr>
          <w:rFonts w:ascii="宋体" w:hAnsi="宋体"/>
          <w:b/>
          <w:sz w:val="21"/>
          <w:szCs w:val="21"/>
          <w:highlight w:val="none"/>
        </w:rPr>
      </w:r>
      <w:r>
        <w:rPr>
          <w:highlight w:val="none"/>
        </w:rPr>
      </w:r>
    </w:p>
    <w:p>
      <w:pPr>
        <w:ind w:left="0"/>
        <w:spacing w:line="440" w:lineRule="exact"/>
        <w:rPr>
          <w:rFonts w:ascii="宋体" w:hAnsi="宋体"/>
          <w:sz w:val="21"/>
          <w:szCs w:val="21"/>
          <w:highlight w:val="none"/>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苏州公正建设咨询房地产评估有限公司</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1、我方愿意按照招标文件的一切要求，提供本项目的所有内容，我方投标的报价包括完成本项工作所需的一切应有费用。</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2、如果我方的投标书被接受，我方将严格履行招标文件中规定的每一项要求，严格履行合同的责任和义务，保证按期、按质履行合同，完成合同所规定的全部内容。</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3、我方已详细审查并同意招标文件及更正文件（若有）中的规定。我方完全理解并同意放弃对这方面有不明及误解的权利。</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4、本投标书的有效期限为投标截止时间之日起90天。</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5、我方保证所提交的投标文件中所有资料均是真实的、准确的。若与真实情况不符，我方愿意承担由此而产生的一切后果。</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6、我方承诺该项投标在开标后的全过程中保持有效，不作任何更改和变动。</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7、我方承诺满足《中华人民共和国政府采购法》第二十二条规定的所有条件。</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8、与本投标有关的通讯地址：</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单   位：                                              联 系 人： </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地   址：                                              邮政编码： </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联系电话：                                             电子邮箱：</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rPr>
          <w:highlight w:val="none"/>
        </w:rP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rPr>
          <w:highlight w:val="none"/>
        </w:rP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38" w:name="_Toc159146115"/>
      <w:r>
        <w:rPr>
          <w:highlight w:val="none"/>
        </w:rPr>
      </w:r>
      <w:bookmarkStart w:id="39" w:name="_Toc71810481"/>
      <w:r>
        <w:rPr>
          <w:highlight w:val="none"/>
        </w:rPr>
      </w:r>
      <w:bookmarkStart w:id="40" w:name="_Toc105397780"/>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38"/>
      <w:r>
        <w:rPr>
          <w:highlight w:val="none"/>
        </w:rPr>
      </w:r>
      <w:bookmarkEnd w:id="39"/>
      <w:r>
        <w:rPr>
          <w:highlight w:val="none"/>
        </w:rPr>
      </w:r>
      <w:bookmarkEnd w:id="40"/>
      <w:r>
        <w:rPr>
          <w:highlight w:val="none"/>
        </w:rPr>
      </w:r>
      <w:r>
        <w:rPr>
          <w:highlight w:val="none"/>
        </w:rPr>
      </w:r>
    </w:p>
    <w:p>
      <w:pPr>
        <w:rPr>
          <w:rFonts w:ascii="宋体" w:hAnsi="宋体"/>
          <w:sz w:val="21"/>
          <w:szCs w:val="21"/>
          <w:highlight w:val="none"/>
        </w:rPr>
      </w:pPr>
      <w:r>
        <w:rPr>
          <w:rFonts w:ascii="宋体" w:hAnsi="宋体"/>
          <w:sz w:val="21"/>
          <w:szCs w:val="21"/>
          <w:highlight w:val="none"/>
        </w:rPr>
      </w:r>
      <w:r>
        <w:rPr>
          <w:highlight w:val="none"/>
        </w:rP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投标人全称（加盖公章）：</w:t>
      </w:r>
      <w:bookmarkStart w:id="41" w:name="TBR"/>
      <w:r>
        <w:rPr>
          <w:highlight w:val="none"/>
        </w:rPr>
      </w:r>
      <w:bookmarkEnd w:id="41"/>
      <w:r>
        <w:rPr>
          <w:highlight w:val="none"/>
        </w:rPr>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项目编号：  </w:t>
      </w:r>
      <w:bookmarkStart w:id="42" w:name="FBH"/>
      <w:r>
        <w:rPr>
          <w:highlight w:val="none"/>
        </w:rPr>
      </w:r>
      <w:bookmarkStart w:id="43" w:name="XMBH"/>
      <w:r>
        <w:rPr>
          <w:highlight w:val="none"/>
        </w:rPr>
      </w:r>
      <w:bookmarkEnd w:id="42"/>
      <w:r>
        <w:rPr>
          <w:highlight w:val="none"/>
        </w:rPr>
      </w:r>
      <w:bookmarkEnd w:id="43"/>
      <w:r>
        <w:rPr>
          <w:highlight w:val="none"/>
        </w:rPr>
      </w:r>
      <w:r>
        <w:rPr>
          <w:highlight w:val="none"/>
        </w:rP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rPr>
                <w:highlight w:val="none"/>
              </w:rP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rPr>
                <w:highlight w:val="none"/>
              </w:rP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highlight w:val="none"/>
              </w:rPr>
            </w:pPr>
            <w:r>
              <w:rPr>
                <w:highlight w:val="none"/>
              </w:rPr>
            </w:r>
            <w:bookmarkStart w:id="44" w:name="XMMC"/>
            <w:r>
              <w:rPr>
                <w:highlight w:val="none"/>
              </w:rPr>
            </w:r>
            <w:bookmarkEnd w:id="44"/>
            <w:r>
              <w:rPr>
                <w:highlight w:val="none"/>
              </w:rPr>
            </w:r>
            <w:r>
              <w:rPr>
                <w:highlight w:val="none"/>
              </w:rP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45" w:name="JEXX"/>
            <w:r>
              <w:rPr>
                <w:highlight w:val="none"/>
              </w:rPr>
            </w:r>
            <w:bookmarkEnd w:id="45"/>
            <w:r>
              <w:rPr>
                <w:rFonts w:hint="eastAsia" w:ascii="宋体" w:hAnsi="宋体"/>
                <w:sz w:val="21"/>
                <w:szCs w:val="21"/>
                <w:highlight w:val="none"/>
              </w:rPr>
              <w:t xml:space="preserve">     （元人民币）</w:t>
            </w:r>
            <w:r>
              <w:rPr>
                <w:highlight w:val="none"/>
              </w:rP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rPr>
                <w:highlight w:val="none"/>
              </w:rP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sz w:val="21"/>
                <w:szCs w:val="21"/>
                <w:highlight w:val="none"/>
              </w:rPr>
            </w:pPr>
            <w:r>
              <w:rPr>
                <w:highlight w:val="none"/>
              </w:rPr>
            </w:r>
            <w:bookmarkStart w:id="46" w:name="JEDX"/>
            <w:r>
              <w:rPr>
                <w:highlight w:val="none"/>
              </w:rPr>
            </w:r>
            <w:bookmarkEnd w:id="46"/>
            <w:r>
              <w:rPr>
                <w:highlight w:val="none"/>
              </w:rPr>
            </w:r>
            <w:r>
              <w:rPr>
                <w:highlight w:val="none"/>
              </w:rP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rPr>
          <w:highlight w:val="none"/>
        </w:rP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47" w:name="NF"/>
      <w:r>
        <w:rPr>
          <w:highlight w:val="none"/>
        </w:rPr>
      </w:r>
      <w:bookmarkEnd w:id="47"/>
      <w:r>
        <w:rPr>
          <w:rFonts w:hint="eastAsia" w:ascii="宋体" w:hAnsi="宋体"/>
          <w:sz w:val="21"/>
          <w:szCs w:val="21"/>
          <w:highlight w:val="none"/>
        </w:rPr>
        <w:t xml:space="preserve"> 年 </w:t>
      </w:r>
      <w:bookmarkStart w:id="48" w:name="YF"/>
      <w:r>
        <w:rPr>
          <w:highlight w:val="none"/>
        </w:rPr>
      </w:r>
      <w:bookmarkEnd w:id="48"/>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49" w:name="RI"/>
      <w:r>
        <w:rPr>
          <w:highlight w:val="none"/>
        </w:rPr>
      </w:r>
      <w:bookmarkEnd w:id="49"/>
      <w:r>
        <w:rPr>
          <w:rFonts w:ascii="宋体" w:hAnsi="宋体"/>
          <w:sz w:val="21"/>
          <w:szCs w:val="21"/>
          <w:highlight w:val="none"/>
        </w:rPr>
        <w:t xml:space="preserve"> </w:t>
      </w:r>
      <w:r>
        <w:rPr>
          <w:rFonts w:hint="eastAsia" w:ascii="宋体" w:hAnsi="宋体"/>
          <w:sz w:val="21"/>
          <w:szCs w:val="21"/>
          <w:highlight w:val="none"/>
        </w:rPr>
        <w:t xml:space="preserve"> 日</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填写说明：</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1、开标一览表必须加盖投标人公章（复印件无效）。</w:t>
      </w:r>
      <w:r>
        <w:rPr>
          <w:highlight w:val="none"/>
        </w:rP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2、如有分包，投标人投任何一个包的标的，都需单独填写开标一览表。</w:t>
      </w:r>
      <w:r>
        <w:rPr>
          <w:highlight w:val="none"/>
        </w:rPr>
      </w:r>
    </w:p>
    <w:p>
      <w:pPr>
        <w:pStyle w:val="903"/>
        <w:rPr>
          <w:rFonts w:ascii="宋体" w:hAnsi="宋体"/>
          <w:highlight w:val="none"/>
        </w:rPr>
      </w:pPr>
      <w:r>
        <w:rPr>
          <w:rFonts w:ascii="宋体" w:hAnsi="宋体"/>
          <w:highlight w:val="none"/>
        </w:rPr>
      </w:r>
      <w:r>
        <w:rPr>
          <w:highlight w:val="none"/>
        </w:rPr>
      </w:r>
    </w:p>
    <w:p>
      <w:pPr>
        <w:ind w:left="0"/>
        <w:spacing w:line="440" w:lineRule="exact"/>
        <w:rPr>
          <w:rFonts w:ascii="宋体" w:hAnsi="宋体"/>
          <w:b/>
          <w:sz w:val="21"/>
          <w:szCs w:val="21"/>
          <w:highlight w:val="none"/>
        </w:rPr>
      </w:pPr>
      <w:r>
        <w:rPr>
          <w:highlight w:val="none"/>
        </w:rPr>
      </w:r>
      <w:bookmarkStart w:id="50" w:name="_Toc7945"/>
      <w:r>
        <w:rPr>
          <w:highlight w:val="none"/>
        </w:rPr>
      </w:r>
      <w:bookmarkStart w:id="51" w:name="_Toc241"/>
      <w:r>
        <w:rPr>
          <w:highlight w:val="none"/>
        </w:rPr>
      </w:r>
      <w:bookmarkStart w:id="52" w:name="_Toc71810482"/>
      <w:r>
        <w:rPr>
          <w:highlight w:val="none"/>
        </w:rPr>
      </w:r>
      <w:r>
        <w:rPr>
          <w:highlight w:val="none"/>
        </w:rP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p>
    <w:p>
      <w:pPr>
        <w:pStyle w:val="903"/>
        <w:rPr>
          <w:rFonts w:ascii="宋体" w:hAnsi="宋体"/>
          <w:highlight w:val="none"/>
        </w:rPr>
      </w:pPr>
      <w:r>
        <w:rPr>
          <w:rFonts w:ascii="宋体" w:hAnsi="宋体"/>
          <w:highlight w:val="none"/>
        </w:rPr>
      </w:r>
      <w:r>
        <w:rPr>
          <w:highlight w:val="none"/>
        </w:rP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p>
    <w:p>
      <w:pPr>
        <w:ind w:left="0"/>
        <w:jc w:val="left"/>
        <w:rPr>
          <w:rFonts w:ascii="宋体" w:hAnsi="宋体"/>
          <w:b/>
          <w:sz w:val="21"/>
          <w:szCs w:val="21"/>
          <w:highlight w:val="none"/>
        </w:rPr>
      </w:pPr>
      <w:r>
        <w:rPr>
          <w:highlight w:val="none"/>
        </w:rPr>
      </w:r>
      <w:bookmarkStart w:id="53" w:name="_Toc159146116"/>
      <w:r>
        <w:rPr>
          <w:highlight w:val="none"/>
        </w:rPr>
      </w:r>
      <w:bookmarkStart w:id="54" w:name="_Toc105397781"/>
      <w:r>
        <w:rPr>
          <w:rFonts w:ascii="宋体" w:hAnsi="宋体"/>
          <w:b/>
          <w:sz w:val="21"/>
          <w:szCs w:val="21"/>
          <w:highlight w:val="none"/>
        </w:rPr>
        <w:br w:type="page" w:clear="all"/>
      </w:r>
      <w:r>
        <w:rPr>
          <w:highlight w:val="none"/>
        </w:rPr>
      </w:r>
    </w:p>
    <w:p>
      <w:pPr>
        <w:ind w:left="0"/>
        <w:rPr>
          <w:rFonts w:ascii="宋体" w:hAnsi="宋体"/>
          <w:b/>
          <w:sz w:val="21"/>
          <w:szCs w:val="21"/>
          <w:highlight w:val="none"/>
        </w:rPr>
        <w:outlineLvl w:val="0"/>
      </w:pPr>
      <w:r>
        <w:rPr>
          <w:rFonts w:ascii="宋体" w:hAnsi="宋体"/>
          <w:b/>
          <w:sz w:val="21"/>
          <w:szCs w:val="21"/>
          <w:highlight w:val="none"/>
        </w:rPr>
        <w:t xml:space="preserve">附件3</w:t>
      </w:r>
      <w:bookmarkEnd w:id="50"/>
      <w:r>
        <w:rPr>
          <w:highlight w:val="none"/>
        </w:rPr>
      </w:r>
      <w:bookmarkEnd w:id="51"/>
      <w:r>
        <w:rPr>
          <w:rFonts w:hint="eastAsia" w:ascii="宋体" w:hAnsi="宋体"/>
          <w:b/>
          <w:sz w:val="21"/>
          <w:szCs w:val="21"/>
          <w:highlight w:val="none"/>
        </w:rPr>
        <w:t xml:space="preserve">.</w:t>
      </w:r>
      <w:r>
        <w:rPr>
          <w:rFonts w:hint="eastAsia" w:ascii="宋体" w:hAnsi="宋体"/>
          <w:highlight w:val="none"/>
        </w:rPr>
        <w:t xml:space="preserve"> </w:t>
      </w:r>
      <w:r>
        <w:rPr>
          <w:rFonts w:hint="eastAsia" w:ascii="宋体" w:hAnsi="宋体"/>
          <w:b/>
          <w:sz w:val="21"/>
          <w:szCs w:val="21"/>
          <w:highlight w:val="none"/>
        </w:rPr>
        <w:t xml:space="preserve">公开分项报价</w:t>
      </w:r>
      <w:bookmarkEnd w:id="52"/>
      <w:r>
        <w:rPr>
          <w:highlight w:val="none"/>
        </w:rPr>
      </w:r>
      <w:bookmarkEnd w:id="53"/>
      <w:r>
        <w:rPr>
          <w:highlight w:val="none"/>
        </w:rPr>
      </w:r>
      <w:bookmarkEnd w:id="54"/>
      <w:r>
        <w:rPr>
          <w:highlight w:val="none"/>
        </w:rPr>
      </w:r>
      <w:r>
        <w:rPr>
          <w:highlight w:val="none"/>
        </w:rPr>
      </w:r>
    </w:p>
    <w:p>
      <w:pPr>
        <w:ind w:left="0"/>
        <w:jc w:val="center"/>
        <w:widowControl w:val="off"/>
        <w:rPr>
          <w:rFonts w:ascii="宋体" w:hAnsi="宋体"/>
          <w:b/>
          <w:sz w:val="21"/>
          <w:szCs w:val="21"/>
          <w:highlight w:val="none"/>
        </w:rPr>
      </w:pPr>
      <w:r>
        <w:rPr>
          <w:rFonts w:hint="eastAsia" w:ascii="宋体" w:hAnsi="宋体"/>
          <w:b/>
          <w:sz w:val="21"/>
          <w:szCs w:val="21"/>
          <w:highlight w:val="none"/>
        </w:rPr>
        <w:t xml:space="preserve">公开分项报价</w:t>
      </w:r>
      <w:r>
        <w:rPr>
          <w:highlight w:val="none"/>
        </w:rPr>
      </w:r>
    </w:p>
    <w:p>
      <w:pPr>
        <w:ind w:left="0"/>
        <w:jc w:val="left"/>
        <w:widowControl w:val="off"/>
        <w:rPr>
          <w:rFonts w:ascii="宋体" w:hAnsi="宋体"/>
          <w:sz w:val="21"/>
          <w:szCs w:val="21"/>
          <w:highlight w:val="none"/>
        </w:rPr>
      </w:pPr>
      <w:r>
        <w:rPr>
          <w:rFonts w:hint="eastAsia" w:ascii="宋体" w:hAnsi="宋体"/>
          <w:sz w:val="21"/>
          <w:szCs w:val="21"/>
          <w:highlight w:val="none"/>
        </w:rPr>
        <w:t xml:space="preserve">项目编号：  </w:t>
      </w:r>
      <w:r>
        <w:rPr>
          <w:highlight w:val="none"/>
        </w:rP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1038"/>
        <w:gridCol w:w="2557"/>
        <w:gridCol w:w="1024"/>
        <w:gridCol w:w="1081"/>
        <w:gridCol w:w="1650"/>
        <w:gridCol w:w="1538"/>
        <w:gridCol w:w="1189"/>
      </w:tblGrid>
      <w:tr>
        <w:trPr>
          <w:jc w:val="center"/>
          <w:trHeight w:val="638"/>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lang w:bidi="ar"/>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lang w:bidi="ar"/>
              </w:rPr>
              <w:t xml:space="preserve">项目</w:t>
            </w:r>
            <w:r>
              <w:rPr>
                <w:highlight w:val="none"/>
              </w:rP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lang w:bidi="ar"/>
              </w:rPr>
              <w:t xml:space="preserve">单位</w:t>
            </w:r>
            <w:r>
              <w:rPr>
                <w:highlight w:val="none"/>
              </w:rP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lang w:bidi="ar"/>
              </w:rPr>
              <w:t xml:space="preserve">数量</w:t>
            </w:r>
            <w:r>
              <w:rPr>
                <w:highlight w:val="none"/>
              </w:rP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lang w:bidi="ar"/>
              </w:rPr>
              <w:t xml:space="preserve">单价（元）</w:t>
            </w:r>
            <w:r>
              <w:rPr>
                <w:highlight w:val="none"/>
              </w:rP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lang w:bidi="ar"/>
              </w:rPr>
              <w:t xml:space="preserve">总价（元）</w:t>
            </w:r>
            <w:r>
              <w:rPr>
                <w:highlight w:val="none"/>
              </w:rP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lang w:bidi="ar"/>
              </w:rPr>
              <w:t xml:space="preserve">备注</w:t>
            </w:r>
            <w:r>
              <w:rPr>
                <w:highlight w:val="none"/>
              </w:rP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highlight w:val="none"/>
              </w:rPr>
            </w:pPr>
            <w:r>
              <w:rPr>
                <w:rFonts w:hint="eastAsia" w:ascii="宋体" w:hAnsi="宋体"/>
                <w:sz w:val="21"/>
                <w:szCs w:val="21"/>
                <w:highlight w:val="none"/>
                <w:lang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highlight w:val="none"/>
              </w:rPr>
            </w:pPr>
            <w:r>
              <w:rPr>
                <w:rFonts w:ascii="宋体" w:hAnsi="宋体" w:cs="Tahoma"/>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rPr>
                <w:highlight w:val="none"/>
              </w:rP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highlight w:val="none"/>
              </w:rPr>
            </w:pPr>
            <w:r>
              <w:rPr>
                <w:rFonts w:hint="eastAsia" w:ascii="宋体" w:hAnsi="宋体"/>
                <w:sz w:val="21"/>
                <w:szCs w:val="21"/>
                <w:highlight w:val="none"/>
                <w:lang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lang w:bidi="ar"/>
              </w:rPr>
            </w:r>
            <w:r>
              <w:rPr>
                <w:highlight w:val="none"/>
              </w:rP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highlight w:val="none"/>
              </w:rPr>
            </w:pPr>
            <w:r>
              <w:rPr>
                <w:rFonts w:ascii="宋体" w:hAnsi="宋体" w:cs="Tahoma"/>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rPr>
                <w:highlight w:val="none"/>
              </w:rP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highlight w:val="none"/>
              </w:rPr>
            </w:pPr>
            <w:r>
              <w:rPr>
                <w:rFonts w:hint="eastAsia" w:ascii="宋体" w:hAnsi="宋体"/>
                <w:sz w:val="21"/>
                <w:szCs w:val="21"/>
                <w:highlight w:val="none"/>
                <w:lang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lang w:bidi="ar"/>
              </w:rPr>
            </w:r>
            <w:r>
              <w:rPr>
                <w:highlight w:val="none"/>
              </w:rP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highlight w:val="none"/>
              </w:rPr>
            </w:pPr>
            <w:r>
              <w:rPr>
                <w:rFonts w:ascii="宋体" w:hAnsi="宋体" w:cs="Tahoma"/>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rPr>
                <w:highlight w:val="none"/>
              </w:rP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lang w:bidi="ar"/>
              </w:rPr>
            </w:r>
            <w:r>
              <w:rPr>
                <w:highlight w:val="none"/>
              </w:rP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4"/>
                <w:szCs w:val="24"/>
                <w:highlight w:val="none"/>
              </w:rPr>
            </w:pPr>
            <w:r>
              <w:rPr>
                <w:rFonts w:ascii="宋体" w:hAnsi="宋体" w:cs="Times New Roman"/>
                <w:sz w:val="24"/>
                <w:szCs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lang w:bidi="ar"/>
              </w:rPr>
            </w:r>
            <w:r>
              <w:rPr>
                <w:highlight w:val="none"/>
              </w:rP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highlight w:val="none"/>
              </w:rPr>
            </w:pPr>
            <w:r>
              <w:rPr>
                <w:rFonts w:ascii="宋体" w:hAnsi="宋体" w:cs="Tahoma"/>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rPr>
                <w:highlight w:val="none"/>
              </w:rP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lang w:bidi="ar"/>
              </w:rPr>
            </w:r>
            <w:r>
              <w:rPr>
                <w:highlight w:val="none"/>
              </w:rP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lang w:bidi="ar"/>
              </w:rPr>
            </w:r>
            <w:r>
              <w:rPr>
                <w:highlight w:val="none"/>
              </w:rP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highlight w:val="none"/>
              </w:rPr>
            </w:pPr>
            <w:r>
              <w:rPr>
                <w:rFonts w:ascii="宋体" w:hAnsi="宋体" w:cs="Tahoma"/>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rPr>
                <w:highlight w:val="none"/>
              </w:rP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lang w:bidi="ar"/>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1"/>
                <w:szCs w:val="21"/>
                <w:highlight w:val="none"/>
              </w:rPr>
            </w:pPr>
            <w:r>
              <w:rPr>
                <w:rFonts w:ascii="宋体" w:hAnsi="宋体" w:cs="Times New Roman"/>
                <w:sz w:val="21"/>
                <w:szCs w:val="21"/>
                <w:highlight w:val="none"/>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lang w:bidi="ar"/>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highlight w:val="none"/>
              </w:rPr>
            </w:pPr>
            <w:r>
              <w:rPr>
                <w:rFonts w:ascii="宋体" w:hAnsi="宋体" w:cs="Tahoma"/>
                <w:sz w:val="21"/>
                <w:szCs w:val="21"/>
                <w:highlight w:val="none"/>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t xml:space="preserve">…</w:t>
            </w:r>
            <w:r>
              <w:rPr>
                <w:highlight w:val="none"/>
              </w:rPr>
            </w:r>
          </w:p>
        </w:tc>
      </w:tr>
    </w:tbl>
    <w:p>
      <w:pPr>
        <w:pStyle w:val="889"/>
        <w:rPr>
          <w:rFonts w:ascii="宋体" w:hAnsi="宋体"/>
          <w:highlight w:val="none"/>
        </w:rPr>
      </w:pPr>
      <w:r>
        <w:rPr>
          <w:rFonts w:ascii="宋体" w:hAnsi="宋体"/>
          <w:highlight w:val="none"/>
        </w:rPr>
      </w:r>
      <w:r>
        <w:rPr>
          <w:highlight w:val="none"/>
        </w:rPr>
      </w:r>
    </w:p>
    <w:p>
      <w:pPr>
        <w:ind w:left="1026" w:firstLine="4830"/>
        <w:jc w:val="left"/>
        <w:rPr>
          <w:rFonts w:ascii="宋体" w:hAnsi="宋体"/>
          <w:sz w:val="21"/>
          <w:szCs w:val="21"/>
          <w:highlight w:val="none"/>
        </w:rPr>
      </w:pPr>
      <w:r>
        <w:rPr>
          <w:rFonts w:ascii="宋体" w:hAnsi="宋体"/>
          <w:sz w:val="21"/>
          <w:szCs w:val="21"/>
          <w:highlight w:val="none"/>
        </w:rPr>
        <w:t xml:space="preserve">投标人（盖章）： </w:t>
      </w:r>
      <w:r>
        <w:rPr>
          <w:highlight w:val="none"/>
        </w:rPr>
      </w:r>
    </w:p>
    <w:p>
      <w:pPr>
        <w:ind w:left="1026" w:firstLine="4830"/>
        <w:jc w:val="left"/>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p>
    <w:p>
      <w:pPr>
        <w:ind w:left="1026" w:firstLine="4830"/>
        <w:jc w:val="left"/>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注：</w:t>
      </w:r>
      <w:r>
        <w:rPr>
          <w:highlight w:val="none"/>
        </w:rP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1、报价表包含投标单位各项成本核算和投入的成本明细，公开分项报价中的合计金额应与开标一览表合计金额一致；否则，以开标一览表为准。</w:t>
      </w:r>
      <w:r>
        <w:rPr>
          <w:highlight w:val="none"/>
        </w:rP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2、凡涉及到的费用应按劳动法规定执行。</w:t>
      </w:r>
      <w:r>
        <w:rPr>
          <w:highlight w:val="none"/>
        </w:rPr>
      </w:r>
    </w:p>
    <w:p>
      <w:pPr>
        <w:pStyle w:val="938"/>
        <w:ind w:left="400" w:firstLine="400"/>
        <w:rPr>
          <w:rFonts w:ascii="宋体" w:hAnsi="宋体"/>
          <w:highlight w:val="none"/>
        </w:rPr>
      </w:pPr>
      <w:r>
        <w:rPr>
          <w:rFonts w:ascii="宋体" w:hAnsi="宋体"/>
          <w:highlight w:val="none"/>
        </w:rPr>
      </w:r>
      <w:r>
        <w:rPr>
          <w:highlight w:val="none"/>
        </w:rPr>
      </w:r>
    </w:p>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p>
    <w:p>
      <w:pPr>
        <w:ind w:left="0"/>
        <w:rPr>
          <w:rFonts w:ascii="宋体" w:hAnsi="宋体"/>
          <w:sz w:val="21"/>
          <w:szCs w:val="21"/>
          <w:highlight w:val="none"/>
        </w:rPr>
        <w:outlineLvl w:val="0"/>
      </w:pPr>
      <w:r>
        <w:rPr>
          <w:rFonts w:ascii="宋体" w:hAnsi="宋体"/>
          <w:b/>
          <w:sz w:val="21"/>
          <w:szCs w:val="21"/>
          <w:highlight w:val="none"/>
        </w:rPr>
        <w:br w:type="page" w:clear="all"/>
      </w:r>
      <w:bookmarkStart w:id="55" w:name="_Toc71810483"/>
      <w:r>
        <w:rPr>
          <w:highlight w:val="none"/>
        </w:rPr>
      </w:r>
      <w:bookmarkStart w:id="56" w:name="_Toc105397782"/>
      <w:r>
        <w:rPr>
          <w:highlight w:val="none"/>
        </w:rPr>
      </w:r>
      <w:bookmarkStart w:id="57" w:name="_Toc159146117"/>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55"/>
      <w:r>
        <w:rPr>
          <w:highlight w:val="none"/>
        </w:rPr>
      </w:r>
      <w:bookmarkEnd w:id="56"/>
      <w:r>
        <w:rPr>
          <w:highlight w:val="none"/>
        </w:rPr>
      </w:r>
      <w:bookmarkEnd w:id="57"/>
      <w:r>
        <w:rPr>
          <w:highlight w:val="none"/>
        </w:rPr>
      </w:r>
      <w:r>
        <w:rPr>
          <w:highlight w:val="none"/>
        </w:rP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rPr>
          <w:highlight w:val="none"/>
        </w:rP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苏州公正建设咨询房地产评估有限公司</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rPr>
          <w:highlight w:val="none"/>
        </w:rP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rPr>
          <w:highlight w:val="none"/>
        </w:rP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rPr>
          <w:highlight w:val="none"/>
        </w:rPr>
      </w:r>
    </w:p>
    <w:p>
      <w:pPr>
        <w:pStyle w:val="903"/>
        <w:rPr>
          <w:rFonts w:ascii="宋体" w:hAnsi="宋体"/>
          <w:highlight w:val="none"/>
        </w:rPr>
      </w:pPr>
      <w:r>
        <w:rPr>
          <w:rFonts w:ascii="宋体" w:hAnsi="宋体"/>
          <w:highlight w:val="none"/>
        </w:rPr>
      </w:r>
      <w:r>
        <w:rPr>
          <w:highlight w:val="none"/>
        </w:rPr>
      </w:r>
    </w:p>
    <w:p>
      <w:pPr>
        <w:ind w:left="0" w:firstLine="420"/>
        <w:jc w:val="left"/>
        <w:spacing w:line="360" w:lineRule="auto"/>
        <w:rPr>
          <w:rFonts w:ascii="宋体" w:hAnsi="宋体"/>
          <w:sz w:val="21"/>
          <w:szCs w:val="21"/>
          <w:highlight w:val="none"/>
        </w:rPr>
      </w:pPr>
      <w:r>
        <w:rPr>
          <w:rFonts w:ascii="宋体" w:hAnsi="宋体"/>
          <w:sz w:val="21"/>
          <w:szCs w:val="21"/>
          <w:highlight w:val="none"/>
        </w:rPr>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rPr>
          <w:highlight w:val="none"/>
        </w:rP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58" w:name="_Toc159146118"/>
      <w:r>
        <w:rPr>
          <w:highlight w:val="none"/>
        </w:rPr>
      </w:r>
      <w:bookmarkStart w:id="59" w:name="_Toc21574"/>
      <w:r>
        <w:rPr>
          <w:highlight w:val="none"/>
        </w:rPr>
      </w:r>
      <w:bookmarkStart w:id="60" w:name="_Toc71810484"/>
      <w:r>
        <w:rPr>
          <w:highlight w:val="none"/>
        </w:rPr>
      </w:r>
      <w:bookmarkStart w:id="61" w:name="_Toc105397783"/>
      <w:r>
        <w:rPr>
          <w:highlight w:val="none"/>
        </w:rPr>
      </w:r>
      <w:bookmarkStart w:id="62" w:name="_Toc19621"/>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58"/>
      <w:r>
        <w:rPr>
          <w:highlight w:val="none"/>
        </w:rPr>
      </w:r>
      <w:bookmarkEnd w:id="59"/>
      <w:r>
        <w:rPr>
          <w:highlight w:val="none"/>
        </w:rPr>
      </w:r>
      <w:bookmarkEnd w:id="60"/>
      <w:r>
        <w:rPr>
          <w:highlight w:val="none"/>
        </w:rPr>
      </w:r>
      <w:bookmarkEnd w:id="61"/>
      <w:r>
        <w:rPr>
          <w:highlight w:val="none"/>
        </w:rPr>
      </w:r>
      <w:bookmarkEnd w:id="62"/>
      <w:r>
        <w:rPr>
          <w:highlight w:val="none"/>
        </w:rPr>
      </w:r>
      <w:r>
        <w:rPr>
          <w:highlight w:val="none"/>
        </w:rP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中小企业声明函（服务）</w:t>
      </w:r>
      <w:r>
        <w:rPr>
          <w:highlight w:val="none"/>
        </w:rP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苏州公正建设咨询房地产评估有限公司：</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sz w:val="21"/>
          <w:szCs w:val="21"/>
          <w:highlight w:val="none"/>
          <w:u w:val="single"/>
        </w:rPr>
        <w:t xml:space="preserve">（单位名称）</w:t>
      </w:r>
      <w:r>
        <w:rPr>
          <w:rFonts w:hint="eastAsia" w:ascii="宋体" w:hAnsi="宋体"/>
          <w:sz w:val="21"/>
          <w:szCs w:val="21"/>
          <w:highlight w:val="none"/>
        </w:rPr>
        <w:t xml:space="preserve">的</w:t>
      </w:r>
      <w:r>
        <w:rPr>
          <w:rFonts w:hint="eastAsia" w:ascii="宋体" w:hAnsi="宋体"/>
          <w:sz w:val="21"/>
          <w:szCs w:val="21"/>
          <w:highlight w:val="none"/>
          <w:u w:val="single"/>
        </w:rPr>
        <w:t xml:space="preserve">（项目名称）</w:t>
      </w:r>
      <w:r>
        <w:rPr>
          <w:rFonts w:hint="eastAsia" w:ascii="宋体" w:hAnsi="宋体"/>
          <w:sz w:val="21"/>
          <w:szCs w:val="21"/>
          <w:highlight w:val="none"/>
        </w:rPr>
        <w:t xml:space="preserve">采购活动，服务全部由符合政策要求的中小企业承接。相关企业（含联合体中的中小企业、签订分包意向协议的中小企业）的具体情况如下：</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（项目名称）</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（招标文件中明确的所属行业）行业</w:t>
      </w:r>
      <w:r>
        <w:rPr>
          <w:rFonts w:hint="eastAsia" w:ascii="宋体" w:hAnsi="宋体"/>
          <w:sz w:val="21"/>
          <w:szCs w:val="21"/>
          <w:highlight w:val="none"/>
        </w:rPr>
        <w:t xml:space="preserve">；承接企业为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947"/>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（项目名称）</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（招标文件中明确的所属行业）行业</w:t>
      </w:r>
      <w:r>
        <w:rPr>
          <w:rFonts w:hint="eastAsia" w:ascii="宋体" w:hAnsi="宋体"/>
          <w:sz w:val="21"/>
          <w:szCs w:val="21"/>
          <w:highlight w:val="none"/>
          <w:lang w:val="zh-CN"/>
        </w:rPr>
        <w:t xml:space="preserve">；承接企业为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rPr>
          <w:highlight w:val="none"/>
        </w:rP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p>
    <w:p>
      <w:pPr>
        <w:ind w:firstLine="420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rPr>
          <w:highlight w:val="none"/>
        </w:rPr>
      </w:r>
    </w:p>
    <w:p>
      <w:pPr>
        <w:ind w:left="0" w:right="2500" w:firstLine="5250"/>
        <w:spacing w:line="360" w:lineRule="auto"/>
        <w:rPr>
          <w:rFonts w:ascii="宋体" w:hAnsi="宋体"/>
          <w:sz w:val="21"/>
          <w:szCs w:val="21"/>
          <w:highlight w:val="none"/>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w:t>
      </w:r>
      <w:r>
        <w:rPr>
          <w:rFonts w:ascii="宋体" w:hAnsi="宋体"/>
          <w:sz w:val="21"/>
          <w:szCs w:val="21"/>
          <w:highlight w:val="none"/>
          <w:lang w:val="zh-CN"/>
        </w:rPr>
        <w:t xml:space="preserve"> </w:t>
      </w:r>
      <w:r>
        <w:rPr>
          <w:rFonts w:hint="eastAsia" w:ascii="宋体" w:hAnsi="宋体"/>
          <w:sz w:val="21"/>
          <w:szCs w:val="21"/>
          <w:highlight w:val="none"/>
          <w:lang w:val="zh-CN"/>
        </w:rPr>
        <w:t xml:space="preserve">日</w:t>
      </w:r>
      <w:r>
        <w:rPr>
          <w:highlight w:val="none"/>
        </w:rPr>
      </w:r>
    </w:p>
    <w:p>
      <w:pPr>
        <w:ind w:left="0"/>
        <w:spacing w:line="280" w:lineRule="exact"/>
        <w:rPr>
          <w:rFonts w:ascii="宋体" w:hAnsi="宋体"/>
          <w:highlight w:val="none"/>
        </w:rPr>
      </w:pPr>
      <w:r>
        <w:rPr>
          <w:highlight w:val="none"/>
        </w:rPr>
      </w:r>
      <w:bookmarkStart w:id="63" w:name="_Toc71810485"/>
      <w:r>
        <w:rPr>
          <w:highlight w:val="none"/>
        </w:rPr>
      </w:r>
      <w:r>
        <w:rPr>
          <w:highlight w:val="none"/>
        </w:rPr>
      </w:r>
    </w:p>
    <w:p>
      <w:pPr>
        <w:ind w:left="0"/>
        <w:rPr>
          <w:rFonts w:ascii="宋体" w:hAnsi="宋体" w:cs="Times New Roman"/>
          <w:highlight w:val="none"/>
        </w:rPr>
      </w:pPr>
      <w:r>
        <w:rPr>
          <w:rFonts w:ascii="宋体" w:hAnsi="宋体" w:cs="Times New Roman"/>
          <w:highlight w:val="none"/>
          <w:lang w:val="zh-CN"/>
        </w:rPr>
      </w:r>
      <w:r>
        <w:rPr>
          <w:highlight w:val="none"/>
        </w:rPr>
      </w:r>
    </w:p>
    <w:p>
      <w:pPr>
        <w:pStyle w:val="903"/>
        <w:rPr>
          <w:rFonts w:ascii="宋体" w:hAnsi="宋体"/>
          <w:highlight w:val="none"/>
        </w:rPr>
      </w:pPr>
      <w:r>
        <w:rPr>
          <w:rFonts w:ascii="宋体" w:hAnsi="宋体"/>
          <w:highlight w:val="none"/>
          <w:lang w:val="zh-CN"/>
        </w:rPr>
      </w:r>
      <w:r>
        <w:rPr>
          <w:highlight w:val="none"/>
        </w:rPr>
      </w:r>
    </w:p>
    <w:p>
      <w:pPr>
        <w:ind w:left="0"/>
        <w:jc w:val="left"/>
        <w:rPr>
          <w:rFonts w:ascii="宋体" w:hAnsi="宋体"/>
          <w:b/>
          <w:sz w:val="21"/>
          <w:szCs w:val="21"/>
          <w:highlight w:val="none"/>
        </w:rPr>
      </w:pPr>
      <w:r>
        <w:rPr>
          <w:highlight w:val="none"/>
        </w:rPr>
      </w:r>
      <w:bookmarkStart w:id="64" w:name="_Toc159146119"/>
      <w:r>
        <w:rPr>
          <w:highlight w:val="none"/>
        </w:rPr>
      </w:r>
      <w:bookmarkStart w:id="65" w:name="_Toc105397784"/>
      <w:r>
        <w:rPr>
          <w:rFonts w:ascii="宋体" w:hAnsi="宋体"/>
          <w:b/>
          <w:sz w:val="21"/>
          <w:szCs w:val="21"/>
          <w:highlight w:val="none"/>
        </w:rPr>
        <w:br w:type="page" w:clear="all"/>
      </w:r>
      <w:r>
        <w:rPr>
          <w:highlight w:val="none"/>
        </w:rPr>
      </w:r>
    </w:p>
    <w:p>
      <w:pPr>
        <w:ind w:left="0"/>
        <w:jc w:val="left"/>
        <w:rPr>
          <w:rFonts w:ascii="宋体" w:hAnsi="宋体"/>
          <w:b/>
          <w:bCs/>
          <w:sz w:val="21"/>
          <w:szCs w:val="21"/>
          <w:highlight w:val="none"/>
        </w:rPr>
        <w:outlineLvl w:val="0"/>
      </w:pPr>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63"/>
      <w:r>
        <w:rPr>
          <w:highlight w:val="none"/>
        </w:rPr>
      </w:r>
      <w:bookmarkEnd w:id="64"/>
      <w:r>
        <w:rPr>
          <w:highlight w:val="none"/>
        </w:rPr>
      </w:r>
      <w:bookmarkEnd w:id="65"/>
      <w:r>
        <w:rPr>
          <w:highlight w:val="none"/>
        </w:rPr>
      </w:r>
      <w:r>
        <w:rPr>
          <w:highlight w:val="none"/>
        </w:rP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rPr>
          <w:highlight w:val="none"/>
        </w:rPr>
      </w:r>
    </w:p>
    <w:p>
      <w:pPr>
        <w:ind w:left="0"/>
        <w:spacing w:line="360" w:lineRule="auto"/>
        <w:rPr>
          <w:rFonts w:ascii="宋体" w:hAnsi="宋体"/>
          <w:sz w:val="21"/>
          <w:szCs w:val="21"/>
          <w:highlight w:val="none"/>
        </w:rPr>
      </w:pPr>
      <w:r>
        <w:rPr>
          <w:highlight w:val="none"/>
        </w:rPr>
      </w:r>
      <w:bookmarkStart w:id="66" w:name="_Toc3869"/>
      <w:r>
        <w:rPr>
          <w:highlight w:val="none"/>
        </w:rPr>
      </w:r>
      <w:bookmarkStart w:id="67" w:name="_Toc32206"/>
      <w:r>
        <w:rPr>
          <w:highlight w:val="none"/>
        </w:rPr>
      </w:r>
      <w:bookmarkStart w:id="68" w:name="_Toc15378"/>
      <w:r>
        <w:rPr>
          <w:rFonts w:hint="eastAsia" w:ascii="宋体" w:hAnsi="宋体"/>
          <w:sz w:val="21"/>
          <w:szCs w:val="21"/>
          <w:highlight w:val="none"/>
          <w:u w:val="single"/>
          <w:lang w:val="zh-CN"/>
        </w:rPr>
        <w:t xml:space="preserve">苏州公正建设咨询房地产评估有限公司</w:t>
      </w:r>
      <w:r>
        <w:rPr>
          <w:rFonts w:hint="eastAsia" w:ascii="宋体" w:hAnsi="宋体"/>
          <w:sz w:val="21"/>
          <w:szCs w:val="21"/>
          <w:highlight w:val="none"/>
          <w:lang w:val="zh-CN"/>
        </w:rPr>
        <w:t xml:space="preserve">：</w:t>
      </w:r>
      <w:bookmarkEnd w:id="66"/>
      <w:r>
        <w:rPr>
          <w:highlight w:val="none"/>
        </w:rPr>
      </w:r>
      <w:bookmarkEnd w:id="67"/>
      <w:r>
        <w:rPr>
          <w:highlight w:val="none"/>
        </w:rPr>
      </w:r>
      <w:bookmarkEnd w:id="68"/>
      <w:r>
        <w:rPr>
          <w:highlight w:val="none"/>
        </w:rPr>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rPr>
          <w:highlight w:val="none"/>
        </w:rPr>
      </w:r>
    </w:p>
    <w:p>
      <w:pPr>
        <w:pStyle w:val="1378"/>
        <w:spacing w:line="360" w:lineRule="auto"/>
        <w:rPr>
          <w:rFonts w:hAnsi="宋体"/>
          <w:sz w:val="21"/>
          <w:szCs w:val="21"/>
          <w:highlight w:val="none"/>
        </w:rPr>
      </w:pPr>
      <w:r>
        <w:rPr>
          <w:rFonts w:hAnsi="宋体"/>
          <w:sz w:val="21"/>
          <w:szCs w:val="21"/>
          <w:highlight w:val="none"/>
        </w:rPr>
      </w:r>
      <w:r>
        <w:rPr>
          <w:highlight w:val="none"/>
        </w:rPr>
      </w:r>
    </w:p>
    <w:p>
      <w:pPr>
        <w:spacing w:line="360" w:lineRule="auto"/>
        <w:rPr>
          <w:rFonts w:ascii="宋体" w:hAnsi="宋体"/>
          <w:b/>
          <w:sz w:val="21"/>
          <w:szCs w:val="21"/>
          <w:highlight w:val="none"/>
        </w:rPr>
      </w:pPr>
      <w:r>
        <w:rPr>
          <w:rFonts w:ascii="宋体" w:hAnsi="宋体"/>
          <w:b/>
          <w:sz w:val="21"/>
          <w:szCs w:val="21"/>
          <w:highlight w:val="none"/>
        </w:rPr>
      </w:r>
      <w:r>
        <w:rPr>
          <w:highlight w:val="none"/>
        </w:rPr>
      </w:r>
    </w:p>
    <w:p>
      <w:pPr>
        <w:spacing w:line="360" w:lineRule="auto"/>
        <w:rPr>
          <w:rFonts w:ascii="宋体" w:hAnsi="宋体"/>
          <w:b/>
          <w:sz w:val="21"/>
          <w:szCs w:val="21"/>
          <w:highlight w:val="none"/>
        </w:rPr>
      </w:pPr>
      <w:r>
        <w:rPr>
          <w:rFonts w:ascii="宋体" w:hAnsi="宋体"/>
          <w:b/>
          <w:sz w:val="21"/>
          <w:szCs w:val="21"/>
          <w:highlight w:val="none"/>
        </w:rPr>
      </w:r>
      <w:r>
        <w:rPr>
          <w:highlight w:val="none"/>
        </w:rPr>
      </w:r>
    </w:p>
    <w:p>
      <w:pPr>
        <w:spacing w:line="360" w:lineRule="auto"/>
        <w:rPr>
          <w:rFonts w:ascii="宋体" w:hAnsi="宋体"/>
          <w:b/>
          <w:sz w:val="21"/>
          <w:szCs w:val="21"/>
          <w:highlight w:val="none"/>
        </w:rPr>
      </w:pPr>
      <w:r>
        <w:rPr>
          <w:rFonts w:ascii="宋体" w:hAnsi="宋体"/>
          <w:b/>
          <w:sz w:val="21"/>
          <w:szCs w:val="21"/>
          <w:highlight w:val="none"/>
        </w:rPr>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p>
    <w:p>
      <w:pPr>
        <w:spacing w:line="360" w:lineRule="auto"/>
        <w:rPr>
          <w:rFonts w:ascii="宋体" w:hAnsi="宋体"/>
          <w:sz w:val="21"/>
          <w:szCs w:val="21"/>
          <w:highlight w:val="none"/>
        </w:rPr>
      </w:pPr>
      <w:r>
        <w:rPr>
          <w:rFonts w:ascii="宋体" w:hAnsi="宋体"/>
          <w:sz w:val="21"/>
          <w:szCs w:val="21"/>
          <w:highlight w:val="none"/>
          <w:lang w:val="zh-CN"/>
        </w:rPr>
      </w:r>
      <w:r>
        <w:rPr>
          <w:highlight w:val="none"/>
        </w:rPr>
      </w:r>
    </w:p>
    <w:p>
      <w:pPr>
        <w:ind w:left="0"/>
        <w:jc w:val="left"/>
        <w:rPr>
          <w:rFonts w:ascii="宋体" w:hAnsi="宋体"/>
          <w:b/>
          <w:sz w:val="21"/>
          <w:szCs w:val="21"/>
          <w:highlight w:val="none"/>
        </w:rPr>
        <w:outlineLvl w:val="0"/>
      </w:pPr>
      <w:r>
        <w:rPr>
          <w:rFonts w:ascii="宋体" w:hAnsi="宋体"/>
          <w:sz w:val="21"/>
          <w:szCs w:val="21"/>
          <w:highlight w:val="none"/>
          <w:lang w:val="zh-CN"/>
        </w:rPr>
        <w:br w:type="page" w:clear="all"/>
      </w:r>
      <w:bookmarkStart w:id="69" w:name="_Toc71810487"/>
      <w:r>
        <w:rPr>
          <w:highlight w:val="none"/>
        </w:rPr>
      </w:r>
      <w:bookmarkStart w:id="70" w:name="_Toc159146120"/>
      <w:r>
        <w:rPr>
          <w:highlight w:val="none"/>
        </w:rPr>
      </w:r>
      <w:bookmarkStart w:id="71" w:name="_Toc105397785"/>
      <w:r>
        <w:rPr>
          <w:rFonts w:ascii="宋体" w:hAnsi="宋体"/>
          <w:b/>
          <w:sz w:val="21"/>
          <w:szCs w:val="21"/>
          <w:highlight w:val="none"/>
        </w:rPr>
        <w:t xml:space="preserve">附件7</w:t>
      </w:r>
      <w:r>
        <w:rPr>
          <w:rFonts w:hint="eastAsia" w:ascii="宋体" w:hAnsi="宋体"/>
          <w:b/>
          <w:sz w:val="21"/>
          <w:szCs w:val="21"/>
          <w:highlight w:val="none"/>
        </w:rPr>
        <w:t xml:space="preserve">.</w:t>
      </w:r>
      <w:bookmarkEnd w:id="69"/>
      <w:r>
        <w:rPr>
          <w:rFonts w:hint="eastAsia" w:ascii="宋体" w:hAnsi="宋体"/>
          <w:highlight w:val="none"/>
        </w:rPr>
        <w:t xml:space="preserve"> </w:t>
      </w:r>
      <w:r>
        <w:rPr>
          <w:rFonts w:hint="eastAsia" w:ascii="宋体" w:hAnsi="宋体"/>
          <w:b/>
          <w:sz w:val="21"/>
          <w:szCs w:val="21"/>
          <w:highlight w:val="none"/>
        </w:rPr>
        <w:t xml:space="preserve">偏离表</w:t>
      </w:r>
      <w:bookmarkEnd w:id="70"/>
      <w:r>
        <w:rPr>
          <w:highlight w:val="none"/>
        </w:rPr>
      </w:r>
      <w:bookmarkEnd w:id="71"/>
      <w:r>
        <w:rPr>
          <w:rFonts w:hint="eastAsia" w:ascii="宋体" w:hAnsi="宋体"/>
          <w:b/>
          <w:sz w:val="21"/>
          <w:szCs w:val="21"/>
          <w:highlight w:val="none"/>
        </w:rPr>
        <w:t xml:space="preserve">（商务、服务）</w:t>
      </w:r>
      <w:r>
        <w:rPr>
          <w:highlight w:val="none"/>
        </w:rP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商务</w:t>
      </w:r>
      <w:r>
        <w:rPr>
          <w:rFonts w:hint="eastAsia" w:ascii="宋体" w:hAnsi="宋体"/>
          <w:b/>
          <w:sz w:val="21"/>
          <w:szCs w:val="21"/>
          <w:highlight w:val="none"/>
        </w:rPr>
        <w:t xml:space="preserve">要求偏离表</w:t>
      </w:r>
      <w:r>
        <w:rPr>
          <w:highlight w:val="none"/>
        </w:rP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序号</w:t>
            </w:r>
            <w:r>
              <w:rPr>
                <w:highlight w:val="none"/>
              </w:rP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项目</w:t>
            </w:r>
            <w:r>
              <w:rPr>
                <w:highlight w:val="none"/>
              </w:rP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招标要求</w:t>
            </w:r>
            <w:r>
              <w:rPr>
                <w:highlight w:val="none"/>
              </w:rP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投标内容</w:t>
            </w:r>
            <w:r>
              <w:rPr>
                <w:highlight w:val="none"/>
              </w:rP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偏离说明</w:t>
            </w:r>
            <w:r>
              <w:rPr>
                <w:highlight w:val="none"/>
              </w:rPr>
            </w:r>
          </w:p>
        </w:tc>
        <w:tc>
          <w:tcPr>
            <w:tcW w:w="1418" w:type="dxa"/>
            <w:vAlign w:val="center"/>
            <w:textDirection w:val="lrTb"/>
            <w:noWrap w:val="false"/>
          </w:tcPr>
          <w:p>
            <w:pPr>
              <w:ind w:left="0"/>
              <w:jc w:val="center"/>
              <w:spacing w:line="60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证明材料</w:t>
            </w:r>
            <w:r>
              <w:rPr>
                <w:highlight w:val="none"/>
              </w:rP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以上表格内容不够的请自行添加。</w:t>
      </w:r>
      <w:r>
        <w:rPr>
          <w:highlight w:val="none"/>
        </w:rP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p>
    <w:p>
      <w:pPr>
        <w:ind w:left="0"/>
        <w:jc w:val="left"/>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服务要求偏离表</w:t>
      </w:r>
      <w:r>
        <w:rPr>
          <w:highlight w:val="none"/>
        </w:rP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序号</w:t>
            </w:r>
            <w:r>
              <w:rPr>
                <w:highlight w:val="none"/>
              </w:rP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项目</w:t>
            </w:r>
            <w:r>
              <w:rPr>
                <w:highlight w:val="none"/>
              </w:rP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招标要求</w:t>
            </w:r>
            <w:r>
              <w:rPr>
                <w:highlight w:val="none"/>
              </w:rP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投标内容</w:t>
            </w:r>
            <w:r>
              <w:rPr>
                <w:highlight w:val="none"/>
              </w:rP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偏离说明</w:t>
            </w:r>
            <w:r>
              <w:rPr>
                <w:highlight w:val="none"/>
              </w:rPr>
            </w:r>
          </w:p>
        </w:tc>
        <w:tc>
          <w:tcPr>
            <w:tcW w:w="1418" w:type="dxa"/>
            <w:vAlign w:val="center"/>
            <w:textDirection w:val="lrTb"/>
            <w:noWrap w:val="false"/>
          </w:tcPr>
          <w:p>
            <w:pPr>
              <w:ind w:left="0"/>
              <w:jc w:val="center"/>
              <w:spacing w:line="60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证明材料</w:t>
            </w:r>
            <w:r>
              <w:rPr>
                <w:highlight w:val="none"/>
              </w:rP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rPr>
          <w:highlight w:val="none"/>
        </w:rP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以上表格内容不够的请自行添加。</w:t>
      </w:r>
      <w:r>
        <w:rPr>
          <w:highlight w:val="none"/>
        </w:rP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p>
    <w:p>
      <w:pPr>
        <w:ind w:firstLine="4830"/>
        <w:jc w:val="left"/>
        <w:spacing w:line="360" w:lineRule="auto"/>
        <w:rPr>
          <w:rFonts w:ascii="宋体" w:hAnsi="宋体"/>
          <w:sz w:val="21"/>
          <w:szCs w:val="21"/>
          <w:highlight w:val="none"/>
        </w:rPr>
      </w:pPr>
      <w:r>
        <w:rPr>
          <w:highlight w:val="none"/>
        </w:rPr>
      </w:r>
      <w:bookmarkStart w:id="72" w:name="_Toc31973"/>
      <w:r>
        <w:rPr>
          <w:highlight w:val="none"/>
        </w:rPr>
      </w:r>
      <w:bookmarkStart w:id="73" w:name="_Toc27138"/>
      <w:r>
        <w:rPr>
          <w:rFonts w:ascii="宋体" w:hAnsi="宋体"/>
          <w:sz w:val="21"/>
          <w:szCs w:val="21"/>
          <w:highlight w:val="none"/>
        </w:rPr>
        <w:t xml:space="preserve"> </w:t>
      </w:r>
      <w:r>
        <w:rPr>
          <w:highlight w:val="none"/>
        </w:rPr>
      </w:r>
    </w:p>
    <w:p>
      <w:pPr>
        <w:pStyle w:val="903"/>
        <w:rPr>
          <w:rFonts w:ascii="宋体" w:hAnsi="宋体" w:cs="宋体"/>
          <w:sz w:val="21"/>
          <w:szCs w:val="21"/>
          <w:highlight w:val="none"/>
        </w:rPr>
      </w:pPr>
      <w:r>
        <w:rPr>
          <w:rFonts w:ascii="宋体" w:hAnsi="宋体" w:cs="宋体"/>
          <w:sz w:val="21"/>
          <w:szCs w:val="21"/>
          <w:highlight w:val="none"/>
        </w:rPr>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r>
      <w:r>
        <w:rPr>
          <w:highlight w:val="none"/>
        </w:rPr>
      </w:r>
    </w:p>
    <w:p>
      <w:pPr>
        <w:ind w:left="0"/>
        <w:jc w:val="left"/>
        <w:rPr>
          <w:rFonts w:ascii="宋体" w:hAnsi="宋体"/>
          <w:b/>
          <w:sz w:val="21"/>
          <w:szCs w:val="21"/>
          <w:highlight w:val="none"/>
        </w:rPr>
        <w:outlineLvl w:val="0"/>
      </w:pPr>
      <w:r>
        <w:rPr>
          <w:highlight w:val="none"/>
        </w:rPr>
      </w:r>
      <w:bookmarkStart w:id="74" w:name="_Toc159146121"/>
      <w:r>
        <w:rPr>
          <w:highlight w:val="none"/>
        </w:rPr>
      </w:r>
      <w:bookmarkStart w:id="75" w:name="_Toc105397786"/>
      <w:r>
        <w:rPr>
          <w:rFonts w:ascii="宋体" w:hAnsi="宋体"/>
          <w:b/>
          <w:sz w:val="21"/>
          <w:szCs w:val="21"/>
          <w:highlight w:val="none"/>
        </w:rPr>
        <w:t xml:space="preserve">附件8</w:t>
      </w:r>
      <w:r>
        <w:rPr>
          <w:rFonts w:hint="eastAsia" w:ascii="宋体" w:hAnsi="宋体"/>
          <w:b/>
          <w:sz w:val="21"/>
          <w:szCs w:val="21"/>
          <w:highlight w:val="none"/>
        </w:rPr>
        <w:t xml:space="preserve">.项目服务人员配置表</w:t>
      </w:r>
      <w:bookmarkEnd w:id="74"/>
      <w:r>
        <w:rPr>
          <w:highlight w:val="none"/>
        </w:rPr>
      </w:r>
      <w:bookmarkEnd w:id="75"/>
      <w:r>
        <w:rPr>
          <w:highlight w:val="none"/>
        </w:rPr>
      </w:r>
      <w:r>
        <w:rPr>
          <w:highlight w:val="none"/>
        </w:rP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项目服务人员配置表</w:t>
      </w:r>
      <w:r>
        <w:rPr>
          <w:highlight w:val="none"/>
        </w:rP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7"/>
        <w:gridCol w:w="1316"/>
        <w:gridCol w:w="1316"/>
        <w:gridCol w:w="1094"/>
        <w:gridCol w:w="849"/>
        <w:gridCol w:w="1114"/>
        <w:gridCol w:w="1336"/>
        <w:gridCol w:w="1214"/>
        <w:gridCol w:w="978"/>
      </w:tblGrid>
      <w:tr>
        <w:trPr>
          <w:jc w:val="center"/>
          <w:trHeight w:val="760"/>
        </w:trPr>
        <w:tc>
          <w:tcPr>
            <w:tcW w:w="637"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rPr>
                <w:highlight w:val="none"/>
              </w:rPr>
            </w:r>
          </w:p>
        </w:tc>
        <w:tc>
          <w:tcPr>
            <w:tcW w:w="131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部门</w:t>
            </w:r>
            <w:r>
              <w:rPr>
                <w:highlight w:val="none"/>
              </w:rPr>
            </w:r>
          </w:p>
        </w:tc>
        <w:tc>
          <w:tcPr>
            <w:tcW w:w="131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岗位</w:t>
            </w:r>
            <w:r>
              <w:rPr>
                <w:highlight w:val="none"/>
              </w:rPr>
            </w:r>
          </w:p>
        </w:tc>
        <w:tc>
          <w:tcPr>
            <w:tcW w:w="109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姓名</w:t>
            </w:r>
            <w:r>
              <w:rPr>
                <w:highlight w:val="none"/>
              </w:rPr>
            </w:r>
          </w:p>
        </w:tc>
        <w:tc>
          <w:tcPr>
            <w:tcW w:w="849"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性别</w:t>
            </w:r>
            <w:r>
              <w:rPr>
                <w:highlight w:val="none"/>
              </w:rPr>
            </w:r>
          </w:p>
        </w:tc>
        <w:tc>
          <w:tcPr>
            <w:tcW w:w="111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年龄</w:t>
            </w:r>
            <w:r>
              <w:rPr>
                <w:highlight w:val="none"/>
              </w:rPr>
            </w:r>
          </w:p>
        </w:tc>
        <w:tc>
          <w:tcPr>
            <w:tcW w:w="13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学历</w:t>
            </w:r>
            <w:r>
              <w:rPr>
                <w:highlight w:val="none"/>
              </w:rPr>
            </w:r>
          </w:p>
        </w:tc>
        <w:tc>
          <w:tcPr>
            <w:tcW w:w="1214"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职称</w:t>
            </w:r>
            <w:r>
              <w:rPr>
                <w:rFonts w:hint="eastAsia" w:ascii="宋体" w:hAnsi="宋体" w:cs="Times New Roman"/>
                <w:sz w:val="21"/>
                <w:szCs w:val="21"/>
                <w:highlight w:val="none"/>
              </w:rPr>
              <w:t xml:space="preserve">或专业资格证书</w:t>
            </w:r>
            <w:r>
              <w:rPr>
                <w:highlight w:val="none"/>
              </w:rPr>
            </w:r>
          </w:p>
        </w:tc>
        <w:tc>
          <w:tcPr>
            <w:tcW w:w="978"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备注</w:t>
            </w:r>
            <w:r>
              <w:rPr>
                <w:highlight w:val="none"/>
              </w:rPr>
            </w:r>
          </w:p>
        </w:tc>
      </w:tr>
      <w:tr>
        <w:trPr>
          <w:cantSplit/>
          <w:jc w:val="center"/>
          <w:trHeight w:val="495"/>
        </w:trPr>
        <w:tc>
          <w:tcPr>
            <w:tcW w:w="63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1</w:t>
            </w:r>
            <w:r>
              <w:rPr>
                <w:highlight w:val="none"/>
              </w:rP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109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495"/>
        </w:trPr>
        <w:tc>
          <w:tcPr>
            <w:tcW w:w="63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2</w:t>
            </w:r>
            <w:r>
              <w:rPr>
                <w:highlight w:val="none"/>
              </w:rP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109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3</w:t>
            </w:r>
            <w:r>
              <w:rPr>
                <w:highlight w:val="none"/>
              </w:rP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109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4</w:t>
            </w:r>
            <w:r>
              <w:rPr>
                <w:highlight w:val="none"/>
              </w:rP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109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6</w:t>
            </w:r>
            <w:r>
              <w:rPr>
                <w:highlight w:val="none"/>
              </w:rP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109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w:t>
            </w:r>
            <w:r>
              <w:rPr>
                <w:highlight w:val="none"/>
              </w:rP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109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bl>
    <w:p>
      <w:pPr>
        <w:ind w:left="0"/>
        <w:spacing w:line="360" w:lineRule="auto"/>
        <w:widowControl w:val="off"/>
        <w:rPr>
          <w:rFonts w:ascii="宋体" w:hAnsi="宋体"/>
          <w:b/>
          <w:sz w:val="21"/>
          <w:szCs w:val="21"/>
          <w:highlight w:val="none"/>
        </w:rPr>
      </w:pPr>
      <w:r>
        <w:rPr>
          <w:rFonts w:hint="eastAsia" w:ascii="宋体" w:hAnsi="宋体"/>
          <w:b/>
          <w:sz w:val="21"/>
          <w:szCs w:val="21"/>
          <w:highlight w:val="none"/>
        </w:rPr>
        <w:t xml:space="preserve">注：1</w:t>
      </w:r>
      <w:r>
        <w:rPr>
          <w:rFonts w:ascii="宋体" w:hAnsi="宋体"/>
          <w:b/>
          <w:sz w:val="21"/>
          <w:szCs w:val="21"/>
          <w:highlight w:val="none"/>
        </w:rPr>
        <w:t xml:space="preserve">.</w:t>
      </w:r>
      <w:r>
        <w:rPr>
          <w:rFonts w:hint="eastAsia" w:ascii="宋体" w:hAnsi="宋体"/>
          <w:b/>
          <w:sz w:val="21"/>
          <w:szCs w:val="21"/>
          <w:highlight w:val="none"/>
        </w:rPr>
        <w:t xml:space="preserve">《项目服务人员配置表》至少包含上述人员信息，其余项目人员须在附件《偏离表（技术、商务）》中完全响应招标文件要求，否则为非实质性响应。</w:t>
      </w:r>
      <w:r>
        <w:rPr>
          <w:highlight w:val="none"/>
        </w:rPr>
      </w:r>
    </w:p>
    <w:p>
      <w:pPr>
        <w:ind w:left="0" w:firstLine="402"/>
        <w:spacing w:line="360" w:lineRule="auto"/>
        <w:widowControl w:val="off"/>
        <w:rPr>
          <w:rFonts w:ascii="宋体" w:hAnsi="宋体"/>
          <w:b/>
          <w:sz w:val="21"/>
          <w:szCs w:val="21"/>
          <w:highlight w:val="none"/>
        </w:rPr>
      </w:pPr>
      <w:r>
        <w:rPr>
          <w:rFonts w:ascii="宋体" w:hAnsi="宋体"/>
          <w:b/>
          <w:highlight w:val="none"/>
        </w:rPr>
        <w:t xml:space="preserve">2</w:t>
      </w:r>
      <w:r>
        <w:rPr>
          <w:rFonts w:hint="eastAsia" w:ascii="宋体" w:hAnsi="宋体"/>
          <w:b/>
          <w:highlight w:val="none"/>
        </w:rPr>
        <w:t xml:space="preserve">.</w:t>
      </w:r>
      <w:r>
        <w:rPr>
          <w:rFonts w:hint="eastAsia" w:ascii="宋体" w:hAnsi="宋体"/>
          <w:b/>
          <w:sz w:val="21"/>
          <w:highlight w:val="none"/>
        </w:rPr>
        <w:t xml:space="preserve"> 服务类项目中供应商若使用退休人员，将不享受中小企业扶持政策。</w:t>
      </w:r>
      <w:r>
        <w:rPr>
          <w:highlight w:val="none"/>
        </w:rPr>
      </w:r>
    </w:p>
    <w:p>
      <w:pPr>
        <w:ind w:left="0" w:firstLine="420"/>
        <w:jc w:val="left"/>
        <w:spacing w:line="360" w:lineRule="auto"/>
        <w:widowControl w:val="off"/>
        <w:rPr>
          <w:rFonts w:ascii="宋体" w:hAnsi="宋体"/>
          <w:sz w:val="21"/>
          <w:highlight w:val="none"/>
        </w:rPr>
      </w:pPr>
      <w:r>
        <w:rPr>
          <w:rFonts w:ascii="宋体" w:hAnsi="宋体"/>
          <w:sz w:val="21"/>
          <w:highlight w:val="none"/>
        </w:rPr>
        <w:t xml:space="preserve">3</w:t>
      </w:r>
      <w:r>
        <w:rPr>
          <w:rFonts w:ascii="宋体" w:hAnsi="宋体"/>
          <w:sz w:val="21"/>
          <w:szCs w:val="21"/>
          <w:highlight w:val="none"/>
        </w:rPr>
        <w:t xml:space="preserve">.</w:t>
      </w:r>
      <w:r>
        <w:rPr>
          <w:rFonts w:hint="eastAsia" w:ascii="宋体" w:hAnsi="宋体"/>
          <w:sz w:val="21"/>
          <w:highlight w:val="none"/>
        </w:rPr>
        <w:t xml:space="preserve">请将相关人员证明材料复印件加盖公章后附在本表后面。</w:t>
      </w:r>
      <w:r>
        <w:rPr>
          <w:rFonts w:ascii="宋体" w:hAnsi="宋体"/>
          <w:sz w:val="21"/>
          <w:highlight w:val="none"/>
        </w:rPr>
        <w:t xml:space="preserve">若事项较多，</w:t>
      </w:r>
      <w:r>
        <w:rPr>
          <w:rFonts w:hint="eastAsia" w:ascii="宋体" w:hAnsi="宋体"/>
          <w:sz w:val="21"/>
          <w:highlight w:val="none"/>
        </w:rPr>
        <w:t xml:space="preserve">供应商</w:t>
      </w:r>
      <w:r>
        <w:rPr>
          <w:rFonts w:ascii="宋体" w:hAnsi="宋体"/>
          <w:sz w:val="21"/>
          <w:highlight w:val="none"/>
        </w:rPr>
        <w:t xml:space="preserve">可根据</w:t>
      </w:r>
      <w:r>
        <w:rPr>
          <w:rFonts w:hint="eastAsia" w:ascii="宋体" w:hAnsi="宋体"/>
          <w:sz w:val="21"/>
          <w:highlight w:val="none"/>
        </w:rPr>
        <w:t xml:space="preserve">响应</w:t>
      </w:r>
      <w:r>
        <w:rPr>
          <w:rFonts w:ascii="宋体" w:hAnsi="宋体"/>
          <w:sz w:val="21"/>
          <w:highlight w:val="none"/>
        </w:rPr>
        <w:t xml:space="preserve">内容的实际情况另纸说明</w:t>
      </w:r>
      <w:r>
        <w:rPr>
          <w:rFonts w:hint="eastAsia" w:ascii="宋体" w:hAnsi="宋体"/>
          <w:sz w:val="21"/>
          <w:highlight w:val="none"/>
        </w:rPr>
        <w:t xml:space="preserve">。</w:t>
      </w:r>
      <w:r>
        <w:rPr>
          <w:highlight w:val="none"/>
        </w:rPr>
      </w:r>
    </w:p>
    <w:p>
      <w:pPr>
        <w:ind w:left="0" w:firstLine="6300"/>
        <w:spacing w:line="360" w:lineRule="auto"/>
        <w:widowControl w:val="off"/>
        <w:rPr>
          <w:rFonts w:ascii="宋体" w:hAnsi="宋体"/>
          <w:sz w:val="21"/>
          <w:highlight w:val="none"/>
        </w:rPr>
      </w:pPr>
      <w:r>
        <w:rPr>
          <w:rFonts w:ascii="宋体" w:hAnsi="宋体"/>
          <w:sz w:val="21"/>
          <w:highlight w:val="none"/>
        </w:rPr>
        <w:t xml:space="preserve">投标人（盖章）：</w:t>
      </w:r>
      <w:r>
        <w:rPr>
          <w:highlight w:val="none"/>
        </w:rPr>
      </w:r>
    </w:p>
    <w:p>
      <w:pPr>
        <w:jc w:val="right"/>
        <w:spacing w:line="360" w:lineRule="auto"/>
        <w:rPr>
          <w:rFonts w:ascii="宋体" w:hAnsi="宋体"/>
          <w:sz w:val="21"/>
          <w:highlight w:val="none"/>
        </w:rPr>
      </w:pPr>
      <w:r>
        <w:rPr>
          <w:rFonts w:ascii="宋体" w:hAnsi="宋体"/>
          <w:sz w:val="21"/>
          <w:highlight w:val="none"/>
        </w:rPr>
        <w:t xml:space="preserve">法定代表人或代理人（签字或盖章）：</w:t>
      </w:r>
      <w:r>
        <w:rPr>
          <w:highlight w:val="none"/>
        </w:rPr>
      </w:r>
    </w:p>
    <w:p>
      <w:pPr>
        <w:ind w:left="0" w:firstLine="6300"/>
        <w:spacing w:line="360" w:lineRule="auto"/>
        <w:rPr>
          <w:rFonts w:ascii="宋体" w:hAnsi="宋体"/>
          <w:sz w:val="21"/>
          <w:highlight w:val="none"/>
        </w:rPr>
      </w:pPr>
      <w:r>
        <w:rPr>
          <w:rFonts w:hint="eastAsia" w:ascii="宋体" w:hAnsi="宋体"/>
          <w:sz w:val="21"/>
          <w:highlight w:val="none"/>
        </w:rPr>
        <w:t xml:space="preserve">日</w:t>
      </w:r>
      <w:r>
        <w:rPr>
          <w:rFonts w:ascii="宋体" w:hAnsi="宋体"/>
          <w:sz w:val="21"/>
          <w:highlight w:val="none"/>
        </w:rPr>
        <w:t xml:space="preserve">    </w:t>
      </w:r>
      <w:r>
        <w:rPr>
          <w:rFonts w:hint="eastAsia" w:ascii="宋体" w:hAnsi="宋体"/>
          <w:sz w:val="21"/>
          <w:highlight w:val="none"/>
        </w:rPr>
        <w:t xml:space="preserve">期：</w:t>
      </w:r>
      <w:r>
        <w:rPr>
          <w:rFonts w:ascii="宋体" w:hAnsi="宋体"/>
          <w:sz w:val="21"/>
          <w:highlight w:val="none"/>
        </w:rPr>
        <w:t xml:space="preserve">     </w:t>
      </w:r>
      <w:r>
        <w:rPr>
          <w:rFonts w:hint="eastAsia" w:ascii="宋体" w:hAnsi="宋体"/>
          <w:sz w:val="21"/>
          <w:highlight w:val="none"/>
        </w:rPr>
        <w:t xml:space="preserve">年</w:t>
      </w:r>
      <w:r>
        <w:rPr>
          <w:rFonts w:ascii="宋体" w:hAnsi="宋体"/>
          <w:sz w:val="21"/>
          <w:highlight w:val="none"/>
        </w:rPr>
        <w:t xml:space="preserve">   </w:t>
      </w:r>
      <w:r>
        <w:rPr>
          <w:rFonts w:hint="eastAsia" w:ascii="宋体" w:hAnsi="宋体"/>
          <w:sz w:val="21"/>
          <w:highlight w:val="none"/>
        </w:rPr>
        <w:t xml:space="preserve">  月</w:t>
      </w:r>
      <w:r>
        <w:rPr>
          <w:rFonts w:ascii="宋体" w:hAnsi="宋体"/>
          <w:sz w:val="21"/>
          <w:highlight w:val="none"/>
        </w:rPr>
        <w:t xml:space="preserve">   </w:t>
      </w:r>
      <w:r>
        <w:rPr>
          <w:rFonts w:hint="eastAsia" w:ascii="宋体" w:hAnsi="宋体"/>
          <w:sz w:val="21"/>
          <w:highlight w:val="none"/>
        </w:rPr>
        <w:t xml:space="preserve"> 日</w:t>
      </w:r>
      <w:r>
        <w:rPr>
          <w:highlight w:val="none"/>
        </w:rPr>
      </w:r>
    </w:p>
    <w:p>
      <w:pPr>
        <w:ind w:left="0"/>
        <w:jc w:val="left"/>
        <w:rPr>
          <w:rFonts w:ascii="宋体" w:hAnsi="宋体"/>
          <w:b/>
          <w:sz w:val="21"/>
          <w:szCs w:val="21"/>
          <w:highlight w:val="none"/>
        </w:rPr>
        <w:outlineLvl w:val="0"/>
      </w:pPr>
      <w:r>
        <w:rPr>
          <w:highlight w:val="none"/>
        </w:rPr>
      </w:r>
      <w:bookmarkStart w:id="76" w:name="_Toc105397787"/>
      <w:r>
        <w:rPr>
          <w:highlight w:val="none"/>
        </w:rPr>
      </w:r>
      <w:bookmarkStart w:id="77" w:name="_Toc71810489"/>
      <w:r>
        <w:rPr>
          <w:rFonts w:ascii="宋体" w:hAnsi="宋体"/>
          <w:b/>
          <w:sz w:val="21"/>
          <w:szCs w:val="21"/>
          <w:highlight w:val="none"/>
        </w:rPr>
        <w:br w:type="page" w:clear="all"/>
      </w:r>
      <w:bookmarkStart w:id="78" w:name="_Toc159146122"/>
      <w:r>
        <w:rPr>
          <w:rFonts w:ascii="宋体" w:hAnsi="宋体"/>
          <w:b/>
          <w:sz w:val="21"/>
          <w:szCs w:val="21"/>
          <w:highlight w:val="none"/>
        </w:rPr>
        <w:t xml:space="preserve">附件9</w:t>
      </w:r>
      <w:r>
        <w:rPr>
          <w:rFonts w:hint="eastAsia" w:ascii="宋体" w:hAnsi="宋体"/>
          <w:b/>
          <w:sz w:val="21"/>
          <w:szCs w:val="21"/>
          <w:highlight w:val="none"/>
        </w:rPr>
        <w:t xml:space="preserve">.</w:t>
      </w:r>
      <w:bookmarkEnd w:id="76"/>
      <w:r>
        <w:rPr>
          <w:highlight w:val="none"/>
        </w:rPr>
      </w:r>
      <w:bookmarkEnd w:id="77"/>
      <w:r>
        <w:rPr>
          <w:highlight w:val="none"/>
        </w:rPr>
      </w:r>
      <w:bookmarkEnd w:id="78"/>
      <w:r>
        <w:rPr>
          <w:rFonts w:hint="eastAsia" w:ascii="宋体" w:hAnsi="宋体"/>
          <w:highlight w:val="none"/>
        </w:rPr>
        <w:t xml:space="preserve"> </w:t>
      </w:r>
      <w:r>
        <w:rPr>
          <w:rFonts w:hint="eastAsia" w:ascii="宋体" w:hAnsi="宋体"/>
          <w:b/>
          <w:sz w:val="21"/>
          <w:szCs w:val="21"/>
          <w:highlight w:val="none"/>
        </w:rPr>
        <w:t xml:space="preserve">类似项目业绩一览表</w:t>
      </w:r>
      <w:r>
        <w:rPr>
          <w:highlight w:val="none"/>
        </w:rP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类似项目业绩一览表</w:t>
      </w:r>
      <w:r>
        <w:rPr>
          <w:highlight w:val="none"/>
        </w:rP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rPr>
                <w:highlight w:val="none"/>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rPr>
                <w:highlight w:val="none"/>
              </w:rP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rPr>
                <w:highlight w:val="none"/>
              </w:rP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rPr>
          <w:highlight w:val="none"/>
        </w:rP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rPr>
          <w:highlight w:val="none"/>
        </w:rP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rPr>
          <w:highlight w:val="none"/>
        </w:rP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p>
    <w:p>
      <w:pPr>
        <w:pStyle w:val="903"/>
        <w:rPr>
          <w:rFonts w:ascii="宋体" w:hAnsi="宋体"/>
          <w:highlight w:val="none"/>
        </w:rPr>
      </w:pPr>
      <w:r>
        <w:rPr>
          <w:rFonts w:ascii="宋体" w:hAnsi="宋体"/>
          <w:highlight w:val="none"/>
        </w:rPr>
      </w:r>
      <w:r>
        <w:rPr>
          <w:highlight w:val="none"/>
        </w:rPr>
      </w:r>
    </w:p>
    <w:p>
      <w:pPr>
        <w:pStyle w:val="895"/>
        <w:rPr>
          <w:rFonts w:ascii="宋体" w:hAnsi="宋体" w:cs="Times New Roman"/>
          <w:highlight w:val="none"/>
        </w:rPr>
      </w:pPr>
      <w:r>
        <w:rPr>
          <w:rFonts w:ascii="宋体" w:hAnsi="宋体" w:cs="Times New Roman"/>
          <w:highlight w:val="none"/>
        </w:rPr>
      </w:r>
      <w:r>
        <w:rPr>
          <w:highlight w:val="none"/>
        </w:rPr>
      </w:r>
    </w:p>
    <w:p>
      <w:pPr>
        <w:rPr>
          <w:rFonts w:ascii="宋体" w:hAnsi="宋体" w:cs="Times New Roman"/>
          <w:highlight w:val="none"/>
        </w:rPr>
      </w:pPr>
      <w:r>
        <w:rPr>
          <w:rFonts w:ascii="宋体" w:hAnsi="宋体" w:cs="Times New Roman"/>
          <w:highlight w:val="none"/>
        </w:rPr>
      </w:r>
      <w:r>
        <w:rPr>
          <w:highlight w:val="none"/>
        </w:rPr>
      </w:r>
    </w:p>
    <w:p>
      <w:pPr>
        <w:ind w:left="0"/>
        <w:jc w:val="left"/>
        <w:rPr>
          <w:rFonts w:ascii="宋体" w:hAnsi="宋体"/>
          <w:b/>
          <w:sz w:val="21"/>
          <w:szCs w:val="21"/>
          <w:highlight w:val="none"/>
        </w:rPr>
        <w:outlineLvl w:val="0"/>
      </w:pPr>
      <w:r>
        <w:rPr>
          <w:rFonts w:ascii="宋体" w:hAnsi="宋体"/>
          <w:sz w:val="21"/>
          <w:szCs w:val="21"/>
          <w:highlight w:val="none"/>
        </w:rPr>
        <w:br w:type="page" w:clear="all"/>
      </w:r>
      <w:bookmarkStart w:id="79" w:name="_Toc159146123"/>
      <w:r>
        <w:rPr>
          <w:highlight w:val="none"/>
        </w:rPr>
      </w:r>
      <w:bookmarkStart w:id="80" w:name="_Toc105397788"/>
      <w:r>
        <w:rPr>
          <w:highlight w:val="none"/>
        </w:rPr>
      </w:r>
      <w:bookmarkStart w:id="81" w:name="_Toc71810490"/>
      <w:r>
        <w:rPr>
          <w:highlight w:val="none"/>
        </w:rPr>
      </w:r>
      <w:bookmarkEnd w:id="72"/>
      <w:r>
        <w:rPr>
          <w:highlight w:val="none"/>
        </w:rPr>
      </w:r>
      <w:bookmarkEnd w:id="73"/>
      <w:r>
        <w:rPr>
          <w:rFonts w:ascii="宋体" w:hAnsi="宋体"/>
          <w:b/>
          <w:sz w:val="21"/>
          <w:szCs w:val="21"/>
          <w:highlight w:val="none"/>
        </w:rPr>
        <w:t xml:space="preserve">附件</w:t>
      </w:r>
      <w:r>
        <w:rPr>
          <w:rFonts w:hint="eastAsia" w:ascii="宋体" w:hAnsi="宋体"/>
          <w:b/>
          <w:sz w:val="21"/>
          <w:szCs w:val="21"/>
          <w:highlight w:val="none"/>
        </w:rPr>
        <w:t xml:space="preserve">1</w:t>
      </w:r>
      <w:r>
        <w:rPr>
          <w:rFonts w:ascii="宋体" w:hAnsi="宋体"/>
          <w:b/>
          <w:sz w:val="21"/>
          <w:szCs w:val="21"/>
          <w:highlight w:val="none"/>
        </w:rPr>
        <w:t xml:space="preserve">0</w:t>
      </w:r>
      <w:r>
        <w:rPr>
          <w:rFonts w:hint="eastAsia" w:ascii="宋体" w:hAnsi="宋体"/>
          <w:b/>
          <w:sz w:val="21"/>
          <w:szCs w:val="21"/>
          <w:highlight w:val="none"/>
        </w:rPr>
        <w:t xml:space="preserve">.针对本项目的实施方案</w:t>
      </w:r>
      <w:bookmarkEnd w:id="79"/>
      <w:r>
        <w:rPr>
          <w:highlight w:val="none"/>
        </w:rPr>
      </w:r>
      <w:bookmarkEnd w:id="80"/>
      <w:r>
        <w:rPr>
          <w:highlight w:val="none"/>
        </w:rPr>
      </w:r>
      <w:r>
        <w:rPr>
          <w:highlight w:val="none"/>
        </w:rP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针对本项目的实施方案</w:t>
      </w:r>
      <w:r>
        <w:rPr>
          <w:highlight w:val="none"/>
        </w:rPr>
      </w:r>
    </w:p>
    <w:tbl>
      <w:tblPr>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提示：</w:t>
            </w:r>
            <w:r>
              <w:rPr>
                <w:highlight w:val="none"/>
              </w:rP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1、投标人应针对本次招标项目特点制定详细的实施方案，可包括但不限于对项目的分析理解、技术方案、项目服务人员配置、时间进度安排等内容。</w:t>
            </w:r>
            <w:r>
              <w:rPr>
                <w:highlight w:val="none"/>
              </w:rPr>
            </w:r>
          </w:p>
          <w:p>
            <w:pPr>
              <w:ind w:left="0"/>
              <w:jc w:val="left"/>
              <w:widowControl w:val="off"/>
              <w:rPr>
                <w:rFonts w:ascii="宋体" w:hAnsi="宋体" w:cs="Times New Roman"/>
                <w:b/>
                <w:sz w:val="21"/>
                <w:szCs w:val="21"/>
                <w:highlight w:val="none"/>
              </w:rPr>
            </w:pPr>
            <w:r>
              <w:rPr>
                <w:rFonts w:hint="eastAsia" w:ascii="宋体" w:hAnsi="宋体" w:cs="Times New Roman"/>
                <w:sz w:val="21"/>
                <w:szCs w:val="21"/>
                <w:highlight w:val="none"/>
              </w:rPr>
              <w:t xml:space="preserve">2、供应商可根据自身情况编写，本页不够可另加页附后。</w:t>
            </w:r>
            <w:r>
              <w:rPr>
                <w:highlight w:val="none"/>
              </w:rPr>
            </w:r>
          </w:p>
        </w:tc>
      </w:tr>
      <w:tr>
        <w:trPr>
          <w:trHeight w:val="8385"/>
        </w:trPr>
        <w:tc>
          <w:tcPr>
            <w:tcW w:w="9874" w:type="dxa"/>
            <w:textDirection w:val="lrTb"/>
            <w:noWrap w:val="false"/>
          </w:tcPr>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 </w:t>
            </w:r>
            <w:r>
              <w:rPr>
                <w:highlight w:val="none"/>
              </w:rPr>
            </w:r>
          </w:p>
        </w:tc>
      </w:tr>
    </w:tbl>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p>
    <w:p>
      <w:pPr>
        <w:pStyle w:val="903"/>
        <w:rPr>
          <w:rFonts w:ascii="宋体" w:hAnsi="宋体"/>
          <w:highlight w:val="none"/>
        </w:rPr>
      </w:pPr>
      <w:r>
        <w:rPr>
          <w:rFonts w:ascii="宋体" w:hAnsi="宋体"/>
          <w:highlight w:val="none"/>
        </w:rPr>
      </w:r>
      <w:r>
        <w:rPr>
          <w:highlight w:val="none"/>
        </w:rPr>
      </w:r>
    </w:p>
    <w:p>
      <w:pPr>
        <w:pStyle w:val="895"/>
        <w:rPr>
          <w:rFonts w:ascii="宋体" w:hAnsi="宋体" w:cs="Times New Roman"/>
          <w:highlight w:val="none"/>
        </w:rPr>
      </w:pPr>
      <w:r>
        <w:rPr>
          <w:rFonts w:ascii="宋体" w:hAnsi="宋体" w:cs="Times New Roman"/>
          <w:highlight w:val="none"/>
        </w:rPr>
      </w:r>
      <w:r>
        <w:rPr>
          <w:highlight w:val="none"/>
        </w:rPr>
      </w:r>
    </w:p>
    <w:p>
      <w:pPr>
        <w:ind w:left="0"/>
        <w:jc w:val="left"/>
        <w:rPr>
          <w:rFonts w:ascii="宋体" w:hAnsi="宋体"/>
          <w:b/>
          <w:sz w:val="21"/>
          <w:szCs w:val="21"/>
          <w:highlight w:val="none"/>
        </w:rPr>
      </w:pPr>
      <w:r>
        <w:rPr>
          <w:highlight w:val="none"/>
        </w:rPr>
      </w:r>
      <w:bookmarkStart w:id="82" w:name="_Toc159146124"/>
      <w:r>
        <w:rPr>
          <w:highlight w:val="none"/>
        </w:rPr>
      </w:r>
      <w:bookmarkStart w:id="83" w:name="_Toc105397789"/>
      <w:r>
        <w:rPr>
          <w:rFonts w:ascii="宋体" w:hAnsi="宋体"/>
          <w:b/>
          <w:sz w:val="21"/>
          <w:szCs w:val="21"/>
          <w:highlight w:val="none"/>
        </w:rPr>
        <w:br w:type="page" w:clear="all"/>
      </w:r>
      <w:r>
        <w:rPr>
          <w:highlight w:val="none"/>
        </w:rPr>
      </w:r>
    </w:p>
    <w:p>
      <w:pPr>
        <w:ind w:left="0"/>
        <w:jc w:val="left"/>
        <w:rPr>
          <w:rFonts w:ascii="宋体" w:hAnsi="宋体"/>
          <w:b/>
          <w:sz w:val="21"/>
          <w:szCs w:val="21"/>
          <w:highlight w:val="none"/>
        </w:rPr>
        <w:outlineLvl w:val="0"/>
      </w:pPr>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81"/>
      <w:r>
        <w:rPr>
          <w:highlight w:val="none"/>
        </w:rPr>
      </w:r>
      <w:bookmarkEnd w:id="82"/>
      <w:r>
        <w:rPr>
          <w:highlight w:val="none"/>
        </w:rPr>
      </w:r>
      <w:bookmarkEnd w:id="83"/>
      <w:r>
        <w:rPr>
          <w:highlight w:val="none"/>
        </w:rPr>
      </w:r>
      <w:r>
        <w:rPr>
          <w:highlight w:val="none"/>
        </w:rPr>
      </w:r>
    </w:p>
    <w:p>
      <w:pPr>
        <w:ind w:left="0" w:firstLine="420"/>
        <w:jc w:val="center"/>
        <w:rPr>
          <w:rFonts w:ascii="宋体" w:hAnsi="宋体"/>
          <w:b/>
          <w:sz w:val="21"/>
          <w:szCs w:val="21"/>
          <w:highlight w:val="none"/>
        </w:rPr>
      </w:pPr>
      <w:r>
        <w:rPr>
          <w:rFonts w:ascii="宋体" w:hAnsi="宋体"/>
          <w:b/>
          <w:sz w:val="21"/>
          <w:szCs w:val="21"/>
          <w:highlight w:val="none"/>
        </w:rPr>
      </w:r>
      <w:r>
        <w:rPr>
          <w:highlight w:val="none"/>
        </w:rP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rPr>
          <w:highlight w:val="none"/>
        </w:rPr>
      </w:r>
    </w:p>
    <w:p>
      <w:pPr>
        <w:ind w:left="0" w:firstLine="420"/>
        <w:jc w:val="center"/>
        <w:rPr>
          <w:rFonts w:ascii="宋体" w:hAnsi="宋体"/>
          <w:sz w:val="21"/>
          <w:szCs w:val="21"/>
          <w:highlight w:val="none"/>
        </w:rPr>
      </w:pPr>
      <w:r>
        <w:rPr>
          <w:rFonts w:ascii="宋体" w:hAnsi="宋体"/>
          <w:sz w:val="21"/>
          <w:szCs w:val="21"/>
          <w:highlight w:val="none"/>
        </w:rPr>
      </w:r>
      <w:r>
        <w:rPr>
          <w:highlight w:val="none"/>
        </w:rP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苏州公正建设咨询房地产评估有限公司</w:t>
      </w:r>
      <w:r>
        <w:rPr>
          <w:rFonts w:ascii="宋体" w:hAnsi="宋体"/>
          <w:sz w:val="21"/>
          <w:szCs w:val="21"/>
          <w:highlight w:val="none"/>
        </w:rPr>
        <w:t xml:space="preserve">：</w:t>
      </w:r>
      <w:r>
        <w:rPr>
          <w:highlight w:val="none"/>
        </w:rP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rPr>
          <w:highlight w:val="none"/>
        </w:rPr>
      </w:r>
    </w:p>
    <w:p>
      <w:pPr>
        <w:ind w:left="0" w:firstLine="420"/>
        <w:jc w:val="left"/>
        <w:spacing w:line="360" w:lineRule="auto"/>
        <w:rPr>
          <w:rFonts w:ascii="宋体" w:hAnsi="宋体"/>
          <w:sz w:val="21"/>
          <w:szCs w:val="21"/>
          <w:highlight w:val="none"/>
        </w:rPr>
      </w:pPr>
      <w:r>
        <w:rPr>
          <w:rFonts w:ascii="宋体" w:hAnsi="宋体"/>
          <w:sz w:val="21"/>
          <w:szCs w:val="21"/>
          <w:highlight w:val="none"/>
        </w:rPr>
      </w:r>
      <w:r>
        <w:rPr>
          <w:highlight w:val="none"/>
        </w:rPr>
      </w:r>
    </w:p>
    <w:p>
      <w:pPr>
        <w:ind w:left="0" w:firstLine="420"/>
        <w:jc w:val="left"/>
        <w:spacing w:line="360" w:lineRule="auto"/>
        <w:rPr>
          <w:rFonts w:ascii="宋体" w:hAnsi="宋体"/>
          <w:sz w:val="21"/>
          <w:szCs w:val="21"/>
          <w:highlight w:val="none"/>
        </w:rPr>
      </w:pPr>
      <w:r>
        <w:rPr>
          <w:rFonts w:ascii="宋体" w:hAnsi="宋体"/>
          <w:sz w:val="21"/>
          <w:szCs w:val="21"/>
          <w:highlight w:val="none"/>
        </w:rPr>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p>
    <w:p>
      <w:pPr>
        <w:ind w:left="0"/>
        <w:jc w:val="left"/>
        <w:rPr>
          <w:rFonts w:ascii="宋体" w:hAnsi="宋体"/>
          <w:b/>
          <w:sz w:val="21"/>
          <w:szCs w:val="21"/>
          <w:highlight w:val="none"/>
        </w:rPr>
        <w:outlineLvl w:val="0"/>
      </w:pPr>
      <w:r>
        <w:rPr>
          <w:rFonts w:ascii="宋体" w:hAnsi="宋体"/>
          <w:sz w:val="21"/>
          <w:szCs w:val="21"/>
          <w:highlight w:val="none"/>
        </w:rPr>
        <w:br w:type="page" w:clear="all"/>
      </w:r>
      <w:bookmarkStart w:id="84" w:name="_Toc105397790"/>
      <w:r>
        <w:rPr>
          <w:highlight w:val="none"/>
        </w:rPr>
      </w:r>
      <w:bookmarkStart w:id="85" w:name="_Toc159146125"/>
      <w:r>
        <w:rPr>
          <w:highlight w:val="none"/>
        </w:rPr>
      </w:r>
      <w:bookmarkStart w:id="86" w:name="_Toc71810491"/>
      <w:r>
        <w:rPr>
          <w:rFonts w:ascii="宋体" w:hAnsi="宋体"/>
          <w:b/>
          <w:sz w:val="21"/>
          <w:szCs w:val="21"/>
          <w:highlight w:val="none"/>
        </w:rPr>
        <w:t xml:space="preserve">附件12</w:t>
      </w:r>
      <w:r>
        <w:rPr>
          <w:rFonts w:hint="eastAsia" w:ascii="宋体" w:hAnsi="宋体"/>
          <w:b/>
          <w:sz w:val="21"/>
          <w:szCs w:val="21"/>
          <w:highlight w:val="none"/>
        </w:rPr>
        <w:t xml:space="preserve">.</w:t>
      </w:r>
      <w:r>
        <w:rPr>
          <w:rFonts w:ascii="宋体" w:hAnsi="宋体"/>
          <w:b/>
          <w:sz w:val="21"/>
          <w:szCs w:val="21"/>
          <w:highlight w:val="none"/>
        </w:rPr>
        <w:t xml:space="preserve">投标人基本情况表</w:t>
      </w:r>
      <w:bookmarkEnd w:id="84"/>
      <w:r>
        <w:rPr>
          <w:highlight w:val="none"/>
        </w:rPr>
      </w:r>
      <w:bookmarkEnd w:id="85"/>
      <w:r>
        <w:rPr>
          <w:highlight w:val="none"/>
        </w:rPr>
      </w:r>
      <w:bookmarkEnd w:id="86"/>
      <w:r>
        <w:rPr>
          <w:highlight w:val="none"/>
        </w:rPr>
      </w:r>
      <w:r>
        <w:rPr>
          <w:highlight w:val="none"/>
        </w:rP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法定代表人</w:t>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成立日期</w:t>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注册地址</w:t>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注册资金</w:t>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经营范围</w:t>
            </w:r>
            <w:r>
              <w:rPr>
                <w:highlight w:val="non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实现利润</w:t>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年万元</w:t>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员工总人数</w:t>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资产总计</w:t>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万元</w:t>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营业收入</w:t>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sz w:val="21"/>
                <w:szCs w:val="21"/>
                <w:highlight w:val="none"/>
              </w:rPr>
            </w:pPr>
            <w:r>
              <w:rPr>
                <w:rFonts w:ascii="宋体" w:hAnsi="宋体" w:cs="Times New Roman"/>
                <w:sz w:val="21"/>
                <w:szCs w:val="21"/>
                <w:highlight w:val="none"/>
              </w:rPr>
              <w:t xml:space="preserve">年   万元</w:t>
            </w:r>
            <w:r>
              <w:rPr>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单位简历及内设机构情况</w:t>
            </w:r>
            <w:r>
              <w:rPr>
                <w:highlight w:val="non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单位优势及特长</w:t>
            </w:r>
            <w:r>
              <w:rPr>
                <w:highlight w:val="non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商业信誉和健全的财务会计制度介绍</w:t>
            </w:r>
            <w:r>
              <w:rPr>
                <w:highlight w:val="non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履行合同所必需的设备和专业技术能力情况</w:t>
            </w:r>
            <w:r>
              <w:rPr>
                <w:highlight w:val="non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依法缴纳税收和社会保障资金情况</w:t>
            </w:r>
            <w:r>
              <w:rPr>
                <w:highlight w:val="non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参加政府采购活动前三年内，在经营活动中有无重大违法记录</w:t>
            </w:r>
            <w:r>
              <w:rPr>
                <w:highlight w:val="non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其他需要说明的情况</w:t>
            </w:r>
            <w:r>
              <w:rPr>
                <w:highlight w:val="non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rPr>
                <w:highlight w:val="none"/>
              </w:rPr>
            </w:r>
          </w:p>
        </w:tc>
      </w:tr>
    </w:tbl>
    <w:p>
      <w:pPr>
        <w:ind w:left="0" w:firstLine="315"/>
        <w:jc w:val="left"/>
        <w:spacing w:line="360" w:lineRule="auto"/>
        <w:rPr>
          <w:rFonts w:ascii="宋体" w:hAnsi="宋体"/>
          <w:b/>
          <w:sz w:val="21"/>
          <w:szCs w:val="21"/>
          <w:highlight w:val="none"/>
        </w:rPr>
      </w:pPr>
      <w:r>
        <w:rPr>
          <w:rFonts w:hint="eastAsia" w:ascii="宋体" w:hAnsi="宋体"/>
          <w:sz w:val="21"/>
          <w:szCs w:val="21"/>
          <w:highlight w:val="none"/>
        </w:rPr>
        <w:t xml:space="preserve">注：</w:t>
      </w:r>
      <w:r>
        <w:rPr>
          <w:rFonts w:ascii="宋体" w:hAnsi="宋体"/>
          <w:sz w:val="21"/>
          <w:szCs w:val="21"/>
          <w:highlight w:val="none"/>
        </w:rPr>
        <w:t xml:space="preserve">若事项较多，投标人可根据投标内容的实际情况另纸说明。</w:t>
      </w:r>
      <w:r>
        <w:rPr>
          <w:highlight w:val="none"/>
        </w:rPr>
      </w:r>
    </w:p>
    <w:p>
      <w:pPr>
        <w:ind w:left="0" w:firstLine="368"/>
        <w:jc w:val="left"/>
        <w:spacing w:line="360" w:lineRule="auto"/>
        <w:rPr>
          <w:rFonts w:ascii="宋体" w:hAnsi="宋体"/>
          <w:sz w:val="21"/>
          <w:szCs w:val="21"/>
          <w:highlight w:val="none"/>
        </w:rPr>
      </w:pPr>
      <w:r>
        <w:rPr>
          <w:rFonts w:ascii="宋体" w:hAnsi="宋体"/>
          <w:sz w:val="21"/>
          <w:szCs w:val="21"/>
          <w:highlight w:val="none"/>
        </w:rPr>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p>
    <w:p>
      <w:pPr>
        <w:ind w:left="0"/>
        <w:rPr>
          <w:rFonts w:ascii="宋体" w:hAnsi="宋体" w:cs="Times New Roman"/>
          <w:highlight w:val="none"/>
        </w:rPr>
      </w:pPr>
      <w:r>
        <w:rPr>
          <w:rFonts w:ascii="宋体" w:hAnsi="宋体" w:cs="Times New Roman"/>
          <w:highlight w:val="none"/>
          <w:lang w:val="zh-CN"/>
        </w:rPr>
      </w:r>
      <w:r>
        <w:rPr>
          <w:highlight w:val="none"/>
        </w:rPr>
      </w:r>
    </w:p>
    <w:p>
      <w:pPr>
        <w:ind w:left="0"/>
        <w:jc w:val="left"/>
        <w:rPr>
          <w:rFonts w:ascii="宋体" w:hAnsi="宋体"/>
          <w:b/>
          <w:bCs/>
          <w:sz w:val="21"/>
          <w:szCs w:val="21"/>
          <w:highlight w:val="none"/>
        </w:rPr>
      </w:pPr>
      <w:r>
        <w:rPr>
          <w:highlight w:val="none"/>
        </w:rPr>
      </w:r>
      <w:bookmarkStart w:id="87" w:name="_Toc159146126"/>
      <w:r>
        <w:rPr>
          <w:highlight w:val="none"/>
        </w:rPr>
      </w:r>
      <w:bookmarkStart w:id="88" w:name="_Toc105397791"/>
      <w:r>
        <w:rPr>
          <w:highlight w:val="none"/>
        </w:rPr>
      </w:r>
      <w:bookmarkStart w:id="89" w:name="_Toc103258863"/>
      <w:r>
        <w:rPr>
          <w:rFonts w:ascii="宋体" w:hAnsi="宋体"/>
          <w:b/>
          <w:bCs/>
          <w:sz w:val="21"/>
          <w:szCs w:val="21"/>
          <w:highlight w:val="none"/>
        </w:rPr>
        <w:br w:type="page" w:clear="all"/>
      </w:r>
      <w:r>
        <w:rPr>
          <w:highlight w:val="none"/>
        </w:rPr>
      </w:r>
    </w:p>
    <w:p>
      <w:pPr>
        <w:ind w:left="0"/>
        <w:rPr>
          <w:rFonts w:ascii="宋体" w:hAnsi="宋体"/>
          <w:b/>
          <w:bCs/>
          <w:sz w:val="21"/>
          <w:szCs w:val="21"/>
          <w:highlight w:val="none"/>
        </w:rPr>
        <w:outlineLvl w:val="0"/>
      </w:pPr>
      <w:r>
        <w:rPr>
          <w:rFonts w:ascii="宋体" w:hAnsi="宋体"/>
          <w:b/>
          <w:bCs/>
          <w:sz w:val="21"/>
          <w:szCs w:val="21"/>
          <w:highlight w:val="none"/>
        </w:rPr>
        <w:t xml:space="preserve">附件</w:t>
      </w:r>
      <w:r>
        <w:rPr>
          <w:rFonts w:hint="eastAsia" w:ascii="宋体" w:hAnsi="宋体"/>
          <w:b/>
          <w:bCs/>
          <w:sz w:val="21"/>
          <w:szCs w:val="21"/>
          <w:highlight w:val="none"/>
        </w:rPr>
        <w:t xml:space="preserve">1</w:t>
      </w:r>
      <w:r>
        <w:rPr>
          <w:rFonts w:ascii="宋体" w:hAnsi="宋体"/>
          <w:b/>
          <w:bCs/>
          <w:sz w:val="21"/>
          <w:szCs w:val="21"/>
          <w:highlight w:val="none"/>
        </w:rPr>
        <w:t xml:space="preserve">3</w:t>
      </w:r>
      <w:r>
        <w:rPr>
          <w:rFonts w:hint="eastAsia" w:ascii="宋体" w:hAnsi="宋体"/>
          <w:b/>
          <w:bCs/>
          <w:sz w:val="21"/>
          <w:szCs w:val="21"/>
          <w:highlight w:val="none"/>
        </w:rPr>
        <w:t xml:space="preserve">.</w:t>
      </w:r>
      <w:r>
        <w:rPr>
          <w:rFonts w:hint="eastAsia" w:ascii="宋体" w:hAnsi="宋体"/>
          <w:highlight w:val="none"/>
        </w:rPr>
        <w:t xml:space="preserve"> </w:t>
      </w:r>
      <w:r>
        <w:rPr>
          <w:rFonts w:hint="eastAsia" w:ascii="宋体" w:hAnsi="宋体"/>
          <w:b/>
          <w:bCs/>
          <w:sz w:val="21"/>
          <w:szCs w:val="21"/>
          <w:highlight w:val="none"/>
        </w:rPr>
        <w:t xml:space="preserve">仪器设备清单表</w:t>
      </w:r>
      <w:bookmarkEnd w:id="87"/>
      <w:r>
        <w:rPr>
          <w:highlight w:val="none"/>
        </w:rPr>
      </w:r>
      <w:bookmarkEnd w:id="88"/>
      <w:r>
        <w:rPr>
          <w:highlight w:val="none"/>
        </w:rPr>
      </w:r>
      <w:bookmarkEnd w:id="89"/>
      <w:r>
        <w:rPr>
          <w:highlight w:val="none"/>
        </w:rPr>
      </w:r>
      <w:r>
        <w:rPr>
          <w:highlight w:val="none"/>
        </w:rPr>
      </w:r>
    </w:p>
    <w:p>
      <w:pPr>
        <w:ind w:left="0"/>
        <w:jc w:val="center"/>
        <w:widowControl w:val="off"/>
        <w:rPr>
          <w:rFonts w:ascii="宋体" w:hAnsi="宋体"/>
          <w:b/>
          <w:bCs/>
          <w:sz w:val="21"/>
          <w:szCs w:val="21"/>
          <w:highlight w:val="none"/>
        </w:rPr>
      </w:pPr>
      <w:r>
        <w:rPr>
          <w:rFonts w:ascii="宋体" w:hAnsi="宋体"/>
          <w:b/>
          <w:bCs/>
          <w:sz w:val="21"/>
          <w:szCs w:val="21"/>
          <w:highlight w:val="none"/>
        </w:rPr>
      </w:r>
      <w:r>
        <w:rPr>
          <w:highlight w:val="none"/>
        </w:rPr>
      </w:r>
    </w:p>
    <w:p>
      <w:pPr>
        <w:ind w:left="0"/>
        <w:jc w:val="center"/>
        <w:widowControl w:val="off"/>
        <w:rPr>
          <w:rFonts w:ascii="宋体" w:hAnsi="宋体"/>
          <w:b/>
          <w:bCs/>
          <w:sz w:val="21"/>
          <w:szCs w:val="21"/>
          <w:highlight w:val="none"/>
        </w:rPr>
      </w:pPr>
      <w:r>
        <w:rPr>
          <w:rFonts w:hint="eastAsia" w:ascii="宋体" w:hAnsi="宋体"/>
          <w:b/>
          <w:bCs/>
          <w:sz w:val="21"/>
          <w:szCs w:val="21"/>
          <w:highlight w:val="none"/>
        </w:rPr>
        <w:t xml:space="preserve">仪器设备</w:t>
      </w:r>
      <w:r>
        <w:rPr>
          <w:rFonts w:ascii="宋体" w:hAnsi="宋体"/>
          <w:b/>
          <w:bCs/>
          <w:sz w:val="21"/>
          <w:szCs w:val="21"/>
          <w:highlight w:val="none"/>
        </w:rPr>
        <w:t xml:space="preserve">清单表</w:t>
      </w:r>
      <w:r>
        <w:rPr>
          <w:highlight w:val="none"/>
        </w:rPr>
      </w:r>
    </w:p>
    <w:p>
      <w:pPr>
        <w:ind w:left="0"/>
        <w:jc w:val="center"/>
        <w:widowControl w:val="off"/>
        <w:rPr>
          <w:rFonts w:ascii="宋体" w:hAnsi="宋体"/>
          <w:b/>
          <w:bCs/>
          <w:sz w:val="21"/>
          <w:szCs w:val="21"/>
          <w:highlight w:val="none"/>
        </w:rPr>
      </w:pPr>
      <w:r>
        <w:rPr>
          <w:rFonts w:ascii="宋体" w:hAnsi="宋体"/>
          <w:b/>
          <w:bCs/>
          <w:sz w:val="21"/>
          <w:szCs w:val="21"/>
          <w:highlight w:val="none"/>
        </w:rPr>
      </w:r>
      <w:r>
        <w:rPr>
          <w:highlight w:val="none"/>
        </w:rPr>
      </w:r>
    </w:p>
    <w:tbl>
      <w:tblPr>
        <w:tblW w:w="7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1"/>
        <w:gridCol w:w="2745"/>
        <w:gridCol w:w="900"/>
        <w:gridCol w:w="1260"/>
        <w:gridCol w:w="1260"/>
      </w:tblGrid>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rPr>
                <w:highlight w:val="none"/>
              </w:rP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名称</w:t>
            </w:r>
            <w:r>
              <w:rPr>
                <w:highlight w:val="none"/>
              </w:rP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单位</w:t>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数量</w:t>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rPr>
                <w:highlight w:val="none"/>
              </w:rP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bl>
    <w:p>
      <w:pPr>
        <w:ind w:left="0"/>
        <w:spacing w:line="360" w:lineRule="auto"/>
        <w:widowControl w:val="off"/>
        <w:rPr>
          <w:rFonts w:ascii="宋体" w:hAnsi="宋体"/>
          <w:sz w:val="21"/>
          <w:szCs w:val="21"/>
          <w:highlight w:val="none"/>
        </w:rPr>
      </w:pPr>
      <w:r>
        <w:rPr>
          <w:rFonts w:ascii="宋体" w:hAnsi="宋体"/>
          <w:sz w:val="21"/>
          <w:szCs w:val="21"/>
          <w:highlight w:val="none"/>
        </w:rPr>
        <w:t xml:space="preserve">注：1.请各</w:t>
      </w:r>
      <w:r>
        <w:rPr>
          <w:rFonts w:hint="eastAsia" w:ascii="宋体" w:hAnsi="宋体"/>
          <w:sz w:val="21"/>
          <w:szCs w:val="21"/>
          <w:highlight w:val="none"/>
        </w:rPr>
        <w:t xml:space="preserve">投标人</w:t>
      </w:r>
      <w:r>
        <w:rPr>
          <w:rFonts w:ascii="宋体" w:hAnsi="宋体"/>
          <w:sz w:val="21"/>
          <w:szCs w:val="21"/>
          <w:highlight w:val="none"/>
        </w:rPr>
        <w:t xml:space="preserve">按上述格式自制《清单表》；</w:t>
      </w:r>
      <w:r>
        <w:rPr>
          <w:highlight w:val="none"/>
        </w:rPr>
      </w:r>
    </w:p>
    <w:p>
      <w:pPr>
        <w:ind w:left="0" w:firstLine="420"/>
        <w:jc w:val="left"/>
        <w:spacing w:line="360" w:lineRule="auto"/>
        <w:rPr>
          <w:rFonts w:ascii="宋体" w:hAnsi="宋体"/>
          <w:b/>
          <w:sz w:val="21"/>
          <w:highlight w:val="none"/>
        </w:rPr>
      </w:pPr>
      <w:r>
        <w:rPr>
          <w:rFonts w:hint="eastAsia" w:ascii="宋体" w:hAnsi="宋体"/>
          <w:sz w:val="21"/>
          <w:szCs w:val="21"/>
          <w:highlight w:val="none"/>
        </w:rPr>
        <w:t xml:space="preserve">2</w:t>
      </w:r>
      <w:r>
        <w:rPr>
          <w:rFonts w:ascii="宋体" w:hAnsi="宋体"/>
          <w:sz w:val="21"/>
          <w:szCs w:val="21"/>
          <w:highlight w:val="none"/>
        </w:rPr>
        <w:t xml:space="preserve">.</w:t>
      </w:r>
      <w:r>
        <w:rPr>
          <w:rFonts w:ascii="宋体" w:hAnsi="宋体"/>
          <w:sz w:val="21"/>
          <w:highlight w:val="none"/>
        </w:rPr>
        <w:t xml:space="preserve">若事项较多，</w:t>
      </w:r>
      <w:r>
        <w:rPr>
          <w:rFonts w:hint="eastAsia" w:ascii="宋体" w:hAnsi="宋体"/>
          <w:sz w:val="21"/>
          <w:szCs w:val="21"/>
          <w:highlight w:val="none"/>
        </w:rPr>
        <w:t xml:space="preserve">投标人</w:t>
      </w:r>
      <w:r>
        <w:rPr>
          <w:rFonts w:ascii="宋体" w:hAnsi="宋体"/>
          <w:sz w:val="21"/>
          <w:highlight w:val="none"/>
        </w:rPr>
        <w:t xml:space="preserve">可根据实际情况另纸说明。</w:t>
      </w:r>
      <w:r>
        <w:rPr>
          <w:highlight w:val="none"/>
        </w:rPr>
      </w:r>
    </w:p>
    <w:p>
      <w:pPr>
        <w:ind w:left="0"/>
        <w:spacing w:line="400" w:lineRule="exact"/>
        <w:widowControl w:val="off"/>
        <w:rPr>
          <w:rFonts w:ascii="宋体" w:hAnsi="宋体"/>
          <w:sz w:val="21"/>
          <w:szCs w:val="21"/>
          <w:highlight w:val="none"/>
        </w:rPr>
      </w:pPr>
      <w:r>
        <w:rPr>
          <w:rFonts w:ascii="宋体" w:hAnsi="宋体"/>
          <w:sz w:val="21"/>
          <w:szCs w:val="21"/>
          <w:highlight w:val="none"/>
        </w:rPr>
      </w:r>
      <w:r>
        <w:rPr>
          <w:highlight w:val="none"/>
        </w:rPr>
      </w:r>
    </w:p>
    <w:p>
      <w:pPr>
        <w:ind w:left="0" w:right="-20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p>
    <w:p>
      <w:pPr>
        <w:ind w:left="0" w:right="-200"/>
        <w:jc w:val="center"/>
        <w:spacing w:line="360" w:lineRule="auto"/>
        <w:widowControl w:val="off"/>
        <w:rPr>
          <w:rFonts w:ascii="宋体" w:hAnsi="宋体"/>
          <w:highlight w:val="none"/>
        </w:rPr>
      </w:pPr>
      <w:r>
        <w:rPr>
          <w:rFonts w:ascii="宋体" w:hAnsi="宋体"/>
          <w:highlight w:val="none"/>
        </w:rPr>
      </w:r>
      <w:r>
        <w:rPr>
          <w:highlight w:val="none"/>
        </w:rPr>
      </w:r>
    </w:p>
    <w:p>
      <w:pPr>
        <w:pStyle w:val="938"/>
        <w:ind w:left="400" w:firstLine="400"/>
        <w:rPr>
          <w:rFonts w:ascii="宋体" w:hAnsi="宋体"/>
          <w:highlight w:val="none"/>
        </w:rPr>
      </w:pPr>
      <w:r>
        <w:rPr>
          <w:rFonts w:ascii="宋体" w:hAnsi="宋体"/>
          <w:highlight w:val="none"/>
        </w:rPr>
      </w:r>
      <w:r>
        <w:rPr>
          <w:highlight w:val="none"/>
        </w:rPr>
      </w:r>
    </w:p>
    <w:p>
      <w:pPr>
        <w:pStyle w:val="938"/>
        <w:ind w:left="400" w:firstLine="400"/>
        <w:rPr>
          <w:rFonts w:ascii="宋体" w:hAnsi="宋体"/>
          <w:highlight w:val="none"/>
        </w:rPr>
      </w:pPr>
      <w:r>
        <w:rPr>
          <w:rFonts w:ascii="宋体" w:hAnsi="宋体"/>
          <w:highlight w:val="none"/>
        </w:rPr>
      </w:r>
      <w:r>
        <w:rPr>
          <w:highlight w:val="none"/>
        </w:rPr>
      </w:r>
    </w:p>
    <w:p>
      <w:pPr>
        <w:pStyle w:val="938"/>
        <w:ind w:left="400" w:firstLine="400"/>
        <w:rPr>
          <w:rFonts w:ascii="宋体" w:hAnsi="宋体"/>
          <w:highlight w:val="none"/>
        </w:rPr>
      </w:pPr>
      <w:r>
        <w:rPr>
          <w:rFonts w:ascii="宋体" w:hAnsi="宋体"/>
          <w:highlight w:val="none"/>
        </w:rPr>
      </w:r>
      <w:r>
        <w:rPr>
          <w:highlight w:val="none"/>
        </w:rPr>
      </w:r>
    </w:p>
    <w:p>
      <w:pPr>
        <w:pStyle w:val="938"/>
        <w:ind w:left="400" w:firstLine="400"/>
        <w:rPr>
          <w:rFonts w:ascii="宋体" w:hAnsi="宋体"/>
          <w:highlight w:val="none"/>
        </w:rPr>
      </w:pPr>
      <w:r>
        <w:rPr>
          <w:rFonts w:ascii="宋体" w:hAnsi="宋体"/>
          <w:highlight w:val="none"/>
        </w:rPr>
      </w:r>
      <w:r>
        <w:rPr>
          <w:highlight w:val="none"/>
        </w:rPr>
      </w:r>
    </w:p>
    <w:p>
      <w:pPr>
        <w:pStyle w:val="938"/>
        <w:ind w:left="400" w:firstLine="400"/>
        <w:rPr>
          <w:rFonts w:ascii="宋体" w:hAnsi="宋体"/>
          <w:highlight w:val="none"/>
        </w:rPr>
      </w:pPr>
      <w:r>
        <w:rPr>
          <w:rFonts w:ascii="宋体" w:hAnsi="宋体"/>
          <w:highlight w:val="none"/>
        </w:rPr>
      </w:r>
      <w:r>
        <w:rPr>
          <w:highlight w:val="none"/>
        </w:rPr>
      </w:r>
    </w:p>
    <w:p>
      <w:pPr>
        <w:pStyle w:val="938"/>
        <w:ind w:left="400" w:firstLine="400"/>
        <w:rPr>
          <w:rFonts w:ascii="宋体" w:hAnsi="宋体"/>
          <w:highlight w:val="none"/>
        </w:rPr>
      </w:pPr>
      <w:r>
        <w:rPr>
          <w:rFonts w:ascii="宋体" w:hAnsi="宋体"/>
          <w:highlight w:val="none"/>
        </w:rPr>
      </w:r>
      <w:r>
        <w:rPr>
          <w:highlight w:val="none"/>
        </w:rPr>
      </w:r>
    </w:p>
    <w:p>
      <w:pPr>
        <w:pStyle w:val="938"/>
        <w:ind w:left="400" w:firstLine="400"/>
        <w:rPr>
          <w:rFonts w:ascii="宋体" w:hAnsi="宋体"/>
          <w:highlight w:val="none"/>
        </w:rPr>
      </w:pPr>
      <w:r>
        <w:rPr>
          <w:rFonts w:ascii="宋体" w:hAnsi="宋体"/>
          <w:highlight w:val="none"/>
        </w:rPr>
      </w:r>
      <w:r>
        <w:rPr>
          <w:highlight w:val="none"/>
        </w:rPr>
      </w:r>
    </w:p>
    <w:p>
      <w:pPr>
        <w:pStyle w:val="938"/>
        <w:ind w:left="400" w:firstLine="400"/>
        <w:rPr>
          <w:rFonts w:ascii="宋体" w:hAnsi="宋体"/>
          <w:highlight w:val="none"/>
        </w:rPr>
      </w:pPr>
      <w:r>
        <w:rPr>
          <w:rFonts w:ascii="宋体" w:hAnsi="宋体"/>
          <w:highlight w:val="none"/>
        </w:rPr>
      </w:r>
      <w:r>
        <w:rPr>
          <w:highlight w:val="none"/>
        </w:rPr>
      </w:r>
    </w:p>
    <w:p>
      <w:pPr>
        <w:pStyle w:val="938"/>
        <w:ind w:left="400" w:firstLine="400"/>
        <w:rPr>
          <w:rFonts w:ascii="宋体" w:hAnsi="宋体"/>
          <w:highlight w:val="none"/>
        </w:rPr>
      </w:pPr>
      <w:r>
        <w:rPr>
          <w:rFonts w:ascii="宋体" w:hAnsi="宋体"/>
          <w:highlight w:val="none"/>
        </w:rPr>
      </w:r>
      <w:r>
        <w:rPr>
          <w:highlight w:val="none"/>
        </w:rPr>
      </w:r>
    </w:p>
    <w:p>
      <w:pPr>
        <w:pStyle w:val="938"/>
        <w:ind w:left="400" w:firstLine="400"/>
        <w:rPr>
          <w:rFonts w:ascii="宋体" w:hAnsi="宋体"/>
          <w:highlight w:val="none"/>
        </w:rPr>
      </w:pPr>
      <w:r>
        <w:rPr>
          <w:rFonts w:ascii="宋体" w:hAnsi="宋体"/>
          <w:highlight w:val="none"/>
        </w:rPr>
      </w:r>
      <w:r>
        <w:rPr>
          <w:highlight w:val="none"/>
        </w:rPr>
      </w:r>
    </w:p>
    <w:p>
      <w:pPr>
        <w:pStyle w:val="938"/>
        <w:ind w:left="0" w:firstLine="0"/>
        <w:rPr>
          <w:rFonts w:ascii="宋体" w:hAnsi="宋体"/>
          <w:highlight w:val="none"/>
        </w:rPr>
      </w:pPr>
      <w:r>
        <w:rPr>
          <w:rFonts w:ascii="宋体" w:hAnsi="宋体"/>
          <w:highlight w:val="none"/>
        </w:rPr>
      </w:r>
      <w:r>
        <w:rPr>
          <w:highlight w:val="none"/>
        </w:rPr>
      </w:r>
    </w:p>
    <w:p>
      <w:pPr>
        <w:ind w:left="0"/>
        <w:jc w:val="left"/>
        <w:rPr>
          <w:rFonts w:ascii="宋体" w:hAnsi="宋体"/>
          <w:b/>
          <w:bCs/>
          <w:sz w:val="21"/>
          <w:szCs w:val="21"/>
          <w:highlight w:val="none"/>
        </w:rPr>
      </w:pPr>
      <w:r>
        <w:rPr>
          <w:highlight w:val="none"/>
        </w:rPr>
      </w:r>
      <w:bookmarkStart w:id="90" w:name="_Toc103258864"/>
      <w:r>
        <w:rPr>
          <w:highlight w:val="none"/>
        </w:rPr>
      </w:r>
      <w:bookmarkStart w:id="91" w:name="_Toc159146127"/>
      <w:r>
        <w:rPr>
          <w:highlight w:val="none"/>
        </w:rPr>
      </w:r>
      <w:bookmarkStart w:id="92" w:name="_Toc105397792"/>
      <w:r>
        <w:rPr>
          <w:rFonts w:ascii="宋体" w:hAnsi="宋体"/>
          <w:b/>
          <w:bCs/>
          <w:sz w:val="21"/>
          <w:szCs w:val="21"/>
          <w:highlight w:val="none"/>
        </w:rPr>
        <w:br w:type="page" w:clear="all"/>
      </w:r>
      <w:bookmarkEnd w:id="90"/>
      <w:r>
        <w:rPr>
          <w:highlight w:val="none"/>
        </w:rPr>
      </w:r>
      <w:bookmarkEnd w:id="91"/>
      <w:r>
        <w:rPr>
          <w:highlight w:val="none"/>
        </w:rPr>
      </w:r>
      <w:bookmarkEnd w:id="92"/>
      <w:r>
        <w:rPr>
          <w:highlight w:val="none"/>
        </w:rPr>
      </w:r>
      <w:r>
        <w:rPr>
          <w:highlight w:val="none"/>
        </w:rPr>
      </w:r>
    </w:p>
    <w:p>
      <w:pPr>
        <w:contextualSpacing/>
        <w:ind w:left="0"/>
        <w:spacing w:line="276" w:lineRule="auto"/>
        <w:widowControl w:val="off"/>
        <w:rPr>
          <w:rFonts w:ascii="宋体" w:hAnsi="宋体" w:cs="Times New Roman"/>
          <w:b/>
          <w:sz w:val="21"/>
          <w:szCs w:val="22"/>
          <w:highlight w:val="none"/>
        </w:rPr>
      </w:pPr>
      <w:r>
        <w:rPr>
          <w:rFonts w:hint="eastAsia" w:ascii="宋体" w:hAnsi="宋体"/>
          <w:b/>
          <w:bCs/>
          <w:sz w:val="21"/>
          <w:szCs w:val="21"/>
          <w:highlight w:val="none"/>
        </w:rPr>
        <w:t xml:space="preserve">附件14：投标（响应）保证承诺书</w:t>
      </w:r>
      <w:r>
        <w:rPr>
          <w:highlight w:val="none"/>
        </w:rPr>
      </w:r>
    </w:p>
    <w:p>
      <w:pPr>
        <w:ind w:left="0"/>
        <w:jc w:val="center"/>
        <w:spacing w:line="600" w:lineRule="atLeast"/>
        <w:rPr>
          <w:rFonts w:ascii="宋体" w:hAnsi="宋体"/>
          <w:b/>
          <w:sz w:val="21"/>
          <w:szCs w:val="21"/>
          <w:highlight w:val="none"/>
        </w:rPr>
      </w:pPr>
      <w:r>
        <w:rPr>
          <w:rFonts w:hint="eastAsia" w:ascii="宋体" w:hAnsi="宋体"/>
          <w:b/>
          <w:sz w:val="21"/>
          <w:szCs w:val="21"/>
          <w:highlight w:val="none"/>
        </w:rPr>
        <w:t xml:space="preserve">投标（响应）保证承诺书</w:t>
      </w:r>
      <w:r>
        <w:rPr>
          <w:highlight w:val="none"/>
        </w:rP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致：</w:t>
      </w:r>
      <w:r>
        <w:rPr>
          <w:rFonts w:hint="eastAsia" w:ascii="宋体" w:hAnsi="宋体"/>
          <w:sz w:val="21"/>
          <w:szCs w:val="21"/>
          <w:highlight w:val="none"/>
          <w:u w:val="single"/>
        </w:rPr>
        <w:t xml:space="preserve">         （招标单位名称）</w:t>
      </w:r>
      <w:r>
        <w:rPr>
          <w:highlight w:val="none"/>
        </w:rPr>
      </w:r>
    </w:p>
    <w:p>
      <w:pPr>
        <w:ind w:left="0" w:firstLine="600"/>
        <w:jc w:val="left"/>
        <w:spacing w:line="360" w:lineRule="auto"/>
        <w:rPr>
          <w:rFonts w:ascii="宋体" w:hAnsi="宋体"/>
          <w:sz w:val="21"/>
          <w:szCs w:val="21"/>
          <w:highlight w:val="none"/>
        </w:rPr>
      </w:pPr>
      <w:r>
        <w:rPr>
          <w:rFonts w:hint="eastAsia" w:ascii="宋体" w:hAnsi="宋体"/>
          <w:sz w:val="21"/>
          <w:szCs w:val="21"/>
          <w:highlight w:val="none"/>
        </w:rPr>
        <w:t xml:space="preserve">我（单位/本人，以下统称我单位）自愿参加</w:t>
      </w:r>
      <w:r>
        <w:rPr>
          <w:rFonts w:hint="eastAsia" w:ascii="宋体" w:hAnsi="宋体"/>
          <w:sz w:val="21"/>
          <w:szCs w:val="21"/>
          <w:highlight w:val="none"/>
          <w:u w:val="single"/>
        </w:rPr>
        <w:t xml:space="preserve">              （项目名称和采购编号）</w:t>
      </w:r>
      <w:r>
        <w:rPr>
          <w:rFonts w:hint="eastAsia" w:ascii="宋体" w:hAnsi="宋体"/>
          <w:sz w:val="21"/>
          <w:szCs w:val="21"/>
          <w:highlight w:val="none"/>
        </w:rPr>
        <w:t xml:space="preserve">的投标（响应）,并做出如下承诺：</w:t>
      </w:r>
      <w:r>
        <w:rPr>
          <w:highlight w:val="none"/>
        </w:rPr>
      </w:r>
    </w:p>
    <w:p>
      <w:pPr>
        <w:ind w:left="0" w:firstLine="600"/>
        <w:jc w:val="left"/>
        <w:spacing w:line="360" w:lineRule="auto"/>
        <w:rPr>
          <w:rFonts w:ascii="宋体" w:hAnsi="宋体"/>
          <w:sz w:val="21"/>
          <w:szCs w:val="21"/>
          <w:highlight w:val="none"/>
        </w:rPr>
      </w:pPr>
      <w:r>
        <w:rPr>
          <w:rFonts w:hint="eastAsia" w:ascii="宋体" w:hAnsi="宋体"/>
          <w:sz w:val="21"/>
          <w:szCs w:val="21"/>
          <w:highlight w:val="none"/>
        </w:rPr>
        <w:t xml:space="preserve">一、除不可抗力外，我单位如果发生以下行为，将在行为发生的10个工作日内，向贵方</w:t>
      </w:r>
      <w:r>
        <w:rPr>
          <w:rFonts w:hint="eastAsia" w:ascii="宋体" w:hAnsi="宋体"/>
          <w:sz w:val="21"/>
          <w:szCs w:val="21"/>
          <w:highlight w:val="none"/>
          <w:u w:val="single"/>
        </w:rPr>
        <w:t xml:space="preserve">（或招标单位）</w:t>
      </w:r>
      <w:r>
        <w:rPr>
          <w:rFonts w:hint="eastAsia" w:ascii="宋体" w:hAnsi="宋体"/>
          <w:sz w:val="21"/>
          <w:szCs w:val="21"/>
          <w:highlight w:val="none"/>
        </w:rPr>
        <w:t xml:space="preserve">支付本招标文件公布的预算金额（或最高限价）的2%作为违约赔偿金（数量不确定的单价采购须约定具体金额）。</w:t>
      </w:r>
      <w:r>
        <w:rPr>
          <w:highlight w:val="none"/>
        </w:rPr>
      </w:r>
    </w:p>
    <w:p>
      <w:pPr>
        <w:ind w:left="0" w:firstLine="555"/>
        <w:jc w:val="left"/>
        <w:spacing w:line="360" w:lineRule="auto"/>
        <w:rPr>
          <w:rFonts w:ascii="宋体" w:hAnsi="宋体"/>
          <w:sz w:val="21"/>
          <w:szCs w:val="21"/>
          <w:highlight w:val="none"/>
        </w:rPr>
      </w:pPr>
      <w:r>
        <w:rPr>
          <w:rFonts w:hint="eastAsia" w:ascii="宋体" w:hAnsi="宋体"/>
          <w:sz w:val="21"/>
          <w:szCs w:val="21"/>
          <w:highlight w:val="none"/>
        </w:rPr>
        <w:t xml:space="preserve">1.自投标截止时间至本项目发布中标（成交）公告为止，撤销投标（响应）；</w:t>
      </w:r>
      <w:r>
        <w:rPr>
          <w:highlight w:val="none"/>
        </w:rPr>
      </w:r>
    </w:p>
    <w:p>
      <w:pPr>
        <w:ind w:left="0" w:firstLine="555"/>
        <w:jc w:val="left"/>
        <w:spacing w:line="360" w:lineRule="auto"/>
        <w:rPr>
          <w:rFonts w:ascii="宋体" w:hAnsi="宋体"/>
          <w:sz w:val="21"/>
          <w:szCs w:val="21"/>
          <w:highlight w:val="none"/>
        </w:rPr>
      </w:pPr>
      <w:r>
        <w:rPr>
          <w:rFonts w:hint="eastAsia" w:ascii="宋体" w:hAnsi="宋体"/>
          <w:sz w:val="21"/>
          <w:szCs w:val="21"/>
          <w:highlight w:val="none"/>
        </w:rPr>
        <w:t xml:space="preserve">2.中标后不依法与招标单位签订合同；</w:t>
      </w:r>
      <w:r>
        <w:rPr>
          <w:highlight w:val="none"/>
        </w:rPr>
      </w:r>
    </w:p>
    <w:p>
      <w:pPr>
        <w:ind w:left="0" w:firstLine="555"/>
        <w:jc w:val="left"/>
        <w:spacing w:line="360" w:lineRule="auto"/>
        <w:rPr>
          <w:rFonts w:ascii="宋体" w:hAnsi="宋体"/>
          <w:sz w:val="21"/>
          <w:szCs w:val="21"/>
          <w:highlight w:val="none"/>
        </w:rPr>
      </w:pPr>
      <w:r>
        <w:rPr>
          <w:rFonts w:hint="eastAsia" w:ascii="宋体" w:hAnsi="宋体"/>
          <w:sz w:val="21"/>
          <w:szCs w:val="21"/>
          <w:highlight w:val="none"/>
        </w:rPr>
        <w:t xml:space="preserve">3.中标后不按本招标文件规定向贵方缴纳采购代理费。</w:t>
      </w:r>
      <w:r>
        <w:rPr>
          <w:highlight w:val="none"/>
        </w:rPr>
      </w:r>
    </w:p>
    <w:p>
      <w:pPr>
        <w:ind w:left="0" w:firstLine="600"/>
        <w:jc w:val="left"/>
        <w:spacing w:line="360" w:lineRule="auto"/>
        <w:rPr>
          <w:rFonts w:ascii="宋体" w:hAnsi="宋体"/>
          <w:sz w:val="21"/>
          <w:szCs w:val="21"/>
          <w:highlight w:val="none"/>
        </w:rPr>
      </w:pPr>
      <w:r>
        <w:rPr>
          <w:rFonts w:hint="eastAsia" w:ascii="宋体" w:hAnsi="宋体"/>
          <w:sz w:val="21"/>
          <w:szCs w:val="21"/>
          <w:highlight w:val="none"/>
        </w:rPr>
        <w:t xml:space="preserve">二、我单位知晓上述行为的法律后果，承认本承诺书作为贵方</w:t>
      </w:r>
      <w:r>
        <w:rPr>
          <w:rFonts w:hint="eastAsia" w:ascii="宋体" w:hAnsi="宋体"/>
          <w:sz w:val="21"/>
          <w:szCs w:val="21"/>
          <w:highlight w:val="none"/>
          <w:u w:val="single"/>
        </w:rPr>
        <w:t xml:space="preserve">（或招标单位）</w:t>
      </w:r>
      <w:r>
        <w:rPr>
          <w:rFonts w:hint="eastAsia" w:ascii="宋体" w:hAnsi="宋体"/>
          <w:sz w:val="21"/>
          <w:szCs w:val="21"/>
          <w:highlight w:val="none"/>
        </w:rPr>
        <w:t xml:space="preserve">要求我单位履行违约赔偿义务的依据作用。</w:t>
      </w:r>
      <w:r>
        <w:rPr>
          <w:highlight w:val="none"/>
        </w:rP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highlight w:val="none"/>
        </w:rP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投标人：（盖公章）</w:t>
      </w:r>
      <w:r>
        <w:rPr>
          <w:highlight w:val="none"/>
        </w:rP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地址：</w:t>
      </w:r>
      <w:r>
        <w:rPr>
          <w:highlight w:val="none"/>
        </w:rP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电话：                    </w:t>
      </w:r>
      <w:r>
        <w:rPr>
          <w:highlight w:val="none"/>
        </w:rP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传真：</w:t>
      </w:r>
      <w:r>
        <w:rPr>
          <w:highlight w:val="none"/>
        </w:rP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电子邮件：                    </w:t>
      </w:r>
      <w:r>
        <w:rPr>
          <w:highlight w:val="none"/>
        </w:rP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邮编：</w:t>
      </w:r>
      <w:r>
        <w:rPr>
          <w:highlight w:val="none"/>
        </w:rP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法定代表人或委托代理人(签字或签章)：</w:t>
      </w:r>
      <w:r>
        <w:rPr>
          <w:highlight w:val="none"/>
        </w:rPr>
      </w:r>
    </w:p>
    <w:p>
      <w:pPr>
        <w:ind w:left="0" w:firstLine="420"/>
        <w:rPr>
          <w:rFonts w:ascii="宋体" w:hAnsi="宋体" w:cs="Times New Roman"/>
          <w:sz w:val="21"/>
          <w:szCs w:val="22"/>
          <w:highlight w:val="none"/>
        </w:rPr>
      </w:pPr>
      <w:r>
        <w:rPr>
          <w:rFonts w:ascii="宋体" w:hAnsi="宋体" w:cs="Times New Roman"/>
          <w:sz w:val="21"/>
          <w:szCs w:val="22"/>
          <w:highlight w:val="none"/>
        </w:rPr>
      </w:r>
      <w:r>
        <w:rPr>
          <w:highlight w:val="none"/>
        </w:rP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日期：</w:t>
      </w:r>
      <w:r>
        <w:rPr>
          <w:highlight w:val="none"/>
        </w:rPr>
      </w:r>
    </w:p>
    <w:p>
      <w:pPr>
        <w:pStyle w:val="889"/>
        <w:rPr>
          <w:highlight w:val="none"/>
        </w:rPr>
      </w:pPr>
      <w:r>
        <w:rPr>
          <w:highlight w:val="none"/>
        </w:rPr>
        <w:br w:type="page" w:clear="all"/>
      </w:r>
      <w:r>
        <w:rPr>
          <w:highlight w:val="none"/>
        </w:rPr>
      </w:r>
    </w:p>
    <w:p>
      <w:pPr>
        <w:ind w:left="0"/>
        <w:rPr>
          <w:rFonts w:ascii="宋体" w:hAnsi="宋体" w:cs="Times New Roman"/>
          <w:b/>
          <w:sz w:val="21"/>
          <w:szCs w:val="21"/>
          <w:highlight w:val="none"/>
        </w:rPr>
      </w:pPr>
      <w:r>
        <w:rPr>
          <w:rFonts w:hint="eastAsia" w:ascii="宋体" w:hAnsi="宋体"/>
          <w:b/>
          <w:sz w:val="21"/>
          <w:szCs w:val="21"/>
          <w:highlight w:val="none"/>
        </w:rPr>
        <w:t xml:space="preserve">附件1</w:t>
      </w:r>
      <w:r>
        <w:rPr>
          <w:rFonts w:ascii="宋体" w:hAnsi="宋体"/>
          <w:b/>
          <w:sz w:val="21"/>
          <w:szCs w:val="21"/>
          <w:highlight w:val="none"/>
        </w:rPr>
        <w:t xml:space="preserve">5</w:t>
      </w:r>
      <w:r>
        <w:rPr>
          <w:rFonts w:hint="eastAsia" w:ascii="宋体" w:hAnsi="宋体"/>
          <w:b/>
          <w:sz w:val="21"/>
          <w:szCs w:val="21"/>
          <w:highlight w:val="none"/>
        </w:rPr>
        <w:t xml:space="preserve">：</w:t>
      </w:r>
      <w:r>
        <w:rPr>
          <w:rFonts w:hint="eastAsia" w:ascii="宋体" w:hAnsi="宋体"/>
          <w:b/>
          <w:sz w:val="21"/>
          <w:szCs w:val="21"/>
          <w:highlight w:val="none"/>
        </w:rPr>
        <w:t xml:space="preserve">投标人与其他单位存在控股、管理关系情况表</w:t>
      </w:r>
      <w:r>
        <w:rPr>
          <w:highlight w:val="none"/>
        </w:rPr>
      </w:r>
    </w:p>
    <w:p>
      <w:pPr>
        <w:ind w:left="0"/>
        <w:jc w:val="left"/>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left"/>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jc w:val="center"/>
        <w:rPr>
          <w:rFonts w:ascii="宋体" w:hAnsi="宋体" w:cs="Times New Roman"/>
          <w:b/>
          <w:sz w:val="30"/>
          <w:szCs w:val="30"/>
          <w:highlight w:val="none"/>
        </w:rPr>
      </w:pPr>
      <w:r>
        <w:rPr>
          <w:rFonts w:hint="eastAsia" w:ascii="宋体" w:hAnsi="宋体"/>
          <w:b/>
          <w:sz w:val="30"/>
          <w:szCs w:val="30"/>
          <w:highlight w:val="none"/>
        </w:rPr>
        <w:t xml:space="preserve">投标人与其他单位存在控股、管理关系情况表</w:t>
      </w:r>
      <w:r>
        <w:rPr>
          <w:highlight w:val="none"/>
        </w:rPr>
      </w:r>
    </w:p>
    <w:p>
      <w:pPr>
        <w:ind w:left="0"/>
        <w:jc w:val="left"/>
        <w:rPr>
          <w:rFonts w:ascii="宋体" w:hAnsi="宋体" w:cs="Times New Roman"/>
          <w:b/>
          <w:sz w:val="21"/>
          <w:szCs w:val="21"/>
          <w:highlight w:val="none"/>
        </w:rPr>
      </w:pPr>
      <w:r>
        <w:rPr>
          <w:rFonts w:ascii="宋体" w:hAnsi="宋体" w:cs="Times New Roman"/>
          <w:b/>
          <w:sz w:val="21"/>
          <w:szCs w:val="21"/>
          <w:highlight w:val="none"/>
        </w:rPr>
      </w:r>
      <w:r>
        <w:rPr>
          <w:highlight w:val="none"/>
        </w:rPr>
      </w:r>
    </w:p>
    <w:tbl>
      <w:tblPr>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484"/>
        <w:gridCol w:w="4038"/>
      </w:tblGrid>
      <w:tr>
        <w:trPr>
          <w:jc w:val="center"/>
          <w:trHeight w:val="637"/>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ind w:left="0"/>
              <w:jc w:val="center"/>
              <w:rPr>
                <w:rFonts w:ascii="宋体" w:hAnsi="宋体" w:cs="Times New Roman"/>
                <w:b/>
                <w:sz w:val="21"/>
                <w:szCs w:val="21"/>
                <w:highlight w:val="none"/>
              </w:rPr>
            </w:pPr>
            <w:r>
              <w:rPr>
                <w:rFonts w:hint="eastAsia" w:ascii="宋体" w:hAnsi="宋体"/>
                <w:b/>
                <w:sz w:val="21"/>
                <w:szCs w:val="21"/>
                <w:highlight w:val="none"/>
              </w:rPr>
              <w:t xml:space="preserve">与投标人存在控股、管理关系的单位名称</w:t>
            </w:r>
            <w:r>
              <w:rPr>
                <w:highlight w:val="none"/>
              </w:rP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ind w:left="0"/>
              <w:jc w:val="center"/>
              <w:rPr>
                <w:rFonts w:ascii="宋体" w:hAnsi="宋体" w:cs="Times New Roman"/>
                <w:b/>
                <w:sz w:val="21"/>
                <w:szCs w:val="21"/>
                <w:highlight w:val="none"/>
              </w:rPr>
            </w:pPr>
            <w:r>
              <w:rPr>
                <w:rFonts w:hint="eastAsia" w:ascii="宋体" w:hAnsi="宋体"/>
                <w:b/>
                <w:sz w:val="21"/>
                <w:szCs w:val="21"/>
                <w:highlight w:val="none"/>
              </w:rPr>
              <w:t xml:space="preserve">控股、管理关系情况说明</w:t>
            </w:r>
            <w:r>
              <w:rPr>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ind w:left="0"/>
              <w:jc w:val="center"/>
              <w:rPr>
                <w:rFonts w:ascii="宋体" w:hAnsi="宋体" w:cs="Times New Roman"/>
                <w:b/>
                <w:sz w:val="21"/>
                <w:szCs w:val="21"/>
                <w:highlight w:val="none"/>
              </w:rPr>
            </w:pPr>
            <w:r>
              <w:rPr>
                <w:rFonts w:ascii="宋体" w:hAnsi="宋体" w:cs="Times New Roman"/>
                <w:b/>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ind w:left="0"/>
              <w:jc w:val="center"/>
              <w:rPr>
                <w:rFonts w:ascii="宋体" w:hAnsi="宋体" w:cs="Times New Roman"/>
                <w:b/>
                <w:sz w:val="21"/>
                <w:szCs w:val="21"/>
                <w:highlight w:val="none"/>
              </w:rPr>
            </w:pPr>
            <w:r>
              <w:rPr>
                <w:rFonts w:ascii="宋体" w:hAnsi="宋体" w:cs="Times New Roman"/>
                <w:b/>
                <w:sz w:val="21"/>
                <w:szCs w:val="21"/>
                <w:highlight w:val="none"/>
              </w:rPr>
            </w:r>
            <w:r>
              <w:rPr>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ind w:left="0"/>
              <w:jc w:val="center"/>
              <w:rPr>
                <w:rFonts w:ascii="宋体" w:hAnsi="宋体" w:cs="Times New Roman"/>
                <w:b/>
                <w:sz w:val="21"/>
                <w:szCs w:val="21"/>
                <w:highlight w:val="none"/>
              </w:rPr>
            </w:pPr>
            <w:r>
              <w:rPr>
                <w:rFonts w:ascii="宋体" w:hAnsi="宋体" w:cs="Times New Roman"/>
                <w:b/>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ind w:left="0"/>
              <w:jc w:val="center"/>
              <w:rPr>
                <w:rFonts w:ascii="宋体" w:hAnsi="宋体" w:cs="Times New Roman"/>
                <w:b/>
                <w:sz w:val="21"/>
                <w:szCs w:val="21"/>
                <w:highlight w:val="none"/>
              </w:rPr>
            </w:pPr>
            <w:r>
              <w:rPr>
                <w:rFonts w:ascii="宋体" w:hAnsi="宋体" w:cs="Times New Roman"/>
                <w:b/>
                <w:sz w:val="21"/>
                <w:szCs w:val="21"/>
                <w:highlight w:val="none"/>
              </w:rPr>
            </w:r>
            <w:r>
              <w:rPr>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ind w:left="0"/>
              <w:jc w:val="center"/>
              <w:rPr>
                <w:rFonts w:ascii="宋体" w:hAnsi="宋体" w:cs="Times New Roman"/>
                <w:b/>
                <w:sz w:val="21"/>
                <w:szCs w:val="21"/>
                <w:highlight w:val="none"/>
              </w:rPr>
            </w:pPr>
            <w:r>
              <w:rPr>
                <w:rFonts w:ascii="宋体" w:hAnsi="宋体" w:cs="Times New Roman"/>
                <w:b/>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ind w:left="0"/>
              <w:jc w:val="center"/>
              <w:rPr>
                <w:rFonts w:ascii="宋体" w:hAnsi="宋体" w:cs="Times New Roman"/>
                <w:b/>
                <w:sz w:val="21"/>
                <w:szCs w:val="21"/>
                <w:highlight w:val="none"/>
              </w:rPr>
            </w:pPr>
            <w:r>
              <w:rPr>
                <w:rFonts w:ascii="宋体" w:hAnsi="宋体" w:cs="Times New Roman"/>
                <w:b/>
                <w:sz w:val="21"/>
                <w:szCs w:val="21"/>
                <w:highlight w:val="none"/>
              </w:rPr>
            </w:r>
            <w:r>
              <w:rPr>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ind w:left="0"/>
              <w:jc w:val="center"/>
              <w:rPr>
                <w:rFonts w:ascii="宋体" w:hAnsi="宋体" w:cs="Times New Roman"/>
                <w:b/>
                <w:sz w:val="21"/>
                <w:szCs w:val="21"/>
                <w:highlight w:val="none"/>
              </w:rPr>
            </w:pPr>
            <w:r>
              <w:rPr>
                <w:rFonts w:ascii="宋体" w:hAnsi="宋体" w:cs="Times New Roman"/>
                <w:b/>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ind w:left="0"/>
              <w:jc w:val="center"/>
              <w:rPr>
                <w:rFonts w:ascii="宋体" w:hAnsi="宋体" w:cs="Times New Roman"/>
                <w:b/>
                <w:sz w:val="21"/>
                <w:szCs w:val="21"/>
                <w:highlight w:val="none"/>
              </w:rPr>
            </w:pPr>
            <w:r>
              <w:rPr>
                <w:rFonts w:ascii="宋体" w:hAnsi="宋体" w:cs="Times New Roman"/>
                <w:b/>
                <w:sz w:val="21"/>
                <w:szCs w:val="21"/>
                <w:highlight w:val="none"/>
              </w:rPr>
            </w:r>
            <w:r>
              <w:rPr>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ind w:left="0"/>
              <w:jc w:val="center"/>
              <w:rPr>
                <w:rFonts w:ascii="宋体" w:hAnsi="宋体" w:cs="Times New Roman"/>
                <w:b/>
                <w:sz w:val="21"/>
                <w:szCs w:val="21"/>
                <w:highlight w:val="none"/>
              </w:rPr>
            </w:pPr>
            <w:r>
              <w:rPr>
                <w:rFonts w:ascii="宋体" w:hAnsi="宋体" w:cs="Times New Roman"/>
                <w:b/>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ind w:left="0"/>
              <w:jc w:val="center"/>
              <w:rPr>
                <w:rFonts w:ascii="宋体" w:hAnsi="宋体" w:cs="Times New Roman"/>
                <w:b/>
                <w:sz w:val="21"/>
                <w:szCs w:val="21"/>
                <w:highlight w:val="none"/>
              </w:rPr>
            </w:pPr>
            <w:r>
              <w:rPr>
                <w:rFonts w:ascii="宋体" w:hAnsi="宋体" w:cs="Times New Roman"/>
                <w:b/>
                <w:sz w:val="21"/>
                <w:szCs w:val="21"/>
                <w:highlight w:val="none"/>
              </w:rPr>
            </w:r>
            <w:r>
              <w:rPr>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ind w:left="0"/>
              <w:jc w:val="center"/>
              <w:rPr>
                <w:rFonts w:ascii="宋体" w:hAnsi="宋体" w:cs="Times New Roman"/>
                <w:b/>
                <w:sz w:val="21"/>
                <w:szCs w:val="21"/>
                <w:highlight w:val="none"/>
              </w:rPr>
            </w:pPr>
            <w:r>
              <w:rPr>
                <w:rFonts w:ascii="宋体" w:hAnsi="宋体" w:cs="Times New Roman"/>
                <w:b/>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ind w:left="0"/>
              <w:jc w:val="center"/>
              <w:rPr>
                <w:rFonts w:ascii="宋体" w:hAnsi="宋体" w:cs="Times New Roman"/>
                <w:b/>
                <w:sz w:val="21"/>
                <w:szCs w:val="21"/>
                <w:highlight w:val="none"/>
              </w:rPr>
            </w:pPr>
            <w:r>
              <w:rPr>
                <w:rFonts w:ascii="宋体" w:hAnsi="宋体" w:cs="Times New Roman"/>
                <w:b/>
                <w:sz w:val="21"/>
                <w:szCs w:val="21"/>
                <w:highlight w:val="none"/>
              </w:rPr>
            </w:r>
            <w:r>
              <w:rPr>
                <w:highlight w:val="none"/>
              </w:rPr>
            </w:r>
          </w:p>
        </w:tc>
      </w:tr>
    </w:tbl>
    <w:p>
      <w:pPr>
        <w:ind w:left="0" w:firstLine="211"/>
        <w:jc w:val="left"/>
        <w:rPr>
          <w:rFonts w:ascii="宋体" w:hAnsi="宋体" w:cs="Times New Roman"/>
          <w:b/>
          <w:sz w:val="21"/>
          <w:szCs w:val="21"/>
          <w:highlight w:val="none"/>
        </w:rPr>
      </w:pPr>
      <w:r>
        <w:rPr>
          <w:rFonts w:hint="eastAsia" w:ascii="宋体" w:hAnsi="宋体"/>
          <w:b/>
          <w:sz w:val="21"/>
          <w:szCs w:val="21"/>
          <w:highlight w:val="none"/>
        </w:rPr>
        <w:t xml:space="preserve">注：投标单位应当按实填写所有与之有控股、管理关系的情况</w:t>
      </w:r>
      <w:r>
        <w:rPr>
          <w:highlight w:val="none"/>
        </w:rPr>
      </w:r>
    </w:p>
    <w:p>
      <w:pPr>
        <w:ind w:left="0"/>
        <w:jc w:val="left"/>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firstLine="210"/>
        <w:jc w:val="left"/>
        <w:widowControl w:val="off"/>
        <w:rPr>
          <w:rFonts w:ascii="宋体" w:hAnsi="宋体" w:cs="Times New Roman"/>
          <w:sz w:val="21"/>
          <w:szCs w:val="21"/>
          <w:highlight w:val="none"/>
        </w:rPr>
      </w:pPr>
      <w:r>
        <w:rPr>
          <w:rFonts w:hint="eastAsia" w:ascii="宋体" w:hAnsi="宋体"/>
          <w:sz w:val="21"/>
          <w:szCs w:val="21"/>
          <w:highlight w:val="none"/>
        </w:rPr>
        <w:t xml:space="preserve">投标人：（单位盖章）</w:t>
      </w:r>
      <w:r>
        <w:rPr>
          <w:highlight w:val="none"/>
        </w:rPr>
      </w:r>
    </w:p>
    <w:p>
      <w:pPr>
        <w:ind w:left="0" w:firstLine="210"/>
        <w:jc w:val="left"/>
        <w:widowControl w:val="off"/>
        <w:rPr>
          <w:rFonts w:ascii="宋体" w:hAnsi="宋体" w:cs="Times New Roman"/>
          <w:sz w:val="21"/>
          <w:szCs w:val="21"/>
          <w:highlight w:val="none"/>
        </w:rPr>
      </w:pPr>
      <w:r>
        <w:rPr>
          <w:rFonts w:hint="eastAsia" w:ascii="宋体" w:hAnsi="宋体"/>
          <w:sz w:val="21"/>
          <w:szCs w:val="21"/>
          <w:highlight w:val="none"/>
        </w:rPr>
        <w:t xml:space="preserve">法定代表人或代理人：（签字或盖章）</w:t>
      </w:r>
      <w:r>
        <w:rPr>
          <w:highlight w:val="none"/>
        </w:rPr>
      </w:r>
    </w:p>
    <w:p>
      <w:pPr>
        <w:ind w:left="0" w:firstLine="210"/>
        <w:jc w:val="left"/>
        <w:spacing w:line="360" w:lineRule="auto"/>
        <w:rPr>
          <w:rFonts w:ascii="宋体" w:hAnsi="宋体"/>
          <w:sz w:val="21"/>
          <w:szCs w:val="21"/>
          <w:highlight w:val="none"/>
        </w:rPr>
      </w:pPr>
      <w:r>
        <w:rPr>
          <w:rFonts w:hint="eastAsia" w:ascii="宋体" w:hAnsi="宋体"/>
          <w:sz w:val="21"/>
          <w:szCs w:val="21"/>
          <w:highlight w:val="none"/>
        </w:rPr>
        <w:t xml:space="preserve">日期：</w:t>
      </w:r>
      <w:r>
        <w:rPr>
          <w:rFonts w:hint="eastAsia" w:ascii="宋体" w:hAnsi="宋体" w:cs="Times New Roman"/>
          <w:sz w:val="21"/>
          <w:szCs w:val="21"/>
          <w:highlight w:val="none"/>
        </w:rPr>
        <w:t xml:space="preserve">         </w:t>
      </w:r>
      <w:r>
        <w:rPr>
          <w:rFonts w:hint="eastAsia" w:ascii="宋体" w:hAnsi="宋体"/>
          <w:sz w:val="21"/>
          <w:szCs w:val="21"/>
          <w:highlight w:val="none"/>
        </w:rPr>
        <w:t xml:space="preserve">年</w:t>
      </w:r>
      <w:r>
        <w:rPr>
          <w:rFonts w:hint="eastAsia" w:ascii="宋体" w:hAnsi="宋体" w:cs="Times New Roman"/>
          <w:sz w:val="21"/>
          <w:szCs w:val="21"/>
          <w:highlight w:val="none"/>
        </w:rPr>
        <w:t xml:space="preserve">         </w:t>
      </w:r>
      <w:r>
        <w:rPr>
          <w:rFonts w:hint="eastAsia" w:ascii="宋体" w:hAnsi="宋体"/>
          <w:sz w:val="21"/>
          <w:szCs w:val="21"/>
          <w:highlight w:val="none"/>
        </w:rPr>
        <w:t xml:space="preserve">月</w:t>
      </w:r>
      <w:r>
        <w:rPr>
          <w:rFonts w:hint="eastAsia" w:ascii="宋体" w:hAnsi="宋体" w:cs="Times New Roman"/>
          <w:sz w:val="21"/>
          <w:szCs w:val="21"/>
          <w:highlight w:val="none"/>
        </w:rPr>
        <w:t xml:space="preserve">       </w:t>
      </w:r>
      <w:r>
        <w:rPr>
          <w:rFonts w:hint="eastAsia" w:ascii="宋体" w:hAnsi="宋体"/>
          <w:sz w:val="21"/>
          <w:szCs w:val="21"/>
          <w:highlight w:val="none"/>
        </w:rPr>
        <w:t xml:space="preserve">日</w:t>
      </w:r>
      <w:r>
        <w:rPr>
          <w:highlight w:val="none"/>
        </w:rPr>
      </w:r>
    </w:p>
    <w:p>
      <w:pPr>
        <w:pStyle w:val="889"/>
        <w:rPr>
          <w:highlight w:val="none"/>
        </w:rPr>
      </w:pPr>
      <w:r>
        <w:rPr>
          <w:highlight w:val="none"/>
        </w:rPr>
      </w:r>
      <w:r>
        <w:rPr>
          <w:highlight w:val="none"/>
        </w:rPr>
      </w:r>
    </w:p>
    <w:p>
      <w:pPr>
        <w:pStyle w:val="889"/>
        <w:rPr>
          <w:rFonts w:ascii="宋体" w:hAnsi="宋体"/>
          <w:highlight w:val="none"/>
        </w:rPr>
      </w:pPr>
      <w:r>
        <w:rPr>
          <w:rFonts w:ascii="宋体" w:hAnsi="宋体"/>
          <w:highlight w:val="none"/>
          <w:lang w:val="zh-CN"/>
        </w:rPr>
      </w:r>
      <w:r>
        <w:rPr>
          <w:highlight w:val="none"/>
        </w:rPr>
      </w:r>
    </w:p>
    <w:p>
      <w:pPr>
        <w:rPr>
          <w:rFonts w:ascii="宋体" w:hAnsi="宋体"/>
          <w:highlight w:val="none"/>
        </w:rPr>
      </w:pPr>
      <w:r>
        <w:rPr>
          <w:rFonts w:ascii="宋体" w:hAnsi="宋体"/>
          <w:highlight w:val="none"/>
          <w:lang w:val="zh-CN"/>
        </w:rPr>
      </w:r>
      <w:r>
        <w:rPr>
          <w:highlight w:val="none"/>
        </w:rPr>
      </w:r>
    </w:p>
    <w:p>
      <w:pPr>
        <w:pStyle w:val="889"/>
        <w:rPr>
          <w:rFonts w:ascii="宋体" w:hAnsi="宋体"/>
          <w:highlight w:val="none"/>
        </w:rPr>
      </w:pPr>
      <w:r>
        <w:rPr>
          <w:rFonts w:ascii="宋体" w:hAnsi="宋体"/>
          <w:highlight w:val="none"/>
          <w:lang w:val="zh-CN"/>
        </w:rPr>
      </w:r>
      <w:r>
        <w:rPr>
          <w:highlight w:val="none"/>
        </w:rPr>
      </w:r>
    </w:p>
    <w:p>
      <w:pPr>
        <w:rPr>
          <w:rFonts w:ascii="宋体" w:hAnsi="宋体"/>
          <w:highlight w:val="none"/>
        </w:rPr>
      </w:pPr>
      <w:r>
        <w:rPr>
          <w:rFonts w:ascii="宋体" w:hAnsi="宋体"/>
          <w:highlight w:val="none"/>
          <w:lang w:val="zh-CN"/>
        </w:rPr>
      </w:r>
      <w:r>
        <w:rPr>
          <w:highlight w:val="none"/>
        </w:rPr>
      </w:r>
    </w:p>
    <w:p>
      <w:pPr>
        <w:pStyle w:val="889"/>
        <w:rPr>
          <w:rFonts w:ascii="宋体" w:hAnsi="宋体"/>
          <w:highlight w:val="none"/>
        </w:rPr>
      </w:pPr>
      <w:r>
        <w:rPr>
          <w:rFonts w:ascii="宋体" w:hAnsi="宋体"/>
          <w:highlight w:val="none"/>
          <w:lang w:val="zh-CN"/>
        </w:rPr>
      </w:r>
      <w:r>
        <w:rPr>
          <w:highlight w:val="none"/>
        </w:rPr>
      </w:r>
    </w:p>
    <w:p>
      <w:pPr>
        <w:rPr>
          <w:rFonts w:ascii="宋体" w:hAnsi="宋体"/>
          <w:highlight w:val="none"/>
        </w:rPr>
      </w:pPr>
      <w:r>
        <w:rPr>
          <w:rFonts w:ascii="宋体" w:hAnsi="宋体"/>
          <w:highlight w:val="none"/>
          <w:lang w:val="zh-CN"/>
        </w:rPr>
      </w:r>
      <w:r>
        <w:rPr>
          <w:highlight w:val="none"/>
        </w:rPr>
      </w:r>
    </w:p>
    <w:p>
      <w:pPr>
        <w:pStyle w:val="889"/>
        <w:rPr>
          <w:rFonts w:ascii="宋体" w:hAnsi="宋体"/>
          <w:highlight w:val="none"/>
        </w:rPr>
      </w:pPr>
      <w:r>
        <w:rPr>
          <w:rFonts w:ascii="宋体" w:hAnsi="宋体"/>
          <w:highlight w:val="none"/>
          <w:lang w:val="zh-CN"/>
        </w:rPr>
      </w:r>
      <w:r>
        <w:rPr>
          <w:highlight w:val="none"/>
        </w:rPr>
      </w:r>
    </w:p>
    <w:p>
      <w:pPr>
        <w:rPr>
          <w:rFonts w:ascii="宋体" w:hAnsi="宋体"/>
          <w:highlight w:val="none"/>
        </w:rPr>
      </w:pPr>
      <w:r>
        <w:rPr>
          <w:rFonts w:ascii="宋体" w:hAnsi="宋体"/>
          <w:highlight w:val="none"/>
          <w:lang w:val="zh-CN"/>
        </w:rPr>
      </w:r>
      <w:r>
        <w:rPr>
          <w:highlight w:val="none"/>
        </w:rPr>
      </w:r>
    </w:p>
    <w:p>
      <w:pPr>
        <w:pStyle w:val="889"/>
        <w:rPr>
          <w:rFonts w:ascii="宋体" w:hAnsi="宋体"/>
          <w:highlight w:val="none"/>
        </w:rPr>
      </w:pPr>
      <w:r>
        <w:rPr>
          <w:rFonts w:ascii="宋体" w:hAnsi="宋体"/>
          <w:highlight w:val="none"/>
          <w:lang w:val="zh-CN"/>
        </w:rPr>
      </w:r>
      <w:r>
        <w:rPr>
          <w:highlight w:val="none"/>
        </w:rPr>
      </w:r>
    </w:p>
    <w:p>
      <w:pPr>
        <w:rPr>
          <w:rFonts w:ascii="宋体" w:hAnsi="宋体"/>
          <w:highlight w:val="none"/>
        </w:rPr>
      </w:pPr>
      <w:r>
        <w:rPr>
          <w:rFonts w:ascii="宋体" w:hAnsi="宋体"/>
          <w:highlight w:val="none"/>
          <w:lang w:val="zh-CN"/>
        </w:rPr>
      </w:r>
      <w:r>
        <w:rPr>
          <w:highlight w:val="none"/>
        </w:rPr>
      </w:r>
    </w:p>
    <w:p>
      <w:pPr>
        <w:pStyle w:val="889"/>
        <w:rPr>
          <w:rFonts w:ascii="宋体" w:hAnsi="宋体"/>
          <w:highlight w:val="none"/>
        </w:rPr>
      </w:pPr>
      <w:r>
        <w:rPr>
          <w:rFonts w:ascii="宋体" w:hAnsi="宋体"/>
          <w:highlight w:val="none"/>
          <w:lang w:val="zh-CN"/>
        </w:rPr>
      </w:r>
      <w:r>
        <w:rPr>
          <w:highlight w:val="none"/>
        </w:rPr>
      </w:r>
    </w:p>
    <w:p>
      <w:pPr>
        <w:rPr>
          <w:rFonts w:ascii="宋体" w:hAnsi="宋体"/>
          <w:highlight w:val="none"/>
        </w:rPr>
      </w:pPr>
      <w:r>
        <w:rPr>
          <w:rFonts w:ascii="宋体" w:hAnsi="宋体"/>
          <w:highlight w:val="none"/>
          <w:lang w:val="zh-CN"/>
        </w:rPr>
      </w:r>
      <w:r>
        <w:rPr>
          <w:highlight w:val="none"/>
        </w:rPr>
      </w:r>
    </w:p>
    <w:p>
      <w:pPr>
        <w:ind w:left="0"/>
        <w:jc w:val="left"/>
        <w:rPr>
          <w:rFonts w:ascii="宋体" w:hAnsi="宋体"/>
          <w:b/>
          <w:sz w:val="44"/>
          <w:szCs w:val="22"/>
          <w:highlight w:val="none"/>
        </w:rPr>
      </w:pPr>
      <w:r>
        <w:rPr>
          <w:highlight w:val="none"/>
        </w:rPr>
      </w:r>
      <w:bookmarkStart w:id="93" w:name="_Toc159146128"/>
      <w:r>
        <w:rPr>
          <w:highlight w:val="none"/>
        </w:rPr>
      </w:r>
      <w:bookmarkStart w:id="94" w:name="_Toc23660"/>
      <w:r>
        <w:rPr>
          <w:highlight w:val="none"/>
        </w:rPr>
      </w:r>
      <w:bookmarkStart w:id="95" w:name="_Toc4098"/>
      <w:r>
        <w:rPr>
          <w:rFonts w:ascii="宋体" w:hAnsi="宋体"/>
          <w:b/>
          <w:sz w:val="44"/>
          <w:szCs w:val="22"/>
          <w:highlight w:val="none"/>
        </w:rPr>
        <w:br w:type="page" w:clear="all"/>
      </w:r>
      <w:r>
        <w:rPr>
          <w:highlight w:val="none"/>
        </w:rPr>
      </w:r>
    </w:p>
    <w:p>
      <w:pPr>
        <w:pStyle w:val="877"/>
        <w:ind w:left="0" w:firstLine="0"/>
        <w:jc w:val="center"/>
        <w:spacing w:line="276" w:lineRule="auto"/>
        <w:rPr>
          <w:rFonts w:ascii="宋体" w:hAnsi="宋体"/>
          <w:b/>
          <w:sz w:val="44"/>
          <w:szCs w:val="22"/>
          <w:highlight w:val="none"/>
        </w:rPr>
      </w:pPr>
      <w:r>
        <w:rPr>
          <w:rFonts w:hint="eastAsia" w:ascii="宋体" w:hAnsi="宋体"/>
          <w:b/>
          <w:sz w:val="44"/>
          <w:szCs w:val="22"/>
          <w:highlight w:val="none"/>
        </w:rPr>
        <w:t xml:space="preserve">第四章  </w:t>
      </w:r>
      <w:bookmarkStart w:id="96" w:name="招标书"/>
      <w:r>
        <w:rPr>
          <w:highlight w:val="none"/>
        </w:rPr>
      </w:r>
      <w:bookmarkEnd w:id="96"/>
      <w:r>
        <w:rPr>
          <w:rFonts w:hint="eastAsia" w:ascii="宋体" w:hAnsi="宋体"/>
          <w:b/>
          <w:sz w:val="44"/>
          <w:szCs w:val="22"/>
          <w:highlight w:val="none"/>
        </w:rPr>
        <w:t xml:space="preserve">招标书</w:t>
      </w:r>
      <w:bookmarkEnd w:id="93"/>
      <w:r>
        <w:rPr>
          <w:highlight w:val="none"/>
        </w:rPr>
      </w:r>
      <w:bookmarkEnd w:id="94"/>
      <w:r>
        <w:rPr>
          <w:highlight w:val="none"/>
        </w:rPr>
      </w:r>
      <w:bookmarkEnd w:id="95"/>
      <w:r>
        <w:rPr>
          <w:highlight w:val="none"/>
        </w:rPr>
      </w:r>
      <w:r>
        <w:rPr>
          <w:highlight w:val="none"/>
        </w:rP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苏州公正建设咨询房地产评估有限公司</w:t>
      </w:r>
      <w:r>
        <w:rPr>
          <w:rFonts w:ascii="宋体" w:hAnsi="宋体"/>
          <w:sz w:val="21"/>
          <w:highlight w:val="none"/>
        </w:rPr>
        <w:t xml:space="preserve">受</w:t>
      </w:r>
      <w:r>
        <w:rPr>
          <w:rFonts w:hint="eastAsia" w:ascii="宋体" w:hAnsi="宋体"/>
          <w:sz w:val="21"/>
          <w:szCs w:val="21"/>
          <w:highlight w:val="none"/>
          <w:u w:val="single"/>
        </w:rPr>
        <w:t xml:space="preserve"> 苏州市相城生态环境局 </w:t>
      </w:r>
      <w:r>
        <w:rPr>
          <w:rFonts w:ascii="宋体" w:hAnsi="宋体"/>
          <w:sz w:val="21"/>
          <w:highlight w:val="none"/>
        </w:rPr>
        <w:t xml:space="preserve">的委托，就</w:t>
      </w:r>
      <w:r>
        <w:rPr>
          <w:rFonts w:hint="eastAsia" w:ascii="宋体" w:hAnsi="宋体"/>
          <w:sz w:val="21"/>
          <w:highlight w:val="none"/>
          <w:u w:val="single"/>
        </w:rPr>
        <w:t xml:space="preserve"> 2026年度环境空气（噪声）质量保障项目 </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投标单位参与</w:t>
      </w:r>
      <w:r>
        <w:rPr>
          <w:rFonts w:ascii="宋体" w:hAnsi="宋体"/>
          <w:sz w:val="21"/>
          <w:highlight w:val="none"/>
        </w:rPr>
        <w:t xml:space="preserve">。</w:t>
      </w:r>
      <w:r>
        <w:rPr>
          <w:highlight w:val="none"/>
        </w:rPr>
      </w:r>
    </w:p>
    <w:p>
      <w:pPr>
        <w:ind w:left="0" w:firstLine="420"/>
        <w:spacing w:line="360" w:lineRule="auto"/>
        <w:tabs>
          <w:tab w:val="left" w:pos="0" w:leader="none"/>
        </w:tabs>
        <w:rPr>
          <w:rFonts w:ascii="宋体" w:hAnsi="宋体"/>
          <w:sz w:val="21"/>
          <w:highlight w:val="none"/>
        </w:rPr>
      </w:pPr>
      <w:r>
        <w:rPr>
          <w:rFonts w:hint="eastAsia" w:ascii="宋体" w:hAnsi="宋体"/>
          <w:b/>
          <w:sz w:val="21"/>
          <w:highlight w:val="none"/>
        </w:rPr>
        <w:t xml:space="preserve">一、项目编号：</w:t>
      </w:r>
      <w:r>
        <w:rPr>
          <w:rFonts w:ascii="宋体" w:hAnsi="宋体"/>
          <w:sz w:val="21"/>
          <w:highlight w:val="none"/>
        </w:rPr>
        <w:t xml:space="preserve">JSZC-320507-SZGZ-G2026-0023</w:t>
      </w:r>
      <w:r>
        <w:rPr>
          <w:highlight w:val="none"/>
        </w:rPr>
      </w:r>
    </w:p>
    <w:p>
      <w:pPr>
        <w:ind w:left="0" w:firstLine="420"/>
        <w:spacing w:line="360" w:lineRule="auto"/>
        <w:tabs>
          <w:tab w:val="left" w:pos="0" w:leader="none"/>
        </w:tabs>
        <w:rPr>
          <w:rFonts w:ascii="宋体" w:hAnsi="宋体"/>
          <w:sz w:val="21"/>
          <w:highlight w:val="none"/>
        </w:rPr>
      </w:pPr>
      <w:r>
        <w:rPr>
          <w:rFonts w:hint="eastAsia" w:ascii="宋体" w:hAnsi="宋体"/>
          <w:b/>
          <w:sz w:val="21"/>
          <w:highlight w:val="none"/>
        </w:rPr>
        <w:t xml:space="preserve">二、项目名称：</w:t>
      </w:r>
      <w:r>
        <w:rPr>
          <w:rFonts w:hint="eastAsia" w:ascii="宋体" w:hAnsi="宋体"/>
          <w:sz w:val="21"/>
          <w:highlight w:val="none"/>
        </w:rPr>
        <w:t xml:space="preserve">2026年度环境空气（噪声）质量保障项目</w:t>
      </w:r>
      <w:r>
        <w:rPr>
          <w:highlight w:val="none"/>
        </w:rPr>
      </w:r>
    </w:p>
    <w:p>
      <w:pPr>
        <w:ind w:left="0" w:firstLine="420"/>
        <w:spacing w:line="360" w:lineRule="auto"/>
        <w:tabs>
          <w:tab w:val="left" w:pos="0" w:leader="none"/>
        </w:tabs>
        <w:rPr>
          <w:rFonts w:ascii="宋体" w:hAnsi="宋体"/>
          <w:sz w:val="21"/>
          <w:highlight w:val="none"/>
        </w:rPr>
      </w:pPr>
      <w:r>
        <w:rPr>
          <w:rFonts w:hint="eastAsia" w:ascii="宋体" w:hAnsi="宋体"/>
          <w:b/>
          <w:sz w:val="21"/>
          <w:highlight w:val="none"/>
        </w:rPr>
        <w:t xml:space="preserve">三、采购预算：</w:t>
      </w:r>
      <w:r>
        <w:rPr>
          <w:rFonts w:hint="eastAsia" w:ascii="宋体" w:hAnsi="宋体"/>
          <w:sz w:val="21"/>
          <w:highlight w:val="none"/>
        </w:rPr>
        <w:t xml:space="preserve">人民币贰佰零玖万元整（¥2090000.00）</w:t>
      </w:r>
      <w:r>
        <w:rPr>
          <w:highlight w:val="none"/>
        </w:rPr>
      </w:r>
    </w:p>
    <w:p>
      <w:pPr>
        <w:ind w:left="0" w:firstLine="420"/>
        <w:spacing w:line="360" w:lineRule="auto"/>
        <w:tabs>
          <w:tab w:val="left" w:pos="0" w:leader="none"/>
        </w:tabs>
        <w:rPr>
          <w:rFonts w:ascii="宋体" w:hAnsi="宋体"/>
          <w:sz w:val="21"/>
          <w:highlight w:val="none"/>
        </w:rPr>
      </w:pPr>
      <w:r>
        <w:rPr>
          <w:rFonts w:hint="eastAsia" w:ascii="宋体" w:hAnsi="宋体"/>
          <w:b/>
          <w:sz w:val="21"/>
          <w:highlight w:val="none"/>
        </w:rPr>
        <w:t xml:space="preserve">四、最高限价：</w:t>
      </w:r>
      <w:r>
        <w:rPr>
          <w:rFonts w:hint="eastAsia" w:ascii="宋体" w:hAnsi="宋体"/>
          <w:sz w:val="21"/>
          <w:highlight w:val="none"/>
        </w:rPr>
        <w:t xml:space="preserve">人民币贰佰零玖万元整（¥2090000.00）</w:t>
      </w:r>
      <w:r>
        <w:rPr>
          <w:highlight w:val="none"/>
        </w:rP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其中：</w:t>
      </w:r>
      <w:r>
        <w:rPr>
          <w:highlight w:val="none"/>
        </w:rP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一标段预算金额：人民币壹佰陆拾叁万元整（￥1630000.00）</w:t>
      </w:r>
      <w:r>
        <w:rPr>
          <w:highlight w:val="none"/>
        </w:rPr>
      </w:r>
    </w:p>
    <w:p>
      <w:pPr>
        <w:ind w:left="0" w:firstLine="420"/>
        <w:spacing w:line="360" w:lineRule="auto"/>
        <w:tabs>
          <w:tab w:val="left" w:pos="0" w:leader="none"/>
        </w:tabs>
        <w:rPr>
          <w:rFonts w:ascii="宋体" w:hAnsi="宋体"/>
          <w:sz w:val="21"/>
          <w:szCs w:val="21"/>
          <w:highlight w:val="none"/>
        </w:rPr>
      </w:pPr>
      <w:r>
        <w:rPr>
          <w:rFonts w:hint="eastAsia" w:ascii="宋体" w:hAnsi="宋体"/>
          <w:sz w:val="21"/>
          <w:highlight w:val="none"/>
        </w:rPr>
        <w:t xml:space="preserve">二标段预算金额：人民币肆拾陆万元整（￥460000.00）</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b/>
          <w:sz w:val="21"/>
          <w:szCs w:val="21"/>
          <w:highlight w:val="none"/>
        </w:rPr>
        <w:t xml:space="preserve">五、</w:t>
      </w:r>
      <w:r>
        <w:rPr>
          <w:rFonts w:hint="eastAsia" w:ascii="宋体" w:hAnsi="宋体"/>
          <w:b/>
          <w:bCs/>
          <w:sz w:val="21"/>
          <w:szCs w:val="21"/>
          <w:highlight w:val="none"/>
        </w:rPr>
        <w:t xml:space="preserve">服务期限：</w:t>
      </w:r>
      <w:r>
        <w:rPr>
          <w:rFonts w:hint="eastAsia" w:ascii="宋体" w:hAnsi="宋体"/>
          <w:bCs/>
          <w:sz w:val="21"/>
          <w:szCs w:val="21"/>
          <w:highlight w:val="none"/>
        </w:rPr>
        <w:t xml:space="preserve">自合同签订之日起一年。</w:t>
      </w:r>
      <w:r>
        <w:rPr>
          <w:highlight w:val="none"/>
        </w:rPr>
      </w:r>
    </w:p>
    <w:p>
      <w:pPr>
        <w:ind w:left="0" w:firstLine="420"/>
        <w:spacing w:line="360" w:lineRule="auto"/>
        <w:tabs>
          <w:tab w:val="left" w:pos="420" w:leader="none"/>
        </w:tabs>
        <w:rPr>
          <w:rFonts w:ascii="宋体" w:hAnsi="宋体"/>
          <w:b/>
          <w:sz w:val="21"/>
          <w:szCs w:val="21"/>
          <w:highlight w:val="none"/>
        </w:rPr>
      </w:pPr>
      <w:r>
        <w:rPr>
          <w:rFonts w:hint="eastAsia" w:ascii="宋体" w:hAnsi="宋体"/>
          <w:b/>
          <w:sz w:val="21"/>
          <w:szCs w:val="21"/>
          <w:highlight w:val="none"/>
        </w:rPr>
        <w:t xml:space="preserve">六、采购需求</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（一）项目依据</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1.《苏州市2025年大气污染防治工作计划》（加大各级财政资金对生态环境保护工作的支持力度）；</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2.《江苏省生态环境厅重污染天气重点行业绩效分级工作程序》（各级生态环境主管部门应落实资金帮扶）；</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3.《关于做好2025年度重污染天气重点行业绩效分级和应急减排清单编制修订工作的通知》（各地要结合实际加大对企业的帮扶指导力度，必要时可以组织专家力量，根据往年省、市审核意见，对企业存在问题进行针对性指导）；</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4.《苏州市“十四五”生态环境保护规划》（依托大气环境质量优化提升战略合作，开展大气环境质量分析预测、污染来源解析、专家帮扶指导等工作，提升科学治理水平）；</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5.《江苏省“1+13”专家支撑团队工作指南》；</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6.2025年环境空气（噪声）环境质量保障项目；</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7.《苏州市噪声污染防治行动计划实施方案（2024-2025年）》（夯实声环境管理基础能力，推动持续改善）；</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8.《江苏省“十四五”噪声污染防治行动计划实施方案》（苏环办[2023]197号）；</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9.《苏州市噪声污染防治行动计划实施方案（2024-2025年）》（夯实声环境管理基础能力，推动持续改善）；</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10.《市政府关于印发苏州市空气质量持续改善行动计划实施方案的通知》（持续开展 PM2.5和臭氧协同控制科技攻关）；</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11.省生态环境厅关于印发《“十四五”江苏省细颗粒物与臭氧协同控制监测网络能力建设实施方案（苏环办[2021]259号）（要求加快建设和完善“十四五”细颗粒物和臭氧协同控制网络，强化多污染协同控制和区域协同治理）；</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12.《关于加快建立现代化生态环境监测体系的实施意见》（环监测〔2024〕17号）（要求持续深入打好污染防治攻坚战，加强重点区域空气质量与颗粒物组分、挥发性有机物组分协同监测和质控，健全天空地海一体化监测网络）；</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（二）项目目的</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根据省市大气、噪声污染防治工作的共性与需求，需加强科技监管方式，借助走航、微站、AI分析等方式提升区域大气（噪声）环境管理水平。</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（三）项目理由</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开展大气、噪声污染来源探寻和借助大气专家团队技术支撑，对污染过程开展原因分析和评估，提升科学治理水平。</w:t>
      </w:r>
      <w:r>
        <w:rPr>
          <w:highlight w:val="none"/>
        </w:rPr>
      </w:r>
    </w:p>
    <w:p>
      <w:pPr>
        <w:ind w:left="0" w:firstLine="420"/>
        <w:spacing w:line="360" w:lineRule="auto"/>
        <w:tabs>
          <w:tab w:val="left" w:pos="420" w:leader="none"/>
        </w:tabs>
        <w:rPr>
          <w:rFonts w:ascii="宋体" w:hAnsi="宋体"/>
          <w:b/>
          <w:sz w:val="21"/>
          <w:szCs w:val="21"/>
          <w:highlight w:val="none"/>
        </w:rPr>
      </w:pPr>
      <w:r>
        <w:rPr>
          <w:rFonts w:hint="eastAsia" w:ascii="宋体" w:hAnsi="宋体"/>
          <w:b/>
          <w:sz w:val="21"/>
          <w:szCs w:val="21"/>
          <w:highlight w:val="none"/>
        </w:rPr>
        <w:t xml:space="preserve">七、服务内容</w:t>
      </w:r>
      <w:r>
        <w:rPr>
          <w:highlight w:val="none"/>
        </w:rPr>
      </w:r>
    </w:p>
    <w:p>
      <w:pPr>
        <w:ind w:left="0" w:firstLine="420"/>
        <w:spacing w:line="360" w:lineRule="auto"/>
        <w:tabs>
          <w:tab w:val="left" w:pos="420" w:leader="none"/>
        </w:tabs>
        <w:rPr>
          <w:rFonts w:ascii="宋体" w:hAnsi="宋体"/>
          <w:b/>
          <w:sz w:val="21"/>
          <w:szCs w:val="21"/>
          <w:highlight w:val="none"/>
        </w:rPr>
      </w:pPr>
      <w:r>
        <w:rPr>
          <w:rFonts w:hint="eastAsia" w:ascii="宋体" w:hAnsi="宋体"/>
          <w:b/>
          <w:sz w:val="21"/>
          <w:szCs w:val="21"/>
          <w:highlight w:val="none"/>
        </w:rPr>
        <w:t xml:space="preserve">第一标段:</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（一）工作内容</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 1.2026年相城区大气（噪声）污染防治技术支撑服务：</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结合上级大气污染防治任务需求，</w:t>
      </w:r>
      <w:r>
        <w:rPr>
          <w:rFonts w:hint="eastAsia" w:ascii="宋体" w:hAnsi="宋体"/>
          <w:sz w:val="21"/>
          <w:szCs w:val="21"/>
          <w:highlight w:val="none"/>
        </w:rPr>
        <w:t xml:space="preserve">开展重污染天气应急管控清单修订及企业分级专家初审(约1000家)</w:t>
      </w:r>
      <w:r>
        <w:rPr>
          <w:rFonts w:ascii="宋体" w:hAnsi="宋体"/>
          <w:sz w:val="21"/>
          <w:szCs w:val="21"/>
          <w:highlight w:val="none"/>
        </w:rPr>
        <w:t xml:space="preserve">；</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（2）围绕2个大气监测点、</w:t>
      </w:r>
      <w:r>
        <w:rPr>
          <w:rFonts w:ascii="宋体" w:hAnsi="宋体"/>
          <w:sz w:val="21"/>
          <w:szCs w:val="21"/>
          <w:highlight w:val="none"/>
        </w:rPr>
        <w:t xml:space="preserve">3个噪声</w:t>
      </w:r>
      <w:r>
        <w:rPr>
          <w:rFonts w:hint="eastAsia" w:ascii="宋体" w:hAnsi="宋体"/>
          <w:sz w:val="21"/>
          <w:szCs w:val="21"/>
          <w:highlight w:val="none"/>
        </w:rPr>
        <w:t xml:space="preserve">监测</w:t>
      </w:r>
      <w:r>
        <w:rPr>
          <w:rFonts w:ascii="宋体" w:hAnsi="宋体"/>
          <w:sz w:val="21"/>
          <w:szCs w:val="21"/>
          <w:highlight w:val="none"/>
        </w:rPr>
        <w:t xml:space="preserve">点</w:t>
      </w:r>
      <w:r>
        <w:rPr>
          <w:rFonts w:hint="eastAsia" w:ascii="宋体" w:hAnsi="宋体"/>
          <w:sz w:val="21"/>
          <w:szCs w:val="21"/>
          <w:highlight w:val="none"/>
        </w:rPr>
        <w:t xml:space="preserve">开展各类</w:t>
      </w:r>
      <w:r>
        <w:rPr>
          <w:rFonts w:ascii="宋体" w:hAnsi="宋体"/>
          <w:sz w:val="21"/>
          <w:szCs w:val="21"/>
          <w:highlight w:val="none"/>
        </w:rPr>
        <w:t xml:space="preserve">污染源溯源</w:t>
      </w:r>
      <w:r>
        <w:rPr>
          <w:rFonts w:hint="eastAsia" w:ascii="宋体" w:hAnsi="宋体"/>
          <w:sz w:val="21"/>
          <w:szCs w:val="21"/>
          <w:highlight w:val="none"/>
        </w:rPr>
        <w:t xml:space="preserve">分析</w:t>
      </w:r>
      <w:r>
        <w:rPr>
          <w:rFonts w:ascii="宋体" w:hAnsi="宋体"/>
          <w:sz w:val="21"/>
          <w:szCs w:val="21"/>
          <w:highlight w:val="none"/>
        </w:rPr>
        <w:t xml:space="preserve">并</w:t>
      </w:r>
      <w:r>
        <w:rPr>
          <w:rFonts w:hint="eastAsia" w:ascii="宋体" w:hAnsi="宋体"/>
          <w:sz w:val="21"/>
          <w:szCs w:val="21"/>
          <w:highlight w:val="none"/>
        </w:rPr>
        <w:t xml:space="preserve">更新污染源清单及</w:t>
      </w:r>
      <w:r>
        <w:rPr>
          <w:rFonts w:ascii="宋体" w:hAnsi="宋体"/>
          <w:sz w:val="21"/>
          <w:szCs w:val="21"/>
          <w:highlight w:val="none"/>
        </w:rPr>
        <w:t xml:space="preserve">污染源一张图</w:t>
      </w:r>
      <w:r>
        <w:rPr>
          <w:rFonts w:hint="eastAsia" w:ascii="宋体" w:hAnsi="宋体"/>
          <w:sz w:val="21"/>
          <w:szCs w:val="21"/>
          <w:highlight w:val="none"/>
        </w:rPr>
        <w:t xml:space="preserve">，每季度更新1次；</w:t>
      </w:r>
      <w:r>
        <w:rPr>
          <w:highlight w:val="none"/>
        </w:rPr>
      </w:r>
    </w:p>
    <w:p>
      <w:pPr>
        <w:pStyle w:val="889"/>
        <w:ind w:left="0" w:firstLine="420"/>
        <w:rPr>
          <w:rFonts w:ascii="宋体" w:hAnsi="宋体"/>
          <w:sz w:val="21"/>
          <w:szCs w:val="21"/>
          <w:highlight w:val="none"/>
        </w:rPr>
      </w:pPr>
      <w:r>
        <w:rPr>
          <w:rFonts w:hint="eastAsia" w:ascii="宋体" w:hAnsi="宋体"/>
          <w:sz w:val="21"/>
          <w:szCs w:val="21"/>
          <w:highlight w:val="none"/>
        </w:rPr>
        <w:t xml:space="preserve">（3）围绕2个大气国控监测站点、3个噪声国控监测站点，根据要求提供以站点为中心5公里范围内指定的6个空气比对点位、3个噪声比对点位持续一年的微站比对数据；结合微站比对数据、国市控监测点数据、走航数据以及其他技术手段获得的有效数据，对重点区域大气污染情况进行综合分析，每季度形成综合分析报告1份。在污染过程期间或监测站点数据异常情况下，于30分钟内开展污染源溯源，分析污染成因并视情况形成污染源溯源分析简报。</w:t>
      </w:r>
      <w:r>
        <w:rPr>
          <w:highlight w:val="none"/>
        </w:rPr>
      </w:r>
    </w:p>
    <w:p>
      <w:pPr>
        <w:pStyle w:val="889"/>
        <w:ind w:left="0" w:firstLine="420"/>
        <w:tabs>
          <w:tab w:val="left" w:pos="420" w:leader="none"/>
        </w:tabs>
        <w:rPr>
          <w:rFonts w:ascii="宋体" w:hAnsi="宋体"/>
          <w:sz w:val="21"/>
          <w:szCs w:val="21"/>
          <w:highlight w:val="none"/>
        </w:rPr>
      </w:pPr>
      <w:r>
        <w:rPr>
          <w:rFonts w:hint="eastAsia" w:ascii="宋体" w:hAnsi="宋体"/>
          <w:sz w:val="21"/>
          <w:szCs w:val="21"/>
          <w:highlight w:val="none"/>
        </w:rPr>
        <w:t xml:space="preserve">2、2026年度走航监测第三方服务：</w:t>
      </w:r>
      <w:r>
        <w:rPr>
          <w:highlight w:val="none"/>
        </w:rPr>
      </w:r>
    </w:p>
    <w:p>
      <w:pPr>
        <w:ind w:left="0" w:firstLine="420"/>
        <w:jc w:val="left"/>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1）根据要求开展VOCs走航或飞航，通过对重点涉气区域环境空气挥发性有机物及特征因子的移动监测工作，对大气污染物排放特征进行摸排调查，弄清污染物的时空分布、物种、浓度、分析、来源等，共计走航或飞航120个小时（超过1小时未满2小时，以1小时计算）；</w:t>
      </w:r>
      <w:r>
        <w:rPr>
          <w:highlight w:val="none"/>
        </w:rPr>
      </w:r>
    </w:p>
    <w:p>
      <w:pPr>
        <w:ind w:left="0" w:firstLine="420"/>
        <w:jc w:val="left"/>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（2）根据要求开展道路积尘走航，分析道路积尘对我区环境空气质量的影响，共计走航120个小时（超过1小时未满2小时，以1小时计算）。</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每次对指定的道路定期进行积尘负荷监测，主要采用的仪器设备为道路积尘快速监测系统。根据采购人要求的道路和时间进行监测，监测当日即时提供积尘异常情况，监测后2个工作日内向采购人提交苏州市相城区道路积尘负荷走航监测报告，监测报告应包含监测数据统计、监测数据分析、积尘负荷分布图评价道路扬尘治理效果等内容，同时提供原始数据。</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（二）参考规范与技术标准</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该项目要遵循以下国家标准与规范，同时也应符合其他相关行业标准和技术规范的要求：</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1.《空气质量持续改善计划》（国发〔2023〕24号）</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2.《中华人民共和国大气污染防治法》（主席令第三十二号）；</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（三）投入的设备要求</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1.VOCs 走航车或飞行走航监测服务</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（1）全部车载设备正常运行的情况下，续航时间＞6小时。</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（2）常规参数设备（秒级数</w:t>
      </w:r>
      <w:r>
        <w:rPr>
          <w:rFonts w:hint="eastAsia" w:ascii="Times New Roman" w:hAnsi="Times New Roman" w:cs="Times New Roman"/>
          <w:sz w:val="21"/>
          <w:szCs w:val="21"/>
          <w:highlight w:val="none"/>
        </w:rPr>
        <w:t xml:space="preserve">据）：至少包括</w:t>
      </w:r>
      <w:r>
        <w:rPr>
          <w:rFonts w:ascii="Times New Roman" w:hAnsi="Times New Roman" w:cs="Times New Roman"/>
          <w:sz w:val="21"/>
          <w:szCs w:val="21"/>
          <w:highlight w:val="none"/>
        </w:rPr>
        <w:t xml:space="preserve">PM</w:t>
      </w:r>
      <w:r>
        <w:rPr>
          <w:rFonts w:ascii="Times New Roman" w:hAnsi="Times New Roman" w:cs="Times New Roman"/>
          <w:sz w:val="21"/>
          <w:szCs w:val="21"/>
          <w:highlight w:val="none"/>
          <w:vertAlign w:val="subscript"/>
        </w:rPr>
        <w:t xml:space="preserve">2.5</w:t>
      </w:r>
      <w:r>
        <w:rPr>
          <w:rFonts w:hint="eastAsia" w:ascii="Times New Roman" w:hAnsi="Times New Roman" w:cs="Times New Roman"/>
          <w:sz w:val="21"/>
          <w:szCs w:val="21"/>
          <w:highlight w:val="none"/>
        </w:rPr>
        <w:t xml:space="preserve">、</w:t>
      </w:r>
      <w:r>
        <w:rPr>
          <w:rFonts w:ascii="Times New Roman" w:hAnsi="Times New Roman" w:cs="Times New Roman"/>
          <w:sz w:val="21"/>
          <w:szCs w:val="21"/>
          <w:highlight w:val="none"/>
        </w:rPr>
        <w:t xml:space="preserve">PM</w:t>
      </w:r>
      <w:r>
        <w:rPr>
          <w:rFonts w:ascii="Times New Roman" w:hAnsi="Times New Roman" w:cs="Times New Roman"/>
          <w:sz w:val="21"/>
          <w:szCs w:val="21"/>
          <w:highlight w:val="none"/>
          <w:vertAlign w:val="subscript"/>
        </w:rPr>
        <w:t xml:space="preserve">10</w:t>
      </w:r>
      <w:r>
        <w:rPr>
          <w:rFonts w:hint="eastAsia" w:ascii="Times New Roman" w:hAnsi="Times New Roman" w:cs="Times New Roman"/>
          <w:sz w:val="21"/>
          <w:szCs w:val="21"/>
          <w:highlight w:val="none"/>
        </w:rPr>
        <w:t xml:space="preserve">、</w:t>
      </w:r>
      <w:r>
        <w:rPr>
          <w:rStyle w:val="1444"/>
          <w:rFonts w:ascii="Times New Roman" w:hAnsi="Times New Roman" w:cs="Times New Roman"/>
          <w:color w:val="333333"/>
          <w:sz w:val="21"/>
          <w:szCs w:val="21"/>
          <w:highlight w:val="none"/>
          <w:shd w:val="clear" w:color="auto" w:fill="ffffff"/>
        </w:rPr>
        <w:t xml:space="preserve">O</w:t>
      </w:r>
      <w:r>
        <w:rPr>
          <w:rStyle w:val="1444"/>
          <w:rFonts w:ascii="Times New Roman" w:hAnsi="Times New Roman" w:cs="Times New Roman"/>
          <w:color w:val="333333"/>
          <w:sz w:val="16"/>
          <w:szCs w:val="16"/>
          <w:highlight w:val="none"/>
          <w:shd w:val="clear" w:color="auto" w:fill="ffffff"/>
          <w:vertAlign w:val="subscript"/>
        </w:rPr>
        <w:t xml:space="preserve">3</w:t>
      </w:r>
      <w:r>
        <w:rPr>
          <w:rFonts w:hint="eastAsia" w:ascii="Times New Roman" w:hAnsi="Times New Roman" w:cs="Times New Roman"/>
          <w:sz w:val="21"/>
          <w:szCs w:val="21"/>
          <w:highlight w:val="none"/>
        </w:rPr>
        <w:t xml:space="preserve">、</w:t>
      </w:r>
      <w:r>
        <w:rPr>
          <w:rFonts w:ascii="Times New Roman" w:hAnsi="Times New Roman" w:cs="Times New Roman"/>
          <w:color w:val="333333"/>
          <w:sz w:val="21"/>
          <w:szCs w:val="21"/>
          <w:highlight w:val="none"/>
          <w:shd w:val="clear" w:color="auto" w:fill="ffffff"/>
        </w:rPr>
        <w:t xml:space="preserve">SO₂</w:t>
      </w:r>
      <w:r>
        <w:rPr>
          <w:rFonts w:hint="eastAsia" w:ascii="Times New Roman" w:hAnsi="Times New Roman" w:cs="Times New Roman"/>
          <w:sz w:val="21"/>
          <w:szCs w:val="21"/>
          <w:highlight w:val="none"/>
        </w:rPr>
        <w:t xml:space="preserve">、</w:t>
      </w:r>
      <w:r>
        <w:rPr>
          <w:rFonts w:ascii="Times New Roman" w:hAnsi="Times New Roman" w:cs="Times New Roman"/>
          <w:color w:val="333333"/>
          <w:highlight w:val="none"/>
          <w:shd w:val="clear" w:color="auto" w:fill="ffffff"/>
        </w:rPr>
        <w:t xml:space="preserve">NO₂</w:t>
      </w:r>
      <w:r>
        <w:rPr>
          <w:rFonts w:hint="eastAsia" w:ascii="Times New Roman" w:hAnsi="Times New Roman" w:cs="Times New Roman"/>
          <w:sz w:val="21"/>
          <w:szCs w:val="21"/>
          <w:highlight w:val="none"/>
        </w:rPr>
        <w:t xml:space="preserve">、</w:t>
      </w:r>
      <w:r>
        <w:rPr>
          <w:rFonts w:ascii="Times New Roman" w:hAnsi="Times New Roman" w:cs="Times New Roman"/>
          <w:sz w:val="21"/>
          <w:szCs w:val="21"/>
          <w:highlight w:val="none"/>
        </w:rPr>
        <w:t xml:space="preserve">CO</w:t>
      </w:r>
      <w:r>
        <w:rPr>
          <w:rFonts w:ascii="Times New Roman" w:hAnsi="Times New Roman" w:cs="Times New Roman"/>
          <w:sz w:val="21"/>
          <w:szCs w:val="21"/>
          <w:highlight w:val="none"/>
        </w:rPr>
        <w:t xml:space="preserve">分析仪（除颗粒物外，其余监测设备需与标准空气站的原理方法保持一致）。</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（3）VOCs监测设备：至少包括VOCs快速响应仪（秒级数据，设备原理可为PTR-TOF或者能到达相同监测效果的设备）、VOCs组分分析仪（定点采样分析设备，设备原理为GC-MS）。</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（4）气象设备：至少包括气象五参数分析仪。</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2.道路积尘走航监测服务</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（1）道路积尘监测仪</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①监测仪采样时，每间隔1s采样一个数值。</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②能够保证在环境温度应处于-10℃至40℃之间，环境相对湿度小于等于80%，环境风力低于4级的情况下，不影响道路积尘监测仪的正常使用。</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（2）数据采集模块</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①数采模块对监测设备进行运行控制和数据传输至电脑系统。</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②数采模块的工作环境：温度 -10℃～+50℃，相对湿度5%-95%，无结露。</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（3）道路积尘监测系统软件</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①软件能够监测设备的调控管理与实时在线数据显示。</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②软件应显示监测仪的数据、实时车速、温湿度和GPS信息。</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（4）道路积尘负荷监测服务</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①对指定的区域道路进行监测。</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②监测过程中，随时接受采购人的考核和抽查，包括现场抽查、软件监督等形式 。</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（四）服务要求</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1.人员配备要求</w:t>
      </w:r>
      <w:r>
        <w:rPr>
          <w:highlight w:val="none"/>
        </w:rPr>
      </w:r>
    </w:p>
    <w:p>
      <w:pPr>
        <w:ind w:left="0" w:firstLine="420"/>
        <w:spacing w:line="360" w:lineRule="auto"/>
        <w:tabs>
          <w:tab w:val="left" w:pos="420" w:leader="none"/>
        </w:tabs>
        <w:rPr>
          <w:rFonts w:ascii="宋体" w:hAnsi="宋体"/>
          <w:b/>
          <w:sz w:val="21"/>
          <w:szCs w:val="21"/>
          <w:highlight w:val="none"/>
        </w:rPr>
      </w:pPr>
      <w:r>
        <w:rPr>
          <w:rFonts w:hint="eastAsia" w:ascii="宋体" w:hAnsi="宋体"/>
          <w:sz w:val="21"/>
          <w:szCs w:val="21"/>
          <w:highlight w:val="none"/>
        </w:rPr>
        <w:t xml:space="preserve">需成立不少于10人的工作团队，其中包括项目负责人1人、技术负责人1人、质控负责人1人、固定的溯源分析人员2人（其中至少一名要求能熟练驾驶无人机）。每月了解项目进展，定期现场踏勘，最终形成项目成果，按照采购人要求完成跟踪任务。成交单位在项目实施期间应无条件的接受采购人的监督管理，提出的质量问题要及时整改，整改完毕后通知采购人检查验收，合格后书面报送采购人备案。</w:t>
      </w:r>
      <w:r>
        <w:rPr>
          <w:rFonts w:hint="eastAsia" w:ascii="宋体" w:hAnsi="宋体"/>
          <w:b/>
          <w:sz w:val="21"/>
          <w:szCs w:val="21"/>
          <w:highlight w:val="none"/>
        </w:rPr>
        <w:t xml:space="preserve">其中项目负责人、技术负责人、质控负责人、溯源分析人员未经招标单位允许不得更换。 </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2.数据归属及保密</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供应商需承诺本项目所形成的数据及报告归采购人所有。供应商应严格遵守采购人关于信息安全和保密方面的规定，未经采购人授权和同意，供应商不得将数据和报告发送给任何第三方，必须有严格的数据</w:t>
      </w:r>
      <w:r>
        <w:rPr>
          <w:rFonts w:hint="eastAsia" w:ascii="宋体" w:hAnsi="宋体"/>
          <w:sz w:val="21"/>
          <w:szCs w:val="21"/>
          <w:highlight w:val="none"/>
        </w:rPr>
        <w:t xml:space="preserve">保密措施，保证这些信息在项目期间及项目后规定时间内的安全，如发生数据泄密，采购人有权要求服务方采取措施消除影响，并赔偿采购人损失，影响严重的将追究法律责任。</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3.服务响应</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投标单位</w:t>
      </w:r>
      <w:r>
        <w:rPr>
          <w:rFonts w:hint="eastAsia" w:ascii="宋体" w:hAnsi="宋体"/>
          <w:bCs/>
          <w:sz w:val="21"/>
          <w:szCs w:val="21"/>
          <w:highlight w:val="none"/>
        </w:rPr>
        <w:t xml:space="preserve">需提供7×24小时响应服务，</w:t>
      </w:r>
      <w:r>
        <w:rPr>
          <w:rFonts w:hint="eastAsia" w:ascii="宋体" w:hAnsi="宋体"/>
          <w:sz w:val="21"/>
          <w:szCs w:val="21"/>
          <w:highlight w:val="none"/>
        </w:rPr>
        <w:t xml:space="preserve">采购人有需求时，供应商应在1小时内响应，采购人有应急需求时，供应商需安排人员24小时随时待命，接到任务通知后1小时内完成所有准备工作，并根据采购人需求完成项目。</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4.成果要求</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1.完成相城区重污染天气应急管控清单修订；</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2.每季度污染源清单及污染一张图更新；</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3.污染过程期间或国控点周边异常情况溯源分析简报、每季度综合分析报告；</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4.指定的6个空气比对点位、3个噪声比对点位持续一年的微站比对数据；</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5.完成VOCs走航或飞航报告；</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6.完成道路积尘走航报告。</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（五）备件与耗材要求</w:t>
      </w:r>
      <w:r>
        <w:rPr>
          <w:highlight w:val="none"/>
        </w:rPr>
      </w:r>
    </w:p>
    <w:p>
      <w:pPr>
        <w:pStyle w:val="889"/>
        <w:ind w:left="0" w:firstLine="420"/>
        <w:spacing w:line="360" w:lineRule="auto"/>
        <w:rPr>
          <w:rFonts w:ascii="宋体" w:hAnsi="宋体"/>
          <w:highlight w:val="none"/>
        </w:rPr>
      </w:pPr>
      <w:r>
        <w:rPr>
          <w:rFonts w:hint="eastAsia" w:ascii="宋体" w:hAnsi="宋体"/>
          <w:sz w:val="21"/>
          <w:szCs w:val="21"/>
          <w:highlight w:val="none"/>
        </w:rPr>
        <w:t xml:space="preserve">供应商需承诺本项目实施期内提供相关设备，保障系统正常工作、数据质量可靠。</w:t>
      </w:r>
      <w:r>
        <w:rPr>
          <w:highlight w:val="none"/>
        </w:rPr>
      </w:r>
    </w:p>
    <w:p>
      <w:pPr>
        <w:pStyle w:val="88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第二标段:</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（一）工作内容</w:t>
      </w:r>
      <w:r>
        <w:rPr>
          <w:highlight w:val="none"/>
        </w:rPr>
      </w:r>
    </w:p>
    <w:p>
      <w:pPr>
        <w:ind w:left="0" w:firstLine="420"/>
        <w:spacing w:line="360" w:lineRule="auto"/>
        <w:tabs>
          <w:tab w:val="left" w:pos="420" w:leader="none"/>
        </w:tabs>
        <w:rPr>
          <w:rFonts w:ascii="宋体" w:hAnsi="宋体"/>
          <w:color w:val="000000"/>
          <w:highlight w:val="none"/>
        </w:rPr>
      </w:pPr>
      <w:r>
        <w:rPr>
          <w:rFonts w:hint="eastAsia" w:ascii="宋体" w:hAnsi="宋体"/>
          <w:color w:val="000000"/>
          <w:highlight w:val="none"/>
        </w:rPr>
        <w:t xml:space="preserve">围绕国控站点周边重点区域，进一步提升大气污染防治监管能力，采购高空高清摄像头视频数据服务、无人机巡飞巡查服务及相关配套服务。</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1.高空智能监控系统服务须针对相城境内，采用部署高位摄像机，监控覆盖半径2公里，选取40米左右高空点位15个，计划部署高空鹰眼15台，对重点区域进行全天候监控。并需支持高清视频实时监控，具备至少7天的视频数据存储功能。配备AI算法，具备工地扬尘识别、焚烧火点识别、异常烟雾识别以及信息提醒等功能，并可在电脑和手机端实时查看，包含1年服务（含网络及电费）。</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2.围绕2个大气国控点周边重点区域范围，部署2套无人机+机库，需搭载高清摄像设备，具备工地扬尘识别、焚烧火点识别、异常烟雾识别及对巡飞范围内</w:t>
      </w:r>
      <w:r>
        <w:rPr>
          <w:rFonts w:ascii="宋体" w:hAnsi="宋体"/>
          <w:sz w:val="21"/>
          <w:szCs w:val="21"/>
          <w:highlight w:val="none"/>
        </w:rPr>
        <w:t xml:space="preserve">PM</w:t>
      </w:r>
      <w:r>
        <w:rPr>
          <w:rFonts w:ascii="宋体" w:hAnsi="宋体"/>
          <w:sz w:val="21"/>
          <w:szCs w:val="21"/>
          <w:highlight w:val="none"/>
          <w:vertAlign w:val="subscript"/>
        </w:rPr>
        <w:t xml:space="preserve">2.5</w:t>
      </w:r>
      <w:r>
        <w:rPr>
          <w:rFonts w:hint="eastAsia" w:ascii="宋体" w:hAnsi="宋体"/>
          <w:sz w:val="21"/>
          <w:szCs w:val="21"/>
          <w:highlight w:val="none"/>
        </w:rPr>
        <w:t xml:space="preserve">、PM</w:t>
      </w:r>
      <w:r>
        <w:rPr>
          <w:rFonts w:ascii="宋体" w:hAnsi="宋体"/>
          <w:sz w:val="21"/>
          <w:szCs w:val="21"/>
          <w:highlight w:val="none"/>
          <w:vertAlign w:val="subscript"/>
        </w:rPr>
        <w:t xml:space="preserve">10</w:t>
      </w:r>
      <w:r>
        <w:rPr>
          <w:rFonts w:hint="eastAsia" w:ascii="宋体" w:hAnsi="宋体"/>
          <w:sz w:val="21"/>
          <w:szCs w:val="21"/>
          <w:highlight w:val="none"/>
        </w:rPr>
        <w:t xml:space="preserve">、NO</w:t>
      </w:r>
      <w:r>
        <w:rPr>
          <w:rFonts w:ascii="宋体" w:hAnsi="宋体"/>
          <w:sz w:val="21"/>
          <w:szCs w:val="21"/>
          <w:highlight w:val="none"/>
          <w:vertAlign w:val="subscript"/>
        </w:rPr>
        <w:t xml:space="preserve">2</w:t>
      </w:r>
      <w:r>
        <w:rPr>
          <w:rFonts w:hint="eastAsia" w:ascii="宋体" w:hAnsi="宋体"/>
          <w:sz w:val="21"/>
          <w:szCs w:val="21"/>
          <w:highlight w:val="none"/>
        </w:rPr>
        <w:t xml:space="preserve">、TVOC、O</w:t>
      </w:r>
      <w:r>
        <w:rPr>
          <w:rFonts w:ascii="宋体" w:hAnsi="宋体"/>
          <w:sz w:val="21"/>
          <w:szCs w:val="21"/>
          <w:highlight w:val="none"/>
          <w:vertAlign w:val="subscript"/>
        </w:rPr>
        <w:t xml:space="preserve">3</w:t>
      </w:r>
      <w:r>
        <w:rPr>
          <w:rFonts w:hint="eastAsia" w:ascii="宋体" w:hAnsi="宋体"/>
          <w:sz w:val="21"/>
          <w:szCs w:val="21"/>
          <w:highlight w:val="none"/>
        </w:rPr>
        <w:t xml:space="preserve">等环境污染因子的分析测定功能；支持巡飞数据实时回传及存储。巡飞频次：每日不少于2次，原则上上午12时前、下午17时前各完成1次重点区域全覆盖巡查。</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（二）其他要求</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1.服务响应要求</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(1)服务期内视频数据要确保连贯性，非不可抗力的原因造成1小时及以上的数据缺失，且未能及时响应解决，将在最终考核时扣分。</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(2)服务期内视频服务未能及时识别到焚烧火点、工地扬尘等各类异常点，将在最终考核时扣分。</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2.算法识别</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(1)焚烧火点及工地扬尘识别预警：对画面中的各类焚烧点和工地扬尘进行识别预警。</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(2)污染物因子分析：对巡飞范围内PM</w:t>
      </w:r>
      <w:r>
        <w:rPr>
          <w:rFonts w:hint="eastAsia" w:ascii="宋体" w:hAnsi="宋体"/>
          <w:sz w:val="21"/>
          <w:szCs w:val="21"/>
          <w:highlight w:val="none"/>
          <w:vertAlign w:val="subscript"/>
        </w:rPr>
        <w:t xml:space="preserve">2.5</w:t>
      </w:r>
      <w:r>
        <w:rPr>
          <w:rFonts w:hint="eastAsia" w:ascii="宋体" w:hAnsi="宋体"/>
          <w:sz w:val="21"/>
          <w:szCs w:val="21"/>
          <w:highlight w:val="none"/>
        </w:rPr>
        <w:t xml:space="preserve">、PM</w:t>
      </w:r>
      <w:r>
        <w:rPr>
          <w:rFonts w:hint="eastAsia" w:ascii="宋体" w:hAnsi="宋体"/>
          <w:sz w:val="21"/>
          <w:szCs w:val="21"/>
          <w:highlight w:val="none"/>
          <w:vertAlign w:val="subscript"/>
        </w:rPr>
        <w:t xml:space="preserve">10</w:t>
      </w:r>
      <w:r>
        <w:rPr>
          <w:rFonts w:hint="eastAsia" w:ascii="宋体" w:hAnsi="宋体"/>
          <w:sz w:val="21"/>
          <w:szCs w:val="21"/>
          <w:highlight w:val="none"/>
        </w:rPr>
        <w:t xml:space="preserve">、NO</w:t>
      </w:r>
      <w:r>
        <w:rPr>
          <w:rFonts w:hint="eastAsia" w:ascii="宋体" w:hAnsi="宋体"/>
          <w:sz w:val="21"/>
          <w:szCs w:val="21"/>
          <w:highlight w:val="none"/>
          <w:vertAlign w:val="subscript"/>
        </w:rPr>
        <w:t xml:space="preserve">2</w:t>
      </w:r>
      <w:r>
        <w:rPr>
          <w:rFonts w:hint="eastAsia" w:ascii="宋体" w:hAnsi="宋体"/>
          <w:sz w:val="21"/>
          <w:szCs w:val="21"/>
          <w:highlight w:val="none"/>
        </w:rPr>
        <w:t xml:space="preserve">、TVOC、O</w:t>
      </w:r>
      <w:r>
        <w:rPr>
          <w:rFonts w:hint="eastAsia" w:ascii="宋体" w:hAnsi="宋体"/>
          <w:sz w:val="21"/>
          <w:szCs w:val="21"/>
          <w:highlight w:val="none"/>
          <w:vertAlign w:val="subscript"/>
        </w:rPr>
        <w:t xml:space="preserve">3</w:t>
      </w:r>
      <w:r>
        <w:rPr>
          <w:rFonts w:hint="eastAsia" w:ascii="宋体" w:hAnsi="宋体"/>
          <w:sz w:val="21"/>
          <w:szCs w:val="21"/>
          <w:highlight w:val="none"/>
        </w:rPr>
        <w:t xml:space="preserve">等环境污染因子进行分析测定。</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3.整体架构</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(1)前端采集</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前端采集工作主要由摄像机及无人机组成，负责采集现场视频信号，并可接受来自中心端的控制指令。所配置的摄像机及无人机需满足以下要求：</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1)可靠性：主要设备摄像机采用嵌入式实时操作系统，所需设备简单，图像的传输通过综合布线实现，系统具备高可靠性。</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2)安全性：系统设置不同等级的使用者权限，仅有最高级权限的用户可对整个系统进行设置或更改，没有权限的用户不可接收图像的。</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3)使用及维护性：系统安装简单，软件系统的安装及使用易懂。在维护性方面，系统的接线简洁，而主要设备具备高可靠性，维护性能好，而且可实现远程维护。</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(2)高速传输</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由网线、光纤、交换机等系统组成，负责将前端采集到的图像传输到后台。根据中心存储原则，本区域所有监控监测点位需要将视频数据推送至总中心进行存储，因此必须能够满足海量数据的传输，所配置传输设备及材料需满足以下要求：</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1)可用性：网络系统能够满足用户需求的程度。通过网络监控系统，可以实时监测网络是否处于正常运行状态，以及网络是否存在故障或断网等情况。一旦发现网络出现问题，可以及时采取措施，以保证网络的可用性。</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2)安全性：网络安全是指网络系统免遭攻击和滥用的程度。一旦发现网络存在安全问题，可以尽快采取相应的措施，以保护网络的安全。</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4.数据存储</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将摄像机或无人机采集到的图像及数据存储在云端设备，供未来调阅、检索使用。系统采用集中存储，在监控中心完成上传视频图像、备份存储相结合，最低存储时间为7天，应提前预留重要视频及报警信息的备份存储空间。实现全自动刷新，循环存储。能够进行多任务操作，监控、查询等互不影响，保证事后取证、精准检索，</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5.软件平台</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前端设备由监控设备、无人机设备组成，后端设备由事件检测服务器和软件平台组成。根据项目情况可通过智能前端设备对视频流进行分析或后端智能检测服务器对前端视频进行取流分析，得出事件检测结果，由部署在PC机上的软件统一展示。</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6.事件实时上报</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当事件检测服务器检出事件后会上报软件平台，软件平台根据事件类型弹窗报警并伴随声音提醒，供监控人员查看，监控人员可根据检测类型选择误报或正报。</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1)事件查询</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监控人员可按照点位、事件、时间、已处理、未处理进行查询统计分析。</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2)全天候监视</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不论在白天、晚上还是其他室内环境，均能在中心清晰地观察到前端现场的实时图像。实时点播时，能按照指定设备、指定通道进行图像的实时监视调用，调用时不能影响别的通道进行图像传输，支持监视图像的无级缩放、图像抓帧，支持跨设备的图像组屏。夜间光线照度差的监控通过红外等手段，使能取得良好的夜间图像。</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3)历史图像的检索和回放</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系统能在中心的用户终端上根据权限和级别，按照指定设备、通道、时间等要素检索历史图像文件并回放，需要时可以对录像进行30天保存。回放支持正常播放、快速播放、慢速播放、逐帧进退、画面暂停、图像抓帧等。</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4)图像记录和备份</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所有图像能在云平台进行集中储存记录，保留时间7天以上。</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7.服务地点：按照甲方要求。</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8.其他说明</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(1)报价：投标总报价一次报定，包括：人工、管理、服务、验收、保险、利润、税金、政策性文件规定及合同包含的所有风险、责任等各项应有费用。各投标人应充分考虑价格等各种风险，其风险由投标人承担。</w:t>
      </w:r>
      <w:r>
        <w:rPr>
          <w:highlight w:val="none"/>
        </w:rP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(2)知识产权：供方应保证需方免除且供方承担由于需方在其本国使用系统任何产品或产品任何一部分时而引起第三方提出的侵犯专利权、商标权或工业设计权的起诉、行动、行政程序索赔、请求等以及需方为此而产生的损失和损害、费用和支出（包括律师费）；</w:t>
      </w:r>
      <w:r>
        <w:rPr>
          <w:highlight w:val="none"/>
        </w:rPr>
      </w:r>
    </w:p>
    <w:p>
      <w:pPr>
        <w:ind w:left="0" w:firstLine="420"/>
        <w:spacing w:line="360" w:lineRule="auto"/>
        <w:tabs>
          <w:tab w:val="left" w:pos="420" w:leader="none"/>
        </w:tabs>
        <w:rPr>
          <w:rFonts w:ascii="宋体" w:hAnsi="宋体"/>
          <w:b/>
          <w:sz w:val="21"/>
          <w:szCs w:val="21"/>
          <w:highlight w:val="none"/>
        </w:rPr>
      </w:pPr>
      <w:r>
        <w:rPr>
          <w:rFonts w:hint="eastAsia" w:ascii="宋体" w:hAnsi="宋体"/>
          <w:b/>
          <w:sz w:val="21"/>
          <w:szCs w:val="21"/>
          <w:highlight w:val="none"/>
        </w:rPr>
        <w:t xml:space="preserve">八、综合说明</w:t>
      </w:r>
      <w:r>
        <w:rPr>
          <w:highlight w:val="none"/>
        </w:rPr>
      </w:r>
    </w:p>
    <w:p>
      <w:pPr>
        <w:ind w:left="0" w:firstLine="420"/>
        <w:spacing w:line="360" w:lineRule="auto"/>
        <w:tabs>
          <w:tab w:val="left" w:pos="420" w:leader="none"/>
          <w:tab w:val="left" w:pos="540" w:leader="none"/>
        </w:tabs>
        <w:rPr>
          <w:rFonts w:ascii="宋体" w:hAnsi="宋体"/>
          <w:sz w:val="21"/>
          <w:szCs w:val="21"/>
          <w:highlight w:val="none"/>
        </w:rPr>
      </w:pPr>
      <w:r>
        <w:rPr>
          <w:rFonts w:hint="eastAsia" w:ascii="宋体" w:hAnsi="宋体"/>
          <w:sz w:val="21"/>
          <w:szCs w:val="21"/>
          <w:highlight w:val="none"/>
        </w:rPr>
        <w:t xml:space="preserve">1、投标人按照招标文件的要求提交投标文件，并对所提供的全部资料的真实性承担法律责任。</w:t>
      </w:r>
      <w:r>
        <w:rPr>
          <w:highlight w:val="none"/>
        </w:rPr>
      </w:r>
    </w:p>
    <w:p>
      <w:pPr>
        <w:ind w:left="0" w:firstLine="420"/>
        <w:spacing w:line="360" w:lineRule="auto"/>
        <w:tabs>
          <w:tab w:val="left" w:pos="420" w:leader="none"/>
          <w:tab w:val="left" w:pos="540" w:leader="none"/>
        </w:tabs>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此次投标报价应包括为完成本项目服务工作所需的各种工作经费、投入的人力、物力各项费用、研究费、咨询费、资料费、调查费、专家评审费用、检验检测费、后续服务费、交通、食宿、利润、税金、验收、政策性文件规定及合同包含的所有风险、责任等完成本项目的各项应有费用。</w:t>
      </w:r>
      <w:r>
        <w:rPr>
          <w:highlight w:val="none"/>
        </w:rPr>
      </w:r>
    </w:p>
    <w:p>
      <w:pPr>
        <w:ind w:left="0" w:firstLine="420"/>
        <w:spacing w:line="360" w:lineRule="auto"/>
        <w:tabs>
          <w:tab w:val="left" w:pos="420" w:leader="none"/>
          <w:tab w:val="left" w:pos="540" w:leader="none"/>
        </w:tabs>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、中标人将根据招标文件、投标文件的相关约定，承担合同责任，履行合同义务。</w:t>
      </w:r>
      <w:r>
        <w:rPr>
          <w:highlight w:val="none"/>
        </w:rPr>
      </w:r>
    </w:p>
    <w:p>
      <w:pPr>
        <w:ind w:left="0" w:firstLine="420"/>
        <w:spacing w:line="360" w:lineRule="auto"/>
        <w:tabs>
          <w:tab w:val="left" w:pos="420" w:leader="none"/>
          <w:tab w:val="left" w:pos="540" w:leader="none"/>
        </w:tabs>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none"/>
        </w:rPr>
      </w:r>
    </w:p>
    <w:p>
      <w:pPr>
        <w:ind w:left="0" w:firstLine="420"/>
        <w:spacing w:line="360" w:lineRule="auto"/>
        <w:tabs>
          <w:tab w:val="left" w:pos="420" w:leader="none"/>
        </w:tabs>
        <w:rPr>
          <w:rFonts w:ascii="宋体" w:hAnsi="宋体"/>
          <w:b/>
          <w:sz w:val="21"/>
          <w:szCs w:val="21"/>
          <w:highlight w:val="none"/>
        </w:rPr>
      </w:pPr>
      <w:r>
        <w:rPr>
          <w:rFonts w:hint="eastAsia" w:ascii="宋体" w:hAnsi="宋体"/>
          <w:b/>
          <w:sz w:val="21"/>
          <w:szCs w:val="21"/>
          <w:highlight w:val="none"/>
        </w:rPr>
        <w:t xml:space="preserve">九、政策要求</w:t>
      </w:r>
      <w:r>
        <w:rPr>
          <w:highlight w:val="none"/>
        </w:rPr>
      </w:r>
    </w:p>
    <w:p>
      <w:pPr>
        <w:ind w:left="0" w:firstLine="412"/>
        <w:jc w:val="left"/>
        <w:spacing w:line="360" w:lineRule="auto"/>
        <w:widowControl w:val="off"/>
        <w:rPr>
          <w:rFonts w:ascii="宋体" w:hAnsi="宋体"/>
          <w:sz w:val="21"/>
          <w:szCs w:val="21"/>
          <w:highlight w:val="none"/>
        </w:rPr>
      </w:pPr>
      <w:r>
        <w:rPr>
          <w:rFonts w:hint="eastAsia" w:ascii="宋体" w:hAnsi="宋体"/>
          <w:sz w:val="21"/>
          <w:szCs w:val="21"/>
          <w:highlight w:val="none"/>
        </w:rPr>
        <w:t xml:space="preserve">1、招标文件提出的是最低限度的要求，并未对一切细节作出规定，也未充分引述全部有关标准和规范的条文，投标单位所提供的相关货物或服务都应符合已颁布的现行的国家标准、行业标准和地方标准，并应达到或优于招标文件要求。</w:t>
      </w:r>
      <w:r>
        <w:rPr>
          <w:highlight w:val="none"/>
        </w:rPr>
      </w:r>
    </w:p>
    <w:p>
      <w:pPr>
        <w:ind w:left="0" w:right="-153"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2、根据苏州市财政局《关于贯彻执行绿色采购、促进残疾人就业和支持监狱企业发展有关政策的通知》（苏财购〔2019〕10号）规定，关于节能环保产品政府采购要求：</w:t>
      </w:r>
      <w:r>
        <w:rPr>
          <w:highlight w:val="none"/>
        </w:rPr>
      </w:r>
    </w:p>
    <w:p>
      <w:pPr>
        <w:ind w:left="0" w:right="-153"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本次拟采购的产品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r>
        <w:rPr>
          <w:highlight w:val="none"/>
        </w:rPr>
      </w:r>
    </w:p>
    <w:p>
      <w:pPr>
        <w:ind w:left="0" w:right="-153"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r>
        <w:rPr>
          <w:highlight w:val="none"/>
        </w:rP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3、关于推动解决政府采购异常低价问题相关工作的通知（财库〔2026〕2号）。</w:t>
      </w:r>
      <w:r>
        <w:rPr>
          <w:highlight w:val="none"/>
        </w:rPr>
      </w:r>
    </w:p>
    <w:p>
      <w:pPr>
        <w:pStyle w:val="1261"/>
        <w:ind w:left="0" w:firstLine="422"/>
        <w:spacing w:line="360" w:lineRule="auto"/>
        <w:rPr>
          <w:rFonts w:ascii="宋体" w:hAnsi="宋体" w:cs="宋体"/>
          <w:sz w:val="21"/>
          <w:szCs w:val="21"/>
          <w:highlight w:val="none"/>
        </w:rPr>
      </w:pPr>
      <w:r>
        <w:rPr>
          <w:rFonts w:ascii="宋体" w:hAnsi="宋体" w:cs="宋体"/>
          <w:sz w:val="21"/>
          <w:szCs w:val="21"/>
          <w:highlight w:val="none"/>
        </w:rPr>
        <w:t xml:space="preserve">3</w:t>
      </w:r>
      <w:r>
        <w:rPr>
          <w:rFonts w:hint="eastAsia" w:ascii="宋体" w:hAnsi="宋体" w:cs="宋体"/>
          <w:sz w:val="21"/>
          <w:szCs w:val="21"/>
          <w:highlight w:val="none"/>
        </w:rPr>
        <w:t xml:space="preserve">.1评审过程中出现下列情形之一的，评审委员会应当启动异常低价投标（响应）审查程序：</w:t>
      </w:r>
      <w:r>
        <w:rPr>
          <w:highlight w:val="none"/>
        </w:rPr>
      </w:r>
    </w:p>
    <w:p>
      <w:pPr>
        <w:pStyle w:val="1261"/>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（一）采购人应当在采购文件中明确，政府采购评审中出现下列情形之一的，评审委员会应当启动异常低价投标（响应）审查程序：</w:t>
      </w:r>
      <w:r>
        <w:rPr>
          <w:highlight w:val="none"/>
        </w:rPr>
      </w:r>
    </w:p>
    <w:p>
      <w:pPr>
        <w:pStyle w:val="1261"/>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（1）投标（响应）报价低于全部通过符合性审查供应商投标（响应）报价平均值50%的，即投标（响应）报价&lt;全部通过符合性审查供应商投标（响应）报价平均值×50%；</w:t>
      </w:r>
      <w:r>
        <w:rPr>
          <w:highlight w:val="none"/>
        </w:rPr>
      </w:r>
    </w:p>
    <w:p>
      <w:pPr>
        <w:pStyle w:val="1261"/>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（2）投标（响应）报价低于通过符合性审查的次低报价供应商投标（响应）报价50%的，即投标（响应）报价&lt;通过符合性审查的次低报价供应商投标（响应）报价×50%；</w:t>
      </w:r>
      <w:r>
        <w:rPr>
          <w:highlight w:val="none"/>
        </w:rPr>
      </w:r>
    </w:p>
    <w:p>
      <w:pPr>
        <w:pStyle w:val="1261"/>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（3）投标（响应）报价低于采购项目最高限价45%的，即投标（响应）报价&lt;采购项目最高限价×45%；</w:t>
      </w:r>
      <w:r>
        <w:rPr>
          <w:highlight w:val="none"/>
        </w:rPr>
      </w:r>
    </w:p>
    <w:p>
      <w:pPr>
        <w:pStyle w:val="1261"/>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（4）评审委员会基于专业判断，认为供应商报价过低，有可能影响产品质量或者不能诚信履约的其他情形。</w:t>
      </w:r>
      <w:r>
        <w:rPr>
          <w:highlight w:val="none"/>
        </w:rPr>
      </w:r>
    </w:p>
    <w:p>
      <w:pPr>
        <w:pStyle w:val="1261"/>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采购人可以结合具体项目实际情况，提高上述第1项至第3项中启动异常低价投标（响应）审查的数值标准，但是最高不得超过65%。</w:t>
      </w:r>
      <w:r>
        <w:rPr>
          <w:highlight w:val="none"/>
        </w:rPr>
      </w:r>
    </w:p>
    <w:p>
      <w:pPr>
        <w:pStyle w:val="1261"/>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相关法律法规对供应商报价有规定的，从其规定。</w:t>
      </w:r>
      <w:r>
        <w:rPr>
          <w:highlight w:val="none"/>
        </w:rPr>
      </w:r>
    </w:p>
    <w:p>
      <w:pPr>
        <w:pStyle w:val="1261"/>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p>
    <w:p>
      <w:pPr>
        <w:pStyle w:val="1261"/>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p>
    <w:p>
      <w:pPr>
        <w:pStyle w:val="1261"/>
        <w:ind w:left="0" w:firstLine="422"/>
        <w:spacing w:line="360" w:lineRule="auto"/>
        <w:rPr>
          <w:rFonts w:ascii="宋体" w:hAnsi="宋体" w:cs="宋体"/>
          <w:sz w:val="21"/>
          <w:szCs w:val="21"/>
          <w:highlight w:val="none"/>
        </w:rPr>
      </w:pPr>
      <w:r>
        <w:rPr>
          <w:rFonts w:ascii="宋体" w:hAnsi="宋体" w:cs="宋体"/>
          <w:sz w:val="21"/>
          <w:szCs w:val="21"/>
          <w:highlight w:val="none"/>
        </w:rPr>
        <w:t xml:space="preserve">3</w:t>
      </w:r>
      <w:r>
        <w:rPr>
          <w:rFonts w:hint="eastAsia" w:ascii="宋体" w:hAnsi="宋体" w:cs="宋体"/>
          <w:sz w:val="21"/>
          <w:szCs w:val="21"/>
          <w:highlight w:val="none"/>
        </w:rPr>
        <w:t xml:space="preserve">.2异常低价审查有关要求，均以财政部发布的《关于推动解决政府采购异常低价问题的通知》（ 财库〔2026〕2号）为准。</w:t>
      </w:r>
      <w:r>
        <w:rPr>
          <w:highlight w:val="none"/>
        </w:rPr>
      </w:r>
    </w:p>
    <w:p>
      <w:pPr>
        <w:ind w:left="0" w:right="-153" w:firstLine="420"/>
        <w:jc w:val="left"/>
        <w:spacing w:line="360" w:lineRule="auto"/>
        <w:rPr>
          <w:rFonts w:ascii="宋体" w:hAnsi="宋体" w:cs="Times New Roman"/>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、响应单位需执行《国务院办公厅关于在政府采购中实施本国产品标准及相关政策的通知》国办发〔2025〕34号发文。</w:t>
      </w:r>
      <w:r>
        <w:rPr>
          <w:highlight w:val="none"/>
        </w:rPr>
      </w:r>
    </w:p>
    <w:p>
      <w:pPr>
        <w:ind w:left="0" w:firstLine="42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十、其他</w:t>
      </w:r>
      <w:r>
        <w:rPr>
          <w:highlight w:val="none"/>
        </w:rPr>
      </w:r>
    </w:p>
    <w:p>
      <w:pPr>
        <w:ind w:left="0" w:firstLine="42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1、投标单位须对所要采购的全部内容进行报价，只投其中部分内容者，其投标文件将被拒绝，招标单位除支付本次采购项目的成交金额外不再承担其他任何费用。</w:t>
      </w:r>
      <w:r>
        <w:rPr>
          <w:highlight w:val="none"/>
        </w:rPr>
      </w:r>
    </w:p>
    <w:p>
      <w:pPr>
        <w:ind w:left="0" w:firstLine="420"/>
        <w:jc w:val="left"/>
        <w:spacing w:line="360" w:lineRule="auto"/>
        <w:widowControl w:val="off"/>
        <w:rPr>
          <w:rFonts w:ascii="宋体" w:hAnsi="宋体" w:cs="Times New Roman"/>
          <w:sz w:val="21"/>
          <w:szCs w:val="21"/>
          <w:highlight w:val="none"/>
        </w:rPr>
      </w:pPr>
      <w:r>
        <w:rPr>
          <w:rFonts w:ascii="宋体" w:hAnsi="宋体" w:cs="Times New Roman"/>
          <w:sz w:val="21"/>
          <w:szCs w:val="21"/>
          <w:highlight w:val="none"/>
        </w:rPr>
        <w:t xml:space="preserve">2</w:t>
      </w:r>
      <w:r>
        <w:rPr>
          <w:rFonts w:hint="eastAsia" w:ascii="宋体" w:hAnsi="宋体" w:cs="Times New Roman"/>
          <w:sz w:val="21"/>
          <w:szCs w:val="21"/>
          <w:highlight w:val="none"/>
        </w:rPr>
        <w:t xml:space="preserve">、中标</w:t>
      </w:r>
      <w:r>
        <w:rPr>
          <w:rFonts w:ascii="宋体" w:hAnsi="宋体" w:cs="Times New Roman"/>
          <w:sz w:val="21"/>
          <w:szCs w:val="21"/>
          <w:highlight w:val="none"/>
        </w:rPr>
        <w:t xml:space="preserve">服务费：</w:t>
      </w:r>
      <w:r>
        <w:rPr>
          <w:rFonts w:hint="eastAsia" w:ascii="宋体" w:hAnsi="宋体" w:cs="Times New Roman"/>
          <w:sz w:val="21"/>
          <w:szCs w:val="21"/>
          <w:highlight w:val="none"/>
        </w:rPr>
        <w:t xml:space="preserve">本次招标项目中标服务费由中标人支付，本项目代理费金额</w:t>
      </w:r>
      <w:r>
        <w:rPr>
          <w:rFonts w:hint="eastAsia" w:ascii="宋体" w:hAnsi="宋体" w:cs="Times New Roman"/>
          <w:b/>
          <w:sz w:val="21"/>
          <w:szCs w:val="21"/>
          <w:highlight w:val="none"/>
        </w:rPr>
        <w:t xml:space="preserve">一标段为</w:t>
      </w:r>
      <w:r>
        <w:rPr>
          <w:rFonts w:ascii="宋体" w:hAnsi="宋体" w:cs="Times New Roman"/>
          <w:b/>
          <w:sz w:val="21"/>
          <w:szCs w:val="21"/>
          <w:highlight w:val="none"/>
        </w:rPr>
        <w:t xml:space="preserve">21930</w:t>
      </w:r>
      <w:r>
        <w:rPr>
          <w:rFonts w:hint="eastAsia" w:ascii="宋体" w:hAnsi="宋体" w:cs="Times New Roman"/>
          <w:b/>
          <w:sz w:val="21"/>
          <w:szCs w:val="21"/>
          <w:highlight w:val="none"/>
        </w:rPr>
        <w:t xml:space="preserve">元，二标段为</w:t>
      </w:r>
      <w:r>
        <w:rPr>
          <w:rFonts w:ascii="宋体" w:hAnsi="宋体" w:cs="Times New Roman"/>
          <w:b/>
          <w:sz w:val="21"/>
          <w:szCs w:val="21"/>
          <w:highlight w:val="none"/>
        </w:rPr>
        <w:t xml:space="preserve">6900</w:t>
      </w:r>
      <w:r>
        <w:rPr>
          <w:rFonts w:hint="eastAsia" w:ascii="宋体" w:hAnsi="宋体" w:cs="Times New Roman"/>
          <w:b/>
          <w:sz w:val="21"/>
          <w:szCs w:val="21"/>
          <w:highlight w:val="none"/>
        </w:rPr>
        <w:t xml:space="preserve">元</w:t>
      </w:r>
      <w:r>
        <w:rPr>
          <w:rFonts w:hint="eastAsia" w:ascii="宋体" w:hAnsi="宋体" w:cs="Times New Roman"/>
          <w:sz w:val="21"/>
          <w:szCs w:val="21"/>
          <w:highlight w:val="none"/>
        </w:rPr>
        <w:t xml:space="preserve">，供应商所投报价应当包含该项目代理服务费，该费用应在领取中标通知书时付清。具体收费以如下比例按差额定率累进法进行计算：</w:t>
      </w:r>
      <w:r>
        <w:rPr>
          <w:highlight w:val="none"/>
        </w:rPr>
      </w:r>
    </w:p>
    <w:p>
      <w:pPr>
        <w:ind w:left="0" w:firstLine="420"/>
        <w:jc w:val="left"/>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收费标准：预算金额100万以下费率为预算金额的1.5%；</w:t>
      </w:r>
      <w:r>
        <w:rPr>
          <w:highlight w:val="none"/>
        </w:rPr>
      </w:r>
    </w:p>
    <w:p>
      <w:pPr>
        <w:ind w:left="0" w:firstLine="420"/>
        <w:jc w:val="left"/>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预算金额100－500万费率为预算金额的1.1%。</w:t>
      </w:r>
      <w:r>
        <w:rPr>
          <w:highlight w:val="none"/>
        </w:rPr>
      </w:r>
    </w:p>
    <w:p>
      <w:pPr>
        <w:ind w:left="0" w:firstLine="420"/>
        <w:jc w:val="left"/>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预算金额500－1000万费率为预算金额的0.8%。</w:t>
      </w:r>
      <w:r>
        <w:rPr>
          <w:highlight w:val="none"/>
        </w:rPr>
      </w:r>
    </w:p>
    <w:p>
      <w:pPr>
        <w:ind w:left="0" w:firstLine="420"/>
        <w:jc w:val="left"/>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账 户 名：苏州公正建设咨询房地产评估有限公司新城分公司</w:t>
      </w:r>
      <w:r>
        <w:rPr>
          <w:highlight w:val="none"/>
        </w:rPr>
      </w:r>
    </w:p>
    <w:p>
      <w:pPr>
        <w:ind w:left="0" w:firstLine="420"/>
        <w:jc w:val="left"/>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开户银行：平安银行苏州分行营业部</w:t>
      </w:r>
      <w:r>
        <w:rPr>
          <w:highlight w:val="none"/>
        </w:rPr>
      </w:r>
    </w:p>
    <w:p>
      <w:pPr>
        <w:ind w:left="0" w:firstLine="420"/>
        <w:jc w:val="left"/>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账    号：15946344870016</w:t>
      </w:r>
      <w:r>
        <w:rPr>
          <w:highlight w:val="none"/>
        </w:rP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十一、</w:t>
      </w:r>
      <w:r>
        <w:rPr>
          <w:rFonts w:ascii="宋体" w:hAnsi="宋体"/>
          <w:sz w:val="21"/>
          <w:szCs w:val="21"/>
          <w:highlight w:val="none"/>
        </w:rPr>
        <w:t xml:space="preserve">凡涉及招标文件的补充说明和修改，均以网上发布的通知为准。</w:t>
      </w:r>
      <w:r>
        <w:rPr>
          <w:highlight w:val="none"/>
        </w:rPr>
      </w:r>
    </w:p>
    <w:p>
      <w:pPr>
        <w:pStyle w:val="877"/>
        <w:ind w:left="0" w:firstLine="0"/>
        <w:jc w:val="center"/>
        <w:spacing w:line="240" w:lineRule="auto"/>
        <w:rPr>
          <w:rFonts w:ascii="宋体" w:hAnsi="宋体"/>
          <w:b/>
          <w:sz w:val="44"/>
          <w:szCs w:val="22"/>
          <w:highlight w:val="none"/>
        </w:rPr>
      </w:pPr>
      <w:r>
        <w:rPr>
          <w:highlight w:val="none"/>
        </w:rPr>
      </w:r>
      <w:bookmarkStart w:id="97" w:name="_Toc11789"/>
      <w:r>
        <w:rPr>
          <w:highlight w:val="none"/>
        </w:rPr>
      </w:r>
      <w:bookmarkStart w:id="98" w:name="_Toc5111"/>
      <w:r>
        <w:rPr>
          <w:highlight w:val="none"/>
        </w:rPr>
      </w:r>
      <w:bookmarkStart w:id="99" w:name="_Hlk55741158"/>
      <w:r>
        <w:rPr>
          <w:rFonts w:hint="eastAsia" w:ascii="宋体" w:hAnsi="宋体"/>
          <w:b/>
          <w:sz w:val="44"/>
          <w:szCs w:val="22"/>
          <w:highlight w:val="none"/>
        </w:rPr>
        <w:br w:type="page" w:clear="all"/>
      </w:r>
      <w:bookmarkStart w:id="100" w:name="_Toc159146131"/>
      <w:r>
        <w:rPr>
          <w:rFonts w:hint="eastAsia" w:ascii="宋体" w:hAnsi="宋体"/>
          <w:b/>
          <w:sz w:val="44"/>
          <w:szCs w:val="22"/>
          <w:highlight w:val="none"/>
        </w:rPr>
        <w:t xml:space="preserve">第五章 </w:t>
      </w:r>
      <w:bookmarkStart w:id="101" w:name="合同的特殊条款"/>
      <w:r>
        <w:rPr>
          <w:highlight w:val="none"/>
        </w:rPr>
      </w:r>
      <w:bookmarkEnd w:id="101"/>
      <w:r>
        <w:rPr>
          <w:rFonts w:hint="eastAsia" w:ascii="宋体" w:hAnsi="宋体"/>
          <w:b/>
          <w:sz w:val="44"/>
          <w:szCs w:val="22"/>
          <w:highlight w:val="none"/>
        </w:rPr>
        <w:t xml:space="preserve">合同及主要条款</w:t>
      </w:r>
      <w:bookmarkEnd w:id="97"/>
      <w:r>
        <w:rPr>
          <w:highlight w:val="none"/>
        </w:rPr>
      </w:r>
      <w:bookmarkEnd w:id="98"/>
      <w:r>
        <w:rPr>
          <w:highlight w:val="none"/>
        </w:rPr>
      </w:r>
      <w:bookmarkEnd w:id="100"/>
      <w:r>
        <w:rPr>
          <w:highlight w:val="none"/>
        </w:rPr>
      </w:r>
      <w:r>
        <w:rPr>
          <w:highlight w:val="none"/>
        </w:rPr>
      </w:r>
    </w:p>
    <w:p>
      <w:pPr>
        <w:jc w:val="center"/>
        <w:rPr>
          <w:b/>
          <w:sz w:val="24"/>
          <w:highlight w:val="none"/>
        </w:rPr>
      </w:pPr>
      <w:r>
        <w:rPr>
          <w:rFonts w:hint="eastAsia"/>
          <w:b/>
          <w:sz w:val="24"/>
          <w:highlight w:val="none"/>
        </w:rPr>
        <w:t xml:space="preserve">（一标段）</w:t>
      </w:r>
      <w:r>
        <w:rPr>
          <w:highlight w:val="none"/>
        </w:rPr>
      </w:r>
    </w:p>
    <w:p>
      <w:pPr>
        <w:ind w:left="0" w:firstLine="480"/>
        <w:spacing w:line="360" w:lineRule="auto"/>
        <w:widowControl w:val="off"/>
        <w:rPr>
          <w:rFonts w:ascii="宋体" w:hAnsi="宋体" w:cs="Times New Roman"/>
          <w:bCs/>
          <w:sz w:val="21"/>
          <w:szCs w:val="21"/>
          <w:highlight w:val="none"/>
        </w:rPr>
      </w:pPr>
      <w:r>
        <w:rPr>
          <w:highlight w:val="none"/>
        </w:rPr>
      </w:r>
      <w:bookmarkStart w:id="102" w:name="_Toc8564"/>
      <w:r>
        <w:rPr>
          <w:highlight w:val="none"/>
        </w:rPr>
      </w:r>
      <w:bookmarkStart w:id="103" w:name="_Toc57376410"/>
      <w:r>
        <w:rPr>
          <w:highlight w:val="none"/>
        </w:rPr>
      </w:r>
      <w:bookmarkStart w:id="104" w:name="_Toc27667"/>
      <w:r>
        <w:rPr>
          <w:highlight w:val="none"/>
        </w:rPr>
      </w:r>
      <w:bookmarkEnd w:id="99"/>
      <w:r>
        <w:rPr>
          <w:rFonts w:hint="eastAsia" w:ascii="宋体" w:hAnsi="宋体" w:cs="Times New Roman"/>
          <w:bCs/>
          <w:sz w:val="21"/>
          <w:szCs w:val="21"/>
          <w:highlight w:val="none"/>
        </w:rPr>
        <w:t xml:space="preserve">甲方（需方）： </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地址：</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联系人：</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联系电话：</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 </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乙方（供方）：</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地址：</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联系人：</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联系电话：</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根据采购编号</w:t>
      </w:r>
      <w:r>
        <w:rPr>
          <w:rFonts w:ascii="宋体" w:hAnsi="宋体" w:cs="Times New Roman"/>
          <w:bCs/>
          <w:sz w:val="21"/>
          <w:szCs w:val="21"/>
          <w:highlight w:val="none"/>
          <w:u w:val="single"/>
        </w:rPr>
        <w:t xml:space="preserve">                </w:t>
      </w:r>
      <w:r>
        <w:rPr>
          <w:rFonts w:hint="eastAsia" w:ascii="宋体" w:hAnsi="宋体" w:cs="Times New Roman"/>
          <w:bCs/>
          <w:sz w:val="21"/>
          <w:szCs w:val="21"/>
          <w:highlight w:val="none"/>
        </w:rPr>
        <w:t xml:space="preserve">招标文件及中标人的投标文件和中标通知书，甲乙双方就此次中标的</w:t>
      </w:r>
      <w:r>
        <w:rPr>
          <w:rFonts w:hint="eastAsia" w:ascii="宋体" w:hAnsi="宋体" w:cs="Times New Roman"/>
          <w:b/>
          <w:bCs/>
          <w:sz w:val="21"/>
          <w:szCs w:val="21"/>
          <w:highlight w:val="none"/>
          <w:u w:val="single"/>
        </w:rPr>
        <w:t xml:space="preserve">2026年度环境空气（噪声）质量保障项目</w:t>
      </w:r>
      <w:r>
        <w:rPr>
          <w:rFonts w:hint="eastAsia" w:ascii="宋体" w:hAnsi="宋体" w:cs="Times New Roman"/>
          <w:bCs/>
          <w:sz w:val="21"/>
          <w:szCs w:val="21"/>
          <w:highlight w:val="none"/>
        </w:rPr>
        <w:t xml:space="preserve">事宜，签订本合同书。</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一、服务范围：</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甲方聘请乙方提供以下服务：</w:t>
      </w:r>
      <w:r>
        <w:rPr>
          <w:highlight w:val="none"/>
        </w:rPr>
      </w:r>
    </w:p>
    <w:p>
      <w:pPr>
        <w:ind w:left="0" w:firstLine="42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（1）本合同项下的服务指：2026年度环境空气（噪声）质量保障项目（一标段）</w:t>
      </w:r>
      <w:r>
        <w:rPr>
          <w:highlight w:val="none"/>
        </w:rPr>
      </w:r>
    </w:p>
    <w:p>
      <w:pPr>
        <w:ind w:left="0" w:firstLine="42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（2）采购需求</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（一）项目依据</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1.《苏州市2025年大气污染防治工作计划》（加大各级财政资金对生态环境保护工作的支持力度）；</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2.《江苏省生态环境厅重污染天气重点行业绩效分级工作程序》（各级生态环境主管部门应落实资金帮扶）；</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3.《关于做好2025年度重污染天气重点行业绩效分级和应急减排清单编制修订工作的通知》（各地要结合实际加大对企业的帮扶指导力度，必要时可以组织专家力量，根据往年省、市审核意见，对企业存在问题进行针对性指导）；</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4.《苏州市“十四五”生态环境保护规划》（依托大气环境质量优化提升战略合作，开展大气环境质量分析预测、污染来源解析、专家帮扶指导等工作，提升科学治理水平）；</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5.《江苏省“1+13”专家支撑团队工作指南》；</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6.2025年环境空气（噪声）环境质量保障项目；</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7.《苏州市噪声污染防治行动计划实施方案（2024-2025年）》（夯实声环境管理基础能力，推动持续改善）；</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8.《江苏省“十四五”噪声污染防治行动计划实施方案》（苏环办[2023]197号）；</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9.《苏州市噪声污染防治行动计划实施方案（2024-2025年）》（夯实声环境管理基础能力，推动持续改善）；</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10.《市政府关于印发苏州市空气质量持续改善行动计划实施方案的通知》（持续开展 PM2.5和臭氧协同控制科技攻关）；</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11.省生态环境厅关于印发《“十四五”江苏省细颗粒物与臭氧协同控制监测网络能力建设实施方案（苏环办[2021]259号）（要求加快建设和完善“十四五”细颗粒物和臭氧协同控制网络，强化多污染协同控制和区域协同治理）；</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12.《关于加快建立现代化生态环境监测体系的实施意见》（环监测〔2024〕17号）（要求持续深入打好污染防治攻坚战，加强重点区域空气质量与颗粒物组分、挥发性有机物组分协同监测和质控，健全天空地海一体化监测网络）；</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13.苏州市生态环境局与中国铁塔股份有限公司苏州分公司战略合作框架协议。</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（二）项目目的</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根据省市大气、噪声污染防治工作的共性与需求，需加强科技监管方式，借助走航、微站、AI分析等方式提升区域大气（噪声）环境管理水平。</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（三）项目理由</w:t>
      </w:r>
      <w:r>
        <w:rPr>
          <w:highlight w:val="none"/>
        </w:rPr>
      </w:r>
    </w:p>
    <w:p>
      <w:pPr>
        <w:ind w:left="0" w:firstLine="420"/>
        <w:spacing w:line="360" w:lineRule="auto"/>
        <w:widowControl w:val="off"/>
        <w:rPr>
          <w:rFonts w:ascii="宋体" w:hAnsi="宋体" w:cs="Times New Roman"/>
          <w:bCs/>
          <w:sz w:val="21"/>
          <w:szCs w:val="21"/>
          <w:highlight w:val="none"/>
        </w:rPr>
      </w:pPr>
      <w:r>
        <w:rPr>
          <w:rFonts w:hint="eastAsia" w:ascii="宋体" w:hAnsi="宋体"/>
          <w:sz w:val="21"/>
          <w:highlight w:val="none"/>
        </w:rPr>
        <w:t xml:space="preserve">开展大气、噪声污染来源探寻和借助大气专家团队技术支撑，对污染过程开展原因分析和评估，提升科学治理水平。</w:t>
      </w:r>
      <w:r>
        <w:rPr>
          <w:highlight w:val="none"/>
        </w:rPr>
      </w:r>
    </w:p>
    <w:p>
      <w:pPr>
        <w:ind w:left="0" w:firstLine="422"/>
        <w:spacing w:line="360" w:lineRule="auto"/>
        <w:widowControl w:val="off"/>
        <w:rPr>
          <w:rFonts w:ascii="宋体" w:hAnsi="宋体"/>
          <w:b/>
          <w:bCs/>
          <w:sz w:val="21"/>
          <w:szCs w:val="21"/>
          <w:highlight w:val="none"/>
        </w:rPr>
      </w:pPr>
      <w:r>
        <w:rPr>
          <w:rFonts w:hint="eastAsia" w:ascii="宋体" w:hAnsi="宋体" w:cs="Times New Roman"/>
          <w:b/>
          <w:bCs/>
          <w:sz w:val="21"/>
          <w:szCs w:val="21"/>
          <w:highlight w:val="none"/>
        </w:rPr>
        <w:t xml:space="preserve">（四）服务期限：</w:t>
      </w:r>
      <w:r>
        <w:rPr>
          <w:rFonts w:hint="eastAsia" w:ascii="宋体" w:hAnsi="宋体"/>
          <w:b/>
          <w:bCs/>
          <w:sz w:val="21"/>
          <w:szCs w:val="21"/>
          <w:highlight w:val="none"/>
        </w:rPr>
        <w:t xml:space="preserve">自合同签订之日起一年。</w:t>
      </w:r>
      <w:r>
        <w:rPr>
          <w:highlight w:val="none"/>
        </w:rPr>
      </w:r>
    </w:p>
    <w:p>
      <w:pPr>
        <w:ind w:left="0" w:firstLine="420"/>
        <w:spacing w:line="360" w:lineRule="auto"/>
        <w:tabs>
          <w:tab w:val="left" w:pos="420" w:leader="none"/>
        </w:tabs>
        <w:rPr>
          <w:rFonts w:ascii="宋体" w:hAnsi="宋体" w:cs="Times New Roman"/>
          <w:b/>
          <w:sz w:val="21"/>
          <w:szCs w:val="21"/>
          <w:highlight w:val="none"/>
        </w:rPr>
      </w:pPr>
      <w:r>
        <w:rPr>
          <w:rFonts w:hint="eastAsia" w:ascii="宋体" w:hAnsi="宋体" w:cs="Times New Roman"/>
          <w:b/>
          <w:sz w:val="21"/>
          <w:szCs w:val="21"/>
          <w:highlight w:val="none"/>
        </w:rPr>
        <w:t xml:space="preserve">二、服务内容（</w:t>
      </w:r>
      <w:r>
        <w:rPr>
          <w:rFonts w:hint="eastAsia" w:ascii="宋体" w:hAnsi="宋体"/>
          <w:b/>
          <w:sz w:val="21"/>
          <w:szCs w:val="21"/>
          <w:highlight w:val="none"/>
        </w:rPr>
        <w:t xml:space="preserve">一标段</w:t>
      </w:r>
      <w:r>
        <w:rPr>
          <w:rFonts w:hint="eastAsia" w:ascii="宋体" w:hAnsi="宋体" w:cs="Times New Roman"/>
          <w:b/>
          <w:sz w:val="21"/>
          <w:szCs w:val="21"/>
          <w:highlight w:val="none"/>
        </w:rPr>
        <w:t xml:space="preserve">）</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（一）工作内容</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 1.2026年相城区大气（噪声）污染防治技术支撑服务：</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w:t>
      </w:r>
      <w:r>
        <w:rPr>
          <w:rFonts w:ascii="宋体" w:hAnsi="宋体" w:cs="Times New Roman"/>
          <w:bCs/>
          <w:sz w:val="21"/>
          <w:szCs w:val="21"/>
          <w:highlight w:val="none"/>
        </w:rPr>
        <w:t xml:space="preserve">结合上级大气污染防治任务需求，</w:t>
      </w:r>
      <w:r>
        <w:rPr>
          <w:rFonts w:hint="eastAsia" w:ascii="宋体" w:hAnsi="宋体" w:cs="Times New Roman"/>
          <w:bCs/>
          <w:sz w:val="21"/>
          <w:szCs w:val="21"/>
          <w:highlight w:val="none"/>
        </w:rPr>
        <w:t xml:space="preserve">开展重污染天气应急管控清单修订及企业分级专家初审(约1000家)</w:t>
      </w:r>
      <w:r>
        <w:rPr>
          <w:rFonts w:ascii="宋体" w:hAnsi="宋体" w:cs="Times New Roman"/>
          <w:bCs/>
          <w:sz w:val="21"/>
          <w:szCs w:val="21"/>
          <w:highlight w:val="none"/>
        </w:rPr>
        <w:t xml:space="preserve">；</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（2）围绕2个大气监测点、</w:t>
      </w:r>
      <w:r>
        <w:rPr>
          <w:rFonts w:ascii="宋体" w:hAnsi="宋体" w:cs="Times New Roman"/>
          <w:bCs/>
          <w:sz w:val="21"/>
          <w:szCs w:val="21"/>
          <w:highlight w:val="none"/>
        </w:rPr>
        <w:t xml:space="preserve">3个噪声</w:t>
      </w:r>
      <w:r>
        <w:rPr>
          <w:rFonts w:hint="eastAsia" w:ascii="宋体" w:hAnsi="宋体" w:cs="Times New Roman"/>
          <w:bCs/>
          <w:sz w:val="21"/>
          <w:szCs w:val="21"/>
          <w:highlight w:val="none"/>
        </w:rPr>
        <w:t xml:space="preserve">监测</w:t>
      </w:r>
      <w:r>
        <w:rPr>
          <w:rFonts w:ascii="宋体" w:hAnsi="宋体" w:cs="Times New Roman"/>
          <w:bCs/>
          <w:sz w:val="21"/>
          <w:szCs w:val="21"/>
          <w:highlight w:val="none"/>
        </w:rPr>
        <w:t xml:space="preserve">点</w:t>
      </w:r>
      <w:r>
        <w:rPr>
          <w:rFonts w:hint="eastAsia" w:ascii="宋体" w:hAnsi="宋体" w:cs="Times New Roman"/>
          <w:bCs/>
          <w:sz w:val="21"/>
          <w:szCs w:val="21"/>
          <w:highlight w:val="none"/>
        </w:rPr>
        <w:t xml:space="preserve">开展各类</w:t>
      </w:r>
      <w:r>
        <w:rPr>
          <w:rFonts w:ascii="宋体" w:hAnsi="宋体" w:cs="Times New Roman"/>
          <w:bCs/>
          <w:sz w:val="21"/>
          <w:szCs w:val="21"/>
          <w:highlight w:val="none"/>
        </w:rPr>
        <w:t xml:space="preserve">污染源溯源</w:t>
      </w:r>
      <w:r>
        <w:rPr>
          <w:rFonts w:hint="eastAsia" w:ascii="宋体" w:hAnsi="宋体" w:cs="Times New Roman"/>
          <w:bCs/>
          <w:sz w:val="21"/>
          <w:szCs w:val="21"/>
          <w:highlight w:val="none"/>
        </w:rPr>
        <w:t xml:space="preserve">分析</w:t>
      </w:r>
      <w:r>
        <w:rPr>
          <w:rFonts w:ascii="宋体" w:hAnsi="宋体" w:cs="Times New Roman"/>
          <w:bCs/>
          <w:sz w:val="21"/>
          <w:szCs w:val="21"/>
          <w:highlight w:val="none"/>
        </w:rPr>
        <w:t xml:space="preserve">并</w:t>
      </w:r>
      <w:r>
        <w:rPr>
          <w:rFonts w:hint="eastAsia" w:ascii="宋体" w:hAnsi="宋体" w:cs="Times New Roman"/>
          <w:bCs/>
          <w:sz w:val="21"/>
          <w:szCs w:val="21"/>
          <w:highlight w:val="none"/>
        </w:rPr>
        <w:t xml:space="preserve">更新污染源清单及</w:t>
      </w:r>
      <w:r>
        <w:rPr>
          <w:rFonts w:ascii="宋体" w:hAnsi="宋体" w:cs="Times New Roman"/>
          <w:bCs/>
          <w:sz w:val="21"/>
          <w:szCs w:val="21"/>
          <w:highlight w:val="none"/>
        </w:rPr>
        <w:t xml:space="preserve">污染源一张图</w:t>
      </w:r>
      <w:r>
        <w:rPr>
          <w:rFonts w:hint="eastAsia" w:ascii="宋体" w:hAnsi="宋体" w:cs="Times New Roman"/>
          <w:bCs/>
          <w:sz w:val="21"/>
          <w:szCs w:val="21"/>
          <w:highlight w:val="none"/>
        </w:rPr>
        <w:t xml:space="preserve">，每季度更新1次；</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围绕2个大气国控监测站点、3个噪声国控监测站点，根据要求提供以站点为中心5公里范围内指定的6个空气比对点位、3个噪声比对点位持续一年的微站比对数据；结合微站比对数据、国市控监测点数据、走航数据以及其他技术手段获得的有效数据，对重点区域大气污染情况进行综合分析，每季度形成综合分析报告1份。在污染过程期间或监测站点数据异常情况下，于30分钟内开展污染源溯源，分析污染成因并视情况形成污染源溯源分析简报。</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2、2026年度走航监测第三方服务：</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根据要求开展VOCs走航或飞航，通过对重点涉气区域环境空气挥发性有机物及特征因子的移动监测工作，对大气污染物排放特征进行摸排调查，弄清污染物的时空分布、物种、浓度、分析、来源等，共计走航或飞航120个小时（超过1小时未满2小时，以1小时计算）；</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（2）根据要求开展道路积尘走航，分析道路积尘对我区环境空气质量的影响，共计走航120个小时（超过1小时未满2小时，以1小时计算）。</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每次对指定的道路定期进行积尘负荷监测，主要采用的仪器设备为道路积尘快速监测系统。根据采购人要求的道路和时间进行监测，监测当日即时提供积尘异常情况，监测后2个工作日内向采购人提交苏州市相城区道路积尘负荷走航监测报告，监测报告应包含监测数据统计、监测数据分析、积尘负荷分布图评价道路扬尘治理效果等内容，同时提供原始数据。</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（二）参考规范与技术标准</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该项目要遵循以下国家标准与规范，同时也应符合其他相关行业标准和技术规范的要求：</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1.《空气质量持续改善计划》（国发〔2023〕24号）</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2.《中华人民共和国大气污染防治法》（主席令第三十二号）；</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（三）投入的设备要求</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1.VOCs 走航车或飞行走航监测服务</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（1）全部车载设备正常运行的情况下，续航时间＞6小时。</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（2）常规参数设备（秒级数据）：至少包括</w:t>
      </w:r>
      <w:r>
        <w:rPr>
          <w:rFonts w:ascii="宋体" w:hAnsi="宋体" w:cs="Times New Roman"/>
          <w:bCs/>
          <w:sz w:val="21"/>
          <w:szCs w:val="21"/>
          <w:highlight w:val="none"/>
        </w:rPr>
        <w:t xml:space="preserve">PM2.5</w:t>
      </w:r>
      <w:r>
        <w:rPr>
          <w:rFonts w:hint="eastAsia" w:ascii="宋体" w:hAnsi="宋体" w:cs="Times New Roman"/>
          <w:bCs/>
          <w:sz w:val="21"/>
          <w:szCs w:val="21"/>
          <w:highlight w:val="none"/>
        </w:rPr>
        <w:t xml:space="preserve">、</w:t>
      </w:r>
      <w:r>
        <w:rPr>
          <w:rFonts w:ascii="宋体" w:hAnsi="宋体" w:cs="Times New Roman"/>
          <w:bCs/>
          <w:sz w:val="21"/>
          <w:szCs w:val="21"/>
          <w:highlight w:val="none"/>
        </w:rPr>
        <w:t xml:space="preserve">PM10</w:t>
      </w:r>
      <w:r>
        <w:rPr>
          <w:rFonts w:hint="eastAsia" w:ascii="宋体" w:hAnsi="宋体" w:cs="Times New Roman"/>
          <w:bCs/>
          <w:sz w:val="21"/>
          <w:szCs w:val="21"/>
          <w:highlight w:val="none"/>
        </w:rPr>
        <w:t xml:space="preserve">、</w:t>
      </w:r>
      <w:r>
        <w:rPr>
          <w:rFonts w:ascii="宋体" w:hAnsi="宋体"/>
          <w:bCs/>
          <w:highlight w:val="none"/>
        </w:rPr>
        <w:t xml:space="preserve">O</w:t>
      </w:r>
      <w:r>
        <w:rPr>
          <w:rFonts w:ascii="宋体" w:hAnsi="宋体"/>
          <w:bCs/>
          <w:sz w:val="21"/>
          <w:szCs w:val="21"/>
          <w:highlight w:val="none"/>
        </w:rPr>
        <w:t xml:space="preserve">3</w:t>
      </w:r>
      <w:r>
        <w:rPr>
          <w:rFonts w:hint="eastAsia" w:ascii="宋体" w:hAnsi="宋体" w:cs="Times New Roman"/>
          <w:bCs/>
          <w:sz w:val="21"/>
          <w:szCs w:val="21"/>
          <w:highlight w:val="none"/>
        </w:rPr>
        <w:t xml:space="preserve">、</w:t>
      </w:r>
      <w:r>
        <w:rPr>
          <w:rFonts w:ascii="宋体" w:hAnsi="宋体" w:cs="Times New Roman"/>
          <w:bCs/>
          <w:sz w:val="21"/>
          <w:szCs w:val="21"/>
          <w:highlight w:val="none"/>
        </w:rPr>
        <w:t xml:space="preserve">SO</w:t>
      </w:r>
      <w:r>
        <w:rPr>
          <w:rFonts w:ascii="Times New Roman" w:hAnsi="Times New Roman" w:cs="Times New Roman"/>
          <w:bCs/>
          <w:sz w:val="21"/>
          <w:szCs w:val="21"/>
          <w:highlight w:val="none"/>
        </w:rPr>
        <w:t xml:space="preserve">₂</w:t>
      </w:r>
      <w:r>
        <w:rPr>
          <w:rFonts w:hint="eastAsia" w:ascii="宋体" w:hAnsi="宋体" w:cs="Times New Roman"/>
          <w:bCs/>
          <w:sz w:val="21"/>
          <w:szCs w:val="21"/>
          <w:highlight w:val="none"/>
        </w:rPr>
        <w:t xml:space="preserve">、</w:t>
      </w:r>
      <w:r>
        <w:rPr>
          <w:rFonts w:ascii="宋体" w:hAnsi="宋体" w:cs="Times New Roman"/>
          <w:bCs/>
          <w:sz w:val="21"/>
          <w:szCs w:val="21"/>
          <w:highlight w:val="none"/>
        </w:rPr>
        <w:t xml:space="preserve">NO</w:t>
      </w:r>
      <w:r>
        <w:rPr>
          <w:rFonts w:ascii="Times New Roman" w:hAnsi="Times New Roman" w:cs="Times New Roman"/>
          <w:bCs/>
          <w:sz w:val="21"/>
          <w:szCs w:val="21"/>
          <w:highlight w:val="none"/>
        </w:rPr>
        <w:t xml:space="preserve">₂</w:t>
      </w:r>
      <w:r>
        <w:rPr>
          <w:rFonts w:hint="eastAsia" w:ascii="宋体" w:hAnsi="宋体" w:cs="Times New Roman"/>
          <w:bCs/>
          <w:sz w:val="21"/>
          <w:szCs w:val="21"/>
          <w:highlight w:val="none"/>
        </w:rPr>
        <w:t xml:space="preserve">、</w:t>
      </w:r>
      <w:r>
        <w:rPr>
          <w:rFonts w:ascii="宋体" w:hAnsi="宋体" w:cs="Times New Roman"/>
          <w:bCs/>
          <w:sz w:val="21"/>
          <w:szCs w:val="21"/>
          <w:highlight w:val="none"/>
        </w:rPr>
        <w:t xml:space="preserve">CO分析仪（除颗粒物外，其余监测设备需与标准空气站的原理方法保持一致）。</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（3）VOCs监测设备：至少包括VOCs快速响应仪（秒级数据，设备原理可为PTR-TOF或者能到达相同监测效果的设备）、VOCs组分分析仪（定点采样分析设备，设备原理为GC-MS）。</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（4）气象设备：至少包括气象五参数分析仪。</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2.道路积尘走航监测服务</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（1）道路积尘监测仪</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①监测仪采样时，每间隔1s采样一个数值。</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②能够保证在环境温度应处于-10℃至40℃之间，环境相对湿度小于等于80%，环境风力低于4级的情况下，不影响道路积尘监测仪的正常使用。</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（2）数据采集模块</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①数采模块对监测设备进行运行控制和数据传输至电脑系统。</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②数采模块的工作环境：温度 -10℃～+50℃，相对湿度5%-95%，无结露。</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（3）道路积尘监测系统软件</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①软件能够监测设备的调控管理与实时在线数据显示。</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②软件应显示监测仪的数据、实时车速、温湿度和GPS信息。</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（4）道路积尘负荷监测服务</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①对指定的区域道路进行监测。</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②监测过程中，随时接受采购人的考核和抽查，包括现场抽查、软件监督等形式 。</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（四）服务要求</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1.人员配备要求</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需成立不少于10人的工作团队，其中包括项目负责人1人、技术负责人1人、质控负责人1人、固定的溯源分析人员2人（其中至少一名要求能熟练驾驶无人机）。每月了解项目进展，定期现场踏勘，最终形</w:t>
      </w:r>
      <w:r>
        <w:rPr>
          <w:rFonts w:hint="eastAsia" w:ascii="宋体" w:hAnsi="宋体" w:cs="Times New Roman"/>
          <w:bCs/>
          <w:sz w:val="21"/>
          <w:szCs w:val="21"/>
          <w:highlight w:val="none"/>
        </w:rPr>
        <w:t xml:space="preserve">成项目成果，按照采购人要求完成跟踪任务。成交单位在项目实施期间应无条件的接受采购人的监督管理，提出的质量问题要及时整改，整改完毕后通知采购人检查验收，合格后书面报送采购人备案。其中项目负责人、技术负责人、质控负责人、溯源分析人员未经招标单位允许不得更换。 </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2.数据归属及保密</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供应商需承诺本项目所形成的数据及报告归采购人所有。供应商应严格遵守采购人关于信息安全和保密方面的规定，未经采购人授权和同意，供应商不得将数据和报告发送给任何第三方，必须有严格的数据保密措施，保证这些信息在项目期间及项目后规定时间内的安全，如发生数据泄密，采购人有权要求服务方采取措施消除影响，并赔偿采购人损失，影响严重的将追究法律责任。</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3.服务响应</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投标单位需提供7×24小时响应服务，采购人有需求时，供应商应在1小时内响应，采购人有应急需求时，供应商需安排人员24小时随时待命，接到任务通知后1小时内完成所有准备工作，并根据采购人需求完成项目。</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4.成果要求</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1.完成相城区重污染天气应急管控清单修订；</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2.每季度污染源清单及污染源一张图更新；</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3.污染过程期间或国控点周边异常情况溯源分析简报、每季度综合分析报告；</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4.指定的6个空气比对点位、3个噪声比对点位持续一年的微站比对数据；</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5.完成VOCs走航报告；</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6.完成道路积尘走航报告。</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（五）备件与耗材要求</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供应商需承诺本项目实施期内提供相关设备，保障系统正常工作、数据质量可靠。</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三、下列文件为本合同不可分割部分与本合同具有同等法律效力：</w:t>
      </w:r>
      <w:r>
        <w:rPr>
          <w:highlight w:val="none"/>
        </w:rPr>
      </w:r>
    </w:p>
    <w:p>
      <w:pPr>
        <w:ind w:left="0" w:firstLine="42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 ① 中标通知书；    ② 乙方的投标文件；   ③招标文件及其附件； </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④ 合同附件（如有）；   ⑤乙方在投标过程中所作的其它承诺、声明、书面澄清等。</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四、合同价格及支付：</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1、合同价格：人民币                  （    元）</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合同价格包括完成本项目服务工作期间所需的全部工作需支付的一切费用，其应</w:t>
      </w:r>
      <w:r>
        <w:rPr>
          <w:rFonts w:hint="eastAsia" w:ascii="宋体" w:hAnsi="宋体"/>
          <w:sz w:val="21"/>
          <w:highlight w:val="none"/>
        </w:rPr>
        <w:t xml:space="preserve">包括为完成本项目服务工作所需的各种工作经费、投入的人力、物力各项费用、研究费、咨询费、资料费、调查费、专家评审费用、检验检测费、后续服务费、交通、食宿、利润、税金、验收、政策性文件规定及合同包含的所有风险、责任等完成本项目的各项应有费用。同时，除非合同条款中另有规定，否则，乙方所报价格在合同实施期间不因市场变化因素而变动，未经甲方书面确认，甲方不再另行支付其他任何费用。</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根据现行税法对甲方征收的与本合同有关的一切税费均由甲方承担；根据现行税法对乙方征收的与本合同有关的一切税费均由乙方承担。合同实施过程中，如发生税费比例调整，则双方同意：如税费比例上调，则合同含税总价不变，上调部分的税费由乙方自行承担；如税费比例下调，则合同含税总价下调，</w:t>
      </w:r>
      <w:r>
        <w:rPr>
          <w:rFonts w:hint="eastAsia" w:ascii="宋体" w:hAnsi="宋体" w:cs="Times New Roman"/>
          <w:bCs/>
          <w:sz w:val="21"/>
          <w:szCs w:val="21"/>
          <w:highlight w:val="none"/>
        </w:rPr>
        <w:t xml:space="preserve">其中不含税金额不变，增值税金额按照下调后的税费比例计取。</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3、支付步骤：</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（1）合同签订后收到乙方发票后十五个工作日内支付合同价的</w:t>
      </w:r>
      <w:r>
        <w:rPr>
          <w:rFonts w:ascii="宋体" w:hAnsi="宋体" w:cs="Times New Roman"/>
          <w:bCs/>
          <w:sz w:val="21"/>
          <w:szCs w:val="21"/>
          <w:highlight w:val="none"/>
        </w:rPr>
        <w:t xml:space="preserve">5</w:t>
      </w:r>
      <w:r>
        <w:rPr>
          <w:rFonts w:hint="eastAsia" w:ascii="宋体" w:hAnsi="宋体" w:cs="Times New Roman"/>
          <w:bCs/>
          <w:sz w:val="21"/>
          <w:szCs w:val="21"/>
          <w:highlight w:val="none"/>
        </w:rPr>
        <w:t xml:space="preserve">0%为预付款，2026年</w:t>
      </w:r>
      <w:r>
        <w:rPr>
          <w:rFonts w:ascii="宋体" w:hAnsi="宋体" w:cs="Times New Roman"/>
          <w:bCs/>
          <w:sz w:val="21"/>
          <w:szCs w:val="21"/>
          <w:highlight w:val="none"/>
        </w:rPr>
        <w:t xml:space="preserve">11</w:t>
      </w:r>
      <w:r>
        <w:rPr>
          <w:rFonts w:hint="eastAsia" w:ascii="宋体" w:hAnsi="宋体" w:cs="Times New Roman"/>
          <w:bCs/>
          <w:sz w:val="21"/>
          <w:szCs w:val="21"/>
          <w:highlight w:val="none"/>
        </w:rPr>
        <w:t xml:space="preserve">月底支付至合同价的8</w:t>
      </w:r>
      <w:r>
        <w:rPr>
          <w:rFonts w:ascii="宋体" w:hAnsi="宋体" w:cs="Times New Roman"/>
          <w:bCs/>
          <w:sz w:val="21"/>
          <w:szCs w:val="21"/>
          <w:highlight w:val="none"/>
        </w:rPr>
        <w:t xml:space="preserve">5</w:t>
      </w:r>
      <w:r>
        <w:rPr>
          <w:rFonts w:hint="eastAsia" w:ascii="宋体" w:hAnsi="宋体" w:cs="Times New Roman"/>
          <w:bCs/>
          <w:sz w:val="21"/>
          <w:szCs w:val="21"/>
          <w:highlight w:val="none"/>
        </w:rPr>
        <w:t xml:space="preserve">%，实际尾款金额根据考核情况并经验收合格后1年内付清。考核标准见附件。</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（2）乙方要求付款时应提供以下资料：</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①合格的发票。</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②尾款支付需甲乙双方签章的《江苏省政府采购履约验收书》。</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乙方提供的资料不全，甲方有权延期付款而无需承担任何违约责任。</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（3）支付方式：银行转账。</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五、服务要求与验收标准：</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1、服务要求：见招标文件和乙方的投标响应文件及乙方在投标过程中的相关承诺、澄清等有关内容。</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2、验收标准：</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根据合同要求及有关规定由甲方按国家相关行业标准进行验收。当双方对验收结果有争议时，可委托双方一致认可的国家相关权威检测中心进行检测，费用由乙方承担。</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六、双方责任 ：</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1、甲方责任： </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（1）向乙方提供该项目相关技术资料，并对这些资料的解释和可靠性负责。 </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（2）为乙方顺利完成评估工作提供必要的协助。</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（3）按照合同约定的方式和时间向乙方支付费用。</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2、乙方责任：   </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（1）乙方所提供服务的质量应与招标文件规定及投标文件承诺的内容相一致；</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（2）乙方根据工作规程和投标文件所作的承诺自觉开展各项工作；</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乙方对成果资料和甲方提供的所有资料负有保密责任。对因订立和执行本合同过程中所了解或知悉或获取的对方的一切信息、国家秘密、商业秘密和个人隐私以及合同成果予以保密，在本合同服务期内及本合同解除或终止后均不得向甲方以外的第三方提供保密信息，除非得到甲方的同意或者属于法律、行政法规允许的范围。同时，乙方须妥善保管甲方提供的资料。如因乙方原因丢失，应承担一切责任，包括但不限于赔偿甲方相关的经济损失。</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4）甲方提交给乙方使用的相关资料，其知识产权仍归甲方所有。未经甲方书面同意，乙方不得复制、使用及提供给第三方。乙方应能保证所提供服务涉及到的知识产权是合法取得，并享有完整的知识产权，不会因为需方的使用而被责令停止使用、追偿或要求赔偿损失，如出现此情况，一切经济和法律责任均由乙方承担。乙方提供的所有服务必须质量符合国际或国家通用标准，如出现质量问题，乙方负责更正，发生的费用由乙方负责。</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（5）乙方应独立承担服务中的各类责任（安全责任、用工责任和经济责任等），如给甲方造成损失的，甲方有权立即向乙方追偿；</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（6）法规、政策规定由乙方承担的其他责任。</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七、违约责任：</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1、乙方未按约定提供服务，甲方有权要求乙方赔偿损失，并追究乙方合同总标的额百分之二十的违约金，且甲方有权解除合同。</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2、乙方必须自己完成合同内容，不得转包、分包，否则，甲方有权要求乙方赔偿损失，并追究乙方合同总标的额百分之二十的违约金，且甲方有权解除合同。</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若乙方或乙方人员未遵守保密义务，出现泄漏甲方或第三方秘密的情形，甲方有权要求乙方赔偿损失，并追究乙方合同总价款百分之二十的违约金，且甲方有权解除合同。情节严重涉及违法犯罪的，依法移交司法机关处理。。</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4、若因乙方侵犯第三方知识产权、发生第三方诉讼、社会舆论或甲方信誉受损等情形，甲方有权要求乙方赔偿损失，并追究乙方合同总标的额百分之二十的违约金，且甲方有权解除合同。</w:t>
      </w:r>
      <w:r>
        <w:rPr>
          <w:highlight w:val="none"/>
        </w:rPr>
      </w:r>
    </w:p>
    <w:p>
      <w:pPr>
        <w:ind w:left="0" w:firstLine="480"/>
        <w:spacing w:line="360" w:lineRule="auto"/>
        <w:widowControl w:val="off"/>
        <w:rPr>
          <w:rFonts w:ascii="宋体" w:hAnsi="宋体"/>
          <w:bCs/>
          <w:sz w:val="21"/>
          <w:szCs w:val="21"/>
          <w:highlight w:val="none"/>
        </w:rPr>
      </w:pPr>
      <w:r>
        <w:rPr>
          <w:rFonts w:hint="eastAsia" w:ascii="宋体" w:hAnsi="宋体" w:cs="Times New Roman"/>
          <w:bCs/>
          <w:sz w:val="21"/>
          <w:szCs w:val="21"/>
          <w:highlight w:val="none"/>
        </w:rPr>
        <w:t xml:space="preserve">5、乙方在服务期内，若受到国家、省、市市场监督管理部门、生态环境主管部门以及行业协会通报批评或行政处罚的，甲方有权利视情况终止合同，并要求乙方赔偿甲方因此所遭受的损失。</w:t>
      </w:r>
      <w:r>
        <w:rPr>
          <w:highlight w:val="none"/>
        </w:rPr>
      </w:r>
    </w:p>
    <w:p>
      <w:pPr>
        <w:ind w:left="0" w:firstLine="480"/>
        <w:spacing w:line="360" w:lineRule="auto"/>
        <w:widowControl w:val="off"/>
        <w:rPr>
          <w:rFonts w:ascii="宋体" w:hAnsi="宋体" w:cs="Times New Roman"/>
          <w:bCs/>
          <w:sz w:val="21"/>
          <w:szCs w:val="21"/>
          <w:highlight w:val="none"/>
        </w:rPr>
      </w:pPr>
      <w:r>
        <w:rPr>
          <w:rFonts w:ascii="宋体" w:hAnsi="宋体" w:cs="Times New Roman"/>
          <w:bCs/>
          <w:sz w:val="21"/>
          <w:szCs w:val="21"/>
          <w:highlight w:val="none"/>
        </w:rPr>
        <w:t xml:space="preserve">6</w:t>
      </w:r>
      <w:r>
        <w:rPr>
          <w:rFonts w:hint="eastAsia" w:ascii="宋体" w:hAnsi="宋体" w:cs="Times New Roman"/>
          <w:bCs/>
          <w:sz w:val="21"/>
          <w:szCs w:val="21"/>
          <w:highlight w:val="none"/>
        </w:rPr>
        <w:t xml:space="preserve">、以上赔偿范围包括但不限于造成的甲方直接损失以及甲方因此合理维权而发生的差旅费、调查取证费、律师费、诉讼费、仲裁费、公告费、鉴定费、保全费、担保费用等。</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八、不可抗力：</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1、因不可抗力不能履行合同的，根据不可抗力的影响，部分或者全部免除责任。但合同一方延迟履行后发生不可抗力的，不能免除责任。</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 合同一方因不可抗力不能履行合同的，应当及时通知对方，以减轻可能给对方造成的损失，并应当在合理期限内提供证明。</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九、合同修改：</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甲方和乙方都不得擅自变更本合同，但合同继续履行将损害国家和社会公共利益的除外。如必须对合同条款进行修改及补充时，当事人双方须共同签署书面文件，作为合同的补充，与主合同具有同等法律效力。</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十、合同的解除和转让：</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1、有下列情形之一，合同一方可以解除合同：</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（1）因不可抗力致使不能实现合同目的，未受不可抗力影响的一方有权解除合同。</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（2）因合同一方违约，另一方有权解除合同。</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2、有权解除合同的一方，应当在违约事实或不可抗力发生之后三十天内书面通知对方以主张解除合同，合同在书面通知到达对方时解除。</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3、合同的部分和全部都不得转让。</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十一、争议解决办法：</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因本合同或与本合同有关的一切事项发生争议，由双方友好协商解决。协商不成的，任何一方均可选择向甲方所在地的人民法院起诉。</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十二、合同生效及份数：</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1、本合同经甲乙双方法定（授权）代表人签字（或盖章）并盖单位公章后生效。</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2、本合同一式 六 份，甲方、乙方各执 二 份，采购代理机构二份。</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甲方（盖章）：</w:t>
      </w:r>
      <w:r>
        <w:rPr>
          <w:rFonts w:hint="eastAsia" w:ascii="宋体" w:hAnsi="宋体" w:cs="Times New Roman"/>
          <w:bCs/>
          <w:sz w:val="21"/>
          <w:szCs w:val="21"/>
          <w:highlight w:val="none"/>
        </w:rPr>
        <w:tab/>
        <w:t xml:space="preserve">              </w:t>
      </w:r>
      <w:r>
        <w:rPr>
          <w:rFonts w:ascii="宋体" w:hAnsi="宋体" w:cs="Times New Roman"/>
          <w:bCs/>
          <w:sz w:val="21"/>
          <w:szCs w:val="21"/>
          <w:highlight w:val="none"/>
        </w:rPr>
        <w:t xml:space="preserve">  </w:t>
      </w:r>
      <w:r>
        <w:rPr>
          <w:rFonts w:hint="eastAsia" w:ascii="宋体" w:hAnsi="宋体" w:cs="Times New Roman"/>
          <w:bCs/>
          <w:sz w:val="21"/>
          <w:szCs w:val="21"/>
          <w:highlight w:val="none"/>
        </w:rPr>
        <w:t xml:space="preserve">乙方（盖章）：</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法定（授权）代表人（签字）：</w:t>
      </w:r>
      <w:r>
        <w:rPr>
          <w:rFonts w:hint="eastAsia" w:ascii="宋体" w:hAnsi="宋体" w:cs="Times New Roman"/>
          <w:bCs/>
          <w:sz w:val="21"/>
          <w:szCs w:val="21"/>
          <w:highlight w:val="none"/>
        </w:rPr>
        <w:tab/>
        <w:t xml:space="preserve">法定（授权）代表人（签字）：</w:t>
      </w:r>
      <w:r>
        <w:rPr>
          <w:highlight w:val="none"/>
        </w:rPr>
      </w:r>
    </w:p>
    <w:p>
      <w:pPr>
        <w:ind w:left="0" w:firstLine="420"/>
        <w:jc w:val="left"/>
        <w:spacing w:line="360" w:lineRule="auto"/>
        <w:rPr>
          <w:rFonts w:ascii="宋体" w:hAnsi="宋体" w:cs="Times New Roman"/>
          <w:sz w:val="28"/>
          <w:highlight w:val="none"/>
        </w:rPr>
      </w:pPr>
      <w:r>
        <w:rPr>
          <w:rFonts w:hint="eastAsia" w:ascii="宋体" w:hAnsi="宋体" w:cs="Times New Roman"/>
          <w:bCs/>
          <w:sz w:val="21"/>
          <w:szCs w:val="21"/>
          <w:highlight w:val="none"/>
        </w:rPr>
        <w:t xml:space="preserve">日期：                      </w:t>
      </w:r>
      <w:r>
        <w:rPr>
          <w:rFonts w:hint="eastAsia" w:ascii="宋体" w:hAnsi="宋体" w:cs="Times New Roman"/>
          <w:bCs/>
          <w:sz w:val="21"/>
          <w:szCs w:val="21"/>
          <w:highlight w:val="none"/>
        </w:rPr>
        <w:tab/>
      </w:r>
      <w:r>
        <w:rPr>
          <w:rFonts w:ascii="宋体" w:hAnsi="宋体" w:cs="Times New Roman"/>
          <w:bCs/>
          <w:sz w:val="21"/>
          <w:szCs w:val="21"/>
          <w:highlight w:val="none"/>
        </w:rPr>
        <w:t xml:space="preserve">     </w:t>
      </w:r>
      <w:r>
        <w:rPr>
          <w:rFonts w:hint="eastAsia" w:ascii="宋体" w:hAnsi="宋体" w:cs="Times New Roman"/>
          <w:bCs/>
          <w:sz w:val="21"/>
          <w:szCs w:val="21"/>
          <w:highlight w:val="none"/>
        </w:rPr>
        <w:t xml:space="preserve">日期：</w:t>
      </w:r>
      <w:r>
        <w:rPr>
          <w:rFonts w:hint="eastAsia" w:ascii="宋体" w:hAnsi="宋体"/>
          <w:sz w:val="21"/>
          <w:szCs w:val="21"/>
          <w:highlight w:val="none"/>
        </w:rPr>
        <w:tab/>
        <w:t xml:space="preserve">  </w:t>
      </w:r>
      <w:r>
        <w:rPr>
          <w:rFonts w:hint="eastAsia" w:ascii="宋体" w:hAnsi="宋体" w:cs="Times New Roman"/>
          <w:sz w:val="21"/>
          <w:szCs w:val="21"/>
          <w:highlight w:val="none"/>
        </w:rPr>
        <w:t xml:space="preserve">          </w:t>
      </w:r>
      <w:r>
        <w:rPr>
          <w:highlight w:val="none"/>
        </w:rPr>
      </w:r>
    </w:p>
    <w:p>
      <w:pPr>
        <w:ind w:left="0"/>
        <w:spacing w:after="120" w:line="360" w:lineRule="auto"/>
        <w:widowControl w:val="off"/>
        <w:rPr>
          <w:rFonts w:ascii="宋体" w:hAnsi="宋体" w:cs="Times New Roman"/>
          <w:b/>
          <w:sz w:val="44"/>
          <w:szCs w:val="44"/>
          <w:highlight w:val="none"/>
        </w:rPr>
      </w:pPr>
      <w:r>
        <w:rPr>
          <w:rFonts w:ascii="宋体" w:hAnsi="宋体" w:cs="Times New Roman"/>
          <w:b/>
          <w:sz w:val="44"/>
          <w:szCs w:val="44"/>
          <w:highlight w:val="none"/>
        </w:rPr>
        <w:t xml:space="preserve"> </w:t>
      </w:r>
      <w:r>
        <w:rPr>
          <w:highlight w:val="none"/>
        </w:rPr>
      </w:r>
    </w:p>
    <w:p>
      <w:pPr>
        <w:ind w:left="0"/>
        <w:jc w:val="left"/>
        <w:rPr>
          <w:rFonts w:ascii="宋体" w:hAnsi="宋体" w:cs="Times New Roman"/>
          <w:b/>
          <w:sz w:val="21"/>
          <w:szCs w:val="21"/>
          <w:highlight w:val="none"/>
        </w:rPr>
      </w:pPr>
      <w:r>
        <w:rPr>
          <w:rFonts w:ascii="宋体" w:hAnsi="宋体" w:cs="Times New Roman"/>
          <w:b/>
          <w:sz w:val="21"/>
          <w:szCs w:val="21"/>
          <w:highlight w:val="none"/>
          <w:lang w:val="zh-CN"/>
        </w:rPr>
        <w:br w:type="page" w:clear="all"/>
      </w:r>
      <w:r>
        <w:rPr>
          <w:highlight w:val="none"/>
        </w:rPr>
      </w:r>
    </w:p>
    <w:p>
      <w:pPr>
        <w:ind w:left="0" w:firstLine="482"/>
        <w:widowControl w:val="off"/>
        <w:rPr>
          <w:rFonts w:ascii="宋体" w:hAnsi="宋体" w:cs="Times New Roman"/>
          <w:b/>
          <w:sz w:val="21"/>
          <w:szCs w:val="21"/>
          <w:highlight w:val="none"/>
        </w:rPr>
      </w:pPr>
      <w:r>
        <w:rPr>
          <w:rFonts w:ascii="宋体" w:hAnsi="宋体" w:cs="Times New Roman"/>
          <w:b/>
          <w:sz w:val="21"/>
          <w:szCs w:val="21"/>
          <w:highlight w:val="none"/>
          <w:lang w:val="zh-CN"/>
        </w:rPr>
        <w:t xml:space="preserve">附件 考核标准</w:t>
      </w:r>
      <w:r>
        <w:rPr>
          <w:highlight w:val="none"/>
        </w:rPr>
      </w:r>
    </w:p>
    <w:p>
      <w:pPr>
        <w:pStyle w:val="889"/>
        <w:ind w:left="0" w:firstLine="0"/>
        <w:jc w:val="center"/>
        <w:rPr>
          <w:b/>
          <w:sz w:val="21"/>
          <w:szCs w:val="21"/>
          <w:highlight w:val="none"/>
        </w:rPr>
      </w:pPr>
      <w:r>
        <w:rPr>
          <w:rFonts w:hint="eastAsia"/>
          <w:b/>
          <w:sz w:val="21"/>
          <w:szCs w:val="21"/>
          <w:highlight w:val="none"/>
          <w:lang w:val="zh-CN"/>
        </w:rPr>
        <w:t xml:space="preserve">一标段</w:t>
      </w:r>
      <w:r>
        <w:rPr>
          <w:highlight w:val="none"/>
        </w:rP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0"/>
        <w:gridCol w:w="1126"/>
        <w:gridCol w:w="4134"/>
        <w:gridCol w:w="794"/>
        <w:gridCol w:w="1564"/>
        <w:gridCol w:w="913"/>
      </w:tblGrid>
      <w:tr>
        <w:trPr>
          <w:jc w:val="center"/>
          <w:trHeight w:val="567"/>
        </w:trPr>
        <w:tc>
          <w:tcPr>
            <w:gridSpan w:val="6"/>
            <w:tcW w:w="9101" w:type="dxa"/>
            <w:vAlign w:val="center"/>
            <w:textDirection w:val="lrTb"/>
            <w:noWrap w:val="false"/>
          </w:tcPr>
          <w:p>
            <w:pPr>
              <w:ind w:left="0"/>
              <w:jc w:val="center"/>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2026年度环境空气（噪声）质量保障项目</w:t>
            </w:r>
            <w:r>
              <w:rPr>
                <w:highlight w:val="none"/>
              </w:rPr>
            </w:r>
          </w:p>
        </w:tc>
      </w:tr>
      <w:tr>
        <w:trPr>
          <w:jc w:val="center"/>
          <w:trHeight w:val="567"/>
        </w:trPr>
        <w:tc>
          <w:tcPr>
            <w:tcW w:w="570"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rPr>
                <w:highlight w:val="none"/>
              </w:rPr>
            </w:r>
          </w:p>
        </w:tc>
        <w:tc>
          <w:tcPr>
            <w:tcW w:w="112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考核内容</w:t>
            </w:r>
            <w:r>
              <w:rPr>
                <w:highlight w:val="none"/>
              </w:rPr>
            </w:r>
          </w:p>
        </w:tc>
        <w:tc>
          <w:tcPr>
            <w:tcW w:w="4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考核标准</w:t>
            </w:r>
            <w:r>
              <w:rPr>
                <w:highlight w:val="none"/>
              </w:rPr>
            </w:r>
          </w:p>
        </w:tc>
        <w:tc>
          <w:tcPr>
            <w:tcW w:w="79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标准分</w:t>
            </w:r>
            <w:r>
              <w:rPr>
                <w:highlight w:val="none"/>
              </w:rPr>
            </w:r>
          </w:p>
        </w:tc>
        <w:tc>
          <w:tcPr>
            <w:tcW w:w="156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扣分原因</w:t>
            </w:r>
            <w:r>
              <w:rPr>
                <w:highlight w:val="none"/>
              </w:rPr>
            </w:r>
          </w:p>
        </w:tc>
        <w:tc>
          <w:tcPr>
            <w:tcW w:w="91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得分</w:t>
            </w:r>
            <w:r>
              <w:rPr>
                <w:highlight w:val="none"/>
              </w:rPr>
            </w:r>
          </w:p>
        </w:tc>
      </w:tr>
      <w:tr>
        <w:trPr>
          <w:jc w:val="center"/>
          <w:trHeight w:val="567"/>
        </w:trPr>
        <w:tc>
          <w:tcPr>
            <w:tcW w:w="570" w:type="dxa"/>
            <w:vAlign w:val="center"/>
            <w:vMerge w:val="restart"/>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1</w:t>
            </w:r>
            <w:r>
              <w:rPr>
                <w:highlight w:val="none"/>
              </w:rPr>
            </w:r>
          </w:p>
        </w:tc>
        <w:tc>
          <w:tcPr>
            <w:tcW w:w="1126" w:type="dxa"/>
            <w:vAlign w:val="center"/>
            <w:vMerge w:val="restart"/>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人员配备情况</w:t>
            </w:r>
            <w:r>
              <w:rPr>
                <w:highlight w:val="none"/>
              </w:rPr>
            </w:r>
          </w:p>
        </w:tc>
        <w:tc>
          <w:tcPr>
            <w:tcW w:w="4134" w:type="dxa"/>
            <w:vAlign w:val="center"/>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配备完成该项目所需的服务人员，不得无故减员，每发现一次扣5分</w:t>
            </w:r>
            <w:r>
              <w:rPr>
                <w:highlight w:val="none"/>
              </w:rPr>
            </w:r>
          </w:p>
        </w:tc>
        <w:tc>
          <w:tcPr>
            <w:tcW w:w="79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10</w:t>
            </w:r>
            <w:r>
              <w:rPr>
                <w:highlight w:val="none"/>
              </w:rPr>
            </w:r>
          </w:p>
        </w:tc>
        <w:tc>
          <w:tcPr>
            <w:tcW w:w="156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1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567"/>
        </w:trPr>
        <w:tc>
          <w:tcPr>
            <w:tcW w:w="570"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26"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134" w:type="dxa"/>
            <w:vAlign w:val="center"/>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配备的溯源分析人员、项目负责人、技术负责人未经甲方同意随意更换的，每发现一次扣5分</w:t>
            </w:r>
            <w:r>
              <w:rPr>
                <w:highlight w:val="none"/>
              </w:rPr>
            </w:r>
          </w:p>
        </w:tc>
        <w:tc>
          <w:tcPr>
            <w:tcW w:w="79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cs="Times New Roman"/>
                <w:sz w:val="21"/>
                <w:szCs w:val="21"/>
                <w:highlight w:val="none"/>
              </w:rPr>
              <w:t xml:space="preserve">0</w:t>
            </w:r>
            <w:r>
              <w:rPr>
                <w:highlight w:val="none"/>
              </w:rPr>
            </w:r>
          </w:p>
        </w:tc>
        <w:tc>
          <w:tcPr>
            <w:tcW w:w="156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1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473"/>
        </w:trPr>
        <w:tc>
          <w:tcPr>
            <w:tcW w:w="570"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2</w:t>
            </w:r>
            <w:r>
              <w:rPr>
                <w:highlight w:val="none"/>
              </w:rPr>
            </w:r>
          </w:p>
        </w:tc>
        <w:tc>
          <w:tcPr>
            <w:tcW w:w="112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服务响应时间</w:t>
            </w:r>
            <w:r>
              <w:rPr>
                <w:highlight w:val="none"/>
              </w:rPr>
            </w:r>
          </w:p>
        </w:tc>
        <w:tc>
          <w:tcPr>
            <w:tcW w:w="4134" w:type="dxa"/>
            <w:vAlign w:val="center"/>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响应时间长于1</w:t>
            </w:r>
            <w:r>
              <w:rPr>
                <w:rFonts w:ascii="宋体" w:hAnsi="宋体" w:cs="Times New Roman"/>
                <w:sz w:val="21"/>
                <w:szCs w:val="21"/>
                <w:highlight w:val="none"/>
              </w:rPr>
              <w:t xml:space="preserve">小时</w:t>
            </w:r>
            <w:r>
              <w:rPr>
                <w:rFonts w:hint="eastAsia" w:ascii="宋体" w:hAnsi="宋体" w:cs="Times New Roman"/>
                <w:sz w:val="21"/>
                <w:szCs w:val="21"/>
                <w:highlight w:val="none"/>
              </w:rPr>
              <w:t xml:space="preserve">，每发现一次扣5分</w:t>
            </w:r>
            <w:r>
              <w:rPr>
                <w:highlight w:val="none"/>
              </w:rPr>
            </w:r>
          </w:p>
        </w:tc>
        <w:tc>
          <w:tcPr>
            <w:tcW w:w="79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15</w:t>
            </w:r>
            <w:r>
              <w:rPr>
                <w:highlight w:val="none"/>
              </w:rPr>
            </w:r>
          </w:p>
        </w:tc>
        <w:tc>
          <w:tcPr>
            <w:tcW w:w="156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1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567"/>
        </w:trPr>
        <w:tc>
          <w:tcPr>
            <w:tcW w:w="570"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3</w:t>
            </w:r>
            <w:r>
              <w:rPr>
                <w:highlight w:val="none"/>
              </w:rPr>
            </w:r>
          </w:p>
        </w:tc>
        <w:tc>
          <w:tcPr>
            <w:tcW w:w="1126"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设备配备</w:t>
            </w:r>
            <w:r>
              <w:rPr>
                <w:rFonts w:ascii="宋体" w:hAnsi="宋体" w:cs="Times New Roman"/>
                <w:sz w:val="21"/>
                <w:szCs w:val="21"/>
                <w:highlight w:val="none"/>
              </w:rPr>
              <w:t xml:space="preserve">情况</w:t>
            </w:r>
            <w:r>
              <w:rPr>
                <w:highlight w:val="none"/>
              </w:rPr>
            </w:r>
          </w:p>
        </w:tc>
        <w:tc>
          <w:tcPr>
            <w:tcW w:w="4134" w:type="dxa"/>
            <w:vAlign w:val="center"/>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配备完成该项目所需的设备，若因设备问题造成项目实施障碍的，每发现一次扣5分</w:t>
            </w:r>
            <w:r>
              <w:rPr>
                <w:highlight w:val="none"/>
              </w:rPr>
            </w:r>
          </w:p>
        </w:tc>
        <w:tc>
          <w:tcPr>
            <w:tcW w:w="79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10</w:t>
            </w:r>
            <w:r>
              <w:rPr>
                <w:highlight w:val="none"/>
              </w:rPr>
            </w:r>
          </w:p>
        </w:tc>
        <w:tc>
          <w:tcPr>
            <w:tcW w:w="156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1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689"/>
        </w:trPr>
        <w:tc>
          <w:tcPr>
            <w:tcW w:w="570"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4</w:t>
            </w:r>
            <w:r>
              <w:rPr>
                <w:highlight w:val="none"/>
              </w:rPr>
            </w:r>
          </w:p>
        </w:tc>
        <w:tc>
          <w:tcPr>
            <w:tcW w:w="1126"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溯源分析工作规范</w:t>
            </w:r>
            <w:r>
              <w:rPr>
                <w:highlight w:val="none"/>
              </w:rPr>
            </w:r>
          </w:p>
        </w:tc>
        <w:tc>
          <w:tcPr>
            <w:tcW w:w="4134" w:type="dxa"/>
            <w:vAlign w:val="center"/>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及时上报有效溯源分析数据及报告，每发现一次无效或不真实数据或响应不及时扣5分</w:t>
            </w:r>
            <w:r>
              <w:rPr>
                <w:highlight w:val="none"/>
              </w:rPr>
            </w:r>
          </w:p>
        </w:tc>
        <w:tc>
          <w:tcPr>
            <w:tcW w:w="79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10</w:t>
            </w:r>
            <w:r>
              <w:rPr>
                <w:highlight w:val="none"/>
              </w:rPr>
            </w:r>
          </w:p>
        </w:tc>
        <w:tc>
          <w:tcPr>
            <w:tcW w:w="156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1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665"/>
        </w:trPr>
        <w:tc>
          <w:tcPr>
            <w:tcW w:w="570"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5</w:t>
            </w:r>
            <w:r>
              <w:rPr>
                <w:highlight w:val="none"/>
              </w:rPr>
            </w:r>
          </w:p>
        </w:tc>
        <w:tc>
          <w:tcPr>
            <w:tcW w:w="1126"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项目实施进度</w:t>
            </w:r>
            <w:r>
              <w:rPr>
                <w:highlight w:val="none"/>
              </w:rPr>
            </w:r>
          </w:p>
        </w:tc>
        <w:tc>
          <w:tcPr>
            <w:tcW w:w="4134" w:type="dxa"/>
            <w:vAlign w:val="center"/>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项目</w:t>
            </w:r>
            <w:r>
              <w:rPr>
                <w:rFonts w:ascii="宋体" w:hAnsi="宋体" w:cs="Times New Roman"/>
                <w:sz w:val="21"/>
                <w:szCs w:val="21"/>
                <w:highlight w:val="none"/>
              </w:rPr>
              <w:t xml:space="preserve">未按</w:t>
            </w:r>
            <w:r>
              <w:rPr>
                <w:rFonts w:hint="eastAsia" w:ascii="宋体" w:hAnsi="宋体" w:cs="Times New Roman"/>
                <w:sz w:val="21"/>
                <w:szCs w:val="21"/>
                <w:highlight w:val="none"/>
              </w:rPr>
              <w:t xml:space="preserve">甲方要求节点</w:t>
            </w:r>
            <w:r>
              <w:rPr>
                <w:rFonts w:ascii="宋体" w:hAnsi="宋体" w:cs="Times New Roman"/>
                <w:sz w:val="21"/>
                <w:szCs w:val="21"/>
                <w:highlight w:val="none"/>
              </w:rPr>
              <w:t xml:space="preserve">完成</w:t>
            </w:r>
            <w:r>
              <w:rPr>
                <w:rFonts w:hint="eastAsia" w:ascii="宋体" w:hAnsi="宋体" w:cs="Times New Roman"/>
                <w:sz w:val="21"/>
                <w:szCs w:val="21"/>
                <w:highlight w:val="none"/>
              </w:rPr>
              <w:t xml:space="preserve">，每发现一次</w:t>
            </w:r>
            <w:r>
              <w:rPr>
                <w:rFonts w:ascii="宋体" w:hAnsi="宋体" w:cs="Times New Roman"/>
                <w:sz w:val="21"/>
                <w:szCs w:val="21"/>
                <w:highlight w:val="none"/>
              </w:rPr>
              <w:t xml:space="preserve">扣</w:t>
            </w:r>
            <w:r>
              <w:rPr>
                <w:rFonts w:hint="eastAsia" w:ascii="宋体" w:hAnsi="宋体" w:cs="Times New Roman"/>
                <w:sz w:val="21"/>
                <w:szCs w:val="21"/>
                <w:highlight w:val="none"/>
              </w:rPr>
              <w:t xml:space="preserve">5分</w:t>
            </w:r>
            <w:r>
              <w:rPr>
                <w:highlight w:val="none"/>
              </w:rPr>
            </w:r>
          </w:p>
        </w:tc>
        <w:tc>
          <w:tcPr>
            <w:tcW w:w="79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10</w:t>
            </w:r>
            <w:r>
              <w:rPr>
                <w:highlight w:val="none"/>
              </w:rPr>
            </w:r>
          </w:p>
        </w:tc>
        <w:tc>
          <w:tcPr>
            <w:tcW w:w="156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1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567"/>
        </w:trPr>
        <w:tc>
          <w:tcPr>
            <w:tcW w:w="570"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6</w:t>
            </w:r>
            <w:r>
              <w:rPr>
                <w:highlight w:val="none"/>
              </w:rPr>
            </w:r>
          </w:p>
        </w:tc>
        <w:tc>
          <w:tcPr>
            <w:tcW w:w="112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与</w:t>
            </w:r>
            <w:r>
              <w:rPr>
                <w:rFonts w:hint="eastAsia" w:ascii="宋体" w:hAnsi="宋体" w:cs="Times New Roman"/>
                <w:sz w:val="21"/>
                <w:szCs w:val="21"/>
                <w:highlight w:val="none"/>
              </w:rPr>
              <w:t xml:space="preserve">甲方</w:t>
            </w:r>
            <w:r>
              <w:rPr>
                <w:rFonts w:ascii="宋体" w:hAnsi="宋体" w:cs="Times New Roman"/>
                <w:sz w:val="21"/>
                <w:szCs w:val="21"/>
                <w:highlight w:val="none"/>
              </w:rPr>
              <w:t xml:space="preserve">配合度</w:t>
            </w:r>
            <w:r>
              <w:rPr>
                <w:highlight w:val="none"/>
              </w:rPr>
            </w:r>
          </w:p>
        </w:tc>
        <w:tc>
          <w:tcPr>
            <w:tcBorders>
              <w:top w:val="single" w:color="4BACC6" w:themeColor="accent5" w:sz="4" w:space="0"/>
            </w:tcBorders>
            <w:tcW w:w="4134" w:type="dxa"/>
            <w:vAlign w:val="center"/>
            <w:textDirection w:val="lrTb"/>
            <w:noWrap w:val="false"/>
          </w:tcPr>
          <w:p>
            <w:pPr>
              <w:ind w:left="0"/>
              <w:jc w:val="left"/>
              <w:widowControl w:val="off"/>
              <w:rPr>
                <w:rFonts w:ascii="宋体" w:hAnsi="宋体" w:cs="Times New Roman"/>
                <w:sz w:val="21"/>
                <w:szCs w:val="21"/>
                <w:highlight w:val="none"/>
              </w:rPr>
            </w:pPr>
            <w:r>
              <w:rPr>
                <w:rFonts w:ascii="宋体" w:hAnsi="宋体" w:cs="Times New Roman"/>
                <w:sz w:val="21"/>
                <w:szCs w:val="21"/>
                <w:highlight w:val="none"/>
              </w:rPr>
              <w:t xml:space="preserve">根据配合度情况</w:t>
            </w:r>
            <w:r>
              <w:rPr>
                <w:rFonts w:hint="eastAsia" w:ascii="宋体" w:hAnsi="宋体" w:cs="Times New Roman"/>
                <w:sz w:val="21"/>
                <w:szCs w:val="21"/>
                <w:highlight w:val="none"/>
              </w:rPr>
              <w:t xml:space="preserve">，</w:t>
            </w:r>
            <w:r>
              <w:rPr>
                <w:rFonts w:ascii="宋体" w:hAnsi="宋体" w:cs="Times New Roman"/>
                <w:sz w:val="21"/>
                <w:szCs w:val="21"/>
                <w:highlight w:val="none"/>
              </w:rPr>
              <w:t xml:space="preserve">酌情进行扣分</w:t>
            </w:r>
            <w:r>
              <w:rPr>
                <w:highlight w:val="none"/>
              </w:rPr>
            </w:r>
          </w:p>
        </w:tc>
        <w:tc>
          <w:tcPr>
            <w:tcW w:w="79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15</w:t>
            </w:r>
            <w:r>
              <w:rPr>
                <w:highlight w:val="none"/>
              </w:rPr>
            </w:r>
          </w:p>
        </w:tc>
        <w:tc>
          <w:tcPr>
            <w:tcW w:w="156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1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567"/>
        </w:trPr>
        <w:tc>
          <w:tcPr>
            <w:tcW w:w="570"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7</w:t>
            </w:r>
            <w:r>
              <w:rPr>
                <w:highlight w:val="none"/>
              </w:rPr>
            </w:r>
          </w:p>
        </w:tc>
        <w:tc>
          <w:tcPr>
            <w:tcW w:w="112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服务成果</w:t>
            </w:r>
            <w:r>
              <w:rPr>
                <w:highlight w:val="none"/>
              </w:rPr>
            </w:r>
          </w:p>
        </w:tc>
        <w:tc>
          <w:tcPr>
            <w:tcW w:w="4134" w:type="dxa"/>
            <w:vAlign w:val="center"/>
            <w:textDirection w:val="lrTb"/>
            <w:noWrap w:val="false"/>
          </w:tcPr>
          <w:p>
            <w:pPr>
              <w:ind w:left="0"/>
              <w:jc w:val="left"/>
              <w:widowControl w:val="off"/>
              <w:rPr>
                <w:rFonts w:ascii="宋体" w:hAnsi="宋体" w:cs="Times New Roman"/>
                <w:sz w:val="21"/>
                <w:szCs w:val="21"/>
                <w:highlight w:val="none"/>
              </w:rPr>
            </w:pPr>
            <w:r>
              <w:rPr>
                <w:rFonts w:ascii="宋体" w:hAnsi="宋体" w:cs="Times New Roman"/>
                <w:sz w:val="21"/>
                <w:szCs w:val="21"/>
                <w:highlight w:val="none"/>
              </w:rPr>
              <w:t xml:space="preserve">成果不满足要求</w:t>
            </w:r>
            <w:r>
              <w:rPr>
                <w:rFonts w:hint="eastAsia" w:ascii="宋体" w:hAnsi="宋体" w:cs="Times New Roman"/>
                <w:sz w:val="21"/>
                <w:szCs w:val="21"/>
                <w:highlight w:val="none"/>
              </w:rPr>
              <w:t xml:space="preserve">，</w:t>
            </w:r>
            <w:r>
              <w:rPr>
                <w:rFonts w:ascii="宋体" w:hAnsi="宋体" w:cs="Times New Roman"/>
                <w:sz w:val="21"/>
                <w:szCs w:val="21"/>
                <w:highlight w:val="none"/>
              </w:rPr>
              <w:t xml:space="preserve">酌情进行扣分</w:t>
            </w:r>
            <w:r>
              <w:rPr>
                <w:rFonts w:hint="eastAsia" w:ascii="宋体" w:hAnsi="宋体" w:cs="Times New Roman"/>
                <w:sz w:val="21"/>
                <w:szCs w:val="21"/>
                <w:highlight w:val="none"/>
              </w:rPr>
              <w:t xml:space="preserve">；总走航满足时长要求，每少1小时扣</w:t>
            </w: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分</w:t>
            </w:r>
            <w:r>
              <w:rPr>
                <w:highlight w:val="none"/>
              </w:rPr>
            </w:r>
          </w:p>
        </w:tc>
        <w:tc>
          <w:tcPr>
            <w:tcW w:w="79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20</w:t>
            </w:r>
            <w:r>
              <w:rPr>
                <w:highlight w:val="none"/>
              </w:rPr>
            </w:r>
          </w:p>
        </w:tc>
        <w:tc>
          <w:tcPr>
            <w:tcW w:w="156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1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567"/>
        </w:trPr>
        <w:tc>
          <w:tcPr>
            <w:gridSpan w:val="2"/>
            <w:tcW w:w="1696"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总分</w:t>
            </w:r>
            <w:r>
              <w:rPr>
                <w:highlight w:val="none"/>
              </w:rPr>
            </w:r>
          </w:p>
        </w:tc>
        <w:tc>
          <w:tcPr>
            <w:tcW w:w="4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79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100</w:t>
            </w:r>
            <w:r>
              <w:rPr>
                <w:highlight w:val="none"/>
              </w:rPr>
            </w:r>
          </w:p>
        </w:tc>
        <w:tc>
          <w:tcPr>
            <w:tcW w:w="156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1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bl>
    <w:p>
      <w:pPr>
        <w:ind w:left="0"/>
        <w:widowControl w:val="off"/>
        <w:rPr>
          <w:rFonts w:ascii="宋体" w:hAnsi="宋体"/>
          <w:sz w:val="21"/>
          <w:szCs w:val="21"/>
          <w:highlight w:val="none"/>
        </w:rPr>
      </w:pPr>
      <w:r>
        <w:rPr>
          <w:rFonts w:ascii="宋体" w:hAnsi="宋体"/>
          <w:sz w:val="21"/>
          <w:szCs w:val="21"/>
          <w:highlight w:val="none"/>
        </w:rPr>
      </w:r>
      <w:r>
        <w:rPr>
          <w:highlight w:val="none"/>
        </w:rPr>
      </w:r>
    </w:p>
    <w:p>
      <w:pPr>
        <w:ind w:left="0" w:firstLine="48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1）当9</w:t>
      </w:r>
      <w:r>
        <w:rPr>
          <w:rFonts w:ascii="宋体" w:hAnsi="宋体" w:cs="Times New Roman"/>
          <w:sz w:val="21"/>
          <w:szCs w:val="21"/>
          <w:highlight w:val="none"/>
        </w:rPr>
        <w:t xml:space="preserve">0</w:t>
      </w:r>
      <w:r>
        <w:rPr>
          <w:rFonts w:hint="eastAsia" w:ascii="宋体" w:hAnsi="宋体" w:cs="Times New Roman"/>
          <w:sz w:val="21"/>
          <w:szCs w:val="21"/>
          <w:highlight w:val="none"/>
        </w:rPr>
        <w:t xml:space="preserve">分≤考评结果，实际尾款金额=合同总价款*</w:t>
      </w:r>
      <w:r>
        <w:rPr>
          <w:rFonts w:ascii="宋体" w:hAnsi="宋体" w:cs="Times New Roman"/>
          <w:sz w:val="21"/>
          <w:szCs w:val="21"/>
          <w:highlight w:val="none"/>
        </w:rPr>
        <w:t xml:space="preserve">15%</w:t>
      </w:r>
      <w:r>
        <w:rPr>
          <w:rFonts w:hint="eastAsia" w:ascii="宋体" w:hAnsi="宋体" w:cs="Times New Roman"/>
          <w:sz w:val="21"/>
          <w:szCs w:val="21"/>
          <w:highlight w:val="none"/>
        </w:rPr>
        <w:t xml:space="preserve">*100%；</w:t>
      </w:r>
      <w:r>
        <w:rPr>
          <w:highlight w:val="none"/>
        </w:rPr>
      </w:r>
    </w:p>
    <w:p>
      <w:pPr>
        <w:ind w:left="0" w:firstLine="48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2）当8</w:t>
      </w:r>
      <w:r>
        <w:rPr>
          <w:rFonts w:ascii="宋体" w:hAnsi="宋体" w:cs="Times New Roman"/>
          <w:sz w:val="21"/>
          <w:szCs w:val="21"/>
          <w:highlight w:val="none"/>
        </w:rPr>
        <w:t xml:space="preserve">0</w:t>
      </w:r>
      <w:r>
        <w:rPr>
          <w:rFonts w:hint="eastAsia" w:ascii="宋体" w:hAnsi="宋体" w:cs="Times New Roman"/>
          <w:sz w:val="21"/>
          <w:szCs w:val="21"/>
          <w:highlight w:val="none"/>
        </w:rPr>
        <w:t xml:space="preserve">分≤考评结果＜9</w:t>
      </w:r>
      <w:r>
        <w:rPr>
          <w:rFonts w:ascii="宋体" w:hAnsi="宋体" w:cs="Times New Roman"/>
          <w:sz w:val="21"/>
          <w:szCs w:val="21"/>
          <w:highlight w:val="none"/>
        </w:rPr>
        <w:t xml:space="preserve">0</w:t>
      </w:r>
      <w:r>
        <w:rPr>
          <w:rFonts w:hint="eastAsia" w:ascii="宋体" w:hAnsi="宋体" w:cs="Times New Roman"/>
          <w:sz w:val="21"/>
          <w:szCs w:val="21"/>
          <w:highlight w:val="none"/>
        </w:rPr>
        <w:t xml:space="preserve">分，实际尾款金额=合同总价款*1</w:t>
      </w: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%*90%；</w:t>
      </w:r>
      <w:r>
        <w:rPr>
          <w:highlight w:val="none"/>
        </w:rPr>
      </w:r>
    </w:p>
    <w:p>
      <w:pPr>
        <w:ind w:left="0" w:firstLine="48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3）当7</w:t>
      </w:r>
      <w:r>
        <w:rPr>
          <w:rFonts w:ascii="宋体" w:hAnsi="宋体" w:cs="Times New Roman"/>
          <w:sz w:val="21"/>
          <w:szCs w:val="21"/>
          <w:highlight w:val="none"/>
        </w:rPr>
        <w:t xml:space="preserve">0</w:t>
      </w:r>
      <w:r>
        <w:rPr>
          <w:rFonts w:hint="eastAsia" w:ascii="宋体" w:hAnsi="宋体" w:cs="Times New Roman"/>
          <w:sz w:val="21"/>
          <w:szCs w:val="21"/>
          <w:highlight w:val="none"/>
        </w:rPr>
        <w:t xml:space="preserve">分≤考评结果＜8</w:t>
      </w:r>
      <w:r>
        <w:rPr>
          <w:rFonts w:ascii="宋体" w:hAnsi="宋体" w:cs="Times New Roman"/>
          <w:sz w:val="21"/>
          <w:szCs w:val="21"/>
          <w:highlight w:val="none"/>
        </w:rPr>
        <w:t xml:space="preserve">0</w:t>
      </w:r>
      <w:r>
        <w:rPr>
          <w:rFonts w:hint="eastAsia" w:ascii="宋体" w:hAnsi="宋体" w:cs="Times New Roman"/>
          <w:sz w:val="21"/>
          <w:szCs w:val="21"/>
          <w:highlight w:val="none"/>
        </w:rPr>
        <w:t xml:space="preserve">分，实际尾款金额=合同总价款*1</w:t>
      </w: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%*80%；</w:t>
      </w:r>
      <w:r>
        <w:rPr>
          <w:highlight w:val="none"/>
        </w:rPr>
      </w:r>
    </w:p>
    <w:p>
      <w:pPr>
        <w:ind w:left="0" w:firstLine="48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4）当6</w:t>
      </w:r>
      <w:r>
        <w:rPr>
          <w:rFonts w:ascii="宋体" w:hAnsi="宋体" w:cs="Times New Roman"/>
          <w:sz w:val="21"/>
          <w:szCs w:val="21"/>
          <w:highlight w:val="none"/>
        </w:rPr>
        <w:t xml:space="preserve">0</w:t>
      </w:r>
      <w:r>
        <w:rPr>
          <w:rFonts w:hint="eastAsia" w:ascii="宋体" w:hAnsi="宋体" w:cs="Times New Roman"/>
          <w:sz w:val="21"/>
          <w:szCs w:val="21"/>
          <w:highlight w:val="none"/>
        </w:rPr>
        <w:t xml:space="preserve">分≤考评结果＜7</w:t>
      </w:r>
      <w:r>
        <w:rPr>
          <w:rFonts w:ascii="宋体" w:hAnsi="宋体" w:cs="Times New Roman"/>
          <w:sz w:val="21"/>
          <w:szCs w:val="21"/>
          <w:highlight w:val="none"/>
        </w:rPr>
        <w:t xml:space="preserve">0</w:t>
      </w:r>
      <w:r>
        <w:rPr>
          <w:rFonts w:hint="eastAsia" w:ascii="宋体" w:hAnsi="宋体" w:cs="Times New Roman"/>
          <w:sz w:val="21"/>
          <w:szCs w:val="21"/>
          <w:highlight w:val="none"/>
        </w:rPr>
        <w:t xml:space="preserve">分，实际尾款金额=合同总价款*1</w:t>
      </w: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%*60%；</w:t>
      </w:r>
      <w:r>
        <w:rPr>
          <w:highlight w:val="none"/>
        </w:rPr>
      </w:r>
    </w:p>
    <w:p>
      <w:pPr>
        <w:ind w:left="0" w:firstLine="48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5）当考评结果＜6</w:t>
      </w:r>
      <w:r>
        <w:rPr>
          <w:rFonts w:ascii="宋体" w:hAnsi="宋体" w:cs="Times New Roman"/>
          <w:sz w:val="21"/>
          <w:szCs w:val="21"/>
          <w:highlight w:val="none"/>
        </w:rPr>
        <w:t xml:space="preserve">0</w:t>
      </w:r>
      <w:r>
        <w:rPr>
          <w:rFonts w:hint="eastAsia" w:ascii="宋体" w:hAnsi="宋体" w:cs="Times New Roman"/>
          <w:sz w:val="21"/>
          <w:szCs w:val="21"/>
          <w:highlight w:val="none"/>
        </w:rPr>
        <w:t xml:space="preserve">分，招标单位有权拒绝付款。</w:t>
      </w:r>
      <w:r>
        <w:rPr>
          <w:highlight w:val="none"/>
        </w:rPr>
      </w:r>
    </w:p>
    <w:p>
      <w:pPr>
        <w:pStyle w:val="889"/>
        <w:rPr>
          <w:highlight w:val="none"/>
        </w:rPr>
      </w:pPr>
      <w:r>
        <w:rPr>
          <w:highlight w:val="none"/>
        </w:rPr>
        <w:br w:type="page" w:clear="all"/>
      </w:r>
      <w:r>
        <w:rPr>
          <w:highlight w:val="none"/>
        </w:rPr>
      </w:r>
    </w:p>
    <w:p>
      <w:pPr>
        <w:jc w:val="center"/>
        <w:rPr>
          <w:b/>
          <w:sz w:val="24"/>
          <w:highlight w:val="none"/>
        </w:rPr>
      </w:pPr>
      <w:r>
        <w:rPr>
          <w:rFonts w:hint="eastAsia"/>
          <w:b/>
          <w:sz w:val="24"/>
          <w:highlight w:val="none"/>
        </w:rPr>
        <w:t xml:space="preserve">（二标段）</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甲方（需方）： </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地址：</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联系人：</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联系电话：</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 </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乙方（供方）：</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地址：</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联系人：</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联系电话：</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根据采购编号</w:t>
      </w:r>
      <w:r>
        <w:rPr>
          <w:rFonts w:ascii="宋体" w:hAnsi="宋体" w:cs="Times New Roman"/>
          <w:bCs/>
          <w:sz w:val="21"/>
          <w:szCs w:val="21"/>
          <w:highlight w:val="none"/>
          <w:u w:val="single"/>
        </w:rPr>
        <w:t xml:space="preserve">                </w:t>
      </w:r>
      <w:r>
        <w:rPr>
          <w:rFonts w:hint="eastAsia" w:ascii="宋体" w:hAnsi="宋体" w:cs="Times New Roman"/>
          <w:bCs/>
          <w:sz w:val="21"/>
          <w:szCs w:val="21"/>
          <w:highlight w:val="none"/>
        </w:rPr>
        <w:t xml:space="preserve">招标文件及中标人的投标文件和中标通知书，甲乙双方就此次中标的</w:t>
      </w:r>
      <w:r>
        <w:rPr>
          <w:rFonts w:hint="eastAsia" w:ascii="宋体" w:hAnsi="宋体" w:cs="Times New Roman"/>
          <w:b/>
          <w:bCs/>
          <w:sz w:val="21"/>
          <w:szCs w:val="21"/>
          <w:highlight w:val="none"/>
          <w:u w:val="single"/>
        </w:rPr>
        <w:t xml:space="preserve">2026年度环境空气（噪声）质量保障项目</w:t>
      </w:r>
      <w:r>
        <w:rPr>
          <w:rFonts w:hint="eastAsia" w:ascii="宋体" w:hAnsi="宋体" w:cs="Times New Roman"/>
          <w:bCs/>
          <w:sz w:val="21"/>
          <w:szCs w:val="21"/>
          <w:highlight w:val="none"/>
        </w:rPr>
        <w:t xml:space="preserve">事宜，签订本合同书。</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一、服务范围：</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甲方聘请乙方提供以下服务：</w:t>
      </w:r>
      <w:r>
        <w:rPr>
          <w:highlight w:val="none"/>
        </w:rPr>
      </w:r>
    </w:p>
    <w:p>
      <w:pPr>
        <w:ind w:left="0" w:firstLine="42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（1）本合同项下的服务指：2026年度环境空气（噪声）质量保障项目（二标段）</w:t>
      </w:r>
      <w:r>
        <w:rPr>
          <w:highlight w:val="none"/>
        </w:rPr>
      </w:r>
    </w:p>
    <w:p>
      <w:pPr>
        <w:ind w:left="0" w:firstLine="42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（2）采购需求</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（一）项目依据</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1.《苏州市2025年大气污染防治工作计划》（加大各级财政资金对生态环境保护工作的支持力度）；</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2.《江苏省生态环境厅重污染天气重点行业绩效分级工作程序》（各级生态环境主管部门应落实资金帮扶）；</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3.《关于做好2025年度重污染天气重点行业绩效分级和应急减排清单编制修订工作的通知》（各地要结合实际加大对企业的帮扶指导力度，必要时可以组织专家力量，根据往年省、市审核意见，对企业存在问题进行针对性指导）；</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4.《苏州市“十四五”生态环境保护规划》（依托大气环境质量优化提升战略合作，开展大气环境质量分析预测、污染来源解析、专家帮扶指导等工作，提升科学治理水平）；</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5.《江苏省“1+13”专家支撑团队工作指南》；</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6.2025年环境空气（噪声）环境质量保障项目；</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7.《苏州市噪声污染防治行动计划实施方案（2024-2025年）》（夯实声环境管理基础能力，推动持续改善）；</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8.《江苏省“十四五”噪声污染防治行动计划实施方案》（苏环办[2023]197号）；</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9.《苏州市噪声污染防治行动计划实施方案（2024-2025年）》（夯实声环境管理基础能力，推动持续改善）；</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10.《市政府关于印发苏州市空气质量持续改善行动计划实施方案的通知》（持续开展 PM2.5和臭氧协同控制科技攻关）；</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11.省生态环境厅关于印发《“十四五”江苏省细颗粒物与臭氧协同控制监测网络能力建设实施方案（苏环办[2021]259号）（要求加快建设和完善“十四五”细颗粒物和臭氧协同控制网络，强化多污染协同控制和区域协同治理）；</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12.《关于加快建立现代化生态环境监测体系的实施意见》（环监测〔2024〕17号）（要求持续深入打好污染防治攻坚战，加强重点区域空气质量与颗粒物组分、挥发性有机物组分协同监测和质控，健全天空地海一体化监测网络）；</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13.苏州市生态环境局与中国铁塔股份有限公司苏州分公司战略合作框架协议。</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（二）项目目的</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根据省市大气、噪声污染防治工作的共性与需求，需加强科技监管方式，借助走航、微站、AI分析等方式提升区域大气（噪声）环境管理水平。</w:t>
      </w:r>
      <w:r>
        <w:rPr>
          <w:highlight w:val="none"/>
        </w:rP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（三）项目理由</w:t>
      </w:r>
      <w:r>
        <w:rPr>
          <w:highlight w:val="none"/>
        </w:rPr>
      </w:r>
    </w:p>
    <w:p>
      <w:pPr>
        <w:ind w:left="0" w:firstLine="420"/>
        <w:spacing w:line="360" w:lineRule="auto"/>
        <w:widowControl w:val="off"/>
        <w:rPr>
          <w:rFonts w:ascii="宋体" w:hAnsi="宋体" w:cs="Times New Roman"/>
          <w:bCs/>
          <w:sz w:val="21"/>
          <w:szCs w:val="21"/>
          <w:highlight w:val="none"/>
        </w:rPr>
      </w:pPr>
      <w:r>
        <w:rPr>
          <w:rFonts w:hint="eastAsia" w:ascii="宋体" w:hAnsi="宋体"/>
          <w:sz w:val="21"/>
          <w:highlight w:val="none"/>
        </w:rPr>
        <w:t xml:space="preserve">开展大气、噪声污染来源探寻和借助大气专家团队技术支撑，对污染过程开展原因分析和评估，提升科学治理水平。</w:t>
      </w:r>
      <w:r>
        <w:rPr>
          <w:highlight w:val="none"/>
        </w:rPr>
      </w:r>
    </w:p>
    <w:p>
      <w:pPr>
        <w:ind w:left="0" w:firstLine="422"/>
        <w:spacing w:line="360" w:lineRule="auto"/>
        <w:widowControl w:val="off"/>
        <w:rPr>
          <w:rFonts w:ascii="宋体" w:hAnsi="宋体"/>
          <w:b/>
          <w:bCs/>
          <w:sz w:val="21"/>
          <w:szCs w:val="21"/>
          <w:highlight w:val="none"/>
        </w:rPr>
      </w:pPr>
      <w:r>
        <w:rPr>
          <w:rFonts w:hint="eastAsia" w:ascii="宋体" w:hAnsi="宋体" w:cs="Times New Roman"/>
          <w:b/>
          <w:bCs/>
          <w:sz w:val="21"/>
          <w:szCs w:val="21"/>
          <w:highlight w:val="none"/>
        </w:rPr>
        <w:t xml:space="preserve">（四）服务期限：</w:t>
      </w:r>
      <w:r>
        <w:rPr>
          <w:rFonts w:hint="eastAsia" w:ascii="宋体" w:hAnsi="宋体"/>
          <w:b/>
          <w:bCs/>
          <w:sz w:val="21"/>
          <w:szCs w:val="21"/>
          <w:highlight w:val="none"/>
        </w:rPr>
        <w:t xml:space="preserve">自合同签订之日起一年。</w:t>
      </w:r>
      <w:r>
        <w:rPr>
          <w:highlight w:val="none"/>
        </w:rPr>
      </w:r>
    </w:p>
    <w:p>
      <w:pPr>
        <w:ind w:left="0" w:firstLine="420"/>
        <w:spacing w:line="360" w:lineRule="auto"/>
        <w:tabs>
          <w:tab w:val="left" w:pos="420" w:leader="none"/>
        </w:tabs>
        <w:rPr>
          <w:rFonts w:ascii="宋体" w:hAnsi="宋体" w:cs="Times New Roman"/>
          <w:b/>
          <w:sz w:val="21"/>
          <w:szCs w:val="21"/>
          <w:highlight w:val="none"/>
        </w:rPr>
      </w:pPr>
      <w:r>
        <w:rPr>
          <w:rFonts w:hint="eastAsia" w:ascii="宋体" w:hAnsi="宋体" w:cs="Times New Roman"/>
          <w:b/>
          <w:sz w:val="21"/>
          <w:szCs w:val="21"/>
          <w:highlight w:val="none"/>
        </w:rPr>
        <w:t xml:space="preserve">二、服务内容（二</w:t>
      </w:r>
      <w:r>
        <w:rPr>
          <w:rFonts w:hint="eastAsia" w:ascii="宋体" w:hAnsi="宋体"/>
          <w:b/>
          <w:sz w:val="21"/>
          <w:szCs w:val="21"/>
          <w:highlight w:val="none"/>
        </w:rPr>
        <w:t xml:space="preserve">标段</w:t>
      </w:r>
      <w:r>
        <w:rPr>
          <w:rFonts w:hint="eastAsia" w:ascii="宋体" w:hAnsi="宋体" w:cs="Times New Roman"/>
          <w:b/>
          <w:sz w:val="21"/>
          <w:szCs w:val="21"/>
          <w:highlight w:val="none"/>
        </w:rPr>
        <w:t xml:space="preserve">）</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（一）工作内容</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围绕国控站点周边重点区域，进一步提升大气污染防治监管能力，采购高空高清摄像头视频数据服务、无人机巡飞巡查服务及相关配套服务。</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高空智能监控系统服务须针对相城境内，采用部署高位摄像机，监控覆盖半径2公里，选取40米左右高空点位15个，计划部署高空鹰眼15台，对重点区域进行全天候监控。并需支持高清视频实时监控，具备至少7天的视频数据存储功能。配备AI算法，具备工地扬尘识别、焚烧火点识别、异常烟雾识别以及信息提醒等功能，并可在电脑和手机端实时查看，包含1年服务（含网络及电费）。</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2.围绕2个大气国控点周边重点区域范围，部署2套无人机+机库，需搭载高清摄像设备，具备工地扬尘识别、焚烧火点识别、异常烟雾识别及对巡飞范围内</w:t>
      </w:r>
      <w:r>
        <w:rPr>
          <w:rFonts w:ascii="宋体" w:hAnsi="宋体" w:cs="Times New Roman"/>
          <w:bCs/>
          <w:sz w:val="21"/>
          <w:szCs w:val="21"/>
          <w:highlight w:val="none"/>
        </w:rPr>
        <w:t xml:space="preserve">PM2.5</w:t>
      </w:r>
      <w:r>
        <w:rPr>
          <w:rFonts w:hint="eastAsia" w:ascii="宋体" w:hAnsi="宋体" w:cs="Times New Roman"/>
          <w:bCs/>
          <w:sz w:val="21"/>
          <w:szCs w:val="21"/>
          <w:highlight w:val="none"/>
        </w:rPr>
        <w:t xml:space="preserve">、PM</w:t>
      </w:r>
      <w:r>
        <w:rPr>
          <w:rFonts w:ascii="宋体" w:hAnsi="宋体" w:cs="Times New Roman"/>
          <w:bCs/>
          <w:sz w:val="21"/>
          <w:szCs w:val="21"/>
          <w:highlight w:val="none"/>
        </w:rPr>
        <w:t xml:space="preserve">10</w:t>
      </w:r>
      <w:r>
        <w:rPr>
          <w:rFonts w:hint="eastAsia" w:ascii="宋体" w:hAnsi="宋体" w:cs="Times New Roman"/>
          <w:bCs/>
          <w:sz w:val="21"/>
          <w:szCs w:val="21"/>
          <w:highlight w:val="none"/>
        </w:rPr>
        <w:t xml:space="preserve">、NO</w:t>
      </w:r>
      <w:r>
        <w:rPr>
          <w:rFonts w:ascii="宋体" w:hAnsi="宋体" w:cs="Times New Roman"/>
          <w:bCs/>
          <w:sz w:val="21"/>
          <w:szCs w:val="21"/>
          <w:highlight w:val="none"/>
        </w:rPr>
        <w:t xml:space="preserve">2</w:t>
      </w:r>
      <w:r>
        <w:rPr>
          <w:rFonts w:hint="eastAsia" w:ascii="宋体" w:hAnsi="宋体" w:cs="Times New Roman"/>
          <w:bCs/>
          <w:sz w:val="21"/>
          <w:szCs w:val="21"/>
          <w:highlight w:val="none"/>
        </w:rPr>
        <w:t xml:space="preserve">、TVOC、O</w:t>
      </w:r>
      <w:r>
        <w:rPr>
          <w:rFonts w:ascii="宋体" w:hAnsi="宋体" w:cs="Times New Roman"/>
          <w:bCs/>
          <w:sz w:val="21"/>
          <w:szCs w:val="21"/>
          <w:highlight w:val="none"/>
        </w:rPr>
        <w:t xml:space="preserve">3</w:t>
      </w:r>
      <w:r>
        <w:rPr>
          <w:rFonts w:hint="eastAsia" w:ascii="宋体" w:hAnsi="宋体" w:cs="Times New Roman"/>
          <w:bCs/>
          <w:sz w:val="21"/>
          <w:szCs w:val="21"/>
          <w:highlight w:val="none"/>
        </w:rPr>
        <w:t xml:space="preserve">等环境污染因子的分析测定功能；支持巡飞数据实时回传及存储。巡飞频次：每日不少于2次，原则上上午12时前、下午17时前各完成1次重点区域全覆盖巡查。</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（二）其他要求</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1.服务响应要求</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(1)服务期内视频数据要确保连贯性，非不可抗力的原因造成1小时及以上的数据缺失，且未能及时响应解决，将在最终考核时扣分。</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(2)服务期内视频服务未能及时识别到焚烧火点、工地扬尘等各类异常点，将在最终考核时扣分。</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2.算法识别</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(1)焚烧火点及工地扬尘识别预警：对画面中的各类焚烧点和工地扬尘进行识别预警。</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(2)污染物因子分析：对巡飞范围内PM2.5、PM10、NO2、TVOC、O3等环境污染因子进行分析测定。</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3.整体架构</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(1)前端采集</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前端采集工作主要由摄像机及无人机组成，负责采集现场视频信号，并可接受来自中心端的控制指令。所配置的摄像机及无人机需满足以下要求：</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1)可靠性：主要设备摄像机采用嵌入式实时操作系统，所需设备简单，图像的传输通过综合布线实现，系统具备高可靠性。</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2)安全性：系统设置不同等级的使用者权限，仅有最高级权限的用户可对整个系统进行设置或更改，没有权限的用户不可接收图像的。</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3)使用及维护性：系统安装简单，软件系统的安装及使用易懂。在维护性方面，系统的接线简洁，而主要设备具备高可靠性，维护性能好，而且可实现远程维护。</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(2)高速传输</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由网线、光纤、交换机等系统组成，负责将前端采集到的图像传输到后台。根据中心存储原则，本区域所有监控监测点位需要将视频数据推送至总中心进行存储，因此必须能够满足海量数据的传输，所配置传输设备及材料需满足以下要求：</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可用性：网络系统能够满足用户需求的程度。通过网络监控系统，可以实时监测网络是否处于正常运行状态，以及网络是否存在故障或断网等情况。一旦发现网络出现问题，可以及时采取措施，以保证网络的可用性。</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2)安全性：网络安全是指网络系统免遭攻击和滥用的程度。一旦发现网络存在安全问题，可以尽快采取相应的措施，以保护网络的安全。</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4.数据存储</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将摄像机或无人机采集到的图像及数据存储在云端设备，供未来调阅、检索使用。系统采用集中存储，在监控中心完成上传视频图像、备份存储相结合，最低存储时间为7天，应提前预留重要视频及报警信息的备份存储空间。实现全自动刷新，循环存储。能够进行多任务操作，监控、查询等互不影响，保证事后取证、精准检索，</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5.软件平台</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前端设备由监控设备、无人机设备组成，后端设备由事件检测服务器和软件平台组成。根据项目情况可通过智能前端设备对视频流进行分析或后端智能检测服务器对前端视频进行取流分析，得出事件检测结果，由部署在PC机上的软件统一展示。</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6.事件实时上报</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当事件检测服务器检出事件后会上报软件平台，软件平台根据事件类型弹窗报警并伴随声音提醒，供监控人员查看，监控人员可根据检测类型选择误报或正报。</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1)事件查询</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监控人员可按照点位、事件、时间、已处理、未处理进行查询统计分析。</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2)全天候监视</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不论在白天、晚上还是其他室内环境，均能在中心清晰地观察到前端现场的实时图像。实时点播时，能按照指定设备、指定通道进行图像的实时监视调用，调用时不能影响别的通道进行图像传输，支持监视图像的无级缩放、图像抓帧，支持跨设备的图像组屏。夜间光线照度差的监控通过红外等手段，使能取得良好的夜间图像。</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3)历史图像的检索和回放</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系统能在中心的用户终端上根据权限和级别，按照指定设备、通道、时间等要素检索历史图像文件并回放，需要时可以对录像进行30天保存。回放支持正常播放、快速播放、慢速播放、逐帧进退、画面暂停、图像抓帧等。</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4)图像记录和备份</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所有图像能在云平台进行集中储存记录，保留时间7天以上。</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7.服务地点：按照甲方要求。</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8.其他说明</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(1)报价：投标总报价一次报定，包括：人工、管理、服务、验收、保险、利润、税金、政策性文件规定及合同包含的所有风险、责任等各项应有费用。各投标人应充分考虑价格等各种风险，其风险由投标人承担。</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知识产权：供方应保证需方免除且供方承担由于需方在其本国使用系统任何产品或产品任何一部分时而引起第三方提出的侵犯专利权、商标权或工业设计权的起诉、行动、行政程序索赔、请求等以及需方为此而产生的损失和损害、费用和支出（包括律师费）；</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三、下列文件为本合同不可分割部分与本合同具有同等法律效力：</w:t>
      </w:r>
      <w:r>
        <w:rPr>
          <w:highlight w:val="none"/>
        </w:rPr>
      </w:r>
    </w:p>
    <w:p>
      <w:pPr>
        <w:ind w:left="0" w:firstLine="42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 ① 中标通知书；    ② 乙方的投标文件；   ③招标文件及其附件； </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④ 合同附件（如有）；   ⑤乙方在投标过程中所作的其它承诺、声明、书面澄清等。</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四、合同价格及支付：</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1、合同价格：人民币                  （    元）</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合同价格包括完成本项目服务工作期间所需的全部工作需支付的一切费用，其应</w:t>
      </w:r>
      <w:r>
        <w:rPr>
          <w:rFonts w:hint="eastAsia" w:ascii="宋体" w:hAnsi="宋体"/>
          <w:sz w:val="21"/>
          <w:highlight w:val="none"/>
        </w:rPr>
        <w:t xml:space="preserve">包括为完成本项目服务工作所需的各种工作经费、投入的人力、物力各项费用、研究费、咨询费、资料费、调查费、专家评审费用、检验检测费、后续服务费、交通、食宿、利润、税金、验收、政策性文件规定及合同包含的所有风险、责任等完成本项目的各项应有费用。同时，除非合同条款中另有规定，否则，乙方所报价格在合同实施期间不因市场变化因素而变动，未经甲方书面确认，甲方不再另行支付其他任何费用。</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根据现行税法对甲方征收的与本合同有关的一切税费均由甲方承担；根据现行税法对乙方征收的与本合同有关的一切税费均由乙方承担。合同实施过程中，如发生税费比例调整，则双方同意：如税费比例上调，则合同含税总价不变，上调部分的税费由乙方自行承担；如税费比例下调，则合同含税总价下调，其中不含税金额不变，增值税金额按照下调后的税费比例计取。</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3、支付步骤：</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（1）合同签订后收到乙方发票后十五个工作日内支付合同价的50%为预付款，2026年11月底支付至</w:t>
      </w:r>
      <w:r>
        <w:rPr>
          <w:rFonts w:hint="eastAsia" w:ascii="宋体" w:hAnsi="宋体" w:cs="Times New Roman"/>
          <w:bCs/>
          <w:sz w:val="21"/>
          <w:szCs w:val="21"/>
          <w:highlight w:val="none"/>
        </w:rPr>
        <w:t xml:space="preserve">合同价的85%，实际尾款根据考核情况并经验收合格后1年内付清。考核标准见附件。</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（2）乙方要求付款时应提供以下资料：</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①合格的发票。</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②尾款支付需甲乙双方签章的《江苏省政府采购履约验收书》。</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乙方提供的资料不全，甲方有权延期付款而无需承担任何违约责任。</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（3）支付方式：银行转账。</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五、服务要求与验收标准：</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1、服务要求：见招标文件和乙方的投标响应文件及乙方在投标过程中的相关承诺、澄清等有关内容。</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2、验收标准：</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根据合同要求及有关规定由甲方按国家相关行业标准进行验收。当双方对验收结果有争议时，可委托双方一致认可的国家相关权威检测中心进行检测，费用由乙方承担。</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六、双方责任 ：</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1、甲方责任： </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（1）向乙方提供该项目相关技术资料，并对这些资料的解释和可靠性负责。 </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（2）为乙方顺利完成评估工作提供必要的协助。</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（3）按照合同约定的方式和时间向乙方支付费用。</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2、乙方责任：   </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（1）乙方所提供服务的质量应与招标文件规定及投标文件承诺的内容相一致；</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（2）乙方根据工作规程和投标文件所作的承诺自觉开展各项工作；</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乙方对成果资料和甲方提供的所有资料负有保密责任。对因订立和执行本合同过程中所了解或知悉或获取的对方的一切信息、国家秘密、商业秘密和个人隐私以及合同成果予以保密，在本合同服务期内及本合同解除或终止后均不得向甲方以外的第三方提供保密信息，除非得到甲方的同意或者属于法律、行政法规允许的范围。同时，乙方须妥善保管甲方提供的资料。如因乙方原因丢失，应承担一切责任，包括但不限于赔偿甲方相关的经济损失。</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4）甲方提交给乙方使用的相关资料，其知识产权仍归甲方所有。未经甲方书面同意，乙方不得复制、使用及提供给第三方。乙方应能保证所提供服务涉及到的知识产权是合法取得，并享有完整的知识产权，不会因为需方的使用而被责令停止使用、追偿或要求赔偿损失，如出现此情况，一切经济和法律责任均由乙方承担。乙方提供的所有服务必须质量符合国际或国家通用标准，如出现质量问题，乙方负责更正，发生的费用由乙方负责。</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（5）乙方应独立承担服务中的各类责任（安全责任、用工责任和经济责任等），</w:t>
      </w:r>
      <w:r>
        <w:rPr>
          <w:rFonts w:hint="eastAsia" w:ascii="宋体" w:hAnsi="宋体" w:cs="Times New Roman"/>
          <w:bCs/>
          <w:sz w:val="21"/>
          <w:szCs w:val="21"/>
          <w:highlight w:val="none"/>
        </w:rPr>
        <w:t xml:space="preserve">因设备故障、操作失误、管理不当、设施缺陷等任何原因，导致造成任何第三方人身伤亡、财产损失的，全部赔偿责任均由乙方独立承担，与甲方无涉。</w:t>
      </w:r>
      <w:r>
        <w:rPr>
          <w:rFonts w:hint="eastAsia" w:ascii="宋体" w:hAnsi="宋体" w:cs="Times New Roman"/>
          <w:bCs/>
          <w:sz w:val="21"/>
          <w:szCs w:val="21"/>
          <w:highlight w:val="none"/>
        </w:rPr>
        <w:t xml:space="preserve">如给甲方造成损失的，甲方有权立即向乙方追偿；</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（6）法规、政策规定由乙方承担的其他责任。</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七、违约责任：</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1、乙方未按约定提供服务，甲方有权要求乙方赔偿损失，并追究乙方合同总标的额百分之二十的违约金，且甲方有权解除合同。</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2、乙方必须自己完成合同内容，不得转包、分包，否则，甲方有权要求乙方赔偿损失，并追究乙方合同总标的额百分之二十的违约金，且甲方有权解除合同。</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若乙方或乙方人员未遵守保密义务，出现泄漏甲方或第三方秘密的情形，甲方有权要求乙方赔偿损失，并追究乙方合同总价款百分之二十的违约金，且甲方有权解除合同。情节严重涉及违法犯罪的，依法移交司法机关处理。。</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4、若因乙方侵犯第三方知识产权、发生第三方诉讼、社会舆论或甲方信誉受损等情形，甲方有权要求乙方赔偿损失并追究乙方合同总标的额百分之二十的违约金，且甲方有权解除合同。</w:t>
      </w:r>
      <w:r>
        <w:rPr>
          <w:highlight w:val="none"/>
        </w:rPr>
      </w:r>
    </w:p>
    <w:p>
      <w:pPr>
        <w:ind w:left="0" w:firstLine="480"/>
        <w:spacing w:line="360" w:lineRule="auto"/>
        <w:widowControl w:val="off"/>
        <w:rPr>
          <w:rFonts w:ascii="宋体" w:hAnsi="宋体"/>
          <w:bCs/>
          <w:sz w:val="21"/>
          <w:szCs w:val="21"/>
          <w:highlight w:val="none"/>
        </w:rPr>
      </w:pPr>
      <w:r>
        <w:rPr>
          <w:rFonts w:hint="eastAsia" w:ascii="宋体" w:hAnsi="宋体" w:cs="Times New Roman"/>
          <w:bCs/>
          <w:sz w:val="21"/>
          <w:szCs w:val="21"/>
          <w:highlight w:val="none"/>
        </w:rPr>
        <w:t xml:space="preserve">5、乙方在服务期内，若受到国家、省、市市场监督管理部门、生态环境主管部门以及行业协会通报批评或行政处罚的，甲方有权利视情况终止合同，并要求乙方赔偿甲方因此所遭受的损失。</w:t>
      </w:r>
      <w:r>
        <w:rPr>
          <w:highlight w:val="none"/>
        </w:rPr>
      </w:r>
    </w:p>
    <w:p>
      <w:pPr>
        <w:ind w:left="0" w:firstLine="480"/>
        <w:spacing w:line="360" w:lineRule="auto"/>
        <w:widowControl w:val="off"/>
        <w:rPr>
          <w:rFonts w:ascii="宋体" w:hAnsi="宋体" w:cs="Times New Roman"/>
          <w:bCs/>
          <w:sz w:val="21"/>
          <w:szCs w:val="21"/>
          <w:highlight w:val="none"/>
        </w:rPr>
      </w:pPr>
      <w:r>
        <w:rPr>
          <w:rFonts w:ascii="宋体" w:hAnsi="宋体" w:cs="Times New Roman"/>
          <w:bCs/>
          <w:sz w:val="21"/>
          <w:szCs w:val="21"/>
          <w:highlight w:val="none"/>
        </w:rPr>
        <w:t xml:space="preserve">6</w:t>
      </w:r>
      <w:r>
        <w:rPr>
          <w:rFonts w:hint="eastAsia" w:ascii="宋体" w:hAnsi="宋体" w:cs="Times New Roman"/>
          <w:bCs/>
          <w:sz w:val="21"/>
          <w:szCs w:val="21"/>
          <w:highlight w:val="none"/>
        </w:rPr>
        <w:t xml:space="preserve">、以上赔偿范围包括但不限于造成的甲方直接损失以及甲方因此合理维权而发生的差旅费、调查取证费、律师费、诉讼费、仲裁费、公告费、鉴定费、保全费、担保费用等。</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八、不可抗力：</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1、因不可抗力不能履行合同的，根据不可抗力的影响，部分或者全部免除责任。但合同一方延迟履行后发生不可抗力的，不能免除责任。</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 合同一方因不可抗力不能履行合同的，应当及时通知对方，以减轻可能给对方造成的损失，并应当在合理期限内提供证明。</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九、合同修改：</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甲方和乙方都不得擅自变更本合同，但合同继续履行将损害国家和社会公共利益的除外。如必须对合同条款进行修改及补充时，当事人双方须共同签署书面文件，作为合同的补充，与主合同具有同等法律效力。</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十、合同的解除和转让：</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1、有下列情形之一，合同一方可以解除合同：</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（1）因不可抗力致使不能实现合同目的，未受不可抗力影响的一方有权解除合同。</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（2）因合同一方违约，另一方有权解除合同。</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2、有权解除合同的一方，应当在违约事实或不可抗力发生之后三十天内书面通知对方以主张解除合同，合同在书面通知到达对方时解除。</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3、合同的部分和全部都不得转让。</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十一、争议解决办法：</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因本合同或与本合同有关的一切事项发生争议，由双方友好协商解决。协商不成的，任何一方均可选择向甲方所在地的人民法院起诉。</w:t>
      </w:r>
      <w:r>
        <w:rPr>
          <w:highlight w:val="none"/>
        </w:rPr>
      </w:r>
    </w:p>
    <w:p>
      <w:pPr>
        <w:ind w:left="0" w:firstLine="482"/>
        <w:spacing w:line="360" w:lineRule="auto"/>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十二、合同生效及份数：</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1、本合同经甲乙双方法定（授权）代表人签字（或盖章）并盖单位公章后生效。</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2、本合同一式 六 份，甲方、乙方各执 二 份，采购代理机构二份。</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甲方（盖章）：</w:t>
      </w:r>
      <w:r>
        <w:rPr>
          <w:rFonts w:hint="eastAsia" w:ascii="宋体" w:hAnsi="宋体" w:cs="Times New Roman"/>
          <w:bCs/>
          <w:sz w:val="21"/>
          <w:szCs w:val="21"/>
          <w:highlight w:val="none"/>
        </w:rPr>
        <w:tab/>
        <w:t xml:space="preserve">              </w:t>
      </w:r>
      <w:r>
        <w:rPr>
          <w:rFonts w:ascii="宋体" w:hAnsi="宋体" w:cs="Times New Roman"/>
          <w:bCs/>
          <w:sz w:val="21"/>
          <w:szCs w:val="21"/>
          <w:highlight w:val="none"/>
        </w:rPr>
        <w:t xml:space="preserve">  </w:t>
      </w:r>
      <w:r>
        <w:rPr>
          <w:rFonts w:hint="eastAsia" w:ascii="宋体" w:hAnsi="宋体" w:cs="Times New Roman"/>
          <w:bCs/>
          <w:sz w:val="21"/>
          <w:szCs w:val="21"/>
          <w:highlight w:val="none"/>
        </w:rPr>
        <w:t xml:space="preserve">乙方（盖章）：</w:t>
      </w:r>
      <w:r>
        <w:rPr>
          <w:highlight w:val="none"/>
        </w:rPr>
      </w:r>
    </w:p>
    <w:p>
      <w:pPr>
        <w:ind w:left="0" w:firstLine="480"/>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法定（授权）代表人（签字）：</w:t>
      </w:r>
      <w:r>
        <w:rPr>
          <w:rFonts w:hint="eastAsia" w:ascii="宋体" w:hAnsi="宋体" w:cs="Times New Roman"/>
          <w:bCs/>
          <w:sz w:val="21"/>
          <w:szCs w:val="21"/>
          <w:highlight w:val="none"/>
        </w:rPr>
        <w:tab/>
        <w:t xml:space="preserve">法定（授权）代表人（签字）：</w:t>
      </w:r>
      <w:r>
        <w:rPr>
          <w:highlight w:val="none"/>
        </w:rPr>
      </w:r>
    </w:p>
    <w:p>
      <w:pPr>
        <w:ind w:left="0" w:firstLine="480"/>
        <w:spacing w:line="360" w:lineRule="auto"/>
        <w:widowControl w:val="off"/>
        <w:rPr>
          <w:rFonts w:ascii="宋体" w:hAnsi="宋体" w:cs="Times New Roman"/>
          <w:sz w:val="21"/>
          <w:szCs w:val="21"/>
          <w:highlight w:val="none"/>
        </w:rPr>
      </w:pPr>
      <w:r>
        <w:rPr>
          <w:rFonts w:hint="eastAsia" w:ascii="宋体" w:hAnsi="宋体" w:cs="Times New Roman"/>
          <w:bCs/>
          <w:sz w:val="21"/>
          <w:szCs w:val="21"/>
          <w:highlight w:val="none"/>
        </w:rPr>
        <w:t xml:space="preserve">日期：                      </w:t>
      </w:r>
      <w:r>
        <w:rPr>
          <w:rFonts w:hint="eastAsia" w:ascii="宋体" w:hAnsi="宋体" w:cs="Times New Roman"/>
          <w:bCs/>
          <w:sz w:val="21"/>
          <w:szCs w:val="21"/>
          <w:highlight w:val="none"/>
        </w:rPr>
        <w:tab/>
      </w:r>
      <w:r>
        <w:rPr>
          <w:rFonts w:ascii="宋体" w:hAnsi="宋体" w:cs="Times New Roman"/>
          <w:bCs/>
          <w:sz w:val="21"/>
          <w:szCs w:val="21"/>
          <w:highlight w:val="none"/>
        </w:rPr>
        <w:t xml:space="preserve">     </w:t>
      </w:r>
      <w:r>
        <w:rPr>
          <w:rFonts w:hint="eastAsia" w:ascii="宋体" w:hAnsi="宋体" w:cs="Times New Roman"/>
          <w:bCs/>
          <w:sz w:val="21"/>
          <w:szCs w:val="21"/>
          <w:highlight w:val="none"/>
        </w:rPr>
        <w:t xml:space="preserve">日期：</w:t>
      </w:r>
      <w:r>
        <w:rPr>
          <w:highlight w:val="none"/>
        </w:rPr>
      </w:r>
    </w:p>
    <w:p>
      <w:pPr>
        <w:pStyle w:val="889"/>
        <w:ind w:left="400" w:firstLine="0"/>
        <w:jc w:val="left"/>
        <w:rPr>
          <w:b/>
          <w:sz w:val="21"/>
          <w:szCs w:val="21"/>
          <w:highlight w:val="none"/>
        </w:rPr>
      </w:pPr>
      <w:r>
        <w:rPr>
          <w:b/>
          <w:sz w:val="21"/>
          <w:szCs w:val="21"/>
          <w:highlight w:val="none"/>
        </w:rPr>
      </w:r>
      <w:r>
        <w:rPr>
          <w:highlight w:val="none"/>
        </w:rPr>
      </w:r>
    </w:p>
    <w:p>
      <w:pPr>
        <w:pStyle w:val="889"/>
        <w:ind w:left="400" w:firstLine="0"/>
        <w:jc w:val="left"/>
        <w:rPr>
          <w:b/>
          <w:sz w:val="21"/>
          <w:szCs w:val="21"/>
          <w:highlight w:val="none"/>
        </w:rPr>
      </w:pPr>
      <w:r>
        <w:rPr>
          <w:b/>
          <w:sz w:val="21"/>
          <w:szCs w:val="21"/>
          <w:highlight w:val="none"/>
        </w:rPr>
      </w:r>
      <w:r>
        <w:rPr>
          <w:highlight w:val="none"/>
        </w:rPr>
      </w:r>
    </w:p>
    <w:p>
      <w:pPr>
        <w:shd w:val="nil"/>
        <w:rPr>
          <w:b/>
          <w:bCs/>
          <w:sz w:val="21"/>
          <w:szCs w:val="21"/>
          <w:highlight w:val="none"/>
        </w:rPr>
      </w:pPr>
      <w:r>
        <w:rPr>
          <w:rFonts w:hint="eastAsia"/>
          <w:b/>
          <w:sz w:val="21"/>
          <w:szCs w:val="21"/>
          <w:highlight w:val="none"/>
        </w:rPr>
        <w:br w:type="page" w:clear="all"/>
      </w:r>
      <w:r>
        <w:rPr>
          <w:rFonts w:hint="eastAsia"/>
          <w:b/>
          <w:sz w:val="21"/>
          <w:szCs w:val="21"/>
          <w:highlight w:val="none"/>
        </w:rPr>
      </w:r>
    </w:p>
    <w:p>
      <w:pPr>
        <w:pStyle w:val="889"/>
        <w:ind w:left="400" w:firstLine="0"/>
        <w:jc w:val="left"/>
        <w:rPr>
          <w:rFonts w:hint="eastAsia"/>
          <w:b/>
          <w:bCs/>
          <w:sz w:val="21"/>
          <w:szCs w:val="21"/>
          <w:highlight w:val="none"/>
        </w:rPr>
      </w:pPr>
      <w:r>
        <w:rPr>
          <w:rFonts w:hint="eastAsia"/>
          <w:b/>
          <w:sz w:val="21"/>
          <w:szCs w:val="21"/>
          <w:highlight w:val="none"/>
        </w:rPr>
        <w:t xml:space="preserve">附件</w:t>
      </w:r>
      <w:r>
        <w:rPr>
          <w:rFonts w:hint="eastAsia"/>
          <w:b/>
          <w:sz w:val="21"/>
          <w:szCs w:val="21"/>
          <w:highlight w:val="none"/>
        </w:rPr>
        <w:t xml:space="preserve"> </w:t>
      </w:r>
      <w:r>
        <w:rPr>
          <w:rFonts w:hint="eastAsia"/>
          <w:b/>
          <w:sz w:val="21"/>
          <w:szCs w:val="21"/>
          <w:highlight w:val="none"/>
        </w:rPr>
        <w:t xml:space="preserve">考核标准</w:t>
      </w:r>
      <w:r>
        <w:rPr>
          <w:highlight w:val="none"/>
        </w:rPr>
      </w:r>
    </w:p>
    <w:p>
      <w:pPr>
        <w:pStyle w:val="889"/>
        <w:ind w:left="400" w:firstLine="0"/>
        <w:jc w:val="center"/>
        <w:rPr>
          <w:b/>
          <w:sz w:val="21"/>
          <w:szCs w:val="21"/>
          <w:highlight w:val="none"/>
        </w:rPr>
      </w:pPr>
      <w:r>
        <w:rPr>
          <w:rFonts w:hint="eastAsia"/>
          <w:b/>
          <w:sz w:val="21"/>
          <w:szCs w:val="21"/>
          <w:highlight w:val="none"/>
          <w:lang w:val="zh-CN"/>
        </w:rPr>
        <w:t xml:space="preserve">二标段</w:t>
      </w:r>
      <w:r>
        <w:rPr>
          <w:highlight w:val="none"/>
        </w:rP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0"/>
        <w:gridCol w:w="1126"/>
        <w:gridCol w:w="4134"/>
        <w:gridCol w:w="794"/>
        <w:gridCol w:w="1564"/>
        <w:gridCol w:w="913"/>
      </w:tblGrid>
      <w:tr>
        <w:trPr>
          <w:jc w:val="center"/>
          <w:trHeight w:val="567"/>
        </w:trPr>
        <w:tc>
          <w:tcPr>
            <w:gridSpan w:val="6"/>
            <w:tcW w:w="9101" w:type="dxa"/>
            <w:vAlign w:val="center"/>
            <w:textDirection w:val="lrTb"/>
            <w:noWrap w:val="false"/>
          </w:tcPr>
          <w:p>
            <w:pPr>
              <w:ind w:left="0"/>
              <w:jc w:val="center"/>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2026年度环境空气（噪声）质量保障项目</w:t>
            </w:r>
            <w:r>
              <w:rPr>
                <w:highlight w:val="none"/>
              </w:rPr>
            </w:r>
          </w:p>
        </w:tc>
      </w:tr>
      <w:tr>
        <w:trPr>
          <w:jc w:val="center"/>
          <w:trHeight w:val="567"/>
        </w:trPr>
        <w:tc>
          <w:tcPr>
            <w:tcW w:w="570"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rPr>
                <w:highlight w:val="none"/>
              </w:rPr>
            </w:r>
          </w:p>
        </w:tc>
        <w:tc>
          <w:tcPr>
            <w:tcW w:w="112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考核内容</w:t>
            </w:r>
            <w:r>
              <w:rPr>
                <w:highlight w:val="none"/>
              </w:rPr>
            </w:r>
          </w:p>
        </w:tc>
        <w:tc>
          <w:tcPr>
            <w:tcW w:w="4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考核标准</w:t>
            </w:r>
            <w:r>
              <w:rPr>
                <w:highlight w:val="none"/>
              </w:rPr>
            </w:r>
          </w:p>
        </w:tc>
        <w:tc>
          <w:tcPr>
            <w:tcW w:w="79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标准分</w:t>
            </w:r>
            <w:r>
              <w:rPr>
                <w:highlight w:val="none"/>
              </w:rPr>
            </w:r>
          </w:p>
        </w:tc>
        <w:tc>
          <w:tcPr>
            <w:tcW w:w="156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扣分原因</w:t>
            </w:r>
            <w:r>
              <w:rPr>
                <w:highlight w:val="none"/>
              </w:rPr>
            </w:r>
          </w:p>
        </w:tc>
        <w:tc>
          <w:tcPr>
            <w:tcW w:w="91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得分</w:t>
            </w:r>
            <w:r>
              <w:rPr>
                <w:highlight w:val="none"/>
              </w:rPr>
            </w:r>
          </w:p>
        </w:tc>
      </w:tr>
      <w:tr>
        <w:trPr>
          <w:jc w:val="center"/>
          <w:trHeight w:val="567"/>
        </w:trPr>
        <w:tc>
          <w:tcPr>
            <w:tcW w:w="570"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1</w:t>
            </w:r>
            <w:r>
              <w:rPr>
                <w:highlight w:val="none"/>
              </w:rPr>
            </w:r>
          </w:p>
        </w:tc>
        <w:tc>
          <w:tcPr>
            <w:tcW w:w="112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人员配备情况</w:t>
            </w:r>
            <w:r>
              <w:rPr>
                <w:highlight w:val="none"/>
              </w:rPr>
            </w:r>
          </w:p>
        </w:tc>
        <w:tc>
          <w:tcPr>
            <w:tcW w:w="4134" w:type="dxa"/>
            <w:vAlign w:val="center"/>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配备完成该项目所需的服务人员未经招标单位同意随意更换的，每发现一次扣5分</w:t>
            </w:r>
            <w:r>
              <w:rPr>
                <w:highlight w:val="none"/>
              </w:rPr>
            </w:r>
          </w:p>
        </w:tc>
        <w:tc>
          <w:tcPr>
            <w:tcW w:w="79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20</w:t>
            </w:r>
            <w:r>
              <w:rPr>
                <w:highlight w:val="none"/>
              </w:rPr>
            </w:r>
          </w:p>
        </w:tc>
        <w:tc>
          <w:tcPr>
            <w:tcW w:w="156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1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473"/>
        </w:trPr>
        <w:tc>
          <w:tcPr>
            <w:tcW w:w="570"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2</w:t>
            </w:r>
            <w:r>
              <w:rPr>
                <w:highlight w:val="none"/>
              </w:rPr>
            </w:r>
          </w:p>
        </w:tc>
        <w:tc>
          <w:tcPr>
            <w:tcW w:w="112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服务响应时间</w:t>
            </w:r>
            <w:r>
              <w:rPr>
                <w:highlight w:val="none"/>
              </w:rPr>
            </w:r>
          </w:p>
        </w:tc>
        <w:tc>
          <w:tcPr>
            <w:tcW w:w="4134" w:type="dxa"/>
            <w:vAlign w:val="center"/>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响应时间长于</w:t>
            </w:r>
            <w:r>
              <w:rPr>
                <w:rFonts w:ascii="宋体" w:hAnsi="宋体" w:cs="Times New Roman"/>
                <w:sz w:val="21"/>
                <w:szCs w:val="21"/>
                <w:highlight w:val="none"/>
              </w:rPr>
              <w:t xml:space="preserve">1小时</w:t>
            </w:r>
            <w:r>
              <w:rPr>
                <w:rFonts w:hint="eastAsia" w:ascii="宋体" w:hAnsi="宋体" w:cs="Times New Roman"/>
                <w:sz w:val="21"/>
                <w:szCs w:val="21"/>
                <w:highlight w:val="none"/>
              </w:rPr>
              <w:t xml:space="preserve">，每发现一次扣</w:t>
            </w:r>
            <w:r>
              <w:rPr>
                <w:rFonts w:ascii="宋体" w:hAnsi="宋体" w:cs="Times New Roman"/>
                <w:sz w:val="21"/>
                <w:szCs w:val="21"/>
                <w:highlight w:val="none"/>
              </w:rPr>
              <w:t xml:space="preserve">5分</w:t>
            </w:r>
            <w:r>
              <w:rPr>
                <w:rFonts w:hint="eastAsia" w:ascii="宋体" w:hAnsi="宋体" w:cs="Times New Roman"/>
                <w:sz w:val="21"/>
                <w:szCs w:val="21"/>
                <w:highlight w:val="none"/>
              </w:rPr>
              <w:t xml:space="preserve">；</w:t>
            </w:r>
            <w:r>
              <w:rPr>
                <w:rFonts w:hint="eastAsia" w:ascii="宋体" w:hAnsi="宋体" w:cs="Times New Roman"/>
                <w:bCs/>
                <w:sz w:val="21"/>
                <w:szCs w:val="21"/>
                <w:highlight w:val="none"/>
              </w:rPr>
              <w:t xml:space="preserve">视频数据要确保连贯性，非不可抗力的原因造成</w:t>
            </w:r>
            <w:r>
              <w:rPr>
                <w:rFonts w:ascii="宋体" w:hAnsi="宋体" w:cs="Times New Roman"/>
                <w:bCs/>
                <w:sz w:val="21"/>
                <w:szCs w:val="21"/>
                <w:highlight w:val="none"/>
              </w:rPr>
              <w:t xml:space="preserve">1小时及以上的数据缺失，且未能及时响应解决</w:t>
            </w:r>
            <w:r>
              <w:rPr>
                <w:rFonts w:hint="eastAsia" w:ascii="宋体" w:hAnsi="宋体" w:cs="Times New Roman"/>
                <w:bCs/>
                <w:sz w:val="21"/>
                <w:szCs w:val="21"/>
                <w:highlight w:val="none"/>
              </w:rPr>
              <w:t xml:space="preserve">，每发现一次扣</w:t>
            </w:r>
            <w:r>
              <w:rPr>
                <w:rFonts w:ascii="宋体" w:hAnsi="宋体" w:cs="Times New Roman"/>
                <w:bCs/>
                <w:sz w:val="21"/>
                <w:szCs w:val="21"/>
                <w:highlight w:val="none"/>
              </w:rPr>
              <w:t xml:space="preserve">5</w:t>
            </w:r>
            <w:r>
              <w:rPr>
                <w:rFonts w:hint="eastAsia" w:ascii="宋体" w:hAnsi="宋体" w:cs="Times New Roman"/>
                <w:bCs/>
                <w:sz w:val="21"/>
                <w:szCs w:val="21"/>
                <w:highlight w:val="none"/>
              </w:rPr>
              <w:t xml:space="preserve">分；视频服务未能及时识别到焚烧火点、工地扬尘等各类异常点，每发现一次扣</w:t>
            </w:r>
            <w:r>
              <w:rPr>
                <w:rFonts w:ascii="宋体" w:hAnsi="宋体" w:cs="Times New Roman"/>
                <w:bCs/>
                <w:sz w:val="21"/>
                <w:szCs w:val="21"/>
                <w:highlight w:val="none"/>
              </w:rPr>
              <w:t xml:space="preserve">5分</w:t>
            </w:r>
            <w:r>
              <w:rPr>
                <w:highlight w:val="none"/>
              </w:rPr>
            </w:r>
          </w:p>
        </w:tc>
        <w:tc>
          <w:tcPr>
            <w:tcW w:w="79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20</w:t>
            </w:r>
            <w:r>
              <w:rPr>
                <w:highlight w:val="none"/>
              </w:rPr>
            </w:r>
          </w:p>
        </w:tc>
        <w:tc>
          <w:tcPr>
            <w:tcW w:w="156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1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567"/>
        </w:trPr>
        <w:tc>
          <w:tcPr>
            <w:tcW w:w="570"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3</w:t>
            </w:r>
            <w:r>
              <w:rPr>
                <w:highlight w:val="none"/>
              </w:rPr>
            </w:r>
          </w:p>
        </w:tc>
        <w:tc>
          <w:tcPr>
            <w:tcW w:w="1126"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项目实施进度</w:t>
            </w:r>
            <w:r>
              <w:rPr>
                <w:highlight w:val="none"/>
              </w:rPr>
            </w:r>
          </w:p>
        </w:tc>
        <w:tc>
          <w:tcPr>
            <w:tcW w:w="4134" w:type="dxa"/>
            <w:vAlign w:val="center"/>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项目</w:t>
            </w:r>
            <w:r>
              <w:rPr>
                <w:rFonts w:ascii="宋体" w:hAnsi="宋体" w:cs="Times New Roman"/>
                <w:sz w:val="21"/>
                <w:szCs w:val="21"/>
                <w:highlight w:val="none"/>
              </w:rPr>
              <w:t xml:space="preserve">未按</w:t>
            </w:r>
            <w:r>
              <w:rPr>
                <w:rFonts w:hint="eastAsia" w:ascii="宋体" w:hAnsi="宋体" w:cs="Times New Roman"/>
                <w:sz w:val="21"/>
                <w:szCs w:val="21"/>
                <w:highlight w:val="none"/>
              </w:rPr>
              <w:t xml:space="preserve">甲方要求节点</w:t>
            </w:r>
            <w:r>
              <w:rPr>
                <w:rFonts w:ascii="宋体" w:hAnsi="宋体" w:cs="Times New Roman"/>
                <w:sz w:val="21"/>
                <w:szCs w:val="21"/>
                <w:highlight w:val="none"/>
              </w:rPr>
              <w:t xml:space="preserve">完成</w:t>
            </w:r>
            <w:r>
              <w:rPr>
                <w:rFonts w:hint="eastAsia" w:ascii="宋体" w:hAnsi="宋体" w:cs="Times New Roman"/>
                <w:sz w:val="21"/>
                <w:szCs w:val="21"/>
                <w:highlight w:val="none"/>
              </w:rPr>
              <w:t xml:space="preserve">，每发现一次</w:t>
            </w:r>
            <w:r>
              <w:rPr>
                <w:rFonts w:ascii="宋体" w:hAnsi="宋体" w:cs="Times New Roman"/>
                <w:sz w:val="21"/>
                <w:szCs w:val="21"/>
                <w:highlight w:val="none"/>
              </w:rPr>
              <w:t xml:space="preserve">扣</w:t>
            </w:r>
            <w:r>
              <w:rPr>
                <w:rFonts w:hint="eastAsia" w:ascii="宋体" w:hAnsi="宋体" w:cs="Times New Roman"/>
                <w:sz w:val="21"/>
                <w:szCs w:val="21"/>
                <w:highlight w:val="none"/>
              </w:rPr>
              <w:t xml:space="preserve">5分</w:t>
            </w:r>
            <w:r>
              <w:rPr>
                <w:highlight w:val="none"/>
              </w:rPr>
            </w:r>
          </w:p>
        </w:tc>
        <w:tc>
          <w:tcPr>
            <w:tcW w:w="79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20</w:t>
            </w:r>
            <w:r>
              <w:rPr>
                <w:highlight w:val="none"/>
              </w:rPr>
            </w:r>
          </w:p>
        </w:tc>
        <w:tc>
          <w:tcPr>
            <w:tcW w:w="156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1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567"/>
        </w:trPr>
        <w:tc>
          <w:tcPr>
            <w:tcW w:w="570"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4</w:t>
            </w:r>
            <w:r>
              <w:rPr>
                <w:highlight w:val="none"/>
              </w:rPr>
            </w:r>
          </w:p>
        </w:tc>
        <w:tc>
          <w:tcPr>
            <w:tcW w:w="112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与</w:t>
            </w:r>
            <w:r>
              <w:rPr>
                <w:rFonts w:hint="eastAsia" w:ascii="宋体" w:hAnsi="宋体" w:cs="Times New Roman"/>
                <w:sz w:val="21"/>
                <w:szCs w:val="21"/>
                <w:highlight w:val="none"/>
              </w:rPr>
              <w:t xml:space="preserve">甲方</w:t>
            </w:r>
            <w:r>
              <w:rPr>
                <w:rFonts w:ascii="宋体" w:hAnsi="宋体" w:cs="Times New Roman"/>
                <w:sz w:val="21"/>
                <w:szCs w:val="21"/>
                <w:highlight w:val="none"/>
              </w:rPr>
              <w:t xml:space="preserve">配合度</w:t>
            </w:r>
            <w:r>
              <w:rPr>
                <w:highlight w:val="none"/>
              </w:rPr>
            </w:r>
          </w:p>
        </w:tc>
        <w:tc>
          <w:tcPr>
            <w:tcBorders>
              <w:top w:val="single" w:color="4BACC6" w:themeColor="accent5" w:sz="4" w:space="0"/>
            </w:tcBorders>
            <w:tcW w:w="4134" w:type="dxa"/>
            <w:vAlign w:val="center"/>
            <w:textDirection w:val="lrTb"/>
            <w:noWrap w:val="false"/>
          </w:tcPr>
          <w:p>
            <w:pPr>
              <w:ind w:left="0"/>
              <w:jc w:val="left"/>
              <w:widowControl w:val="off"/>
              <w:rPr>
                <w:rFonts w:ascii="宋体" w:hAnsi="宋体" w:cs="Times New Roman"/>
                <w:sz w:val="21"/>
                <w:szCs w:val="21"/>
                <w:highlight w:val="none"/>
              </w:rPr>
            </w:pPr>
            <w:r>
              <w:rPr>
                <w:rFonts w:ascii="宋体" w:hAnsi="宋体" w:cs="Times New Roman"/>
                <w:sz w:val="21"/>
                <w:szCs w:val="21"/>
                <w:highlight w:val="none"/>
              </w:rPr>
              <w:t xml:space="preserve">根据配合度情况</w:t>
            </w:r>
            <w:r>
              <w:rPr>
                <w:rFonts w:hint="eastAsia" w:ascii="宋体" w:hAnsi="宋体" w:cs="Times New Roman"/>
                <w:sz w:val="21"/>
                <w:szCs w:val="21"/>
                <w:highlight w:val="none"/>
              </w:rPr>
              <w:t xml:space="preserve">，</w:t>
            </w:r>
            <w:r>
              <w:rPr>
                <w:rFonts w:ascii="宋体" w:hAnsi="宋体" w:cs="Times New Roman"/>
                <w:sz w:val="21"/>
                <w:szCs w:val="21"/>
                <w:highlight w:val="none"/>
              </w:rPr>
              <w:t xml:space="preserve">酌情进行扣分</w:t>
            </w:r>
            <w:r>
              <w:rPr>
                <w:highlight w:val="none"/>
              </w:rPr>
            </w:r>
          </w:p>
        </w:tc>
        <w:tc>
          <w:tcPr>
            <w:tcW w:w="79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20</w:t>
            </w:r>
            <w:r>
              <w:rPr>
                <w:highlight w:val="none"/>
              </w:rPr>
            </w:r>
          </w:p>
        </w:tc>
        <w:tc>
          <w:tcPr>
            <w:tcW w:w="156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1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567"/>
        </w:trPr>
        <w:tc>
          <w:tcPr>
            <w:tcW w:w="570"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5</w:t>
            </w:r>
            <w:r>
              <w:rPr>
                <w:highlight w:val="none"/>
              </w:rPr>
            </w:r>
          </w:p>
        </w:tc>
        <w:tc>
          <w:tcPr>
            <w:tcW w:w="112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服务成果</w:t>
            </w:r>
            <w:r>
              <w:rPr>
                <w:highlight w:val="none"/>
              </w:rPr>
            </w:r>
          </w:p>
        </w:tc>
        <w:tc>
          <w:tcPr>
            <w:tcW w:w="4134" w:type="dxa"/>
            <w:vAlign w:val="center"/>
            <w:textDirection w:val="lrTb"/>
            <w:noWrap w:val="false"/>
          </w:tcPr>
          <w:p>
            <w:pPr>
              <w:ind w:left="0"/>
              <w:jc w:val="left"/>
              <w:widowControl w:val="off"/>
              <w:rPr>
                <w:rFonts w:ascii="宋体" w:hAnsi="宋体" w:cs="Times New Roman"/>
                <w:sz w:val="21"/>
                <w:szCs w:val="21"/>
                <w:highlight w:val="none"/>
              </w:rPr>
            </w:pPr>
            <w:r>
              <w:rPr>
                <w:rFonts w:ascii="宋体" w:hAnsi="宋体" w:cs="Times New Roman"/>
                <w:sz w:val="21"/>
                <w:szCs w:val="21"/>
                <w:highlight w:val="none"/>
              </w:rPr>
              <w:t xml:space="preserve">成果不满足要求</w:t>
            </w:r>
            <w:r>
              <w:rPr>
                <w:rFonts w:hint="eastAsia" w:ascii="宋体" w:hAnsi="宋体" w:cs="Times New Roman"/>
                <w:sz w:val="21"/>
                <w:szCs w:val="21"/>
                <w:highlight w:val="none"/>
              </w:rPr>
              <w:t xml:space="preserve">，</w:t>
            </w:r>
            <w:r>
              <w:rPr>
                <w:rFonts w:ascii="宋体" w:hAnsi="宋体" w:cs="Times New Roman"/>
                <w:sz w:val="21"/>
                <w:szCs w:val="21"/>
                <w:highlight w:val="none"/>
              </w:rPr>
              <w:t xml:space="preserve">酌情进行扣分</w:t>
            </w:r>
            <w:r>
              <w:rPr>
                <w:highlight w:val="none"/>
              </w:rPr>
            </w:r>
          </w:p>
        </w:tc>
        <w:tc>
          <w:tcPr>
            <w:tcW w:w="79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20</w:t>
            </w:r>
            <w:r>
              <w:rPr>
                <w:highlight w:val="none"/>
              </w:rPr>
            </w:r>
          </w:p>
        </w:tc>
        <w:tc>
          <w:tcPr>
            <w:tcW w:w="156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1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r>
        <w:trPr>
          <w:jc w:val="center"/>
          <w:trHeight w:val="567"/>
        </w:trPr>
        <w:tc>
          <w:tcPr>
            <w:gridSpan w:val="2"/>
            <w:tcW w:w="1696"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总分</w:t>
            </w:r>
            <w:r>
              <w:rPr>
                <w:highlight w:val="none"/>
              </w:rPr>
            </w:r>
          </w:p>
        </w:tc>
        <w:tc>
          <w:tcPr>
            <w:tcW w:w="4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79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100</w:t>
            </w:r>
            <w:r>
              <w:rPr>
                <w:highlight w:val="none"/>
              </w:rPr>
            </w:r>
          </w:p>
        </w:tc>
        <w:tc>
          <w:tcPr>
            <w:tcW w:w="156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c>
          <w:tcPr>
            <w:tcW w:w="91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tc>
      </w:tr>
    </w:tbl>
    <w:p>
      <w:pPr>
        <w:ind w:left="0" w:firstLine="480"/>
        <w:spacing w:line="360" w:lineRule="auto"/>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p>
    <w:p>
      <w:pPr>
        <w:ind w:left="0" w:firstLine="48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1）当9</w:t>
      </w:r>
      <w:r>
        <w:rPr>
          <w:rFonts w:ascii="宋体" w:hAnsi="宋体" w:cs="Times New Roman"/>
          <w:sz w:val="21"/>
          <w:szCs w:val="21"/>
          <w:highlight w:val="none"/>
        </w:rPr>
        <w:t xml:space="preserve">0</w:t>
      </w:r>
      <w:r>
        <w:rPr>
          <w:rFonts w:hint="eastAsia" w:ascii="宋体" w:hAnsi="宋体" w:cs="Times New Roman"/>
          <w:sz w:val="21"/>
          <w:szCs w:val="21"/>
          <w:highlight w:val="none"/>
        </w:rPr>
        <w:t xml:space="preserve">分≤考评结果，实际尾款金额=合同总价款*1</w:t>
      </w: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%*100%；</w:t>
      </w:r>
      <w:r>
        <w:rPr>
          <w:highlight w:val="none"/>
        </w:rPr>
      </w:r>
    </w:p>
    <w:p>
      <w:pPr>
        <w:ind w:left="0" w:firstLine="48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2）当8</w:t>
      </w:r>
      <w:r>
        <w:rPr>
          <w:rFonts w:ascii="宋体" w:hAnsi="宋体" w:cs="Times New Roman"/>
          <w:sz w:val="21"/>
          <w:szCs w:val="21"/>
          <w:highlight w:val="none"/>
        </w:rPr>
        <w:t xml:space="preserve">0</w:t>
      </w:r>
      <w:r>
        <w:rPr>
          <w:rFonts w:hint="eastAsia" w:ascii="宋体" w:hAnsi="宋体" w:cs="Times New Roman"/>
          <w:sz w:val="21"/>
          <w:szCs w:val="21"/>
          <w:highlight w:val="none"/>
        </w:rPr>
        <w:t xml:space="preserve">分≤考评结果＜9</w:t>
      </w:r>
      <w:r>
        <w:rPr>
          <w:rFonts w:ascii="宋体" w:hAnsi="宋体" w:cs="Times New Roman"/>
          <w:sz w:val="21"/>
          <w:szCs w:val="21"/>
          <w:highlight w:val="none"/>
        </w:rPr>
        <w:t xml:space="preserve">0</w:t>
      </w:r>
      <w:r>
        <w:rPr>
          <w:rFonts w:hint="eastAsia" w:ascii="宋体" w:hAnsi="宋体" w:cs="Times New Roman"/>
          <w:sz w:val="21"/>
          <w:szCs w:val="21"/>
          <w:highlight w:val="none"/>
        </w:rPr>
        <w:t xml:space="preserve">分，实际尾款金额=合同总价款*1</w:t>
      </w: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%*90%；</w:t>
      </w:r>
      <w:r>
        <w:rPr>
          <w:highlight w:val="none"/>
        </w:rPr>
      </w:r>
    </w:p>
    <w:p>
      <w:pPr>
        <w:ind w:left="0" w:firstLine="48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3）当7</w:t>
      </w:r>
      <w:r>
        <w:rPr>
          <w:rFonts w:ascii="宋体" w:hAnsi="宋体" w:cs="Times New Roman"/>
          <w:sz w:val="21"/>
          <w:szCs w:val="21"/>
          <w:highlight w:val="none"/>
        </w:rPr>
        <w:t xml:space="preserve">0</w:t>
      </w:r>
      <w:r>
        <w:rPr>
          <w:rFonts w:hint="eastAsia" w:ascii="宋体" w:hAnsi="宋体" w:cs="Times New Roman"/>
          <w:sz w:val="21"/>
          <w:szCs w:val="21"/>
          <w:highlight w:val="none"/>
        </w:rPr>
        <w:t xml:space="preserve">分≤考评结果＜8</w:t>
      </w:r>
      <w:r>
        <w:rPr>
          <w:rFonts w:ascii="宋体" w:hAnsi="宋体" w:cs="Times New Roman"/>
          <w:sz w:val="21"/>
          <w:szCs w:val="21"/>
          <w:highlight w:val="none"/>
        </w:rPr>
        <w:t xml:space="preserve">0</w:t>
      </w:r>
      <w:r>
        <w:rPr>
          <w:rFonts w:hint="eastAsia" w:ascii="宋体" w:hAnsi="宋体" w:cs="Times New Roman"/>
          <w:sz w:val="21"/>
          <w:szCs w:val="21"/>
          <w:highlight w:val="none"/>
        </w:rPr>
        <w:t xml:space="preserve">分，实际尾款金额=合同总价款*1</w:t>
      </w: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%*80%；</w:t>
      </w:r>
      <w:r>
        <w:rPr>
          <w:highlight w:val="none"/>
        </w:rPr>
      </w:r>
    </w:p>
    <w:p>
      <w:pPr>
        <w:ind w:left="0" w:firstLine="48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4）当6</w:t>
      </w:r>
      <w:r>
        <w:rPr>
          <w:rFonts w:ascii="宋体" w:hAnsi="宋体" w:cs="Times New Roman"/>
          <w:sz w:val="21"/>
          <w:szCs w:val="21"/>
          <w:highlight w:val="none"/>
        </w:rPr>
        <w:t xml:space="preserve">0</w:t>
      </w:r>
      <w:r>
        <w:rPr>
          <w:rFonts w:hint="eastAsia" w:ascii="宋体" w:hAnsi="宋体" w:cs="Times New Roman"/>
          <w:sz w:val="21"/>
          <w:szCs w:val="21"/>
          <w:highlight w:val="none"/>
        </w:rPr>
        <w:t xml:space="preserve">分≤考评结果＜7</w:t>
      </w:r>
      <w:r>
        <w:rPr>
          <w:rFonts w:ascii="宋体" w:hAnsi="宋体" w:cs="Times New Roman"/>
          <w:sz w:val="21"/>
          <w:szCs w:val="21"/>
          <w:highlight w:val="none"/>
        </w:rPr>
        <w:t xml:space="preserve">0</w:t>
      </w:r>
      <w:r>
        <w:rPr>
          <w:rFonts w:hint="eastAsia" w:ascii="宋体" w:hAnsi="宋体" w:cs="Times New Roman"/>
          <w:sz w:val="21"/>
          <w:szCs w:val="21"/>
          <w:highlight w:val="none"/>
        </w:rPr>
        <w:t xml:space="preserve">分，实际尾款金额=合同总价款*1</w:t>
      </w: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%*60%；</w:t>
      </w:r>
      <w:r>
        <w:rPr>
          <w:highlight w:val="none"/>
        </w:rPr>
      </w:r>
    </w:p>
    <w:p>
      <w:pPr>
        <w:ind w:left="0" w:firstLine="48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5）当考评结果＜6</w:t>
      </w:r>
      <w:r>
        <w:rPr>
          <w:rFonts w:ascii="宋体" w:hAnsi="宋体" w:cs="Times New Roman"/>
          <w:sz w:val="21"/>
          <w:szCs w:val="21"/>
          <w:highlight w:val="none"/>
        </w:rPr>
        <w:t xml:space="preserve">0</w:t>
      </w:r>
      <w:r>
        <w:rPr>
          <w:rFonts w:hint="eastAsia" w:ascii="宋体" w:hAnsi="宋体" w:cs="Times New Roman"/>
          <w:sz w:val="21"/>
          <w:szCs w:val="21"/>
          <w:highlight w:val="none"/>
        </w:rPr>
        <w:t xml:space="preserve">分，招标单位有权拒绝付款。 </w:t>
      </w:r>
      <w:r>
        <w:rPr>
          <w:highlight w:val="none"/>
        </w:rPr>
      </w:r>
    </w:p>
    <w:p>
      <w:pPr>
        <w:pStyle w:val="938"/>
        <w:ind w:left="400" w:firstLine="883"/>
        <w:rPr>
          <w:rFonts w:ascii="宋体" w:hAnsi="宋体"/>
          <w:b/>
          <w:sz w:val="44"/>
          <w:szCs w:val="22"/>
          <w:highlight w:val="none"/>
        </w:rPr>
      </w:pPr>
      <w:r>
        <w:rPr>
          <w:rFonts w:hint="eastAsia" w:ascii="宋体" w:hAnsi="宋体"/>
          <w:b/>
          <w:sz w:val="44"/>
          <w:szCs w:val="22"/>
          <w:highlight w:val="none"/>
        </w:rPr>
        <w:br w:type="page" w:clear="all"/>
      </w:r>
      <w:r>
        <w:rPr>
          <w:highlight w:val="none"/>
        </w:rPr>
      </w:r>
    </w:p>
    <w:p>
      <w:pPr>
        <w:pStyle w:val="877"/>
        <w:ind w:left="0" w:firstLine="0"/>
        <w:jc w:val="center"/>
        <w:spacing w:line="240" w:lineRule="auto"/>
        <w:rPr>
          <w:rFonts w:ascii="宋体" w:hAnsi="宋体"/>
          <w:b/>
          <w:sz w:val="44"/>
          <w:szCs w:val="22"/>
          <w:highlight w:val="none"/>
        </w:rPr>
      </w:pPr>
      <w:r>
        <w:rPr>
          <w:highlight w:val="none"/>
        </w:rPr>
      </w:r>
      <w:bookmarkStart w:id="105" w:name="_Toc159146132"/>
      <w:r>
        <w:rPr>
          <w:rFonts w:hint="eastAsia" w:ascii="宋体" w:hAnsi="宋体"/>
          <w:b/>
          <w:sz w:val="44"/>
          <w:szCs w:val="22"/>
          <w:highlight w:val="none"/>
        </w:rPr>
        <w:t xml:space="preserve">第六章 </w:t>
      </w:r>
      <w:bookmarkStart w:id="106" w:name="评分要点"/>
      <w:r>
        <w:rPr>
          <w:highlight w:val="none"/>
        </w:rPr>
      </w:r>
      <w:bookmarkEnd w:id="106"/>
      <w:r>
        <w:rPr>
          <w:rFonts w:hint="eastAsia" w:ascii="宋体" w:hAnsi="宋体"/>
          <w:b/>
          <w:sz w:val="44"/>
          <w:szCs w:val="22"/>
          <w:highlight w:val="none"/>
        </w:rPr>
        <w:t xml:space="preserve">评标办法和评分标准</w:t>
      </w:r>
      <w:bookmarkEnd w:id="102"/>
      <w:r>
        <w:rPr>
          <w:highlight w:val="none"/>
        </w:rPr>
      </w:r>
      <w:bookmarkEnd w:id="103"/>
      <w:r>
        <w:rPr>
          <w:highlight w:val="none"/>
        </w:rPr>
      </w:r>
      <w:bookmarkEnd w:id="104"/>
      <w:r>
        <w:rPr>
          <w:highlight w:val="none"/>
        </w:rPr>
      </w:r>
      <w:bookmarkEnd w:id="105"/>
      <w:r>
        <w:rPr>
          <w:highlight w:val="none"/>
        </w:rPr>
      </w:r>
      <w:r>
        <w:rPr>
          <w:highlight w:val="none"/>
        </w:rPr>
      </w:r>
    </w:p>
    <w:p>
      <w:pPr>
        <w:ind w:left="0" w:firstLine="422"/>
        <w:spacing w:line="360" w:lineRule="auto"/>
        <w:rPr>
          <w:rFonts w:ascii="宋体" w:hAnsi="宋体"/>
          <w:b/>
          <w:sz w:val="21"/>
          <w:szCs w:val="21"/>
          <w:highlight w:val="none"/>
        </w:rPr>
      </w:pPr>
      <w:r>
        <w:rPr>
          <w:highlight w:val="none"/>
        </w:rPr>
      </w:r>
      <w:bookmarkStart w:id="107" w:name="_Toc17476"/>
      <w:r>
        <w:rPr>
          <w:highlight w:val="none"/>
        </w:rPr>
      </w:r>
      <w:bookmarkStart w:id="108" w:name="_Toc698"/>
      <w:r>
        <w:rPr>
          <w:highlight w:val="none"/>
        </w:rPr>
      </w:r>
      <w:bookmarkStart w:id="109" w:name="_Toc16264"/>
      <w:r>
        <w:rPr>
          <w:rFonts w:hint="eastAsia" w:ascii="宋体" w:hAnsi="宋体"/>
          <w:b/>
          <w:sz w:val="21"/>
          <w:szCs w:val="21"/>
          <w:highlight w:val="none"/>
        </w:rPr>
        <w:t xml:space="preserve">一、评标办法：</w:t>
      </w:r>
      <w:bookmarkEnd w:id="107"/>
      <w:r>
        <w:rPr>
          <w:highlight w:val="none"/>
        </w:rPr>
      </w:r>
      <w:bookmarkEnd w:id="108"/>
      <w:r>
        <w:rPr>
          <w:highlight w:val="none"/>
        </w:rPr>
      </w:r>
      <w:bookmarkEnd w:id="109"/>
      <w:r>
        <w:rPr>
          <w:highlight w:val="none"/>
        </w:rPr>
      </w:r>
      <w:r>
        <w:rPr>
          <w:highlight w:val="none"/>
        </w:rP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rPr>
          <w:highlight w:val="none"/>
        </w:rP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highlight w:val="none"/>
        </w:rP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w:t>
      </w:r>
      <w:r>
        <w:rPr>
          <w:highlight w:val="none"/>
        </w:rPr>
      </w:r>
    </w:p>
    <w:p>
      <w:pPr>
        <w:ind w:left="0" w:firstLine="420"/>
        <w:spacing w:line="360" w:lineRule="auto"/>
        <w:rPr>
          <w:rFonts w:ascii="宋体" w:hAnsi="宋体"/>
          <w:bCs/>
          <w:szCs w:val="24"/>
          <w:highlight w:val="none"/>
        </w:rPr>
      </w:pPr>
      <w:r>
        <w:rPr>
          <w:rFonts w:hint="eastAsia" w:ascii="宋体" w:hAnsi="宋体"/>
          <w:sz w:val="21"/>
          <w:highlight w:val="none"/>
        </w:rPr>
        <w:t xml:space="preserve">4.</w:t>
      </w:r>
      <w:r>
        <w:rPr>
          <w:rFonts w:hint="eastAsia" w:ascii="宋体" w:hAnsi="宋体"/>
          <w:bCs/>
          <w:szCs w:val="24"/>
          <w:highlight w:val="none"/>
        </w:rPr>
        <w:t xml:space="preserve">如出现评审总得分最高的投标单位有两个或两个以上的，以报价较低者优先作为中标候选人，如果报价也相同的，则由招标方组织以抽签方式确定中标候选人。</w:t>
      </w:r>
      <w:r>
        <w:rPr>
          <w:highlight w:val="none"/>
        </w:rPr>
      </w:r>
    </w:p>
    <w:p>
      <w:pPr>
        <w:ind w:left="0" w:firstLine="420"/>
        <w:spacing w:line="360" w:lineRule="auto"/>
        <w:rPr>
          <w:rFonts w:ascii="宋体" w:hAnsi="宋体"/>
          <w:sz w:val="21"/>
          <w:highlight w:val="none"/>
        </w:rPr>
      </w:pPr>
      <w:r>
        <w:rPr>
          <w:rFonts w:hint="eastAsia" w:ascii="宋体" w:hAnsi="宋体"/>
          <w:sz w:val="21"/>
          <w:highlight w:val="none"/>
        </w:rPr>
        <w:t xml:space="preserve">5</w:t>
      </w:r>
      <w:r>
        <w:rPr>
          <w:rFonts w:ascii="宋体" w:hAnsi="宋体"/>
          <w:sz w:val="21"/>
          <w:highlight w:val="none"/>
        </w:rPr>
        <w:t xml:space="preserve">.</w:t>
      </w:r>
      <w:r>
        <w:rPr>
          <w:rFonts w:hint="eastAsia" w:ascii="宋体" w:hAnsi="宋体"/>
          <w:sz w:val="21"/>
          <w:highlight w:val="none"/>
        </w:rPr>
        <w:t xml:space="preserve">关于对参与供应商信用记录的政府采购要求</w:t>
      </w:r>
      <w:r>
        <w:rPr>
          <w:highlight w:val="none"/>
        </w:rPr>
      </w:r>
    </w:p>
    <w:p>
      <w:pPr>
        <w:ind w:left="0" w:firstLine="420"/>
        <w:spacing w:line="360" w:lineRule="auto"/>
        <w:rPr>
          <w:rFonts w:ascii="宋体" w:hAnsi="宋体"/>
          <w:sz w:val="21"/>
          <w:highlight w:val="none"/>
        </w:rPr>
      </w:pPr>
      <w:r>
        <w:rPr>
          <w:rFonts w:ascii="宋体" w:hAnsi="宋体"/>
          <w:sz w:val="21"/>
          <w:highlight w:val="none"/>
        </w:rPr>
        <w:t xml:space="preserve">5</w:t>
      </w:r>
      <w:r>
        <w:rPr>
          <w:rFonts w:hint="eastAsia" w:ascii="宋体" w:hAnsi="宋体"/>
          <w:sz w:val="21"/>
          <w:highlight w:val="none"/>
        </w:rPr>
        <w:t xml:space="preserve">.1采购代理机构会在接收投标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rPr>
          <w:highlight w:val="none"/>
        </w:rPr>
      </w:r>
    </w:p>
    <w:p>
      <w:pPr>
        <w:ind w:left="0" w:firstLine="420"/>
        <w:spacing w:line="360" w:lineRule="auto"/>
        <w:rPr>
          <w:rFonts w:ascii="宋体" w:hAnsi="宋体"/>
          <w:sz w:val="21"/>
          <w:highlight w:val="none"/>
        </w:rPr>
      </w:pPr>
      <w:r>
        <w:rPr>
          <w:rFonts w:ascii="宋体" w:hAnsi="宋体"/>
          <w:sz w:val="21"/>
          <w:highlight w:val="none"/>
        </w:rPr>
        <w:t xml:space="preserve">5</w:t>
      </w:r>
      <w:r>
        <w:rPr>
          <w:rFonts w:hint="eastAsia" w:ascii="宋体" w:hAnsi="宋体"/>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highlight w:val="none"/>
        </w:rPr>
      </w:r>
    </w:p>
    <w:p>
      <w:pPr>
        <w:ind w:left="0" w:firstLine="420"/>
        <w:spacing w:line="360" w:lineRule="auto"/>
        <w:rPr>
          <w:rFonts w:ascii="宋体" w:hAnsi="宋体"/>
          <w:sz w:val="21"/>
          <w:highlight w:val="none"/>
        </w:rPr>
      </w:pPr>
      <w:r>
        <w:rPr>
          <w:rFonts w:hint="eastAsia" w:ascii="宋体" w:hAnsi="宋体"/>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highlight w:val="none"/>
        </w:rPr>
      </w:r>
    </w:p>
    <w:p>
      <w:pPr>
        <w:ind w:left="0" w:firstLine="420"/>
        <w:spacing w:line="360" w:lineRule="auto"/>
        <w:rPr>
          <w:rFonts w:ascii="宋体" w:hAnsi="宋体"/>
          <w:sz w:val="21"/>
          <w:highlight w:val="none"/>
        </w:rPr>
      </w:pPr>
      <w:r>
        <w:rPr>
          <w:rFonts w:ascii="宋体" w:hAnsi="宋体"/>
          <w:sz w:val="21"/>
          <w:highlight w:val="none"/>
        </w:rPr>
        <w:t xml:space="preserve">5</w:t>
      </w:r>
      <w:r>
        <w:rPr>
          <w:rFonts w:hint="eastAsia" w:ascii="宋体" w:hAnsi="宋体"/>
          <w:sz w:val="21"/>
          <w:highlight w:val="none"/>
        </w:rPr>
        <w:t xml:space="preserve">.3供应商若在经营活动中受到罚款的，请携带相关地方、部门对较大数额认定标准的证明材料，与投标文件一并提交。若无法提供，则可能承担投标无效等相应不利后果。</w:t>
      </w:r>
      <w:r>
        <w:rPr>
          <w:highlight w:val="none"/>
        </w:rPr>
      </w:r>
    </w:p>
    <w:p>
      <w:pPr>
        <w:ind w:left="0" w:firstLine="420"/>
        <w:spacing w:line="360" w:lineRule="auto"/>
        <w:rPr>
          <w:rFonts w:ascii="宋体" w:hAnsi="宋体"/>
          <w:sz w:val="21"/>
          <w:highlight w:val="none"/>
        </w:rPr>
      </w:pPr>
      <w:r>
        <w:rPr>
          <w:rFonts w:ascii="宋体" w:hAnsi="宋体"/>
          <w:sz w:val="21"/>
          <w:highlight w:val="none"/>
        </w:rPr>
        <w:t xml:space="preserve">5</w:t>
      </w:r>
      <w:r>
        <w:rPr>
          <w:rFonts w:hint="eastAsia" w:ascii="宋体" w:hAnsi="宋体"/>
          <w:sz w:val="21"/>
          <w:highlight w:val="none"/>
        </w:rPr>
        <w:t xml:space="preserve">.4对存在失信信息的供应商，由失信供应商应签名确认。同时，采购代理机构工作人员应根据评审小组确认的失信信息，登陆到相关来源网站页面进行复核并打印，作为证据留存。</w:t>
      </w:r>
      <w:r>
        <w:rPr>
          <w:highlight w:val="none"/>
        </w:rPr>
      </w:r>
    </w:p>
    <w:p>
      <w:pPr>
        <w:ind w:left="0" w:firstLine="420"/>
        <w:spacing w:line="360" w:lineRule="auto"/>
        <w:rPr>
          <w:rFonts w:ascii="宋体" w:hAnsi="宋体"/>
          <w:sz w:val="21"/>
          <w:highlight w:val="none"/>
        </w:rPr>
      </w:pPr>
      <w:r>
        <w:rPr>
          <w:rFonts w:ascii="宋体" w:hAnsi="宋体"/>
          <w:sz w:val="21"/>
          <w:highlight w:val="none"/>
        </w:rPr>
        <w:t xml:space="preserve">5</w:t>
      </w:r>
      <w:r>
        <w:rPr>
          <w:rFonts w:hint="eastAsia" w:ascii="宋体" w:hAnsi="宋体"/>
          <w:sz w:val="21"/>
          <w:highlight w:val="none"/>
        </w:rPr>
        <w:t xml:space="preserve">.5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highlight w:val="none"/>
        </w:rPr>
      </w:r>
    </w:p>
    <w:p>
      <w:pPr>
        <w:ind w:left="0" w:firstLine="420"/>
        <w:spacing w:line="360" w:lineRule="auto"/>
        <w:rPr>
          <w:rFonts w:ascii="宋体" w:hAnsi="宋体"/>
          <w:b/>
          <w:sz w:val="21"/>
          <w:szCs w:val="21"/>
          <w:highlight w:val="none"/>
        </w:rPr>
      </w:pPr>
      <w:r>
        <w:rPr>
          <w:rFonts w:ascii="宋体" w:hAnsi="宋体"/>
          <w:sz w:val="21"/>
          <w:highlight w:val="none"/>
        </w:rPr>
        <w:t xml:space="preserve">6</w:t>
      </w:r>
      <w:r>
        <w:rPr>
          <w:rFonts w:hint="eastAsia" w:ascii="宋体" w:hAnsi="宋体"/>
          <w:sz w:val="21"/>
          <w:highlight w:val="none"/>
        </w:rPr>
        <w:t xml:space="preserve">.针对中小型企业、残疾人福利企业和监狱企业的评审：</w:t>
      </w:r>
      <w:r>
        <w:rPr>
          <w:highlight w:val="none"/>
        </w:rPr>
      </w:r>
    </w:p>
    <w:p>
      <w:pPr>
        <w:ind w:left="0" w:firstLine="420"/>
        <w:spacing w:line="360" w:lineRule="auto"/>
        <w:rPr>
          <w:rFonts w:ascii="宋体" w:hAnsi="宋体"/>
          <w:b/>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w:t>
      </w:r>
      <w:r>
        <w:rPr>
          <w:rFonts w:hint="eastAsia" w:ascii="宋体" w:hAnsi="宋体"/>
          <w:sz w:val="21"/>
          <w:highlight w:val="none"/>
        </w:rPr>
        <w:t xml:space="preserve">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highlight w:val="none"/>
        </w:rPr>
        <w:t xml:space="preserve">20%</w:t>
      </w:r>
      <w:r>
        <w:rPr>
          <w:rFonts w:hint="eastAsia" w:ascii="宋体" w:hAnsi="宋体"/>
          <w:sz w:val="21"/>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highlight w:val="none"/>
        </w:rPr>
        <w:t xml:space="preserve">服务类项目中供应商若使用退休人员，将不享受中小企业扶持政策。</w:t>
      </w:r>
      <w:r>
        <w:rPr>
          <w:highlight w:val="none"/>
        </w:rPr>
      </w:r>
    </w:p>
    <w:p>
      <w:pPr>
        <w:ind w:left="0" w:firstLine="420"/>
        <w:spacing w:line="360" w:lineRule="auto"/>
        <w:rPr>
          <w:rFonts w:ascii="宋体" w:hAnsi="宋体"/>
          <w:sz w:val="21"/>
          <w:highlight w:val="none"/>
        </w:rPr>
      </w:pPr>
      <w:r>
        <w:rPr>
          <w:rFonts w:hint="eastAsia" w:ascii="宋体" w:hAnsi="宋体"/>
          <w:sz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highlight w:val="none"/>
        </w:rP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rPr>
          <w:highlight w:val="none"/>
        </w:rP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rPr>
          <w:highlight w:val="none"/>
        </w:rPr>
      </w:r>
    </w:p>
    <w:p>
      <w:pPr>
        <w:pStyle w:val="1394"/>
        <w:ind w:left="210" w:firstLine="210"/>
        <w:spacing w:line="360" w:lineRule="auto"/>
        <w:rPr>
          <w:rFonts w:ascii="宋体" w:hAnsi="宋体"/>
          <w:sz w:val="21"/>
          <w:highlight w:val="none"/>
        </w:rPr>
      </w:pPr>
      <w:r>
        <w:rPr>
          <w:rFonts w:hint="eastAsia" w:ascii="宋体" w:hAnsi="宋体"/>
          <w:sz w:val="21"/>
          <w:highlight w:val="none"/>
        </w:rPr>
        <w:t xml:space="preserve">②若供应商提供的声明函或认定证明为虚假材料，按“政府采购法”相关规定处理并报请政府监管部门给予行政处罚。</w:t>
      </w:r>
      <w:r>
        <w:rPr>
          <w:highlight w:val="none"/>
        </w:rPr>
      </w:r>
    </w:p>
    <w:p>
      <w:pPr>
        <w:pStyle w:val="889"/>
        <w:ind w:left="0" w:firstLine="400"/>
        <w:spacing w:line="360" w:lineRule="auto"/>
        <w:rPr>
          <w:highlight w:val="none"/>
        </w:rPr>
      </w:pPr>
      <w:r>
        <w:rPr>
          <w:rFonts w:hint="eastAsia"/>
          <w:highlight w:val="none"/>
        </w:rPr>
        <w:t xml:space="preserve">③</w:t>
      </w:r>
      <w:r>
        <w:rPr>
          <w:rFonts w:hint="eastAsia" w:ascii="宋体" w:hAnsi="宋体"/>
          <w:b/>
          <w:bCs/>
          <w:szCs w:val="24"/>
          <w:highlight w:val="none"/>
        </w:rPr>
        <w:t xml:space="preserve">本项目为专门面向中小企业采购的项目或者采购包，不再执行价格评审优惠的扶持政策。</w:t>
      </w:r>
      <w:r>
        <w:rPr>
          <w:highlight w:val="none"/>
        </w:rPr>
      </w:r>
    </w:p>
    <w:p>
      <w:pPr>
        <w:ind w:left="0" w:firstLine="422"/>
        <w:spacing w:line="360" w:lineRule="auto"/>
        <w:rPr>
          <w:rFonts w:ascii="宋体" w:hAnsi="宋体" w:cs="Times New Roman"/>
          <w:b/>
          <w:sz w:val="21"/>
          <w:szCs w:val="21"/>
          <w:highlight w:val="none"/>
        </w:rPr>
      </w:pPr>
      <w:r>
        <w:rPr>
          <w:rFonts w:ascii="宋体" w:hAnsi="宋体" w:cs="Times New Roman"/>
          <w:b/>
          <w:sz w:val="21"/>
          <w:szCs w:val="21"/>
          <w:highlight w:val="none"/>
        </w:rPr>
      </w:r>
      <w:r>
        <w:rPr>
          <w:highlight w:val="none"/>
        </w:rPr>
      </w:r>
    </w:p>
    <w:p>
      <w:pPr>
        <w:ind w:left="0" w:firstLine="422"/>
        <w:spacing w:line="360" w:lineRule="auto"/>
        <w:rPr>
          <w:rFonts w:ascii="宋体" w:hAnsi="宋体" w:cs="Times New Roman"/>
          <w:b/>
          <w:sz w:val="21"/>
          <w:szCs w:val="21"/>
          <w:highlight w:val="none"/>
        </w:rPr>
      </w:pPr>
      <w:r>
        <w:rPr>
          <w:rFonts w:hint="eastAsia" w:ascii="宋体" w:hAnsi="宋体" w:cs="Times New Roman"/>
          <w:b/>
          <w:sz w:val="21"/>
          <w:szCs w:val="21"/>
          <w:highlight w:val="none"/>
        </w:rPr>
        <w:t xml:space="preserve">二、评分标准：</w:t>
      </w:r>
      <w:r>
        <w:rPr>
          <w:highlight w:val="none"/>
        </w:rPr>
      </w:r>
    </w:p>
    <w:p>
      <w:pPr>
        <w:pStyle w:val="889"/>
        <w:ind w:left="0" w:firstLine="0"/>
        <w:jc w:val="center"/>
        <w:rPr>
          <w:b/>
          <w:sz w:val="28"/>
          <w:szCs w:val="28"/>
          <w:highlight w:val="none"/>
        </w:rPr>
      </w:pPr>
      <w:r>
        <w:rPr>
          <w:rFonts w:hint="eastAsia"/>
          <w:b/>
          <w:sz w:val="28"/>
          <w:szCs w:val="28"/>
          <w:highlight w:val="none"/>
        </w:rPr>
        <w:t xml:space="preserve">一标段</w:t>
      </w:r>
      <w:r>
        <w:rPr>
          <w:highlight w:val="none"/>
        </w:rPr>
      </w:r>
    </w:p>
    <w:p>
      <w:pPr>
        <w:ind w:left="0" w:firstLine="422"/>
        <w:spacing w:line="360" w:lineRule="auto"/>
        <w:rPr>
          <w:rFonts w:ascii="宋体" w:hAnsi="宋体"/>
          <w:b/>
          <w:sz w:val="21"/>
          <w:szCs w:val="21"/>
          <w:highlight w:val="none"/>
        </w:rPr>
      </w:pPr>
      <w:r>
        <w:rPr>
          <w:rFonts w:hint="eastAsia" w:ascii="宋体" w:hAnsi="宋体"/>
          <w:b/>
          <w:bCs/>
          <w:sz w:val="21"/>
          <w:highlight w:val="none"/>
        </w:rPr>
        <w:t xml:space="preserve">(一）价格分（10分）</w:t>
      </w:r>
      <w:r>
        <w:rPr>
          <w:highlight w:val="none"/>
        </w:rP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第一步：投标报价低于或等于财政预算价格（或最高限价）的，为有效投标报价。超财政预算（或最高限价）的投标报价为无效投标报价。</w:t>
      </w:r>
      <w:r>
        <w:rPr>
          <w:highlight w:val="none"/>
        </w:rPr>
      </w:r>
    </w:p>
    <w:p>
      <w:pPr>
        <w:ind w:left="0" w:firstLine="420"/>
        <w:spacing w:line="360" w:lineRule="auto"/>
        <w:rPr>
          <w:rFonts w:ascii="宋体" w:hAnsi="宋体"/>
          <w:sz w:val="21"/>
          <w:highlight w:val="none"/>
        </w:rPr>
      </w:pPr>
      <w:r>
        <w:rPr>
          <w:rFonts w:hint="eastAsia" w:ascii="宋体" w:hAnsi="宋体"/>
          <w:sz w:val="21"/>
          <w:highlight w:val="none"/>
        </w:rPr>
        <w:t xml:space="preserve">第二步：在所有有效投标报价中满足招标文件要求，且投标价格最低的投标报价为评标基准价，其他投标人的价格分按照下列公式计算（计算结果四舍五入保留两位小数）：投标报价得分＝（评标基准价/投标报价）×10％×100</w:t>
      </w:r>
      <w:r>
        <w:rPr>
          <w:highlight w:val="none"/>
        </w:rPr>
      </w:r>
    </w:p>
    <w:p>
      <w:pPr>
        <w:ind w:left="0" w:firstLine="435"/>
        <w:spacing w:line="360" w:lineRule="auto"/>
        <w:widowControl w:val="off"/>
        <w:rPr>
          <w:rFonts w:ascii="宋体" w:hAnsi="宋体" w:cs="Times New Roman"/>
          <w:b/>
          <w:bCs/>
          <w:sz w:val="21"/>
          <w:szCs w:val="21"/>
          <w:highlight w:val="none"/>
        </w:rPr>
      </w:pPr>
      <w:r>
        <w:rPr>
          <w:rFonts w:hint="eastAsia" w:ascii="宋体" w:hAnsi="宋体" w:cs="Times New Roman"/>
          <w:b/>
          <w:bCs/>
          <w:sz w:val="21"/>
          <w:szCs w:val="21"/>
          <w:highlight w:val="none"/>
        </w:rPr>
        <w:t xml:space="preserve">（二）技术方案（61分）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1、项目理解（9分）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对项目背景、项目所在地现状调查情况、一体化管理体系构建、项目工作范围、项目目标、项目主要工作内容、最终成果等内容进行阐述，结合本项目的实际情况进行了解调查的文字说明，对所在地现状调查情况调查准确，对项目内容认知明确、具体深入，具体提供详细的说明和数据分析，对工作难点识别清晰准确，满足采购需求的得9分；对项目情况基本了解，对所在地现状情况有所了解，并提供部分说明和数据分析，基本符合采购需求的为6分；对项目情况不够了解，相关分析合理性较差，有描述但内容欠缺的得3分；未提供不得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2、重污染天气应急管控清单修订服务方案（6分）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工作技术方案合理，选用依据标准准确，内容详实，突出修订重点，章节条理清晰，分析重污染天气应急管控清单修订中常见问题、难点及相对应的解决方案，有明确的服务质量保障措施以及验收承诺、有针对性方案的得6分；工作技术方案线路和选用标准基本能够符合项目需求，内容和章节有条理性的得4分；</w:t>
      </w:r>
      <w:r>
        <w:rPr>
          <w:rFonts w:hint="eastAsia" w:ascii="宋体" w:hAnsi="宋体" w:cs="Times New Roman"/>
          <w:bCs/>
          <w:sz w:val="21"/>
          <w:szCs w:val="21"/>
          <w:highlight w:val="none"/>
        </w:rPr>
        <w:t xml:space="preserve">有工作技术方案线路和选用标准，服务质量保障措施以及验收承诺、方案有缺失的得2分；未提供不得分。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3、重污染天气企业绩效分级专家初审服务方案（6分）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工作技术方案合理，选用依据标准准确，内容详实，突出修订重点，章节条理清晰，分析重点行业评级中常见问题、难点及相对应的解决方案，有明确的服务质量保障措施以及验收承诺、有针对性方案的得6分；工作技术方案线路和选用标准基本能够符合项目需求，内容和章节有条理性的得4分；有工作技术方案线路和选用标准，服务质量保障措施以及验收承诺、方案有缺失的得2分；未提供不得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4、大气日常、应急时段溯源分析服务方案（10分）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工作技术方案合理，选用依据标准准确，内容详实，章节条理清晰，方案应包括对日常、应急时段的划分，相对应的溯源分析方案及方案确定依据，提供常见问题及主要原因，梳理工作难点及相应的解决方案，有明确的服务质量保障措施以及验收承诺、有针对性方案的得10分；工作技术方案线路和选用标准基本能够符合项目需求，内容和章节有条理性的得6分；有工作技术方案线路和选用标准，服务质量保障措施以及验收承诺、方案有缺失的得2分；未提供不得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5、区域空气质量保障数据综合分析服务方案服务方案（10分）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工作技术方案合理，选用依据标准准确，内容详实，章节条理清晰，有明确的服务质量保障措施以及验收承诺、有针对性方案的得10分；工作技术方案线路和选用标准基本能够符合项目需求，内容和章节有条理性的得6分；有工作技术方案线路和选用标准，服务质量保障措施以及验收承诺、方案有缺失的得2分；未提供不得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6、VOCs、积尘走航监测服务方案（3分）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工作技术方案合理，选用依据标准准确，内容详实，章节条理清晰，有明确的服务质量保障措施以及验收承诺、有针对性方案的得3分；工作技术方案线路和选用标准基本能够符合项目需求，内容和章节有条理性的得2分；有工作技术方案线路和选用标准，服务质量保障措施以及验收承诺、方案有缺失的得1分；</w:t>
      </w:r>
      <w:r>
        <w:rPr>
          <w:rFonts w:hint="eastAsia" w:ascii="宋体" w:hAnsi="宋体" w:cs="Times New Roman"/>
          <w:bCs/>
          <w:sz w:val="21"/>
          <w:szCs w:val="21"/>
          <w:highlight w:val="none"/>
        </w:rPr>
        <w:t xml:space="preserve">未提供不得分。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7、VOCs、积尘走航设备配置方案（3分）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根据投标单位走航设备配置方案进行综合评定，完全符合采购需求，各项配置合理、仪器参数先进、执行标准高、查看导出功能应用全面的得3分；基本符合采购需求，设备配置一般的得2分；基本符合采购需求，设备配置较差的得1分；</w:t>
      </w:r>
      <w:r>
        <w:rPr>
          <w:rFonts w:hint="eastAsia" w:ascii="宋体" w:hAnsi="宋体" w:cs="Times New Roman"/>
          <w:bCs/>
          <w:sz w:val="21"/>
          <w:szCs w:val="21"/>
          <w:highlight w:val="none"/>
        </w:rPr>
        <w:t xml:space="preserve">未提供不得分。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8、空气微站、噪声比对点微站数据服务方案（3分）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工作技术方案合理，选用依据标准准确，内容详实，章节条理清晰，有明确的服务质量保障措施以及验收承诺、有针对性方案的得3分；工作技术方案线路和选用标准基本能够符合项目需求，内容和章节有条理性的得2分；有工作技术方案线路和选用标准，服务质量保障措施以及验收承诺、方案有缺失的得1分；</w:t>
      </w:r>
      <w:r>
        <w:rPr>
          <w:rFonts w:hint="eastAsia" w:ascii="宋体" w:hAnsi="宋体" w:cs="Times New Roman"/>
          <w:bCs/>
          <w:sz w:val="21"/>
          <w:szCs w:val="21"/>
          <w:highlight w:val="none"/>
        </w:rPr>
        <w:t xml:space="preserve">未提供不得分。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9、项目进度控制方案（3分）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项目计划安排科学、实施阶段划分合理、进度计划和工期有保障措施，附有详细说明及规范的计划进度图表且有明确的质量保障措施的得3分；项目有计划安排、实施阶段划分、有基本的质量保障措施的得2</w:t>
      </w:r>
      <w:r>
        <w:rPr>
          <w:rFonts w:hint="eastAsia" w:ascii="宋体" w:hAnsi="宋体" w:cs="Times New Roman"/>
          <w:bCs/>
          <w:sz w:val="21"/>
          <w:szCs w:val="21"/>
          <w:highlight w:val="none"/>
        </w:rPr>
        <w:t xml:space="preserve">分；项目计划安排或工期保障措施有缺失的得1分；</w:t>
      </w:r>
      <w:r>
        <w:rPr>
          <w:rFonts w:hint="eastAsia" w:ascii="宋体" w:hAnsi="宋体" w:cs="Times New Roman"/>
          <w:bCs/>
          <w:sz w:val="21"/>
          <w:szCs w:val="21"/>
          <w:highlight w:val="none"/>
        </w:rPr>
        <w:t xml:space="preserve">未提供不得分。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10、数据安全保密管理方案（3分）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对数据制定各项安全管理制度以及保密制度、符合本项目特点、有防范措施并有相关岗位职责的得3分；有各项安全管理制度以及保密制度得、有防范措施的得2分；有各项安全管理制度或保密制度的得1分；</w:t>
      </w:r>
      <w:r>
        <w:rPr>
          <w:rFonts w:hint="eastAsia" w:ascii="宋体" w:hAnsi="宋体" w:cs="Times New Roman"/>
          <w:bCs/>
          <w:sz w:val="21"/>
          <w:szCs w:val="21"/>
          <w:highlight w:val="none"/>
        </w:rPr>
        <w:t xml:space="preserve">未提供不得分。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11、应急及保障方案（3分）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对项目实施过程中的应急情况有预案并有明确保障方案的得3分，对调查过程中的应急情况基本了解并阐述相关保障方案的得2分，对调查过程中的应急情况没有明确保证方案的得1分；</w:t>
      </w:r>
      <w:r>
        <w:rPr>
          <w:rFonts w:hint="eastAsia" w:ascii="宋体" w:hAnsi="宋体" w:cs="Times New Roman"/>
          <w:bCs/>
          <w:sz w:val="21"/>
          <w:szCs w:val="21"/>
          <w:highlight w:val="none"/>
        </w:rPr>
        <w:t xml:space="preserve">未提供不得分。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12、后续服务比较（2分） </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响应时间及服务方式符合采购需求、有完善的后续服务体系、具体的保证措施的得2分；响应时间及方式符合采购需求、没有具体的保证措施得1分；</w:t>
      </w:r>
      <w:r>
        <w:rPr>
          <w:rFonts w:hint="eastAsia" w:ascii="宋体" w:hAnsi="宋体" w:cs="Times New Roman"/>
          <w:bCs/>
          <w:sz w:val="21"/>
          <w:szCs w:val="21"/>
          <w:highlight w:val="none"/>
        </w:rPr>
        <w:t xml:space="preserve">未提供不得分。</w:t>
      </w:r>
      <w:r>
        <w:rPr>
          <w:highlight w:val="none"/>
        </w:rPr>
      </w:r>
    </w:p>
    <w:p>
      <w:pPr>
        <w:ind w:left="0" w:firstLine="422"/>
        <w:jc w:val="left"/>
        <w:spacing w:line="360" w:lineRule="auto"/>
        <w:rPr>
          <w:rFonts w:ascii="宋体" w:hAnsi="宋体" w:cs="Times New Roman"/>
          <w:b/>
          <w:bCs/>
          <w:sz w:val="21"/>
          <w:szCs w:val="21"/>
          <w:highlight w:val="none"/>
        </w:rPr>
      </w:pPr>
      <w:r>
        <w:rPr>
          <w:rFonts w:hint="eastAsia" w:ascii="宋体" w:hAnsi="宋体" w:cs="Times New Roman"/>
          <w:b/>
          <w:bCs/>
          <w:sz w:val="21"/>
          <w:szCs w:val="21"/>
          <w:highlight w:val="none"/>
        </w:rPr>
        <w:t xml:space="preserve">（三）项目配备服务人员及仪器设备比较（</w:t>
      </w:r>
      <w:r>
        <w:rPr>
          <w:rFonts w:ascii="宋体" w:hAnsi="宋体" w:cs="Times New Roman"/>
          <w:b/>
          <w:bCs/>
          <w:sz w:val="21"/>
          <w:szCs w:val="21"/>
          <w:highlight w:val="none"/>
        </w:rPr>
        <w:t xml:space="preserve">20</w:t>
      </w:r>
      <w:r>
        <w:rPr>
          <w:rFonts w:hint="eastAsia" w:ascii="宋体" w:hAnsi="宋体" w:cs="Times New Roman"/>
          <w:b/>
          <w:bCs/>
          <w:sz w:val="21"/>
          <w:szCs w:val="21"/>
          <w:highlight w:val="none"/>
        </w:rPr>
        <w:t xml:space="preserve">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1、项目负责人具有环保相关专业高级及以上技术职称和博士学位的得4分；具有环保相关专业中级及以上技术职称和硕士及以上学位的得3分；具有环保相关专业初级及以上技术职称和学士及以上学位的得2分。注：需提供最新一期社保证明扫描件（或与投标单位签订的劳动服务合同及股东关系证明材料扫描件）以及相关证书扫描件。</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2、技术负责人具有环保相关专业高级及以上技术职称和博士学位的得4分；具有环保相关专业中级及以上技术职称和硕士及以上学位的得3分；具有环保相关专业初级及以上技术职称和学士及以上学位的得2分。注：需提供最新一期社保证明扫描件（或与投标单位签订的劳动服务合同及股东关系证明材料扫描件）以及相关证书扫描件。</w:t>
      </w:r>
      <w:r>
        <w:rPr>
          <w:highlight w:val="none"/>
        </w:rPr>
      </w:r>
    </w:p>
    <w:p>
      <w:pPr>
        <w:ind w:left="0" w:firstLine="435"/>
        <w:spacing w:line="360" w:lineRule="auto"/>
        <w:widowControl w:val="off"/>
        <w:rPr>
          <w:rFonts w:ascii="宋体" w:hAnsi="宋体" w:cs="Times New Roman"/>
          <w:bCs/>
          <w:sz w:val="21"/>
          <w:szCs w:val="21"/>
          <w:highlight w:val="none"/>
        </w:rPr>
      </w:pPr>
      <w:r>
        <w:rPr>
          <w:rFonts w:ascii="宋体" w:hAnsi="宋体" w:cs="Times New Roman"/>
          <w:bCs/>
          <w:sz w:val="21"/>
          <w:szCs w:val="21"/>
          <w:highlight w:val="none"/>
        </w:rPr>
        <w:t xml:space="preserve">3</w:t>
      </w:r>
      <w:r>
        <w:rPr>
          <w:rFonts w:hint="eastAsia" w:ascii="宋体" w:hAnsi="宋体" w:cs="Times New Roman"/>
          <w:bCs/>
          <w:sz w:val="21"/>
          <w:szCs w:val="21"/>
          <w:highlight w:val="none"/>
        </w:rPr>
        <w:t xml:space="preserve">、质控负责人具有环保相关专业高级及以上技术职称得3分；具有环保相关专业中级技术职称得2分；具有环保相关专业初级技术职称得1分。注：需提供最新一期社保证明扫描件（或与投标单位签订的劳动服务合同及股东关系证明材料扫描件）以及相关证书扫描件。</w:t>
      </w:r>
      <w:r>
        <w:rPr>
          <w:highlight w:val="none"/>
        </w:rPr>
      </w:r>
    </w:p>
    <w:p>
      <w:pPr>
        <w:ind w:left="0" w:firstLine="435"/>
        <w:spacing w:line="360" w:lineRule="auto"/>
        <w:widowControl w:val="off"/>
        <w:rPr>
          <w:rFonts w:ascii="宋体" w:hAnsi="宋体"/>
          <w:sz w:val="21"/>
          <w:szCs w:val="21"/>
          <w:highlight w:val="none"/>
        </w:rPr>
      </w:pPr>
      <w:r>
        <w:rPr>
          <w:rFonts w:ascii="宋体" w:hAnsi="宋体" w:cs="Times New Roman"/>
          <w:bCs/>
          <w:sz w:val="21"/>
          <w:szCs w:val="21"/>
          <w:highlight w:val="none"/>
        </w:rPr>
        <w:t xml:space="preserve">4</w:t>
      </w:r>
      <w:r>
        <w:rPr>
          <w:rFonts w:hint="eastAsia" w:ascii="宋体" w:hAnsi="宋体" w:cs="Times New Roman"/>
          <w:bCs/>
          <w:sz w:val="21"/>
          <w:szCs w:val="21"/>
          <w:highlight w:val="none"/>
        </w:rPr>
        <w:t xml:space="preserve">、</w:t>
      </w:r>
      <w:r>
        <w:rPr>
          <w:rFonts w:hint="eastAsia" w:ascii="宋体" w:hAnsi="宋体"/>
          <w:sz w:val="21"/>
          <w:szCs w:val="21"/>
          <w:highlight w:val="none"/>
        </w:rPr>
        <w:t xml:space="preserve">项目团队满足招标文件要求（10人）不得分，在此基础上每增加1人加1分，最高2分。</w:t>
      </w:r>
      <w:r>
        <w:rPr>
          <w:rFonts w:hint="eastAsia" w:ascii="宋体" w:hAnsi="宋体" w:cs="Times New Roman"/>
          <w:bCs/>
          <w:sz w:val="21"/>
          <w:szCs w:val="21"/>
          <w:highlight w:val="none"/>
        </w:rPr>
        <w:t xml:space="preserve">注：需提供最新一期社保证明扫描件（或与投标单位签订的劳动合同或股东关系证明材料扫描件）以及相关证书扫描件。</w:t>
      </w:r>
      <w:r>
        <w:rPr>
          <w:highlight w:val="none"/>
        </w:rPr>
      </w:r>
    </w:p>
    <w:p>
      <w:pPr>
        <w:ind w:left="0" w:firstLine="435"/>
        <w:spacing w:line="360" w:lineRule="auto"/>
        <w:widowControl w:val="off"/>
        <w:rPr>
          <w:rFonts w:ascii="宋体" w:hAnsi="宋体" w:cs="Times New Roman"/>
          <w:bCs/>
          <w:sz w:val="21"/>
          <w:szCs w:val="21"/>
          <w:highlight w:val="none"/>
        </w:rPr>
      </w:pPr>
      <w:r>
        <w:rPr>
          <w:rFonts w:ascii="宋体" w:hAnsi="宋体"/>
          <w:sz w:val="21"/>
          <w:szCs w:val="21"/>
          <w:highlight w:val="none"/>
        </w:rPr>
        <w:t xml:space="preserve">5</w:t>
      </w:r>
      <w:r>
        <w:rPr>
          <w:rFonts w:hint="eastAsia" w:ascii="宋体" w:hAnsi="宋体"/>
          <w:sz w:val="21"/>
          <w:szCs w:val="21"/>
          <w:highlight w:val="none"/>
        </w:rPr>
        <w:t xml:space="preserve">、项目团队中有属于地市级及以上生态环境保护专家库成员的，每有一人得</w:t>
      </w:r>
      <w:r>
        <w:rPr>
          <w:rFonts w:ascii="宋体" w:hAnsi="宋体"/>
          <w:sz w:val="21"/>
          <w:szCs w:val="21"/>
          <w:highlight w:val="none"/>
        </w:rPr>
        <w:t xml:space="preserve">1</w:t>
      </w:r>
      <w:r>
        <w:rPr>
          <w:rFonts w:hint="eastAsia" w:ascii="宋体" w:hAnsi="宋体"/>
          <w:sz w:val="21"/>
          <w:szCs w:val="21"/>
          <w:highlight w:val="none"/>
        </w:rPr>
        <w:t xml:space="preserve">分，最高</w:t>
      </w:r>
      <w:r>
        <w:rPr>
          <w:rFonts w:ascii="宋体" w:hAnsi="宋体"/>
          <w:sz w:val="21"/>
          <w:szCs w:val="21"/>
          <w:highlight w:val="none"/>
        </w:rPr>
        <w:t xml:space="preserve">3</w:t>
      </w:r>
      <w:r>
        <w:rPr>
          <w:rFonts w:hint="eastAsia" w:ascii="宋体" w:hAnsi="宋体"/>
          <w:sz w:val="21"/>
          <w:szCs w:val="21"/>
          <w:highlight w:val="none"/>
        </w:rPr>
        <w:t xml:space="preserve">分。注：</w:t>
      </w:r>
      <w:r>
        <w:rPr>
          <w:rFonts w:hint="eastAsia" w:ascii="宋体" w:hAnsi="宋体" w:cs="Times New Roman"/>
          <w:bCs/>
          <w:sz w:val="21"/>
          <w:szCs w:val="21"/>
          <w:highlight w:val="none"/>
        </w:rPr>
        <w:t xml:space="preserve">需提供最新一期社保证明扫描件（或与投标单位签订的劳动服务合同及股东关系证明材料扫描件）以及</w:t>
      </w:r>
      <w:r>
        <w:rPr>
          <w:rFonts w:hint="eastAsia" w:ascii="宋体" w:hAnsi="宋体"/>
          <w:sz w:val="21"/>
          <w:szCs w:val="21"/>
          <w:highlight w:val="none"/>
        </w:rPr>
        <w:t xml:space="preserve">管理部门正式发文的证明材料</w:t>
      </w:r>
      <w:r>
        <w:rPr>
          <w:rFonts w:hint="eastAsia" w:ascii="宋体" w:hAnsi="宋体" w:cs="Times New Roman"/>
          <w:bCs/>
          <w:sz w:val="21"/>
          <w:szCs w:val="21"/>
          <w:highlight w:val="none"/>
        </w:rPr>
        <w:t xml:space="preserve">扫描件</w:t>
      </w:r>
      <w:r>
        <w:rPr>
          <w:rFonts w:hint="eastAsia" w:ascii="宋体" w:hAnsi="宋体"/>
          <w:sz w:val="21"/>
          <w:szCs w:val="21"/>
          <w:highlight w:val="none"/>
        </w:rPr>
        <w:t xml:space="preserve">。</w:t>
      </w:r>
      <w:r>
        <w:rPr>
          <w:highlight w:val="none"/>
        </w:rPr>
      </w:r>
    </w:p>
    <w:p>
      <w:pPr>
        <w:ind w:left="0" w:firstLine="435"/>
        <w:spacing w:line="360" w:lineRule="auto"/>
        <w:widowControl w:val="off"/>
        <w:rPr>
          <w:rFonts w:ascii="宋体" w:hAnsi="宋体" w:cs="Times New Roman"/>
          <w:bCs/>
          <w:sz w:val="21"/>
          <w:szCs w:val="21"/>
          <w:highlight w:val="none"/>
        </w:rPr>
      </w:pPr>
      <w:r>
        <w:rPr>
          <w:rFonts w:ascii="宋体" w:hAnsi="宋体" w:cs="Times New Roman"/>
          <w:bCs/>
          <w:sz w:val="21"/>
          <w:szCs w:val="21"/>
          <w:highlight w:val="none"/>
        </w:rPr>
        <w:t xml:space="preserve">6</w:t>
      </w:r>
      <w:r>
        <w:rPr>
          <w:rFonts w:hint="eastAsia" w:ascii="宋体" w:hAnsi="宋体" w:cs="Times New Roman"/>
          <w:bCs/>
          <w:sz w:val="21"/>
          <w:szCs w:val="21"/>
          <w:highlight w:val="none"/>
        </w:rPr>
        <w:t xml:space="preserve">、</w:t>
      </w:r>
      <w:r>
        <w:rPr>
          <w:rFonts w:hint="eastAsia" w:ascii="宋体" w:hAnsi="宋体"/>
          <w:sz w:val="21"/>
          <w:szCs w:val="21"/>
          <w:highlight w:val="none"/>
        </w:rPr>
        <w:t xml:space="preserve">项目团队中（不含</w:t>
      </w:r>
      <w:r>
        <w:rPr>
          <w:rFonts w:hint="eastAsia" w:ascii="宋体" w:hAnsi="宋体" w:cs="Times New Roman"/>
          <w:bCs/>
          <w:sz w:val="21"/>
          <w:szCs w:val="21"/>
          <w:highlight w:val="none"/>
        </w:rPr>
        <w:t xml:space="preserve">项目负责人、技术负责人、质控负责人</w:t>
      </w:r>
      <w:r>
        <w:rPr>
          <w:rFonts w:hint="eastAsia" w:ascii="宋体" w:hAnsi="宋体"/>
          <w:sz w:val="21"/>
          <w:szCs w:val="21"/>
          <w:highlight w:val="none"/>
        </w:rPr>
        <w:t xml:space="preserve">）具有</w:t>
      </w:r>
      <w:r>
        <w:rPr>
          <w:rFonts w:hint="eastAsia" w:ascii="宋体" w:hAnsi="宋体" w:cs="Times New Roman"/>
          <w:bCs/>
          <w:sz w:val="21"/>
          <w:szCs w:val="21"/>
          <w:highlight w:val="none"/>
        </w:rPr>
        <w:t xml:space="preserve">环保相关专业中级及以上技术职称的，每有一人得</w:t>
      </w:r>
      <w:r>
        <w:rPr>
          <w:rFonts w:ascii="宋体" w:hAnsi="宋体" w:cs="Times New Roman"/>
          <w:bCs/>
          <w:sz w:val="21"/>
          <w:szCs w:val="21"/>
          <w:highlight w:val="none"/>
        </w:rPr>
        <w:t xml:space="preserve">1</w:t>
      </w:r>
      <w:r>
        <w:rPr>
          <w:rFonts w:hint="eastAsia" w:ascii="宋体" w:hAnsi="宋体" w:cs="Times New Roman"/>
          <w:bCs/>
          <w:sz w:val="21"/>
          <w:szCs w:val="21"/>
          <w:highlight w:val="none"/>
        </w:rPr>
        <w:t xml:space="preserve">分；具有环保相关专业初级技术职称的，每有一人得</w:t>
      </w:r>
      <w:r>
        <w:rPr>
          <w:rFonts w:ascii="宋体" w:hAnsi="宋体" w:cs="Times New Roman"/>
          <w:bCs/>
          <w:sz w:val="21"/>
          <w:szCs w:val="21"/>
          <w:highlight w:val="none"/>
        </w:rPr>
        <w:t xml:space="preserve">0.5</w:t>
      </w:r>
      <w:r>
        <w:rPr>
          <w:rFonts w:hint="eastAsia" w:ascii="宋体" w:hAnsi="宋体" w:cs="Times New Roman"/>
          <w:bCs/>
          <w:sz w:val="21"/>
          <w:szCs w:val="21"/>
          <w:highlight w:val="none"/>
        </w:rPr>
        <w:t xml:space="preserve">分；最高2分。注：需提供最新一期社保证明扫扫描件（或与投标单位签订的劳动服务合同及股东关系证明材料扫描件）以及相关证书扫描件。</w:t>
      </w:r>
      <w:r>
        <w:rPr>
          <w:highlight w:val="none"/>
        </w:rPr>
      </w:r>
    </w:p>
    <w:p>
      <w:pPr>
        <w:ind w:left="0" w:firstLine="435"/>
        <w:spacing w:line="360" w:lineRule="auto"/>
        <w:widowControl w:val="off"/>
        <w:rPr>
          <w:rFonts w:ascii="宋体" w:hAnsi="宋体" w:cs="Times New Roman"/>
          <w:bCs/>
          <w:sz w:val="21"/>
          <w:szCs w:val="21"/>
          <w:highlight w:val="none"/>
        </w:rPr>
      </w:pPr>
      <w:r>
        <w:rPr>
          <w:rFonts w:ascii="宋体" w:hAnsi="宋体" w:cs="Times New Roman"/>
          <w:bCs/>
          <w:sz w:val="21"/>
          <w:szCs w:val="21"/>
          <w:highlight w:val="none"/>
        </w:rPr>
        <w:t xml:space="preserve">7</w:t>
      </w:r>
      <w:r>
        <w:rPr>
          <w:rFonts w:hint="eastAsia" w:ascii="宋体" w:hAnsi="宋体" w:cs="Times New Roman"/>
          <w:bCs/>
          <w:sz w:val="21"/>
          <w:szCs w:val="21"/>
          <w:highlight w:val="none"/>
        </w:rPr>
        <w:t xml:space="preserve">、投标人针对本项目配置污染源航拍所用的无人机1架（综合续航时间达到20分钟以上，镜头像素清</w:t>
      </w:r>
      <w:r>
        <w:rPr>
          <w:rFonts w:hint="eastAsia" w:ascii="宋体" w:hAnsi="宋体" w:cs="Times New Roman"/>
          <w:bCs/>
          <w:sz w:val="21"/>
          <w:szCs w:val="21"/>
          <w:highlight w:val="none"/>
        </w:rPr>
        <w:t xml:space="preserve">晰不低于1000万像素）得1分；具有便携式FID检测仪器并提供质检部门计量校准证书的2台得1分；本项合计2分。注：需提供以上仪器设备购买发票或租赁协议扫描件，未提供的不得分。</w:t>
      </w:r>
      <w:r>
        <w:rPr>
          <w:highlight w:val="none"/>
        </w:rPr>
      </w:r>
    </w:p>
    <w:p>
      <w:pPr>
        <w:ind w:left="0" w:firstLine="435"/>
        <w:spacing w:line="360" w:lineRule="auto"/>
        <w:widowControl w:val="off"/>
        <w:rPr>
          <w:rFonts w:ascii="宋体" w:hAnsi="宋体" w:cs="Times New Roman"/>
          <w:b/>
          <w:bCs/>
          <w:sz w:val="21"/>
          <w:szCs w:val="21"/>
          <w:highlight w:val="none"/>
        </w:rPr>
      </w:pPr>
      <w:r>
        <w:rPr>
          <w:rFonts w:hint="eastAsia" w:ascii="宋体" w:hAnsi="宋体" w:cs="Times New Roman"/>
          <w:b/>
          <w:bCs/>
          <w:sz w:val="21"/>
          <w:szCs w:val="21"/>
          <w:highlight w:val="none"/>
        </w:rPr>
        <w:t xml:space="preserve">（四）履约能力比较（9分）</w:t>
      </w:r>
      <w:r>
        <w:rPr>
          <w:highlight w:val="none"/>
        </w:rPr>
      </w:r>
    </w:p>
    <w:p>
      <w:pPr>
        <w:ind w:left="0" w:firstLine="435"/>
        <w:spacing w:line="360" w:lineRule="auto"/>
        <w:widowControl w:val="off"/>
        <w:rPr>
          <w:rFonts w:ascii="宋体" w:hAnsi="宋体" w:cs="Times New Roman"/>
          <w:bCs/>
          <w:sz w:val="21"/>
          <w:szCs w:val="21"/>
          <w:highlight w:val="none"/>
        </w:rPr>
      </w:pPr>
      <w:r>
        <w:rPr>
          <w:rFonts w:hint="eastAsia" w:ascii="宋体" w:hAnsi="宋体" w:cs="Times New Roman"/>
          <w:bCs/>
          <w:sz w:val="21"/>
          <w:szCs w:val="21"/>
          <w:highlight w:val="none"/>
        </w:rPr>
        <w:t xml:space="preserve">投标单位提供202</w:t>
      </w:r>
      <w:r>
        <w:rPr>
          <w:rFonts w:ascii="宋体" w:hAnsi="宋体" w:cs="Times New Roman"/>
          <w:bCs/>
          <w:sz w:val="21"/>
          <w:szCs w:val="21"/>
          <w:highlight w:val="none"/>
        </w:rPr>
        <w:t xml:space="preserve">3</w:t>
      </w:r>
      <w:r>
        <w:rPr>
          <w:rFonts w:hint="eastAsia" w:ascii="宋体" w:hAnsi="宋体" w:cs="Times New Roman"/>
          <w:bCs/>
          <w:sz w:val="21"/>
          <w:szCs w:val="21"/>
          <w:highlight w:val="none"/>
        </w:rPr>
        <w:t xml:space="preserve">年至今（以合同签订日期为准）签订的类似业绩（包括区域重污染天气应急管控清单措施更新及企业评级材料评估、空气质量保障、大气监测站点溯源分析内容）的，每个得3分，最高得9分。注：响应文件中需提供合同扫描件，否则不得分。</w:t>
      </w:r>
      <w:r>
        <w:rPr>
          <w:b/>
          <w:sz w:val="28"/>
          <w:szCs w:val="28"/>
          <w:highlight w:val="none"/>
        </w:rPr>
        <w:br w:type="page" w:clear="all"/>
      </w:r>
      <w:r>
        <w:rPr>
          <w:highlight w:val="none"/>
        </w:rPr>
      </w:r>
    </w:p>
    <w:p>
      <w:pPr>
        <w:pStyle w:val="889"/>
        <w:ind w:left="0" w:firstLine="0"/>
        <w:jc w:val="center"/>
        <w:rPr>
          <w:b/>
          <w:sz w:val="28"/>
          <w:szCs w:val="28"/>
          <w:highlight w:val="none"/>
        </w:rPr>
      </w:pPr>
      <w:r>
        <w:rPr>
          <w:rFonts w:hint="eastAsia"/>
          <w:b/>
          <w:sz w:val="28"/>
          <w:szCs w:val="28"/>
          <w:highlight w:val="none"/>
        </w:rPr>
        <w:t xml:space="preserve">二标段</w:t>
      </w:r>
      <w:r>
        <w:rPr>
          <w:highlight w:val="none"/>
        </w:rPr>
      </w:r>
    </w:p>
    <w:p>
      <w:pPr>
        <w:ind w:left="0" w:firstLine="422"/>
        <w:spacing w:line="360" w:lineRule="auto"/>
        <w:rPr>
          <w:rFonts w:ascii="宋体" w:hAnsi="宋体"/>
          <w:b/>
          <w:sz w:val="21"/>
          <w:szCs w:val="21"/>
          <w:highlight w:val="none"/>
        </w:rPr>
      </w:pPr>
      <w:r>
        <w:rPr>
          <w:rFonts w:hint="eastAsia" w:ascii="宋体" w:hAnsi="宋体"/>
          <w:b/>
          <w:bCs/>
          <w:sz w:val="21"/>
          <w:highlight w:val="none"/>
        </w:rPr>
        <w:t xml:space="preserve">（一）价格分：</w:t>
      </w:r>
      <w:r>
        <w:rPr>
          <w:rFonts w:ascii="宋体" w:hAnsi="宋体"/>
          <w:b/>
          <w:bCs/>
          <w:sz w:val="21"/>
          <w:highlight w:val="none"/>
        </w:rPr>
        <w:t xml:space="preserve">10</w:t>
      </w:r>
      <w:r>
        <w:rPr>
          <w:rFonts w:hint="eastAsia" w:ascii="宋体" w:hAnsi="宋体"/>
          <w:b/>
          <w:bCs/>
          <w:sz w:val="21"/>
          <w:highlight w:val="none"/>
        </w:rPr>
        <w:t xml:space="preserve">分</w:t>
      </w:r>
      <w:r>
        <w:rPr>
          <w:highlight w:val="none"/>
        </w:rP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第一步：投标报价低于或等于财政预算价格（或最高限价）的，为有效投标报价。超财政预算（或最高限价）的投标报价为无效投标报价。</w:t>
      </w:r>
      <w:r>
        <w:rPr>
          <w:highlight w:val="none"/>
        </w:rPr>
      </w:r>
    </w:p>
    <w:p>
      <w:pPr>
        <w:ind w:left="0" w:firstLine="420"/>
        <w:spacing w:line="360" w:lineRule="auto"/>
        <w:rPr>
          <w:rFonts w:ascii="宋体" w:hAnsi="宋体"/>
          <w:sz w:val="21"/>
          <w:highlight w:val="none"/>
        </w:rPr>
      </w:pPr>
      <w:r>
        <w:rPr>
          <w:rFonts w:hint="eastAsia" w:ascii="宋体" w:hAnsi="宋体"/>
          <w:sz w:val="21"/>
          <w:highlight w:val="none"/>
        </w:rPr>
        <w:t xml:space="preserve">第二步：在所有有效投标报价中满足招标文件要求，且投标价格最低的投标报价为评标基准价，其他投标人的价格分按照下列公式计算（计算结果四舍五入保留两位小数）：投标报价得分＝（评标基准价/投标报价）×</w:t>
      </w:r>
      <w:r>
        <w:rPr>
          <w:rFonts w:ascii="宋体" w:hAnsi="宋体"/>
          <w:sz w:val="21"/>
          <w:highlight w:val="none"/>
        </w:rPr>
        <w:t xml:space="preserve">10</w:t>
      </w:r>
      <w:r>
        <w:rPr>
          <w:rFonts w:hint="eastAsia" w:ascii="宋体" w:hAnsi="宋体"/>
          <w:sz w:val="21"/>
          <w:highlight w:val="none"/>
        </w:rPr>
        <w:t xml:space="preserve">％×100</w:t>
      </w:r>
      <w:r>
        <w:rPr>
          <w:highlight w:val="none"/>
        </w:rPr>
      </w:r>
    </w:p>
    <w:p>
      <w:pPr>
        <w:ind w:left="0" w:firstLine="422"/>
        <w:jc w:val="left"/>
        <w:spacing w:line="360" w:lineRule="auto"/>
        <w:rPr>
          <w:rFonts w:ascii="宋体" w:hAnsi="宋体" w:cs="Times New Roman"/>
          <w:b/>
          <w:bCs/>
          <w:sz w:val="21"/>
          <w:szCs w:val="21"/>
          <w:highlight w:val="none"/>
        </w:rPr>
      </w:pPr>
      <w:r>
        <w:rPr>
          <w:rFonts w:hint="eastAsia" w:ascii="宋体" w:hAnsi="宋体" w:cs="Times New Roman"/>
          <w:b/>
          <w:bCs/>
          <w:sz w:val="21"/>
          <w:szCs w:val="21"/>
          <w:highlight w:val="none"/>
        </w:rPr>
        <w:t xml:space="preserve">（二）方案评价：</w:t>
      </w:r>
      <w:r>
        <w:rPr>
          <w:rFonts w:ascii="宋体" w:hAnsi="宋体" w:cs="Times New Roman"/>
          <w:b/>
          <w:bCs/>
          <w:sz w:val="21"/>
          <w:szCs w:val="21"/>
          <w:highlight w:val="none"/>
        </w:rPr>
        <w:t xml:space="preserve">59</w:t>
      </w:r>
      <w:r>
        <w:rPr>
          <w:rFonts w:hint="eastAsia" w:ascii="宋体" w:hAnsi="宋体" w:cs="Times New Roman"/>
          <w:b/>
          <w:bCs/>
          <w:sz w:val="21"/>
          <w:szCs w:val="21"/>
          <w:highlight w:val="none"/>
        </w:rPr>
        <w:t xml:space="preserve">分</w:t>
      </w:r>
      <w:r>
        <w:rPr>
          <w:highlight w:val="none"/>
        </w:rPr>
      </w:r>
    </w:p>
    <w:p>
      <w:pPr>
        <w:ind w:left="0" w:firstLine="420"/>
        <w:jc w:val="left"/>
        <w:spacing w:line="360" w:lineRule="auto"/>
        <w:rPr>
          <w:rFonts w:ascii="宋体" w:hAnsi="宋体" w:cs="Times New Roman"/>
          <w:bCs/>
          <w:sz w:val="21"/>
          <w:szCs w:val="21"/>
          <w:highlight w:val="none"/>
        </w:rPr>
      </w:pPr>
      <w:r>
        <w:rPr>
          <w:rFonts w:hint="eastAsia" w:ascii="宋体" w:hAnsi="宋体" w:cs="Times New Roman"/>
          <w:bCs/>
          <w:sz w:val="21"/>
          <w:szCs w:val="21"/>
          <w:highlight w:val="none"/>
        </w:rPr>
        <w:t xml:space="preserve">1、项目组织实施保障：综合配备科学合理，方案详尽、考虑周全的:</w:t>
      </w:r>
      <w:r>
        <w:rPr>
          <w:rFonts w:ascii="宋体" w:hAnsi="宋体" w:cs="Times New Roman"/>
          <w:bCs/>
          <w:sz w:val="21"/>
          <w:szCs w:val="21"/>
          <w:highlight w:val="none"/>
        </w:rPr>
        <w:t xml:space="preserve">9</w:t>
      </w:r>
      <w:r>
        <w:rPr>
          <w:rFonts w:hint="eastAsia" w:ascii="宋体" w:hAnsi="宋体" w:cs="Times New Roman"/>
          <w:bCs/>
          <w:sz w:val="21"/>
          <w:szCs w:val="21"/>
          <w:highlight w:val="none"/>
        </w:rPr>
        <w:t xml:space="preserve">分，综合配备比较合理、考虑较周全、能满足项目实施需要的得</w:t>
      </w:r>
      <w:r>
        <w:rPr>
          <w:rFonts w:ascii="宋体" w:hAnsi="宋体" w:cs="Times New Roman"/>
          <w:bCs/>
          <w:sz w:val="21"/>
          <w:szCs w:val="21"/>
          <w:highlight w:val="none"/>
        </w:rPr>
        <w:t xml:space="preserve">6</w:t>
      </w:r>
      <w:r>
        <w:rPr>
          <w:rFonts w:hint="eastAsia" w:ascii="宋体" w:hAnsi="宋体" w:cs="Times New Roman"/>
          <w:bCs/>
          <w:sz w:val="21"/>
          <w:szCs w:val="21"/>
          <w:highlight w:val="none"/>
        </w:rPr>
        <w:t xml:space="preserve">分，综合评定一般，配备简单，基本能满足项目实施需要的得</w:t>
      </w:r>
      <w:r>
        <w:rPr>
          <w:rFonts w:ascii="宋体" w:hAnsi="宋体" w:cs="Times New Roman"/>
          <w:bCs/>
          <w:sz w:val="21"/>
          <w:szCs w:val="21"/>
          <w:highlight w:val="none"/>
        </w:rPr>
        <w:t xml:space="preserve">3</w:t>
      </w:r>
      <w:r>
        <w:rPr>
          <w:rFonts w:hint="eastAsia" w:ascii="宋体" w:hAnsi="宋体" w:cs="Times New Roman"/>
          <w:bCs/>
          <w:sz w:val="21"/>
          <w:szCs w:val="21"/>
          <w:highlight w:val="none"/>
        </w:rPr>
        <w:t xml:space="preserve">分，不提供不得分。</w:t>
      </w:r>
      <w:r>
        <w:rPr>
          <w:highlight w:val="none"/>
        </w:rPr>
      </w:r>
    </w:p>
    <w:p>
      <w:pPr>
        <w:ind w:left="0" w:firstLine="420"/>
        <w:jc w:val="left"/>
        <w:spacing w:line="360" w:lineRule="auto"/>
        <w:rPr>
          <w:rFonts w:ascii="宋体" w:hAnsi="宋体" w:cs="Times New Roman"/>
          <w:bCs/>
          <w:sz w:val="21"/>
          <w:szCs w:val="21"/>
          <w:highlight w:val="none"/>
        </w:rPr>
      </w:pPr>
      <w:r>
        <w:rPr>
          <w:rFonts w:ascii="宋体" w:hAnsi="宋体" w:cs="Times New Roman"/>
          <w:bCs/>
          <w:sz w:val="21"/>
          <w:szCs w:val="21"/>
          <w:highlight w:val="none"/>
        </w:rPr>
        <w:t xml:space="preserve">2</w:t>
      </w:r>
      <w:r>
        <w:rPr>
          <w:rFonts w:hint="eastAsia" w:ascii="宋体" w:hAnsi="宋体" w:cs="Times New Roman"/>
          <w:bCs/>
          <w:sz w:val="21"/>
          <w:szCs w:val="21"/>
          <w:highlight w:val="none"/>
        </w:rPr>
        <w:t xml:space="preserve">、项目进度控制：综合配备科学合理，方案详尽、考虑周全的:</w:t>
      </w:r>
      <w:r>
        <w:rPr>
          <w:rFonts w:ascii="宋体" w:hAnsi="宋体" w:cs="Times New Roman"/>
          <w:bCs/>
          <w:sz w:val="21"/>
          <w:szCs w:val="21"/>
          <w:highlight w:val="none"/>
        </w:rPr>
        <w:t xml:space="preserve">9</w:t>
      </w:r>
      <w:r>
        <w:rPr>
          <w:rFonts w:hint="eastAsia" w:ascii="宋体" w:hAnsi="宋体" w:cs="Times New Roman"/>
          <w:bCs/>
          <w:sz w:val="21"/>
          <w:szCs w:val="21"/>
          <w:highlight w:val="none"/>
        </w:rPr>
        <w:t xml:space="preserve">分，综合配备比较合理、考虑较周全、能满足项目实施需要的得</w:t>
      </w:r>
      <w:r>
        <w:rPr>
          <w:rFonts w:ascii="宋体" w:hAnsi="宋体" w:cs="Times New Roman"/>
          <w:bCs/>
          <w:sz w:val="21"/>
          <w:szCs w:val="21"/>
          <w:highlight w:val="none"/>
        </w:rPr>
        <w:t xml:space="preserve">6</w:t>
      </w:r>
      <w:r>
        <w:rPr>
          <w:rFonts w:hint="eastAsia" w:ascii="宋体" w:hAnsi="宋体" w:cs="Times New Roman"/>
          <w:bCs/>
          <w:sz w:val="21"/>
          <w:szCs w:val="21"/>
          <w:highlight w:val="none"/>
        </w:rPr>
        <w:t xml:space="preserve">分，综合评定一般，配备简单，基本能满足项目实施需要的得</w:t>
      </w:r>
      <w:r>
        <w:rPr>
          <w:rFonts w:ascii="宋体" w:hAnsi="宋体" w:cs="Times New Roman"/>
          <w:bCs/>
          <w:sz w:val="21"/>
          <w:szCs w:val="21"/>
          <w:highlight w:val="none"/>
        </w:rPr>
        <w:t xml:space="preserve">3</w:t>
      </w:r>
      <w:r>
        <w:rPr>
          <w:rFonts w:hint="eastAsia" w:ascii="宋体" w:hAnsi="宋体" w:cs="Times New Roman"/>
          <w:bCs/>
          <w:sz w:val="21"/>
          <w:szCs w:val="21"/>
          <w:highlight w:val="none"/>
        </w:rPr>
        <w:t xml:space="preserve">分，不提供不得分。</w:t>
      </w:r>
      <w:r>
        <w:rPr>
          <w:highlight w:val="none"/>
        </w:rPr>
      </w:r>
    </w:p>
    <w:p>
      <w:pPr>
        <w:ind w:left="0" w:firstLine="420"/>
        <w:jc w:val="left"/>
        <w:spacing w:line="360" w:lineRule="auto"/>
        <w:rPr>
          <w:rFonts w:ascii="宋体" w:hAnsi="宋体" w:cs="Times New Roman"/>
          <w:bCs/>
          <w:sz w:val="21"/>
          <w:szCs w:val="21"/>
          <w:highlight w:val="none"/>
        </w:rPr>
      </w:pPr>
      <w:r>
        <w:rPr>
          <w:rFonts w:ascii="宋体" w:hAnsi="宋体" w:cs="Times New Roman"/>
          <w:bCs/>
          <w:sz w:val="21"/>
          <w:szCs w:val="21"/>
          <w:highlight w:val="none"/>
        </w:rPr>
        <w:t xml:space="preserve">3</w:t>
      </w:r>
      <w:r>
        <w:rPr>
          <w:rFonts w:hint="eastAsia" w:ascii="宋体" w:hAnsi="宋体" w:cs="Times New Roman"/>
          <w:bCs/>
          <w:sz w:val="21"/>
          <w:szCs w:val="21"/>
          <w:highlight w:val="none"/>
        </w:rPr>
        <w:t xml:space="preserve">、项目管理规范：综合配备科学合理，方案详尽、考虑周全的:</w:t>
      </w:r>
      <w:r>
        <w:rPr>
          <w:rFonts w:ascii="宋体" w:hAnsi="宋体" w:cs="Times New Roman"/>
          <w:bCs/>
          <w:sz w:val="21"/>
          <w:szCs w:val="21"/>
          <w:highlight w:val="none"/>
        </w:rPr>
        <w:t xml:space="preserve">9</w:t>
      </w:r>
      <w:r>
        <w:rPr>
          <w:rFonts w:hint="eastAsia" w:ascii="宋体" w:hAnsi="宋体" w:cs="Times New Roman"/>
          <w:bCs/>
          <w:sz w:val="21"/>
          <w:szCs w:val="21"/>
          <w:highlight w:val="none"/>
        </w:rPr>
        <w:t xml:space="preserve">分，综合配备比较合理、考虑较周全、能满足项目实施需要的得</w:t>
      </w:r>
      <w:r>
        <w:rPr>
          <w:rFonts w:ascii="宋体" w:hAnsi="宋体" w:cs="Times New Roman"/>
          <w:bCs/>
          <w:sz w:val="21"/>
          <w:szCs w:val="21"/>
          <w:highlight w:val="none"/>
        </w:rPr>
        <w:t xml:space="preserve">6</w:t>
      </w:r>
      <w:r>
        <w:rPr>
          <w:rFonts w:hint="eastAsia" w:ascii="宋体" w:hAnsi="宋体" w:cs="Times New Roman"/>
          <w:bCs/>
          <w:sz w:val="21"/>
          <w:szCs w:val="21"/>
          <w:highlight w:val="none"/>
        </w:rPr>
        <w:t xml:space="preserve">分，综合评定一般，配备简单，基本能满足项目实施需要的得</w:t>
      </w:r>
      <w:r>
        <w:rPr>
          <w:rFonts w:ascii="宋体" w:hAnsi="宋体" w:cs="Times New Roman"/>
          <w:bCs/>
          <w:sz w:val="21"/>
          <w:szCs w:val="21"/>
          <w:highlight w:val="none"/>
        </w:rPr>
        <w:t xml:space="preserve">3</w:t>
      </w:r>
      <w:r>
        <w:rPr>
          <w:rFonts w:hint="eastAsia" w:ascii="宋体" w:hAnsi="宋体" w:cs="Times New Roman"/>
          <w:bCs/>
          <w:sz w:val="21"/>
          <w:szCs w:val="21"/>
          <w:highlight w:val="none"/>
        </w:rPr>
        <w:t xml:space="preserve">分，不提供不得分。</w:t>
      </w:r>
      <w:r>
        <w:rPr>
          <w:highlight w:val="none"/>
        </w:rPr>
      </w:r>
    </w:p>
    <w:p>
      <w:pPr>
        <w:ind w:left="0" w:firstLine="420"/>
        <w:jc w:val="left"/>
        <w:spacing w:line="360" w:lineRule="auto"/>
        <w:rPr>
          <w:rFonts w:ascii="宋体" w:hAnsi="宋体" w:cs="Times New Roman"/>
          <w:bCs/>
          <w:sz w:val="21"/>
          <w:szCs w:val="21"/>
          <w:highlight w:val="none"/>
        </w:rPr>
      </w:pPr>
      <w:r>
        <w:rPr>
          <w:rFonts w:ascii="宋体" w:hAnsi="宋体" w:cs="Times New Roman"/>
          <w:bCs/>
          <w:sz w:val="21"/>
          <w:szCs w:val="21"/>
          <w:highlight w:val="none"/>
        </w:rPr>
        <w:t xml:space="preserve">4</w:t>
      </w:r>
      <w:r>
        <w:rPr>
          <w:rFonts w:hint="eastAsia" w:ascii="宋体" w:hAnsi="宋体" w:cs="Times New Roman"/>
          <w:bCs/>
          <w:sz w:val="21"/>
          <w:szCs w:val="21"/>
          <w:highlight w:val="none"/>
        </w:rPr>
        <w:t xml:space="preserve">、本项目应急预案能力：抽调人员、加班加点、其他可取建议的保障性：综合配备科学合理，方案详尽、考虑周全的得</w:t>
      </w:r>
      <w:r>
        <w:rPr>
          <w:rFonts w:ascii="宋体" w:hAnsi="宋体" w:cs="Times New Roman"/>
          <w:bCs/>
          <w:sz w:val="21"/>
          <w:szCs w:val="21"/>
          <w:highlight w:val="none"/>
        </w:rPr>
        <w:t xml:space="preserve">8</w:t>
      </w:r>
      <w:r>
        <w:rPr>
          <w:rFonts w:hint="eastAsia" w:ascii="宋体" w:hAnsi="宋体" w:cs="Times New Roman"/>
          <w:bCs/>
          <w:sz w:val="21"/>
          <w:szCs w:val="21"/>
          <w:highlight w:val="none"/>
        </w:rPr>
        <w:t xml:space="preserve">分，综合配备比较合理、考虑较周全、能满足项目实施需要的得</w:t>
      </w:r>
      <w:r>
        <w:rPr>
          <w:rFonts w:ascii="宋体" w:hAnsi="宋体" w:cs="Times New Roman"/>
          <w:bCs/>
          <w:sz w:val="21"/>
          <w:szCs w:val="21"/>
          <w:highlight w:val="none"/>
        </w:rPr>
        <w:t xml:space="preserve">5</w:t>
      </w:r>
      <w:r>
        <w:rPr>
          <w:rFonts w:hint="eastAsia" w:ascii="宋体" w:hAnsi="宋体" w:cs="Times New Roman"/>
          <w:bCs/>
          <w:sz w:val="21"/>
          <w:szCs w:val="21"/>
          <w:highlight w:val="none"/>
        </w:rPr>
        <w:t xml:space="preserve">分，综合评定一般，配备简单，基本能满足项目实施需要的得2分，不提供不得分。</w:t>
      </w:r>
      <w:r>
        <w:rPr>
          <w:highlight w:val="none"/>
        </w:rPr>
      </w:r>
    </w:p>
    <w:p>
      <w:pPr>
        <w:ind w:left="0" w:firstLine="420"/>
        <w:jc w:val="left"/>
        <w:spacing w:line="360" w:lineRule="auto"/>
        <w:rPr>
          <w:rFonts w:ascii="宋体" w:hAnsi="宋体" w:cs="Times New Roman"/>
          <w:bCs/>
          <w:sz w:val="21"/>
          <w:szCs w:val="21"/>
          <w:highlight w:val="none"/>
        </w:rPr>
      </w:pPr>
      <w:r>
        <w:rPr>
          <w:rFonts w:ascii="宋体" w:hAnsi="宋体" w:cs="Times New Roman"/>
          <w:bCs/>
          <w:sz w:val="21"/>
          <w:szCs w:val="21"/>
          <w:highlight w:val="none"/>
        </w:rPr>
        <w:t xml:space="preserve">5</w:t>
      </w:r>
      <w:r>
        <w:rPr>
          <w:rFonts w:hint="eastAsia" w:ascii="宋体" w:hAnsi="宋体" w:cs="Times New Roman"/>
          <w:bCs/>
          <w:sz w:val="21"/>
          <w:szCs w:val="21"/>
          <w:highlight w:val="none"/>
        </w:rPr>
        <w:t xml:space="preserve">、本项目难点与重点分析和解决措施：最高8分</w:t>
      </w:r>
      <w:r>
        <w:rPr>
          <w:highlight w:val="none"/>
        </w:rPr>
      </w:r>
    </w:p>
    <w:p>
      <w:pPr>
        <w:ind w:left="0" w:firstLine="420"/>
        <w:jc w:val="left"/>
        <w:spacing w:line="360" w:lineRule="auto"/>
        <w:rPr>
          <w:rFonts w:ascii="宋体" w:hAnsi="宋体" w:cs="Times New Roman"/>
          <w:bCs/>
          <w:sz w:val="21"/>
          <w:szCs w:val="21"/>
          <w:highlight w:val="none"/>
        </w:rPr>
      </w:pPr>
      <w:r>
        <w:rPr>
          <w:rFonts w:hint="eastAsia" w:ascii="宋体" w:hAnsi="宋体" w:cs="Times New Roman"/>
          <w:bCs/>
          <w:sz w:val="21"/>
          <w:szCs w:val="21"/>
          <w:highlight w:val="none"/>
        </w:rPr>
        <w:t xml:space="preserve">本项目难点与重点分析：分析到位程度综合评定优秀，配备科学合理，方案详尽、考虑周全的得8分，综合配备比较合理、考虑较周全、能满足项目实施需要的得5分，综合评定一般，配备简单，基本能满足项目实施需要的得2分，不提供不得分。</w:t>
      </w:r>
      <w:r>
        <w:rPr>
          <w:highlight w:val="none"/>
        </w:rPr>
      </w:r>
    </w:p>
    <w:p>
      <w:pPr>
        <w:ind w:left="0" w:firstLine="420"/>
        <w:jc w:val="left"/>
        <w:spacing w:line="360" w:lineRule="auto"/>
        <w:rPr>
          <w:rFonts w:ascii="宋体" w:hAnsi="宋体" w:cs="Times New Roman"/>
          <w:bCs/>
          <w:sz w:val="21"/>
          <w:szCs w:val="21"/>
          <w:highlight w:val="none"/>
        </w:rPr>
      </w:pPr>
      <w:r>
        <w:rPr>
          <w:rFonts w:ascii="宋体" w:hAnsi="宋体" w:cs="Times New Roman"/>
          <w:bCs/>
          <w:sz w:val="21"/>
          <w:szCs w:val="21"/>
          <w:highlight w:val="none"/>
        </w:rPr>
        <w:t xml:space="preserve">6</w:t>
      </w:r>
      <w:r>
        <w:rPr>
          <w:rFonts w:hint="eastAsia" w:ascii="宋体" w:hAnsi="宋体" w:cs="Times New Roman"/>
          <w:bCs/>
          <w:sz w:val="21"/>
          <w:szCs w:val="21"/>
          <w:highlight w:val="none"/>
        </w:rPr>
        <w:t xml:space="preserve">、人员配备及管理培训方案：最高</w:t>
      </w:r>
      <w:r>
        <w:rPr>
          <w:rFonts w:ascii="宋体" w:hAnsi="宋体" w:cs="Times New Roman"/>
          <w:bCs/>
          <w:sz w:val="21"/>
          <w:szCs w:val="21"/>
          <w:highlight w:val="none"/>
        </w:rPr>
        <w:t xml:space="preserve">8</w:t>
      </w:r>
      <w:r>
        <w:rPr>
          <w:rFonts w:hint="eastAsia" w:ascii="宋体" w:hAnsi="宋体" w:cs="Times New Roman"/>
          <w:bCs/>
          <w:sz w:val="21"/>
          <w:szCs w:val="21"/>
          <w:highlight w:val="none"/>
        </w:rPr>
        <w:t xml:space="preserve">分</w:t>
      </w:r>
      <w:r>
        <w:rPr>
          <w:highlight w:val="none"/>
        </w:rPr>
      </w:r>
    </w:p>
    <w:p>
      <w:pPr>
        <w:ind w:left="0" w:firstLine="420"/>
        <w:jc w:val="left"/>
        <w:spacing w:line="360" w:lineRule="auto"/>
        <w:rPr>
          <w:rFonts w:ascii="宋体" w:hAnsi="宋体" w:cs="Times New Roman"/>
          <w:bCs/>
          <w:sz w:val="21"/>
          <w:szCs w:val="21"/>
          <w:highlight w:val="none"/>
        </w:rPr>
      </w:pPr>
      <w:r>
        <w:rPr>
          <w:rFonts w:hint="eastAsia" w:ascii="宋体" w:hAnsi="宋体" w:cs="Times New Roman"/>
          <w:bCs/>
          <w:sz w:val="21"/>
          <w:szCs w:val="21"/>
          <w:highlight w:val="none"/>
        </w:rPr>
        <w:t xml:space="preserve">提供针对本项目的人员配备及管理培训方案，内容科学合理、全面完善、针对性强、实施便捷、可行性强的得</w:t>
      </w:r>
      <w:r>
        <w:rPr>
          <w:rFonts w:ascii="宋体" w:hAnsi="宋体" w:cs="Times New Roman"/>
          <w:bCs/>
          <w:sz w:val="21"/>
          <w:szCs w:val="21"/>
          <w:highlight w:val="none"/>
        </w:rPr>
        <w:t xml:space="preserve">8</w:t>
      </w:r>
      <w:r>
        <w:rPr>
          <w:rFonts w:hint="eastAsia" w:ascii="宋体" w:hAnsi="宋体" w:cs="Times New Roman"/>
          <w:bCs/>
          <w:sz w:val="21"/>
          <w:szCs w:val="21"/>
          <w:highlight w:val="none"/>
        </w:rPr>
        <w:t xml:space="preserve">分，内容科学合理、全面完善、针对性强的得</w:t>
      </w:r>
      <w:r>
        <w:rPr>
          <w:rFonts w:ascii="宋体" w:hAnsi="宋体" w:cs="Times New Roman"/>
          <w:bCs/>
          <w:sz w:val="21"/>
          <w:szCs w:val="21"/>
          <w:highlight w:val="none"/>
        </w:rPr>
        <w:t xml:space="preserve">5</w:t>
      </w:r>
      <w:r>
        <w:rPr>
          <w:rFonts w:hint="eastAsia" w:ascii="宋体" w:hAnsi="宋体" w:cs="Times New Roman"/>
          <w:bCs/>
          <w:sz w:val="21"/>
          <w:szCs w:val="21"/>
          <w:highlight w:val="none"/>
        </w:rPr>
        <w:t xml:space="preserve">分，内容科学合理，有涉及但不全面的得</w:t>
      </w:r>
      <w:r>
        <w:rPr>
          <w:rFonts w:ascii="宋体" w:hAnsi="宋体" w:cs="Times New Roman"/>
          <w:bCs/>
          <w:sz w:val="21"/>
          <w:szCs w:val="21"/>
          <w:highlight w:val="none"/>
        </w:rPr>
        <w:t xml:space="preserve">2</w:t>
      </w:r>
      <w:r>
        <w:rPr>
          <w:rFonts w:hint="eastAsia" w:ascii="宋体" w:hAnsi="宋体" w:cs="Times New Roman"/>
          <w:bCs/>
          <w:sz w:val="21"/>
          <w:szCs w:val="21"/>
          <w:highlight w:val="none"/>
        </w:rPr>
        <w:t xml:space="preserve">分，未提供不得分。</w:t>
      </w:r>
      <w:r>
        <w:rPr>
          <w:highlight w:val="none"/>
        </w:rPr>
      </w:r>
    </w:p>
    <w:p>
      <w:pPr>
        <w:ind w:left="0" w:firstLine="420"/>
        <w:jc w:val="left"/>
        <w:spacing w:line="360" w:lineRule="auto"/>
        <w:rPr>
          <w:rFonts w:ascii="宋体" w:hAnsi="宋体" w:cs="Times New Roman"/>
          <w:bCs/>
          <w:sz w:val="21"/>
          <w:szCs w:val="21"/>
          <w:highlight w:val="none"/>
        </w:rPr>
      </w:pPr>
      <w:r>
        <w:rPr>
          <w:rFonts w:ascii="宋体" w:hAnsi="宋体" w:cs="Times New Roman"/>
          <w:bCs/>
          <w:sz w:val="21"/>
          <w:szCs w:val="21"/>
          <w:highlight w:val="none"/>
        </w:rPr>
        <w:t xml:space="preserve">7</w:t>
      </w:r>
      <w:r>
        <w:rPr>
          <w:rFonts w:hint="eastAsia" w:ascii="宋体" w:hAnsi="宋体" w:cs="Times New Roman"/>
          <w:bCs/>
          <w:sz w:val="21"/>
          <w:szCs w:val="21"/>
          <w:highlight w:val="none"/>
        </w:rPr>
        <w:t xml:space="preserve">、档案管理制度评价：最高</w:t>
      </w:r>
      <w:r>
        <w:rPr>
          <w:rFonts w:ascii="宋体" w:hAnsi="宋体" w:cs="Times New Roman"/>
          <w:bCs/>
          <w:sz w:val="21"/>
          <w:szCs w:val="21"/>
          <w:highlight w:val="none"/>
        </w:rPr>
        <w:t xml:space="preserve">4</w:t>
      </w:r>
      <w:r>
        <w:rPr>
          <w:rFonts w:hint="eastAsia" w:ascii="宋体" w:hAnsi="宋体" w:cs="Times New Roman"/>
          <w:bCs/>
          <w:sz w:val="21"/>
          <w:szCs w:val="21"/>
          <w:highlight w:val="none"/>
        </w:rPr>
        <w:t xml:space="preserve">分。</w:t>
      </w:r>
      <w:r>
        <w:rPr>
          <w:highlight w:val="none"/>
        </w:rPr>
      </w:r>
    </w:p>
    <w:p>
      <w:pPr>
        <w:ind w:left="0" w:firstLine="420"/>
        <w:jc w:val="left"/>
        <w:spacing w:line="360" w:lineRule="auto"/>
        <w:rPr>
          <w:rFonts w:ascii="宋体" w:hAnsi="宋体" w:cs="Times New Roman"/>
          <w:bCs/>
          <w:sz w:val="21"/>
          <w:szCs w:val="21"/>
          <w:highlight w:val="none"/>
        </w:rPr>
      </w:pPr>
      <w:r>
        <w:rPr>
          <w:rFonts w:hint="eastAsia" w:ascii="宋体" w:hAnsi="宋体" w:cs="Times New Roman"/>
          <w:bCs/>
          <w:sz w:val="21"/>
          <w:szCs w:val="21"/>
          <w:highlight w:val="none"/>
        </w:rPr>
        <w:t xml:space="preserve">综合配备科学合理，方案详尽、考虑周全的得</w:t>
      </w:r>
      <w:r>
        <w:rPr>
          <w:rFonts w:ascii="宋体" w:hAnsi="宋体" w:cs="Times New Roman"/>
          <w:bCs/>
          <w:sz w:val="21"/>
          <w:szCs w:val="21"/>
          <w:highlight w:val="none"/>
        </w:rPr>
        <w:t xml:space="preserve">4</w:t>
      </w:r>
      <w:r>
        <w:rPr>
          <w:rFonts w:hint="eastAsia" w:ascii="宋体" w:hAnsi="宋体" w:cs="Times New Roman"/>
          <w:bCs/>
          <w:sz w:val="21"/>
          <w:szCs w:val="21"/>
          <w:highlight w:val="none"/>
        </w:rPr>
        <w:t xml:space="preserve">分，综合评定一般的得</w:t>
      </w:r>
      <w:r>
        <w:rPr>
          <w:rFonts w:ascii="宋体" w:hAnsi="宋体" w:cs="Times New Roman"/>
          <w:bCs/>
          <w:sz w:val="21"/>
          <w:szCs w:val="21"/>
          <w:highlight w:val="none"/>
        </w:rPr>
        <w:t xml:space="preserve">2</w:t>
      </w:r>
      <w:r>
        <w:rPr>
          <w:rFonts w:hint="eastAsia" w:ascii="宋体" w:hAnsi="宋体" w:cs="Times New Roman"/>
          <w:bCs/>
          <w:sz w:val="21"/>
          <w:szCs w:val="21"/>
          <w:highlight w:val="none"/>
        </w:rPr>
        <w:t xml:space="preserve">分，配备简单、基本能满足项目实施需要的1分，较差的或不提供的不得分。</w:t>
      </w:r>
      <w:r>
        <w:rPr>
          <w:highlight w:val="none"/>
        </w:rPr>
      </w:r>
    </w:p>
    <w:p>
      <w:pPr>
        <w:ind w:left="0" w:firstLine="420"/>
        <w:jc w:val="left"/>
        <w:spacing w:line="360" w:lineRule="auto"/>
        <w:rPr>
          <w:rFonts w:ascii="宋体" w:hAnsi="宋体" w:cs="Times New Roman"/>
          <w:bCs/>
          <w:sz w:val="21"/>
          <w:szCs w:val="21"/>
          <w:highlight w:val="none"/>
        </w:rPr>
      </w:pPr>
      <w:r>
        <w:rPr>
          <w:rFonts w:ascii="宋体" w:hAnsi="宋体" w:cs="Times New Roman"/>
          <w:bCs/>
          <w:sz w:val="21"/>
          <w:szCs w:val="21"/>
          <w:highlight w:val="none"/>
        </w:rPr>
        <w:t xml:space="preserve">8</w:t>
      </w:r>
      <w:r>
        <w:rPr>
          <w:rFonts w:hint="eastAsia" w:ascii="宋体" w:hAnsi="宋体" w:cs="Times New Roman"/>
          <w:bCs/>
          <w:sz w:val="21"/>
          <w:szCs w:val="21"/>
          <w:highlight w:val="none"/>
        </w:rPr>
        <w:t xml:space="preserve">、保密管理制度评价：最高</w:t>
      </w:r>
      <w:r>
        <w:rPr>
          <w:rFonts w:ascii="宋体" w:hAnsi="宋体" w:cs="Times New Roman"/>
          <w:bCs/>
          <w:sz w:val="21"/>
          <w:szCs w:val="21"/>
          <w:highlight w:val="none"/>
        </w:rPr>
        <w:t xml:space="preserve">4</w:t>
      </w:r>
      <w:r>
        <w:rPr>
          <w:rFonts w:hint="eastAsia" w:ascii="宋体" w:hAnsi="宋体" w:cs="Times New Roman"/>
          <w:bCs/>
          <w:sz w:val="21"/>
          <w:szCs w:val="21"/>
          <w:highlight w:val="none"/>
        </w:rPr>
        <w:t xml:space="preserve">分。</w:t>
      </w:r>
      <w:r>
        <w:rPr>
          <w:highlight w:val="none"/>
        </w:rPr>
      </w:r>
    </w:p>
    <w:p>
      <w:pPr>
        <w:ind w:left="0" w:firstLine="420"/>
        <w:jc w:val="left"/>
        <w:spacing w:line="360" w:lineRule="auto"/>
        <w:rPr>
          <w:rFonts w:ascii="宋体" w:hAnsi="宋体" w:cs="Times New Roman"/>
          <w:bCs/>
          <w:sz w:val="21"/>
          <w:szCs w:val="21"/>
          <w:highlight w:val="none"/>
        </w:rPr>
      </w:pPr>
      <w:r>
        <w:rPr>
          <w:rFonts w:hint="eastAsia" w:ascii="宋体" w:hAnsi="宋体" w:cs="Times New Roman"/>
          <w:bCs/>
          <w:sz w:val="21"/>
          <w:szCs w:val="21"/>
          <w:highlight w:val="none"/>
        </w:rPr>
        <w:t xml:space="preserve">综合配备科学合理，方案详尽、考虑周全的得</w:t>
      </w:r>
      <w:r>
        <w:rPr>
          <w:rFonts w:ascii="宋体" w:hAnsi="宋体" w:cs="Times New Roman"/>
          <w:bCs/>
          <w:sz w:val="21"/>
          <w:szCs w:val="21"/>
          <w:highlight w:val="none"/>
        </w:rPr>
        <w:t xml:space="preserve">4</w:t>
      </w:r>
      <w:r>
        <w:rPr>
          <w:rFonts w:hint="eastAsia" w:ascii="宋体" w:hAnsi="宋体" w:cs="Times New Roman"/>
          <w:bCs/>
          <w:sz w:val="21"/>
          <w:szCs w:val="21"/>
          <w:highlight w:val="none"/>
        </w:rPr>
        <w:t xml:space="preserve">分，综合评定一般的得</w:t>
      </w:r>
      <w:r>
        <w:rPr>
          <w:rFonts w:ascii="宋体" w:hAnsi="宋体" w:cs="Times New Roman"/>
          <w:bCs/>
          <w:sz w:val="21"/>
          <w:szCs w:val="21"/>
          <w:highlight w:val="none"/>
        </w:rPr>
        <w:t xml:space="preserve">2</w:t>
      </w:r>
      <w:r>
        <w:rPr>
          <w:rFonts w:hint="eastAsia" w:ascii="宋体" w:hAnsi="宋体" w:cs="Times New Roman"/>
          <w:bCs/>
          <w:sz w:val="21"/>
          <w:szCs w:val="21"/>
          <w:highlight w:val="none"/>
        </w:rPr>
        <w:t xml:space="preserve">分，配备简单、基本能满足项目实施需要的1分，较差的或不提供的不得分。</w:t>
      </w:r>
      <w:r>
        <w:rPr>
          <w:highlight w:val="none"/>
        </w:rPr>
      </w:r>
    </w:p>
    <w:p>
      <w:pPr>
        <w:ind w:left="0" w:firstLine="422"/>
        <w:jc w:val="left"/>
        <w:spacing w:line="360" w:lineRule="auto"/>
        <w:rPr>
          <w:rFonts w:ascii="宋体" w:hAnsi="宋体" w:cs="Times New Roman"/>
          <w:b/>
          <w:bCs/>
          <w:sz w:val="21"/>
          <w:szCs w:val="21"/>
          <w:highlight w:val="none"/>
        </w:rPr>
      </w:pPr>
      <w:r>
        <w:rPr>
          <w:rFonts w:hint="eastAsia" w:ascii="宋体" w:hAnsi="宋体" w:cs="Times New Roman"/>
          <w:b/>
          <w:bCs/>
          <w:sz w:val="21"/>
          <w:szCs w:val="21"/>
          <w:highlight w:val="none"/>
        </w:rPr>
        <w:t xml:space="preserve">（三）履约能力：</w:t>
      </w:r>
      <w:r>
        <w:rPr>
          <w:rFonts w:ascii="宋体" w:hAnsi="宋体" w:cs="Times New Roman"/>
          <w:b/>
          <w:bCs/>
          <w:sz w:val="21"/>
          <w:szCs w:val="21"/>
          <w:highlight w:val="none"/>
        </w:rPr>
        <w:t xml:space="preserve">31分</w:t>
      </w:r>
      <w:r>
        <w:rPr>
          <w:highlight w:val="none"/>
        </w:rPr>
      </w:r>
    </w:p>
    <w:p>
      <w:pPr>
        <w:ind w:left="0" w:firstLine="420"/>
        <w:jc w:val="left"/>
        <w:spacing w:line="360" w:lineRule="auto"/>
        <w:rPr>
          <w:rFonts w:ascii="宋体" w:hAnsi="宋体" w:cs="Times New Roman"/>
          <w:bCs/>
          <w:sz w:val="21"/>
          <w:szCs w:val="21"/>
          <w:highlight w:val="none"/>
        </w:rPr>
      </w:pPr>
      <w:r>
        <w:rPr>
          <w:rFonts w:hint="eastAsia" w:ascii="宋体" w:hAnsi="宋体" w:cs="Times New Roman"/>
          <w:bCs/>
          <w:sz w:val="21"/>
          <w:szCs w:val="21"/>
          <w:highlight w:val="none"/>
        </w:rPr>
        <w:t xml:space="preserve">1、投标单位具有质量管理体系证书、职业健康管理体系证书、环境管理体系证书且在有效期内的每个得</w:t>
      </w:r>
      <w:r>
        <w:rPr>
          <w:rFonts w:ascii="宋体" w:hAnsi="宋体" w:cs="Times New Roman"/>
          <w:bCs/>
          <w:sz w:val="21"/>
          <w:szCs w:val="21"/>
          <w:highlight w:val="none"/>
        </w:rPr>
        <w:t xml:space="preserve">2</w:t>
      </w:r>
      <w:r>
        <w:rPr>
          <w:rFonts w:hint="eastAsia" w:ascii="宋体" w:hAnsi="宋体" w:cs="Times New Roman"/>
          <w:bCs/>
          <w:sz w:val="21"/>
          <w:szCs w:val="21"/>
          <w:highlight w:val="none"/>
        </w:rPr>
        <w:t xml:space="preserve">分，本项最高得</w:t>
      </w:r>
      <w:r>
        <w:rPr>
          <w:rFonts w:ascii="宋体" w:hAnsi="宋体" w:cs="Times New Roman"/>
          <w:bCs/>
          <w:sz w:val="21"/>
          <w:szCs w:val="21"/>
          <w:highlight w:val="none"/>
        </w:rPr>
        <w:t xml:space="preserve">6</w:t>
      </w:r>
      <w:r>
        <w:rPr>
          <w:rFonts w:hint="eastAsia" w:ascii="宋体" w:hAnsi="宋体" w:cs="Times New Roman"/>
          <w:bCs/>
          <w:sz w:val="21"/>
          <w:szCs w:val="21"/>
          <w:highlight w:val="none"/>
        </w:rPr>
        <w:t xml:space="preserve">分。注：提供证书</w:t>
      </w:r>
      <w:r>
        <w:rPr>
          <w:rFonts w:hint="eastAsia" w:ascii="宋体" w:hAnsi="宋体" w:cs="Times New Roman"/>
          <w:bCs/>
          <w:sz w:val="21"/>
          <w:szCs w:val="21"/>
          <w:highlight w:val="none"/>
        </w:rPr>
        <w:t xml:space="preserve">扫描件</w:t>
      </w:r>
      <w:r>
        <w:rPr>
          <w:rFonts w:hint="eastAsia" w:ascii="宋体" w:hAnsi="宋体" w:cs="Times New Roman"/>
          <w:bCs/>
          <w:sz w:val="21"/>
          <w:szCs w:val="21"/>
          <w:highlight w:val="none"/>
        </w:rPr>
        <w:t xml:space="preserve">及在中国国家认证认可监督管理委员会网站 http://www.cnca.gov.cn/的完整查询截图并加盖公章，材料不提供或提供不全或证书不在有效期内的或无法认定的不得分。</w:t>
      </w:r>
      <w:r>
        <w:rPr>
          <w:highlight w:val="none"/>
        </w:rPr>
      </w:r>
    </w:p>
    <w:p>
      <w:pPr>
        <w:ind w:left="0" w:firstLine="420"/>
        <w:jc w:val="left"/>
        <w:spacing w:line="360" w:lineRule="auto"/>
        <w:rPr>
          <w:rFonts w:ascii="宋体" w:hAnsi="宋体" w:cs="Times New Roman"/>
          <w:bCs/>
          <w:sz w:val="21"/>
          <w:szCs w:val="21"/>
          <w:highlight w:val="none"/>
        </w:rPr>
      </w:pPr>
      <w:r>
        <w:rPr>
          <w:rFonts w:ascii="宋体" w:hAnsi="宋体" w:cs="Times New Roman"/>
          <w:bCs/>
          <w:sz w:val="21"/>
          <w:szCs w:val="21"/>
          <w:highlight w:val="none"/>
        </w:rPr>
        <w:t xml:space="preserve">2</w:t>
      </w:r>
      <w:r>
        <w:rPr>
          <w:rFonts w:hint="eastAsia" w:ascii="宋体" w:hAnsi="宋体" w:cs="Times New Roman"/>
          <w:bCs/>
          <w:sz w:val="21"/>
          <w:szCs w:val="21"/>
          <w:highlight w:val="none"/>
        </w:rPr>
        <w:t xml:space="preserve">、投标单位2</w:t>
      </w:r>
      <w:r>
        <w:rPr>
          <w:rFonts w:ascii="宋体" w:hAnsi="宋体" w:cs="Times New Roman"/>
          <w:bCs/>
          <w:sz w:val="21"/>
          <w:szCs w:val="21"/>
          <w:highlight w:val="none"/>
        </w:rPr>
        <w:t xml:space="preserve">023年至今</w:t>
      </w:r>
      <w:r>
        <w:rPr>
          <w:rFonts w:hint="eastAsia" w:ascii="宋体" w:hAnsi="宋体" w:cs="Times New Roman"/>
          <w:bCs/>
          <w:sz w:val="21"/>
          <w:szCs w:val="21"/>
          <w:highlight w:val="none"/>
        </w:rPr>
        <w:t xml:space="preserve">具有的类似项目业绩，每提供一个得</w:t>
      </w:r>
      <w:r>
        <w:rPr>
          <w:rFonts w:ascii="宋体" w:hAnsi="宋体" w:cs="Times New Roman"/>
          <w:bCs/>
          <w:sz w:val="21"/>
          <w:szCs w:val="21"/>
          <w:highlight w:val="none"/>
        </w:rPr>
        <w:t xml:space="preserve">5</w:t>
      </w:r>
      <w:r>
        <w:rPr>
          <w:rFonts w:hint="eastAsia" w:ascii="宋体" w:hAnsi="宋体" w:cs="Times New Roman"/>
          <w:bCs/>
          <w:sz w:val="21"/>
          <w:szCs w:val="21"/>
          <w:highlight w:val="none"/>
        </w:rPr>
        <w:t xml:space="preserve">分，最高得</w:t>
      </w:r>
      <w:r>
        <w:rPr>
          <w:rFonts w:ascii="宋体" w:hAnsi="宋体" w:cs="Times New Roman"/>
          <w:bCs/>
          <w:sz w:val="21"/>
          <w:szCs w:val="21"/>
          <w:highlight w:val="none"/>
        </w:rPr>
        <w:t xml:space="preserve">25</w:t>
      </w:r>
      <w:r>
        <w:rPr>
          <w:rFonts w:hint="eastAsia" w:ascii="宋体" w:hAnsi="宋体" w:cs="Times New Roman"/>
          <w:bCs/>
          <w:sz w:val="21"/>
          <w:szCs w:val="21"/>
          <w:highlight w:val="none"/>
        </w:rPr>
        <w:t xml:space="preserve">分，未提供的不得分。注：时间以合同签订日期为准，须提供合同</w:t>
      </w:r>
      <w:r>
        <w:rPr>
          <w:rFonts w:hint="eastAsia" w:ascii="宋体" w:hAnsi="宋体" w:cs="Times New Roman"/>
          <w:bCs/>
          <w:sz w:val="21"/>
          <w:szCs w:val="21"/>
          <w:highlight w:val="none"/>
        </w:rPr>
        <w:t xml:space="preserve">扫描件</w:t>
      </w:r>
      <w:r>
        <w:rPr>
          <w:rFonts w:hint="eastAsia" w:ascii="宋体" w:hAnsi="宋体" w:cs="Times New Roman"/>
          <w:bCs/>
          <w:sz w:val="21"/>
          <w:szCs w:val="21"/>
          <w:highlight w:val="none"/>
        </w:rPr>
        <w:t xml:space="preserve">。</w:t>
      </w:r>
      <w:r>
        <w:rPr>
          <w:highlight w:val="none"/>
        </w:rPr>
      </w:r>
    </w:p>
    <w:p>
      <w:pPr>
        <w:ind w:left="0" w:firstLine="420"/>
        <w:jc w:val="right"/>
        <w:spacing w:line="360" w:lineRule="auto"/>
        <w:rPr>
          <w:rFonts w:ascii="宋体" w:hAnsi="宋体"/>
          <w:sz w:val="21"/>
          <w:highlight w:val="none"/>
        </w:rPr>
      </w:pPr>
      <w:r>
        <w:rPr>
          <w:rFonts w:hint="eastAsia" w:ascii="宋体" w:hAnsi="宋体"/>
          <w:sz w:val="21"/>
          <w:highlight w:val="none"/>
        </w:rPr>
        <w:t xml:space="preserve">（全文完）</w:t>
      </w:r>
      <w:r>
        <w:rPr>
          <w:highlight w:val="none"/>
        </w:rP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w:panose1 w:val="020B0502040204020203"/>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2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26"/>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92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926"/>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26"/>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苏州公正建设咨询房地产评估有限公司 </w:t>
    </w:r>
    <w:r>
      <w:rPr>
        <w:rFonts w:ascii="宋体" w:hAnsi="宋体"/>
        <w:sz w:val="18"/>
      </w:rPr>
      <w:t xml:space="preserve">                                     </w:t>
    </w:r>
    <w:r>
      <w:rPr>
        <w:rFonts w:hint="eastAsia" w:ascii="宋体" w:hAnsi="宋体"/>
        <w:sz w:val="18"/>
      </w:rPr>
      <w:t xml:space="preserve">项目编号：</w:t>
    </w:r>
    <w:r>
      <w:rPr>
        <w:rFonts w:ascii="宋体" w:hAnsi="宋体"/>
        <w:sz w:val="18"/>
      </w:rPr>
      <w:t xml:space="preserve">JSZC-320507-SZGZ-G2026-0023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0"/>
      <w:jc w:val="both"/>
      <w:pBdr>
        <w:bottom w:val="single" w:color="auto" w:sz="4" w:space="0"/>
      </w:pBdr>
    </w:pPr>
    <w:r>
      <w:rPr>
        <w:rFonts w:hint="eastAsia" w:ascii="宋体" w:hAnsi="宋体"/>
        <w:sz w:val="18"/>
      </w:rPr>
      <w:t xml:space="preserve">苏州公正建设咨询房地产评估有限公司 </w:t>
    </w:r>
    <w:r>
      <w:rPr>
        <w:rFonts w:ascii="宋体" w:hAnsi="宋体"/>
        <w:sz w:val="18"/>
      </w:rPr>
      <w:t xml:space="preserve">                                    </w:t>
    </w:r>
    <w:r>
      <w:rPr>
        <w:rFonts w:hint="eastAsia" w:ascii="宋体" w:hAnsi="宋体"/>
        <w:sz w:val="18"/>
      </w:rPr>
      <w:t xml:space="preserve">项目编号：</w:t>
    </w:r>
    <w:r>
      <w:rPr>
        <w:rFonts w:ascii="宋体" w:hAnsi="宋体"/>
        <w:sz w:val="18"/>
      </w:rPr>
      <w:t xml:space="preserve">JSZC-320507-SZGZ-G2026-0023</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1">
    <w:name w:val="Heading 1 Char"/>
    <w:basedOn w:val="886"/>
    <w:link w:val="877"/>
    <w:uiPriority w:val="9"/>
    <w:rPr>
      <w:rFonts w:ascii="Arial" w:hAnsi="Arial" w:eastAsia="Arial" w:cs="Arial"/>
      <w:sz w:val="40"/>
      <w:szCs w:val="40"/>
    </w:rPr>
  </w:style>
  <w:style w:type="character" w:styleId="842">
    <w:name w:val="Heading 2 Char"/>
    <w:basedOn w:val="886"/>
    <w:link w:val="878"/>
    <w:uiPriority w:val="9"/>
    <w:rPr>
      <w:rFonts w:ascii="Arial" w:hAnsi="Arial" w:eastAsia="Arial" w:cs="Arial"/>
      <w:sz w:val="34"/>
    </w:rPr>
  </w:style>
  <w:style w:type="character" w:styleId="843">
    <w:name w:val="Heading 3 Char"/>
    <w:basedOn w:val="886"/>
    <w:link w:val="879"/>
    <w:uiPriority w:val="9"/>
    <w:rPr>
      <w:rFonts w:ascii="Arial" w:hAnsi="Arial" w:eastAsia="Arial" w:cs="Arial"/>
      <w:sz w:val="30"/>
      <w:szCs w:val="30"/>
    </w:rPr>
  </w:style>
  <w:style w:type="character" w:styleId="844">
    <w:name w:val="Heading 4 Char"/>
    <w:basedOn w:val="886"/>
    <w:link w:val="880"/>
    <w:uiPriority w:val="9"/>
    <w:rPr>
      <w:rFonts w:ascii="Arial" w:hAnsi="Arial" w:eastAsia="Arial" w:cs="Arial"/>
      <w:b/>
      <w:bCs/>
      <w:sz w:val="26"/>
      <w:szCs w:val="26"/>
    </w:rPr>
  </w:style>
  <w:style w:type="character" w:styleId="845">
    <w:name w:val="Heading 5 Char"/>
    <w:basedOn w:val="886"/>
    <w:link w:val="881"/>
    <w:uiPriority w:val="9"/>
    <w:rPr>
      <w:rFonts w:ascii="Arial" w:hAnsi="Arial" w:eastAsia="Arial" w:cs="Arial"/>
      <w:b/>
      <w:bCs/>
      <w:sz w:val="24"/>
      <w:szCs w:val="24"/>
    </w:rPr>
  </w:style>
  <w:style w:type="character" w:styleId="846">
    <w:name w:val="Heading 6 Char"/>
    <w:basedOn w:val="886"/>
    <w:link w:val="882"/>
    <w:uiPriority w:val="9"/>
    <w:rPr>
      <w:rFonts w:ascii="Arial" w:hAnsi="Arial" w:eastAsia="Arial" w:cs="Arial"/>
      <w:b/>
      <w:bCs/>
      <w:sz w:val="22"/>
      <w:szCs w:val="22"/>
    </w:rPr>
  </w:style>
  <w:style w:type="character" w:styleId="847">
    <w:name w:val="Heading 7 Char"/>
    <w:basedOn w:val="886"/>
    <w:link w:val="883"/>
    <w:uiPriority w:val="9"/>
    <w:rPr>
      <w:rFonts w:ascii="Arial" w:hAnsi="Arial" w:eastAsia="Arial" w:cs="Arial"/>
      <w:b/>
      <w:bCs/>
      <w:i/>
      <w:iCs/>
      <w:sz w:val="22"/>
      <w:szCs w:val="22"/>
    </w:rPr>
  </w:style>
  <w:style w:type="character" w:styleId="848">
    <w:name w:val="Heading 8 Char"/>
    <w:basedOn w:val="886"/>
    <w:link w:val="884"/>
    <w:uiPriority w:val="9"/>
    <w:rPr>
      <w:rFonts w:ascii="Arial" w:hAnsi="Arial" w:eastAsia="Arial" w:cs="Arial"/>
      <w:i/>
      <w:iCs/>
      <w:sz w:val="22"/>
      <w:szCs w:val="22"/>
    </w:rPr>
  </w:style>
  <w:style w:type="character" w:styleId="849">
    <w:name w:val="Heading 9 Char"/>
    <w:basedOn w:val="886"/>
    <w:link w:val="885"/>
    <w:uiPriority w:val="9"/>
    <w:rPr>
      <w:rFonts w:ascii="Arial" w:hAnsi="Arial" w:eastAsia="Arial" w:cs="Arial"/>
      <w:i/>
      <w:iCs/>
      <w:sz w:val="21"/>
      <w:szCs w:val="21"/>
    </w:rPr>
  </w:style>
  <w:style w:type="character" w:styleId="850">
    <w:name w:val="Title Char"/>
    <w:basedOn w:val="886"/>
    <w:link w:val="937"/>
    <w:uiPriority w:val="10"/>
    <w:rPr>
      <w:sz w:val="48"/>
      <w:szCs w:val="48"/>
    </w:rPr>
  </w:style>
  <w:style w:type="character" w:styleId="851">
    <w:name w:val="Subtitle Char"/>
    <w:basedOn w:val="886"/>
    <w:link w:val="923"/>
    <w:uiPriority w:val="11"/>
    <w:rPr>
      <w:sz w:val="24"/>
      <w:szCs w:val="24"/>
    </w:rPr>
  </w:style>
  <w:style w:type="character" w:styleId="852">
    <w:name w:val="Quote Char"/>
    <w:link w:val="961"/>
    <w:uiPriority w:val="29"/>
    <w:rPr>
      <w:i/>
    </w:rPr>
  </w:style>
  <w:style w:type="character" w:styleId="853">
    <w:name w:val="Intense Quote Char"/>
    <w:link w:val="963"/>
    <w:uiPriority w:val="30"/>
    <w:rPr>
      <w:i/>
    </w:rPr>
  </w:style>
  <w:style w:type="table" w:styleId="854">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9">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0">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3">
    <w:name w:val="Footnote Text Char"/>
    <w:link w:val="926"/>
    <w:uiPriority w:val="99"/>
    <w:rPr>
      <w:sz w:val="18"/>
    </w:rPr>
  </w:style>
  <w:style w:type="character" w:styleId="874">
    <w:name w:val="Endnote Text Char"/>
    <w:link w:val="916"/>
    <w:uiPriority w:val="99"/>
    <w:rPr>
      <w:sz w:val="20"/>
    </w:rPr>
  </w:style>
  <w:style w:type="paragraph" w:styleId="875">
    <w:name w:val="TOC Heading"/>
    <w:uiPriority w:val="39"/>
    <w:unhideWhenUsed/>
  </w:style>
  <w:style w:type="paragraph" w:styleId="876" w:default="1">
    <w:name w:val="Normal"/>
    <w:next w:val="889"/>
    <w:qFormat/>
    <w:pPr>
      <w:ind w:left="1024"/>
      <w:jc w:val="both"/>
    </w:pPr>
    <w:rPr>
      <w:rFonts w:ascii="Calibri" w:hAnsi="Calibri"/>
    </w:rPr>
  </w:style>
  <w:style w:type="paragraph" w:styleId="877">
    <w:name w:val="Heading 1"/>
    <w:basedOn w:val="876"/>
    <w:next w:val="876"/>
    <w:link w:val="948"/>
    <w:qFormat/>
    <w:pPr>
      <w:ind w:left="432" w:firstLine="18"/>
      <w:spacing w:before="340" w:after="330" w:line="578" w:lineRule="auto"/>
      <w:outlineLvl w:val="0"/>
    </w:pPr>
  </w:style>
  <w:style w:type="paragraph" w:styleId="878">
    <w:name w:val="Heading 2"/>
    <w:basedOn w:val="876"/>
    <w:next w:val="876"/>
    <w:link w:val="949"/>
    <w:qFormat/>
    <w:pPr>
      <w:ind w:left="576" w:firstLine="24"/>
      <w:spacing w:before="260" w:after="260" w:line="416" w:lineRule="auto"/>
      <w:outlineLvl w:val="1"/>
    </w:pPr>
    <w:rPr>
      <w:rFonts w:ascii="Times New Roman" w:hAnsi="Times New Roman" w:cs="Times New Roman"/>
    </w:rPr>
  </w:style>
  <w:style w:type="paragraph" w:styleId="879">
    <w:name w:val="Heading 3"/>
    <w:basedOn w:val="876"/>
    <w:next w:val="890"/>
    <w:link w:val="950"/>
    <w:qFormat/>
    <w:pPr>
      <w:ind w:left="720"/>
      <w:spacing w:before="260" w:after="260" w:line="416" w:lineRule="auto"/>
      <w:outlineLvl w:val="2"/>
    </w:pPr>
    <w:rPr>
      <w:rFonts w:ascii="Times New Roman" w:hAnsi="Times New Roman" w:cs="Times New Roman"/>
    </w:rPr>
  </w:style>
  <w:style w:type="paragraph" w:styleId="880">
    <w:name w:val="Heading 4"/>
    <w:basedOn w:val="877"/>
    <w:next w:val="876"/>
    <w:link w:val="951"/>
    <w:qFormat/>
    <w:pPr>
      <w:ind w:left="864" w:firstLine="24"/>
      <w:spacing w:before="280" w:after="290" w:line="376" w:lineRule="auto"/>
      <w:outlineLvl w:val="3"/>
    </w:pPr>
    <w:rPr>
      <w:rFonts w:ascii="Times New Roman" w:hAnsi="Times New Roman" w:cs="Times New Roman"/>
    </w:rPr>
  </w:style>
  <w:style w:type="paragraph" w:styleId="881">
    <w:name w:val="Heading 5"/>
    <w:basedOn w:val="877"/>
    <w:next w:val="876"/>
    <w:link w:val="952"/>
    <w:qFormat/>
    <w:pPr>
      <w:ind w:left="1008"/>
      <w:spacing w:before="280" w:after="290" w:line="376" w:lineRule="auto"/>
      <w:outlineLvl w:val="4"/>
    </w:pPr>
    <w:rPr>
      <w:rFonts w:ascii="Times New Roman" w:hAnsi="Times New Roman" w:cs="Times New Roman"/>
    </w:rPr>
  </w:style>
  <w:style w:type="paragraph" w:styleId="882">
    <w:name w:val="Heading 6"/>
    <w:basedOn w:val="877"/>
    <w:next w:val="876"/>
    <w:link w:val="953"/>
    <w:qFormat/>
    <w:pPr>
      <w:ind w:left="1152" w:firstLine="20"/>
      <w:spacing w:before="240" w:after="64" w:line="320" w:lineRule="auto"/>
      <w:outlineLvl w:val="5"/>
    </w:pPr>
    <w:rPr>
      <w:rFonts w:ascii="Times New Roman" w:hAnsi="Times New Roman" w:cs="Times New Roman"/>
    </w:rPr>
  </w:style>
  <w:style w:type="paragraph" w:styleId="883">
    <w:name w:val="Heading 7"/>
    <w:basedOn w:val="877"/>
    <w:next w:val="876"/>
    <w:link w:val="954"/>
    <w:qFormat/>
    <w:pPr>
      <w:ind w:left="1296" w:firstLine="14"/>
      <w:spacing w:before="240" w:after="64" w:line="320" w:lineRule="auto"/>
      <w:outlineLvl w:val="6"/>
    </w:pPr>
    <w:rPr>
      <w:rFonts w:ascii="Times New Roman" w:hAnsi="Times New Roman" w:cs="Times New Roman"/>
    </w:rPr>
  </w:style>
  <w:style w:type="paragraph" w:styleId="884">
    <w:name w:val="Heading 8"/>
    <w:basedOn w:val="877"/>
    <w:next w:val="876"/>
    <w:link w:val="955"/>
    <w:qFormat/>
    <w:pPr>
      <w:ind w:left="1440"/>
      <w:spacing w:before="240" w:after="64" w:line="320" w:lineRule="auto"/>
      <w:outlineLvl w:val="7"/>
    </w:pPr>
    <w:rPr>
      <w:rFonts w:ascii="Times New Roman" w:hAnsi="Times New Roman" w:cs="Times New Roman"/>
    </w:rPr>
  </w:style>
  <w:style w:type="paragraph" w:styleId="885">
    <w:name w:val="Heading 9"/>
    <w:basedOn w:val="877"/>
    <w:next w:val="876"/>
    <w:link w:val="956"/>
    <w:qFormat/>
    <w:pPr>
      <w:ind w:left="1584" w:firstLine="22"/>
      <w:spacing w:before="240" w:after="64" w:line="320" w:lineRule="auto"/>
      <w:outlineLvl w:val="8"/>
    </w:pPr>
    <w:rPr>
      <w:rFonts w:ascii="Times New Roman" w:hAnsi="Times New Roman" w:cs="Times New Roman"/>
    </w:rPr>
  </w:style>
  <w:style w:type="character" w:styleId="886" w:default="1">
    <w:name w:val="Default Paragraph Font"/>
    <w:uiPriority w:val="1"/>
    <w:semiHidden/>
    <w:unhideWhenUsed/>
  </w:style>
  <w:style w:type="table" w:styleId="887" w:default="1">
    <w:name w:val="Normal Table"/>
    <w:uiPriority w:val="99"/>
    <w:semiHidden/>
    <w:unhideWhenUsed/>
    <w:tblPr>
      <w:tblInd w:w="0" w:type="dxa"/>
      <w:tblCellMar>
        <w:left w:w="108" w:type="dxa"/>
        <w:top w:w="0" w:type="dxa"/>
        <w:right w:w="108" w:type="dxa"/>
        <w:bottom w:w="0" w:type="dxa"/>
      </w:tblCellMar>
    </w:tblPr>
  </w:style>
  <w:style w:type="numbering" w:styleId="888" w:default="1">
    <w:name w:val="No List"/>
    <w:uiPriority w:val="99"/>
    <w:semiHidden/>
    <w:unhideWhenUsed/>
  </w:style>
  <w:style w:type="paragraph" w:styleId="889">
    <w:name w:val="Body Text Indent"/>
    <w:basedOn w:val="876"/>
    <w:next w:val="876"/>
    <w:qFormat/>
    <w:pPr>
      <w:ind w:left="420" w:firstLine="1188"/>
      <w:spacing w:line="360" w:lineRule="exact"/>
    </w:pPr>
    <w:rPr>
      <w:rFonts w:ascii="Times New Roman" w:hAnsi="Times New Roman" w:cs="Times New Roman"/>
    </w:rPr>
  </w:style>
  <w:style w:type="paragraph" w:styleId="890" w:customStyle="1">
    <w:name w:val="正文2"/>
    <w:basedOn w:val="876"/>
    <w:next w:val="876"/>
    <w:qFormat/>
    <w:pPr>
      <w:ind w:left="0" w:hanging="2155"/>
      <w:spacing w:line="360" w:lineRule="auto"/>
      <w:shd w:val="clear" w:color="auto" w:fill="ffffff"/>
    </w:pPr>
    <w:rPr>
      <w:rFonts w:ascii="宋体" w:hAnsi="宋体"/>
    </w:rPr>
  </w:style>
  <w:style w:type="paragraph" w:styleId="891">
    <w:name w:val="toc 7"/>
    <w:basedOn w:val="877"/>
    <w:next w:val="876"/>
    <w:qFormat/>
    <w:pPr>
      <w:ind w:left="1640" w:firstLine="3784"/>
      <w:spacing w:before="0" w:after="0" w:line="360" w:lineRule="auto"/>
    </w:pPr>
    <w:rPr>
      <w:rFonts w:ascii="Times New Roman" w:hAnsi="Times New Roman" w:cs="Times New Roman"/>
    </w:rPr>
  </w:style>
  <w:style w:type="paragraph" w:styleId="892">
    <w:name w:val="List Bullet 4"/>
    <w:basedOn w:val="877"/>
    <w:next w:val="893"/>
    <w:qFormat/>
    <w:pPr>
      <w:ind w:left="1620" w:firstLine="2652"/>
      <w:spacing w:before="0" w:after="0" w:line="360" w:lineRule="auto"/>
    </w:pPr>
    <w:rPr>
      <w:rFonts w:ascii="Times New Roman" w:hAnsi="Times New Roman" w:cs="Times New Roman"/>
    </w:rPr>
  </w:style>
  <w:style w:type="paragraph" w:styleId="893">
    <w:name w:val="List Bullet 2"/>
    <w:basedOn w:val="877"/>
    <w:next w:val="876"/>
    <w:qFormat/>
    <w:pPr>
      <w:ind w:left="900" w:firstLine="2652"/>
      <w:spacing w:before="0" w:after="0" w:line="360" w:lineRule="auto"/>
    </w:pPr>
    <w:rPr>
      <w:rFonts w:ascii="Times New Roman" w:hAnsi="Times New Roman" w:cs="Times New Roman"/>
    </w:rPr>
  </w:style>
  <w:style w:type="paragraph" w:styleId="894">
    <w:name w:val="List Number"/>
    <w:basedOn w:val="877"/>
    <w:next w:val="876"/>
    <w:qFormat/>
    <w:pPr>
      <w:ind w:left="454" w:firstLine="2788"/>
      <w:spacing w:before="0" w:after="0" w:line="240" w:lineRule="auto"/>
    </w:pPr>
    <w:rPr>
      <w:rFonts w:ascii="Times New Roman" w:hAnsi="Times New Roman" w:cs="Times New Roman"/>
    </w:rPr>
  </w:style>
  <w:style w:type="paragraph" w:styleId="895">
    <w:name w:val="Normal Indent"/>
    <w:basedOn w:val="876"/>
    <w:next w:val="876"/>
    <w:link w:val="1095"/>
    <w:qFormat/>
    <w:pPr>
      <w:ind w:left="420" w:firstLine="4772"/>
    </w:pPr>
  </w:style>
  <w:style w:type="paragraph" w:styleId="896">
    <w:name w:val="Caption"/>
    <w:basedOn w:val="877"/>
    <w:next w:val="876"/>
    <w:qFormat/>
    <w:pPr>
      <w:ind w:left="200" w:firstLine="2248"/>
      <w:jc w:val="center"/>
      <w:spacing w:before="0" w:after="0" w:line="240" w:lineRule="auto"/>
    </w:pPr>
    <w:rPr>
      <w:rFonts w:ascii="Times New Roman" w:hAnsi="Times New Roman" w:cs="Times New Roman"/>
    </w:rPr>
  </w:style>
  <w:style w:type="paragraph" w:styleId="897">
    <w:name w:val="List Bullet"/>
    <w:basedOn w:val="877"/>
    <w:next w:val="876"/>
    <w:qFormat/>
    <w:pPr>
      <w:ind w:left="900" w:firstLine="2652"/>
      <w:spacing w:before="0" w:after="0" w:line="360" w:lineRule="auto"/>
    </w:pPr>
    <w:rPr>
      <w:rFonts w:ascii="Times New Roman" w:hAnsi="Times New Roman" w:cs="Times New Roman"/>
    </w:rPr>
  </w:style>
  <w:style w:type="paragraph" w:styleId="898">
    <w:name w:val="Document Map"/>
    <w:basedOn w:val="877"/>
    <w:next w:val="899"/>
    <w:qFormat/>
    <w:pPr>
      <w:ind w:left="0" w:firstLine="4"/>
      <w:spacing w:before="0" w:after="0" w:line="240" w:lineRule="auto"/>
      <w:shd w:val="clear" w:color="000000" w:fill="000080"/>
    </w:pPr>
    <w:rPr>
      <w:rFonts w:ascii="Times New Roman" w:hAnsi="Times New Roman" w:cs="Times New Roman"/>
    </w:rPr>
  </w:style>
  <w:style w:type="paragraph" w:styleId="899">
    <w:name w:val="annotation subject"/>
    <w:next w:val="876"/>
    <w:qFormat/>
    <w:pPr>
      <w:ind w:firstLine="4608"/>
      <w:spacing w:line="360" w:lineRule="auto"/>
    </w:pPr>
    <w:rPr>
      <w:rFonts w:ascii="Calibri" w:hAnsi="Calibri"/>
    </w:rPr>
  </w:style>
  <w:style w:type="paragraph" w:styleId="900">
    <w:name w:val="annotation text"/>
    <w:basedOn w:val="877"/>
    <w:next w:val="876"/>
    <w:qFormat/>
    <w:pPr>
      <w:ind w:left="0" w:firstLine="3584"/>
      <w:spacing w:before="0" w:after="0" w:line="360" w:lineRule="auto"/>
    </w:pPr>
    <w:rPr>
      <w:rFonts w:ascii="Times New Roman" w:hAnsi="Times New Roman" w:cs="Times New Roman"/>
    </w:rPr>
  </w:style>
  <w:style w:type="paragraph" w:styleId="901">
    <w:name w:val="Body Text 3"/>
    <w:basedOn w:val="877"/>
    <w:next w:val="876"/>
    <w:qFormat/>
    <w:pPr>
      <w:ind w:left="0" w:firstLine="2048"/>
      <w:spacing w:before="0" w:after="0" w:line="500" w:lineRule="exact"/>
    </w:pPr>
    <w:rPr>
      <w:rFonts w:ascii="Times New Roman" w:hAnsi="Times New Roman" w:cs="Times New Roman"/>
    </w:rPr>
  </w:style>
  <w:style w:type="paragraph" w:styleId="902">
    <w:name w:val="List Bullet 3"/>
    <w:basedOn w:val="877"/>
    <w:next w:val="876"/>
    <w:qFormat/>
    <w:pPr>
      <w:ind w:left="900" w:firstLine="2652"/>
      <w:spacing w:before="0" w:after="0" w:line="360" w:lineRule="auto"/>
    </w:pPr>
    <w:rPr>
      <w:rFonts w:ascii="Times New Roman" w:hAnsi="Times New Roman" w:cs="Times New Roman"/>
    </w:rPr>
  </w:style>
  <w:style w:type="paragraph" w:styleId="903">
    <w:name w:val="Body Text"/>
    <w:basedOn w:val="876"/>
    <w:next w:val="876"/>
    <w:qFormat/>
    <w:pPr>
      <w:ind w:left="0" w:firstLine="2560"/>
    </w:pPr>
    <w:rPr>
      <w:rFonts w:ascii="Times New Roman" w:hAnsi="Times New Roman" w:cs="Times New Roman"/>
    </w:rPr>
  </w:style>
  <w:style w:type="paragraph" w:styleId="904">
    <w:name w:val="List Number 3"/>
    <w:basedOn w:val="877"/>
    <w:next w:val="876"/>
    <w:qFormat/>
    <w:pPr>
      <w:ind w:left="420" w:firstLine="3584"/>
      <w:spacing w:before="0" w:after="0" w:line="240" w:lineRule="auto"/>
    </w:pPr>
    <w:rPr>
      <w:rFonts w:ascii="Times New Roman" w:hAnsi="Times New Roman" w:cs="Times New Roman"/>
    </w:rPr>
  </w:style>
  <w:style w:type="paragraph" w:styleId="905">
    <w:name w:val="List 2"/>
    <w:basedOn w:val="877"/>
    <w:next w:val="891"/>
    <w:qFormat/>
    <w:pPr>
      <w:ind w:left="100" w:firstLine="3640"/>
      <w:spacing w:before="0" w:after="0" w:line="240" w:lineRule="auto"/>
    </w:pPr>
    <w:rPr>
      <w:rFonts w:ascii="Times New Roman" w:hAnsi="Times New Roman" w:cs="Times New Roman"/>
    </w:rPr>
  </w:style>
  <w:style w:type="paragraph" w:styleId="906">
    <w:name w:val="Block Text"/>
    <w:basedOn w:val="877"/>
    <w:next w:val="876"/>
    <w:qFormat/>
    <w:pPr>
      <w:ind w:left="420" w:right="33" w:firstLine="2560"/>
      <w:spacing w:before="0" w:after="0" w:line="240" w:lineRule="auto"/>
    </w:pPr>
    <w:rPr>
      <w:rFonts w:ascii="Times New Roman" w:hAnsi="Times New Roman" w:cs="Times New Roman"/>
    </w:rPr>
  </w:style>
  <w:style w:type="paragraph" w:styleId="907">
    <w:name w:val="toc 5"/>
    <w:basedOn w:val="877"/>
    <w:next w:val="876"/>
    <w:qFormat/>
    <w:pPr>
      <w:ind w:left="1160" w:firstLine="3784"/>
      <w:spacing w:before="0" w:after="0" w:line="360" w:lineRule="auto"/>
    </w:pPr>
    <w:rPr>
      <w:rFonts w:ascii="Times New Roman" w:hAnsi="Times New Roman" w:cs="Times New Roman"/>
    </w:rPr>
  </w:style>
  <w:style w:type="paragraph" w:styleId="908">
    <w:name w:val="toc 3"/>
    <w:basedOn w:val="877"/>
    <w:next w:val="876"/>
    <w:qFormat/>
    <w:pPr>
      <w:ind w:left="0" w:firstLine="1024"/>
      <w:spacing w:before="0" w:after="0" w:line="360" w:lineRule="auto"/>
    </w:pPr>
    <w:rPr>
      <w:rFonts w:ascii="Times New Roman" w:hAnsi="Times New Roman" w:cs="Times New Roman"/>
    </w:rPr>
  </w:style>
  <w:style w:type="paragraph" w:styleId="909">
    <w:name w:val="Plain Text"/>
    <w:basedOn w:val="877"/>
    <w:next w:val="910"/>
    <w:qFormat/>
    <w:pPr>
      <w:ind w:left="0" w:firstLine="2048"/>
      <w:spacing w:before="0" w:after="0" w:line="240" w:lineRule="auto"/>
    </w:pPr>
    <w:rPr>
      <w:rFonts w:ascii="Times New Roman" w:hAnsi="Times New Roman" w:cs="Times New Roman"/>
    </w:rPr>
  </w:style>
  <w:style w:type="paragraph" w:styleId="910">
    <w:name w:val="toc 1"/>
    <w:basedOn w:val="877"/>
    <w:next w:val="876"/>
    <w:uiPriority w:val="39"/>
    <w:qFormat/>
    <w:pPr>
      <w:ind w:left="0" w:firstLine="4608"/>
      <w:spacing w:before="0" w:after="0" w:line="240" w:lineRule="auto"/>
    </w:pPr>
    <w:rPr>
      <w:rFonts w:ascii="Times New Roman" w:hAnsi="Times New Roman" w:cs="Times New Roman"/>
    </w:rPr>
  </w:style>
  <w:style w:type="paragraph" w:styleId="911">
    <w:name w:val="List Bullet 5"/>
    <w:basedOn w:val="877"/>
    <w:next w:val="912"/>
    <w:qFormat/>
    <w:pPr>
      <w:ind w:left="2040" w:firstLine="2560"/>
      <w:spacing w:before="0" w:after="0" w:line="360" w:lineRule="auto"/>
    </w:pPr>
    <w:rPr>
      <w:rFonts w:ascii="Times New Roman" w:hAnsi="Times New Roman" w:cs="Times New Roman"/>
    </w:rPr>
  </w:style>
  <w:style w:type="paragraph" w:styleId="912" w:customStyle="1">
    <w:name w:val="正文首行缩进1"/>
    <w:next w:val="904"/>
    <w:qFormat/>
    <w:pPr>
      <w:ind w:left="420" w:firstLine="2724"/>
      <w:spacing w:after="120" w:line="360" w:lineRule="auto"/>
    </w:pPr>
    <w:rPr>
      <w:rFonts w:ascii="Calibri" w:hAnsi="Calibri"/>
    </w:rPr>
  </w:style>
  <w:style w:type="paragraph" w:styleId="913">
    <w:name w:val="toc 8"/>
    <w:basedOn w:val="877"/>
    <w:next w:val="876"/>
    <w:qFormat/>
    <w:pPr>
      <w:ind w:left="1880" w:firstLine="3784"/>
      <w:spacing w:before="0" w:after="0" w:line="360" w:lineRule="auto"/>
    </w:pPr>
    <w:rPr>
      <w:rFonts w:ascii="Times New Roman" w:hAnsi="Times New Roman" w:cs="Times New Roman"/>
    </w:rPr>
  </w:style>
  <w:style w:type="paragraph" w:styleId="914">
    <w:name w:val="Date"/>
    <w:basedOn w:val="877"/>
    <w:next w:val="876"/>
    <w:qFormat/>
    <w:pPr>
      <w:ind w:left="0" w:firstLine="2560"/>
      <w:spacing w:before="0" w:after="0" w:line="240" w:lineRule="auto"/>
    </w:pPr>
    <w:rPr>
      <w:rFonts w:ascii="Times New Roman" w:hAnsi="Times New Roman" w:cs="Times New Roman"/>
    </w:rPr>
  </w:style>
  <w:style w:type="paragraph" w:styleId="915">
    <w:name w:val="Body Text Indent 2"/>
    <w:basedOn w:val="877"/>
    <w:next w:val="889"/>
    <w:qFormat/>
    <w:pPr>
      <w:ind w:left="481" w:firstLine="2784"/>
      <w:spacing w:before="0" w:after="0" w:line="400" w:lineRule="exact"/>
    </w:pPr>
    <w:rPr>
      <w:rFonts w:ascii="Times New Roman" w:hAnsi="Times New Roman" w:cs="Times New Roman"/>
    </w:rPr>
  </w:style>
  <w:style w:type="paragraph" w:styleId="916">
    <w:name w:val="endnote text"/>
    <w:basedOn w:val="877"/>
    <w:next w:val="917"/>
    <w:link w:val="1093"/>
    <w:qFormat/>
    <w:pPr>
      <w:ind w:left="0" w:firstLine="2560"/>
      <w:spacing w:before="0" w:after="0" w:line="360" w:lineRule="auto"/>
    </w:pPr>
    <w:rPr>
      <w:rFonts w:ascii="Times New Roman" w:hAnsi="Times New Roman" w:cs="Times New Roman"/>
    </w:rPr>
  </w:style>
  <w:style w:type="paragraph" w:styleId="917" w:customStyle="1">
    <w:name w:val="Char11"/>
    <w:basedOn w:val="877"/>
    <w:next w:val="876"/>
    <w:qFormat/>
    <w:pPr>
      <w:ind w:left="0" w:firstLine="3584"/>
      <w:spacing w:before="0" w:after="0" w:line="240" w:lineRule="auto"/>
    </w:pPr>
    <w:rPr>
      <w:rFonts w:ascii="Times New Roman" w:hAnsi="Times New Roman" w:cs="Times New Roman"/>
    </w:rPr>
  </w:style>
  <w:style w:type="paragraph" w:styleId="918">
    <w:name w:val="Balloon Text"/>
    <w:basedOn w:val="877"/>
    <w:next w:val="894"/>
    <w:qFormat/>
    <w:pPr>
      <w:ind w:left="0" w:firstLine="2048"/>
      <w:spacing w:before="0" w:after="0" w:line="240" w:lineRule="auto"/>
    </w:pPr>
    <w:rPr>
      <w:rFonts w:ascii="Times New Roman" w:hAnsi="Times New Roman" w:cs="Times New Roman"/>
    </w:rPr>
  </w:style>
  <w:style w:type="paragraph" w:styleId="919">
    <w:name w:val="Footer"/>
    <w:basedOn w:val="876"/>
    <w:next w:val="920"/>
    <w:link w:val="1096"/>
    <w:qFormat/>
    <w:pPr>
      <w:ind w:left="0" w:firstLine="3584"/>
    </w:pPr>
  </w:style>
  <w:style w:type="paragraph" w:styleId="920" w:customStyle="1">
    <w:name w:val="Char Char Char Char Char Char Char Char Char Char Char Char Char"/>
    <w:basedOn w:val="877"/>
    <w:next w:val="876"/>
    <w:qFormat/>
    <w:pPr>
      <w:ind w:left="0" w:firstLine="3584"/>
      <w:spacing w:before="0" w:after="160" w:line="240" w:lineRule="exact"/>
    </w:pPr>
    <w:rPr>
      <w:rFonts w:ascii="Times New Roman" w:hAnsi="Times New Roman" w:cs="Times New Roman"/>
    </w:rPr>
  </w:style>
  <w:style w:type="paragraph" w:styleId="921">
    <w:name w:val="Header"/>
    <w:basedOn w:val="877"/>
    <w:next w:val="914"/>
    <w:link w:val="1097"/>
    <w:qFormat/>
    <w:pPr>
      <w:ind w:left="0" w:firstLine="3584"/>
      <w:jc w:val="center"/>
      <w:spacing w:before="0" w:after="0" w:line="240" w:lineRule="auto"/>
    </w:pPr>
  </w:style>
  <w:style w:type="paragraph" w:styleId="922">
    <w:name w:val="toc 4"/>
    <w:basedOn w:val="877"/>
    <w:next w:val="876"/>
    <w:qFormat/>
    <w:pPr>
      <w:ind w:left="1260" w:firstLine="1024"/>
      <w:spacing w:before="0" w:after="0" w:line="240" w:lineRule="auto"/>
    </w:pPr>
    <w:rPr>
      <w:rFonts w:ascii="Times New Roman" w:hAnsi="Times New Roman" w:cs="Times New Roman"/>
    </w:rPr>
  </w:style>
  <w:style w:type="paragraph" w:styleId="923">
    <w:name w:val="Subtitle"/>
    <w:next w:val="876"/>
    <w:link w:val="959"/>
    <w:qFormat/>
    <w:pPr>
      <w:ind w:left="1024"/>
      <w:jc w:val="center"/>
      <w:spacing w:after="60"/>
    </w:pPr>
    <w:rPr>
      <w:rFonts w:ascii="Calibri" w:hAnsi="Calibri"/>
    </w:rPr>
  </w:style>
  <w:style w:type="paragraph" w:styleId="924">
    <w:name w:val="List"/>
    <w:basedOn w:val="877"/>
    <w:next w:val="925"/>
    <w:qFormat/>
    <w:pPr>
      <w:ind w:left="200" w:firstLine="3640"/>
      <w:spacing w:before="0" w:after="0" w:line="240" w:lineRule="auto"/>
    </w:pPr>
    <w:rPr>
      <w:rFonts w:ascii="Times New Roman" w:hAnsi="Times New Roman" w:cs="Times New Roman"/>
    </w:rPr>
  </w:style>
  <w:style w:type="paragraph" w:styleId="925">
    <w:name w:val="Body Text First Indent"/>
    <w:next w:val="876"/>
    <w:qFormat/>
    <w:pPr>
      <w:ind w:left="420" w:firstLine="3748"/>
      <w:spacing w:after="120"/>
    </w:pPr>
    <w:rPr>
      <w:rFonts w:ascii="Calibri" w:hAnsi="Calibri"/>
    </w:rPr>
  </w:style>
  <w:style w:type="paragraph" w:styleId="926">
    <w:name w:val="footnote text"/>
    <w:basedOn w:val="877"/>
    <w:next w:val="906"/>
    <w:link w:val="1092"/>
    <w:qFormat/>
    <w:pPr>
      <w:ind w:left="0" w:firstLine="3584"/>
      <w:spacing w:before="0" w:after="0" w:line="360" w:lineRule="auto"/>
    </w:pPr>
    <w:rPr>
      <w:rFonts w:ascii="Times New Roman" w:hAnsi="Times New Roman" w:cs="Times New Roman"/>
    </w:rPr>
  </w:style>
  <w:style w:type="paragraph" w:styleId="927">
    <w:name w:val="toc 6"/>
    <w:basedOn w:val="877"/>
    <w:next w:val="876"/>
    <w:qFormat/>
    <w:pPr>
      <w:ind w:left="1400" w:firstLine="3784"/>
      <w:spacing w:before="0" w:after="0" w:line="360" w:lineRule="auto"/>
    </w:pPr>
    <w:rPr>
      <w:rFonts w:ascii="Times New Roman" w:hAnsi="Times New Roman" w:cs="Times New Roman"/>
    </w:rPr>
  </w:style>
  <w:style w:type="paragraph" w:styleId="928">
    <w:name w:val="List 5"/>
    <w:basedOn w:val="877"/>
    <w:next w:val="903"/>
    <w:qFormat/>
    <w:pPr>
      <w:ind w:left="2100" w:firstLine="3676"/>
      <w:spacing w:before="0" w:after="0" w:line="240" w:lineRule="auto"/>
    </w:pPr>
    <w:rPr>
      <w:rFonts w:ascii="Times New Roman" w:hAnsi="Times New Roman" w:cs="Times New Roman"/>
    </w:rPr>
  </w:style>
  <w:style w:type="paragraph" w:styleId="929">
    <w:name w:val="Body Text Indent 3"/>
    <w:basedOn w:val="877"/>
    <w:next w:val="927"/>
    <w:qFormat/>
    <w:pPr>
      <w:ind w:left="480" w:firstLine="2784"/>
      <w:spacing w:before="0" w:after="0" w:line="400" w:lineRule="exact"/>
    </w:pPr>
    <w:rPr>
      <w:rFonts w:ascii="Times New Roman" w:hAnsi="Times New Roman" w:cs="Times New Roman"/>
    </w:rPr>
  </w:style>
  <w:style w:type="paragraph" w:styleId="930">
    <w:name w:val="table of figures"/>
    <w:basedOn w:val="876"/>
    <w:next w:val="876"/>
    <w:uiPriority w:val="99"/>
    <w:unhideWhenUsed/>
    <w:qFormat/>
  </w:style>
  <w:style w:type="paragraph" w:styleId="931">
    <w:name w:val="toc 2"/>
    <w:basedOn w:val="877"/>
    <w:next w:val="876"/>
    <w:qFormat/>
    <w:pPr>
      <w:ind w:left="0" w:firstLine="1024"/>
      <w:spacing w:before="0" w:after="0" w:line="360" w:lineRule="auto"/>
    </w:pPr>
    <w:rPr>
      <w:rFonts w:ascii="Times New Roman" w:hAnsi="Times New Roman" w:cs="Times New Roman"/>
    </w:rPr>
  </w:style>
  <w:style w:type="paragraph" w:styleId="932">
    <w:name w:val="toc 9"/>
    <w:basedOn w:val="877"/>
    <w:next w:val="876"/>
    <w:qFormat/>
    <w:pPr>
      <w:ind w:left="2120" w:firstLine="3784"/>
      <w:spacing w:before="0" w:after="0" w:line="360" w:lineRule="auto"/>
    </w:pPr>
    <w:rPr>
      <w:rFonts w:ascii="Times New Roman" w:hAnsi="Times New Roman" w:cs="Times New Roman"/>
    </w:rPr>
  </w:style>
  <w:style w:type="paragraph" w:styleId="933">
    <w:name w:val="Body Text 2"/>
    <w:basedOn w:val="877"/>
    <w:next w:val="897"/>
    <w:qFormat/>
    <w:pPr>
      <w:ind w:left="0" w:firstLine="1024"/>
      <w:spacing w:before="0" w:after="120" w:line="480" w:lineRule="auto"/>
    </w:pPr>
    <w:rPr>
      <w:rFonts w:ascii="Times New Roman" w:hAnsi="Times New Roman" w:cs="Times New Roman"/>
    </w:rPr>
  </w:style>
  <w:style w:type="paragraph" w:styleId="934">
    <w:name w:val="HTML Preformatted"/>
    <w:basedOn w:val="877"/>
    <w:next w:val="896"/>
    <w:qFormat/>
    <w:pPr>
      <w:ind w:left="0" w:firstLine="2048"/>
      <w:spacing w:before="0" w:after="0" w:line="253" w:lineRule="atLeast"/>
    </w:pPr>
    <w:rPr>
      <w:rFonts w:ascii="Times New Roman" w:hAnsi="Times New Roman" w:cs="Times New Roman"/>
    </w:rPr>
  </w:style>
  <w:style w:type="paragraph" w:styleId="935">
    <w:name w:val="Normal (Web)"/>
    <w:basedOn w:val="876"/>
    <w:next w:val="905"/>
    <w:qFormat/>
    <w:pPr>
      <w:ind w:left="15" w:right="15" w:firstLine="4608"/>
      <w:spacing w:before="60" w:after="60" w:line="312" w:lineRule="auto"/>
    </w:pPr>
    <w:rPr>
      <w:rFonts w:ascii="Times New Roman" w:hAnsi="Times New Roman" w:cs="Times New Roman"/>
    </w:rPr>
  </w:style>
  <w:style w:type="paragraph" w:styleId="936">
    <w:name w:val="index 1"/>
    <w:basedOn w:val="877"/>
    <w:next w:val="876"/>
    <w:qFormat/>
    <w:pPr>
      <w:ind w:left="0" w:firstLine="3584"/>
      <w:spacing w:before="0" w:after="0" w:line="240" w:lineRule="auto"/>
    </w:pPr>
    <w:rPr>
      <w:rFonts w:ascii="Times New Roman" w:hAnsi="Times New Roman" w:cs="Times New Roman"/>
    </w:rPr>
  </w:style>
  <w:style w:type="paragraph" w:styleId="937">
    <w:name w:val="Title"/>
    <w:basedOn w:val="876"/>
    <w:next w:val="876"/>
    <w:link w:val="958"/>
    <w:uiPriority w:val="10"/>
    <w:qFormat/>
    <w:pPr>
      <w:contextualSpacing/>
      <w:spacing w:before="300" w:after="200"/>
    </w:pPr>
    <w:rPr>
      <w:sz w:val="48"/>
      <w:szCs w:val="48"/>
    </w:rPr>
  </w:style>
  <w:style w:type="paragraph" w:styleId="938">
    <w:name w:val="Body Text First Indent 2"/>
    <w:basedOn w:val="889"/>
    <w:unhideWhenUsed/>
    <w:qFormat/>
    <w:pPr>
      <w:ind w:firstLine="420"/>
    </w:pPr>
  </w:style>
  <w:style w:type="table" w:styleId="93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40">
    <w:name w:val="Strong"/>
    <w:qFormat/>
    <w:rPr>
      <w:rFonts w:ascii="Times New Roman" w:hAnsi="Times New Roman" w:eastAsia="宋体" w:cs="Times New Roman"/>
      <w:b/>
      <w:sz w:val="20"/>
    </w:rPr>
  </w:style>
  <w:style w:type="character" w:styleId="941">
    <w:name w:val="endnote reference"/>
    <w:basedOn w:val="886"/>
    <w:uiPriority w:val="99"/>
    <w:semiHidden/>
    <w:unhideWhenUsed/>
    <w:qFormat/>
    <w:rPr>
      <w:vertAlign w:val="superscript"/>
    </w:rPr>
  </w:style>
  <w:style w:type="character" w:styleId="942">
    <w:name w:val="page number"/>
    <w:qFormat/>
    <w:rPr>
      <w:rFonts w:ascii="Times New Roman" w:hAnsi="Times New Roman" w:eastAsia="宋体" w:cs="Times New Roman"/>
      <w:sz w:val="20"/>
    </w:rPr>
  </w:style>
  <w:style w:type="character" w:styleId="943">
    <w:name w:val="FollowedHyperlink"/>
    <w:qFormat/>
    <w:rPr>
      <w:rFonts w:ascii="Times New Roman" w:hAnsi="Times New Roman" w:eastAsia="宋体" w:cs="Times New Roman"/>
      <w:color w:val="800080"/>
      <w:sz w:val="20"/>
      <w:u w:val="single"/>
    </w:rPr>
  </w:style>
  <w:style w:type="character" w:styleId="944">
    <w:name w:val="Emphasis"/>
    <w:qFormat/>
    <w:rPr>
      <w:rFonts w:ascii="Times New Roman" w:hAnsi="Times New Roman" w:eastAsia="宋体" w:cs="Times New Roman"/>
      <w:i/>
      <w:sz w:val="21"/>
    </w:rPr>
  </w:style>
  <w:style w:type="character" w:styleId="945">
    <w:name w:val="Hyperlink"/>
    <w:uiPriority w:val="99"/>
    <w:qFormat/>
    <w:rPr>
      <w:rFonts w:ascii="Times New Roman" w:hAnsi="Times New Roman" w:eastAsia="宋体" w:cs="Times New Roman"/>
      <w:color w:val="0000ff"/>
      <w:sz w:val="20"/>
      <w:u w:val="single"/>
    </w:rPr>
  </w:style>
  <w:style w:type="character" w:styleId="946">
    <w:name w:val="annotation reference"/>
    <w:qFormat/>
    <w:rPr>
      <w:rFonts w:ascii="Times New Roman" w:hAnsi="Times New Roman" w:eastAsia="宋体" w:cs="Times New Roman"/>
      <w:sz w:val="20"/>
    </w:rPr>
  </w:style>
  <w:style w:type="character" w:styleId="947">
    <w:name w:val="footnote reference"/>
    <w:qFormat/>
    <w:rPr>
      <w:rFonts w:ascii="Times New Roman" w:hAnsi="Times New Roman" w:eastAsia="宋体" w:cs="Times New Roman"/>
      <w:vertAlign w:val="superscript"/>
    </w:rPr>
  </w:style>
  <w:style w:type="character" w:styleId="948" w:customStyle="1">
    <w:name w:val="标题 1 字符"/>
    <w:basedOn w:val="886"/>
    <w:link w:val="877"/>
    <w:uiPriority w:val="9"/>
    <w:qFormat/>
    <w:rPr>
      <w:rFonts w:ascii="Arial" w:hAnsi="Arial" w:eastAsia="Arial" w:cs="Arial"/>
      <w:sz w:val="40"/>
      <w:szCs w:val="40"/>
    </w:rPr>
  </w:style>
  <w:style w:type="character" w:styleId="949" w:customStyle="1">
    <w:name w:val="标题 2 字符"/>
    <w:basedOn w:val="886"/>
    <w:link w:val="878"/>
    <w:uiPriority w:val="9"/>
    <w:qFormat/>
    <w:rPr>
      <w:rFonts w:ascii="Arial" w:hAnsi="Arial" w:eastAsia="Arial" w:cs="Arial"/>
      <w:sz w:val="34"/>
    </w:rPr>
  </w:style>
  <w:style w:type="character" w:styleId="950" w:customStyle="1">
    <w:name w:val="标题 3 字符"/>
    <w:basedOn w:val="886"/>
    <w:link w:val="879"/>
    <w:uiPriority w:val="9"/>
    <w:qFormat/>
    <w:rPr>
      <w:rFonts w:ascii="Arial" w:hAnsi="Arial" w:eastAsia="Arial" w:cs="Arial"/>
      <w:sz w:val="30"/>
      <w:szCs w:val="30"/>
    </w:rPr>
  </w:style>
  <w:style w:type="character" w:styleId="951" w:customStyle="1">
    <w:name w:val="标题 4 字符"/>
    <w:basedOn w:val="886"/>
    <w:link w:val="880"/>
    <w:uiPriority w:val="9"/>
    <w:qFormat/>
    <w:rPr>
      <w:rFonts w:ascii="Arial" w:hAnsi="Arial" w:eastAsia="Arial" w:cs="Arial"/>
      <w:b/>
      <w:bCs/>
      <w:sz w:val="26"/>
      <w:szCs w:val="26"/>
    </w:rPr>
  </w:style>
  <w:style w:type="character" w:styleId="952" w:customStyle="1">
    <w:name w:val="标题 5 字符"/>
    <w:basedOn w:val="886"/>
    <w:link w:val="881"/>
    <w:qFormat/>
    <w:rPr>
      <w:rFonts w:ascii="Arial" w:hAnsi="Arial" w:eastAsia="Arial" w:cs="Arial"/>
      <w:b/>
      <w:bCs/>
      <w:sz w:val="24"/>
      <w:szCs w:val="24"/>
    </w:rPr>
  </w:style>
  <w:style w:type="character" w:styleId="953" w:customStyle="1">
    <w:name w:val="标题 6 字符"/>
    <w:basedOn w:val="886"/>
    <w:link w:val="882"/>
    <w:uiPriority w:val="9"/>
    <w:qFormat/>
    <w:rPr>
      <w:rFonts w:ascii="Arial" w:hAnsi="Arial" w:eastAsia="Arial" w:cs="Arial"/>
      <w:b/>
      <w:bCs/>
      <w:sz w:val="22"/>
      <w:szCs w:val="22"/>
    </w:rPr>
  </w:style>
  <w:style w:type="character" w:styleId="954" w:customStyle="1">
    <w:name w:val="标题 7 字符"/>
    <w:basedOn w:val="886"/>
    <w:link w:val="883"/>
    <w:uiPriority w:val="9"/>
    <w:qFormat/>
    <w:rPr>
      <w:rFonts w:ascii="Arial" w:hAnsi="Arial" w:eastAsia="Arial" w:cs="Arial"/>
      <w:b/>
      <w:bCs/>
      <w:i/>
      <w:iCs/>
      <w:sz w:val="22"/>
      <w:szCs w:val="22"/>
    </w:rPr>
  </w:style>
  <w:style w:type="character" w:styleId="955" w:customStyle="1">
    <w:name w:val="标题 8 字符"/>
    <w:basedOn w:val="886"/>
    <w:link w:val="884"/>
    <w:uiPriority w:val="9"/>
    <w:qFormat/>
    <w:rPr>
      <w:rFonts w:ascii="Arial" w:hAnsi="Arial" w:eastAsia="Arial" w:cs="Arial"/>
      <w:i/>
      <w:iCs/>
      <w:sz w:val="22"/>
      <w:szCs w:val="22"/>
    </w:rPr>
  </w:style>
  <w:style w:type="character" w:styleId="956" w:customStyle="1">
    <w:name w:val="标题 9 字符"/>
    <w:basedOn w:val="886"/>
    <w:link w:val="885"/>
    <w:uiPriority w:val="9"/>
    <w:qFormat/>
    <w:rPr>
      <w:rFonts w:ascii="Arial" w:hAnsi="Arial" w:eastAsia="Arial" w:cs="Arial"/>
      <w:i/>
      <w:iCs/>
      <w:sz w:val="21"/>
      <w:szCs w:val="21"/>
    </w:rPr>
  </w:style>
  <w:style w:type="paragraph" w:styleId="957">
    <w:name w:val="No Spacing"/>
    <w:uiPriority w:val="1"/>
    <w:qFormat/>
  </w:style>
  <w:style w:type="character" w:styleId="958" w:customStyle="1">
    <w:name w:val="标题 字符"/>
    <w:basedOn w:val="886"/>
    <w:link w:val="937"/>
    <w:uiPriority w:val="10"/>
    <w:qFormat/>
    <w:rPr>
      <w:sz w:val="48"/>
      <w:szCs w:val="48"/>
    </w:rPr>
  </w:style>
  <w:style w:type="character" w:styleId="959" w:customStyle="1">
    <w:name w:val="副标题 字符"/>
    <w:basedOn w:val="886"/>
    <w:link w:val="923"/>
    <w:uiPriority w:val="11"/>
    <w:qFormat/>
    <w:rPr>
      <w:sz w:val="24"/>
      <w:szCs w:val="24"/>
    </w:rPr>
  </w:style>
  <w:style w:type="character" w:styleId="960" w:customStyle="1">
    <w:name w:val="引用 字符"/>
    <w:link w:val="961"/>
    <w:uiPriority w:val="29"/>
    <w:qFormat/>
    <w:rPr>
      <w:i/>
    </w:rPr>
  </w:style>
  <w:style w:type="paragraph" w:styleId="961">
    <w:name w:val="Quote"/>
    <w:next w:val="876"/>
    <w:link w:val="960"/>
    <w:qFormat/>
    <w:pPr>
      <w:ind w:left="3680" w:right="864"/>
      <w:jc w:val="center"/>
      <w:spacing w:before="200" w:after="160"/>
    </w:pPr>
    <w:rPr>
      <w:rFonts w:ascii="Calibri" w:hAnsi="Calibri"/>
      <w:i/>
    </w:rPr>
  </w:style>
  <w:style w:type="character" w:styleId="962" w:customStyle="1">
    <w:name w:val="明显引用 字符"/>
    <w:link w:val="963"/>
    <w:uiPriority w:val="30"/>
    <w:qFormat/>
    <w:rPr>
      <w:i/>
    </w:rPr>
  </w:style>
  <w:style w:type="paragraph" w:styleId="963">
    <w:name w:val="Intense Quote"/>
    <w:next w:val="876"/>
    <w:link w:val="962"/>
    <w:qFormat/>
    <w:pPr>
      <w:ind w:left="3766" w:right="950"/>
      <w:jc w:val="center"/>
      <w:spacing w:before="360" w:after="360"/>
    </w:pPr>
    <w:rPr>
      <w:rFonts w:ascii="Calibri" w:hAnsi="Calibri"/>
      <w:i/>
    </w:rPr>
  </w:style>
  <w:style w:type="character" w:styleId="964" w:customStyle="1">
    <w:name w:val="Header Char"/>
    <w:basedOn w:val="886"/>
    <w:uiPriority w:val="99"/>
    <w:qFormat/>
  </w:style>
  <w:style w:type="character" w:styleId="965" w:customStyle="1">
    <w:name w:val="Footer Char"/>
    <w:basedOn w:val="886"/>
    <w:uiPriority w:val="99"/>
    <w:qFormat/>
  </w:style>
  <w:style w:type="character" w:styleId="966" w:customStyle="1">
    <w:name w:val="Caption Char"/>
    <w:uiPriority w:val="99"/>
    <w:qFormat/>
  </w:style>
  <w:style w:type="table" w:styleId="967" w:customStyle="1">
    <w:name w:val="Table Grid Light"/>
    <w:basedOn w:val="8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68" w:customStyle="1">
    <w:name w:val="无格式表格 11"/>
    <w:basedOn w:val="8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无格式表格 21"/>
    <w:basedOn w:val="8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31"/>
    <w:basedOn w:val="8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customStyle="1">
    <w:name w:val="无格式表格 41"/>
    <w:basedOn w:val="8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customStyle="1">
    <w:name w:val="无格式表格 51"/>
    <w:basedOn w:val="8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3" w:customStyle="1">
    <w:name w:val="网格表 1 浅色1"/>
    <w:basedOn w:val="88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1"/>
    <w:basedOn w:val="887"/>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2"/>
    <w:basedOn w:val="887"/>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3"/>
    <w:basedOn w:val="8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4"/>
    <w:basedOn w:val="8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5"/>
    <w:basedOn w:val="887"/>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6"/>
    <w:basedOn w:val="8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0" w:customStyle="1">
    <w:name w:val="网格表 21"/>
    <w:basedOn w:val="8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1" w:customStyle="1">
    <w:name w:val="Grid Table 2 - Accent 1"/>
    <w:basedOn w:val="887"/>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82" w:customStyle="1">
    <w:name w:val="Grid Table 2 - Accent 2"/>
    <w:basedOn w:val="88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83" w:customStyle="1">
    <w:name w:val="Grid Table 2 - Accent 3"/>
    <w:basedOn w:val="887"/>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84" w:customStyle="1">
    <w:name w:val="Grid Table 2 - Accent 4"/>
    <w:basedOn w:val="8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2 - Accent 5"/>
    <w:basedOn w:val="8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6" w:customStyle="1">
    <w:name w:val="Grid Table 2 - Accent 6"/>
    <w:basedOn w:val="8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7" w:customStyle="1">
    <w:name w:val="网格表 31"/>
    <w:basedOn w:val="8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1"/>
    <w:basedOn w:val="887"/>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2"/>
    <w:basedOn w:val="88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3"/>
    <w:basedOn w:val="887"/>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4"/>
    <w:basedOn w:val="8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5"/>
    <w:basedOn w:val="8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6"/>
    <w:basedOn w:val="8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网格表 41"/>
    <w:basedOn w:val="88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customStyle="1">
    <w:name w:val="Grid Table 4 - Accent 1"/>
    <w:basedOn w:val="88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96" w:customStyle="1">
    <w:name w:val="Grid Table 4 - Accent 2"/>
    <w:basedOn w:val="887"/>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97" w:customStyle="1">
    <w:name w:val="Grid Table 4 - Accent 3"/>
    <w:basedOn w:val="88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98" w:customStyle="1">
    <w:name w:val="Grid Table 4 - Accent 4"/>
    <w:basedOn w:val="88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9" w:customStyle="1">
    <w:name w:val="Grid Table 4 - Accent 5"/>
    <w:basedOn w:val="88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0" w:customStyle="1">
    <w:name w:val="Grid Table 4 - Accent 6"/>
    <w:basedOn w:val="88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1" w:customStyle="1">
    <w:name w:val="网格表 5 深色1"/>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2" w:customStyle="1">
    <w:name w:val="Grid Table 5 Dark- Accent 1"/>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3" w:customStyle="1">
    <w:name w:val="Grid Table 5 Dark - Accent 2"/>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4" w:customStyle="1">
    <w:name w:val="Grid Table 5 Dark - Accent 3"/>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5" w:customStyle="1">
    <w:name w:val="Grid Table 5 Dark- Accent 4"/>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6" w:customStyle="1">
    <w:name w:val="Grid Table 5 Dark - Accent 5"/>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7" w:customStyle="1">
    <w:name w:val="Grid Table 5 Dark - Accent 6"/>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8" w:customStyle="1">
    <w:name w:val="网格表 6 彩色1"/>
    <w:basedOn w:val="88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09" w:customStyle="1">
    <w:name w:val="Grid Table 6 Colorful - Accent 1"/>
    <w:basedOn w:val="88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10" w:customStyle="1">
    <w:name w:val="Grid Table 6 Colorful - Accent 2"/>
    <w:basedOn w:val="887"/>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11" w:customStyle="1">
    <w:name w:val="Grid Table 6 Colorful - Accent 3"/>
    <w:basedOn w:val="887"/>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12" w:customStyle="1">
    <w:name w:val="Grid Table 6 Colorful - Accent 4"/>
    <w:basedOn w:val="8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13" w:customStyle="1">
    <w:name w:val="Grid Table 6 Colorful - Accent 5"/>
    <w:basedOn w:val="88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4" w:customStyle="1">
    <w:name w:val="Grid Table 6 Colorful - Accent 6"/>
    <w:basedOn w:val="88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5" w:customStyle="1">
    <w:name w:val="网格表 7 彩色1"/>
    <w:basedOn w:val="88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6" w:customStyle="1">
    <w:name w:val="Grid Table 7 Colorful - Accent 1"/>
    <w:basedOn w:val="88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7" w:customStyle="1">
    <w:name w:val="Grid Table 7 Colorful - Accent 2"/>
    <w:basedOn w:val="887"/>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8" w:customStyle="1">
    <w:name w:val="Grid Table 7 Colorful - Accent 3"/>
    <w:basedOn w:val="887"/>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19" w:customStyle="1">
    <w:name w:val="Grid Table 7 Colorful - Accent 4"/>
    <w:basedOn w:val="88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Grid Table 7 Colorful - Accent 5"/>
    <w:basedOn w:val="88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1" w:customStyle="1">
    <w:name w:val="Grid Table 7 Colorful - Accent 6"/>
    <w:basedOn w:val="88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2" w:customStyle="1">
    <w:name w:val="清单表 1 浅色1"/>
    <w:basedOn w:val="88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customStyle="1">
    <w:name w:val="List Table 1 Light - Accent 1"/>
    <w:basedOn w:val="88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4" w:customStyle="1">
    <w:name w:val="List Table 1 Light - Accent 2"/>
    <w:basedOn w:val="887"/>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5" w:customStyle="1">
    <w:name w:val="List Table 1 Light - Accent 3"/>
    <w:basedOn w:val="887"/>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6" w:customStyle="1">
    <w:name w:val="List Table 1 Light - Accent 4"/>
    <w:basedOn w:val="88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7" w:customStyle="1">
    <w:name w:val="List Table 1 Light - Accent 5"/>
    <w:basedOn w:val="88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8" w:customStyle="1">
    <w:name w:val="List Table 1 Light - Accent 6"/>
    <w:basedOn w:val="887"/>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9" w:customStyle="1">
    <w:name w:val="清单表 21"/>
    <w:basedOn w:val="88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0" w:customStyle="1">
    <w:name w:val="List Table 2 - Accent 1"/>
    <w:basedOn w:val="88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1" w:customStyle="1">
    <w:name w:val="List Table 2 - Accent 2"/>
    <w:basedOn w:val="887"/>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32" w:customStyle="1">
    <w:name w:val="List Table 2 - Accent 3"/>
    <w:basedOn w:val="88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3" w:customStyle="1">
    <w:name w:val="List Table 2 - Accent 4"/>
    <w:basedOn w:val="88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4" w:customStyle="1">
    <w:name w:val="List Table 2 - Accent 5"/>
    <w:basedOn w:val="88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5" w:customStyle="1">
    <w:name w:val="List Table 2 - Accent 6"/>
    <w:basedOn w:val="88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6" w:customStyle="1">
    <w:name w:val="清单表 31"/>
    <w:basedOn w:val="8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3 - Accent 1"/>
    <w:basedOn w:val="88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8" w:customStyle="1">
    <w:name w:val="List Table 3 - Accent 2"/>
    <w:basedOn w:val="887"/>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39" w:customStyle="1">
    <w:name w:val="List Table 3 - Accent 3"/>
    <w:basedOn w:val="887"/>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40" w:customStyle="1">
    <w:name w:val="List Table 3 - Accent 4"/>
    <w:basedOn w:val="8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1" w:customStyle="1">
    <w:name w:val="List Table 3 - Accent 5"/>
    <w:basedOn w:val="88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2" w:customStyle="1">
    <w:name w:val="List Table 3 - Accent 6"/>
    <w:basedOn w:val="88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3" w:customStyle="1">
    <w:name w:val="清单表 41"/>
    <w:basedOn w:val="8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4 - Accent 1"/>
    <w:basedOn w:val="88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5" w:customStyle="1">
    <w:name w:val="List Table 4 - Accent 2"/>
    <w:basedOn w:val="887"/>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6" w:customStyle="1">
    <w:name w:val="List Table 4 - Accent 3"/>
    <w:basedOn w:val="88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7" w:customStyle="1">
    <w:name w:val="List Table 4 - Accent 4"/>
    <w:basedOn w:val="88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8" w:customStyle="1">
    <w:name w:val="List Table 4 - Accent 5"/>
    <w:basedOn w:val="88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9" w:customStyle="1">
    <w:name w:val="List Table 4 - Accent 6"/>
    <w:basedOn w:val="88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0" w:customStyle="1">
    <w:name w:val="清单表 5 深色1"/>
    <w:basedOn w:val="88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1" w:customStyle="1">
    <w:name w:val="List Table 5 Dark - Accent 1"/>
    <w:basedOn w:val="88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2" w:customStyle="1">
    <w:name w:val="List Table 5 Dark - Accent 2"/>
    <w:basedOn w:val="887"/>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53" w:customStyle="1">
    <w:name w:val="List Table 5 Dark - Accent 3"/>
    <w:basedOn w:val="887"/>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54" w:customStyle="1">
    <w:name w:val="List Table 5 Dark - Accent 4"/>
    <w:basedOn w:val="88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55" w:customStyle="1">
    <w:name w:val="List Table 5 Dark - Accent 5"/>
    <w:basedOn w:val="88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56" w:customStyle="1">
    <w:name w:val="List Table 5 Dark - Accent 6"/>
    <w:basedOn w:val="88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57" w:customStyle="1">
    <w:name w:val="清单表 6 彩色1"/>
    <w:basedOn w:val="88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58" w:customStyle="1">
    <w:name w:val="List Table 6 Colorful - Accent 1"/>
    <w:basedOn w:val="887"/>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59" w:customStyle="1">
    <w:name w:val="List Table 6 Colorful - Accent 2"/>
    <w:basedOn w:val="887"/>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60" w:customStyle="1">
    <w:name w:val="List Table 6 Colorful - Accent 3"/>
    <w:basedOn w:val="887"/>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61" w:customStyle="1">
    <w:name w:val="List Table 6 Colorful - Accent 4"/>
    <w:basedOn w:val="88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2" w:customStyle="1">
    <w:name w:val="List Table 6 Colorful - Accent 5"/>
    <w:basedOn w:val="88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63" w:customStyle="1">
    <w:name w:val="List Table 6 Colorful - Accent 6"/>
    <w:basedOn w:val="88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64" w:customStyle="1">
    <w:name w:val="清单表 7 彩色1"/>
    <w:basedOn w:val="88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5" w:customStyle="1">
    <w:name w:val="List Table 7 Colorful - Accent 1"/>
    <w:basedOn w:val="887"/>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6" w:customStyle="1">
    <w:name w:val="List Table 7 Colorful - Accent 2"/>
    <w:basedOn w:val="887"/>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67" w:customStyle="1">
    <w:name w:val="List Table 7 Colorful - Accent 3"/>
    <w:basedOn w:val="887"/>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68" w:customStyle="1">
    <w:name w:val="List Table 7 Colorful - Accent 4"/>
    <w:basedOn w:val="887"/>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9" w:customStyle="1">
    <w:name w:val="List Table 7 Colorful - Accent 5"/>
    <w:basedOn w:val="887"/>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0" w:customStyle="1">
    <w:name w:val="List Table 7 Colorful - Accent 6"/>
    <w:basedOn w:val="887"/>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1" w:customStyle="1">
    <w:name w:val="Lined - Accent"/>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2" w:customStyle="1">
    <w:name w:val="Lined - Accent 1"/>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73" w:customStyle="1">
    <w:name w:val="Lined - Accent 2"/>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4" w:customStyle="1">
    <w:name w:val="Lined - Accent 3"/>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5" w:customStyle="1">
    <w:name w:val="Lined - Accent 4"/>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6" w:customStyle="1">
    <w:name w:val="Lined - Accent 5"/>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7" w:customStyle="1">
    <w:name w:val="Lined - Accent 6"/>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8" w:customStyle="1">
    <w:name w:val="Bordered &amp; Lined - Accent"/>
    <w:basedOn w:val="88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9" w:customStyle="1">
    <w:name w:val="Bordered &amp; Lined - Accent 1"/>
    <w:basedOn w:val="887"/>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0" w:customStyle="1">
    <w:name w:val="Bordered &amp; Lined - Accent 2"/>
    <w:basedOn w:val="887"/>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1" w:customStyle="1">
    <w:name w:val="Bordered &amp; Lined - Accent 3"/>
    <w:basedOn w:val="887"/>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2" w:customStyle="1">
    <w:name w:val="Bordered &amp; Lined - Accent 4"/>
    <w:basedOn w:val="88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3" w:customStyle="1">
    <w:name w:val="Bordered &amp; Lined - Accent 5"/>
    <w:basedOn w:val="88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4" w:customStyle="1">
    <w:name w:val="Bordered &amp; Lined - Accent 6"/>
    <w:basedOn w:val="88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5" w:customStyle="1">
    <w:name w:val="Bordered"/>
    <w:basedOn w:val="88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6" w:customStyle="1">
    <w:name w:val="Bordered - Accent 1"/>
    <w:basedOn w:val="887"/>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7" w:customStyle="1">
    <w:name w:val="Bordered - Accent 2"/>
    <w:basedOn w:val="887"/>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88" w:customStyle="1">
    <w:name w:val="Bordered - Accent 3"/>
    <w:basedOn w:val="8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89" w:customStyle="1">
    <w:name w:val="Bordered - Accent 4"/>
    <w:basedOn w:val="8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0" w:customStyle="1">
    <w:name w:val="Bordered - Accent 5"/>
    <w:basedOn w:val="887"/>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1" w:customStyle="1">
    <w:name w:val="Bordered - Accent 6"/>
    <w:basedOn w:val="8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2" w:customStyle="1">
    <w:name w:val="脚注文本 字符"/>
    <w:link w:val="926"/>
    <w:uiPriority w:val="99"/>
    <w:qFormat/>
    <w:rPr>
      <w:sz w:val="18"/>
    </w:rPr>
  </w:style>
  <w:style w:type="character" w:styleId="1093" w:customStyle="1">
    <w:name w:val="尾注文本 字符"/>
    <w:link w:val="916"/>
    <w:uiPriority w:val="99"/>
    <w:qFormat/>
    <w:rPr>
      <w:sz w:val="20"/>
    </w:rPr>
  </w:style>
  <w:style w:type="paragraph" w:styleId="1094" w:customStyle="1">
    <w:name w:val="TOC 标题1"/>
    <w:uiPriority w:val="39"/>
    <w:unhideWhenUsed/>
    <w:qFormat/>
  </w:style>
  <w:style w:type="character" w:styleId="1095" w:customStyle="1">
    <w:name w:val="正文缩进 字符"/>
    <w:link w:val="895"/>
    <w:qFormat/>
    <w:rPr>
      <w:rFonts w:ascii="Calibri" w:hAnsi="Calibri" w:eastAsia="宋体" w:cs="Times New Roman"/>
    </w:rPr>
  </w:style>
  <w:style w:type="character" w:styleId="1096" w:customStyle="1">
    <w:name w:val="页脚 字符"/>
    <w:link w:val="919"/>
    <w:qFormat/>
    <w:rPr>
      <w:rFonts w:ascii="Calibri" w:hAnsi="Calibri" w:eastAsia="宋体" w:cs="Times New Roman"/>
    </w:rPr>
  </w:style>
  <w:style w:type="character" w:styleId="1097" w:customStyle="1">
    <w:name w:val="页眉 字符"/>
    <w:link w:val="921"/>
    <w:qFormat/>
    <w:rPr>
      <w:rFonts w:ascii="Calibri" w:hAnsi="Calibri" w:eastAsia="宋体" w:cs="Times New Roman"/>
    </w:rPr>
  </w:style>
  <w:style w:type="character" w:styleId="1098" w:customStyle="1">
    <w:name w:val="日期 Char"/>
    <w:qFormat/>
    <w:rPr>
      <w:rFonts w:ascii="Times New Roman" w:hAnsi="Times New Roman" w:eastAsia="宋体" w:cs="Times New Roman"/>
      <w:sz w:val="20"/>
    </w:rPr>
  </w:style>
  <w:style w:type="character" w:styleId="1099" w:customStyle="1">
    <w:name w:val="批注引用1"/>
    <w:qFormat/>
    <w:rPr>
      <w:rFonts w:ascii="Times New Roman" w:hAnsi="Times New Roman" w:eastAsia="宋体" w:cs="Times New Roman"/>
      <w:sz w:val="20"/>
    </w:rPr>
  </w:style>
  <w:style w:type="character" w:styleId="1100" w:customStyle="1">
    <w:name w:val="应答文本 Char Char"/>
    <w:qFormat/>
    <w:rPr>
      <w:rFonts w:ascii="Times New Roman" w:hAnsi="Times New Roman" w:eastAsia="宋体" w:cs="Times New Roman"/>
      <w:sz w:val="20"/>
    </w:rPr>
  </w:style>
  <w:style w:type="character" w:styleId="1101" w:customStyle="1">
    <w:name w:val="图片0 Char Char"/>
    <w:qFormat/>
    <w:rPr>
      <w:rFonts w:ascii="Times New Roman" w:hAnsi="Times New Roman" w:eastAsia="宋体" w:cs="Times New Roman"/>
      <w:sz w:val="20"/>
    </w:rPr>
  </w:style>
  <w:style w:type="character" w:styleId="1102" w:customStyle="1">
    <w:name w:val="尾注文本 Char"/>
    <w:qFormat/>
    <w:rPr>
      <w:rFonts w:ascii="Times New Roman" w:hAnsi="Times New Roman" w:eastAsia="宋体" w:cs="Times New Roman"/>
      <w:sz w:val="20"/>
    </w:rPr>
  </w:style>
  <w:style w:type="character" w:styleId="1103" w:customStyle="1">
    <w:name w:val="文档结构图 字符"/>
    <w:qFormat/>
    <w:rPr>
      <w:rFonts w:ascii="Microsoft YaHei UI" w:hAnsi="Times New Roman" w:eastAsia="Microsoft YaHei UI" w:cs="Times New Roman"/>
      <w:sz w:val="18"/>
      <w:szCs w:val="18"/>
    </w:rPr>
  </w:style>
  <w:style w:type="character" w:styleId="1104" w:customStyle="1">
    <w:name w:val="_Style 337"/>
    <w:qFormat/>
    <w:rPr>
      <w:rFonts w:ascii="Times New Roman" w:hAnsi="Times New Roman" w:eastAsia="宋体" w:cs="Times New Roman"/>
      <w:color w:val="auto"/>
      <w:sz w:val="21"/>
    </w:rPr>
  </w:style>
  <w:style w:type="character" w:styleId="1105" w:customStyle="1">
    <w:name w:val="正文文本 字符"/>
    <w:qFormat/>
    <w:rPr>
      <w:rFonts w:ascii="Times New Roman" w:hAnsi="Times New Roman" w:eastAsia="宋体" w:cs="Times New Roman"/>
      <w:sz w:val="21"/>
    </w:rPr>
  </w:style>
  <w:style w:type="character" w:styleId="1106" w:customStyle="1">
    <w:name w:val="批注文字 字符"/>
    <w:qFormat/>
    <w:rPr>
      <w:rFonts w:ascii="Times New Roman" w:hAnsi="Times New Roman" w:eastAsia="宋体" w:cs="Times New Roman"/>
      <w:sz w:val="20"/>
    </w:rPr>
  </w:style>
  <w:style w:type="character" w:styleId="1107" w:customStyle="1">
    <w:name w:val="批注文字 Char1"/>
    <w:qFormat/>
    <w:rPr>
      <w:rFonts w:ascii="Times New Roman" w:hAnsi="Times New Roman" w:eastAsia="宋体" w:cs="Times New Roman"/>
      <w:sz w:val="20"/>
    </w:rPr>
  </w:style>
  <w:style w:type="character" w:styleId="1108" w:customStyle="1">
    <w:name w:val="txt"/>
    <w:qFormat/>
    <w:rPr>
      <w:rFonts w:ascii="Times New Roman" w:hAnsi="Times New Roman" w:eastAsia="宋体" w:cs="Times New Roman"/>
      <w:sz w:val="20"/>
    </w:rPr>
  </w:style>
  <w:style w:type="character" w:styleId="1109" w:customStyle="1">
    <w:name w:val="标书正文 Char"/>
    <w:qFormat/>
    <w:rPr>
      <w:rFonts w:ascii="Times New Roman" w:hAnsi="Times New Roman" w:eastAsia="宋体" w:cs="Times New Roman"/>
      <w:sz w:val="20"/>
    </w:rPr>
  </w:style>
  <w:style w:type="character" w:styleId="1110" w:customStyle="1">
    <w:name w:val="font21"/>
    <w:qFormat/>
    <w:rPr>
      <w:rFonts w:hint="eastAsia" w:ascii="宋体" w:hAnsi="宋体" w:eastAsia="宋体" w:cs="宋体"/>
      <w:color w:val="ff0000"/>
      <w:sz w:val="24"/>
      <w:szCs w:val="24"/>
      <w:u w:val="none"/>
    </w:rPr>
  </w:style>
  <w:style w:type="character" w:styleId="1111" w:customStyle="1">
    <w:name w:val="apple-converted-space"/>
    <w:qFormat/>
    <w:rPr>
      <w:rFonts w:ascii="Times New Roman" w:hAnsi="Times New Roman" w:eastAsia="宋体" w:cs="Times New Roman"/>
      <w:sz w:val="20"/>
    </w:rPr>
  </w:style>
  <w:style w:type="character" w:styleId="1112" w:customStyle="1">
    <w:name w:val="纯文本 Char1"/>
    <w:qFormat/>
    <w:rPr>
      <w:rFonts w:ascii="Times New Roman" w:hAnsi="Times New Roman" w:eastAsia="宋体" w:cs="Times New Roman"/>
      <w:sz w:val="20"/>
    </w:rPr>
  </w:style>
  <w:style w:type="character" w:styleId="1113" w:customStyle="1">
    <w:name w:val="para1"/>
    <w:qFormat/>
    <w:rPr>
      <w:rFonts w:ascii="Times New Roman" w:hAnsi="Times New Roman" w:eastAsia="宋体" w:cs="Times New Roman"/>
      <w:sz w:val="20"/>
    </w:rPr>
  </w:style>
  <w:style w:type="character" w:styleId="1114" w:customStyle="1">
    <w:name w:val="HTML 预设格式 Char1"/>
    <w:qFormat/>
    <w:rPr>
      <w:rFonts w:ascii="Times New Roman" w:hAnsi="Times New Roman" w:eastAsia="宋体" w:cs="Times New Roman"/>
      <w:sz w:val="20"/>
    </w:rPr>
  </w:style>
  <w:style w:type="character" w:styleId="1115" w:customStyle="1">
    <w:name w:val="批注文字 Char"/>
    <w:qFormat/>
    <w:rPr>
      <w:rFonts w:ascii="Times New Roman" w:hAnsi="Times New Roman" w:eastAsia="宋体" w:cs="Times New Roman"/>
      <w:sz w:val="20"/>
    </w:rPr>
  </w:style>
  <w:style w:type="character" w:styleId="1116" w:customStyle="1">
    <w:name w:val="文档结构图 Char"/>
    <w:qFormat/>
    <w:rPr>
      <w:rFonts w:ascii="Times New Roman" w:hAnsi="Times New Roman" w:eastAsia="宋体" w:cs="Times New Roman"/>
      <w:sz w:val="20"/>
    </w:rPr>
  </w:style>
  <w:style w:type="character" w:styleId="1117" w:customStyle="1">
    <w:name w:val="超级链接"/>
    <w:qFormat/>
    <w:rPr>
      <w:rFonts w:ascii="Times New Roman" w:hAnsi="Times New Roman" w:eastAsia="宋体" w:cs="Times New Roman"/>
      <w:color w:val="0000ff"/>
      <w:sz w:val="20"/>
      <w:u w:val="single"/>
    </w:rPr>
  </w:style>
  <w:style w:type="character" w:styleId="1118" w:customStyle="1">
    <w:name w:val="p141"/>
    <w:qFormat/>
    <w:rPr>
      <w:rFonts w:ascii="Times New Roman" w:hAnsi="Times New Roman" w:eastAsia="宋体" w:cs="Times New Roman"/>
      <w:color w:val="000000"/>
      <w:sz w:val="20"/>
      <w:u w:val="none"/>
    </w:rPr>
  </w:style>
  <w:style w:type="character" w:styleId="1119" w:customStyle="1">
    <w:name w:val="宏文本 Char"/>
    <w:qFormat/>
    <w:rPr>
      <w:rFonts w:ascii="Times New Roman" w:hAnsi="Times New Roman" w:eastAsia="宋体" w:cs="Times New Roman"/>
      <w:sz w:val="20"/>
    </w:rPr>
  </w:style>
  <w:style w:type="character" w:styleId="1120" w:customStyle="1">
    <w:name w:val="_Style 313"/>
    <w:qFormat/>
    <w:rPr>
      <w:rFonts w:ascii="Times New Roman" w:hAnsi="Times New Roman" w:eastAsia="宋体" w:cs="Times New Roman"/>
      <w:b/>
      <w:i/>
      <w:sz w:val="21"/>
    </w:rPr>
  </w:style>
  <w:style w:type="character" w:styleId="1121" w:customStyle="1">
    <w:name w:val="页脚 Char1"/>
    <w:qFormat/>
    <w:rPr>
      <w:rFonts w:ascii="Times New Roman" w:hAnsi="Times New Roman" w:eastAsia="宋体" w:cs="Times New Roman"/>
      <w:sz w:val="20"/>
    </w:rPr>
  </w:style>
  <w:style w:type="character" w:styleId="1122" w:customStyle="1">
    <w:name w:val="页眉 Char"/>
    <w:qFormat/>
    <w:rPr>
      <w:rFonts w:ascii="Times New Roman" w:hAnsi="Times New Roman" w:eastAsia="宋体" w:cs="Times New Roman"/>
      <w:sz w:val="20"/>
    </w:rPr>
  </w:style>
  <w:style w:type="character" w:styleId="1123" w:customStyle="1">
    <w:name w:val="标题 7 Char"/>
    <w:qFormat/>
    <w:rPr>
      <w:rFonts w:ascii="Times New Roman" w:hAnsi="Times New Roman" w:eastAsia="宋体" w:cs="Times New Roman"/>
      <w:b/>
      <w:sz w:val="20"/>
    </w:rPr>
  </w:style>
  <w:style w:type="character" w:styleId="1124" w:customStyle="1">
    <w:name w:val="Char Char12"/>
    <w:qFormat/>
    <w:rPr>
      <w:rFonts w:ascii="Times New Roman" w:hAnsi="Times New Roman" w:eastAsia="宋体" w:cs="Times New Roman"/>
      <w:sz w:val="20"/>
    </w:rPr>
  </w:style>
  <w:style w:type="character" w:styleId="1125" w:customStyle="1">
    <w:name w:val="标题 3 Char"/>
    <w:qFormat/>
    <w:rPr>
      <w:rFonts w:ascii="Times New Roman" w:hAnsi="Times New Roman" w:eastAsia="宋体" w:cs="Times New Roman"/>
      <w:b/>
      <w:sz w:val="20"/>
    </w:rPr>
  </w:style>
  <w:style w:type="character" w:styleId="1126" w:customStyle="1">
    <w:name w:val="正文（首行缩进 2 字符） Char Char"/>
    <w:qFormat/>
    <w:rPr>
      <w:rFonts w:ascii="Times New Roman" w:hAnsi="Times New Roman" w:eastAsia="宋体" w:cs="Times New Roman"/>
      <w:sz w:val="20"/>
    </w:rPr>
  </w:style>
  <w:style w:type="character" w:styleId="1127" w:customStyle="1">
    <w:name w:val="表格用 Char Char"/>
    <w:qFormat/>
    <w:rPr>
      <w:rFonts w:ascii="Times New Roman" w:hAnsi="Times New Roman" w:eastAsia="宋体" w:cs="Times New Roman"/>
      <w:sz w:val="20"/>
    </w:rPr>
  </w:style>
  <w:style w:type="character" w:styleId="1128" w:customStyle="1">
    <w:name w:val="正文文本缩进 3 Char1"/>
    <w:qFormat/>
    <w:rPr>
      <w:rFonts w:ascii="Times New Roman" w:hAnsi="Times New Roman" w:eastAsia="宋体" w:cs="Times New Roman"/>
      <w:sz w:val="20"/>
    </w:rPr>
  </w:style>
  <w:style w:type="character" w:styleId="1129" w:customStyle="1">
    <w:name w:val="正文缩进 Char"/>
    <w:qFormat/>
    <w:rPr>
      <w:rFonts w:ascii="Times New Roman" w:hAnsi="Times New Roman" w:eastAsia="宋体" w:cs="Times New Roman"/>
      <w:sz w:val="20"/>
    </w:rPr>
  </w:style>
  <w:style w:type="character" w:styleId="1130" w:customStyle="1">
    <w:name w:val="批注框文本 Char1"/>
    <w:qFormat/>
    <w:rPr>
      <w:rFonts w:ascii="Times New Roman" w:hAnsi="Times New Roman" w:eastAsia="宋体" w:cs="Times New Roman"/>
      <w:sz w:val="20"/>
    </w:rPr>
  </w:style>
  <w:style w:type="character" w:styleId="1131" w:customStyle="1">
    <w:name w:val="Char Char13"/>
    <w:qFormat/>
    <w:rPr>
      <w:rFonts w:ascii="Times New Roman" w:hAnsi="Times New Roman" w:eastAsia="宋体" w:cs="Times New Roman"/>
      <w:sz w:val="20"/>
    </w:rPr>
  </w:style>
  <w:style w:type="character" w:styleId="1132" w:customStyle="1">
    <w:name w:val="样式2 Char"/>
    <w:qFormat/>
    <w:rPr>
      <w:rFonts w:ascii="Times New Roman" w:hAnsi="Times New Roman" w:eastAsia="宋体" w:cs="Times New Roman"/>
      <w:b/>
      <w:sz w:val="20"/>
    </w:rPr>
  </w:style>
  <w:style w:type="character" w:styleId="1133" w:customStyle="1">
    <w:name w:val="页脚 Char"/>
    <w:qFormat/>
    <w:rPr>
      <w:rFonts w:ascii="Times New Roman" w:hAnsi="Times New Roman" w:eastAsia="宋体" w:cs="Times New Roman"/>
      <w:sz w:val="20"/>
    </w:rPr>
  </w:style>
  <w:style w:type="character" w:styleId="1134" w:customStyle="1">
    <w:name w:val="标准文本 Char"/>
    <w:qFormat/>
    <w:rPr>
      <w:rFonts w:ascii="Times New Roman" w:hAnsi="Times New Roman" w:eastAsia="宋体" w:cs="Times New Roman"/>
      <w:sz w:val="20"/>
    </w:rPr>
  </w:style>
  <w:style w:type="character" w:styleId="1135" w:customStyle="1">
    <w:name w:val="font01"/>
    <w:qFormat/>
    <w:rPr>
      <w:rFonts w:hint="eastAsia" w:ascii="宋体" w:hAnsi="宋体" w:eastAsia="宋体" w:cs="宋体"/>
      <w:color w:val="000000"/>
      <w:sz w:val="24"/>
      <w:szCs w:val="24"/>
      <w:u w:val="none"/>
    </w:rPr>
  </w:style>
  <w:style w:type="character" w:styleId="1136" w:customStyle="1">
    <w:name w:val="标题 3 Char1"/>
    <w:qFormat/>
    <w:rPr>
      <w:rFonts w:ascii="Times New Roman" w:hAnsi="Times New Roman" w:eastAsia="宋体" w:cs="Times New Roman"/>
      <w:b/>
      <w:sz w:val="20"/>
      <w:u w:val="single"/>
    </w:rPr>
  </w:style>
  <w:style w:type="character" w:styleId="1137" w:customStyle="1">
    <w:name w:val="表格 Char Char"/>
    <w:qFormat/>
    <w:rPr>
      <w:rFonts w:ascii="Times New Roman" w:hAnsi="Times New Roman" w:eastAsia="宋体" w:cs="Times New Roman"/>
      <w:sz w:val="20"/>
    </w:rPr>
  </w:style>
  <w:style w:type="character" w:styleId="1138" w:customStyle="1">
    <w:name w:val="正文首行缩进 Char"/>
    <w:qFormat/>
    <w:rPr>
      <w:rFonts w:ascii="Times New Roman" w:hAnsi="Times New Roman" w:eastAsia="宋体" w:cs="Times New Roman"/>
      <w:sz w:val="20"/>
    </w:rPr>
  </w:style>
  <w:style w:type="character" w:styleId="1139" w:customStyle="1">
    <w:name w:val="标题 9 Char"/>
    <w:qFormat/>
    <w:rPr>
      <w:rFonts w:ascii="Times New Roman" w:hAnsi="Times New Roman" w:eastAsia="宋体" w:cs="Times New Roman"/>
      <w:sz w:val="20"/>
    </w:rPr>
  </w:style>
  <w:style w:type="character" w:styleId="1140" w:customStyle="1">
    <w:name w:val="lh151"/>
    <w:qFormat/>
    <w:rPr>
      <w:rFonts w:ascii="Times New Roman" w:hAnsi="Times New Roman" w:eastAsia="宋体" w:cs="Times New Roman"/>
      <w:color w:val="666666"/>
      <w:sz w:val="20"/>
    </w:rPr>
  </w:style>
  <w:style w:type="character" w:styleId="1141" w:customStyle="1">
    <w:name w:val="日期 Char1"/>
    <w:qFormat/>
    <w:rPr>
      <w:rFonts w:ascii="Times New Roman" w:hAnsi="Times New Roman" w:eastAsia="宋体" w:cs="Times New Roman"/>
      <w:sz w:val="20"/>
    </w:rPr>
  </w:style>
  <w:style w:type="character" w:styleId="1142" w:customStyle="1">
    <w:name w:val="图片 Char Char"/>
    <w:qFormat/>
    <w:rPr>
      <w:rFonts w:ascii="Times New Roman" w:hAnsi="Times New Roman" w:eastAsia="宋体" w:cs="Times New Roman"/>
      <w:sz w:val="20"/>
    </w:rPr>
  </w:style>
  <w:style w:type="character" w:styleId="1143" w:customStyle="1">
    <w:name w:val="批注框文本 字符"/>
    <w:qFormat/>
    <w:rPr>
      <w:rFonts w:ascii="Times New Roman" w:hAnsi="Times New Roman" w:eastAsia="宋体" w:cs="Times New Roman"/>
      <w:sz w:val="20"/>
    </w:rPr>
  </w:style>
  <w:style w:type="character" w:styleId="1144" w:customStyle="1">
    <w:name w:val="HTML 预设格式 Char"/>
    <w:qFormat/>
    <w:rPr>
      <w:rFonts w:ascii="Times New Roman" w:hAnsi="Times New Roman" w:eastAsia="宋体" w:cs="Times New Roman"/>
      <w:sz w:val="20"/>
    </w:rPr>
  </w:style>
  <w:style w:type="character" w:styleId="1145" w:customStyle="1">
    <w:name w:val="列出段落 Char"/>
    <w:qFormat/>
    <w:rPr>
      <w:rFonts w:ascii="Times New Roman" w:hAnsi="Times New Roman" w:eastAsia="宋体" w:cs="Times New Roman"/>
      <w:sz w:val="20"/>
    </w:rPr>
  </w:style>
  <w:style w:type="character" w:styleId="1146" w:customStyle="1">
    <w:name w:val="标题 5 Char"/>
    <w:qFormat/>
    <w:rPr>
      <w:rFonts w:ascii="Times New Roman" w:hAnsi="Times New Roman" w:eastAsia="宋体" w:cs="Times New Roman"/>
      <w:b/>
      <w:sz w:val="20"/>
    </w:rPr>
  </w:style>
  <w:style w:type="character" w:styleId="1147" w:customStyle="1">
    <w:name w:val="链接"/>
    <w:qFormat/>
    <w:rPr>
      <w:rFonts w:ascii="Times New Roman" w:hAnsi="Times New Roman" w:eastAsia="宋体" w:cs="Times New Roman"/>
      <w:color w:val="0000ff"/>
      <w:sz w:val="20"/>
      <w:u w:val="single"/>
    </w:rPr>
  </w:style>
  <w:style w:type="character" w:styleId="1148" w:customStyle="1">
    <w:name w:val="18h1"/>
    <w:qFormat/>
    <w:rPr>
      <w:rFonts w:ascii="Times New Roman" w:hAnsi="Times New Roman" w:eastAsia="宋体" w:cs="Times New Roman"/>
      <w:color w:val="3b3b3b"/>
      <w:sz w:val="20"/>
    </w:rPr>
  </w:style>
  <w:style w:type="character" w:styleId="1149" w:customStyle="1">
    <w:name w:val="表格文字（两侧对齐） Char Char"/>
    <w:qFormat/>
    <w:rPr>
      <w:rFonts w:ascii="Times New Roman" w:hAnsi="Times New Roman" w:eastAsia="宋体" w:cs="Times New Roman"/>
      <w:sz w:val="20"/>
    </w:rPr>
  </w:style>
  <w:style w:type="character" w:styleId="1150" w:customStyle="1">
    <w:name w:val="正文文本缩进 2 Char"/>
    <w:qFormat/>
    <w:rPr>
      <w:rFonts w:ascii="Times New Roman" w:hAnsi="Times New Roman" w:eastAsia="宋体" w:cs="Times New Roman"/>
      <w:sz w:val="20"/>
    </w:rPr>
  </w:style>
  <w:style w:type="character" w:styleId="1151" w:customStyle="1">
    <w:name w:val="Char Char14"/>
    <w:qFormat/>
    <w:rPr>
      <w:rFonts w:ascii="Times New Roman" w:hAnsi="Times New Roman" w:eastAsia="宋体" w:cs="Times New Roman"/>
      <w:sz w:val="20"/>
    </w:rPr>
  </w:style>
  <w:style w:type="character" w:styleId="1152" w:customStyle="1">
    <w:name w:val="标题 1 Char1"/>
    <w:qFormat/>
    <w:rPr>
      <w:rFonts w:ascii="Times New Roman" w:hAnsi="Times New Roman" w:eastAsia="宋体" w:cs="Times New Roman"/>
      <w:b/>
      <w:sz w:val="20"/>
    </w:rPr>
  </w:style>
  <w:style w:type="character" w:styleId="1153" w:customStyle="1">
    <w:name w:val="批注框文本 Char"/>
    <w:qFormat/>
    <w:rPr>
      <w:rFonts w:ascii="Times New Roman" w:hAnsi="Times New Roman" w:eastAsia="宋体" w:cs="Times New Roman"/>
      <w:sz w:val="20"/>
    </w:rPr>
  </w:style>
  <w:style w:type="character" w:styleId="1154" w:customStyle="1">
    <w:name w:val="apple-style-span"/>
    <w:qFormat/>
    <w:rPr>
      <w:rFonts w:ascii="Times New Roman" w:hAnsi="Times New Roman" w:eastAsia="宋体" w:cs="Times New Roman"/>
      <w:sz w:val="20"/>
    </w:rPr>
  </w:style>
  <w:style w:type="character" w:styleId="1155" w:customStyle="1">
    <w:name w:val="插图 Char Char"/>
    <w:qFormat/>
    <w:rPr>
      <w:rFonts w:ascii="Times New Roman" w:hAnsi="Times New Roman" w:eastAsia="宋体" w:cs="Times New Roman"/>
      <w:sz w:val="20"/>
    </w:rPr>
  </w:style>
  <w:style w:type="character" w:styleId="1156" w:customStyle="1">
    <w:name w:val="标题 2 Char1"/>
    <w:qFormat/>
    <w:rPr>
      <w:rFonts w:ascii="Times New Roman" w:hAnsi="Times New Roman" w:eastAsia="宋体" w:cs="Times New Roman"/>
      <w:b/>
      <w:sz w:val="20"/>
    </w:rPr>
  </w:style>
  <w:style w:type="character" w:styleId="1157" w:customStyle="1">
    <w:name w:val="_Style 332"/>
    <w:qFormat/>
    <w:rPr>
      <w:rFonts w:ascii="Times New Roman" w:hAnsi="Times New Roman" w:eastAsia="宋体" w:cs="Times New Roman"/>
      <w:i/>
      <w:color w:val="auto"/>
      <w:sz w:val="21"/>
    </w:rPr>
  </w:style>
  <w:style w:type="character" w:styleId="1158" w:customStyle="1">
    <w:name w:val="正文文本 3 Char1"/>
    <w:qFormat/>
    <w:rPr>
      <w:rFonts w:ascii="Times New Roman" w:hAnsi="Times New Roman" w:eastAsia="宋体" w:cs="Times New Roman"/>
      <w:sz w:val="20"/>
    </w:rPr>
  </w:style>
  <w:style w:type="character" w:styleId="1159" w:customStyle="1">
    <w:name w:val="标题 5 Char1"/>
    <w:qFormat/>
    <w:rPr>
      <w:rFonts w:ascii="Times New Roman" w:hAnsi="Times New Roman" w:eastAsia="宋体" w:cs="Times New Roman"/>
      <w:b/>
      <w:sz w:val="20"/>
    </w:rPr>
  </w:style>
  <w:style w:type="character" w:styleId="1160" w:customStyle="1">
    <w:name w:val="批注主题 Char"/>
    <w:qFormat/>
    <w:rPr>
      <w:rFonts w:ascii="Times New Roman" w:hAnsi="Times New Roman" w:eastAsia="宋体" w:cs="Times New Roman"/>
      <w:b/>
      <w:sz w:val="20"/>
    </w:rPr>
  </w:style>
  <w:style w:type="character" w:styleId="1161" w:customStyle="1">
    <w:name w:val="标题 1 Char"/>
    <w:qFormat/>
    <w:rPr>
      <w:rFonts w:ascii="Times New Roman" w:hAnsi="Times New Roman" w:eastAsia="宋体" w:cs="Times New Roman"/>
      <w:b/>
      <w:sz w:val="20"/>
    </w:rPr>
  </w:style>
  <w:style w:type="character" w:styleId="1162" w:customStyle="1">
    <w:name w:val="正文文本 2 Char1"/>
    <w:qFormat/>
    <w:rPr>
      <w:rFonts w:ascii="Times New Roman" w:hAnsi="Times New Roman" w:eastAsia="宋体" w:cs="Times New Roman"/>
      <w:sz w:val="20"/>
    </w:rPr>
  </w:style>
  <w:style w:type="character" w:styleId="1163" w:customStyle="1">
    <w:name w:val="标题 4 Char1"/>
    <w:qFormat/>
    <w:rPr>
      <w:rFonts w:ascii="Times New Roman" w:hAnsi="Times New Roman" w:eastAsia="宋体" w:cs="Times New Roman"/>
      <w:b/>
      <w:sz w:val="20"/>
    </w:rPr>
  </w:style>
  <w:style w:type="character" w:styleId="1164" w:customStyle="1">
    <w:name w:val="正文文本 2 Char"/>
    <w:qFormat/>
    <w:rPr>
      <w:rFonts w:ascii="Times New Roman" w:hAnsi="Times New Roman" w:eastAsia="宋体" w:cs="Times New Roman"/>
      <w:sz w:val="20"/>
    </w:rPr>
  </w:style>
  <w:style w:type="character" w:styleId="1165" w:customStyle="1">
    <w:name w:val="_Style 376"/>
    <w:qFormat/>
    <w:rPr>
      <w:rFonts w:ascii="Times New Roman" w:hAnsi="Times New Roman" w:eastAsia="宋体" w:cs="Times New Roman"/>
      <w:b/>
      <w:color w:val="auto"/>
      <w:sz w:val="21"/>
    </w:rPr>
  </w:style>
  <w:style w:type="character" w:styleId="1166" w:customStyle="1">
    <w:name w:val="062"/>
    <w:qFormat/>
    <w:rPr>
      <w:rFonts w:ascii="Times New Roman" w:hAnsi="Times New Roman" w:eastAsia="宋体" w:cs="Times New Roman"/>
      <w:b/>
      <w:sz w:val="20"/>
    </w:rPr>
  </w:style>
  <w:style w:type="character" w:styleId="1167" w:customStyle="1">
    <w:name w:val="正文文本 Char1"/>
    <w:qFormat/>
    <w:rPr>
      <w:rFonts w:ascii="Times New Roman" w:hAnsi="Times New Roman" w:eastAsia="宋体" w:cs="Times New Roman"/>
      <w:sz w:val="20"/>
    </w:rPr>
  </w:style>
  <w:style w:type="character" w:styleId="1168" w:customStyle="1">
    <w:name w:val="题注 Char"/>
    <w:qFormat/>
    <w:rPr>
      <w:rFonts w:ascii="Times New Roman" w:hAnsi="Times New Roman" w:eastAsia="宋体" w:cs="Times New Roman"/>
      <w:sz w:val="20"/>
    </w:rPr>
  </w:style>
  <w:style w:type="character" w:styleId="1169" w:customStyle="1">
    <w:name w:val="脚注文本 Char"/>
    <w:qFormat/>
    <w:rPr>
      <w:rFonts w:ascii="Times New Roman" w:hAnsi="Times New Roman" w:eastAsia="宋体" w:cs="Times New Roman"/>
      <w:sz w:val="20"/>
    </w:rPr>
  </w:style>
  <w:style w:type="character" w:styleId="1170" w:customStyle="1">
    <w:name w:val="_Style 336"/>
    <w:qFormat/>
    <w:rPr>
      <w:rFonts w:ascii="Times New Roman" w:hAnsi="Times New Roman" w:eastAsia="宋体" w:cs="Times New Roman"/>
      <w:i/>
      <w:color w:val="auto"/>
      <w:sz w:val="21"/>
    </w:rPr>
  </w:style>
  <w:style w:type="character" w:styleId="1171" w:customStyle="1">
    <w:name w:val="表格 Char"/>
    <w:qFormat/>
    <w:rPr>
      <w:rFonts w:ascii="Times New Roman" w:hAnsi="Times New Roman" w:eastAsia="宋体" w:cs="Times New Roman"/>
      <w:color w:val="000000"/>
      <w:sz w:val="20"/>
    </w:rPr>
  </w:style>
  <w:style w:type="character" w:styleId="1172" w:customStyle="1">
    <w:name w:val="批注主题 字符"/>
    <w:qFormat/>
    <w:rPr>
      <w:rFonts w:ascii="Times New Roman" w:hAnsi="Times New Roman" w:eastAsia="宋体" w:cs="Times New Roman"/>
      <w:b/>
      <w:sz w:val="20"/>
    </w:rPr>
  </w:style>
  <w:style w:type="character" w:styleId="1173" w:customStyle="1">
    <w:name w:val="图注 Char Char"/>
    <w:qFormat/>
    <w:rPr>
      <w:rFonts w:ascii="Times New Roman" w:hAnsi="Times New Roman" w:eastAsia="宋体" w:cs="Times New Roman"/>
      <w:sz w:val="20"/>
    </w:rPr>
  </w:style>
  <w:style w:type="character" w:styleId="1174" w:customStyle="1">
    <w:name w:val="页码1"/>
    <w:qFormat/>
    <w:rPr>
      <w:rFonts w:ascii="Times New Roman" w:hAnsi="Times New Roman" w:eastAsia="宋体" w:cs="Times New Roman"/>
      <w:sz w:val="20"/>
    </w:rPr>
  </w:style>
  <w:style w:type="character" w:styleId="1175" w:customStyle="1">
    <w:name w:val="列表框1 Char Char"/>
    <w:qFormat/>
    <w:rPr>
      <w:rFonts w:ascii="Times New Roman" w:hAnsi="Times New Roman" w:eastAsia="宋体" w:cs="Times New Roman"/>
      <w:sz w:val="20"/>
    </w:rPr>
  </w:style>
  <w:style w:type="character" w:styleId="1176" w:customStyle="1">
    <w:name w:val="1ji Char"/>
    <w:qFormat/>
    <w:rPr>
      <w:rFonts w:ascii="Times New Roman" w:hAnsi="Times New Roman" w:eastAsia="宋体" w:cs="Times New Roman"/>
      <w:b/>
      <w:sz w:val="20"/>
    </w:rPr>
  </w:style>
  <w:style w:type="character" w:styleId="1177" w:customStyle="1">
    <w:name w:val="正文文本缩进 Char"/>
    <w:qFormat/>
    <w:rPr>
      <w:rFonts w:ascii="Times New Roman" w:hAnsi="Times New Roman" w:eastAsia="宋体" w:cs="Times New Roman"/>
      <w:sz w:val="20"/>
    </w:rPr>
  </w:style>
  <w:style w:type="character" w:styleId="1178" w:customStyle="1">
    <w:name w:val="标准文本 Char Char"/>
    <w:qFormat/>
    <w:rPr>
      <w:rFonts w:ascii="Times New Roman" w:hAnsi="Times New Roman" w:eastAsia="宋体" w:cs="Times New Roman"/>
      <w:sz w:val="20"/>
    </w:rPr>
  </w:style>
  <w:style w:type="character" w:styleId="1179" w:customStyle="1">
    <w:name w:val="表格用 Char"/>
    <w:qFormat/>
    <w:rPr>
      <w:rFonts w:ascii="Times New Roman" w:hAnsi="Times New Roman" w:eastAsia="宋体" w:cs="Times New Roman"/>
      <w:color w:val="000000"/>
      <w:sz w:val="20"/>
    </w:rPr>
  </w:style>
  <w:style w:type="character" w:styleId="1180" w:customStyle="1">
    <w:name w:val="标题 7 Char1"/>
    <w:qFormat/>
    <w:rPr>
      <w:rFonts w:ascii="Times New Roman" w:hAnsi="Times New Roman" w:eastAsia="宋体" w:cs="Times New Roman"/>
      <w:b/>
      <w:sz w:val="20"/>
    </w:rPr>
  </w:style>
  <w:style w:type="character" w:styleId="1181" w:customStyle="1">
    <w:name w:val="H 3 Char"/>
    <w:qFormat/>
    <w:rPr>
      <w:rFonts w:ascii="Times New Roman" w:hAnsi="Times New Roman" w:eastAsia="宋体" w:cs="Times New Roman"/>
      <w:b/>
      <w:sz w:val="20"/>
    </w:rPr>
  </w:style>
  <w:style w:type="character" w:styleId="1182" w:customStyle="1">
    <w:name w:val="正文文本缩进 3 字符"/>
    <w:qFormat/>
    <w:rPr>
      <w:rFonts w:ascii="Times New Roman" w:hAnsi="Times New Roman" w:eastAsia="宋体" w:cs="Times New Roman"/>
      <w:sz w:val="16"/>
      <w:szCs w:val="16"/>
    </w:rPr>
  </w:style>
  <w:style w:type="character" w:styleId="1183" w:customStyle="1">
    <w:name w:val="标题 Char"/>
    <w:qFormat/>
    <w:rPr>
      <w:rFonts w:ascii="Times New Roman" w:hAnsi="Times New Roman" w:eastAsia="宋体" w:cs="Times New Roman"/>
      <w:b/>
      <w:sz w:val="20"/>
    </w:rPr>
  </w:style>
  <w:style w:type="character" w:styleId="1184" w:customStyle="1">
    <w:name w:val="H 4 Char"/>
    <w:qFormat/>
    <w:rPr>
      <w:rFonts w:ascii="Times New Roman" w:hAnsi="Times New Roman" w:eastAsia="宋体" w:cs="Times New Roman"/>
      <w:b/>
      <w:sz w:val="20"/>
    </w:rPr>
  </w:style>
  <w:style w:type="character" w:styleId="1185" w:customStyle="1">
    <w:name w:val="批注主题 Char1"/>
    <w:qFormat/>
    <w:rPr>
      <w:rFonts w:ascii="Times New Roman" w:hAnsi="Times New Roman" w:eastAsia="宋体" w:cs="Times New Roman"/>
      <w:b/>
      <w:sz w:val="20"/>
    </w:rPr>
  </w:style>
  <w:style w:type="character" w:styleId="1186" w:customStyle="1">
    <w:name w:val="正文文本缩进 Char1"/>
    <w:qFormat/>
    <w:rPr>
      <w:rFonts w:ascii="Times New Roman" w:hAnsi="Times New Roman" w:eastAsia="宋体" w:cs="Times New Roman"/>
      <w:sz w:val="20"/>
    </w:rPr>
  </w:style>
  <w:style w:type="character" w:styleId="1187" w:customStyle="1">
    <w:name w:val="正文文本 3 Char"/>
    <w:qFormat/>
    <w:rPr>
      <w:rFonts w:ascii="Times New Roman" w:hAnsi="Times New Roman" w:eastAsia="宋体" w:cs="Times New Roman"/>
      <w:sz w:val="20"/>
    </w:rPr>
  </w:style>
  <w:style w:type="character" w:styleId="1188" w:customStyle="1">
    <w:name w:val="正文首行缩进 2 Char"/>
    <w:qFormat/>
    <w:rPr>
      <w:rFonts w:ascii="Times New Roman" w:hAnsi="Times New Roman" w:eastAsia="宋体" w:cs="Times New Roman"/>
      <w:sz w:val="20"/>
    </w:rPr>
  </w:style>
  <w:style w:type="character" w:styleId="1189" w:customStyle="1">
    <w:name w:val="页眉 Char1"/>
    <w:qFormat/>
    <w:rPr>
      <w:rFonts w:ascii="Times New Roman" w:hAnsi="Times New Roman" w:eastAsia="宋体" w:cs="Times New Roman"/>
      <w:sz w:val="20"/>
    </w:rPr>
  </w:style>
  <w:style w:type="character" w:styleId="1190" w:customStyle="1">
    <w:name w:val="Char Char2"/>
    <w:qFormat/>
    <w:rPr>
      <w:rFonts w:ascii="Times New Roman" w:hAnsi="Times New Roman" w:eastAsia="宋体" w:cs="Times New Roman"/>
      <w:sz w:val="20"/>
    </w:rPr>
  </w:style>
  <w:style w:type="character" w:styleId="1191" w:customStyle="1">
    <w:name w:val="样式 首行缩进:  2 字符 Char1"/>
    <w:qFormat/>
    <w:rPr>
      <w:rFonts w:ascii="Times New Roman" w:hAnsi="Times New Roman" w:eastAsia="宋体" w:cs="Times New Roman"/>
      <w:sz w:val="20"/>
    </w:rPr>
  </w:style>
  <w:style w:type="character" w:styleId="1192" w:customStyle="1">
    <w:name w:val="标题 2 Char"/>
    <w:qFormat/>
    <w:rPr>
      <w:rFonts w:ascii="Times New Roman" w:hAnsi="Times New Roman" w:eastAsia="宋体" w:cs="Times New Roman"/>
      <w:b/>
      <w:sz w:val="20"/>
    </w:rPr>
  </w:style>
  <w:style w:type="character" w:styleId="1193" w:customStyle="1">
    <w:name w:val="表格文字图表文字 Char Char"/>
    <w:qFormat/>
    <w:rPr>
      <w:rFonts w:ascii="Times New Roman" w:hAnsi="Times New Roman" w:eastAsia="宋体" w:cs="Times New Roman"/>
      <w:sz w:val="20"/>
    </w:rPr>
  </w:style>
  <w:style w:type="character" w:styleId="1194" w:customStyle="1">
    <w:name w:val="图片 Char"/>
    <w:qFormat/>
    <w:rPr>
      <w:rFonts w:ascii="Times New Roman" w:hAnsi="Times New Roman" w:eastAsia="宋体" w:cs="Times New Roman"/>
      <w:sz w:val="20"/>
    </w:rPr>
  </w:style>
  <w:style w:type="character" w:styleId="1195" w:customStyle="1">
    <w:name w:val="标题 6 Char"/>
    <w:qFormat/>
    <w:rPr>
      <w:rFonts w:ascii="Times New Roman" w:hAnsi="Times New Roman" w:eastAsia="宋体" w:cs="Times New Roman"/>
      <w:b/>
      <w:sz w:val="20"/>
    </w:rPr>
  </w:style>
  <w:style w:type="character" w:styleId="1196" w:customStyle="1">
    <w:name w:val="标题 4 Char"/>
    <w:qFormat/>
    <w:rPr>
      <w:rFonts w:ascii="Times New Roman" w:hAnsi="Times New Roman" w:eastAsia="宋体" w:cs="Times New Roman"/>
      <w:b/>
      <w:sz w:val="20"/>
    </w:rPr>
  </w:style>
  <w:style w:type="character" w:styleId="1197" w:customStyle="1">
    <w:name w:val="文档结构图 Char1"/>
    <w:qFormat/>
    <w:rPr>
      <w:rFonts w:ascii="Times New Roman" w:hAnsi="Times New Roman" w:eastAsia="宋体" w:cs="Times New Roman"/>
      <w:sz w:val="20"/>
    </w:rPr>
  </w:style>
  <w:style w:type="character" w:styleId="1198" w:customStyle="1">
    <w:name w:val="项目符0 Char"/>
    <w:qFormat/>
    <w:rPr>
      <w:rFonts w:ascii="Times New Roman" w:hAnsi="Times New Roman" w:eastAsia="宋体" w:cs="Times New Roman"/>
      <w:sz w:val="20"/>
    </w:rPr>
  </w:style>
  <w:style w:type="character" w:styleId="1199" w:customStyle="1">
    <w:name w:val="正文文本缩进 3 Char"/>
    <w:qFormat/>
    <w:rPr>
      <w:rFonts w:ascii="Times New Roman" w:hAnsi="Times New Roman" w:eastAsia="宋体" w:cs="Times New Roman"/>
      <w:sz w:val="20"/>
    </w:rPr>
  </w:style>
  <w:style w:type="character" w:styleId="1200" w:customStyle="1">
    <w:name w:val="Char Char3"/>
    <w:qFormat/>
    <w:rPr>
      <w:rFonts w:ascii="Times New Roman" w:hAnsi="Times New Roman" w:eastAsia="宋体" w:cs="Times New Roman"/>
      <w:sz w:val="20"/>
    </w:rPr>
  </w:style>
  <w:style w:type="character" w:styleId="1201" w:customStyle="1">
    <w:name w:val="纯文本 Char"/>
    <w:qFormat/>
    <w:rPr>
      <w:rFonts w:ascii="Times New Roman" w:hAnsi="Times New Roman" w:eastAsia="宋体" w:cs="Times New Roman"/>
      <w:sz w:val="20"/>
    </w:rPr>
  </w:style>
  <w:style w:type="character" w:styleId="1202" w:customStyle="1">
    <w:name w:val="正文文本缩进 2 Char1"/>
    <w:qFormat/>
    <w:rPr>
      <w:rFonts w:ascii="Times New Roman" w:hAnsi="Times New Roman" w:eastAsia="宋体" w:cs="Times New Roman"/>
      <w:sz w:val="20"/>
    </w:rPr>
  </w:style>
  <w:style w:type="character" w:styleId="1203" w:customStyle="1">
    <w:name w:val="标题 8 Char"/>
    <w:qFormat/>
    <w:rPr>
      <w:rFonts w:ascii="Times New Roman" w:hAnsi="Times New Roman" w:eastAsia="宋体" w:cs="Times New Roman"/>
      <w:sz w:val="20"/>
    </w:rPr>
  </w:style>
  <w:style w:type="character" w:styleId="1204" w:customStyle="1">
    <w:name w:val="标题 6 Char1"/>
    <w:qFormat/>
    <w:rPr>
      <w:rFonts w:ascii="Times New Roman" w:hAnsi="Times New Roman" w:eastAsia="宋体" w:cs="Times New Roman"/>
      <w:b/>
      <w:sz w:val="20"/>
    </w:rPr>
  </w:style>
  <w:style w:type="character" w:styleId="1205" w:customStyle="1">
    <w:name w:val="case31"/>
    <w:qFormat/>
    <w:rPr>
      <w:rFonts w:ascii="Times New Roman" w:hAnsi="Times New Roman" w:eastAsia="宋体" w:cs="Times New Roman"/>
      <w:sz w:val="20"/>
    </w:rPr>
  </w:style>
  <w:style w:type="character" w:styleId="1206" w:customStyle="1">
    <w:name w:val="正文文本 Char"/>
    <w:qFormat/>
    <w:rPr>
      <w:rFonts w:ascii="Times New Roman" w:hAnsi="Times New Roman" w:eastAsia="宋体" w:cs="Times New Roman"/>
      <w:sz w:val="20"/>
    </w:rPr>
  </w:style>
  <w:style w:type="paragraph" w:styleId="1207" w:customStyle="1">
    <w:name w:val="节标题"/>
    <w:basedOn w:val="877"/>
    <w:next w:val="1208"/>
    <w:qFormat/>
    <w:pPr>
      <w:ind w:left="0" w:firstLine="5120"/>
      <w:jc w:val="center"/>
      <w:spacing w:before="0" w:after="0" w:line="289" w:lineRule="atLeast"/>
    </w:pPr>
    <w:rPr>
      <w:rFonts w:ascii="Times New Roman" w:hAnsi="Times New Roman" w:cs="Times New Roman"/>
    </w:rPr>
  </w:style>
  <w:style w:type="paragraph" w:styleId="1208" w:customStyle="1">
    <w:name w:val="文档标题6"/>
    <w:basedOn w:val="883"/>
    <w:next w:val="876"/>
    <w:qFormat/>
    <w:pPr>
      <w:ind w:left="1134" w:firstLine="20"/>
      <w:spacing w:before="280" w:after="280" w:line="360" w:lineRule="auto"/>
      <w:outlineLvl w:val="5"/>
    </w:pPr>
  </w:style>
  <w:style w:type="paragraph" w:styleId="1209" w:customStyle="1">
    <w:name w:val="正文段"/>
    <w:basedOn w:val="877"/>
    <w:next w:val="1210"/>
    <w:qFormat/>
    <w:pPr>
      <w:ind w:left="454" w:firstLine="1222"/>
      <w:spacing w:before="0" w:after="240" w:line="240" w:lineRule="atLeast"/>
    </w:pPr>
    <w:rPr>
      <w:rFonts w:ascii="Times New Roman" w:hAnsi="Times New Roman" w:cs="Times New Roman"/>
    </w:rPr>
  </w:style>
  <w:style w:type="paragraph" w:styleId="1210" w:customStyle="1">
    <w:name w:val="批注主题1"/>
    <w:next w:val="876"/>
    <w:qFormat/>
    <w:pPr>
      <w:ind w:left="200" w:firstLine="4808"/>
      <w:spacing w:line="360" w:lineRule="auto"/>
    </w:pPr>
    <w:rPr>
      <w:rFonts w:ascii="Calibri" w:hAnsi="Calibri"/>
    </w:rPr>
  </w:style>
  <w:style w:type="paragraph" w:styleId="1211" w:customStyle="1">
    <w:name w:val="_Style 224"/>
    <w:next w:val="1212"/>
    <w:qFormat/>
    <w:pPr>
      <w:ind w:firstLine="3584"/>
    </w:pPr>
    <w:rPr>
      <w:rFonts w:ascii="Calibri" w:hAnsi="Calibri"/>
    </w:rPr>
  </w:style>
  <w:style w:type="paragraph" w:styleId="1212" w:customStyle="1">
    <w:name w:val="编号1"/>
    <w:basedOn w:val="877"/>
    <w:next w:val="1213"/>
    <w:qFormat/>
    <w:pPr>
      <w:ind w:left="360" w:right="210" w:firstLine="2200"/>
      <w:spacing w:before="0" w:after="0" w:line="240" w:lineRule="auto"/>
    </w:pPr>
    <w:rPr>
      <w:rFonts w:ascii="Times New Roman" w:hAnsi="Times New Roman" w:cs="Times New Roman"/>
    </w:rPr>
  </w:style>
  <w:style w:type="paragraph" w:styleId="1213" w:customStyle="1">
    <w:name w:val="图片"/>
    <w:basedOn w:val="877"/>
    <w:next w:val="1214"/>
    <w:qFormat/>
    <w:pPr>
      <w:ind w:left="-283" w:firstLine="2674"/>
      <w:jc w:val="center"/>
      <w:spacing w:before="0" w:after="0" w:line="360" w:lineRule="auto"/>
    </w:pPr>
    <w:rPr>
      <w:rFonts w:ascii="Times New Roman" w:hAnsi="Times New Roman" w:cs="Times New Roman"/>
    </w:rPr>
  </w:style>
  <w:style w:type="paragraph" w:styleId="1214" w:customStyle="1">
    <w:name w:val="样式 目录 3 + 左侧:  2 字符"/>
    <w:next w:val="929"/>
    <w:qFormat/>
    <w:pPr>
      <w:ind w:left="400" w:firstLine="5120"/>
      <w:spacing w:line="360" w:lineRule="auto"/>
      <w:widowControl w:val="off"/>
    </w:pPr>
    <w:rPr>
      <w:rFonts w:ascii="Calibri" w:hAnsi="Calibri"/>
    </w:rPr>
  </w:style>
  <w:style w:type="paragraph" w:styleId="1215" w:customStyle="1">
    <w:name w:val="图注"/>
    <w:next w:val="1216"/>
    <w:qFormat/>
    <w:pPr>
      <w:ind w:left="360" w:firstLine="2152"/>
      <w:jc w:val="center"/>
    </w:pPr>
    <w:rPr>
      <w:rFonts w:ascii="Calibri" w:hAnsi="Calibri"/>
    </w:rPr>
  </w:style>
  <w:style w:type="paragraph" w:styleId="1216" w:customStyle="1">
    <w:name w:val="列表编号 41"/>
    <w:basedOn w:val="877"/>
    <w:next w:val="1217"/>
    <w:qFormat/>
    <w:pPr>
      <w:ind w:left="1620" w:firstLine="2712"/>
      <w:spacing w:before="0" w:after="0" w:line="360" w:lineRule="auto"/>
    </w:pPr>
    <w:rPr>
      <w:rFonts w:ascii="Times New Roman" w:hAnsi="Times New Roman" w:cs="Times New Roman"/>
    </w:rPr>
  </w:style>
  <w:style w:type="paragraph" w:styleId="1217" w:customStyle="1">
    <w:name w:val="项目符0"/>
    <w:basedOn w:val="877"/>
    <w:next w:val="1218"/>
    <w:qFormat/>
    <w:pPr>
      <w:ind w:left="300" w:right="57" w:firstLine="2760"/>
      <w:spacing w:before="0" w:after="0" w:line="300" w:lineRule="auto"/>
    </w:pPr>
    <w:rPr>
      <w:rFonts w:ascii="Times New Roman" w:hAnsi="Times New Roman" w:cs="Times New Roman"/>
    </w:rPr>
  </w:style>
  <w:style w:type="paragraph" w:styleId="1218" w:customStyle="1">
    <w:name w:val="宏文本1"/>
    <w:next w:val="1219"/>
    <w:qFormat/>
    <w:pPr>
      <w:ind w:firstLine="5632"/>
      <w:widowControl w:val="off"/>
    </w:pPr>
    <w:rPr>
      <w:rFonts w:ascii="Calibri" w:hAnsi="Calibri"/>
    </w:rPr>
  </w:style>
  <w:style w:type="paragraph" w:styleId="1219" w:customStyle="1">
    <w:name w:val="Item Step in Table"/>
    <w:next w:val="1220"/>
    <w:qFormat/>
    <w:pPr>
      <w:ind w:left="397" w:firstLine="3699"/>
      <w:jc w:val="both"/>
      <w:spacing w:before="40" w:after="40"/>
    </w:pPr>
    <w:rPr>
      <w:rFonts w:ascii="Calibri" w:hAnsi="Calibri"/>
    </w:rPr>
  </w:style>
  <w:style w:type="paragraph" w:styleId="1220" w:customStyle="1">
    <w:name w:val="Char Char Char Char Char Char1 Char Char Char Char Char Char"/>
    <w:basedOn w:val="877"/>
    <w:next w:val="1221"/>
    <w:qFormat/>
    <w:pPr>
      <w:ind w:left="0" w:firstLine="2560"/>
      <w:spacing w:before="0" w:after="0" w:line="240" w:lineRule="auto"/>
    </w:pPr>
    <w:rPr>
      <w:rFonts w:ascii="Times New Roman" w:hAnsi="Times New Roman" w:cs="Times New Roman"/>
    </w:rPr>
  </w:style>
  <w:style w:type="paragraph" w:styleId="1221" w:customStyle="1">
    <w:name w:val="Char Char1"/>
    <w:basedOn w:val="877"/>
    <w:next w:val="1222"/>
    <w:qFormat/>
    <w:pPr>
      <w:ind w:left="0" w:firstLine="3584"/>
      <w:spacing w:before="0" w:after="160" w:line="240" w:lineRule="exact"/>
    </w:pPr>
    <w:rPr>
      <w:rFonts w:ascii="Times New Roman" w:hAnsi="Times New Roman" w:cs="Times New Roman"/>
    </w:rPr>
  </w:style>
  <w:style w:type="paragraph" w:styleId="1222" w:customStyle="1">
    <w:name w:val="样式 标题 3 + 行距: 1.5 倍行距"/>
    <w:basedOn w:val="880"/>
    <w:next w:val="936"/>
    <w:qFormat/>
    <w:pPr>
      <w:ind w:left="200" w:firstLine="18"/>
      <w:spacing w:before="0" w:after="0" w:line="360" w:lineRule="auto"/>
      <w:outlineLvl w:val="2"/>
    </w:pPr>
  </w:style>
  <w:style w:type="paragraph" w:styleId="1223" w:customStyle="1">
    <w:name w:val="xl76"/>
    <w:basedOn w:val="877"/>
    <w:next w:val="933"/>
    <w:qFormat/>
    <w:pPr>
      <w:ind w:left="0" w:firstLine="3584"/>
      <w:jc w:val="center"/>
      <w:spacing w:before="280" w:after="280" w:line="240" w:lineRule="auto"/>
    </w:pPr>
    <w:rPr>
      <w:rFonts w:ascii="Times New Roman" w:hAnsi="Times New Roman" w:cs="Times New Roman"/>
    </w:rPr>
  </w:style>
  <w:style w:type="paragraph" w:styleId="1224" w:customStyle="1">
    <w:name w:val="xl26"/>
    <w:basedOn w:val="877"/>
    <w:next w:val="1225"/>
    <w:qFormat/>
    <w:pPr>
      <w:ind w:left="0" w:firstLine="20"/>
      <w:jc w:val="center"/>
      <w:spacing w:before="280" w:after="280" w:line="240" w:lineRule="auto"/>
      <w:shd w:val="clear" w:color="000000" w:fill="ffffff"/>
    </w:pPr>
    <w:rPr>
      <w:rFonts w:ascii="Times New Roman" w:hAnsi="Times New Roman" w:cs="Times New Roman"/>
    </w:rPr>
  </w:style>
  <w:style w:type="paragraph" w:styleId="1225" w:customStyle="1">
    <w:name w:val="Char1 Char Char"/>
    <w:basedOn w:val="877"/>
    <w:next w:val="915"/>
    <w:qFormat/>
    <w:pPr>
      <w:ind w:left="0" w:firstLine="2560"/>
      <w:spacing w:before="0" w:after="0" w:line="240" w:lineRule="auto"/>
    </w:pPr>
    <w:rPr>
      <w:rFonts w:ascii="Times New Roman" w:hAnsi="Times New Roman" w:cs="Times New Roman"/>
    </w:rPr>
  </w:style>
  <w:style w:type="paragraph" w:styleId="1226" w:customStyle="1">
    <w:name w:val="纯文本2"/>
    <w:basedOn w:val="877"/>
    <w:next w:val="1227"/>
    <w:qFormat/>
    <w:pPr>
      <w:ind w:left="0" w:firstLine="3584"/>
      <w:spacing w:before="0" w:after="0" w:line="240" w:lineRule="auto"/>
    </w:pPr>
    <w:rPr>
      <w:rFonts w:ascii="Times New Roman" w:hAnsi="Times New Roman" w:cs="Times New Roman"/>
    </w:rPr>
  </w:style>
  <w:style w:type="paragraph" w:styleId="1227" w:customStyle="1">
    <w:name w:val="xl69"/>
    <w:basedOn w:val="877"/>
    <w:next w:val="1228"/>
    <w:qFormat/>
    <w:pPr>
      <w:ind w:left="0" w:firstLine="3584"/>
      <w:spacing w:before="280" w:after="280" w:line="240" w:lineRule="auto"/>
    </w:pPr>
    <w:rPr>
      <w:rFonts w:ascii="Times New Roman" w:hAnsi="Times New Roman" w:cs="Times New Roman"/>
    </w:rPr>
  </w:style>
  <w:style w:type="paragraph" w:styleId="1228" w:customStyle="1">
    <w:name w:val="Char Char Char"/>
    <w:basedOn w:val="877"/>
    <w:next w:val="1229"/>
    <w:qFormat/>
    <w:pPr>
      <w:ind w:left="0" w:firstLine="2560"/>
      <w:spacing w:before="0" w:after="0" w:line="240" w:lineRule="auto"/>
    </w:pPr>
    <w:rPr>
      <w:rFonts w:ascii="Times New Roman" w:hAnsi="Times New Roman" w:cs="Times New Roman"/>
    </w:rPr>
  </w:style>
  <w:style w:type="paragraph" w:styleId="1229" w:customStyle="1">
    <w:name w:val="表格"/>
    <w:basedOn w:val="877"/>
    <w:next w:val="1224"/>
    <w:qFormat/>
    <w:pPr>
      <w:ind w:left="0" w:firstLine="2560"/>
      <w:spacing w:before="0" w:after="0" w:line="360" w:lineRule="auto"/>
    </w:pPr>
    <w:rPr>
      <w:rFonts w:ascii="Times New Roman" w:hAnsi="Times New Roman" w:cs="Times New Roman"/>
    </w:rPr>
  </w:style>
  <w:style w:type="paragraph" w:styleId="1230" w:customStyle="1">
    <w:name w:val="xl68"/>
    <w:basedOn w:val="877"/>
    <w:next w:val="1231"/>
    <w:qFormat/>
    <w:pPr>
      <w:ind w:left="100" w:firstLine="5220"/>
      <w:spacing w:before="280" w:after="280" w:line="240" w:lineRule="auto"/>
    </w:pPr>
    <w:rPr>
      <w:rFonts w:ascii="Times New Roman" w:hAnsi="Times New Roman" w:cs="Times New Roman"/>
    </w:rPr>
  </w:style>
  <w:style w:type="paragraph" w:styleId="1231" w:customStyle="1">
    <w:name w:val="Char1"/>
    <w:basedOn w:val="877"/>
    <w:next w:val="1232"/>
    <w:qFormat/>
    <w:pPr>
      <w:ind w:left="0" w:firstLine="2560"/>
      <w:spacing w:before="0" w:after="0" w:line="240" w:lineRule="auto"/>
    </w:pPr>
    <w:rPr>
      <w:rFonts w:ascii="Times New Roman" w:hAnsi="Times New Roman" w:cs="Times New Roman"/>
    </w:rPr>
  </w:style>
  <w:style w:type="paragraph" w:styleId="1232" w:customStyle="1">
    <w:name w:val="需求文档正文样式"/>
    <w:basedOn w:val="877"/>
    <w:next w:val="1233"/>
    <w:qFormat/>
    <w:pPr>
      <w:ind w:left="437" w:firstLine="2741"/>
      <w:spacing w:before="0" w:after="0" w:line="360" w:lineRule="auto"/>
    </w:pPr>
    <w:rPr>
      <w:rFonts w:ascii="Times New Roman" w:hAnsi="Times New Roman" w:cs="Times New Roman"/>
    </w:rPr>
  </w:style>
  <w:style w:type="paragraph" w:styleId="1233" w:customStyle="1">
    <w:name w:val="xl74"/>
    <w:basedOn w:val="877"/>
    <w:next w:val="1234"/>
    <w:qFormat/>
    <w:pPr>
      <w:ind w:left="0" w:firstLine="16"/>
      <w:jc w:val="center"/>
      <w:spacing w:before="280" w:after="280" w:line="240" w:lineRule="auto"/>
      <w:shd w:val="clear" w:color="000000" w:fill="538dd5"/>
    </w:pPr>
    <w:rPr>
      <w:rFonts w:ascii="Times New Roman" w:hAnsi="Times New Roman" w:cs="Times New Roman"/>
    </w:rPr>
  </w:style>
  <w:style w:type="paragraph" w:styleId="1234" w:customStyle="1">
    <w:name w:val="xl88"/>
    <w:basedOn w:val="877"/>
    <w:next w:val="1235"/>
    <w:qFormat/>
    <w:pPr>
      <w:ind w:left="0" w:firstLine="5120"/>
      <w:spacing w:before="280" w:after="280" w:line="240" w:lineRule="auto"/>
    </w:pPr>
    <w:rPr>
      <w:rFonts w:ascii="Times New Roman" w:hAnsi="Times New Roman" w:cs="Times New Roman"/>
    </w:rPr>
  </w:style>
  <w:style w:type="paragraph" w:styleId="1235" w:customStyle="1">
    <w:name w:val="xl70"/>
    <w:basedOn w:val="877"/>
    <w:next w:val="932"/>
    <w:qFormat/>
    <w:pPr>
      <w:ind w:left="0" w:firstLine="1024"/>
      <w:spacing w:before="280" w:after="280" w:line="240" w:lineRule="auto"/>
    </w:pPr>
    <w:rPr>
      <w:rFonts w:ascii="Times New Roman" w:hAnsi="Times New Roman" w:cs="Times New Roman"/>
    </w:rPr>
  </w:style>
  <w:style w:type="paragraph" w:styleId="1236" w:customStyle="1">
    <w:name w:val="文档标题5"/>
    <w:basedOn w:val="882"/>
    <w:next w:val="876"/>
    <w:qFormat/>
    <w:pPr>
      <w:ind w:left="992" w:firstLine="18"/>
      <w:spacing w:before="280" w:after="280" w:line="360" w:lineRule="auto"/>
      <w:outlineLvl w:val="4"/>
    </w:pPr>
  </w:style>
  <w:style w:type="paragraph" w:styleId="1237" w:customStyle="1">
    <w:name w:val="样式 加粗 居中"/>
    <w:basedOn w:val="877"/>
    <w:next w:val="1238"/>
    <w:qFormat/>
    <w:pPr>
      <w:ind w:left="0" w:firstLine="2560"/>
      <w:jc w:val="center"/>
      <w:spacing w:before="0" w:after="0" w:line="360" w:lineRule="auto"/>
    </w:pPr>
    <w:rPr>
      <w:rFonts w:ascii="Times New Roman" w:hAnsi="Times New Roman" w:cs="Times New Roman"/>
    </w:rPr>
  </w:style>
  <w:style w:type="paragraph" w:styleId="1238" w:customStyle="1">
    <w:name w:val="_Style 12"/>
    <w:next w:val="1239"/>
    <w:qFormat/>
    <w:pPr>
      <w:ind w:firstLine="14"/>
      <w:spacing w:line="360" w:lineRule="auto"/>
      <w:shd w:val="clear" w:color="000000" w:fill="000080"/>
    </w:pPr>
    <w:rPr>
      <w:rFonts w:ascii="Calibri" w:hAnsi="Calibri"/>
    </w:rPr>
  </w:style>
  <w:style w:type="paragraph" w:styleId="1239" w:customStyle="1">
    <w:name w:val="正文文本缩进1"/>
    <w:basedOn w:val="877"/>
    <w:next w:val="1240"/>
    <w:qFormat/>
    <w:pPr>
      <w:ind w:left="420" w:firstLine="3584"/>
      <w:spacing w:before="0" w:after="120" w:line="240" w:lineRule="auto"/>
    </w:pPr>
    <w:rPr>
      <w:rFonts w:ascii="Times New Roman" w:hAnsi="Times New Roman" w:cs="Times New Roman"/>
    </w:rPr>
  </w:style>
  <w:style w:type="paragraph" w:styleId="1240" w:customStyle="1">
    <w:name w:val="列表编号 31"/>
    <w:basedOn w:val="877"/>
    <w:next w:val="934"/>
    <w:qFormat/>
    <w:pPr>
      <w:ind w:left="1200" w:firstLine="2712"/>
      <w:spacing w:before="0" w:after="0" w:line="360" w:lineRule="auto"/>
    </w:pPr>
    <w:rPr>
      <w:rFonts w:ascii="Times New Roman" w:hAnsi="Times New Roman" w:cs="Times New Roman"/>
    </w:rPr>
  </w:style>
  <w:style w:type="paragraph" w:styleId="1241" w:customStyle="1">
    <w:name w:val="三号 居中"/>
    <w:basedOn w:val="877"/>
    <w:next w:val="1242"/>
    <w:qFormat/>
    <w:pPr>
      <w:ind w:left="0" w:firstLine="6144"/>
      <w:jc w:val="center"/>
      <w:spacing w:before="0" w:after="0" w:line="360" w:lineRule="auto"/>
    </w:pPr>
    <w:rPr>
      <w:rFonts w:ascii="Times New Roman" w:hAnsi="Times New Roman" w:cs="Times New Roman"/>
    </w:rPr>
  </w:style>
  <w:style w:type="paragraph" w:styleId="1242" w:customStyle="1">
    <w:name w:val="列出段落1"/>
    <w:basedOn w:val="877"/>
    <w:next w:val="1243"/>
    <w:qFormat/>
    <w:pPr>
      <w:ind w:left="420" w:firstLine="3748"/>
      <w:spacing w:before="0" w:after="0" w:line="240" w:lineRule="auto"/>
    </w:pPr>
    <w:rPr>
      <w:rFonts w:ascii="Times New Roman" w:hAnsi="Times New Roman" w:cs="Times New Roman"/>
    </w:rPr>
  </w:style>
  <w:style w:type="paragraph" w:styleId="1243" w:customStyle="1">
    <w:name w:val="Char Char Char Char Char Char1 Char Char Char1 Char Char Char"/>
    <w:basedOn w:val="877"/>
    <w:next w:val="1244"/>
    <w:qFormat/>
    <w:pPr>
      <w:ind w:left="0" w:firstLine="2560"/>
      <w:spacing w:before="0" w:after="0" w:line="240" w:lineRule="auto"/>
    </w:pPr>
    <w:rPr>
      <w:rFonts w:ascii="Times New Roman" w:hAnsi="Times New Roman" w:cs="Times New Roman"/>
    </w:rPr>
  </w:style>
  <w:style w:type="paragraph" w:styleId="1244" w:customStyle="1">
    <w:name w:val="Char Char Char Char Char Char1 Char Char Char1 Char"/>
    <w:basedOn w:val="877"/>
    <w:next w:val="1245"/>
    <w:qFormat/>
    <w:pPr>
      <w:ind w:left="0" w:firstLine="2560"/>
      <w:spacing w:before="0" w:after="0" w:line="240" w:lineRule="auto"/>
    </w:pPr>
    <w:rPr>
      <w:rFonts w:ascii="Times New Roman" w:hAnsi="Times New Roman" w:cs="Times New Roman"/>
    </w:rPr>
  </w:style>
  <w:style w:type="paragraph" w:styleId="1245" w:customStyle="1">
    <w:name w:val="正文符号4"/>
    <w:basedOn w:val="877"/>
    <w:next w:val="1237"/>
    <w:qFormat/>
    <w:pPr>
      <w:ind w:left="0" w:firstLine="5632"/>
      <w:spacing w:before="0" w:after="0" w:line="240" w:lineRule="auto"/>
    </w:pPr>
    <w:rPr>
      <w:rFonts w:ascii="Times New Roman" w:hAnsi="Times New Roman" w:cs="Times New Roman"/>
    </w:rPr>
  </w:style>
  <w:style w:type="paragraph" w:styleId="1246" w:customStyle="1">
    <w:name w:val="加粗（居中）"/>
    <w:next w:val="1247"/>
    <w:qFormat/>
    <w:pPr>
      <w:ind w:firstLine="2560"/>
    </w:pPr>
    <w:rPr>
      <w:rFonts w:ascii="Calibri" w:hAnsi="Calibri"/>
    </w:rPr>
  </w:style>
  <w:style w:type="paragraph" w:styleId="1247" w:customStyle="1">
    <w:name w:val="xl65"/>
    <w:basedOn w:val="877"/>
    <w:next w:val="1207"/>
    <w:qFormat/>
    <w:pPr>
      <w:ind w:left="0" w:firstLine="5120"/>
      <w:spacing w:before="280" w:after="280" w:line="240" w:lineRule="auto"/>
    </w:pPr>
    <w:rPr>
      <w:rFonts w:ascii="Times New Roman" w:hAnsi="Times New Roman" w:cs="Times New Roman"/>
    </w:rPr>
  </w:style>
  <w:style w:type="paragraph" w:styleId="1248" w:customStyle="1">
    <w:name w:val="WPSOffice手动目录 3"/>
    <w:qFormat/>
    <w:pPr>
      <w:ind w:left="400"/>
    </w:pPr>
  </w:style>
  <w:style w:type="paragraph" w:styleId="1249" w:customStyle="1">
    <w:name w:val="xl77"/>
    <w:basedOn w:val="877"/>
    <w:next w:val="1250"/>
    <w:qFormat/>
    <w:pPr>
      <w:ind w:left="0" w:firstLine="3584"/>
      <w:spacing w:before="280" w:after="280" w:line="240" w:lineRule="auto"/>
    </w:pPr>
    <w:rPr>
      <w:rFonts w:ascii="Times New Roman" w:hAnsi="Times New Roman" w:cs="Times New Roman"/>
    </w:rPr>
  </w:style>
  <w:style w:type="paragraph" w:styleId="1250" w:customStyle="1">
    <w:name w:val="Char Char Char1"/>
    <w:basedOn w:val="877"/>
    <w:next w:val="1251"/>
    <w:qFormat/>
    <w:pPr>
      <w:ind w:left="900" w:firstLine="2096"/>
      <w:spacing w:before="0" w:after="0" w:line="240" w:lineRule="auto"/>
    </w:pPr>
    <w:rPr>
      <w:rFonts w:ascii="Times New Roman" w:hAnsi="Times New Roman" w:cs="Times New Roman"/>
    </w:rPr>
  </w:style>
  <w:style w:type="paragraph" w:styleId="1251" w:customStyle="1">
    <w:name w:val="索引 21"/>
    <w:basedOn w:val="877"/>
    <w:next w:val="876"/>
    <w:qFormat/>
    <w:pPr>
      <w:ind w:left="200" w:firstLine="2560"/>
      <w:jc w:val="center"/>
      <w:spacing w:before="0" w:after="0" w:line="360" w:lineRule="auto"/>
    </w:pPr>
    <w:rPr>
      <w:rFonts w:ascii="Times New Roman" w:hAnsi="Times New Roman" w:cs="Times New Roman"/>
    </w:rPr>
  </w:style>
  <w:style w:type="paragraph" w:styleId="1252" w:customStyle="1">
    <w:name w:val="正文（首行缩进 2 字符）"/>
    <w:next w:val="1253"/>
    <w:qFormat/>
    <w:pPr>
      <w:ind w:left="480" w:firstLine="2784"/>
      <w:jc w:val="center"/>
      <w:spacing w:line="300" w:lineRule="auto"/>
    </w:pPr>
    <w:rPr>
      <w:rFonts w:ascii="Calibri" w:hAnsi="Calibri"/>
    </w:rPr>
  </w:style>
  <w:style w:type="paragraph" w:styleId="1253" w:customStyle="1">
    <w:name w:val="xl28"/>
    <w:basedOn w:val="877"/>
    <w:next w:val="1254"/>
    <w:qFormat/>
    <w:pPr>
      <w:ind w:left="0" w:firstLine="20"/>
      <w:spacing w:before="280" w:after="280" w:line="240" w:lineRule="auto"/>
      <w:shd w:val="clear" w:color="000000" w:fill="ffffff"/>
    </w:pPr>
    <w:rPr>
      <w:rFonts w:ascii="Times New Roman" w:hAnsi="Times New Roman" w:cs="Times New Roman"/>
    </w:rPr>
  </w:style>
  <w:style w:type="paragraph" w:styleId="1254" w:customStyle="1">
    <w:name w:val="HTML 预设格式1"/>
    <w:basedOn w:val="877"/>
    <w:next w:val="1255"/>
    <w:qFormat/>
    <w:pPr>
      <w:ind w:left="0" w:firstLine="3584"/>
      <w:spacing w:before="0" w:after="0" w:line="253" w:lineRule="atLeast"/>
    </w:pPr>
    <w:rPr>
      <w:rFonts w:ascii="Times New Roman" w:hAnsi="Times New Roman" w:cs="Times New Roman"/>
    </w:rPr>
  </w:style>
  <w:style w:type="paragraph" w:styleId="1255" w:customStyle="1">
    <w:name w:val="项目符号：一级"/>
    <w:basedOn w:val="877"/>
    <w:next w:val="876"/>
    <w:qFormat/>
    <w:pPr>
      <w:ind w:left="425" w:firstLine="1111"/>
      <w:spacing w:before="0" w:after="0" w:line="360" w:lineRule="auto"/>
    </w:pPr>
    <w:rPr>
      <w:rFonts w:ascii="Times New Roman" w:hAnsi="Times New Roman" w:cs="Times New Roman"/>
    </w:rPr>
  </w:style>
  <w:style w:type="paragraph" w:styleId="1256" w:customStyle="1">
    <w:name w:val="Default"/>
    <w:next w:val="911"/>
    <w:qFormat/>
    <w:pPr>
      <w:ind w:firstLine="5120"/>
      <w:widowControl w:val="off"/>
    </w:pPr>
    <w:rPr>
      <w:rFonts w:ascii="Calibri" w:hAnsi="Calibri"/>
    </w:rPr>
  </w:style>
  <w:style w:type="paragraph" w:styleId="1257" w:customStyle="1">
    <w:name w:val="xl84"/>
    <w:basedOn w:val="877"/>
    <w:next w:val="1258"/>
    <w:qFormat/>
    <w:pPr>
      <w:ind w:left="0" w:firstLine="2048"/>
      <w:jc w:val="center"/>
      <w:spacing w:before="280" w:after="280" w:line="240" w:lineRule="auto"/>
    </w:pPr>
    <w:rPr>
      <w:rFonts w:ascii="Times New Roman" w:hAnsi="Times New Roman" w:cs="Times New Roman"/>
    </w:rPr>
  </w:style>
  <w:style w:type="paragraph" w:styleId="1258" w:customStyle="1">
    <w:name w:val="2-2ji"/>
    <w:basedOn w:val="879"/>
    <w:next w:val="1259"/>
    <w:qFormat/>
    <w:pPr>
      <w:ind w:left="0" w:firstLine="24"/>
      <w:jc w:val="center"/>
      <w:spacing w:before="0" w:after="0" w:line="360" w:lineRule="auto"/>
      <w:outlineLvl w:val="1"/>
    </w:pPr>
  </w:style>
  <w:style w:type="paragraph" w:styleId="1259" w:customStyle="1">
    <w:name w:val="应答文本"/>
    <w:basedOn w:val="877"/>
    <w:next w:val="1260"/>
    <w:qFormat/>
    <w:pPr>
      <w:ind w:left="1296" w:firstLine="2112"/>
      <w:spacing w:before="0" w:after="0" w:line="460" w:lineRule="exact"/>
    </w:pPr>
    <w:rPr>
      <w:rFonts w:ascii="Times New Roman" w:hAnsi="Times New Roman" w:cs="Times New Roman"/>
    </w:rPr>
  </w:style>
  <w:style w:type="paragraph" w:styleId="1260" w:customStyle="1">
    <w:name w:val="引文目录1"/>
    <w:basedOn w:val="877"/>
    <w:next w:val="876"/>
    <w:qFormat/>
    <w:pPr>
      <w:ind w:left="420" w:firstLine="2560"/>
      <w:jc w:val="center"/>
      <w:spacing w:before="0" w:after="0" w:line="360" w:lineRule="auto"/>
    </w:pPr>
    <w:rPr>
      <w:rFonts w:ascii="Times New Roman" w:hAnsi="Times New Roman" w:cs="Times New Roman"/>
    </w:rPr>
  </w:style>
  <w:style w:type="paragraph" w:styleId="1261" w:customStyle="1">
    <w:name w:val="首行缩进"/>
    <w:basedOn w:val="876"/>
    <w:qFormat/>
    <w:pPr>
      <w:ind w:firstLine="480"/>
    </w:pPr>
    <w:rPr>
      <w:rFonts w:ascii="Times New Roman" w:hAnsi="Times New Roman" w:cs="Times New Roman"/>
      <w:lang w:val="zh-CN"/>
    </w:rPr>
  </w:style>
  <w:style w:type="paragraph" w:styleId="1262" w:customStyle="1">
    <w:name w:val="font9"/>
    <w:basedOn w:val="877"/>
    <w:next w:val="1263"/>
    <w:qFormat/>
    <w:pPr>
      <w:ind w:left="0" w:firstLine="7168"/>
      <w:spacing w:before="280" w:after="280" w:line="240" w:lineRule="auto"/>
    </w:pPr>
    <w:rPr>
      <w:rFonts w:ascii="Times New Roman" w:hAnsi="Times New Roman" w:cs="Times New Roman"/>
    </w:rPr>
  </w:style>
  <w:style w:type="paragraph" w:styleId="1263" w:customStyle="1">
    <w:name w:val="样式 标题 3 + (中文) 黑体 小四 非加粗 段前: 7.8 磅 段后: 0 磅 行距: 固定值 20 磅"/>
    <w:basedOn w:val="880"/>
    <w:next w:val="1264"/>
    <w:qFormat/>
    <w:pPr>
      <w:ind w:left="0"/>
      <w:spacing w:before="0" w:after="0" w:line="400" w:lineRule="exact"/>
      <w:outlineLvl w:val="2"/>
    </w:pPr>
  </w:style>
  <w:style w:type="paragraph" w:styleId="1264" w:customStyle="1">
    <w:name w:val="标书正文"/>
    <w:basedOn w:val="877"/>
    <w:next w:val="1265"/>
    <w:qFormat/>
    <w:pPr>
      <w:ind w:left="440" w:right="100" w:firstLine="2760"/>
      <w:spacing w:before="0" w:after="0" w:line="360" w:lineRule="auto"/>
    </w:pPr>
    <w:rPr>
      <w:rFonts w:ascii="Times New Roman" w:hAnsi="Times New Roman" w:cs="Times New Roman"/>
    </w:rPr>
  </w:style>
  <w:style w:type="paragraph" w:styleId="1265" w:customStyle="1">
    <w:name w:val="xl67"/>
    <w:basedOn w:val="877"/>
    <w:next w:val="1266"/>
    <w:qFormat/>
    <w:pPr>
      <w:ind w:left="0" w:firstLine="5120"/>
      <w:spacing w:before="280" w:after="280" w:line="240" w:lineRule="auto"/>
    </w:pPr>
    <w:rPr>
      <w:rFonts w:ascii="Times New Roman" w:hAnsi="Times New Roman" w:cs="Times New Roman"/>
    </w:rPr>
  </w:style>
  <w:style w:type="paragraph" w:styleId="1266" w:customStyle="1">
    <w:name w:val="索引 61"/>
    <w:basedOn w:val="877"/>
    <w:next w:val="876"/>
    <w:qFormat/>
    <w:pPr>
      <w:ind w:left="1000" w:firstLine="2560"/>
      <w:jc w:val="center"/>
      <w:spacing w:before="0" w:after="0" w:line="360" w:lineRule="auto"/>
    </w:pPr>
    <w:rPr>
      <w:rFonts w:ascii="Times New Roman" w:hAnsi="Times New Roman" w:cs="Times New Roman"/>
    </w:rPr>
  </w:style>
  <w:style w:type="paragraph" w:styleId="1267" w:customStyle="1">
    <w:name w:val="目录3"/>
    <w:basedOn w:val="877"/>
    <w:next w:val="876"/>
    <w:qFormat/>
    <w:pPr>
      <w:ind w:left="419" w:firstLine="5283"/>
      <w:spacing w:before="0" w:after="0" w:line="317" w:lineRule="atLeast"/>
    </w:pPr>
    <w:rPr>
      <w:rFonts w:ascii="Times New Roman" w:hAnsi="Times New Roman" w:cs="Times New Roman"/>
    </w:rPr>
  </w:style>
  <w:style w:type="paragraph" w:styleId="1268" w:customStyle="1">
    <w:name w:val="xl90"/>
    <w:basedOn w:val="877"/>
    <w:next w:val="1269"/>
    <w:qFormat/>
    <w:pPr>
      <w:ind w:left="0" w:firstLine="3584"/>
      <w:spacing w:before="280" w:after="280" w:line="240" w:lineRule="auto"/>
    </w:pPr>
    <w:rPr>
      <w:rFonts w:ascii="Times New Roman" w:hAnsi="Times New Roman" w:cs="Times New Roman"/>
    </w:rPr>
  </w:style>
  <w:style w:type="paragraph" w:styleId="1269" w:customStyle="1">
    <w:name w:val="列表框1"/>
    <w:next w:val="1260"/>
    <w:qFormat/>
    <w:pPr>
      <w:ind w:firstLine="2048"/>
      <w:spacing w:line="460" w:lineRule="exact"/>
    </w:pPr>
    <w:rPr>
      <w:rFonts w:ascii="Calibri" w:hAnsi="Calibri"/>
    </w:rPr>
  </w:style>
  <w:style w:type="paragraph" w:styleId="1270" w:customStyle="1">
    <w:name w:val="1ji"/>
    <w:basedOn w:val="878"/>
    <w:next w:val="1249"/>
    <w:qFormat/>
    <w:pPr>
      <w:ind w:left="0" w:firstLine="18"/>
      <w:jc w:val="center"/>
      <w:spacing w:before="0" w:after="0" w:line="240" w:lineRule="auto"/>
      <w:outlineLvl w:val="0"/>
    </w:pPr>
  </w:style>
  <w:style w:type="paragraph" w:styleId="1271" w:customStyle="1">
    <w:name w:val="索引 81"/>
    <w:basedOn w:val="877"/>
    <w:next w:val="876"/>
    <w:qFormat/>
    <w:pPr>
      <w:ind w:left="1400" w:firstLine="2560"/>
      <w:jc w:val="center"/>
      <w:spacing w:before="0" w:after="0" w:line="360" w:lineRule="auto"/>
    </w:pPr>
    <w:rPr>
      <w:rFonts w:ascii="Times New Roman" w:hAnsi="Times New Roman" w:cs="Times New Roman"/>
    </w:rPr>
  </w:style>
  <w:style w:type="paragraph" w:styleId="1272" w:customStyle="1">
    <w:name w:val="正文1"/>
    <w:basedOn w:val="876"/>
    <w:next w:val="876"/>
    <w:qFormat/>
    <w:pPr>
      <w:spacing w:line="312" w:lineRule="atLeast"/>
    </w:pPr>
    <w:rPr>
      <w:rFonts w:ascii="楷体_GB2312" w:hAnsi="Times New Roman" w:eastAsia="楷体_GB2312" w:cs="Times New Roman"/>
      <w:sz w:val="24"/>
    </w:rPr>
  </w:style>
  <w:style w:type="paragraph" w:styleId="1273" w:customStyle="1">
    <w:name w:val="Char Char Char Char Char Char1 Char Char Char1 Char Char Char Char Char Char Char Char Char Char Char Char Char Char Char Char Char Char"/>
    <w:basedOn w:val="877"/>
    <w:next w:val="1274"/>
    <w:qFormat/>
    <w:pPr>
      <w:ind w:left="0" w:firstLine="2560"/>
      <w:spacing w:before="0" w:after="0" w:line="240" w:lineRule="auto"/>
    </w:pPr>
    <w:rPr>
      <w:rFonts w:ascii="Times New Roman" w:hAnsi="Times New Roman" w:cs="Times New Roman"/>
    </w:rPr>
  </w:style>
  <w:style w:type="paragraph" w:styleId="1274" w:customStyle="1">
    <w:name w:val="样式 加粗 居中11"/>
    <w:basedOn w:val="877"/>
    <w:next w:val="1275"/>
    <w:qFormat/>
    <w:pPr>
      <w:ind w:left="0" w:firstLine="2560"/>
      <w:jc w:val="center"/>
      <w:spacing w:before="0" w:after="0" w:line="360" w:lineRule="auto"/>
    </w:pPr>
    <w:rPr>
      <w:rFonts w:ascii="Times New Roman" w:hAnsi="Times New Roman" w:cs="Times New Roman"/>
    </w:rPr>
  </w:style>
  <w:style w:type="paragraph" w:styleId="1275" w:customStyle="1">
    <w:name w:val="xl89"/>
    <w:basedOn w:val="877"/>
    <w:next w:val="1276"/>
    <w:qFormat/>
    <w:pPr>
      <w:ind w:left="0" w:firstLine="3584"/>
      <w:spacing w:before="280" w:after="280" w:line="240" w:lineRule="auto"/>
    </w:pPr>
    <w:rPr>
      <w:rFonts w:ascii="Times New Roman" w:hAnsi="Times New Roman" w:cs="Times New Roman"/>
    </w:rPr>
  </w:style>
  <w:style w:type="paragraph" w:styleId="1276" w:customStyle="1">
    <w:name w:val="Char Char Char Char Char Char1 Char Char Char Char Char Char1 Char Char Char Char Char Char Char Char Char"/>
    <w:basedOn w:val="877"/>
    <w:next w:val="1277"/>
    <w:qFormat/>
    <w:pPr>
      <w:ind w:left="0" w:firstLine="2560"/>
      <w:spacing w:before="0" w:after="0" w:line="240" w:lineRule="auto"/>
    </w:pPr>
    <w:rPr>
      <w:rFonts w:ascii="Times New Roman" w:hAnsi="Times New Roman" w:cs="Times New Roman"/>
    </w:rPr>
  </w:style>
  <w:style w:type="paragraph" w:styleId="1277" w:customStyle="1">
    <w:name w:val="文章附标题"/>
    <w:basedOn w:val="877"/>
    <w:next w:val="877"/>
    <w:qFormat/>
    <w:pPr>
      <w:ind w:left="0" w:firstLine="5120"/>
      <w:jc w:val="center"/>
      <w:spacing w:before="187" w:after="175" w:line="374" w:lineRule="atLeast"/>
    </w:pPr>
    <w:rPr>
      <w:rFonts w:ascii="Times New Roman" w:hAnsi="Times New Roman" w:cs="Times New Roman"/>
    </w:rPr>
  </w:style>
  <w:style w:type="paragraph" w:styleId="1278" w:customStyle="1">
    <w:name w:val="Default Paragraph Font Para Char Char Char Char Char Char"/>
    <w:basedOn w:val="877"/>
    <w:next w:val="1279"/>
    <w:qFormat/>
    <w:pPr>
      <w:ind w:left="0" w:firstLine="3584"/>
      <w:spacing w:before="0" w:after="160" w:line="240" w:lineRule="exact"/>
    </w:pPr>
    <w:rPr>
      <w:rFonts w:ascii="Times New Roman" w:hAnsi="Times New Roman" w:cs="Times New Roman"/>
    </w:rPr>
  </w:style>
  <w:style w:type="paragraph" w:styleId="1279" w:customStyle="1">
    <w:name w:val="xl23"/>
    <w:basedOn w:val="877"/>
    <w:next w:val="913"/>
    <w:qFormat/>
    <w:pPr>
      <w:ind w:left="0" w:firstLine="20"/>
      <w:spacing w:before="280" w:after="280" w:line="240" w:lineRule="auto"/>
      <w:shd w:val="clear" w:color="000000" w:fill="ffffff"/>
    </w:pPr>
    <w:rPr>
      <w:rFonts w:ascii="Times New Roman" w:hAnsi="Times New Roman" w:cs="Times New Roman"/>
    </w:rPr>
  </w:style>
  <w:style w:type="paragraph" w:styleId="1280" w:customStyle="1">
    <w:name w:val="列出段落11"/>
    <w:basedOn w:val="877"/>
    <w:next w:val="1281"/>
    <w:qFormat/>
    <w:pPr>
      <w:ind w:left="420" w:firstLine="3748"/>
      <w:spacing w:before="0" w:after="0" w:line="240" w:lineRule="auto"/>
    </w:pPr>
    <w:rPr>
      <w:rFonts w:ascii="Times New Roman" w:hAnsi="Times New Roman" w:cs="Times New Roman"/>
    </w:rPr>
  </w:style>
  <w:style w:type="paragraph" w:styleId="1281" w:customStyle="1">
    <w:name w:val="样式 标题 2 + (西文) 宋体 非加粗 居中"/>
    <w:basedOn w:val="879"/>
    <w:next w:val="1282"/>
    <w:qFormat/>
    <w:pPr>
      <w:ind w:left="0" w:firstLine="24"/>
      <w:jc w:val="center"/>
      <w:spacing w:line="412" w:lineRule="auto"/>
      <w:outlineLvl w:val="1"/>
    </w:pPr>
  </w:style>
  <w:style w:type="paragraph" w:styleId="1282" w:customStyle="1">
    <w:name w:val="页脚 Char Char"/>
    <w:basedOn w:val="877"/>
    <w:next w:val="1283"/>
    <w:qFormat/>
    <w:pPr>
      <w:ind w:left="0" w:firstLine="5120"/>
      <w:spacing w:before="0" w:after="0" w:line="240" w:lineRule="auto"/>
    </w:pPr>
    <w:rPr>
      <w:rFonts w:ascii="Times New Roman" w:hAnsi="Times New Roman" w:cs="Times New Roman"/>
    </w:rPr>
  </w:style>
  <w:style w:type="paragraph" w:styleId="1283" w:customStyle="1">
    <w:name w:val="样式 标题 1 + 段前: 16 磅 段后: 16 磅"/>
    <w:basedOn w:val="878"/>
    <w:next w:val="1284"/>
    <w:qFormat/>
    <w:pPr>
      <w:ind w:left="0" w:firstLine="18"/>
      <w:jc w:val="center"/>
      <w:spacing w:before="120" w:after="0" w:line="360" w:lineRule="auto"/>
      <w:outlineLvl w:val="0"/>
    </w:pPr>
  </w:style>
  <w:style w:type="paragraph" w:styleId="1284" w:customStyle="1">
    <w:name w:val="Char1 Char Char Char Char Char Char"/>
    <w:basedOn w:val="877"/>
    <w:next w:val="1285"/>
    <w:qFormat/>
    <w:pPr>
      <w:ind w:left="0" w:firstLine="2560"/>
      <w:spacing w:before="0" w:after="0" w:line="240" w:lineRule="auto"/>
    </w:pPr>
    <w:rPr>
      <w:rFonts w:ascii="Times New Roman" w:hAnsi="Times New Roman" w:cs="Times New Roman"/>
    </w:rPr>
  </w:style>
  <w:style w:type="paragraph" w:styleId="1285" w:customStyle="1">
    <w:name w:val="文档标题4"/>
    <w:basedOn w:val="881"/>
    <w:next w:val="876"/>
    <w:qFormat/>
    <w:pPr>
      <w:ind w:left="851" w:firstLine="30"/>
      <w:spacing w:after="280" w:line="360" w:lineRule="auto"/>
      <w:outlineLvl w:val="3"/>
    </w:pPr>
  </w:style>
  <w:style w:type="paragraph" w:styleId="1286" w:customStyle="1">
    <w:name w:val="font0"/>
    <w:basedOn w:val="877"/>
    <w:next w:val="1262"/>
    <w:qFormat/>
    <w:pPr>
      <w:ind w:left="0" w:firstLine="1024"/>
      <w:spacing w:before="280" w:after="280" w:line="240" w:lineRule="auto"/>
    </w:pPr>
    <w:rPr>
      <w:rFonts w:ascii="Times New Roman" w:hAnsi="Times New Roman" w:cs="Times New Roman"/>
    </w:rPr>
  </w:style>
  <w:style w:type="paragraph" w:styleId="1287" w:customStyle="1">
    <w:name w:val="CM5"/>
    <w:basedOn w:val="877"/>
    <w:next w:val="876"/>
    <w:qFormat/>
    <w:pPr>
      <w:ind w:left="200" w:firstLine="2760"/>
      <w:spacing w:before="0" w:after="0" w:line="400" w:lineRule="atLeast"/>
    </w:pPr>
    <w:rPr>
      <w:rFonts w:ascii="Times New Roman" w:hAnsi="Times New Roman" w:cs="Times New Roman"/>
    </w:rPr>
  </w:style>
  <w:style w:type="paragraph" w:styleId="1288" w:customStyle="1">
    <w:name w:val="Pa0"/>
    <w:basedOn w:val="877"/>
    <w:next w:val="876"/>
    <w:qFormat/>
    <w:pPr>
      <w:ind w:left="0" w:firstLine="4608"/>
      <w:spacing w:before="0" w:after="0" w:line="241" w:lineRule="atLeast"/>
    </w:pPr>
    <w:rPr>
      <w:rFonts w:ascii="Times New Roman" w:hAnsi="Times New Roman" w:cs="Times New Roman"/>
    </w:rPr>
  </w:style>
  <w:style w:type="paragraph" w:styleId="1289" w:customStyle="1">
    <w:name w:val="招标文件》"/>
    <w:basedOn w:val="877"/>
    <w:next w:val="1226"/>
    <w:qFormat/>
    <w:pPr>
      <w:ind w:left="420" w:firstLine="2140"/>
      <w:spacing w:before="120" w:after="120" w:line="300" w:lineRule="auto"/>
    </w:pPr>
    <w:rPr>
      <w:rFonts w:ascii="Times New Roman" w:hAnsi="Times New Roman" w:cs="Times New Roman"/>
    </w:rPr>
  </w:style>
  <w:style w:type="paragraph" w:styleId="1290" w:customStyle="1">
    <w:name w:val="段"/>
    <w:next w:val="876"/>
    <w:qFormat/>
    <w:pPr>
      <w:ind w:firstLine="200"/>
      <w:jc w:val="both"/>
      <w:spacing w:line="360" w:lineRule="auto"/>
    </w:pPr>
    <w:rPr>
      <w:sz w:val="24"/>
      <w:szCs w:val="22"/>
    </w:rPr>
  </w:style>
  <w:style w:type="paragraph" w:styleId="1291" w:customStyle="1">
    <w:name w:val="标书_正文"/>
    <w:basedOn w:val="877"/>
    <w:next w:val="1292"/>
    <w:qFormat/>
    <w:pPr>
      <w:ind w:left="420" w:firstLine="1188"/>
      <w:spacing w:before="0" w:after="0" w:line="360" w:lineRule="auto"/>
    </w:pPr>
    <w:rPr>
      <w:rFonts w:ascii="Times New Roman" w:hAnsi="Times New Roman" w:cs="Times New Roman"/>
    </w:rPr>
  </w:style>
  <w:style w:type="paragraph" w:styleId="1292" w:customStyle="1">
    <w:name w:val="样式 标题 2 + Times New Roman 四号 非加粗 段前: 5 磅 段后: 0 磅 行距: 固定值 20..."/>
    <w:basedOn w:val="879"/>
    <w:next w:val="1241"/>
    <w:qFormat/>
    <w:pPr>
      <w:ind w:left="0" w:firstLine="24"/>
      <w:spacing w:before="100" w:after="0" w:line="400" w:lineRule="exact"/>
      <w:outlineLvl w:val="1"/>
    </w:pPr>
  </w:style>
  <w:style w:type="paragraph" w:styleId="1293" w:customStyle="1">
    <w:name w:val="图片0"/>
    <w:basedOn w:val="877"/>
    <w:next w:val="924"/>
    <w:qFormat/>
    <w:pPr>
      <w:ind w:left="-161" w:firstLine="1187"/>
      <w:spacing w:before="0" w:after="0" w:line="276" w:lineRule="auto"/>
    </w:pPr>
    <w:rPr>
      <w:rFonts w:ascii="Times New Roman" w:hAnsi="Times New Roman" w:cs="Times New Roman"/>
    </w:rPr>
  </w:style>
  <w:style w:type="paragraph" w:styleId="1294" w:customStyle="1">
    <w:name w:val="Char Char Char2 Char Char Char2 Char"/>
    <w:basedOn w:val="877"/>
    <w:next w:val="1267"/>
    <w:qFormat/>
    <w:pPr>
      <w:ind w:left="560" w:firstLine="3632"/>
      <w:spacing w:before="0" w:after="160" w:line="240" w:lineRule="exact"/>
    </w:pPr>
    <w:rPr>
      <w:rFonts w:ascii="Times New Roman" w:hAnsi="Times New Roman" w:cs="Times New Roman"/>
    </w:rPr>
  </w:style>
  <w:style w:type="paragraph" w:styleId="1295" w:customStyle="1">
    <w:name w:val="Char Char Char Char"/>
    <w:next w:val="1296"/>
    <w:qFormat/>
    <w:pPr>
      <w:ind w:firstLine="10"/>
      <w:spacing w:line="360" w:lineRule="auto"/>
      <w:shd w:val="clear" w:color="000000" w:fill="000080"/>
    </w:pPr>
    <w:rPr>
      <w:rFonts w:ascii="Calibri" w:hAnsi="Calibri"/>
    </w:rPr>
  </w:style>
  <w:style w:type="paragraph" w:styleId="1296" w:customStyle="1">
    <w:name w:val="杨昂超式样黑体主"/>
    <w:basedOn w:val="877"/>
    <w:next w:val="1297"/>
    <w:qFormat/>
    <w:pPr>
      <w:ind w:left="0" w:firstLine="4608"/>
      <w:spacing w:before="0" w:after="0" w:line="240" w:lineRule="auto"/>
    </w:pPr>
    <w:rPr>
      <w:rFonts w:ascii="Times New Roman" w:hAnsi="Times New Roman" w:cs="Times New Roman"/>
    </w:rPr>
  </w:style>
  <w:style w:type="paragraph" w:styleId="1297" w:customStyle="1">
    <w:name w:val="Char Char Char Char Char Char1 Char Char Char Char Char Char Char Char Char Char"/>
    <w:basedOn w:val="877"/>
    <w:next w:val="1298"/>
    <w:qFormat/>
    <w:pPr>
      <w:ind w:left="0" w:firstLine="2560"/>
      <w:spacing w:before="0" w:after="0" w:line="240" w:lineRule="auto"/>
    </w:pPr>
    <w:rPr>
      <w:rFonts w:ascii="Times New Roman" w:hAnsi="Times New Roman" w:cs="Times New Roman"/>
    </w:rPr>
  </w:style>
  <w:style w:type="paragraph" w:styleId="1298" w:customStyle="1">
    <w:name w:val="目录1"/>
    <w:basedOn w:val="877"/>
    <w:next w:val="876"/>
    <w:qFormat/>
    <w:pPr>
      <w:ind w:left="0" w:firstLine="7168"/>
      <w:spacing w:before="0" w:after="136" w:line="289" w:lineRule="atLeast"/>
    </w:pPr>
    <w:rPr>
      <w:rFonts w:ascii="Times New Roman" w:hAnsi="Times New Roman" w:cs="Times New Roman"/>
    </w:rPr>
  </w:style>
  <w:style w:type="paragraph" w:styleId="1299" w:customStyle="1">
    <w:name w:val="文档结构图1"/>
    <w:basedOn w:val="877"/>
    <w:next w:val="1300"/>
    <w:qFormat/>
    <w:pPr>
      <w:ind w:left="200" w:firstLine="2248"/>
      <w:spacing w:before="0" w:after="0" w:line="360" w:lineRule="auto"/>
    </w:pPr>
    <w:rPr>
      <w:rFonts w:ascii="Times New Roman" w:hAnsi="Times New Roman" w:cs="Times New Roman"/>
    </w:rPr>
  </w:style>
  <w:style w:type="paragraph" w:styleId="1300" w:customStyle="1">
    <w:name w:val="2ji"/>
    <w:basedOn w:val="879"/>
    <w:next w:val="919"/>
    <w:qFormat/>
    <w:pPr>
      <w:ind w:left="0" w:firstLine="24"/>
      <w:spacing w:before="0" w:after="0" w:line="360" w:lineRule="auto"/>
      <w:outlineLvl w:val="1"/>
    </w:pPr>
  </w:style>
  <w:style w:type="paragraph" w:styleId="1301" w:customStyle="1">
    <w:name w:val="xl91"/>
    <w:basedOn w:val="877"/>
    <w:next w:val="1223"/>
    <w:qFormat/>
    <w:pPr>
      <w:ind w:left="0" w:firstLine="3584"/>
      <w:spacing w:before="280" w:after="280" w:line="240" w:lineRule="auto"/>
    </w:pPr>
    <w:rPr>
      <w:rFonts w:ascii="Times New Roman" w:hAnsi="Times New Roman" w:cs="Times New Roman"/>
    </w:rPr>
  </w:style>
  <w:style w:type="paragraph" w:styleId="1302" w:customStyle="1">
    <w:name w:val="Text Body"/>
    <w:basedOn w:val="877"/>
    <w:next w:val="1303"/>
    <w:qFormat/>
    <w:pPr>
      <w:ind w:left="0" w:firstLine="4096"/>
      <w:spacing w:before="0" w:after="120" w:line="240" w:lineRule="auto"/>
    </w:pPr>
    <w:rPr>
      <w:rFonts w:ascii="Times New Roman" w:hAnsi="Times New Roman" w:cs="Times New Roman"/>
    </w:rPr>
  </w:style>
  <w:style w:type="paragraph" w:styleId="1303" w:customStyle="1">
    <w:name w:val="项目符1"/>
    <w:basedOn w:val="877"/>
    <w:next w:val="1304"/>
    <w:qFormat/>
    <w:pPr>
      <w:ind w:left="1365" w:right="100" w:firstLine="2728"/>
      <w:spacing w:before="78" w:after="78" w:line="300" w:lineRule="auto"/>
    </w:pPr>
    <w:rPr>
      <w:rFonts w:ascii="Times New Roman" w:hAnsi="Times New Roman" w:cs="Times New Roman"/>
    </w:rPr>
  </w:style>
  <w:style w:type="paragraph" w:styleId="1304" w:customStyle="1">
    <w:name w:val="引文目录标题1"/>
    <w:basedOn w:val="877"/>
    <w:next w:val="876"/>
    <w:qFormat/>
    <w:pPr>
      <w:ind w:left="0" w:firstLine="4608"/>
      <w:jc w:val="center"/>
      <w:spacing w:before="120" w:after="0" w:line="360" w:lineRule="auto"/>
    </w:pPr>
    <w:rPr>
      <w:rFonts w:ascii="Times New Roman" w:hAnsi="Times New Roman" w:cs="Times New Roman"/>
    </w:rPr>
  </w:style>
  <w:style w:type="paragraph" w:styleId="1305" w:customStyle="1">
    <w:name w:val="样式 标题 3 + (西文) 黑体 (中文) 黑体 (符号) 宋体 小四 段前: 5 磅 段后: 5 磅 行距: 1..."/>
    <w:basedOn w:val="880"/>
    <w:next w:val="1306"/>
    <w:qFormat/>
    <w:pPr>
      <w:ind w:left="1429" w:firstLine="18"/>
      <w:spacing w:before="100" w:after="100" w:line="360" w:lineRule="auto"/>
      <w:outlineLvl w:val="2"/>
    </w:pPr>
  </w:style>
  <w:style w:type="paragraph" w:styleId="1306" w:customStyle="1">
    <w:name w:val="xl22"/>
    <w:basedOn w:val="877"/>
    <w:next w:val="1307"/>
    <w:qFormat/>
    <w:pPr>
      <w:ind w:left="0" w:firstLine="20"/>
      <w:jc w:val="right"/>
      <w:spacing w:before="280" w:after="280" w:line="240" w:lineRule="auto"/>
      <w:shd w:val="clear" w:color="000000" w:fill="ffffff"/>
    </w:pPr>
    <w:rPr>
      <w:rFonts w:ascii="Times New Roman" w:hAnsi="Times New Roman" w:cs="Times New Roman"/>
    </w:rPr>
  </w:style>
  <w:style w:type="paragraph" w:styleId="1307" w:customStyle="1">
    <w:name w:val="自定义一"/>
    <w:basedOn w:val="877"/>
    <w:next w:val="876"/>
    <w:qFormat/>
    <w:pPr>
      <w:ind w:left="0"/>
      <w:spacing w:before="0" w:after="0" w:line="360" w:lineRule="auto"/>
    </w:pPr>
    <w:rPr>
      <w:rFonts w:ascii="Times New Roman" w:hAnsi="Times New Roman" w:cs="Times New Roman"/>
    </w:rPr>
  </w:style>
  <w:style w:type="paragraph" w:styleId="1308" w:customStyle="1">
    <w:name w:val="xl78"/>
    <w:basedOn w:val="877"/>
    <w:next w:val="1309"/>
    <w:qFormat/>
    <w:pPr>
      <w:ind w:left="0" w:firstLine="3584"/>
      <w:jc w:val="center"/>
      <w:spacing w:before="280" w:after="280" w:line="240" w:lineRule="auto"/>
    </w:pPr>
    <w:rPr>
      <w:rFonts w:ascii="Times New Roman" w:hAnsi="Times New Roman" w:cs="Times New Roman"/>
    </w:rPr>
  </w:style>
  <w:style w:type="paragraph" w:styleId="1309" w:customStyle="1">
    <w:name w:val="段落正文"/>
    <w:next w:val="1252"/>
    <w:qFormat/>
    <w:pPr>
      <w:ind w:firstLine="4608"/>
      <w:jc w:val="center"/>
      <w:spacing w:line="360" w:lineRule="auto"/>
    </w:pPr>
    <w:rPr>
      <w:rFonts w:ascii="Calibri" w:hAnsi="Calibri"/>
    </w:rPr>
  </w:style>
  <w:style w:type="paragraph" w:styleId="1310" w:customStyle="1">
    <w:name w:val="_Style 169"/>
    <w:next w:val="876"/>
    <w:qFormat/>
    <w:pPr>
      <w:ind w:left="2560"/>
    </w:pPr>
    <w:rPr>
      <w:rFonts w:ascii="Calibri" w:hAnsi="Calibri"/>
    </w:rPr>
  </w:style>
  <w:style w:type="paragraph" w:styleId="1311" w:customStyle="1">
    <w:name w:val="样式 小四 行距: 1.5 倍行距 首行缩进:  2 字符"/>
    <w:basedOn w:val="877"/>
    <w:next w:val="1257"/>
    <w:qFormat/>
    <w:pPr>
      <w:ind w:left="480" w:firstLine="2784"/>
      <w:spacing w:before="0" w:after="0" w:line="360" w:lineRule="auto"/>
    </w:pPr>
    <w:rPr>
      <w:rFonts w:ascii="Times New Roman" w:hAnsi="Times New Roman" w:cs="Times New Roman"/>
    </w:rPr>
  </w:style>
  <w:style w:type="paragraph" w:styleId="1312" w:customStyle="1">
    <w:name w:val="小节标题"/>
    <w:basedOn w:val="877"/>
    <w:next w:val="876"/>
    <w:qFormat/>
    <w:pPr>
      <w:ind w:left="0" w:firstLine="7168"/>
      <w:spacing w:before="175" w:after="102" w:line="351" w:lineRule="atLeast"/>
    </w:pPr>
    <w:rPr>
      <w:rFonts w:ascii="Times New Roman" w:hAnsi="Times New Roman" w:cs="Times New Roman"/>
    </w:rPr>
  </w:style>
  <w:style w:type="paragraph" w:styleId="1313" w:customStyle="1">
    <w:name w:val="TOC 标题2"/>
    <w:basedOn w:val="877"/>
    <w:next w:val="87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14" w:customStyle="1">
    <w:name w:val="表格文字（两侧对齐）"/>
    <w:basedOn w:val="877"/>
    <w:next w:val="1315"/>
    <w:qFormat/>
    <w:pPr>
      <w:ind w:left="0" w:firstLine="3584"/>
      <w:spacing w:before="0" w:after="0" w:line="240" w:lineRule="auto"/>
    </w:pPr>
    <w:rPr>
      <w:rFonts w:ascii="Times New Roman" w:hAnsi="Times New Roman" w:cs="Times New Roman"/>
    </w:rPr>
  </w:style>
  <w:style w:type="paragraph" w:styleId="1315" w:customStyle="1">
    <w:name w:val="Char"/>
    <w:basedOn w:val="877"/>
    <w:next w:val="1294"/>
    <w:qFormat/>
    <w:pPr>
      <w:ind w:left="900" w:firstLine="2608"/>
      <w:spacing w:before="0" w:after="0" w:line="240" w:lineRule="auto"/>
    </w:pPr>
    <w:rPr>
      <w:rFonts w:ascii="Times New Roman" w:hAnsi="Times New Roman" w:cs="Times New Roman"/>
    </w:rPr>
  </w:style>
  <w:style w:type="paragraph" w:styleId="1316" w:customStyle="1">
    <w:name w:val="xl86"/>
    <w:basedOn w:val="877"/>
    <w:next w:val="1317"/>
    <w:qFormat/>
    <w:pPr>
      <w:ind w:left="0" w:firstLine="5120"/>
      <w:spacing w:before="280" w:after="280" w:line="240" w:lineRule="auto"/>
    </w:pPr>
    <w:rPr>
      <w:rFonts w:ascii="Times New Roman" w:hAnsi="Times New Roman" w:cs="Times New Roman"/>
    </w:rPr>
  </w:style>
  <w:style w:type="paragraph" w:styleId="1317" w:customStyle="1">
    <w:name w:val="索引 71"/>
    <w:basedOn w:val="877"/>
    <w:next w:val="876"/>
    <w:qFormat/>
    <w:pPr>
      <w:ind w:left="1200" w:firstLine="2560"/>
      <w:jc w:val="center"/>
      <w:spacing w:before="0" w:after="0" w:line="360" w:lineRule="auto"/>
    </w:pPr>
    <w:rPr>
      <w:rFonts w:ascii="Times New Roman" w:hAnsi="Times New Roman" w:cs="Times New Roman"/>
    </w:rPr>
  </w:style>
  <w:style w:type="paragraph" w:styleId="1318" w:customStyle="1">
    <w:name w:val="111"/>
    <w:next w:val="1319"/>
    <w:qFormat/>
    <w:pPr>
      <w:ind w:left="480" w:firstLine="4320"/>
      <w:spacing w:line="440" w:lineRule="exact"/>
    </w:pPr>
    <w:rPr>
      <w:rFonts w:ascii="Calibri" w:hAnsi="Calibri"/>
    </w:rPr>
  </w:style>
  <w:style w:type="paragraph" w:styleId="1319" w:customStyle="1">
    <w:name w:val="4"/>
    <w:basedOn w:val="877"/>
    <w:next w:val="889"/>
    <w:qFormat/>
    <w:pPr>
      <w:ind w:left="409" w:firstLine="3737"/>
      <w:spacing w:before="0" w:after="0" w:line="420" w:lineRule="exact"/>
    </w:pPr>
    <w:rPr>
      <w:rFonts w:ascii="Times New Roman" w:hAnsi="Times New Roman" w:cs="Times New Roman"/>
    </w:rPr>
  </w:style>
  <w:style w:type="paragraph" w:styleId="1320" w:customStyle="1">
    <w:name w:val="Char Char Char Char Char Char1 Char Char Char1 Char Char Char Char Char Char"/>
    <w:basedOn w:val="877"/>
    <w:next w:val="1305"/>
    <w:qFormat/>
    <w:pPr>
      <w:ind w:left="0" w:firstLine="2560"/>
      <w:spacing w:before="0" w:after="0" w:line="240" w:lineRule="auto"/>
    </w:pPr>
    <w:rPr>
      <w:rFonts w:ascii="Times New Roman" w:hAnsi="Times New Roman" w:cs="Times New Roman"/>
    </w:rPr>
  </w:style>
  <w:style w:type="paragraph" w:styleId="1321" w:customStyle="1">
    <w:name w:val="Char Char Char Char Char Char1 Char Char Char Char Char Char1 Char Char Char"/>
    <w:basedOn w:val="877"/>
    <w:next w:val="1322"/>
    <w:qFormat/>
    <w:pPr>
      <w:ind w:left="0" w:firstLine="2560"/>
      <w:spacing w:before="0" w:after="0" w:line="240" w:lineRule="auto"/>
    </w:pPr>
    <w:rPr>
      <w:rFonts w:ascii="Times New Roman" w:hAnsi="Times New Roman" w:cs="Times New Roman"/>
    </w:rPr>
  </w:style>
  <w:style w:type="paragraph" w:styleId="1322" w:customStyle="1">
    <w:name w:val="正文符号1"/>
    <w:basedOn w:val="877"/>
    <w:next w:val="1323"/>
    <w:qFormat/>
    <w:pPr>
      <w:ind w:left="987" w:firstLine="5724"/>
      <w:spacing w:before="0" w:after="0" w:line="240" w:lineRule="auto"/>
    </w:pPr>
    <w:rPr>
      <w:rFonts w:ascii="Times New Roman" w:hAnsi="Times New Roman" w:cs="Times New Roman"/>
    </w:rPr>
  </w:style>
  <w:style w:type="paragraph" w:styleId="1323" w:customStyle="1">
    <w:name w:val="索引 31"/>
    <w:basedOn w:val="877"/>
    <w:next w:val="876"/>
    <w:qFormat/>
    <w:pPr>
      <w:ind w:left="400" w:firstLine="2560"/>
      <w:jc w:val="center"/>
      <w:spacing w:before="0" w:after="0" w:line="360" w:lineRule="auto"/>
    </w:pPr>
    <w:rPr>
      <w:rFonts w:ascii="Times New Roman" w:hAnsi="Times New Roman" w:cs="Times New Roman"/>
    </w:rPr>
  </w:style>
  <w:style w:type="paragraph" w:styleId="1324" w:customStyle="1">
    <w:name w:val="目录4"/>
    <w:basedOn w:val="877"/>
    <w:next w:val="876"/>
    <w:qFormat/>
    <w:pPr>
      <w:ind w:left="629" w:firstLine="5237"/>
      <w:spacing w:before="0" w:after="0" w:line="317" w:lineRule="atLeast"/>
    </w:pPr>
    <w:rPr>
      <w:rFonts w:ascii="Times New Roman" w:hAnsi="Times New Roman" w:cs="Times New Roman"/>
    </w:rPr>
  </w:style>
  <w:style w:type="paragraph" w:styleId="1325" w:customStyle="1">
    <w:name w:val="p15"/>
    <w:basedOn w:val="876"/>
    <w:qFormat/>
    <w:pPr>
      <w:ind w:left="0"/>
    </w:pPr>
    <w:rPr>
      <w:rFonts w:ascii="宋体" w:hAnsi="宋体"/>
      <w:sz w:val="28"/>
      <w:szCs w:val="28"/>
    </w:rPr>
  </w:style>
  <w:style w:type="paragraph" w:styleId="1326" w:customStyle="1">
    <w:name w:val="四号 居中"/>
    <w:basedOn w:val="877"/>
    <w:next w:val="1320"/>
    <w:qFormat/>
    <w:pPr>
      <w:ind w:left="0" w:firstLine="6144"/>
      <w:jc w:val="center"/>
      <w:spacing w:before="0" w:after="0" w:line="360" w:lineRule="auto"/>
    </w:pPr>
    <w:rPr>
      <w:rFonts w:ascii="Times New Roman" w:hAnsi="Times New Roman" w:cs="Times New Roman"/>
    </w:rPr>
  </w:style>
  <w:style w:type="paragraph" w:styleId="1327" w:customStyle="1">
    <w:name w:val="p0"/>
    <w:next w:val="876"/>
    <w:qFormat/>
    <w:pPr>
      <w:ind w:firstLine="2048"/>
      <w:spacing w:line="360" w:lineRule="auto"/>
    </w:pPr>
    <w:rPr>
      <w:rFonts w:ascii="Calibri" w:hAnsi="Calibri"/>
    </w:rPr>
  </w:style>
  <w:style w:type="paragraph" w:styleId="1328" w:customStyle="1">
    <w:name w:val="列表编号 21"/>
    <w:basedOn w:val="877"/>
    <w:next w:val="1329"/>
    <w:qFormat/>
    <w:pPr>
      <w:ind w:left="0" w:firstLine="2560"/>
      <w:spacing w:before="0" w:after="0" w:line="360" w:lineRule="auto"/>
    </w:pPr>
    <w:rPr>
      <w:rFonts w:ascii="Times New Roman" w:hAnsi="Times New Roman" w:cs="Times New Roman"/>
    </w:rPr>
  </w:style>
  <w:style w:type="paragraph" w:styleId="1329" w:customStyle="1">
    <w:name w:val="正文文本 21"/>
    <w:basedOn w:val="877"/>
    <w:next w:val="1211"/>
    <w:qFormat/>
    <w:pPr>
      <w:ind w:left="0" w:firstLine="2560"/>
      <w:jc w:val="center"/>
      <w:spacing w:before="0" w:after="120" w:line="480" w:lineRule="auto"/>
    </w:pPr>
    <w:rPr>
      <w:rFonts w:ascii="Times New Roman" w:hAnsi="Times New Roman" w:cs="Times New Roman"/>
    </w:rPr>
  </w:style>
  <w:style w:type="paragraph" w:styleId="1330" w:customStyle="1">
    <w:name w:val="a2"/>
    <w:basedOn w:val="877"/>
    <w:next w:val="916"/>
    <w:qFormat/>
    <w:pPr>
      <w:ind w:left="0" w:firstLine="1024"/>
      <w:spacing w:before="280" w:after="280" w:line="240" w:lineRule="auto"/>
    </w:pPr>
    <w:rPr>
      <w:rFonts w:ascii="Times New Roman" w:hAnsi="Times New Roman" w:cs="Times New Roman"/>
    </w:rPr>
  </w:style>
  <w:style w:type="paragraph" w:styleId="1331" w:customStyle="1">
    <w:name w:val="font8"/>
    <w:basedOn w:val="877"/>
    <w:next w:val="1256"/>
    <w:qFormat/>
    <w:pPr>
      <w:ind w:left="0" w:firstLine="2048"/>
      <w:spacing w:before="280" w:after="280" w:line="240" w:lineRule="auto"/>
    </w:pPr>
    <w:rPr>
      <w:rFonts w:ascii="Times New Roman" w:hAnsi="Times New Roman" w:cs="Times New Roman"/>
    </w:rPr>
  </w:style>
  <w:style w:type="paragraph" w:styleId="1332" w:customStyle="1">
    <w:name w:val="Char Char Char Char Char Char1 Char Char Char Char Char Char1 Char Char Char Char Char Char Char"/>
    <w:basedOn w:val="877"/>
    <w:next w:val="1333"/>
    <w:qFormat/>
    <w:pPr>
      <w:ind w:left="0" w:firstLine="2560"/>
      <w:spacing w:before="0" w:after="0" w:line="240" w:lineRule="auto"/>
    </w:pPr>
    <w:rPr>
      <w:rFonts w:ascii="Times New Roman" w:hAnsi="Times New Roman" w:cs="Times New Roman"/>
    </w:rPr>
  </w:style>
  <w:style w:type="paragraph" w:styleId="1333" w:customStyle="1">
    <w:name w:val="xl87"/>
    <w:basedOn w:val="877"/>
    <w:next w:val="1289"/>
    <w:qFormat/>
    <w:pPr>
      <w:ind w:left="0" w:firstLine="5120"/>
      <w:spacing w:before="280" w:after="280" w:line="240" w:lineRule="auto"/>
    </w:pPr>
    <w:rPr>
      <w:rFonts w:ascii="Times New Roman" w:hAnsi="Times New Roman" w:cs="Times New Roman"/>
    </w:rPr>
  </w:style>
  <w:style w:type="paragraph" w:styleId="1334" w:customStyle="1">
    <w:name w:val="444"/>
    <w:basedOn w:val="877"/>
    <w:next w:val="898"/>
    <w:qFormat/>
    <w:pPr>
      <w:ind w:left="0" w:firstLine="4608"/>
      <w:jc w:val="center"/>
      <w:spacing w:before="0" w:after="0" w:line="312" w:lineRule="atLeast"/>
    </w:pPr>
    <w:rPr>
      <w:rFonts w:ascii="Times New Roman" w:hAnsi="Times New Roman" w:cs="Times New Roman"/>
    </w:rPr>
  </w:style>
  <w:style w:type="paragraph" w:styleId="1335" w:customStyle="1">
    <w:name w:val="表格文字图表文字"/>
    <w:basedOn w:val="877"/>
    <w:next w:val="1336"/>
    <w:qFormat/>
    <w:pPr>
      <w:ind w:left="0" w:firstLine="3584"/>
      <w:jc w:val="center"/>
      <w:spacing w:before="0" w:after="0" w:line="240" w:lineRule="auto"/>
    </w:pPr>
    <w:rPr>
      <w:rFonts w:ascii="Times New Roman" w:hAnsi="Times New Roman" w:cs="Times New Roman"/>
    </w:rPr>
  </w:style>
  <w:style w:type="paragraph" w:styleId="1336" w:customStyle="1">
    <w:name w:val="样式 目录 3 + 左侧:  2 字符1"/>
    <w:next w:val="1337"/>
    <w:qFormat/>
    <w:pPr>
      <w:ind w:left="960" w:firstLine="5120"/>
      <w:spacing w:line="360" w:lineRule="auto"/>
      <w:widowControl w:val="off"/>
    </w:pPr>
    <w:rPr>
      <w:rFonts w:ascii="Calibri" w:hAnsi="Calibri"/>
    </w:rPr>
  </w:style>
  <w:style w:type="paragraph" w:styleId="1337" w:customStyle="1">
    <w:name w:val="文档正文"/>
    <w:basedOn w:val="877"/>
    <w:next w:val="1338"/>
    <w:qFormat/>
    <w:pPr>
      <w:ind w:left="567" w:firstLine="3639"/>
      <w:spacing w:before="0" w:after="0" w:line="480" w:lineRule="atLeast"/>
    </w:pPr>
    <w:rPr>
      <w:rFonts w:ascii="Times New Roman" w:hAnsi="Times New Roman" w:cs="Times New Roman"/>
    </w:rPr>
  </w:style>
  <w:style w:type="paragraph" w:styleId="1338" w:customStyle="1">
    <w:name w:val="列表框2"/>
    <w:next w:val="1339"/>
    <w:qFormat/>
    <w:pPr>
      <w:ind w:firstLine="2048"/>
      <w:spacing w:line="460" w:lineRule="exact"/>
    </w:pPr>
    <w:rPr>
      <w:rFonts w:ascii="Calibri" w:hAnsi="Calibri"/>
    </w:rPr>
  </w:style>
  <w:style w:type="paragraph" w:styleId="1339" w:customStyle="1">
    <w:name w:val="font10"/>
    <w:basedOn w:val="877"/>
    <w:next w:val="909"/>
    <w:qFormat/>
    <w:pPr>
      <w:ind w:left="0" w:firstLine="3584"/>
      <w:spacing w:before="280" w:after="280" w:line="240" w:lineRule="auto"/>
    </w:pPr>
    <w:rPr>
      <w:rFonts w:ascii="Times New Roman" w:hAnsi="Times New Roman" w:cs="Times New Roman"/>
    </w:rPr>
  </w:style>
  <w:style w:type="paragraph" w:styleId="1340" w:customStyle="1">
    <w:name w:val="纯文本1"/>
    <w:basedOn w:val="877"/>
    <w:next w:val="921"/>
    <w:qFormat/>
    <w:pPr>
      <w:ind w:left="0" w:firstLine="3584"/>
      <w:spacing w:before="0" w:after="0" w:line="240" w:lineRule="auto"/>
    </w:pPr>
    <w:rPr>
      <w:rFonts w:ascii="Times New Roman" w:hAnsi="Times New Roman" w:cs="Times New Roman"/>
    </w:rPr>
  </w:style>
  <w:style w:type="paragraph" w:styleId="1341" w:customStyle="1">
    <w:name w:val="索引 91"/>
    <w:basedOn w:val="877"/>
    <w:next w:val="876"/>
    <w:qFormat/>
    <w:pPr>
      <w:ind w:left="1600" w:firstLine="2560"/>
      <w:jc w:val="center"/>
      <w:spacing w:before="0" w:after="0" w:line="360" w:lineRule="auto"/>
    </w:pPr>
    <w:rPr>
      <w:rFonts w:ascii="Times New Roman" w:hAnsi="Times New Roman" w:cs="Times New Roman"/>
    </w:rPr>
  </w:style>
  <w:style w:type="paragraph" w:styleId="1342" w:customStyle="1">
    <w:name w:val="xl79"/>
    <w:basedOn w:val="877"/>
    <w:next w:val="1318"/>
    <w:qFormat/>
    <w:pPr>
      <w:ind w:left="0" w:firstLine="3584"/>
      <w:jc w:val="center"/>
      <w:spacing w:before="280" w:after="280" w:line="240" w:lineRule="auto"/>
    </w:pPr>
    <w:rPr>
      <w:rFonts w:ascii="Times New Roman" w:hAnsi="Times New Roman" w:cs="Times New Roman"/>
    </w:rPr>
  </w:style>
  <w:style w:type="paragraph" w:styleId="1343" w:customStyle="1">
    <w:name w:val="表格文字（4号居中）"/>
    <w:next w:val="1344"/>
    <w:qFormat/>
    <w:pPr>
      <w:ind w:firstLine="2560"/>
      <w:jc w:val="center"/>
    </w:pPr>
    <w:rPr>
      <w:rFonts w:ascii="Calibri" w:hAnsi="Calibri"/>
    </w:rPr>
  </w:style>
  <w:style w:type="paragraph" w:styleId="1344" w:customStyle="1">
    <w:name w:val="!方块加粗"/>
    <w:basedOn w:val="877"/>
    <w:next w:val="1311"/>
    <w:qFormat/>
    <w:pPr>
      <w:ind w:left="600" w:firstLine="5212"/>
      <w:spacing w:before="0" w:after="0" w:line="360" w:lineRule="auto"/>
    </w:pPr>
    <w:rPr>
      <w:rFonts w:ascii="Times New Roman" w:hAnsi="Times New Roman" w:cs="Times New Roman"/>
    </w:rPr>
  </w:style>
  <w:style w:type="paragraph" w:styleId="1345" w:customStyle="1">
    <w:name w:val="xl75"/>
    <w:basedOn w:val="877"/>
    <w:next w:val="922"/>
    <w:qFormat/>
    <w:pPr>
      <w:ind w:left="0" w:firstLine="3584"/>
      <w:jc w:val="center"/>
      <w:spacing w:before="280" w:after="280" w:line="240" w:lineRule="auto"/>
    </w:pPr>
    <w:rPr>
      <w:rFonts w:ascii="Times New Roman" w:hAnsi="Times New Roman" w:cs="Times New Roman"/>
    </w:rPr>
  </w:style>
  <w:style w:type="paragraph" w:styleId="1346" w:customStyle="1">
    <w:name w:val="xl81"/>
    <w:basedOn w:val="877"/>
    <w:next w:val="1347"/>
    <w:qFormat/>
    <w:pPr>
      <w:ind w:left="0" w:firstLine="5120"/>
      <w:spacing w:before="280" w:after="280" w:line="240" w:lineRule="auto"/>
    </w:pPr>
    <w:rPr>
      <w:rFonts w:ascii="Times New Roman" w:hAnsi="Times New Roman" w:cs="Times New Roman"/>
    </w:rPr>
  </w:style>
  <w:style w:type="paragraph" w:styleId="1347" w:customStyle="1">
    <w:name w:val="xl25"/>
    <w:basedOn w:val="877"/>
    <w:next w:val="1348"/>
    <w:qFormat/>
    <w:pPr>
      <w:ind w:left="0" w:firstLine="14"/>
      <w:spacing w:before="280" w:after="280" w:line="240" w:lineRule="auto"/>
      <w:shd w:val="clear" w:color="000000" w:fill="ffffff"/>
    </w:pPr>
    <w:rPr>
      <w:rFonts w:ascii="Times New Roman" w:hAnsi="Times New Roman" w:cs="Times New Roman"/>
    </w:rPr>
  </w:style>
  <w:style w:type="paragraph" w:styleId="1348" w:customStyle="1">
    <w:name w:val="普通(网站)1"/>
    <w:basedOn w:val="877"/>
    <w:next w:val="1349"/>
    <w:qFormat/>
    <w:pPr>
      <w:ind w:left="200" w:firstLine="1224"/>
      <w:spacing w:before="280" w:after="280" w:line="240" w:lineRule="auto"/>
    </w:pPr>
    <w:rPr>
      <w:rFonts w:ascii="Times New Roman" w:hAnsi="Times New Roman" w:cs="Times New Roman"/>
    </w:rPr>
  </w:style>
  <w:style w:type="paragraph" w:styleId="1349" w:customStyle="1">
    <w:name w:val="xl27"/>
    <w:basedOn w:val="877"/>
    <w:next w:val="1335"/>
    <w:qFormat/>
    <w:pPr>
      <w:ind w:left="0" w:firstLine="20"/>
      <w:spacing w:before="280" w:after="280" w:line="240" w:lineRule="auto"/>
      <w:shd w:val="clear" w:color="000000" w:fill="ffffff"/>
    </w:pPr>
    <w:rPr>
      <w:rFonts w:ascii="Times New Roman" w:hAnsi="Times New Roman" w:cs="Times New Roman"/>
    </w:rPr>
  </w:style>
  <w:style w:type="paragraph" w:styleId="1350" w:customStyle="1">
    <w:name w:val="H 4"/>
    <w:basedOn w:val="881"/>
    <w:next w:val="1351"/>
    <w:qFormat/>
    <w:pPr>
      <w:ind w:left="426" w:firstLine="24"/>
      <w:spacing w:before="0" w:after="0" w:line="360" w:lineRule="auto"/>
      <w:outlineLvl w:val="3"/>
    </w:pPr>
  </w:style>
  <w:style w:type="paragraph" w:styleId="1351" w:customStyle="1">
    <w:name w:val="xl82"/>
    <w:basedOn w:val="877"/>
    <w:next w:val="1346"/>
    <w:qFormat/>
    <w:pPr>
      <w:ind w:left="0" w:firstLine="5120"/>
      <w:spacing w:before="280" w:after="280" w:line="240" w:lineRule="auto"/>
    </w:pPr>
    <w:rPr>
      <w:rFonts w:ascii="Times New Roman" w:hAnsi="Times New Roman" w:cs="Times New Roman"/>
    </w:rPr>
  </w:style>
  <w:style w:type="paragraph" w:styleId="1352" w:customStyle="1">
    <w:name w:val="Char Char Char Char Char Char Char Char"/>
    <w:next w:val="1353"/>
    <w:qFormat/>
    <w:pPr>
      <w:ind w:firstLine="14"/>
      <w:jc w:val="both"/>
      <w:shd w:val="clear" w:color="000000" w:fill="000080"/>
      <w:widowControl w:val="off"/>
    </w:pPr>
    <w:rPr>
      <w:rFonts w:ascii="Calibri" w:hAnsi="Calibri"/>
    </w:rPr>
  </w:style>
  <w:style w:type="paragraph" w:styleId="1353" w:customStyle="1">
    <w:name w:val="Char Char Char Char Char Char1 Char Char Char1 Char Char Char Char Char Char Char Char Char Char Char Char Char Char Char"/>
    <w:basedOn w:val="877"/>
    <w:next w:val="1354"/>
    <w:qFormat/>
    <w:pPr>
      <w:ind w:left="0" w:firstLine="2560"/>
      <w:spacing w:before="0" w:after="0" w:line="240" w:lineRule="auto"/>
    </w:pPr>
    <w:rPr>
      <w:rFonts w:ascii="Times New Roman" w:hAnsi="Times New Roman" w:cs="Times New Roman"/>
    </w:rPr>
  </w:style>
  <w:style w:type="paragraph" w:styleId="1354" w:customStyle="1">
    <w:name w:val="样式1"/>
    <w:basedOn w:val="877"/>
    <w:next w:val="1355"/>
    <w:qFormat/>
    <w:pPr>
      <w:ind w:left="0" w:firstLine="1536"/>
      <w:spacing w:before="120" w:after="120" w:line="300" w:lineRule="auto"/>
    </w:pPr>
    <w:rPr>
      <w:rFonts w:ascii="Times New Roman" w:hAnsi="Times New Roman" w:cs="Times New Roman"/>
    </w:rPr>
  </w:style>
  <w:style w:type="paragraph" w:styleId="1355" w:customStyle="1">
    <w:name w:val="索引 41"/>
    <w:basedOn w:val="877"/>
    <w:next w:val="876"/>
    <w:qFormat/>
    <w:pPr>
      <w:ind w:left="600" w:firstLine="2560"/>
      <w:jc w:val="center"/>
      <w:spacing w:before="0" w:after="0" w:line="360" w:lineRule="auto"/>
    </w:pPr>
    <w:rPr>
      <w:rFonts w:ascii="Times New Roman" w:hAnsi="Times New Roman" w:cs="Times New Roman"/>
    </w:rPr>
  </w:style>
  <w:style w:type="paragraph" w:styleId="1356" w:customStyle="1">
    <w:name w:val="自定义二"/>
    <w:basedOn w:val="877"/>
    <w:next w:val="876"/>
    <w:qFormat/>
    <w:pPr>
      <w:ind w:left="0" w:firstLine="14"/>
      <w:spacing w:before="0" w:after="0" w:line="360" w:lineRule="auto"/>
      <w:outlineLvl w:val="1"/>
    </w:pPr>
    <w:rPr>
      <w:rFonts w:ascii="Times New Roman" w:hAnsi="Times New Roman" w:cs="Times New Roman"/>
    </w:rPr>
  </w:style>
  <w:style w:type="paragraph" w:styleId="1357" w:customStyle="1">
    <w:name w:val="Bullet"/>
    <w:next w:val="1295"/>
    <w:qFormat/>
    <w:pPr>
      <w:ind w:left="567" w:right="2835" w:firstLine="3584"/>
      <w:spacing w:after="60"/>
    </w:pPr>
    <w:rPr>
      <w:rFonts w:ascii="Calibri" w:hAnsi="Calibri"/>
    </w:rPr>
  </w:style>
  <w:style w:type="paragraph" w:styleId="1358" w:customStyle="1">
    <w:name w:val="Char Char Char Char Char Char1"/>
    <w:basedOn w:val="877"/>
    <w:next w:val="1359"/>
    <w:qFormat/>
    <w:pPr>
      <w:ind w:left="0" w:firstLine="2560"/>
      <w:spacing w:before="0" w:after="0" w:line="240" w:lineRule="auto"/>
    </w:pPr>
    <w:rPr>
      <w:rFonts w:ascii="Times New Roman" w:hAnsi="Times New Roman" w:cs="Times New Roman"/>
    </w:rPr>
  </w:style>
  <w:style w:type="paragraph" w:styleId="1359" w:customStyle="1">
    <w:name w:val="正文缩进2"/>
    <w:basedOn w:val="877"/>
    <w:next w:val="1360"/>
    <w:qFormat/>
    <w:pPr>
      <w:ind w:left="420" w:firstLine="1188"/>
      <w:spacing w:before="0" w:after="0" w:line="240" w:lineRule="auto"/>
    </w:pPr>
    <w:rPr>
      <w:rFonts w:ascii="Times New Roman" w:hAnsi="Times New Roman" w:cs="Times New Roman"/>
    </w:rPr>
  </w:style>
  <w:style w:type="paragraph" w:styleId="1360" w:customStyle="1">
    <w:name w:val="列出段落2"/>
    <w:basedOn w:val="877"/>
    <w:next w:val="1361"/>
    <w:qFormat/>
    <w:pPr>
      <w:ind w:left="420" w:firstLine="3748"/>
      <w:spacing w:before="0" w:after="0" w:line="240" w:lineRule="auto"/>
    </w:pPr>
    <w:rPr>
      <w:rFonts w:ascii="Times New Roman" w:hAnsi="Times New Roman" w:cs="Times New Roman"/>
    </w:rPr>
  </w:style>
  <w:style w:type="paragraph" w:styleId="1361" w:customStyle="1">
    <w:name w:val="正文文本缩进 31"/>
    <w:basedOn w:val="877"/>
    <w:next w:val="1362"/>
    <w:qFormat/>
    <w:pPr>
      <w:ind w:left="1200" w:firstLine="1248"/>
      <w:spacing w:before="120" w:after="0" w:line="22" w:lineRule="atLeast"/>
    </w:pPr>
    <w:rPr>
      <w:rFonts w:ascii="Times New Roman" w:hAnsi="Times New Roman" w:cs="Times New Roman"/>
    </w:rPr>
  </w:style>
  <w:style w:type="paragraph" w:styleId="1362" w:customStyle="1">
    <w:name w:val="样式 正文首行缩进 + 首行缩进:  2 字符5"/>
    <w:next w:val="1363"/>
    <w:qFormat/>
    <w:pPr>
      <w:ind w:left="200" w:firstLine="3784"/>
      <w:spacing w:line="300" w:lineRule="auto"/>
    </w:pPr>
    <w:rPr>
      <w:rFonts w:ascii="Calibri" w:hAnsi="Calibri"/>
    </w:rPr>
  </w:style>
  <w:style w:type="paragraph" w:styleId="1363" w:customStyle="1">
    <w:name w:val="Char2"/>
    <w:basedOn w:val="877"/>
    <w:next w:val="1357"/>
    <w:qFormat/>
    <w:pPr>
      <w:ind w:left="0" w:firstLine="3584"/>
      <w:spacing w:before="0" w:after="160" w:line="240" w:lineRule="exact"/>
    </w:pPr>
    <w:rPr>
      <w:rFonts w:ascii="Times New Roman" w:hAnsi="Times New Roman" w:cs="Times New Roman"/>
    </w:rPr>
  </w:style>
  <w:style w:type="paragraph" w:styleId="1364" w:customStyle="1">
    <w:name w:val="WPSOffice手动目录 1"/>
    <w:qFormat/>
  </w:style>
  <w:style w:type="paragraph" w:styleId="1365" w:customStyle="1">
    <w:name w:val="纯文本4"/>
    <w:basedOn w:val="876"/>
    <w:qFormat/>
    <w:pPr>
      <w:ind w:left="0"/>
      <w:widowControl w:val="off"/>
    </w:pPr>
    <w:rPr>
      <w:rFonts w:ascii="宋体" w:hAnsi="Courier New" w:eastAsia="楷体_GB2312" w:cs="Times New Roman"/>
      <w:sz w:val="26"/>
    </w:rPr>
  </w:style>
  <w:style w:type="paragraph" w:styleId="1366" w:customStyle="1">
    <w:name w:val="Char Char Char Char Char Char Char Char Char Char Char Char Char Char Char Char"/>
    <w:basedOn w:val="877"/>
    <w:next w:val="1367"/>
    <w:qFormat/>
    <w:pPr>
      <w:ind w:left="682" w:firstLine="1224"/>
      <w:spacing w:before="0" w:after="0" w:line="360" w:lineRule="auto"/>
    </w:pPr>
    <w:rPr>
      <w:rFonts w:ascii="Times New Roman" w:hAnsi="Times New Roman" w:cs="Times New Roman"/>
    </w:rPr>
  </w:style>
  <w:style w:type="paragraph" w:styleId="1367" w:customStyle="1">
    <w:name w:val="列表编号 51"/>
    <w:basedOn w:val="877"/>
    <w:next w:val="1368"/>
    <w:qFormat/>
    <w:pPr>
      <w:ind w:left="900" w:firstLine="2652"/>
      <w:spacing w:before="0" w:after="0" w:line="360" w:lineRule="auto"/>
    </w:pPr>
    <w:rPr>
      <w:rFonts w:ascii="Times New Roman" w:hAnsi="Times New Roman" w:cs="Times New Roman"/>
    </w:rPr>
  </w:style>
  <w:style w:type="paragraph" w:styleId="1368" w:customStyle="1">
    <w:name w:val="样式 标题 1 + 黑体 (符号) 宋体 三号 段前: 7.8 磅 段后: 7.8 磅 行距: 1.5 倍行距"/>
    <w:basedOn w:val="878"/>
    <w:next w:val="1369"/>
    <w:qFormat/>
    <w:pPr>
      <w:ind w:left="432" w:firstLine="18"/>
      <w:spacing w:before="40" w:after="40" w:line="360" w:lineRule="auto"/>
      <w:outlineLvl w:val="0"/>
    </w:pPr>
  </w:style>
  <w:style w:type="paragraph" w:styleId="1369" w:customStyle="1">
    <w:name w:val="表格用"/>
    <w:basedOn w:val="877"/>
    <w:next w:val="1326"/>
    <w:qFormat/>
    <w:pPr>
      <w:ind w:left="0" w:firstLine="1024"/>
      <w:spacing w:before="0" w:after="0" w:line="360" w:lineRule="auto"/>
    </w:pPr>
    <w:rPr>
      <w:rFonts w:ascii="Times New Roman" w:hAnsi="Times New Roman" w:cs="Times New Roman"/>
    </w:rPr>
  </w:style>
  <w:style w:type="paragraph" w:styleId="1370" w:customStyle="1">
    <w:name w:val="xl71"/>
    <w:basedOn w:val="877"/>
    <w:next w:val="1371"/>
    <w:qFormat/>
    <w:pPr>
      <w:ind w:left="0" w:firstLine="1536"/>
      <w:spacing w:before="280" w:after="280" w:line="240" w:lineRule="auto"/>
    </w:pPr>
    <w:rPr>
      <w:rFonts w:ascii="Times New Roman" w:hAnsi="Times New Roman" w:cs="Times New Roman"/>
    </w:rPr>
  </w:style>
  <w:style w:type="paragraph" w:styleId="1371" w:customStyle="1">
    <w:name w:val="正文文本 31"/>
    <w:basedOn w:val="877"/>
    <w:next w:val="1372"/>
    <w:qFormat/>
    <w:pPr>
      <w:ind w:left="0" w:firstLine="3584"/>
      <w:jc w:val="center"/>
      <w:spacing w:before="0" w:after="120" w:line="360" w:lineRule="auto"/>
    </w:pPr>
    <w:rPr>
      <w:rFonts w:ascii="Times New Roman" w:hAnsi="Times New Roman" w:cs="Times New Roman"/>
    </w:rPr>
  </w:style>
  <w:style w:type="paragraph" w:styleId="1372" w:customStyle="1">
    <w:name w:val="列出段落111"/>
    <w:basedOn w:val="877"/>
    <w:next w:val="1308"/>
    <w:qFormat/>
    <w:pPr>
      <w:ind w:left="420" w:firstLine="3748"/>
      <w:spacing w:before="0" w:after="0" w:line="240" w:lineRule="auto"/>
    </w:pPr>
    <w:rPr>
      <w:rFonts w:ascii="Times New Roman" w:hAnsi="Times New Roman" w:cs="Times New Roman"/>
    </w:rPr>
  </w:style>
  <w:style w:type="paragraph" w:styleId="1373" w:customStyle="1">
    <w:name w:val="修订1"/>
    <w:qFormat/>
    <w:rPr>
      <w:rFonts w:ascii="Calibri" w:hAnsi="Calibri"/>
    </w:rPr>
  </w:style>
  <w:style w:type="paragraph" w:styleId="1374" w:customStyle="1">
    <w:name w:val="正文文本缩进 21"/>
    <w:basedOn w:val="877"/>
    <w:next w:val="1314"/>
    <w:qFormat/>
    <w:pPr>
      <w:ind w:left="480" w:firstLine="4832"/>
      <w:spacing w:before="0" w:after="0" w:line="240" w:lineRule="auto"/>
    </w:pPr>
    <w:rPr>
      <w:rFonts w:ascii="Times New Roman" w:hAnsi="Times New Roman" w:cs="Times New Roman"/>
    </w:rPr>
  </w:style>
  <w:style w:type="paragraph" w:styleId="1375" w:customStyle="1">
    <w:name w:val="Char Char4 Char Char"/>
    <w:basedOn w:val="877"/>
    <w:next w:val="1324"/>
    <w:qFormat/>
    <w:pPr>
      <w:ind w:left="0" w:firstLine="2560"/>
      <w:spacing w:before="0" w:after="0" w:line="240" w:lineRule="auto"/>
    </w:pPr>
    <w:rPr>
      <w:rFonts w:ascii="Times New Roman" w:hAnsi="Times New Roman" w:cs="Times New Roman"/>
    </w:rPr>
  </w:style>
  <w:style w:type="paragraph" w:styleId="1376" w:customStyle="1">
    <w:name w:val="样式"/>
    <w:next w:val="876"/>
    <w:qFormat/>
    <w:pPr>
      <w:ind w:firstLine="3584"/>
      <w:widowControl w:val="off"/>
    </w:pPr>
    <w:rPr>
      <w:rFonts w:ascii="Calibri" w:hAnsi="Calibri"/>
    </w:rPr>
  </w:style>
  <w:style w:type="paragraph" w:styleId="1377" w:customStyle="1">
    <w:name w:val="TOC 标题11"/>
    <w:basedOn w:val="878"/>
    <w:next w:val="876"/>
    <w:qFormat/>
    <w:pPr>
      <w:ind w:left="0" w:firstLine="6144"/>
      <w:spacing w:before="480" w:after="0" w:line="276" w:lineRule="auto"/>
    </w:pPr>
    <w:rPr>
      <w:b/>
      <w:sz w:val="30"/>
    </w:rPr>
  </w:style>
  <w:style w:type="paragraph" w:styleId="1378" w:customStyle="1">
    <w:name w:val="纯文本3"/>
    <w:basedOn w:val="876"/>
    <w:qFormat/>
    <w:rPr>
      <w:rFonts w:ascii="宋体" w:hAnsi="Courier New" w:cs="Times New Roman"/>
    </w:rPr>
  </w:style>
  <w:style w:type="paragraph" w:styleId="1379" w:customStyle="1">
    <w:name w:val="afont"/>
    <w:basedOn w:val="877"/>
    <w:next w:val="902"/>
    <w:qFormat/>
    <w:pPr>
      <w:ind w:left="0" w:firstLine="2048"/>
      <w:spacing w:before="100" w:after="100" w:line="285" w:lineRule="atLeast"/>
    </w:pPr>
    <w:rPr>
      <w:rFonts w:ascii="Times New Roman" w:hAnsi="Times New Roman" w:cs="Times New Roman"/>
    </w:rPr>
  </w:style>
  <w:style w:type="paragraph" w:styleId="1380" w:customStyle="1">
    <w:name w:val="xl85"/>
    <w:basedOn w:val="877"/>
    <w:next w:val="1381"/>
    <w:qFormat/>
    <w:pPr>
      <w:ind w:left="0" w:firstLine="2048"/>
      <w:jc w:val="center"/>
      <w:spacing w:before="280" w:after="280" w:line="240" w:lineRule="auto"/>
    </w:pPr>
    <w:rPr>
      <w:rFonts w:ascii="Times New Roman" w:hAnsi="Times New Roman" w:cs="Times New Roman"/>
    </w:rPr>
  </w:style>
  <w:style w:type="paragraph" w:styleId="1381" w:customStyle="1">
    <w:name w:val="文章总标题"/>
    <w:basedOn w:val="877"/>
    <w:next w:val="1382"/>
    <w:qFormat/>
    <w:pPr>
      <w:ind w:left="0" w:firstLine="7168"/>
      <w:jc w:val="center"/>
      <w:spacing w:before="566" w:after="544" w:line="566" w:lineRule="atLeast"/>
    </w:pPr>
    <w:rPr>
      <w:rFonts w:ascii="Times New Roman" w:hAnsi="Times New Roman" w:cs="Times New Roman"/>
    </w:rPr>
  </w:style>
  <w:style w:type="paragraph" w:styleId="1382" w:customStyle="1">
    <w:name w:val="样式 首行缩进:  2 字符"/>
    <w:basedOn w:val="877"/>
    <w:next w:val="1345"/>
    <w:qFormat/>
    <w:pPr>
      <w:ind w:left="200" w:firstLine="1224"/>
      <w:spacing w:before="0" w:after="0" w:line="400" w:lineRule="exact"/>
    </w:pPr>
    <w:rPr>
      <w:rFonts w:ascii="Times New Roman" w:hAnsi="Times New Roman" w:cs="Times New Roman"/>
    </w:rPr>
  </w:style>
  <w:style w:type="paragraph" w:styleId="1383" w:customStyle="1">
    <w:name w:val="二级条标题"/>
    <w:basedOn w:val="877"/>
    <w:next w:val="876"/>
    <w:qFormat/>
    <w:pPr>
      <w:ind w:left="0" w:firstLine="8"/>
      <w:spacing w:before="0" w:after="0" w:line="240" w:lineRule="auto"/>
      <w:outlineLvl w:val="3"/>
    </w:pPr>
    <w:rPr>
      <w:rFonts w:ascii="Times New Roman" w:hAnsi="Times New Roman" w:cs="Times New Roman"/>
    </w:rPr>
  </w:style>
  <w:style w:type="paragraph" w:styleId="1384" w:customStyle="1">
    <w:name w:val="Plain Text*"/>
    <w:basedOn w:val="876"/>
    <w:qFormat/>
    <w:pPr>
      <w:ind w:left="0"/>
      <w:jc w:val="left"/>
    </w:pPr>
    <w:rPr>
      <w:rFonts w:ascii="宋体" w:hAnsi="宋体" w:eastAsia="楷体_GB2312" w:cs="Courier New"/>
      <w:sz w:val="26"/>
      <w:lang w:val="zh-CN"/>
    </w:rPr>
  </w:style>
  <w:style w:type="paragraph" w:styleId="1385" w:customStyle="1">
    <w:name w:val="样式 加粗 居中2"/>
    <w:basedOn w:val="877"/>
    <w:next w:val="1238"/>
    <w:qFormat/>
    <w:pPr>
      <w:ind w:left="0" w:firstLine="2560"/>
      <w:jc w:val="center"/>
      <w:spacing w:before="0" w:after="0" w:line="360" w:lineRule="auto"/>
    </w:pPr>
    <w:rPr>
      <w:rFonts w:ascii="Times New Roman" w:hAnsi="Times New Roman" w:cs="Times New Roman"/>
    </w:rPr>
  </w:style>
  <w:style w:type="paragraph" w:styleId="1386" w:customStyle="1">
    <w:name w:val="标准文本"/>
    <w:basedOn w:val="877"/>
    <w:next w:val="1340"/>
    <w:qFormat/>
    <w:pPr>
      <w:ind w:left="480" w:firstLine="2784"/>
      <w:spacing w:before="0" w:after="0" w:line="360" w:lineRule="auto"/>
    </w:pPr>
    <w:rPr>
      <w:rFonts w:ascii="Times New Roman" w:hAnsi="Times New Roman" w:cs="Times New Roman"/>
    </w:rPr>
  </w:style>
  <w:style w:type="paragraph" w:styleId="1387" w:customStyle="1">
    <w:name w:val="font5"/>
    <w:basedOn w:val="877"/>
    <w:next w:val="1388"/>
    <w:qFormat/>
    <w:pPr>
      <w:ind w:left="0" w:firstLine="5120"/>
      <w:spacing w:before="280" w:after="280" w:line="240" w:lineRule="auto"/>
    </w:pPr>
    <w:rPr>
      <w:rFonts w:ascii="Times New Roman" w:hAnsi="Times New Roman" w:cs="Times New Roman"/>
    </w:rPr>
  </w:style>
  <w:style w:type="paragraph" w:styleId="1388" w:customStyle="1">
    <w:name w:val="索引标题1"/>
    <w:basedOn w:val="877"/>
    <w:next w:val="1268"/>
    <w:qFormat/>
    <w:pPr>
      <w:ind w:left="0" w:firstLine="4608"/>
      <w:jc w:val="center"/>
      <w:spacing w:before="0" w:after="0" w:line="360" w:lineRule="auto"/>
    </w:pPr>
    <w:rPr>
      <w:rFonts w:ascii="Times New Roman" w:hAnsi="Times New Roman" w:cs="Times New Roman"/>
    </w:rPr>
  </w:style>
  <w:style w:type="paragraph" w:styleId="1389" w:customStyle="1">
    <w:name w:val="Char Char Char Char Char Char1 Char Char Char1 Char Char Char Char Char Char Char Char Char Char Char Char Char Char Char Char"/>
    <w:basedOn w:val="877"/>
    <w:next w:val="1390"/>
    <w:qFormat/>
    <w:pPr>
      <w:ind w:left="0" w:firstLine="2560"/>
      <w:spacing w:before="0" w:after="0" w:line="240" w:lineRule="auto"/>
    </w:pPr>
    <w:rPr>
      <w:rFonts w:ascii="Times New Roman" w:hAnsi="Times New Roman" w:cs="Times New Roman"/>
    </w:rPr>
  </w:style>
  <w:style w:type="paragraph" w:styleId="1390" w:customStyle="1">
    <w:name w:val="1正文"/>
    <w:basedOn w:val="877"/>
    <w:next w:val="1391"/>
    <w:qFormat/>
    <w:pPr>
      <w:ind w:left="480" w:firstLine="2784"/>
      <w:spacing w:before="0" w:after="0" w:line="300" w:lineRule="auto"/>
    </w:pPr>
    <w:rPr>
      <w:rFonts w:ascii="Times New Roman" w:hAnsi="Times New Roman" w:cs="Times New Roman"/>
    </w:rPr>
  </w:style>
  <w:style w:type="paragraph" w:styleId="1391" w:customStyle="1">
    <w:name w:val="目录2"/>
    <w:basedOn w:val="877"/>
    <w:next w:val="876"/>
    <w:qFormat/>
    <w:pPr>
      <w:ind w:left="209" w:firstLine="5329"/>
      <w:spacing w:before="0" w:after="0" w:line="317" w:lineRule="atLeast"/>
    </w:pPr>
    <w:rPr>
      <w:rFonts w:ascii="Times New Roman" w:hAnsi="Times New Roman" w:cs="Times New Roman"/>
    </w:rPr>
  </w:style>
  <w:style w:type="paragraph" w:styleId="1392" w:customStyle="1">
    <w:name w:val="图表目录1"/>
    <w:basedOn w:val="877"/>
    <w:next w:val="876"/>
    <w:qFormat/>
    <w:pPr>
      <w:ind w:left="200" w:firstLine="2616"/>
      <w:jc w:val="center"/>
      <w:spacing w:before="0" w:after="0" w:line="360" w:lineRule="auto"/>
    </w:pPr>
    <w:rPr>
      <w:rFonts w:ascii="Times New Roman" w:hAnsi="Times New Roman" w:cs="Times New Roman"/>
    </w:rPr>
  </w:style>
  <w:style w:type="paragraph" w:styleId="1393" w:customStyle="1">
    <w:name w:val="xl63"/>
    <w:basedOn w:val="877"/>
    <w:next w:val="1343"/>
    <w:qFormat/>
    <w:pPr>
      <w:ind w:left="0" w:firstLine="5120"/>
      <w:spacing w:before="280" w:after="280" w:line="240" w:lineRule="auto"/>
    </w:pPr>
    <w:rPr>
      <w:rFonts w:ascii="Times New Roman" w:hAnsi="Times New Roman" w:cs="Times New Roman"/>
    </w:rPr>
  </w:style>
  <w:style w:type="paragraph" w:styleId="1394">
    <w:name w:val="List Paragraph"/>
    <w:basedOn w:val="876"/>
    <w:next w:val="1301"/>
    <w:qFormat/>
    <w:pPr>
      <w:ind w:left="420" w:firstLine="3748"/>
    </w:pPr>
    <w:rPr>
      <w:rFonts w:ascii="Times New Roman" w:hAnsi="Times New Roman" w:cs="Times New Roman"/>
    </w:rPr>
  </w:style>
  <w:style w:type="paragraph" w:styleId="1395" w:customStyle="1">
    <w:name w:val="xl73"/>
    <w:basedOn w:val="877"/>
    <w:next w:val="1396"/>
    <w:qFormat/>
    <w:pPr>
      <w:ind w:left="0" w:firstLine="3584"/>
      <w:spacing w:before="280" w:after="280" w:line="240" w:lineRule="auto"/>
    </w:pPr>
    <w:rPr>
      <w:rFonts w:ascii="Times New Roman" w:hAnsi="Times New Roman" w:cs="Times New Roman"/>
    </w:rPr>
  </w:style>
  <w:style w:type="paragraph" w:styleId="1396" w:customStyle="1">
    <w:name w:val="xl80"/>
    <w:basedOn w:val="877"/>
    <w:next w:val="1397"/>
    <w:qFormat/>
    <w:pPr>
      <w:ind w:left="0" w:firstLine="3584"/>
      <w:jc w:val="center"/>
      <w:spacing w:before="280" w:after="280" w:line="240" w:lineRule="auto"/>
    </w:pPr>
    <w:rPr>
      <w:rFonts w:ascii="Times New Roman" w:hAnsi="Times New Roman" w:cs="Times New Roman"/>
    </w:rPr>
  </w:style>
  <w:style w:type="paragraph" w:styleId="1397" w:customStyle="1">
    <w:name w:val="样式2"/>
    <w:basedOn w:val="882"/>
    <w:next w:val="1398"/>
    <w:qFormat/>
    <w:pPr>
      <w:ind w:left="1134" w:firstLine="18"/>
      <w:spacing w:before="0" w:after="0" w:line="360" w:lineRule="auto"/>
      <w:outlineLvl w:val="4"/>
    </w:pPr>
  </w:style>
  <w:style w:type="paragraph" w:styleId="1398" w:customStyle="1">
    <w:name w:val="日期1"/>
    <w:basedOn w:val="877"/>
    <w:next w:val="876"/>
    <w:qFormat/>
    <w:pPr>
      <w:ind w:left="100" w:firstLine="6144"/>
      <w:spacing w:before="0" w:after="0" w:line="240" w:lineRule="auto"/>
    </w:pPr>
    <w:rPr>
      <w:rFonts w:ascii="Times New Roman" w:hAnsi="Times New Roman" w:cs="Times New Roman"/>
    </w:rPr>
  </w:style>
  <w:style w:type="paragraph" w:styleId="1399" w:customStyle="1">
    <w:name w:val="图1"/>
    <w:basedOn w:val="877"/>
    <w:next w:val="876"/>
    <w:qFormat/>
    <w:pPr>
      <w:ind w:left="1105" w:firstLine="2580"/>
      <w:jc w:val="center"/>
      <w:spacing w:before="0" w:after="0" w:line="360" w:lineRule="auto"/>
    </w:pPr>
    <w:rPr>
      <w:rFonts w:ascii="Times New Roman" w:hAnsi="Times New Roman" w:cs="Times New Roman"/>
    </w:rPr>
  </w:style>
  <w:style w:type="paragraph" w:styleId="1400" w:customStyle="1">
    <w:name w:val="Char Char Char Char Char Char1 Char Char Char1 Char Char Char Char Char Char Char Char Char Char Char Char"/>
    <w:basedOn w:val="877"/>
    <w:next w:val="1380"/>
    <w:qFormat/>
    <w:pPr>
      <w:ind w:left="0" w:firstLine="2560"/>
      <w:spacing w:before="0" w:after="0" w:line="240" w:lineRule="auto"/>
    </w:pPr>
    <w:rPr>
      <w:rFonts w:ascii="Times New Roman" w:hAnsi="Times New Roman" w:cs="Times New Roman"/>
    </w:rPr>
  </w:style>
  <w:style w:type="paragraph" w:styleId="1401" w:customStyle="1">
    <w:name w:val="Char Char Char Char Char Char Char"/>
    <w:basedOn w:val="877"/>
    <w:next w:val="1286"/>
    <w:qFormat/>
    <w:pPr>
      <w:ind w:left="200" w:firstLine="4808"/>
      <w:spacing w:before="0" w:after="0" w:line="360" w:lineRule="auto"/>
    </w:pPr>
    <w:rPr>
      <w:rFonts w:ascii="Times New Roman" w:hAnsi="Times New Roman" w:cs="Times New Roman"/>
    </w:rPr>
  </w:style>
  <w:style w:type="paragraph" w:styleId="1402" w:customStyle="1">
    <w:name w:val="Char Char Char Char Char Char Char Char Char Char Char Char Char Char Char"/>
    <w:basedOn w:val="877"/>
    <w:next w:val="1377"/>
    <w:qFormat/>
    <w:pPr>
      <w:ind w:left="0" w:firstLine="3584"/>
      <w:jc w:val="center"/>
      <w:spacing w:before="0" w:after="0" w:line="400" w:lineRule="exact"/>
    </w:pPr>
    <w:rPr>
      <w:rFonts w:ascii="Times New Roman" w:hAnsi="Times New Roman" w:cs="Times New Roman"/>
    </w:rPr>
  </w:style>
  <w:style w:type="paragraph" w:styleId="1403" w:customStyle="1">
    <w:name w:val="索引 51"/>
    <w:basedOn w:val="877"/>
    <w:next w:val="876"/>
    <w:qFormat/>
    <w:pPr>
      <w:ind w:left="800" w:firstLine="2560"/>
      <w:jc w:val="center"/>
      <w:spacing w:before="0" w:after="0" w:line="360" w:lineRule="auto"/>
    </w:pPr>
    <w:rPr>
      <w:rFonts w:ascii="Times New Roman" w:hAnsi="Times New Roman" w:cs="Times New Roman"/>
    </w:rPr>
  </w:style>
  <w:style w:type="paragraph" w:styleId="1404" w:customStyle="1">
    <w:name w:val="图表"/>
    <w:basedOn w:val="877"/>
    <w:next w:val="1405"/>
    <w:qFormat/>
    <w:pPr>
      <w:ind w:left="0" w:firstLine="2048"/>
      <w:jc w:val="center"/>
      <w:spacing w:before="0" w:after="0" w:line="240" w:lineRule="auto"/>
    </w:pPr>
    <w:rPr>
      <w:rFonts w:ascii="Times New Roman" w:hAnsi="Times New Roman" w:cs="Times New Roman"/>
    </w:rPr>
  </w:style>
  <w:style w:type="paragraph" w:styleId="1405" w:customStyle="1">
    <w:name w:val="reader-word-layer"/>
    <w:basedOn w:val="877"/>
    <w:next w:val="1406"/>
    <w:qFormat/>
    <w:pPr>
      <w:ind w:left="0" w:firstLine="1024"/>
      <w:spacing w:before="280" w:after="280" w:line="240" w:lineRule="auto"/>
    </w:pPr>
    <w:rPr>
      <w:rFonts w:ascii="Times New Roman" w:hAnsi="Times New Roman" w:cs="Times New Roman"/>
    </w:rPr>
  </w:style>
  <w:style w:type="paragraph" w:styleId="1406" w:customStyle="1">
    <w:name w:val="样式 加粗 居中1"/>
    <w:next w:val="1247"/>
    <w:qFormat/>
    <w:pPr>
      <w:ind w:firstLine="2560"/>
      <w:jc w:val="center"/>
    </w:pPr>
    <w:rPr>
      <w:rFonts w:ascii="Calibri" w:hAnsi="Calibri"/>
    </w:rPr>
  </w:style>
  <w:style w:type="paragraph" w:styleId="1407" w:customStyle="1">
    <w:name w:val="修订2"/>
    <w:qFormat/>
    <w:rPr>
      <w:rFonts w:ascii="Calibri" w:hAnsi="Calibri"/>
    </w:rPr>
  </w:style>
  <w:style w:type="paragraph" w:styleId="1408" w:customStyle="1">
    <w:name w:val="Body"/>
    <w:next w:val="1341"/>
    <w:qFormat/>
    <w:pPr>
      <w:ind w:left="567" w:right="2835" w:firstLine="3584"/>
      <w:spacing w:after="60"/>
    </w:pPr>
    <w:rPr>
      <w:rFonts w:ascii="Calibri" w:hAnsi="Calibri"/>
    </w:rPr>
  </w:style>
  <w:style w:type="paragraph" w:styleId="1409" w:customStyle="1">
    <w:name w:val="font6"/>
    <w:basedOn w:val="877"/>
    <w:next w:val="1410"/>
    <w:qFormat/>
    <w:pPr>
      <w:ind w:left="0" w:firstLine="5120"/>
      <w:spacing w:before="280" w:after="280" w:line="240" w:lineRule="auto"/>
    </w:pPr>
    <w:rPr>
      <w:rFonts w:ascii="Times New Roman" w:hAnsi="Times New Roman" w:cs="Times New Roman"/>
    </w:rPr>
  </w:style>
  <w:style w:type="paragraph" w:styleId="1410" w:customStyle="1">
    <w:name w:val="正文首行缩进 21"/>
    <w:basedOn w:val="889"/>
    <w:next w:val="1408"/>
    <w:qFormat/>
    <w:pPr>
      <w:ind w:left="200" w:firstLine="3784"/>
      <w:jc w:val="center"/>
      <w:spacing w:after="120" w:line="360" w:lineRule="auto"/>
    </w:pPr>
    <w:rPr>
      <w:rFonts w:ascii="Calibri" w:hAnsi="Calibri"/>
    </w:rPr>
  </w:style>
  <w:style w:type="paragraph" w:styleId="1411" w:customStyle="1">
    <w:name w:val="Char Char"/>
    <w:next w:val="1404"/>
    <w:qFormat/>
    <w:pPr>
      <w:ind w:firstLine="14"/>
      <w:spacing w:line="360" w:lineRule="auto"/>
      <w:shd w:val="clear" w:color="000000" w:fill="000080"/>
    </w:pPr>
    <w:rPr>
      <w:rFonts w:ascii="Calibri" w:hAnsi="Calibri"/>
    </w:rPr>
  </w:style>
  <w:style w:type="paragraph" w:styleId="1412" w:customStyle="1">
    <w:name w:val="正文_0_0"/>
    <w:next w:val="1246"/>
    <w:qFormat/>
    <w:pPr>
      <w:ind w:firstLine="3584"/>
      <w:jc w:val="both"/>
      <w:widowControl w:val="off"/>
    </w:pPr>
    <w:rPr>
      <w:rFonts w:ascii="Calibri" w:hAnsi="Calibri"/>
    </w:rPr>
  </w:style>
  <w:style w:type="paragraph" w:styleId="1413" w:customStyle="1">
    <w:name w:val="font7"/>
    <w:basedOn w:val="877"/>
    <w:next w:val="1414"/>
    <w:qFormat/>
    <w:pPr>
      <w:ind w:left="0" w:firstLine="3584"/>
      <w:spacing w:before="280" w:after="280" w:line="240" w:lineRule="auto"/>
    </w:pPr>
    <w:rPr>
      <w:rFonts w:ascii="Times New Roman" w:hAnsi="Times New Roman" w:cs="Times New Roman"/>
    </w:rPr>
  </w:style>
  <w:style w:type="paragraph" w:styleId="1414" w:customStyle="1">
    <w:name w:val="Char Char Char Char Char Char1 Char Char Char Char Char Char1 Char Char Char1"/>
    <w:basedOn w:val="877"/>
    <w:next w:val="1415"/>
    <w:qFormat/>
    <w:pPr>
      <w:ind w:left="0" w:firstLine="2560"/>
      <w:spacing w:before="0" w:after="0" w:line="240" w:lineRule="auto"/>
    </w:pPr>
    <w:rPr>
      <w:rFonts w:ascii="Times New Roman" w:hAnsi="Times New Roman" w:cs="Times New Roman"/>
    </w:rPr>
  </w:style>
  <w:style w:type="paragraph" w:styleId="1415" w:customStyle="1">
    <w:name w:val="xl64"/>
    <w:basedOn w:val="877"/>
    <w:next w:val="1383"/>
    <w:qFormat/>
    <w:pPr>
      <w:ind w:left="0" w:firstLine="3584"/>
      <w:spacing w:before="280" w:after="280" w:line="240" w:lineRule="auto"/>
    </w:pPr>
    <w:rPr>
      <w:rFonts w:ascii="Times New Roman" w:hAnsi="Times New Roman" w:cs="Times New Roman"/>
    </w:rPr>
  </w:style>
  <w:style w:type="paragraph" w:styleId="1416" w:customStyle="1">
    <w:name w:val="style16"/>
    <w:basedOn w:val="877"/>
    <w:next w:val="1409"/>
    <w:qFormat/>
    <w:pPr>
      <w:ind w:left="0" w:firstLine="2048"/>
      <w:spacing w:before="280" w:after="280" w:line="240" w:lineRule="auto"/>
    </w:pPr>
    <w:rPr>
      <w:rFonts w:ascii="Times New Roman" w:hAnsi="Times New Roman" w:cs="Times New Roman"/>
    </w:rPr>
  </w:style>
  <w:style w:type="paragraph" w:styleId="1417" w:customStyle="1">
    <w:name w:val="索引 11"/>
    <w:basedOn w:val="877"/>
    <w:next w:val="876"/>
    <w:qFormat/>
    <w:pPr>
      <w:ind w:left="0" w:firstLine="3584"/>
      <w:spacing w:before="0" w:after="0" w:line="240" w:lineRule="auto"/>
    </w:pPr>
    <w:rPr>
      <w:rFonts w:ascii="Times New Roman" w:hAnsi="Times New Roman" w:cs="Times New Roman"/>
    </w:rPr>
  </w:style>
  <w:style w:type="paragraph" w:styleId="1418" w:customStyle="1">
    <w:name w:val="H 3"/>
    <w:basedOn w:val="880"/>
    <w:next w:val="1419"/>
    <w:qFormat/>
    <w:pPr>
      <w:ind w:left="1429" w:firstLine="18"/>
      <w:spacing w:before="0" w:after="0" w:line="360" w:lineRule="auto"/>
      <w:outlineLvl w:val="2"/>
    </w:pPr>
  </w:style>
  <w:style w:type="paragraph" w:styleId="1419" w:customStyle="1">
    <w:name w:val="xl83"/>
    <w:basedOn w:val="877"/>
    <w:next w:val="1401"/>
    <w:qFormat/>
    <w:pPr>
      <w:ind w:left="0" w:firstLine="5120"/>
      <w:spacing w:before="280" w:after="280" w:line="240" w:lineRule="auto"/>
    </w:pPr>
    <w:rPr>
      <w:rFonts w:ascii="Times New Roman" w:hAnsi="Times New Roman" w:cs="Times New Roman"/>
    </w:rPr>
  </w:style>
  <w:style w:type="paragraph" w:styleId="1420" w:customStyle="1">
    <w:name w:val="表格文字（居中）"/>
    <w:basedOn w:val="877"/>
    <w:next w:val="1416"/>
    <w:qFormat/>
    <w:pPr>
      <w:ind w:left="0" w:firstLine="2560"/>
      <w:jc w:val="center"/>
      <w:spacing w:before="0" w:after="0" w:line="360" w:lineRule="auto"/>
    </w:pPr>
    <w:rPr>
      <w:rFonts w:ascii="Times New Roman" w:hAnsi="Times New Roman" w:cs="Times New Roman"/>
    </w:rPr>
  </w:style>
  <w:style w:type="paragraph" w:styleId="1421" w:customStyle="1">
    <w:name w:val="正文首行缩进两字符"/>
    <w:basedOn w:val="877"/>
    <w:next w:val="1403"/>
    <w:qFormat/>
    <w:pPr>
      <w:ind w:left="200" w:firstLine="3784"/>
      <w:spacing w:before="0" w:after="0" w:line="360" w:lineRule="auto"/>
    </w:pPr>
    <w:rPr>
      <w:rFonts w:ascii="Times New Roman" w:hAnsi="Times New Roman" w:cs="Times New Roman"/>
    </w:rPr>
  </w:style>
  <w:style w:type="paragraph" w:styleId="1422" w:customStyle="1">
    <w:name w:val="1"/>
    <w:basedOn w:val="877"/>
    <w:next w:val="910"/>
    <w:qFormat/>
    <w:pPr>
      <w:ind w:left="0" w:firstLine="2048"/>
      <w:spacing w:before="0" w:after="0" w:line="240" w:lineRule="auto"/>
    </w:pPr>
    <w:rPr>
      <w:rFonts w:ascii="Times New Roman" w:hAnsi="Times New Roman" w:cs="Times New Roman"/>
    </w:rPr>
  </w:style>
  <w:style w:type="paragraph" w:styleId="1423" w:customStyle="1">
    <w:name w:val="_Style 398"/>
    <w:basedOn w:val="877"/>
    <w:next w:val="87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24" w:customStyle="1">
    <w:name w:val="Table Paragraph"/>
    <w:basedOn w:val="876"/>
    <w:uiPriority w:val="1"/>
    <w:qFormat/>
    <w:rPr>
      <w:rFonts w:ascii="宋体" w:hAnsi="宋体"/>
      <w:lang w:val="zh-CN" w:bidi="zh-CN"/>
    </w:rPr>
  </w:style>
  <w:style w:type="paragraph" w:styleId="1425" w:customStyle="1">
    <w:name w:val="_Style 400"/>
    <w:qFormat/>
    <w:rPr>
      <w:rFonts w:ascii="Calibri" w:hAnsi="Calibri"/>
    </w:rPr>
  </w:style>
  <w:style w:type="paragraph" w:styleId="1426" w:customStyle="1">
    <w:name w:val="Style1"/>
    <w:basedOn w:val="876"/>
    <w:qFormat/>
    <w:pPr>
      <w:ind w:left="0"/>
      <w:tabs>
        <w:tab w:val="left" w:pos="-720" w:leader="none"/>
      </w:tabs>
    </w:pPr>
    <w:rPr>
      <w:rFonts w:ascii="Times New Roman" w:hAnsi="Times New Roman" w:cs="Times New Roman"/>
      <w:spacing w:val="-3"/>
      <w:sz w:val="24"/>
      <w:szCs w:val="24"/>
      <w:lang w:val="en-AU" w:eastAsia="en-US"/>
    </w:rPr>
  </w:style>
  <w:style w:type="paragraph" w:styleId="1427" w:customStyle="1">
    <w:name w:val="msolistparagraph"/>
    <w:basedOn w:val="877"/>
    <w:next w:val="1293"/>
    <w:qFormat/>
    <w:pPr>
      <w:ind w:left="420" w:firstLine="3748"/>
      <w:spacing w:before="0" w:after="0" w:line="240" w:lineRule="auto"/>
    </w:pPr>
    <w:rPr>
      <w:rFonts w:ascii="Times New Roman" w:hAnsi="Times New Roman" w:cs="Times New Roman"/>
    </w:rPr>
  </w:style>
  <w:style w:type="paragraph" w:styleId="1428" w:customStyle="1">
    <w:name w:val="Char1 Char Char Char"/>
    <w:basedOn w:val="877"/>
    <w:next w:val="1429"/>
    <w:qFormat/>
    <w:pPr>
      <w:ind w:left="0" w:firstLine="2560"/>
      <w:spacing w:before="0" w:after="0" w:line="240" w:lineRule="auto"/>
    </w:pPr>
    <w:rPr>
      <w:rFonts w:ascii="Times New Roman" w:hAnsi="Times New Roman" w:cs="Times New Roman"/>
    </w:rPr>
  </w:style>
  <w:style w:type="paragraph" w:styleId="1429" w:customStyle="1">
    <w:name w:val="xl24"/>
    <w:basedOn w:val="877"/>
    <w:next w:val="1375"/>
    <w:qFormat/>
    <w:pPr>
      <w:ind w:left="0" w:firstLine="20"/>
      <w:jc w:val="center"/>
      <w:spacing w:before="280" w:after="280" w:line="240" w:lineRule="auto"/>
      <w:shd w:val="clear" w:color="000000" w:fill="ffffff"/>
    </w:pPr>
    <w:rPr>
      <w:rFonts w:ascii="Times New Roman" w:hAnsi="Times New Roman" w:cs="Times New Roman"/>
    </w:rPr>
  </w:style>
  <w:style w:type="paragraph" w:styleId="1430" w:customStyle="1">
    <w:name w:val="表格文字"/>
    <w:next w:val="1389"/>
    <w:qFormat/>
    <w:pPr>
      <w:ind w:firstLine="3584"/>
    </w:pPr>
    <w:rPr>
      <w:rFonts w:ascii="Calibri" w:hAnsi="Calibri"/>
    </w:rPr>
  </w:style>
  <w:style w:type="paragraph" w:styleId="1431" w:customStyle="1">
    <w:name w:val="xl72"/>
    <w:basedOn w:val="877"/>
    <w:next w:val="1288"/>
    <w:qFormat/>
    <w:pPr>
      <w:ind w:left="0" w:firstLine="3584"/>
      <w:spacing w:before="280" w:after="280" w:line="240" w:lineRule="auto"/>
    </w:pPr>
    <w:rPr>
      <w:rFonts w:ascii="Times New Roman" w:hAnsi="Times New Roman" w:cs="Times New Roman"/>
    </w:rPr>
  </w:style>
  <w:style w:type="paragraph" w:styleId="1432" w:customStyle="1">
    <w:name w:val="插图"/>
    <w:next w:val="876"/>
    <w:qFormat/>
    <w:pPr>
      <w:ind w:firstLine="4608"/>
      <w:jc w:val="center"/>
    </w:pPr>
    <w:rPr>
      <w:rFonts w:ascii="Calibri" w:hAnsi="Calibri"/>
    </w:rPr>
  </w:style>
  <w:style w:type="paragraph" w:styleId="1433" w:customStyle="1">
    <w:name w:val="列出段落3"/>
    <w:basedOn w:val="877"/>
    <w:next w:val="1328"/>
    <w:qFormat/>
    <w:pPr>
      <w:ind w:left="420" w:firstLine="3748"/>
      <w:spacing w:before="0" w:after="0" w:line="240" w:lineRule="auto"/>
    </w:pPr>
    <w:rPr>
      <w:rFonts w:ascii="Times New Roman" w:hAnsi="Times New Roman" w:cs="Times New Roman"/>
    </w:rPr>
  </w:style>
  <w:style w:type="paragraph" w:styleId="1434" w:customStyle="1">
    <w:name w:val="目录标题"/>
    <w:basedOn w:val="877"/>
    <w:next w:val="876"/>
    <w:qFormat/>
    <w:pPr>
      <w:ind w:left="419" w:firstLine="7331"/>
      <w:jc w:val="center"/>
      <w:spacing w:before="566" w:after="544" w:line="566" w:lineRule="atLeast"/>
    </w:pPr>
    <w:rPr>
      <w:rFonts w:ascii="Times New Roman" w:hAnsi="Times New Roman" w:cs="Times New Roman"/>
    </w:rPr>
  </w:style>
  <w:style w:type="paragraph" w:styleId="1435" w:customStyle="1">
    <w:name w:val="默认段落字体 Para Char Char Char Char Char Char Char Char Char1 Char Char Char Char"/>
    <w:basedOn w:val="877"/>
    <w:next w:val="1331"/>
    <w:qFormat/>
    <w:pPr>
      <w:ind w:left="0" w:firstLine="2560"/>
      <w:spacing w:before="0" w:after="0" w:line="240" w:lineRule="auto"/>
    </w:pPr>
    <w:rPr>
      <w:rFonts w:ascii="Times New Roman" w:hAnsi="Times New Roman" w:cs="Times New Roman"/>
    </w:rPr>
  </w:style>
  <w:style w:type="paragraph" w:styleId="1436" w:customStyle="1">
    <w:name w:val="WPSOffice手动目录 2"/>
    <w:qFormat/>
    <w:pPr>
      <w:ind w:left="200"/>
    </w:pPr>
  </w:style>
  <w:style w:type="paragraph" w:styleId="1437" w:customStyle="1">
    <w:name w:val="表内文字"/>
    <w:basedOn w:val="877"/>
    <w:next w:val="918"/>
    <w:qFormat/>
    <w:pPr>
      <w:ind w:left="0" w:firstLine="7680"/>
      <w:jc w:val="center"/>
      <w:spacing w:before="50" w:after="50" w:line="240" w:lineRule="auto"/>
    </w:pPr>
    <w:rPr>
      <w:rFonts w:ascii="Times New Roman" w:hAnsi="Times New Roman" w:cs="Times New Roman"/>
    </w:rPr>
  </w:style>
  <w:style w:type="paragraph" w:styleId="1438" w:customStyle="1">
    <w:name w:val="xl66"/>
    <w:basedOn w:val="877"/>
    <w:next w:val="1420"/>
    <w:qFormat/>
    <w:pPr>
      <w:ind w:left="0" w:firstLine="3584"/>
      <w:spacing w:before="280" w:after="280" w:line="240" w:lineRule="auto"/>
    </w:pPr>
    <w:rPr>
      <w:rFonts w:ascii="Times New Roman" w:hAnsi="Times New Roman" w:cs="Times New Roman"/>
    </w:rPr>
  </w:style>
  <w:style w:type="paragraph" w:styleId="1439" w:customStyle="1">
    <w:name w:val="*正文"/>
    <w:basedOn w:val="876"/>
    <w:qFormat/>
    <w:pPr>
      <w:ind w:left="0" w:firstLine="200"/>
      <w:spacing w:line="360" w:lineRule="auto"/>
    </w:pPr>
    <w:rPr>
      <w:rFonts w:ascii="仿宋_GB2312" w:hAnsi="Times New Roman" w:eastAsia="仿宋_GB2312" w:cs="Times New Roman"/>
      <w:sz w:val="24"/>
      <w:szCs w:val="28"/>
    </w:rPr>
  </w:style>
  <w:style w:type="paragraph" w:styleId="1440" w:customStyle="1">
    <w:name w:val="0"/>
    <w:basedOn w:val="877"/>
    <w:next w:val="1334"/>
    <w:qFormat/>
    <w:pPr>
      <w:ind w:left="0" w:firstLine="2815"/>
      <w:spacing w:before="0" w:after="0" w:line="360" w:lineRule="auto"/>
    </w:pPr>
    <w:rPr>
      <w:rFonts w:ascii="Times New Roman" w:hAnsi="Times New Roman" w:cs="Times New Roman"/>
    </w:rPr>
  </w:style>
  <w:style w:type="table" w:styleId="1441" w:customStyle="1">
    <w:name w:val="网格型1"/>
    <w:basedOn w:val="88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42" w:customStyle="1">
    <w:name w:val="font61"/>
    <w:qFormat/>
    <w:rPr>
      <w:rFonts w:hint="default" w:ascii="Times New Roman" w:hAnsi="Times New Roman" w:cs="Times New Roman"/>
      <w:b/>
      <w:bCs/>
      <w:color w:val="000000"/>
      <w:sz w:val="24"/>
      <w:szCs w:val="24"/>
      <w:u w:val="none"/>
    </w:rPr>
  </w:style>
  <w:style w:type="paragraph" w:styleId="1443" w:customStyle="1">
    <w:name w:val="修订3"/>
    <w:hidden/>
    <w:uiPriority w:val="99"/>
    <w:semiHidden/>
    <w:qFormat/>
    <w:rPr>
      <w:rFonts w:ascii="Calibri" w:hAnsi="Calibri"/>
    </w:rPr>
  </w:style>
  <w:style w:type="character" w:styleId="1444" w:customStyle="1">
    <w:name w:val="text_h18us"/>
    <w:basedOn w:val="886"/>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DF2BE6D-E3A0-4223-ABDF-A71693E1058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沈燕</cp:lastModifiedBy>
  <cp:revision>166</cp:revision>
  <dcterms:created xsi:type="dcterms:W3CDTF">2024-05-10T07:37:00Z</dcterms:created>
  <dcterms:modified xsi:type="dcterms:W3CDTF">2026-05-07T06:52:12Z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B6F3EBF75CEF4217BD32FFE1D7CBD626_13</vt:lpwstr>
  </property>
  <property fmtid="{D5CDD505-2E9C-101B-9397-08002B2CF9AE}" pid="4" name="commondata">
    <vt:lpwstr>eyJoZGlkIjoiMmU4NDdkODk2MjZlOTI5YjA5ZDk0Y2IwMDEyMjA1NGUifQ==</vt:lpwstr>
  </property>
  <property fmtid="{D5CDD505-2E9C-101B-9397-08002B2CF9AE}" pid="5" name="KSOTemplateDocerSaveRecord">
    <vt:lpwstr>eyJoZGlkIjoiZTRiODVjNmQzZTQyNmU4NTAzYTJhOWIyMDIxYzk1NzkiLCJ1c2VySWQiOiI1NDEwNzA4MzYifQ==</vt:lpwstr>
  </property>
</Properties>
</file>