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4"/>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3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4"/>
        <w:ind w:firstLine="723"/>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紫金山实验室Serdes高速接口IP采购项目</w:t>
      </w:r>
      <w:r/>
    </w:p>
    <w:p>
      <w:pPr>
        <w:pStyle w:val="934"/>
        <w:ind w:firstLine="723"/>
        <w:jc w:val="center"/>
        <w:widowControl w:val="off"/>
        <w:rPr>
          <w:rFonts w:ascii="Times New Roman" w:hAnsi="Times New Roman" w:eastAsia="黑体" w:cs="Times New Roman"/>
          <w:color w:val="000000" w:themeColor="text1"/>
          <w:sz w:val="36"/>
          <w:szCs w:val="36"/>
          <w:highlight w:val="none"/>
          <w14:textFill>
            <w14:solidFill>
              <w14:schemeClr w14:val="tx1"/>
            </w14:solidFill>
          </w14:textFill>
        </w:rPr>
      </w:pPr>
      <w:r>
        <w:rPr>
          <w:rFonts w:cs="Times New Roman" w:asciiTheme="minorEastAsia" w:hAnsiTheme="minorEastAsia" w:eastAsiaTheme="minorEastAsia"/>
          <w:b/>
          <w:color w:val="000000" w:themeColor="text1"/>
          <w:sz w:val="36"/>
          <w:szCs w:val="36"/>
          <w:highlight w:val="none"/>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highlight w:val="none"/>
          <w14:textFill>
            <w14:solidFill>
              <w14:schemeClr w14:val="tx1"/>
            </w14:solidFill>
          </w14:textFill>
        </w:rPr>
        <w:t xml:space="preserve">JSZC-320100-ZTZB-G2026-0013（内部编号PML-ZH-ZB-202601</w:t>
      </w:r>
      <w:r>
        <w:rPr>
          <w:rFonts w:hint="eastAsia" w:cs="Times New Roman" w:asciiTheme="minorEastAsia" w:hAnsiTheme="minorEastAsia" w:eastAsiaTheme="minorEastAsia"/>
          <w:b/>
          <w:color w:val="000000" w:themeColor="text1"/>
          <w:sz w:val="36"/>
          <w:szCs w:val="36"/>
          <w:highlight w:val="none"/>
          <w:lang w:val="en-US" w:eastAsia="zh-CN"/>
          <w14:textFill>
            <w14:solidFill>
              <w14:schemeClr w14:val="tx1"/>
            </w14:solidFill>
          </w14:textFill>
        </w:rPr>
        <w:t xml:space="preserve">7</w:t>
      </w:r>
      <w:r>
        <w:rPr>
          <w:rFonts w:hint="eastAsia" w:cs="Times New Roman" w:asciiTheme="minorEastAsia" w:hAnsiTheme="minorEastAsia" w:eastAsiaTheme="minorEastAsia"/>
          <w:b/>
          <w:color w:val="000000" w:themeColor="text1"/>
          <w:sz w:val="36"/>
          <w:szCs w:val="36"/>
          <w:highlight w:val="none"/>
          <w14:textFill>
            <w14:solidFill>
              <w14:schemeClr w14:val="tx1"/>
            </w14:solidFill>
          </w14:textFill>
        </w:rPr>
        <w:t xml:space="preserve">）</w:t>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4"/>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34"/>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34"/>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4</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第一章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14:textFill>
                <w14:solidFill>
                  <w14:schemeClr w14:val="tx1"/>
                </w14:solidFill>
              </w14:textFill>
            </w:rPr>
            <w:t xml:space="preserve">招标</w:t>
          </w:r>
          <w:r>
            <w:rPr>
              <w:rStyle w:val="918"/>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第二章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14:textFill>
                <w14:solidFill>
                  <w14:schemeClr w14:val="tx1"/>
                </w14:solidFill>
              </w14:textFill>
            </w:rPr>
            <w:t xml:space="preserve">投标人</w:t>
          </w:r>
          <w:r>
            <w:rPr>
              <w:rStyle w:val="918"/>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w:t>
          </w:r>
          <w:r>
            <w:rPr>
              <w:rStyle w:val="918"/>
              <w:rFonts w:hint="eastAsia" w:ascii="黑体" w:hAnsi="黑体" w:cs="黑体"/>
              <w:color w:val="000000" w:themeColor="text1"/>
              <w:lang w:val="zh-TW"/>
              <w14:textFill>
                <w14:solidFill>
                  <w14:schemeClr w14:val="tx1"/>
                </w14:solidFill>
              </w14:textFill>
            </w:rPr>
            <w:t xml:space="preserve">三</w:t>
          </w:r>
          <w:r>
            <w:rPr>
              <w:rStyle w:val="918"/>
              <w:rFonts w:hint="eastAsia" w:ascii="黑体" w:hAnsi="黑体" w:cs="黑体"/>
              <w:color w:val="000000" w:themeColor="text1"/>
              <w:lang w:val="zh-TW" w:eastAsia="zh-TW"/>
              <w14:textFill>
                <w14:solidFill>
                  <w14:schemeClr w14:val="tx1"/>
                </w14:solidFill>
              </w14:textFill>
            </w:rPr>
            <w:t xml:space="preserve">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w:t>
          </w:r>
          <w:r>
            <w:rPr>
              <w:rStyle w:val="918"/>
              <w:rFonts w:hint="eastAsia" w:ascii="黑体" w:hAnsi="黑体" w:cs="黑体"/>
              <w:color w:val="000000" w:themeColor="text1"/>
              <w:lang w:val="zh-TW"/>
              <w14:textFill>
                <w14:solidFill>
                  <w14:schemeClr w14:val="tx1"/>
                </w14:solidFill>
              </w14:textFill>
            </w:rPr>
            <w:t xml:space="preserve">四</w:t>
          </w:r>
          <w:r>
            <w:rPr>
              <w:rStyle w:val="918"/>
              <w:rFonts w:hint="eastAsia" w:ascii="黑体" w:hAnsi="黑体" w:cs="黑体"/>
              <w:color w:val="000000" w:themeColor="text1"/>
              <w:lang w:val="zh-TW" w:eastAsia="zh-TW"/>
              <w14:textFill>
                <w14:solidFill>
                  <w14:schemeClr w14:val="tx1"/>
                </w14:solidFill>
              </w14:textFill>
            </w:rPr>
            <w:t xml:space="preserve">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w:t>
          </w:r>
          <w:r>
            <w:rPr>
              <w:rStyle w:val="918"/>
              <w:rFonts w:hint="eastAsia" w:ascii="黑体" w:hAnsi="黑体" w:cs="黑体"/>
              <w:color w:val="000000" w:themeColor="text1"/>
              <w:lang w:val="zh-TW"/>
              <w14:textFill>
                <w14:solidFill>
                  <w14:schemeClr w14:val="tx1"/>
                </w14:solidFill>
              </w14:textFill>
            </w:rPr>
            <w:t xml:space="preserve">五</w:t>
          </w:r>
          <w:r>
            <w:rPr>
              <w:rStyle w:val="918"/>
              <w:rFonts w:hint="eastAsia" w:ascii="黑体" w:hAnsi="黑体" w:cs="黑体"/>
              <w:color w:val="000000" w:themeColor="text1"/>
              <w:lang w:val="zh-TW" w:eastAsia="zh-TW"/>
              <w14:textFill>
                <w14:solidFill>
                  <w14:schemeClr w14:val="tx1"/>
                </w14:solidFill>
              </w14:textFill>
            </w:rPr>
            <w:t xml:space="preserve">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8"/>
              <w:rFonts w:hint="eastAsia" w:ascii="黑体" w:hAnsi="黑体" w:cs="黑体"/>
              <w:color w:val="000000" w:themeColor="text1"/>
              <w:lang w:val="zh-TW" w:eastAsia="zh-TW"/>
              <w14:textFill>
                <w14:solidFill>
                  <w14:schemeClr w14:val="tx1"/>
                </w14:solidFill>
              </w14:textFill>
            </w:rPr>
            <w:t xml:space="preserve">第</w:t>
          </w:r>
          <w:r>
            <w:rPr>
              <w:rStyle w:val="918"/>
              <w:rFonts w:hint="eastAsia" w:ascii="黑体" w:hAnsi="黑体" w:cs="黑体"/>
              <w:color w:val="000000" w:themeColor="text1"/>
              <w:lang w:val="zh-TW"/>
              <w14:textFill>
                <w14:solidFill>
                  <w14:schemeClr w14:val="tx1"/>
                </w14:solidFill>
              </w14:textFill>
            </w:rPr>
            <w:t xml:space="preserve">六</w:t>
          </w:r>
          <w:r>
            <w:rPr>
              <w:rStyle w:val="918"/>
              <w:rFonts w:hint="eastAsia" w:ascii="黑体" w:hAnsi="黑体" w:cs="黑体"/>
              <w:color w:val="000000" w:themeColor="text1"/>
              <w:lang w:val="zh-TW" w:eastAsia="zh-TW"/>
              <w14:textFill>
                <w14:solidFill>
                  <w14:schemeClr w14:val="tx1"/>
                </w14:solidFill>
              </w14:textFill>
            </w:rPr>
            <w:t xml:space="preserve">章</w:t>
          </w:r>
          <w:r>
            <w:rPr>
              <w:rStyle w:val="918"/>
              <w:rFonts w:ascii="黑体" w:hAnsi="黑体" w:cs="黑体"/>
              <w:color w:val="000000" w:themeColor="text1"/>
              <w:lang w:val="zh-TW" w:eastAsia="zh-TW"/>
              <w14:textFill>
                <w14:solidFill>
                  <w14:schemeClr w14:val="tx1"/>
                </w14:solidFill>
              </w14:textFill>
            </w:rPr>
            <w:t xml:space="preserve">  </w:t>
          </w:r>
          <w:r>
            <w:rPr>
              <w:rStyle w:val="918"/>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8"/>
              <w:rFonts w:eastAsia="黑体"/>
              <w:color w:val="000000" w:themeColor="text1"/>
              <w14:textFill>
                <w14:solidFill>
                  <w14:schemeClr w14:val="tx1"/>
                </w14:solidFill>
              </w14:textFill>
            </w:rPr>
            <w:t xml:space="preserve">6.1 </w:t>
          </w:r>
          <w:r>
            <w:rPr>
              <w:rStyle w:val="918"/>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8"/>
              <w:rFonts w:eastAsia="黑体"/>
              <w:color w:val="000000" w:themeColor="text1"/>
              <w14:textFill>
                <w14:solidFill>
                  <w14:schemeClr w14:val="tx1"/>
                </w14:solidFill>
              </w14:textFill>
            </w:rPr>
            <w:t xml:space="preserve">6.2 </w:t>
          </w:r>
          <w:r>
            <w:rPr>
              <w:rStyle w:val="918"/>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8"/>
              <w:rFonts w:eastAsia="黑体"/>
              <w:color w:val="000000" w:themeColor="text1"/>
              <w14:textFill>
                <w14:solidFill>
                  <w14:schemeClr w14:val="tx1"/>
                </w14:solidFill>
              </w14:textFill>
            </w:rPr>
            <w:t xml:space="preserve">6.3 </w:t>
          </w:r>
          <w:r>
            <w:rPr>
              <w:rStyle w:val="918"/>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8"/>
              <w:rFonts w:eastAsia="黑体"/>
              <w:color w:val="000000" w:themeColor="text1"/>
              <w14:textFill>
                <w14:solidFill>
                  <w14:schemeClr w14:val="tx1"/>
                </w14:solidFill>
              </w14:textFill>
            </w:rPr>
            <w:t xml:space="preserve">6.4 </w:t>
          </w:r>
          <w:r>
            <w:rPr>
              <w:rStyle w:val="918"/>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8"/>
              <w:rFonts w:eastAsia="黑体"/>
              <w:color w:val="000000" w:themeColor="text1"/>
              <w14:textFill>
                <w14:solidFill>
                  <w14:schemeClr w14:val="tx1"/>
                </w14:solidFill>
              </w14:textFill>
            </w:rPr>
            <w:t xml:space="preserve">6.5 </w:t>
          </w:r>
          <w:r>
            <w:rPr>
              <w:rStyle w:val="918"/>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8"/>
              <w:rFonts w:eastAsia="黑体"/>
              <w:color w:val="000000" w:themeColor="text1"/>
              <w14:textFill>
                <w14:solidFill>
                  <w14:schemeClr w14:val="tx1"/>
                </w14:solidFill>
              </w14:textFill>
            </w:rPr>
            <w:t xml:space="preserve">6.6 </w:t>
          </w:r>
          <w:r>
            <w:rPr>
              <w:rStyle w:val="918"/>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8"/>
              <w:rFonts w:eastAsia="黑体"/>
              <w:color w:val="000000" w:themeColor="text1"/>
              <w14:textFill>
                <w14:solidFill>
                  <w14:schemeClr w14:val="tx1"/>
                </w14:solidFill>
              </w14:textFill>
            </w:rPr>
            <w:t xml:space="preserve">6.7 </w:t>
          </w:r>
          <w:r>
            <w:rPr>
              <w:rStyle w:val="918"/>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8"/>
              <w:rFonts w:eastAsia="黑体"/>
              <w:color w:val="000000" w:themeColor="text1"/>
              <w14:textFill>
                <w14:solidFill>
                  <w14:schemeClr w14:val="tx1"/>
                </w14:solidFill>
              </w14:textFill>
            </w:rPr>
            <w:t xml:space="preserve">6.8 </w:t>
          </w:r>
          <w:r>
            <w:rPr>
              <w:rStyle w:val="918"/>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8"/>
              <w:rFonts w:eastAsia="黑体"/>
              <w:color w:val="000000" w:themeColor="text1"/>
              <w14:textFill>
                <w14:solidFill>
                  <w14:schemeClr w14:val="tx1"/>
                </w14:solidFill>
              </w14:textFill>
            </w:rPr>
            <w:t xml:space="preserve">6.9 </w:t>
          </w:r>
          <w:r>
            <w:rPr>
              <w:rStyle w:val="918"/>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11859485"/>
      <w:r/>
      <w:bookmarkStart w:id="2" w:name="_Toc415494523"/>
      <w:r/>
      <w:bookmarkStart w:id="3" w:name="_Toc448069940"/>
      <w:r/>
      <w:bookmarkStart w:id="4" w:name="_Toc"/>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6"/>
        <w:ind w:firstLine="560"/>
        <w:spacing w:line="360" w:lineRule="exact"/>
        <w:rPr>
          <w:rFonts w:ascii="黑体" w:hAnsi="黑体" w:cs="宋体"/>
          <w:b w:val="0"/>
          <w:sz w:val="28"/>
          <w:szCs w:val="28"/>
        </w:rPr>
      </w:pPr>
      <w:r/>
      <w:bookmarkStart w:id="5" w:name="_Toc28359002"/>
      <w:r/>
      <w:bookmarkStart w:id="6" w:name="_Toc35393790"/>
      <w:r/>
      <w:bookmarkStart w:id="7" w:name="_Toc35393621"/>
      <w:r/>
      <w:bookmarkStart w:id="8" w:name="_Toc28359079"/>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highlight w:val="none"/>
        </w:rPr>
      </w:pPr>
      <w:r>
        <w:rPr>
          <w:rFonts w:hint="eastAsia" w:ascii="仿宋" w:hAnsi="仿宋" w:eastAsia="仿宋"/>
          <w:sz w:val="28"/>
          <w:szCs w:val="28"/>
          <w:highlight w:val="none"/>
        </w:rPr>
        <w:t xml:space="preserve">项目编号：JSZC-320100-ZTZB-G2026-0013（内部编号PML-ZH-ZB-2026017）</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紫金山实验室Serdes高速接口IP采购项目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183万元人民币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最高限价：183万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采购需求：IP核的设计许可、技术文件、集成支持以及必需的文档资料等正常交付使用所需的一切内容。</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6"/>
        <w:ind w:firstLine="560"/>
        <w:spacing w:line="360" w:lineRule="exact"/>
        <w:rPr>
          <w:rFonts w:ascii="仿宋" w:hAnsi="仿宋" w:eastAsia="仿宋"/>
          <w:sz w:val="28"/>
          <w:szCs w:val="28"/>
        </w:rPr>
      </w:pPr>
      <w:r/>
      <w:bookmarkStart w:id="12" w:name="_Toc28359003"/>
      <w:r/>
      <w:bookmarkStart w:id="13" w:name="_Toc28359080"/>
      <w:r/>
      <w:bookmarkStart w:id="14" w:name="_Toc35393791"/>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1.2投标人需提供2024年度或最新一年度的财务状况报告（成立不满一年不需提供）；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81"/>
      <w:r/>
      <w:bookmarkStart w:id="17" w:name="_Toc28359004"/>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6"/>
        <w:ind w:firstLine="560"/>
        <w:spacing w:line="360" w:lineRule="exact"/>
        <w:rPr>
          <w:rFonts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6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86"/>
        <w:ind w:firstLine="560"/>
        <w:spacing w:line="360" w:lineRule="exact"/>
        <w:rPr>
          <w:rFonts w:ascii="黑体" w:hAnsi="黑体" w:cs="宋体"/>
          <w:b w:val="0"/>
          <w:sz w:val="28"/>
          <w:szCs w:val="28"/>
        </w:rPr>
      </w:pPr>
      <w:r/>
      <w:bookmarkStart w:id="20" w:name="_Toc28359005"/>
      <w:r/>
      <w:bookmarkStart w:id="21" w:name="_Toc28359082"/>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5</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7</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86"/>
        <w:ind w:firstLine="560"/>
        <w:spacing w:line="360" w:lineRule="exact"/>
        <w:rPr>
          <w:rFonts w:ascii="黑体" w:hAnsi="黑体" w:cs="宋体"/>
          <w:b w:val="0"/>
          <w:sz w:val="28"/>
          <w:szCs w:val="28"/>
          <w:highlight w:val="none"/>
        </w:rPr>
      </w:pPr>
      <w:r/>
      <w:bookmarkStart w:id="24" w:name="_Toc28359084"/>
      <w:r/>
      <w:bookmarkStart w:id="25" w:name="_Toc35393794"/>
      <w:r/>
      <w:bookmarkStart w:id="26" w:name="_Toc28359007"/>
      <w:r/>
      <w:bookmarkStart w:id="27" w:name="_Toc35393625"/>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795"/>
      <w:r/>
      <w:bookmarkStart w:id="29" w:name="_Toc35393626"/>
      <w:r/>
      <w:r/>
    </w:p>
    <w:p>
      <w:pPr>
        <w:pStyle w:val="886"/>
        <w:ind w:firstLine="560"/>
        <w:spacing w:line="360" w:lineRule="exact"/>
        <w:rPr>
          <w:rFonts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35393796"/>
      <w:r/>
      <w:bookmarkStart w:id="31" w:name="_Toc35393627"/>
      <w:r/>
      <w:bookmarkStart w:id="32" w:name="_Toc28359008"/>
      <w:r/>
      <w:bookmarkStart w:id="33" w:name="_Toc28359085"/>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4</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16</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4</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22</w:t>
      </w:r>
      <w:bookmarkStart w:id="81" w:name="_GoBack"/>
      <w:r/>
      <w:bookmarkEnd w:id="81"/>
      <w:r>
        <w:rPr>
          <w:rFonts w:hint="eastAsia" w:ascii="仿宋" w:hAnsi="仿宋" w:eastAsia="仿宋" w:cs="宋体"/>
          <w:sz w:val="28"/>
          <w:szCs w:val="28"/>
          <w:highlight w:val="none"/>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有关本次采购的事项若存在变动或修改，敬请及时关注“</w:t>
      </w:r>
      <w:r>
        <w:rPr>
          <w:rFonts w:hint="eastAsia" w:ascii="仿宋" w:hAnsi="仿宋" w:eastAsia="仿宋" w:cs="宋体"/>
          <w:sz w:val="28"/>
          <w:szCs w:val="28"/>
          <w:highlight w:val="none"/>
        </w:rPr>
        <w:t xml:space="preserve">江</w:t>
      </w:r>
      <w:r>
        <w:rPr>
          <w:rFonts w:hint="eastAsia" w:ascii="仿宋" w:hAnsi="仿宋" w:eastAsia="仿宋" w:cs="宋体"/>
          <w:sz w:val="28"/>
          <w:szCs w:val="28"/>
        </w:rPr>
        <w:t xml:space="preserve">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6"/>
        <w:ind w:firstLine="56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李工（025-57918372）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28359077"/>
      <w:r/>
      <w:bookmarkStart w:id="39" w:name="_Toc28359000"/>
      <w:r/>
      <w:bookmarkStart w:id="40" w:name="_Toc35393619"/>
      <w:r/>
      <w:bookmarkStart w:id="41" w:name="_Toc35393788"/>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
      <w:r/>
      <w:bookmarkStart w:id="43" w:name="_Toc448069941"/>
      <w:r/>
      <w:bookmarkStart w:id="44" w:name="_Toc415494524"/>
      <w:r/>
      <w:bookmarkStart w:id="45" w:name="_Toc11859486"/>
      <w:r/>
      <w:r/>
    </w:p>
    <w:p>
      <w:pPr>
        <w:ind w:firstLine="720"/>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ind w:firstLine="880"/>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2026A**00**</w:t>
      </w:r>
      <w:r>
        <w:rPr>
          <w:rFonts w:hint="eastAsia" w:ascii="方正仿宋_GBK" w:hAnsi="宋体" w:eastAsia="方正仿宋_GBK" w:cs="方正仿宋_GBK"/>
          <w:b/>
          <w:bCs/>
          <w:sz w:val="32"/>
          <w:szCs w:val="28"/>
          <w:lang w:bidi="ar"/>
        </w:rPr>
        <w:t xml:space="preserve">】</w:t>
      </w:r>
      <w:r/>
    </w:p>
    <w:p>
      <w:pPr>
        <w:ind w:firstLine="880"/>
        <w:jc w:val="left"/>
        <w:tabs>
          <w:tab w:val="left" w:pos="7064" w:leader="none"/>
        </w:tabs>
        <w:rPr>
          <w:rFonts w:ascii="宋体" w:hAnsi="宋体" w:eastAsia="宋体" w:cs="宋体"/>
          <w:sz w:val="44"/>
          <w:szCs w:val="44"/>
        </w:rPr>
      </w:pPr>
      <w:r>
        <w:rPr>
          <w:rFonts w:ascii="宋体" w:hAnsi="宋体" w:eastAsia="宋体" w:cs="宋体"/>
          <w:sz w:val="44"/>
          <w:szCs w:val="44"/>
        </w:rPr>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ind w:firstLine="1040"/>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ind w:firstLine="560"/>
        <w:rPr>
          <w:rFonts w:ascii="宋体" w:hAnsi="宋体" w:eastAsia="宋体" w:cs="宋体"/>
          <w:color w:val="000000"/>
          <w:sz w:val="28"/>
          <w:szCs w:val="28"/>
        </w:rPr>
      </w:pPr>
      <w:r>
        <w:rPr>
          <w:rFonts w:ascii="宋体" w:hAnsi="宋体" w:eastAsia="宋体" w:cs="宋体"/>
          <w:color w:val="000000"/>
          <w:sz w:val="28"/>
          <w:szCs w:val="28"/>
        </w:rPr>
      </w:r>
      <w:r/>
    </w:p>
    <w:p>
      <w:pPr>
        <w:ind w:firstLine="1120"/>
        <w:rPr>
          <w:rFonts w:ascii="宋体" w:hAnsi="宋体" w:eastAsia="宋体" w:cs="宋体"/>
          <w:color w:val="000000"/>
          <w:sz w:val="28"/>
          <w:szCs w:val="28"/>
        </w:rPr>
      </w:pPr>
      <w:r>
        <w:rPr>
          <w:rFonts w:ascii="宋体" w:hAnsi="宋体" w:eastAsia="宋体" w:cs="宋体"/>
          <w:color w:val="000000"/>
          <w:sz w:val="28"/>
          <w:szCs w:val="28"/>
        </w:rPr>
      </w:r>
      <w:r/>
    </w:p>
    <w:p>
      <w:pPr>
        <w:ind w:left="1399" w:hanging="840"/>
        <w:rPr>
          <w:rFonts w:ascii="宋体" w:hAnsi="宋体" w:eastAsia="宋体" w:cs="宋体"/>
          <w:color w:val="000000"/>
          <w:sz w:val="28"/>
          <w:szCs w:val="28"/>
          <w:u w:val="single"/>
          <w:lang w:bidi="ar"/>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紫金山实验室Serdes高速接口IP采购项目 </w:t>
      </w:r>
      <w:r/>
    </w:p>
    <w:p>
      <w:pPr>
        <w:ind w:firstLine="560"/>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ind w:firstLine="560"/>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8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2"/>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8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8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8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82"/>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82"/>
        <w:jc w:val="left"/>
        <w:spacing w:line="540" w:lineRule="exact"/>
        <w:rPr>
          <w:rFonts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80"/>
        <w:jc w:val="left"/>
        <w:spacing w:line="540" w:lineRule="exact"/>
        <w:rPr>
          <w:rFonts w:ascii="宋体" w:hAnsi="宋体" w:eastAsia="宋体" w:cs="宋体"/>
          <w:sz w:val="24"/>
          <w:szCs w:val="24"/>
          <w:lang w:bidi="ar"/>
        </w:rPr>
      </w:pPr>
      <w:r/>
      <w:bookmarkStart w:id="48" w:name="OLE_LINK1"/>
      <w:r>
        <w:rPr>
          <w:rFonts w:hint="eastAsia" w:ascii="宋体" w:hAnsi="宋体" w:cs="宋体"/>
          <w:sz w:val="24"/>
          <w:szCs w:val="24"/>
        </w:rPr>
        <w:t xml:space="preserve">合同签订后支付合同总价的30%；IP核交付并通过采购人审核后支付合同总价的40%；芯片流片成功后支付合同总价的30%尾款。如流片不成功，经双方确认非因乙方提供的IP核本身缺陷所致，甲方仍应支付该尾款；如因IP核缺陷导致流片失败，则甲方有权不支付尾款并要求乙方承担相应责任。</w:t>
      </w:r>
      <w:r>
        <w:rPr>
          <w:rFonts w:hint="eastAsia" w:ascii="宋体" w:hAnsi="宋体" w:eastAsia="宋体" w:cs="宋体"/>
          <w:sz w:val="24"/>
          <w:szCs w:val="24"/>
          <w:lang w:bidi="ar"/>
        </w:rPr>
        <w:t xml:space="preserve">投标人需先行提供等额合规发票供采购人办理付款手续，否则因此引起的付款延迟的风险由投标人自行承担。</w:t>
      </w:r>
      <w:bookmarkEnd w:id="48"/>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10"/>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14:textFill>
            <w14:solidFill>
              <w14:schemeClr w14:val="tx1"/>
            </w14:solidFill>
          </w14:textFill>
        </w:rPr>
      </w:pPr>
      <w:r/>
      <w:bookmarkStart w:id="49" w:name="_Toc11859488"/>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3"/>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9"/>
      <w:r/>
      <w:bookmarkStart w:id="50" w:name="_Toc11859489"/>
      <w:r/>
      <w:r/>
    </w:p>
    <w:p>
      <w:pPr>
        <w:ind w:firstLine="562"/>
        <w:spacing w:line="400" w:lineRule="exact"/>
        <w:rPr>
          <w:rFonts w:ascii="宋体" w:hAnsi="宋体" w:eastAsia="宋体" w:cs="宋体"/>
          <w:sz w:val="24"/>
          <w:szCs w:val="24"/>
        </w:rPr>
      </w:pPr>
      <w:r>
        <w:rPr>
          <w:rFonts w:hint="eastAsia" w:ascii="宋体" w:hAnsi="宋体" w:eastAsia="宋体" w:cs="宋体"/>
          <w:b/>
          <w:bCs/>
          <w:sz w:val="28"/>
          <w:szCs w:val="28"/>
        </w:rPr>
        <w:t xml:space="preserve">一、项目概述</w:t>
      </w:r>
      <w:r/>
    </w:p>
    <w:p>
      <w:pPr>
        <w:ind w:firstLine="480"/>
        <w:rPr>
          <w:rFonts w:ascii="宋体" w:hAnsi="宋体" w:eastAsia="宋体" w:cs="宋体"/>
          <w:sz w:val="24"/>
          <w:szCs w:val="24"/>
        </w:rPr>
      </w:pPr>
      <w:r>
        <w:rPr>
          <w:rFonts w:hint="eastAsia" w:ascii="宋体" w:hAnsi="宋体" w:eastAsia="宋体" w:cs="宋体"/>
          <w:sz w:val="24"/>
          <w:szCs w:val="24"/>
        </w:rPr>
        <w:t xml:space="preserve">1.项目简介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1.1采购人科研团队基于课题的研发需求，需要采购Serdes高速接口IP，用于基带芯片的高速数据互联，确保芯片与外部系统（如射频前端、测试仪表、计算单元）实现高带宽、低延迟的数据交换。具体采购内容包含IP核的授权、技术文件以及必要的技术支持服务，确保IP能够顺利集成到芯片设计中并一次性流片成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1.2本项目建设需符合国家标准、行业标准、地方标准或者其他标准、规范。采购的项目及范围包含：IP核的设计许可、技术文件、集成支持以及必需的文档资料等正常交付使用所需的一切内容。</w:t>
      </w:r>
      <w:r/>
    </w:p>
    <w:p>
      <w:pPr>
        <w:pStyle w:val="890"/>
      </w:pPr>
      <w:r/>
      <w:r/>
    </w:p>
    <w:p>
      <w:pPr>
        <w:ind w:firstLine="562"/>
        <w:spacing w:line="400" w:lineRule="exact"/>
        <w:rPr>
          <w:rFonts w:ascii="宋体" w:hAnsi="宋体" w:eastAsia="宋体" w:cs="宋体"/>
          <w:sz w:val="24"/>
          <w:szCs w:val="24"/>
        </w:rPr>
      </w:pPr>
      <w:r>
        <w:rPr>
          <w:rFonts w:hint="eastAsia" w:ascii="宋体" w:hAnsi="宋体" w:eastAsia="宋体" w:cs="宋体"/>
          <w:b/>
          <w:bCs/>
          <w:sz w:val="28"/>
          <w:szCs w:val="28"/>
        </w:rPr>
        <w:t xml:space="preserve">二、规格参数要求（技术要求，所有“技术要求”须在《技术条款响应及偏离表》中逐一明确是否响应或偏离）</w:t>
      </w:r>
      <w:r/>
    </w:p>
    <w:p>
      <w:pPr>
        <w:ind w:firstLine="480"/>
        <w:spacing w:line="400" w:lineRule="exact"/>
        <w:rPr>
          <w:rFonts w:ascii="宋体" w:hAnsi="宋体" w:eastAsia="宋体" w:cs="宋体"/>
          <w:i/>
          <w:iCs/>
          <w:sz w:val="24"/>
          <w:szCs w:val="24"/>
        </w:rPr>
      </w:pPr>
      <w:r>
        <w:rPr>
          <w:rFonts w:hint="eastAsia" w:ascii="宋体" w:hAnsi="宋体" w:eastAsia="宋体" w:cs="宋体"/>
          <w:i/>
          <w:iCs/>
          <w:sz w:val="24"/>
          <w:szCs w:val="24"/>
        </w:rPr>
        <w:t xml:space="preserve">本项目需求中标“★”号技术要求的指标为核心指标项，必须满足，有一条不满足视为无效投标。</w:t>
      </w:r>
      <w:bookmarkStart w:id="51" w:name="_Hlk97644364"/>
      <w:r>
        <w:rPr>
          <w:rFonts w:hint="eastAsia" w:ascii="宋体" w:hAnsi="宋体" w:eastAsia="宋体" w:cs="宋体"/>
          <w:i/>
          <w:iCs/>
          <w:sz w:val="24"/>
          <w:szCs w:val="24"/>
        </w:rPr>
        <w:t xml:space="preserve">标“▲”</w:t>
      </w:r>
      <w:bookmarkEnd w:id="51"/>
      <w:r>
        <w:rPr>
          <w:rFonts w:hint="eastAsia" w:ascii="宋体" w:hAnsi="宋体" w:eastAsia="宋体" w:cs="宋体"/>
          <w:i/>
          <w:iCs/>
          <w:sz w:val="24"/>
          <w:szCs w:val="24"/>
        </w:rPr>
        <w:t xml:space="preserve">号为重要指标项，如负偏离均将扣除相应分值，扣完为止。</w:t>
      </w:r>
      <w:r/>
    </w:p>
    <w:p>
      <w:pPr>
        <w:ind w:firstLine="480"/>
        <w:spacing w:line="400" w:lineRule="exact"/>
        <w:rPr>
          <w:rFonts w:ascii="宋体" w:hAnsi="宋体" w:eastAsia="宋体" w:cs="宋体"/>
          <w:i/>
          <w:iCs/>
          <w:sz w:val="24"/>
          <w:szCs w:val="24"/>
        </w:rPr>
      </w:pPr>
      <w:r>
        <w:rPr>
          <w:rFonts w:hint="eastAsia" w:ascii="宋体" w:hAnsi="宋体" w:eastAsia="宋体" w:cs="宋体"/>
          <w:i/>
          <w:iCs/>
          <w:sz w:val="24"/>
          <w:szCs w:val="24"/>
        </w:rPr>
        <w:t xml:space="preserve">标“★”和标“▲”号指标项必须在投标文件中提供技术支持资料(形式包括但不限于承诺函、白皮书、技术规范书、彩页、手册、检测报告等)，未提供相关证明材料的，评审时评审专家有权不予认可，有明确要求的按要求提供技术支持资料。</w:t>
      </w:r>
      <w:r/>
    </w:p>
    <w:tbl>
      <w:tblPr>
        <w:tblStyle w:val="9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7791"/>
      </w:tblGrid>
      <w:tr>
        <w:trPr>
          <w:trHeight w:val="411"/>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4327"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技术服务要求</w:t>
            </w:r>
            <w:r/>
          </w:p>
        </w:tc>
      </w:tr>
      <w:tr>
        <w:trPr>
          <w:trHeight w:val="134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Serdes高速接口IP须支持PCI Express 4.0/3.1/2.1/1.1、SATA 6G/3G/1.5G、10GBASE-KR、40GBASE-KR4、XAUI、10GBASE-KX4、RXAUI/Double XAUI、1000BASE-KX/SGMII、QSGMII、CEI-6G-SR/LR、CEI-11G-SR、CPRI、OBSAI、JESD204B以及SRIO 6.25G等多种行业标准协议。</w:t>
            </w:r>
            <w:r/>
          </w:p>
        </w:tc>
      </w:tr>
      <w:tr>
        <w:trPr>
          <w:trHeight w:val="797"/>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Serdes高速接口IP单通道物理层线速率须支持1.200 Gbps至16.000 Gbps范围内灵活配置，并支持通过聚合多个单通道（x1）、双通道（x2）或四通道（x4）的硬核宏（PMA）实例构建x4、x8、x16等更高通道规模。</w:t>
            </w:r>
            <w:r/>
          </w:p>
        </w:tc>
      </w:tr>
      <w:tr>
        <w:trPr>
          <w:trHeight w:val="864"/>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Serdes高速接口IP须集成时钟数据恢复（CDR）、连续时间线性均衡器（CTLE）、判决反馈均衡器（DFE）以及可编程发送端均衡（TX EQ）技术，其中DFE应为5-tap自适应结构，支持连续自适应校准。</w:t>
            </w:r>
            <w:r/>
          </w:p>
        </w:tc>
      </w:tr>
      <w:tr>
        <w:trPr>
          <w:trHeight w:val="1181"/>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Serdes高速接口IP须提供内置诊断功能，包括片上采样示波器、伪随机比特序列（PRBS）生成与检测（支持PRBS7/9/11/15/16/23/31）、以及全面的生产测试模式（如边界扫描、扫描测试、IDDQ、Burn-In等）。</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Serdes高速接口IP须基于TSMC 28nm HPCP（CLN28HPC+）工艺节点设计并经过硅验证，交付完整的集成套件，包括前端视图（Verilog模型、仿真环境、时序库）、后端视图（GDSII布局、LVS网表）、信号完整性视图（S参数、IBIS-AMI模型）以及测试视图（ATPG、扫描网表）。</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接收器（RX）性能：在最高数据速率下，接收灵敏度应满足协议规范要求；支持可编程的CTLE增益控制（0-15dB）和DFE tap系数自适应调整。</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发射器（TX）性能：支持可编程的发送幅度控制和3-tap FFE均衡（预加重、去加重），输出差分电压摆幅可调范围满足多种协议要求。</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内置PLL性能：支持两路独立PLL（MPLLA和MPLLB），VCO频率范围覆盖4.8GHz至8.0GHz，支持多种参考时钟频率（20MHz-312.5MHz），具备扩频时钟（SSC）生成能力，调制范围±5000ppm。</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功耗管理：支持多种电源状态（P0/P0s/P1/P2），满足PCIe L1子状态等低功耗模式要求；支持独立的TX/RX通道电源关断。</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测试与调试功能：支持IEEE 1149.1和1149.6（AC JTAG）边界扫描，支持内置自检（BIST）功能，支持通过并行寄存器接口或JTAG接口进行寄存器访问和调试。</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电气特性：工作电压范围（VP/VPTX/ VPDIG）0.9V ±10%，VPH支持1.5V或1.8V；工作结温范围-40°C至125°C；ESD保护能力达到HBM 2kV、CDM 500V。</w:t>
            </w:r>
            <w:r/>
          </w:p>
        </w:tc>
      </w:tr>
      <w:tr>
        <w:trPr>
          <w:trHeight w:val="656"/>
        </w:trPr>
        <w:tc>
          <w:tcPr>
            <w:tcW w:w="67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W w:w="4327" w:type="pct"/>
            <w:vAlign w:val="center"/>
            <w:textDirection w:val="lrTb"/>
            <w:noWrap w:val="false"/>
          </w:tcPr>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交付物完整性：提供完整的databook、集成指南、参考时钟分配方案、封装和板级设计指南，以及经过验证的仿真测试用例。</w:t>
            </w:r>
            <w:r/>
          </w:p>
        </w:tc>
      </w:tr>
    </w:tbl>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562"/>
        <w:spacing w:line="400" w:lineRule="exact"/>
        <w:rPr>
          <w:rFonts w:ascii="宋体" w:hAnsi="宋体" w:eastAsia="宋体" w:cs="宋体"/>
          <w:sz w:val="24"/>
          <w:szCs w:val="24"/>
        </w:rPr>
      </w:pPr>
      <w:r>
        <w:rPr>
          <w:rFonts w:hint="eastAsia" w:ascii="宋体" w:hAnsi="宋体" w:eastAsia="宋体" w:cs="宋体"/>
          <w:b/>
          <w:bCs/>
          <w:sz w:val="28"/>
          <w:szCs w:val="28"/>
        </w:rPr>
        <w:t xml:space="preserve">三、商务要求（所有“商务要求”须在《商务条款响应及偏离表》中逐一明确是否响应和偏离）</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3.1 质保及售后要求</w:t>
      </w:r>
      <w:bookmarkStart w:id="52" w:name="_Hlk62579295"/>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3.1.1质保期内，投标人提供7×24小时技术支持响应，对项目提供关于IP集成、使用、调试等问题，能及时、准确地解答；响应时间不超过1小时，必要时提供驻场支持。有明确的项目时间表和沟通机制。</w:t>
      </w:r>
      <w:r/>
    </w:p>
    <w:p>
      <w:pPr>
        <w:ind w:firstLine="480"/>
        <w:spacing w:line="400"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3.1.2严格按照客户需求完成IP授权交付，按技术要求提供相应的设计文件、模型、文档等交付物，并确保IP的合法授权和可追溯性。</w:t>
      </w:r>
      <w:bookmarkEnd w:id="52"/>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3.2 验收标准（验收方式）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3.2.1过程验收：在IP交付后，投标人应提供必要的集成指导，协助采购人完成初步集成验证，确保IP在采购人设计环境中正确使用。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3.2.2 最终验收条件：</w:t>
      </w:r>
      <w:r/>
    </w:p>
    <w:p>
      <w:pPr>
        <w:numPr>
          <w:ilvl w:val="255"/>
          <w:numId w:val="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（1）IP交付物完整，包括所有必需的视图、模型、文档及授权证明；</w:t>
      </w:r>
      <w:r/>
    </w:p>
    <w:p>
      <w:pPr>
        <w:numPr>
          <w:ilvl w:val="255"/>
          <w:numId w:val="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（2）IP在采购人提供的测试环境中完成基本功能仿真，结果符合预期；</w:t>
      </w:r>
      <w:r/>
    </w:p>
    <w:p>
      <w:pPr>
        <w:numPr>
          <w:ilvl w:val="255"/>
          <w:numId w:val="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（3）所有技术指标满足第四章要求；</w:t>
      </w:r>
      <w:r/>
    </w:p>
    <w:p>
      <w:pPr>
        <w:numPr>
          <w:ilvl w:val="255"/>
          <w:numId w:val="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（4）提供完整的培训资料并完成培训。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3.2.3项目最终验收时，采购人将组织专家对交付物和验证结果进行评审。验收时发现不符合第四章技术要求，投标人须无条件按照采购人要求及时改正。退换及返工发生的所有费用均由投标人自行承担，且不影响合同的正常履行，因此造成的不能按时履约属于投标人违约。如在验收中发现双方均无法认定的争议，可聘请双方认可的具有国家认可检测资质的第三方检测机构予以检测，费用由投标人承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3.3 交付（安装）要求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3.3.1交付方式及时间：</w:t>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4395"/>
        <w:gridCol w:w="2344"/>
      </w:tblGrid>
      <w:tr>
        <w:trPr/>
        <w:tc>
          <w:tcPr>
            <w:tcW w:w="1257"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交付时间点</w:t>
            </w:r>
            <w:r/>
          </w:p>
        </w:tc>
        <w:tc>
          <w:tcPr>
            <w:tcW w:w="2440"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交付内容</w:t>
            </w:r>
            <w:r/>
          </w:p>
        </w:tc>
        <w:tc>
          <w:tcPr>
            <w:tcW w:w="1301"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交付方式</w:t>
            </w:r>
            <w:r/>
          </w:p>
        </w:tc>
      </w:tr>
      <w:tr>
        <w:trPr/>
        <w:tc>
          <w:tcPr>
            <w:tcW w:w="1257"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合同签订后2周内</w:t>
            </w:r>
            <w:r/>
          </w:p>
        </w:tc>
        <w:tc>
          <w:tcPr>
            <w:tcW w:w="2440"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Serdes IP完整交付包</w:t>
            </w:r>
            <w:r/>
          </w:p>
        </w:tc>
        <w:tc>
          <w:tcPr>
            <w:tcW w:w="1301"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电子文档</w:t>
            </w:r>
            <w:r/>
          </w:p>
        </w:tc>
      </w:tr>
      <w:tr>
        <w:trPr/>
        <w:tc>
          <w:tcPr>
            <w:tcW w:w="1257"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IP集成验证阶段</w:t>
            </w:r>
            <w:r/>
          </w:p>
        </w:tc>
        <w:tc>
          <w:tcPr>
            <w:tcW w:w="2440"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集成支持服务</w:t>
            </w:r>
            <w:r/>
          </w:p>
        </w:tc>
        <w:tc>
          <w:tcPr>
            <w:tcW w:w="1301"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现场/远程</w:t>
            </w:r>
            <w:r/>
          </w:p>
        </w:tc>
      </w:tr>
      <w:tr>
        <w:trPr/>
        <w:tc>
          <w:tcPr>
            <w:tcW w:w="1257"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培训阶段</w:t>
            </w:r>
            <w:r/>
          </w:p>
        </w:tc>
        <w:tc>
          <w:tcPr>
            <w:tcW w:w="2440"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技术培训</w:t>
            </w:r>
            <w:r/>
          </w:p>
        </w:tc>
        <w:tc>
          <w:tcPr>
            <w:tcW w:w="1301" w:type="pc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现场/远程</w:t>
            </w:r>
            <w:r/>
          </w:p>
        </w:tc>
      </w:tr>
    </w:tbl>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3.3.2 交付地点（供货地点）：采购人指定地点（可通过网络传输）。</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3.3.3按照采购人指定时间、地点现场交货，投标人在交付时应随货同步提供详细的相关操作说明及技术资料。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3.4 知识产权及保密要求</w:t>
      </w:r>
      <w:r/>
    </w:p>
    <w:p>
      <w:pPr>
        <w:ind w:firstLine="480"/>
        <w:spacing w:line="400" w:lineRule="exact"/>
        <w:rPr>
          <w:rFonts w:ascii="宋体" w:hAnsi="宋体" w:eastAsia="宋体" w:cs="宋体"/>
          <w:color w:val="333333"/>
          <w:sz w:val="24"/>
          <w:szCs w:val="24"/>
        </w:rPr>
      </w:pPr>
      <w:r>
        <w:rPr>
          <w:rFonts w:hint="eastAsia" w:ascii="宋体" w:hAnsi="宋体" w:eastAsia="宋体" w:cs="宋体"/>
          <w:sz w:val="24"/>
          <w:szCs w:val="24"/>
        </w:rPr>
        <w:t xml:space="preserve">3.4.1 </w:t>
      </w:r>
      <w:r>
        <w:rPr>
          <w:rFonts w:hint="eastAsia" w:ascii="宋体" w:hAnsi="宋体" w:eastAsia="宋体" w:cs="宋体"/>
          <w:color w:val="333333"/>
          <w:sz w:val="24"/>
          <w:szCs w:val="24"/>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400" w:lineRule="exact"/>
        <w:rPr>
          <w:rFonts w:ascii="宋体" w:hAnsi="宋体" w:eastAsia="宋体" w:cs="宋体"/>
          <w:sz w:val="24"/>
          <w:szCs w:val="24"/>
        </w:rPr>
      </w:pPr>
      <w:r>
        <w:rPr>
          <w:rFonts w:hint="eastAsia" w:ascii="宋体" w:hAnsi="宋体" w:eastAsia="宋体" w:cs="宋体"/>
          <w:color w:val="333333"/>
          <w:sz w:val="24"/>
          <w:szCs w:val="24"/>
        </w:rPr>
        <w:t xml:space="preserve">3.4.2保密要求：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lang w:val="en-US" w:eastAsia="zh-CN"/>
        </w:rPr>
        <w:t xml:space="preserve">3</w:t>
      </w:r>
      <w:r>
        <w:rPr>
          <w:rFonts w:hint="eastAsia" w:ascii="宋体" w:hAnsi="宋体" w:eastAsia="宋体" w:cs="宋体"/>
          <w:b/>
          <w:bCs/>
          <w:sz w:val="24"/>
          <w:szCs w:val="24"/>
        </w:rPr>
        <w:t xml:space="preserve">投标人应按招标文件要求的内容提供书面承诺函原件并加盖CA公章。</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3.5培训要求</w:t>
      </w:r>
      <w:r/>
    </w:p>
    <w:p>
      <w:pPr>
        <w:pStyle w:val="910"/>
        <w:ind w:firstLine="480"/>
        <w:jc w:val="both"/>
        <w:spacing w:before="0" w:beforeAutospacing="0" w:after="0" w:afterAutospacing="0" w:line="400" w:lineRule="exact"/>
        <w:shd w:val="clear" w:color="auto" w:fill="ffffff"/>
      </w:pPr>
      <w:r>
        <w:rPr>
          <w:rFonts w:hint="eastAsia"/>
        </w:rPr>
        <w:t xml:space="preserve">投标人应就本次采购的服务对采购人工程师提供免费的技术培训，确保采购人安排的工作人员能熟练掌握相关性能与技术参数。具体要求如下：</w:t>
      </w:r>
      <w:r/>
    </w:p>
    <w:p>
      <w:pPr>
        <w:pStyle w:val="910"/>
        <w:ind w:firstLine="480"/>
        <w:jc w:val="both"/>
        <w:spacing w:before="0" w:beforeAutospacing="0" w:after="0" w:afterAutospacing="0" w:line="400" w:lineRule="exact"/>
        <w:shd w:val="clear" w:color="auto" w:fill="ffffff"/>
      </w:pPr>
      <w:r>
        <w:rPr>
          <w:rFonts w:hint="eastAsia"/>
        </w:rPr>
        <w:t xml:space="preserve">3.5.1 培训内容应涵盖IP架构、接口协议、集成方法、仿真验证、芯片集成注意事项等。</w:t>
      </w:r>
      <w:r/>
    </w:p>
    <w:p>
      <w:pPr>
        <w:pStyle w:val="910"/>
        <w:ind w:firstLine="480"/>
        <w:jc w:val="both"/>
        <w:spacing w:before="0" w:beforeAutospacing="0" w:after="0" w:afterAutospacing="0" w:line="400" w:lineRule="exact"/>
        <w:shd w:val="clear" w:color="auto" w:fill="ffffff"/>
      </w:pPr>
      <w:r>
        <w:rPr>
          <w:rFonts w:hint="eastAsia"/>
        </w:rPr>
        <w:t xml:space="preserve">3.5.2 培训时间不少于2天，提供详细的培训资料（纸质或电子版）。</w:t>
      </w:r>
      <w:r/>
    </w:p>
    <w:p>
      <w:pPr>
        <w:pStyle w:val="910"/>
        <w:ind w:firstLine="480"/>
        <w:jc w:val="both"/>
        <w:spacing w:before="0" w:beforeAutospacing="0" w:after="0" w:afterAutospacing="0" w:line="400" w:lineRule="exact"/>
        <w:shd w:val="clear" w:color="auto" w:fill="ffffff"/>
      </w:pPr>
      <w:r>
        <w:rPr>
          <w:rFonts w:hint="eastAsia"/>
        </w:rPr>
        <w:t xml:space="preserve">3.5.3 培训地点由采购人指定，投标人承担培训讲师的差旅及食宿费用。</w:t>
      </w:r>
      <w:r/>
    </w:p>
    <w:p>
      <w:pPr>
        <w:pStyle w:val="910"/>
        <w:ind w:firstLine="480"/>
        <w:jc w:val="both"/>
        <w:spacing w:before="0" w:beforeAutospacing="0" w:after="0" w:afterAutospacing="0" w:line="400" w:lineRule="exact"/>
        <w:shd w:val="clear" w:color="auto" w:fill="ffffff"/>
      </w:pPr>
      <w:r>
        <w:rPr>
          <w:rFonts w:hint="eastAsia"/>
        </w:rPr>
        <w:t xml:space="preserve">3.5.4 培训结束后，投标人应提供培训考核，确保参训人员具备独立操作能力。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3.6付款方式</w:t>
      </w:r>
      <w:r/>
    </w:p>
    <w:p>
      <w:pPr>
        <w:pStyle w:val="913"/>
        <w:ind w:left="0" w:firstLine="480"/>
        <w:spacing w:after="0" w:line="400" w:lineRule="exact"/>
        <w:rPr>
          <w:rFonts w:ascii="宋体" w:hAnsi="宋体" w:cs="宋体"/>
          <w:sz w:val="24"/>
          <w:szCs w:val="24"/>
        </w:rPr>
      </w:pPr>
      <w:r>
        <w:rPr>
          <w:rFonts w:hint="eastAsia" w:ascii="宋体" w:hAnsi="宋体" w:cs="宋体"/>
          <w:sz w:val="24"/>
          <w:szCs w:val="24"/>
        </w:rPr>
        <w:t xml:space="preserve">合同签订后支付合同总价的30%；IP核交付并通过采购人审核后支付合同总价的40%；芯片流片成功后支付合同总价的30%尾款。如流片不成功，经双方确认非因乙方提供的IP核本身缺陷所致，甲方仍应支付该尾款；如因IP核缺陷导致流片失败，则甲方有权不支付尾款并要求乙方承担相应责任。投标人需先行提供等额合规发票供采购人办理付款手续，否则因此引起的付款延迟的风险由投标人自行承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3.7 关于报价</w:t>
      </w:r>
      <w:r/>
    </w:p>
    <w:p>
      <w:pPr>
        <w:ind w:firstLine="480"/>
        <w:spacing w:line="400" w:lineRule="exact"/>
        <w:rPr>
          <w:rFonts w:ascii="宋体" w:hAnsi="宋体" w:eastAsia="宋体" w:cs="宋体"/>
          <w:color w:val="000000"/>
          <w:sz w:val="24"/>
          <w:szCs w:val="24"/>
        </w:rPr>
      </w:pPr>
      <w:r>
        <w:rPr>
          <w:rFonts w:hint="eastAsia" w:ascii="宋体" w:hAnsi="宋体" w:eastAsia="宋体" w:cs="宋体"/>
          <w:sz w:val="24"/>
          <w:szCs w:val="24"/>
        </w:rPr>
        <w:t xml:space="preserve">该项目预算为全口径预算，包含了本项目所需的产品制造或服务提供过程中可能发生的所有费用，包括但不限于IP授权费、技术支持费、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ind w:firstLine="480"/>
        <w:spacing w:line="400" w:lineRule="exact"/>
        <w:rPr>
          <w:rFonts w:ascii="宋体" w:hAnsi="宋体" w:eastAsia="宋体" w:cs="宋体"/>
          <w:bCs/>
          <w:iCs/>
          <w:sz w:val="24"/>
          <w:szCs w:val="24"/>
        </w:rPr>
      </w:pPr>
      <w:r>
        <w:rPr>
          <w:rFonts w:hint="eastAsia" w:ascii="宋体" w:hAnsi="宋体" w:eastAsia="宋体" w:cs="宋体"/>
          <w:sz w:val="24"/>
          <w:szCs w:val="24"/>
        </w:rPr>
        <w:t xml:space="preserve">3.8 真实投标要求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投标人承诺所有投标内容为真实有效投标，如投标人中标后经查发现虚假投标内容，取消投标人中标资格，并承担因投标人虚假投标造成的采购方损失。</w:t>
      </w:r>
      <w:r>
        <w:rPr>
          <w:rFonts w:hint="eastAsia" w:ascii="宋体" w:hAnsi="宋体" w:eastAsia="宋体" w:cs="宋体"/>
          <w:b/>
          <w:bCs/>
          <w:sz w:val="24"/>
          <w:szCs w:val="24"/>
        </w:rPr>
        <w:t xml:space="preserve">投标人应按招标文件要求的内容提供书面承诺函原件并加盖CA公章。</w:t>
      </w:r>
      <w:r/>
    </w:p>
    <w:p>
      <w:pPr>
        <w:rPr>
          <w:rFonts w:ascii="宋体" w:hAnsi="宋体" w:cs="宋体"/>
          <w:sz w:val="24"/>
          <w:szCs w:val="24"/>
        </w:rPr>
      </w:pPr>
      <w:r>
        <w:rPr>
          <w:rFonts w:ascii="宋体" w:hAnsi="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★四、项目总体方案</w:t>
      </w:r>
      <w:r/>
    </w:p>
    <w:p>
      <w:pPr>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投标人完成本项目需具备相应的项目保障能力及售后响应能力。投标人的投标文件中应提出明确的项目实施方案、售后服务方案、培训方案、验收方案等保证采购人正常使用操作投标人所投产品需明确的相应内容。</w:t>
      </w:r>
      <w:r/>
    </w:p>
    <w:p>
      <w:pPr>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4.1 项目实施方案：包含IP交付计划、集成支持计划、关键节点控制、风险管理等，并明确以下基本服务要求：</w:t>
      </w:r>
      <w:r/>
    </w:p>
    <w:p>
      <w:pPr>
        <w:pStyle w:val="890"/>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提供7×24小时技术支持响应，响应时间不超过1小时；</w:t>
      </w:r>
      <w:r/>
    </w:p>
    <w:p>
      <w:pPr>
        <w:pStyle w:val="890"/>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在IP集成阶段提供驻场支持（如有需要）；</w:t>
      </w:r>
      <w:r/>
    </w:p>
    <w:p>
      <w:pPr>
        <w:pStyle w:val="890"/>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提供项目周报、里程碑报告等过程文档；</w:t>
      </w:r>
      <w:r/>
    </w:p>
    <w:p>
      <w:pPr>
        <w:pStyle w:val="890"/>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建立问题跟踪机制，确保所有问题闭环。</w:t>
      </w:r>
      <w:r/>
    </w:p>
    <w:p>
      <w:pPr>
        <w:pStyle w:val="890"/>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要求方案科学合理、完整、切实可行。</w:t>
      </w:r>
      <w:r/>
    </w:p>
    <w:p>
      <w:pPr>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4.2 售后服务方案：包含服务体系、服务内容、故障解决方案、专业技术人员保障。要求方案科学合理、完整、切实可行。</w:t>
      </w:r>
      <w:r/>
    </w:p>
    <w:p>
      <w:pPr>
        <w:ind w:left="0"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4.3 培训方案：培训方案包括但不限于培训体系、培训内容、课时安排等内容。售后服务方案全面完整、合理可行、清晰明确。</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400" w:lineRule="exact"/>
        <w:rPr>
          <w:rFonts w:ascii="黑体" w:hAnsi="黑体" w:eastAsia="黑体" w:cs="黑体"/>
          <w:color w:val="000000" w:themeColor="text1"/>
          <w:sz w:val="36"/>
          <w:szCs w:val="36"/>
          <w:lang w:val="zh-TW"/>
          <w14:textFill>
            <w14:solidFill>
              <w14:schemeClr w14:val="tx1"/>
            </w14:solidFill>
          </w14:textFill>
        </w:rPr>
      </w:pPr>
      <w:r>
        <w:rPr>
          <w:rFonts w:hint="eastAsia" w:ascii="宋体" w:hAnsi="宋体" w:eastAsia="宋体" w:cs="宋体"/>
          <w:b/>
          <w:bCs/>
          <w:sz w:val="24"/>
          <w:szCs w:val="24"/>
        </w:rPr>
        <w:t xml:space="preserve">注：在拟确认中标投标人后，按照采购人的投标人准入要求，提供相应的证明资料。如中标人资质不满足采购人相关要求，采购人有权取消其中标。</w:t>
      </w:r>
      <w:r>
        <w:rPr>
          <w:rFonts w:ascii="黑体" w:hAnsi="黑体" w:eastAsia="黑体" w:cs="黑体"/>
          <w:color w:val="000000" w:themeColor="text1"/>
          <w:sz w:val="36"/>
          <w:szCs w:val="36"/>
          <w:lang w:val="zh-TW"/>
          <w14:textFill>
            <w14:solidFill>
              <w14:schemeClr w14:val="tx1"/>
            </w14:solidFill>
          </w14:textFill>
        </w:rPr>
        <w:br w:type="page" w:clear="all"/>
      </w:r>
      <w:r/>
    </w:p>
    <w:p>
      <w:pPr>
        <w:pStyle w:val="910"/>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50"/>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3" w:name="_Toc120614281"/>
      <w:r/>
      <w:bookmarkStart w:id="54" w:name="_Toc49090575"/>
      <w:r/>
      <w:bookmarkStart w:id="55"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3"/>
      <w:r/>
      <w:bookmarkEnd w:id="54"/>
      <w:r/>
      <w:bookmarkEnd w:id="55"/>
      <w:r/>
      <w:r/>
    </w:p>
    <w:tbl>
      <w:tblPr>
        <w:tblStyle w:val="8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580"/>
        <w:gridCol w:w="5521"/>
        <w:gridCol w:w="1049"/>
      </w:tblGrid>
      <w:tr>
        <w:trPr>
          <w:trHeight w:val="422"/>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序号</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评分要素</w:t>
            </w:r>
            <w:r/>
          </w:p>
        </w:tc>
        <w:tc>
          <w:tcPr>
            <w:tcW w:w="3066"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评审标准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分值</w:t>
            </w:r>
            <w:r/>
          </w:p>
        </w:tc>
      </w:tr>
      <w:tr>
        <w:trPr>
          <w:trHeight w:val="422"/>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报价</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价格分统一采用低价优先法，即满足招标文件要求且最后报价最低的投标人的价格为基准价，其价格分为满分38分。其他投标人的价格分统一按照下列公式计算：</w:t>
            </w:r>
            <w:r/>
          </w:p>
          <w:p>
            <w:pPr>
              <w:spacing w:line="400" w:lineRule="exact"/>
              <w:rPr>
                <w:rFonts w:ascii="宋体" w:hAnsi="宋体" w:eastAsia="宋体" w:cs="宋体"/>
                <w:szCs w:val="21"/>
              </w:rPr>
            </w:pPr>
            <w:r>
              <w:rPr>
                <w:rFonts w:hint="eastAsia" w:ascii="宋体" w:hAnsi="宋体" w:eastAsia="宋体" w:cs="宋体"/>
                <w:szCs w:val="21"/>
              </w:rPr>
              <w:t xml:space="preserve">报价得分＝（基准价/最后报价）×38</w:t>
            </w:r>
            <w:r/>
          </w:p>
          <w:p>
            <w:pPr>
              <w:spacing w:line="400" w:lineRule="exact"/>
              <w:rPr>
                <w:rFonts w:ascii="宋体" w:hAnsi="宋体" w:eastAsia="宋体" w:cs="宋体"/>
                <w:szCs w:val="21"/>
              </w:rPr>
            </w:pPr>
            <w:r>
              <w:rPr>
                <w:rFonts w:hint="eastAsia" w:ascii="宋体" w:hAnsi="宋体" w:eastAsia="宋体" w:cs="宋体"/>
                <w:szCs w:val="21"/>
              </w:rPr>
              <w:t xml:space="preserve">政府采购评审中出现下列情形之一的，评审委员会应当启动异常低价响应审查程序：</w:t>
            </w:r>
            <w:r/>
          </w:p>
          <w:p>
            <w:pPr>
              <w:spacing w:line="400" w:lineRule="exact"/>
              <w:rPr>
                <w:rFonts w:ascii="宋体" w:hAnsi="宋体" w:eastAsia="宋体" w:cs="宋体"/>
                <w:szCs w:val="21"/>
              </w:rPr>
            </w:pPr>
            <w:r>
              <w:rPr>
                <w:rFonts w:hint="eastAsia" w:ascii="宋体" w:hAnsi="宋体" w:eastAsia="宋体" w:cs="宋体"/>
                <w:szCs w:val="21"/>
              </w:rPr>
              <w:t xml:space="preserve">（1）响应报价低于全部通过符合性审查供应商响应报价平均值50%的，即响应报价&lt;全部通过符合性审查供应商响应报价平均值×50%； </w:t>
            </w:r>
            <w:r/>
          </w:p>
          <w:p>
            <w:pPr>
              <w:spacing w:line="400" w:lineRule="exact"/>
              <w:rPr>
                <w:rFonts w:ascii="宋体" w:hAnsi="宋体" w:eastAsia="宋体" w:cs="宋体"/>
                <w:szCs w:val="21"/>
              </w:rPr>
            </w:pPr>
            <w:r>
              <w:rPr>
                <w:rFonts w:hint="eastAsia" w:ascii="宋体" w:hAnsi="宋体" w:eastAsia="宋体" w:cs="宋体"/>
                <w:szCs w:val="21"/>
              </w:rPr>
              <w:t xml:space="preserve">（2）响应报价低于通过符合性审查的次低报价供应商响应报价50%的，即响应报价&lt;通过符合性审查的次低报价供应商响应报价×50%； </w:t>
            </w:r>
            <w:r/>
          </w:p>
          <w:p>
            <w:pPr>
              <w:spacing w:line="400" w:lineRule="exact"/>
              <w:rPr>
                <w:rFonts w:ascii="宋体" w:hAnsi="宋体" w:eastAsia="宋体" w:cs="宋体"/>
                <w:szCs w:val="21"/>
              </w:rPr>
            </w:pPr>
            <w:r>
              <w:rPr>
                <w:rFonts w:hint="eastAsia" w:ascii="宋体" w:hAnsi="宋体" w:eastAsia="宋体" w:cs="宋体"/>
                <w:szCs w:val="21"/>
              </w:rPr>
              <w:t xml:space="preserve">（3）响应报价低于采购项目最高限价45%的，即响应报价&lt;采购项目最高限价×45%； </w:t>
            </w:r>
            <w:r/>
          </w:p>
          <w:p>
            <w:pPr>
              <w:spacing w:line="400" w:lineRule="exact"/>
              <w:rPr>
                <w:rFonts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p>
        </w:tc>
        <w:tc>
          <w:tcPr>
            <w:tcW w:w="583" w:type="pct"/>
            <w:vAlign w:val="center"/>
            <w:textDirection w:val="lrTb"/>
            <w:noWrap w:val="false"/>
          </w:tcPr>
          <w:p>
            <w:pPr>
              <w:jc w:val="center"/>
              <w:spacing w:line="400" w:lineRule="exact"/>
              <w:tabs>
                <w:tab w:val="left" w:pos="419" w:leader="none"/>
              </w:tabs>
              <w:rPr>
                <w:rFonts w:ascii="宋体" w:hAnsi="宋体" w:eastAsia="宋体" w:cs="宋体"/>
                <w:szCs w:val="21"/>
              </w:rPr>
            </w:pPr>
            <w:r>
              <w:rPr>
                <w:rFonts w:hint="eastAsia" w:ascii="宋体" w:hAnsi="宋体" w:eastAsia="宋体" w:cs="宋体"/>
                <w:szCs w:val="21"/>
              </w:rPr>
              <w:t xml:space="preserve">38</w:t>
            </w:r>
            <w:r/>
          </w:p>
        </w:tc>
      </w:tr>
      <w:tr>
        <w:trPr>
          <w:trHeight w:val="422"/>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2</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实施团队</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不少于4人的服务团队。</w:t>
            </w:r>
            <w:r/>
          </w:p>
          <w:p>
            <w:pPr>
              <w:spacing w:line="400" w:lineRule="exact"/>
              <w:rPr>
                <w:rFonts w:ascii="宋体" w:hAnsi="宋体" w:eastAsia="宋体" w:cs="宋体"/>
                <w:szCs w:val="21"/>
              </w:rPr>
            </w:pPr>
            <w:r>
              <w:rPr>
                <w:rFonts w:hint="eastAsia" w:ascii="宋体" w:hAnsi="宋体" w:eastAsia="宋体" w:cs="宋体"/>
                <w:szCs w:val="21"/>
              </w:rPr>
              <w:t xml:space="preserve">（1）项目经理：配备1名项目经理，具有5年以上高速接口IP相关项目管理经验，得3分。</w:t>
            </w:r>
            <w:r/>
          </w:p>
          <w:p>
            <w:pPr>
              <w:spacing w:line="400" w:lineRule="exact"/>
              <w:rPr>
                <w:rFonts w:ascii="宋体" w:hAnsi="宋体" w:eastAsia="宋体" w:cs="宋体"/>
                <w:szCs w:val="21"/>
              </w:rPr>
            </w:pPr>
            <w:r>
              <w:rPr>
                <w:rFonts w:hint="eastAsia" w:ascii="宋体" w:hAnsi="宋体" w:eastAsia="宋体" w:cs="宋体"/>
                <w:szCs w:val="21"/>
              </w:rPr>
              <w:t xml:space="preserve">（2）技术团队（除项目经理外）：配备不少于3人的技术服务团队，团队成员中每有1人具备3年以上高速接口IP相关技术经验，得1分，最高得3分。</w:t>
            </w:r>
            <w:r/>
          </w:p>
          <w:p>
            <w:pPr>
              <w:spacing w:line="400" w:lineRule="exact"/>
              <w:rPr>
                <w:rFonts w:ascii="宋体" w:hAnsi="宋体" w:eastAsia="宋体" w:cs="宋体"/>
                <w:szCs w:val="21"/>
              </w:rPr>
            </w:pPr>
            <w:r>
              <w:rPr>
                <w:rFonts w:hint="eastAsia" w:ascii="宋体" w:hAnsi="宋体" w:eastAsia="宋体" w:cs="宋体"/>
                <w:szCs w:val="21"/>
              </w:rPr>
              <w:t xml:space="preserve">（3）资质证书：团队成员中每有1人持有集成电路设计、芯片验证等相关职业资格证书或同等能力证明，得1分，最高得4分。</w:t>
            </w:r>
            <w:r/>
          </w:p>
          <w:p>
            <w:pPr>
              <w:spacing w:line="400" w:lineRule="exact"/>
              <w:rPr>
                <w:rFonts w:ascii="宋体" w:hAnsi="宋体" w:eastAsia="宋体" w:cs="宋体"/>
                <w:szCs w:val="21"/>
              </w:rPr>
            </w:pPr>
            <w:r>
              <w:rPr>
                <w:rFonts w:hint="eastAsia" w:ascii="宋体" w:hAnsi="宋体" w:eastAsia="宋体" w:cs="宋体"/>
                <w:szCs w:val="21"/>
              </w:rPr>
              <w:t xml:space="preserve">注：以上人员须提供人员名单、学历证书、资格证书、经验证明（劳动合同或履历证明）、2025年1月1日以来任意一个月由投标人为其缴纳社保的证明材料复印件，所有材料加盖CA公章。不提供或不按要求提供不得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10</w:t>
            </w:r>
            <w:r/>
          </w:p>
        </w:tc>
      </w:tr>
      <w:tr>
        <w:trPr>
          <w:trHeight w:val="550"/>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3</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同类项目业绩</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投标人提供自2022年1月1日以来承担过与本项目同类的合同业绩，每提供一例得3分，满分</w:t>
            </w:r>
            <w:r>
              <w:rPr>
                <w:rFonts w:ascii="宋体" w:hAnsi="宋体" w:eastAsia="宋体" w:cs="宋体"/>
                <w:szCs w:val="21"/>
              </w:rPr>
              <w:t xml:space="preserve">9</w:t>
            </w:r>
            <w:r>
              <w:rPr>
                <w:rFonts w:hint="eastAsia" w:ascii="宋体" w:hAnsi="宋体" w:eastAsia="宋体" w:cs="宋体"/>
                <w:szCs w:val="21"/>
              </w:rPr>
              <w:t xml:space="preserve">分。</w:t>
            </w:r>
            <w:r/>
          </w:p>
          <w:p>
            <w:pPr>
              <w:pStyle w:val="890"/>
              <w:ind w:firstLine="0"/>
            </w:pPr>
            <w:r>
              <w:rPr>
                <w:rFonts w:hint="eastAsia" w:cs="宋体"/>
                <w:b/>
                <w:bCs/>
                <w:szCs w:val="24"/>
              </w:rPr>
              <w:t xml:space="preserve">注：</w:t>
            </w:r>
            <w:r>
              <w:rPr>
                <w:rFonts w:hint="eastAsia" w:ascii="Times New Roman" w:hAnsi="Times New Roman" w:eastAsia="宋体" w:cs="宋体"/>
                <w:b/>
                <w:bCs/>
                <w:szCs w:val="24"/>
              </w:rPr>
              <w:t xml:space="preserve">需提供合同复印件并加盖公章（需体现签约单位及盖章内容、合同签订时间、主要服务内容及其他主要条款，不提供复印件或者证明文件不清晰的不得分）</w:t>
            </w:r>
            <w:r/>
          </w:p>
        </w:tc>
        <w:tc>
          <w:tcPr>
            <w:tcW w:w="583" w:type="pct"/>
            <w:vAlign w:val="center"/>
            <w:textDirection w:val="lrTb"/>
            <w:noWrap w:val="false"/>
          </w:tcPr>
          <w:p>
            <w:pPr>
              <w:jc w:val="center"/>
              <w:spacing w:line="400" w:lineRule="exact"/>
              <w:rPr>
                <w:rFonts w:ascii="宋体" w:hAnsi="宋体" w:eastAsia="宋体" w:cs="宋体"/>
                <w:szCs w:val="21"/>
              </w:rPr>
            </w:pPr>
            <w:r>
              <w:rPr>
                <w:rFonts w:ascii="宋体" w:hAnsi="宋体" w:eastAsia="宋体" w:cs="宋体"/>
                <w:szCs w:val="21"/>
              </w:rPr>
              <w:t xml:space="preserve">9</w:t>
            </w:r>
            <w:r/>
          </w:p>
        </w:tc>
      </w:tr>
      <w:tr>
        <w:trPr>
          <w:trHeight w:val="1820"/>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4</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服务方案与售后服务方案</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1）服务方案：提供完整的IP交付计划、集成支持计划、关键节点控制、风险管理等内容，内容齐全、重点突出、针对性强的，得5分；内容较齐全、重点较突出、针对性较强的，得3分；内容简单、重点不突出、针对性不强的，得1分；不提供不得分。</w:t>
            </w:r>
            <w:r/>
          </w:p>
          <w:p>
            <w:pPr>
              <w:spacing w:line="400" w:lineRule="exact"/>
              <w:rPr>
                <w:rFonts w:ascii="宋体" w:hAnsi="宋体" w:eastAsia="宋体" w:cs="宋体"/>
                <w:szCs w:val="21"/>
              </w:rPr>
            </w:pPr>
            <w:r>
              <w:rPr>
                <w:rFonts w:hint="eastAsia" w:ascii="宋体" w:hAnsi="宋体" w:eastAsia="宋体" w:cs="宋体"/>
                <w:szCs w:val="21"/>
              </w:rPr>
              <w:t xml:space="preserve">（2）售后服务方案：提供完整的服务体系、服务内容、故障解决方案、专业技术人员保障等内容，内容齐全、重点突出、针对性强的，得5分；内容较齐全、重点较突出、针对性较强的，得3分；内容简单、重点不突出、针对性不强的，得1分；不提供不得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10</w:t>
            </w:r>
            <w:r/>
          </w:p>
        </w:tc>
      </w:tr>
      <w:tr>
        <w:trPr>
          <w:trHeight w:val="843"/>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5</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培训方案</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进度计划安排合理，得5分；进度计划安排较合理，得3分；进度计划安排基本合理，得1分；无相关内容，或内容过于简单无法评价的不得分。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5</w:t>
            </w:r>
            <w:r/>
          </w:p>
        </w:tc>
      </w:tr>
      <w:tr>
        <w:trPr>
          <w:trHeight w:val="581"/>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6</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项目实施方案与信息安全管理方案</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1）项目实施方案：提供完整的项目实施计划、交付节点、资源安排、风险管理等内容，内容齐全、重点突出、针对性强的，得5分；内容较齐全、重点较突出、针对性较强的，得3分；内容简单、重点不突出、针对性不强的，得1分；不提供不得分。</w:t>
            </w:r>
            <w:r/>
          </w:p>
          <w:p>
            <w:pPr>
              <w:spacing w:line="400" w:lineRule="exact"/>
              <w:rPr>
                <w:rFonts w:ascii="宋体" w:hAnsi="宋体" w:eastAsia="宋体" w:cs="宋体"/>
                <w:szCs w:val="21"/>
              </w:rPr>
            </w:pPr>
            <w:r>
              <w:rPr>
                <w:rFonts w:hint="eastAsia" w:ascii="宋体" w:hAnsi="宋体" w:eastAsia="宋体" w:cs="宋体"/>
                <w:szCs w:val="21"/>
              </w:rPr>
              <w:t xml:space="preserve">（2）信息安全管理方案：提供完整的项目管理措施、人员管理措施、文档管理措施、信息安全管理措施等内容，内容齐全、重点突出、针对性强的，得5分；内容较齐全、重点较突出、针对性较强的，得3分；内容简单、重点不突出、针对性不强的，得1分；不提供不得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10</w:t>
            </w:r>
            <w:r/>
          </w:p>
        </w:tc>
      </w:tr>
      <w:tr>
        <w:trPr>
          <w:trHeight w:val="843"/>
        </w:trPr>
        <w:tc>
          <w:tcPr>
            <w:tcW w:w="471"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7</w:t>
            </w:r>
            <w:r/>
          </w:p>
        </w:tc>
        <w:tc>
          <w:tcPr>
            <w:tcW w:w="878"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技术水平响应</w:t>
            </w:r>
            <w:r/>
          </w:p>
        </w:tc>
        <w:tc>
          <w:tcPr>
            <w:tcW w:w="3066" w:type="pct"/>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投标人对招标文件具体需求的响应程度：</w:t>
            </w:r>
            <w:r/>
          </w:p>
          <w:p>
            <w:pPr>
              <w:spacing w:line="400" w:lineRule="exact"/>
              <w:rPr>
                <w:rFonts w:ascii="宋体" w:hAnsi="宋体" w:eastAsia="宋体" w:cs="宋体"/>
                <w:szCs w:val="21"/>
              </w:rPr>
            </w:pPr>
            <w:r>
              <w:rPr>
                <w:rFonts w:hint="eastAsia" w:ascii="宋体" w:hAnsi="宋体" w:eastAsia="宋体" w:cs="宋体"/>
                <w:szCs w:val="21"/>
              </w:rPr>
              <w:t xml:space="preserve">本文件第四章项目需求“二、技术要求”中，投标人全部满足得18分。</w:t>
            </w:r>
            <w:r/>
          </w:p>
          <w:p>
            <w:pPr>
              <w:spacing w:line="400" w:lineRule="exact"/>
              <w:rPr>
                <w:rFonts w:ascii="宋体" w:hAnsi="宋体" w:eastAsia="宋体" w:cs="宋体"/>
                <w:szCs w:val="21"/>
              </w:rPr>
            </w:pPr>
            <w:r>
              <w:rPr>
                <w:rFonts w:hint="eastAsia" w:ascii="宋体" w:hAnsi="宋体" w:eastAsia="宋体" w:cs="宋体"/>
                <w:szCs w:val="21"/>
              </w:rPr>
              <w:t xml:space="preserve">技术指标要求中：</w:t>
            </w:r>
            <w:r/>
          </w:p>
          <w:p>
            <w:pPr>
              <w:spacing w:line="400" w:lineRule="exact"/>
              <w:rPr>
                <w:rFonts w:ascii="宋体" w:hAnsi="宋体" w:eastAsia="宋体" w:cs="宋体"/>
                <w:szCs w:val="21"/>
              </w:rPr>
            </w:pPr>
            <w:r>
              <w:rPr>
                <w:rStyle w:val="919"/>
                <w:rFonts w:hint="eastAsia" w:ascii="宋体" w:hAnsi="宋体" w:eastAsia="宋体" w:cs="宋体"/>
              </w:rPr>
              <w:t xml:space="preserve">标“★”号技术要求的指标（共6项），有一条不满足按无效投标处理；标“▲”项技术指标（共6项）每条不满足扣4分。</w:t>
            </w:r>
            <w:r/>
          </w:p>
          <w:p>
            <w:pPr>
              <w:spacing w:line="400" w:lineRule="exact"/>
              <w:rPr>
                <w:rFonts w:ascii="宋体" w:hAnsi="宋体" w:eastAsia="宋体" w:cs="宋体"/>
                <w:szCs w:val="21"/>
              </w:rPr>
            </w:pPr>
            <w:r>
              <w:rPr>
                <w:rFonts w:hint="eastAsia" w:ascii="宋体" w:hAnsi="宋体" w:eastAsia="宋体" w:cs="宋体"/>
                <w:szCs w:val="21"/>
              </w:rPr>
              <w:t xml:space="preserve">本评分项分值扣完为止。</w:t>
            </w:r>
            <w:r/>
          </w:p>
          <w:p>
            <w:pPr>
              <w:spacing w:line="400" w:lineRule="exact"/>
              <w:rPr>
                <w:rFonts w:ascii="宋体" w:hAnsi="宋体" w:eastAsia="宋体" w:cs="宋体"/>
                <w:szCs w:val="21"/>
              </w:rPr>
            </w:pPr>
            <w:r>
              <w:rPr>
                <w:rFonts w:hint="eastAsia" w:ascii="宋体" w:hAnsi="宋体" w:eastAsia="宋体" w:cs="宋体"/>
                <w:szCs w:val="21"/>
              </w:rPr>
              <w:t xml:space="preserve">注：投标人需按项目需求中的技术指标要求逐项如实填写所投参数。</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18</w:t>
            </w:r>
            <w:r/>
          </w:p>
        </w:tc>
      </w:tr>
      <w:tr>
        <w:trPr>
          <w:trHeight w:val="390"/>
        </w:trPr>
        <w:tc>
          <w:tcPr>
            <w:gridSpan w:val="3"/>
            <w:tcW w:w="4416"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总分</w:t>
            </w:r>
            <w:r/>
          </w:p>
        </w:tc>
        <w:tc>
          <w:tcPr>
            <w:tcW w:w="583" w:type="pct"/>
            <w:vAlign w:val="center"/>
            <w:textDirection w:val="lrTb"/>
            <w:noWrap w:val="false"/>
          </w:tcPr>
          <w:p>
            <w:pPr>
              <w:jc w:val="center"/>
              <w:spacing w:line="400" w:lineRule="exact"/>
              <w:rPr>
                <w:rFonts w:ascii="宋体" w:hAnsi="宋体" w:eastAsia="宋体" w:cs="宋体"/>
                <w:szCs w:val="21"/>
              </w:rPr>
            </w:pPr>
            <w:r>
              <w:rPr>
                <w:rFonts w:hint="eastAsia" w:ascii="宋体" w:hAnsi="宋体" w:eastAsia="宋体" w:cs="宋体"/>
                <w:szCs w:val="21"/>
              </w:rPr>
              <w:t xml:space="preserve">100</w:t>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黑体" w:hAnsi="黑体" w:eastAsia="黑体" w:cs="黑体"/>
          <w:color w:val="000000" w:themeColor="text1"/>
          <w:sz w:val="36"/>
          <w:szCs w:val="36"/>
          <w:lang w:val="zh-TW"/>
          <w14:textFill>
            <w14:solidFill>
              <w14:schemeClr w14:val="tx1"/>
            </w14:solidFill>
          </w14:textFill>
        </w:rPr>
      </w:pPr>
      <w:r/>
      <w:bookmarkStart w:id="56"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6"/>
      <w:r/>
      <w:r/>
    </w:p>
    <w:p>
      <w:pPr>
        <w:pStyle w:val="93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4"/>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3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4"/>
        <w:ind w:firstLine="72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紫金山实验室Serdes高速接口IP采购项目</w:t>
      </w:r>
      <w:r/>
    </w:p>
    <w:p>
      <w:pPr>
        <w:pStyle w:val="934"/>
        <w:ind w:firstLine="720"/>
        <w:jc w:val="center"/>
        <w:widowControl w:val="off"/>
        <w:rPr>
          <w:rFonts w:ascii="Times New Roman" w:hAnsi="Times New Roman" w:eastAsia="黑体" w:cs="Times New Roman"/>
          <w:color w:val="000000" w:themeColor="text1"/>
          <w:sz w:val="36"/>
          <w:szCs w:val="36"/>
          <w:highlight w:val="none"/>
          <w14:textFill>
            <w14:solidFill>
              <w14:schemeClr w14:val="tx1"/>
            </w14:solidFill>
          </w14:textFill>
        </w:rPr>
      </w:pPr>
      <w:r>
        <w:rPr>
          <w:rFonts w:ascii="Times New Roman" w:hAnsi="Times New Roman" w:eastAsia="黑体" w:cs="Times New Roman"/>
          <w:color w:val="000000" w:themeColor="text1"/>
          <w:sz w:val="36"/>
          <w:szCs w:val="36"/>
          <w:highlight w:val="none"/>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highlight w:val="none"/>
          <w14:textFill>
            <w14:solidFill>
              <w14:schemeClr w14:val="tx1"/>
            </w14:solidFill>
          </w14:textFill>
        </w:rPr>
        <w:t xml:space="preserve">JSZC-320100-ZTZB-G2026-0013（内部编号PML-ZH-ZB-2026017）</w:t>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8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ind w:firstLine="720"/>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7" w:name="_Toc415494574"/>
      <w:r/>
      <w:bookmarkStart w:id="58" w:name="_Toc50"/>
      <w:r/>
      <w:bookmarkStart w:id="59" w:name="_Toc448069988"/>
      <w:r/>
      <w:bookmarkStart w:id="60"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7"/>
      <w:r/>
      <w:bookmarkEnd w:id="58"/>
      <w:r/>
      <w:bookmarkEnd w:id="59"/>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0"/>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紫金山实验室Serdes高速接口IP采购项目</w:t>
      </w:r>
      <w:r>
        <w:rPr>
          <w:rFonts w:hint="eastAsia" w:ascii="Times New Roman" w:hAnsi="Times New Roman" w:cs="Times New Roman"/>
          <w:color w:val="000000" w:themeColor="text1"/>
          <w:szCs w:val="21"/>
          <w:highlight w:val="none"/>
          <w:u w:val="single"/>
          <w14:textFill>
            <w14:solidFill>
              <w14:schemeClr w14:val="tx1"/>
            </w14:solidFill>
          </w14:textFill>
        </w:rPr>
        <w:t xml:space="preserve">（JSZC-320100-ZTZB-G2026-0013（内部编号PML-ZH-ZB-2026017））</w:t>
      </w:r>
      <w:r>
        <w:rPr>
          <w:rFonts w:ascii="Times New Roman" w:hAnsi="Times New Roman" w:cs="Times New Roman"/>
          <w:color w:val="000000" w:themeColor="text1"/>
          <w:szCs w:val="21"/>
          <w:highlight w:val="none"/>
          <w14:textFill>
            <w14:solidFill>
              <w14:schemeClr w14:val="tx1"/>
            </w14:solidFill>
          </w14:textFill>
        </w:rPr>
        <w:t xml:space="preserve">的</w:t>
      </w:r>
      <w:r>
        <w:rPr>
          <w:rFonts w:ascii="Times New Roman" w:hAnsi="Times New Roman" w:cs="Times New Roman"/>
          <w:color w:val="000000" w:themeColor="text1"/>
          <w:szCs w:val="21"/>
          <w14:textFill>
            <w14:solidFill>
              <w14:schemeClr w14:val="tx1"/>
            </w14:solidFill>
          </w14:textFill>
        </w:rPr>
        <w:t xml:space="preserve">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3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3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1" w:name="_Toc415494579"/>
      <w:r/>
      <w:bookmarkStart w:id="62" w:name="_Toc11859492"/>
      <w:r/>
      <w:bookmarkStart w:id="63" w:name="_Toc448069992"/>
      <w:r/>
      <w:bookmarkStart w:id="64" w:name="_Toc452541709"/>
      <w:r/>
      <w:bookmarkStart w:id="65" w:name="_Toc415494575"/>
      <w:r/>
      <w:bookmarkStart w:id="66" w:name="_Toc51"/>
      <w:r/>
      <w:bookmarkStart w:id="67"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1"/>
      <w:r/>
      <w:bookmarkEnd w:id="62"/>
      <w:r/>
      <w:bookmarkEnd w:id="63"/>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紫金山实验室Serdes高速接口IP采购项目</w:t>
      </w:r>
      <w:r/>
    </w:p>
    <w:p>
      <w:pPr>
        <w:ind w:firstLine="480"/>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s="Times New Roman"/>
          <w:color w:val="000000" w:themeColor="text1"/>
          <w:sz w:val="24"/>
          <w:szCs w:val="24"/>
          <w:highlight w:val="none"/>
          <w14:textFill>
            <w14:solidFill>
              <w14:schemeClr w14:val="tx1"/>
            </w14:solidFill>
          </w14:textFill>
        </w:rPr>
        <w:t xml:space="preserve">JSZC-320100-ZTZB-G2026-0013（内部编号PML-ZH-ZB-2026017）</w:t>
      </w:r>
      <w:r/>
    </w:p>
    <w:tbl>
      <w:tblPr>
        <w:tblStyle w:val="88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859"/>
        </w:trPr>
        <w:tc>
          <w:tcPr>
            <w:tcW w:w="1394" w:type="pct"/>
            <w:vAlign w:val="center"/>
            <w:textDirection w:val="lrTb"/>
            <w:noWrap w:val="false"/>
          </w:tcPr>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97"/>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34"/>
              <w:ind w:firstLine="0"/>
              <w:spacing w:before="0" w:after="0"/>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34"/>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34"/>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34"/>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897"/>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97"/>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ind w:firstLine="560"/>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投标人全称（投标人CA公章）：</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14:textFill>
            <w14:solidFill>
              <w14:schemeClr w14:val="tx1"/>
            </w14:solidFill>
          </w14:textFill>
        </w:rPr>
        <w:t xml:space="preserve"> 紫金山实验室Serdes高速接口IP采购项目 </w:t>
      </w:r>
      <w:r/>
    </w:p>
    <w:tbl>
      <w:tblPr>
        <w:tblStyle w:val="88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5"/>
        <w:gridCol w:w="1265"/>
        <w:gridCol w:w="1264"/>
        <w:gridCol w:w="716"/>
        <w:gridCol w:w="547"/>
        <w:gridCol w:w="781"/>
        <w:gridCol w:w="781"/>
        <w:gridCol w:w="781"/>
        <w:gridCol w:w="781"/>
        <w:gridCol w:w="821"/>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8" w:name="_Toc448069993"/>
      <w:r/>
      <w:bookmarkStart w:id="69" w:name="_Toc55"/>
      <w:r/>
      <w:bookmarkStart w:id="70" w:name="_Toc11859493"/>
      <w:r/>
      <w:bookmarkStart w:id="71" w:name="_Toc415494580"/>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8"/>
      <w:r/>
      <w:bookmarkEnd w:id="69"/>
      <w:r/>
      <w:bookmarkEnd w:id="70"/>
      <w:r/>
      <w:bookmarkEnd w:id="71"/>
      <w:r/>
      <w:r/>
    </w:p>
    <w:p>
      <w:pPr>
        <w:ind w:firstLine="560"/>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2" w:name="_Toc448069994"/>
      <w:r/>
      <w:bookmarkStart w:id="73" w:name="_Toc11859494"/>
      <w:r/>
      <w:bookmarkStart w:id="74" w:name="_Toc415494581"/>
      <w:r/>
      <w:bookmarkStart w:id="75"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2"/>
      <w:r/>
      <w:bookmarkEnd w:id="73"/>
      <w:r/>
      <w:bookmarkEnd w:id="74"/>
      <w:r/>
      <w:bookmarkEnd w:id="75"/>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6"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6"/>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紫金山实验室Serdes高速接口IP采购项目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3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6"/>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36"/>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3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3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3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3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77"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7"/>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紫金山实验室Serdes高速接口IP采购项目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3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6"/>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8"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8"/>
      <w:r/>
      <w:bookmarkStart w:id="79"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9"/>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13"/>
        <w:numPr>
          <w:ilvl w:val="255"/>
          <w:numId w:val="0"/>
        </w:numPr>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服务方案与售后服务方案</w:t>
      </w:r>
      <w:r/>
    </w:p>
    <w:p>
      <w:pPr>
        <w:pStyle w:val="913"/>
        <w:numPr>
          <w:ilvl w:val="255"/>
          <w:numId w:val="0"/>
        </w:numPr>
        <w:ind w:firstLine="48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培训方案</w:t>
      </w:r>
      <w:r/>
    </w:p>
    <w:p>
      <w:pPr>
        <w:pStyle w:val="913"/>
        <w:numPr>
          <w:ilvl w:val="255"/>
          <w:numId w:val="0"/>
        </w:numPr>
        <w:ind w:firstLine="48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项目实施方案与信息安全管理方案</w:t>
      </w:r>
      <w:r/>
    </w:p>
    <w:p>
      <w:pPr>
        <w:pStyle w:val="913"/>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13"/>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0"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0"/>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97"/>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97"/>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0"/>
        <w:ind w:right="14" w:firstLine="562"/>
        <w:jc w:val="center"/>
        <w:spacing w:before="0" w:beforeAutospacing="0" w:after="120" w:afterAutospacing="0" w:line="460" w:lineRule="exact"/>
        <w:widowControl w:val="off"/>
      </w:pPr>
      <w:r>
        <w:rPr>
          <w:b/>
          <w:sz w:val="28"/>
          <w:szCs w:val="28"/>
          <w:lang w:bidi="ar"/>
        </w:rPr>
        <w:t xml:space="preserve">中小企业声明函（货物）</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10"/>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10"/>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9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97"/>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97"/>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97"/>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97"/>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97"/>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97"/>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9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7"/>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0"/>
        <w:ind w:firstLine="48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0"/>
        <w:ind w:firstLine="48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7"/>
          <w:rFonts w:hint="eastAsia" w:ascii="方正魏碑_GBK" w:hAnsi="方正魏碑_GBK" w:eastAsia="方正魏碑_GBK" w:cs="方正魏碑_GBK"/>
          <w:u w:val="single"/>
          <w:shd w:val="clear" w:color="auto" w:fill="ffffff"/>
        </w:rPr>
        <w:t xml:space="preserve">（产品名称1）</w:t>
      </w:r>
      <w:r>
        <w:rPr>
          <w:rStyle w:val="917"/>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7"/>
          <w:rFonts w:hint="eastAsia" w:ascii="方正魏碑_GBK" w:hAnsi="方正魏碑_GBK" w:eastAsia="方正魏碑_GBK" w:cs="方正魏碑_GBK"/>
          <w:u w:val="single"/>
          <w:shd w:val="clear" w:color="auto" w:fill="ffffff"/>
        </w:rPr>
        <w:t xml:space="preserve">（厂名）</w:t>
      </w:r>
      <w:r>
        <w:rPr>
          <w:rStyle w:val="917"/>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7"/>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7"/>
          <w:rFonts w:hint="eastAsia" w:ascii="方正魏碑_GBK" w:hAnsi="方正魏碑_GBK" w:eastAsia="方正魏碑_GBK" w:cs="方正魏碑_GBK"/>
          <w:u w:val="single"/>
          <w:shd w:val="clear" w:color="auto" w:fill="ffffff"/>
        </w:rPr>
        <w:t xml:space="preserve">（规定</w:t>
      </w:r>
      <w:r>
        <w:rPr>
          <w:rStyle w:val="917"/>
          <w:rFonts w:ascii="方正魏碑_GBK" w:hAnsi="方正魏碑_GBK" w:eastAsia="方正魏碑_GBK" w:cs="方正魏碑_GBK"/>
          <w:u w:val="single"/>
          <w:shd w:val="clear" w:color="auto" w:fill="ffffff"/>
        </w:rPr>
        <w:t xml:space="preserve">比例</w:t>
      </w:r>
      <w:r>
        <w:rPr>
          <w:rStyle w:val="917"/>
          <w:rFonts w:hint="eastAsia" w:ascii="方正魏碑_GBK" w:hAnsi="方正魏碑_GBK" w:eastAsia="方正魏碑_GBK" w:cs="方正魏碑_GBK"/>
          <w:u w:val="single"/>
          <w:shd w:val="clear" w:color="auto" w:fill="ffffff"/>
        </w:rPr>
        <w:t xml:space="preserve">）</w:t>
      </w:r>
      <w:r>
        <w:rPr>
          <w:rStyle w:val="917"/>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7"/>
          <w:rFonts w:hint="eastAsia" w:ascii="方正魏碑_GBK" w:hAnsi="方正魏碑_GBK" w:eastAsia="方正魏碑_GBK" w:cs="方正魏碑_GBK"/>
          <w:u w:val="single"/>
          <w:shd w:val="clear" w:color="auto" w:fill="ffffff"/>
        </w:rPr>
        <w:t xml:space="preserve">（关键</w:t>
      </w:r>
      <w:r>
        <w:rPr>
          <w:rStyle w:val="917"/>
          <w:rFonts w:ascii="方正魏碑_GBK" w:hAnsi="方正魏碑_GBK" w:eastAsia="方正魏碑_GBK" w:cs="方正魏碑_GBK"/>
          <w:u w:val="single"/>
          <w:shd w:val="clear" w:color="auto" w:fill="ffffff"/>
        </w:rPr>
        <w:t xml:space="preserve">组件</w:t>
      </w:r>
      <w:r>
        <w:rPr>
          <w:rStyle w:val="917"/>
          <w:rFonts w:hint="eastAsia" w:ascii="方正魏碑_GBK" w:hAnsi="方正魏碑_GBK" w:eastAsia="方正魏碑_GBK" w:cs="方正魏碑_GBK"/>
          <w:u w:val="single"/>
          <w:shd w:val="clear" w:color="auto" w:fill="ffffff"/>
        </w:rPr>
        <w:t xml:space="preserve">）</w:t>
      </w:r>
      <w:r>
        <w:rPr>
          <w:rStyle w:val="917"/>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7"/>
          <w:rFonts w:hint="eastAsia" w:ascii="方正魏碑_GBK" w:hAnsi="方正魏碑_GBK" w:eastAsia="方正魏碑_GBK" w:cs="方正魏碑_GBK"/>
          <w:u w:val="single"/>
          <w:shd w:val="clear" w:color="auto" w:fill="ffffff"/>
        </w:rPr>
        <w:t xml:space="preserve">（关键工序）</w:t>
      </w:r>
      <w:r>
        <w:rPr>
          <w:rStyle w:val="917"/>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7"/>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7"/>
          <w:rFonts w:hint="eastAsia" w:ascii="方正魏碑_GBK" w:hAnsi="方正魏碑_GBK" w:eastAsia="方正魏碑_GBK" w:cs="方正魏碑_GBK"/>
          <w:u w:val="single"/>
          <w:shd w:val="clear" w:color="auto" w:fill="ffffff"/>
        </w:rPr>
        <w:t xml:space="preserve">（规定</w:t>
      </w:r>
      <w:r>
        <w:rPr>
          <w:rStyle w:val="917"/>
          <w:rFonts w:ascii="方正魏碑_GBK" w:hAnsi="方正魏碑_GBK" w:eastAsia="方正魏碑_GBK" w:cs="方正魏碑_GBK"/>
          <w:u w:val="single"/>
          <w:shd w:val="clear" w:color="auto" w:fill="ffffff"/>
        </w:rPr>
        <w:t xml:space="preserve">比例</w:t>
      </w:r>
      <w:r>
        <w:rPr>
          <w:rStyle w:val="91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7"/>
          <w:rFonts w:hint="eastAsia" w:ascii="方正魏碑_GBK" w:hAnsi="方正魏碑_GBK" w:eastAsia="方正魏碑_GBK" w:cs="方正魏碑_GBK"/>
          <w:u w:val="single"/>
          <w:shd w:val="clear" w:color="auto" w:fill="ffffff"/>
        </w:rPr>
        <w:t xml:space="preserve">（关键</w:t>
      </w:r>
      <w:r>
        <w:rPr>
          <w:rStyle w:val="917"/>
          <w:rFonts w:ascii="方正魏碑_GBK" w:hAnsi="方正魏碑_GBK" w:eastAsia="方正魏碑_GBK" w:cs="方正魏碑_GBK"/>
          <w:u w:val="single"/>
          <w:shd w:val="clear" w:color="auto" w:fill="ffffff"/>
        </w:rPr>
        <w:t xml:space="preserve">组件</w:t>
      </w:r>
      <w:r>
        <w:rPr>
          <w:rStyle w:val="91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7"/>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0"/>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0"/>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0"/>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0"/>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0"/>
        <w:ind w:firstLine="4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0"/>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97"/>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4"/>
      <w:r/>
      <w:bookmarkEnd w:id="65"/>
      <w:r/>
      <w:bookmarkEnd w:id="66"/>
      <w:r/>
      <w:bookmarkEnd w:id="67"/>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20"/>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54</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sz w:val="21"/>
        <w:szCs w:val="21"/>
      </w:rPr>
      <w:t xml:space="preserve">紫金山实验室Serdes高速接口IP采购项目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560"/>
      <w:jc w:val="right"/>
      <w:pBdr>
        <w:bottom w:val="single" w:color="auto" w:sz="4" w:space="0"/>
      </w:pBdr>
    </w:pPr>
    <w:r>
      <w:rPr>
        <w:rFonts w:hint="eastAsia" w:asciiTheme="minorEastAsia" w:hAnsiTheme="minorEastAsia" w:eastAsiaTheme="minorEastAsia" w:cstheme="minorEastAsia"/>
        <w:sz w:val="21"/>
        <w:szCs w:val="21"/>
      </w:rPr>
      <w:t xml:space="preserve">紫金山实验室Serdes高速接口IP采购项目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8"/>
    <w:link w:val="885"/>
    <w:uiPriority w:val="9"/>
    <w:rPr>
      <w:rFonts w:ascii="Arial" w:hAnsi="Arial" w:eastAsia="Arial" w:cs="Arial"/>
      <w:sz w:val="40"/>
      <w:szCs w:val="40"/>
    </w:rPr>
  </w:style>
  <w:style w:type="character" w:styleId="719">
    <w:name w:val="Heading 2 Char"/>
    <w:basedOn w:val="888"/>
    <w:link w:val="886"/>
    <w:uiPriority w:val="9"/>
    <w:rPr>
      <w:rFonts w:ascii="Arial" w:hAnsi="Arial" w:eastAsia="Arial" w:cs="Arial"/>
      <w:sz w:val="34"/>
    </w:rPr>
  </w:style>
  <w:style w:type="character" w:styleId="720">
    <w:name w:val="Heading 3 Char"/>
    <w:basedOn w:val="888"/>
    <w:link w:val="887"/>
    <w:uiPriority w:val="9"/>
    <w:rPr>
      <w:rFonts w:ascii="Arial" w:hAnsi="Arial" w:eastAsia="Arial" w:cs="Arial"/>
      <w:sz w:val="30"/>
      <w:szCs w:val="30"/>
    </w:rPr>
  </w:style>
  <w:style w:type="paragraph" w:styleId="721">
    <w:name w:val="Heading 4"/>
    <w:basedOn w:val="884"/>
    <w:next w:val="884"/>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88"/>
    <w:link w:val="721"/>
    <w:uiPriority w:val="9"/>
    <w:rPr>
      <w:rFonts w:ascii="Arial" w:hAnsi="Arial" w:eastAsia="Arial" w:cs="Arial"/>
      <w:b/>
      <w:bCs/>
      <w:sz w:val="26"/>
      <w:szCs w:val="26"/>
    </w:rPr>
  </w:style>
  <w:style w:type="paragraph" w:styleId="723">
    <w:name w:val="Heading 5"/>
    <w:basedOn w:val="884"/>
    <w:next w:val="884"/>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88"/>
    <w:link w:val="723"/>
    <w:uiPriority w:val="9"/>
    <w:rPr>
      <w:rFonts w:ascii="Arial" w:hAnsi="Arial" w:eastAsia="Arial" w:cs="Arial"/>
      <w:b/>
      <w:bCs/>
      <w:sz w:val="24"/>
      <w:szCs w:val="24"/>
    </w:rPr>
  </w:style>
  <w:style w:type="paragraph" w:styleId="725">
    <w:name w:val="Heading 6"/>
    <w:basedOn w:val="884"/>
    <w:next w:val="884"/>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88"/>
    <w:link w:val="725"/>
    <w:uiPriority w:val="9"/>
    <w:rPr>
      <w:rFonts w:ascii="Arial" w:hAnsi="Arial" w:eastAsia="Arial" w:cs="Arial"/>
      <w:b/>
      <w:bCs/>
      <w:sz w:val="22"/>
      <w:szCs w:val="22"/>
    </w:rPr>
  </w:style>
  <w:style w:type="paragraph" w:styleId="727">
    <w:name w:val="Heading 7"/>
    <w:basedOn w:val="884"/>
    <w:next w:val="884"/>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88"/>
    <w:link w:val="727"/>
    <w:uiPriority w:val="9"/>
    <w:rPr>
      <w:rFonts w:ascii="Arial" w:hAnsi="Arial" w:eastAsia="Arial" w:cs="Arial"/>
      <w:b/>
      <w:bCs/>
      <w:i/>
      <w:iCs/>
      <w:sz w:val="22"/>
      <w:szCs w:val="22"/>
    </w:rPr>
  </w:style>
  <w:style w:type="paragraph" w:styleId="729">
    <w:name w:val="Heading 8"/>
    <w:basedOn w:val="884"/>
    <w:next w:val="884"/>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88"/>
    <w:link w:val="729"/>
    <w:uiPriority w:val="9"/>
    <w:rPr>
      <w:rFonts w:ascii="Arial" w:hAnsi="Arial" w:eastAsia="Arial" w:cs="Arial"/>
      <w:i/>
      <w:iCs/>
      <w:sz w:val="22"/>
      <w:szCs w:val="22"/>
    </w:rPr>
  </w:style>
  <w:style w:type="paragraph" w:styleId="731">
    <w:name w:val="Heading 9"/>
    <w:basedOn w:val="884"/>
    <w:next w:val="884"/>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88"/>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8"/>
    <w:link w:val="911"/>
    <w:uiPriority w:val="10"/>
    <w:rPr>
      <w:sz w:val="48"/>
      <w:szCs w:val="48"/>
    </w:rPr>
  </w:style>
  <w:style w:type="paragraph" w:styleId="735">
    <w:name w:val="Subtitle"/>
    <w:basedOn w:val="884"/>
    <w:next w:val="884"/>
    <w:link w:val="736"/>
    <w:uiPriority w:val="11"/>
    <w:qFormat/>
    <w:pPr>
      <w:spacing w:before="200" w:after="200"/>
    </w:pPr>
    <w:rPr>
      <w:sz w:val="24"/>
      <w:szCs w:val="24"/>
    </w:rPr>
  </w:style>
  <w:style w:type="character" w:styleId="736">
    <w:name w:val="Subtitle Char"/>
    <w:basedOn w:val="888"/>
    <w:link w:val="735"/>
    <w:uiPriority w:val="11"/>
    <w:rPr>
      <w:sz w:val="24"/>
      <w:szCs w:val="24"/>
    </w:rPr>
  </w:style>
  <w:style w:type="paragraph" w:styleId="737">
    <w:name w:val="Quote"/>
    <w:basedOn w:val="884"/>
    <w:next w:val="884"/>
    <w:link w:val="738"/>
    <w:uiPriority w:val="29"/>
    <w:qFormat/>
    <w:pPr>
      <w:ind w:left="720" w:right="720"/>
    </w:pPr>
    <w:rPr>
      <w:i/>
    </w:rPr>
  </w:style>
  <w:style w:type="character" w:styleId="738">
    <w:name w:val="Quote Char"/>
    <w:link w:val="737"/>
    <w:uiPriority w:val="29"/>
    <w:rPr>
      <w:i/>
    </w:rPr>
  </w:style>
  <w:style w:type="paragraph" w:styleId="739">
    <w:name w:val="Intense Quote"/>
    <w:basedOn w:val="884"/>
    <w:next w:val="884"/>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8"/>
    <w:link w:val="906"/>
    <w:uiPriority w:val="99"/>
  </w:style>
  <w:style w:type="character" w:styleId="742">
    <w:name w:val="Footer Char"/>
    <w:basedOn w:val="888"/>
    <w:link w:val="904"/>
    <w:uiPriority w:val="99"/>
  </w:style>
  <w:style w:type="paragraph" w:styleId="743">
    <w:name w:val="Caption"/>
    <w:basedOn w:val="884"/>
    <w:next w:val="884"/>
    <w:uiPriority w:val="35"/>
    <w:semiHidden/>
    <w:unhideWhenUsed/>
    <w:qFormat/>
    <w:pPr>
      <w:spacing w:line="276" w:lineRule="auto"/>
    </w:pPr>
    <w:rPr>
      <w:b/>
      <w:bCs/>
      <w:color w:val="4f81bd" w:themeColor="accent1"/>
      <w:sz w:val="18"/>
      <w:szCs w:val="18"/>
    </w:rPr>
  </w:style>
  <w:style w:type="character" w:styleId="744">
    <w:name w:val="Caption Char"/>
    <w:basedOn w:val="743"/>
    <w:link w:val="904"/>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4"/>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4"/>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5">
    <w:name w:val="Heading 1"/>
    <w:basedOn w:val="884"/>
    <w:next w:val="884"/>
    <w:link w:val="952"/>
    <w:uiPriority w:val="9"/>
    <w:qFormat/>
    <w:pPr>
      <w:keepLines/>
      <w:keepNext/>
      <w:spacing w:before="340" w:after="330" w:line="578" w:lineRule="auto"/>
      <w:outlineLvl w:val="0"/>
    </w:pPr>
    <w:rPr>
      <w:b/>
      <w:bCs/>
      <w:sz w:val="44"/>
      <w:szCs w:val="44"/>
    </w:rPr>
  </w:style>
  <w:style w:type="paragraph" w:styleId="886">
    <w:name w:val="Heading 2"/>
    <w:basedOn w:val="884"/>
    <w:next w:val="884"/>
    <w:link w:val="1002"/>
    <w:uiPriority w:val="0"/>
    <w:qFormat/>
    <w:pPr>
      <w:keepLines/>
      <w:keepNext/>
      <w:spacing w:before="260" w:after="260" w:line="415" w:lineRule="auto"/>
      <w:outlineLvl w:val="1"/>
    </w:pPr>
    <w:rPr>
      <w:rFonts w:ascii="Arial" w:hAnsi="Arial" w:eastAsia="黑体" w:cs="Arial"/>
      <w:b/>
      <w:bCs/>
      <w:sz w:val="32"/>
      <w:szCs w:val="32"/>
    </w:rPr>
  </w:style>
  <w:style w:type="paragraph" w:styleId="887">
    <w:name w:val="Heading 3"/>
    <w:basedOn w:val="884"/>
    <w:next w:val="884"/>
    <w:link w:val="951"/>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customStyle="1">
    <w:name w:val="列表段落1"/>
    <w:basedOn w:val="884"/>
    <w:uiPriority w:val="99"/>
    <w:qFormat/>
    <w:pPr>
      <w:ind w:firstLine="420"/>
    </w:pPr>
    <w:rPr>
      <w:szCs w:val="20"/>
    </w:rPr>
  </w:style>
  <w:style w:type="paragraph" w:styleId="891">
    <w:name w:val="List Number 2"/>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2">
    <w:name w:val="Normal Indent"/>
    <w:basedOn w:val="884"/>
    <w:uiPriority w:val="0"/>
    <w:qFormat/>
    <w:pPr>
      <w:ind w:firstLine="420"/>
    </w:pPr>
    <w:rPr>
      <w:rFonts w:ascii="Times New Roman" w:hAnsi="Times New Roman" w:eastAsia="宋体" w:cs="Times New Roman"/>
      <w:szCs w:val="20"/>
    </w:rPr>
  </w:style>
  <w:style w:type="paragraph" w:styleId="893">
    <w:name w:val="Document Map"/>
    <w:basedOn w:val="884"/>
    <w:link w:val="988"/>
    <w:uiPriority w:val="99"/>
    <w:semiHidden/>
    <w:unhideWhenUsed/>
    <w:qFormat/>
    <w:pPr>
      <w:shd w:val="clear" w:color="auto" w:fill="000080"/>
    </w:pPr>
  </w:style>
  <w:style w:type="paragraph" w:styleId="894">
    <w:name w:val="annotation text"/>
    <w:basedOn w:val="884"/>
    <w:link w:val="955"/>
    <w:uiPriority w:val="99"/>
    <w:qFormat/>
    <w:pPr>
      <w:jc w:val="left"/>
    </w:pPr>
    <w:rPr>
      <w:rFonts w:ascii="Times New Roman" w:hAnsi="Times New Roman" w:eastAsia="宋体" w:cs="Times New Roman"/>
      <w:szCs w:val="20"/>
    </w:rPr>
  </w:style>
  <w:style w:type="paragraph" w:styleId="895">
    <w:name w:val="Body Text 3"/>
    <w:basedOn w:val="884"/>
    <w:link w:val="932"/>
    <w:uiPriority w:val="0"/>
    <w:qFormat/>
    <w:pPr>
      <w:spacing w:after="120"/>
    </w:pPr>
    <w:rPr>
      <w:rFonts w:ascii="Times New Roman" w:hAnsi="Times New Roman" w:eastAsia="宋体" w:cs="Times New Roman"/>
      <w:sz w:val="16"/>
      <w:szCs w:val="16"/>
    </w:rPr>
  </w:style>
  <w:style w:type="paragraph" w:styleId="896">
    <w:name w:val="List Bullet 3"/>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7">
    <w:name w:val="Body Text"/>
    <w:basedOn w:val="884"/>
    <w:link w:val="935"/>
    <w:uiPriority w:val="99"/>
    <w:unhideWhenUsed/>
    <w:qFormat/>
    <w:pPr>
      <w:spacing w:after="120"/>
    </w:pPr>
  </w:style>
  <w:style w:type="paragraph" w:styleId="898">
    <w:name w:val="Body Text Indent"/>
    <w:basedOn w:val="884"/>
    <w:link w:val="925"/>
    <w:uiPriority w:val="0"/>
    <w:qFormat/>
    <w:pPr>
      <w:ind w:left="900"/>
      <w:spacing w:after="120" w:line="360" w:lineRule="atLeast"/>
    </w:pPr>
    <w:rPr>
      <w:rFonts w:ascii="楷体_GB2312" w:hAnsi="Times New Roman" w:eastAsia="楷体_GB2312" w:cs="Times New Roman"/>
      <w:sz w:val="28"/>
      <w:szCs w:val="20"/>
    </w:rPr>
  </w:style>
  <w:style w:type="paragraph" w:styleId="899">
    <w:name w:val="index 4"/>
    <w:basedOn w:val="884"/>
    <w:next w:val="884"/>
    <w:uiPriority w:val="99"/>
    <w:semiHidden/>
    <w:unhideWhenUsed/>
    <w:qFormat/>
    <w:pPr>
      <w:ind w:left="600"/>
    </w:pPr>
  </w:style>
  <w:style w:type="paragraph" w:styleId="900">
    <w:name w:val="toc 3"/>
    <w:basedOn w:val="884"/>
    <w:next w:val="88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1">
    <w:name w:val="Plain Text"/>
    <w:basedOn w:val="884"/>
    <w:link w:val="928"/>
    <w:uiPriority w:val="99"/>
    <w:qFormat/>
    <w:rPr>
      <w:rFonts w:ascii="宋体" w:hAnsi="Courier New" w:eastAsia="宋体" w:cs="Times New Roman"/>
      <w:szCs w:val="20"/>
    </w:rPr>
  </w:style>
  <w:style w:type="paragraph" w:styleId="902">
    <w:name w:val="Date"/>
    <w:basedOn w:val="884"/>
    <w:next w:val="884"/>
    <w:link w:val="930"/>
    <w:uiPriority w:val="99"/>
    <w:unhideWhenUsed/>
    <w:qFormat/>
    <w:pPr>
      <w:ind w:left="100"/>
    </w:pPr>
  </w:style>
  <w:style w:type="paragraph" w:styleId="903">
    <w:name w:val="Balloon Text"/>
    <w:basedOn w:val="884"/>
    <w:link w:val="929"/>
    <w:uiPriority w:val="99"/>
    <w:unhideWhenUsed/>
    <w:qFormat/>
    <w:rPr>
      <w:sz w:val="18"/>
      <w:szCs w:val="18"/>
    </w:rPr>
  </w:style>
  <w:style w:type="paragraph" w:styleId="904">
    <w:name w:val="Footer"/>
    <w:basedOn w:val="884"/>
    <w:link w:val="921"/>
    <w:uiPriority w:val="99"/>
    <w:unhideWhenUsed/>
    <w:qFormat/>
    <w:pPr>
      <w:jc w:val="left"/>
      <w:tabs>
        <w:tab w:val="center" w:pos="4153" w:leader="none"/>
        <w:tab w:val="right" w:pos="8306" w:leader="none"/>
      </w:tabs>
    </w:pPr>
    <w:rPr>
      <w:sz w:val="18"/>
      <w:szCs w:val="18"/>
    </w:rPr>
  </w:style>
  <w:style w:type="paragraph" w:styleId="905">
    <w:name w:val="envelope return"/>
    <w:basedOn w:val="884"/>
    <w:uiPriority w:val="0"/>
    <w:qFormat/>
    <w:rPr>
      <w:rFonts w:ascii="Arial" w:hAnsi="Arial"/>
    </w:rPr>
  </w:style>
  <w:style w:type="paragraph" w:styleId="906">
    <w:name w:val="Header"/>
    <w:basedOn w:val="884"/>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84"/>
    <w:next w:val="88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08">
    <w:name w:val="toc 2"/>
    <w:basedOn w:val="884"/>
    <w:next w:val="884"/>
    <w:uiPriority w:val="39"/>
    <w:unhideWhenUsed/>
    <w:qFormat/>
    <w:pPr>
      <w:ind w:left="221"/>
      <w:jc w:val="left"/>
      <w:spacing w:line="360" w:lineRule="auto"/>
      <w:widowControl/>
    </w:pPr>
    <w:rPr>
      <w:rFonts w:ascii="Times New Roman" w:hAnsi="Times New Roman" w:eastAsia="宋体" w:cs="Times New Roman"/>
      <w:sz w:val="22"/>
    </w:rPr>
  </w:style>
  <w:style w:type="paragraph" w:styleId="909">
    <w:name w:val="HTML Preformatted"/>
    <w:basedOn w:val="884"/>
    <w:link w:val="961"/>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0">
    <w:name w:val="Normal (Web)"/>
    <w:basedOn w:val="88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1">
    <w:name w:val="Title"/>
    <w:basedOn w:val="884"/>
    <w:link w:val="989"/>
    <w:uiPriority w:val="10"/>
    <w:qFormat/>
    <w:pPr>
      <w:jc w:val="center"/>
      <w:spacing w:before="240" w:after="60"/>
      <w:outlineLvl w:val="0"/>
    </w:pPr>
    <w:rPr>
      <w:rFonts w:ascii="Arial" w:hAnsi="Arial"/>
      <w:b/>
      <w:sz w:val="32"/>
    </w:rPr>
  </w:style>
  <w:style w:type="paragraph" w:styleId="912">
    <w:name w:val="annotation subject"/>
    <w:basedOn w:val="894"/>
    <w:next w:val="894"/>
    <w:link w:val="939"/>
    <w:uiPriority w:val="99"/>
    <w:unhideWhenUsed/>
    <w:qFormat/>
    <w:rPr>
      <w:rFonts w:asciiTheme="minorHAnsi" w:hAnsiTheme="minorHAnsi" w:eastAsiaTheme="minorEastAsia" w:cstheme="minorBidi"/>
      <w:b/>
      <w:bCs/>
      <w:szCs w:val="22"/>
    </w:rPr>
  </w:style>
  <w:style w:type="paragraph" w:styleId="913">
    <w:name w:val="Body Text First Indent 2"/>
    <w:basedOn w:val="898"/>
    <w:next w:val="884"/>
    <w:uiPriority w:val="99"/>
    <w:qFormat/>
    <w:pPr>
      <w:ind w:left="420" w:firstLine="420"/>
    </w:pPr>
    <w:rPr>
      <w:rFonts w:ascii="Times New Roman" w:eastAsia="宋体"/>
      <w:szCs w:val="21"/>
    </w:rPr>
  </w:style>
  <w:style w:type="table" w:styleId="914">
    <w:name w:val="Table Grid"/>
    <w:basedOn w:val="88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15">
    <w:name w:val="Strong"/>
    <w:uiPriority w:val="22"/>
    <w:qFormat/>
    <w:rPr>
      <w:b/>
      <w:bCs/>
    </w:rPr>
  </w:style>
  <w:style w:type="character" w:styleId="916">
    <w:name w:val="FollowedHyperlink"/>
    <w:basedOn w:val="888"/>
    <w:uiPriority w:val="99"/>
    <w:unhideWhenUsed/>
    <w:qFormat/>
    <w:rPr>
      <w:color w:val="333333"/>
      <w:u w:val="none"/>
    </w:rPr>
  </w:style>
  <w:style w:type="character" w:styleId="917">
    <w:name w:val="Emphasis"/>
    <w:basedOn w:val="888"/>
    <w:uiPriority w:val="20"/>
    <w:qFormat/>
  </w:style>
  <w:style w:type="character" w:styleId="918">
    <w:name w:val="Hyperlink"/>
    <w:basedOn w:val="888"/>
    <w:uiPriority w:val="99"/>
    <w:unhideWhenUsed/>
    <w:qFormat/>
    <w:rPr>
      <w:color w:val="0563c1" w:themeColor="hyperlink"/>
      <w:u w:val="single"/>
      <w14:textFill>
        <w14:solidFill>
          <w14:schemeClr w14:val="hlink"/>
        </w14:solidFill>
      </w14:textFill>
    </w:rPr>
  </w:style>
  <w:style w:type="character" w:styleId="919">
    <w:name w:val="annotation reference"/>
    <w:basedOn w:val="888"/>
    <w:uiPriority w:val="99"/>
    <w:qFormat/>
    <w:rPr>
      <w:sz w:val="21"/>
      <w:szCs w:val="21"/>
    </w:rPr>
  </w:style>
  <w:style w:type="character" w:styleId="920" w:customStyle="1">
    <w:name w:val="页眉 Char"/>
    <w:basedOn w:val="888"/>
    <w:link w:val="906"/>
    <w:uiPriority w:val="99"/>
    <w:qFormat/>
    <w:rPr>
      <w:sz w:val="18"/>
      <w:szCs w:val="18"/>
    </w:rPr>
  </w:style>
  <w:style w:type="character" w:styleId="921" w:customStyle="1">
    <w:name w:val="页脚 Char"/>
    <w:basedOn w:val="888"/>
    <w:link w:val="904"/>
    <w:uiPriority w:val="99"/>
    <w:qFormat/>
    <w:rPr>
      <w:sz w:val="18"/>
      <w:szCs w:val="18"/>
    </w:rPr>
  </w:style>
  <w:style w:type="character" w:styleId="922" w:customStyle="1">
    <w:name w:val="标题 1 Char"/>
    <w:basedOn w:val="888"/>
    <w:uiPriority w:val="9"/>
    <w:qFormat/>
    <w:rPr>
      <w:b/>
      <w:bCs/>
      <w:sz w:val="44"/>
      <w:szCs w:val="44"/>
    </w:rPr>
  </w:style>
  <w:style w:type="paragraph" w:styleId="923" w:customStyle="1">
    <w:name w:val="TOC 标题1"/>
    <w:basedOn w:val="885"/>
    <w:next w:val="88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24" w:customStyle="1">
    <w:name w:val="列出段落1"/>
    <w:basedOn w:val="88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25" w:customStyle="1">
    <w:name w:val="正文文本缩进 Char"/>
    <w:basedOn w:val="888"/>
    <w:link w:val="898"/>
    <w:uiPriority w:val="0"/>
    <w:qFormat/>
    <w:rPr>
      <w:rFonts w:ascii="楷体_GB2312" w:hAnsi="Times New Roman" w:eastAsia="楷体_GB2312" w:cs="Times New Roman"/>
      <w:sz w:val="28"/>
      <w:szCs w:val="20"/>
    </w:rPr>
  </w:style>
  <w:style w:type="paragraph" w:styleId="926" w:customStyle="1">
    <w:name w:val="蓝色显示"/>
    <w:basedOn w:val="884"/>
    <w:link w:val="927"/>
    <w:uiPriority w:val="0"/>
    <w:qFormat/>
    <w:pPr>
      <w:spacing w:before="340" w:after="330" w:line="400" w:lineRule="exact"/>
    </w:pPr>
    <w:rPr>
      <w:rFonts w:ascii="Times New Roman" w:hAnsi="Times New Roman" w:eastAsia="宋体" w:cs="Times New Roman"/>
      <w:b/>
      <w:color w:val="0070c0"/>
      <w:szCs w:val="24"/>
    </w:rPr>
  </w:style>
  <w:style w:type="character" w:styleId="927" w:customStyle="1">
    <w:name w:val="蓝色显示 Char"/>
    <w:link w:val="926"/>
    <w:uiPriority w:val="0"/>
    <w:qFormat/>
    <w:rPr>
      <w:rFonts w:ascii="Times New Roman" w:hAnsi="Times New Roman" w:eastAsia="宋体" w:cs="Times New Roman"/>
      <w:b/>
      <w:color w:val="0070c0"/>
      <w:szCs w:val="24"/>
    </w:rPr>
  </w:style>
  <w:style w:type="character" w:styleId="928" w:customStyle="1">
    <w:name w:val="纯文本 Char"/>
    <w:basedOn w:val="888"/>
    <w:link w:val="901"/>
    <w:uiPriority w:val="0"/>
    <w:qFormat/>
    <w:rPr>
      <w:rFonts w:ascii="宋体" w:hAnsi="Courier New" w:eastAsia="宋体" w:cs="Times New Roman"/>
      <w:szCs w:val="20"/>
    </w:rPr>
  </w:style>
  <w:style w:type="character" w:styleId="929" w:customStyle="1">
    <w:name w:val="批注框文本 Char"/>
    <w:basedOn w:val="888"/>
    <w:link w:val="903"/>
    <w:uiPriority w:val="99"/>
    <w:semiHidden/>
    <w:qFormat/>
    <w:rPr>
      <w:sz w:val="18"/>
      <w:szCs w:val="18"/>
    </w:rPr>
  </w:style>
  <w:style w:type="character" w:styleId="930" w:customStyle="1">
    <w:name w:val="日期 Char"/>
    <w:basedOn w:val="888"/>
    <w:link w:val="902"/>
    <w:uiPriority w:val="99"/>
    <w:semiHidden/>
    <w:qFormat/>
  </w:style>
  <w:style w:type="character" w:styleId="931" w:customStyle="1">
    <w:name w:val="批注文字 Char"/>
    <w:basedOn w:val="888"/>
    <w:uiPriority w:val="99"/>
    <w:qFormat/>
    <w:rPr>
      <w:rFonts w:ascii="Times New Roman" w:hAnsi="Times New Roman" w:eastAsia="宋体" w:cs="Times New Roman"/>
      <w:szCs w:val="20"/>
    </w:rPr>
  </w:style>
  <w:style w:type="character" w:styleId="932" w:customStyle="1">
    <w:name w:val="正文文本 3 Char"/>
    <w:basedOn w:val="888"/>
    <w:link w:val="895"/>
    <w:uiPriority w:val="0"/>
    <w:qFormat/>
    <w:rPr>
      <w:rFonts w:ascii="Times New Roman" w:hAnsi="Times New Roman" w:eastAsia="宋体" w:cs="Times New Roman"/>
      <w:sz w:val="16"/>
      <w:szCs w:val="16"/>
    </w:rPr>
  </w:style>
  <w:style w:type="paragraph" w:styleId="933" w:customStyle="1">
    <w:name w:val="正文00"/>
    <w:basedOn w:val="884"/>
    <w:uiPriority w:val="0"/>
    <w:qFormat/>
    <w:pPr>
      <w:ind w:firstLine="200"/>
      <w:spacing w:line="360" w:lineRule="auto"/>
    </w:pPr>
    <w:rPr>
      <w:rFonts w:ascii="Times New Roman" w:hAnsi="Times New Roman" w:eastAsia="宋体" w:cs="Times New Roman"/>
      <w:sz w:val="24"/>
      <w:szCs w:val="21"/>
    </w:rPr>
  </w:style>
  <w:style w:type="paragraph" w:styleId="934" w:customStyle="1">
    <w:name w:val="普通正文"/>
    <w:basedOn w:val="884"/>
    <w:uiPriority w:val="0"/>
    <w:qFormat/>
    <w:pPr>
      <w:ind w:firstLine="480"/>
      <w:jc w:val="left"/>
      <w:spacing w:before="120" w:after="120" w:line="360" w:lineRule="auto"/>
      <w:widowControl/>
    </w:pPr>
    <w:rPr>
      <w:rFonts w:ascii="Arial" w:hAnsi="Arial" w:eastAsia="宋体" w:cs="宋体"/>
      <w:sz w:val="24"/>
      <w:szCs w:val="24"/>
    </w:rPr>
  </w:style>
  <w:style w:type="character" w:styleId="935" w:customStyle="1">
    <w:name w:val="正文文本 Char"/>
    <w:basedOn w:val="888"/>
    <w:link w:val="897"/>
    <w:uiPriority w:val="0"/>
    <w:qFormat/>
  </w:style>
  <w:style w:type="paragraph" w:styleId="936" w:customStyle="1">
    <w:name w:val="Default"/>
    <w:uiPriority w:val="0"/>
    <w:qFormat/>
    <w:rPr>
      <w:rFonts w:ascii="宋体" w:hAnsi="Times New Roman" w:eastAsia="宋体" w:cs="宋体"/>
      <w:color w:val="000000"/>
      <w:sz w:val="24"/>
      <w:szCs w:val="24"/>
      <w:lang w:val="en-US" w:eastAsia="zh-CN" w:bidi="ar-SA"/>
    </w:rPr>
  </w:style>
  <w:style w:type="paragraph" w:styleId="937" w:customStyle="1">
    <w:name w:val="Table Paragraph"/>
    <w:basedOn w:val="884"/>
    <w:uiPriority w:val="1"/>
    <w:qFormat/>
    <w:pPr>
      <w:jc w:val="left"/>
    </w:pPr>
    <w:rPr>
      <w:rFonts w:ascii="Times New Roman" w:hAnsi="Times New Roman" w:eastAsia="宋体" w:cs="Times New Roman"/>
      <w:sz w:val="24"/>
      <w:szCs w:val="24"/>
    </w:rPr>
  </w:style>
  <w:style w:type="paragraph" w:styleId="938" w:customStyle="1">
    <w:name w:val="_Style 20"/>
    <w:basedOn w:val="884"/>
    <w:next w:val="924"/>
    <w:uiPriority w:val="34"/>
    <w:qFormat/>
    <w:pPr>
      <w:ind w:firstLine="420"/>
    </w:pPr>
    <w:rPr>
      <w:rFonts w:ascii="Times New Roman" w:hAnsi="Times New Roman" w:eastAsia="宋体" w:cs="Times New Roman"/>
      <w:szCs w:val="21"/>
    </w:rPr>
  </w:style>
  <w:style w:type="character" w:styleId="939" w:customStyle="1">
    <w:name w:val="批注主题 Char"/>
    <w:basedOn w:val="931"/>
    <w:link w:val="912"/>
    <w:uiPriority w:val="99"/>
    <w:semiHidden/>
    <w:qFormat/>
    <w:rPr>
      <w:rFonts w:ascii="Times New Roman" w:hAnsi="Times New Roman" w:eastAsia="宋体" w:cs="Times New Roman"/>
      <w:b/>
      <w:bCs/>
      <w:sz w:val="21"/>
      <w:szCs w:val="22"/>
    </w:rPr>
  </w:style>
  <w:style w:type="paragraph" w:styleId="940" w:customStyle="1">
    <w:name w:val="_Style 6"/>
    <w:basedOn w:val="884"/>
    <w:uiPriority w:val="34"/>
    <w:qFormat/>
    <w:pPr>
      <w:ind w:firstLine="420"/>
      <w:widowControl/>
    </w:pPr>
    <w:rPr>
      <w:rFonts w:ascii="Calibri" w:hAnsi="Calibri"/>
      <w:sz w:val="34"/>
      <w:szCs w:val="21"/>
    </w:rPr>
  </w:style>
  <w:style w:type="paragraph" w:styleId="941" w:customStyle="1">
    <w:name w:val="列出段落11"/>
    <w:basedOn w:val="884"/>
    <w:uiPriority w:val="99"/>
    <w:qFormat/>
    <w:pPr>
      <w:contextualSpacing/>
      <w:ind w:left="720"/>
    </w:pPr>
    <w:rPr>
      <w:rFonts w:ascii="黑体" w:hAnsi="黑体" w:eastAsia="Arial" w:cs="黑体"/>
      <w:szCs w:val="21"/>
    </w:rPr>
  </w:style>
  <w:style w:type="character" w:styleId="942" w:customStyle="1">
    <w:name w:val="bsharetext"/>
    <w:basedOn w:val="888"/>
    <w:uiPriority w:val="0"/>
    <w:qFormat/>
  </w:style>
  <w:style w:type="character" w:styleId="943" w:customStyle="1">
    <w:name w:val="active2"/>
    <w:basedOn w:val="888"/>
    <w:uiPriority w:val="0"/>
    <w:qFormat/>
    <w:rPr>
      <w:shd w:val="clear" w:color="auto" w:fill="0162b1"/>
    </w:rPr>
  </w:style>
  <w:style w:type="character" w:styleId="944" w:customStyle="1">
    <w:name w:val="add3"/>
    <w:basedOn w:val="888"/>
    <w:uiPriority w:val="0"/>
    <w:qFormat/>
  </w:style>
  <w:style w:type="paragraph" w:styleId="945">
    <w:name w:val="List Paragraph"/>
    <w:basedOn w:val="88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6" w:customStyle="1">
    <w:name w:val="fontstyle01"/>
    <w:uiPriority w:val="0"/>
    <w:qFormat/>
    <w:rPr>
      <w:rFonts w:hint="eastAsia" w:ascii="宋体" w:hAnsi="宋体" w:eastAsia="宋体"/>
      <w:color w:val="000000"/>
      <w:sz w:val="24"/>
      <w:szCs w:val="24"/>
    </w:rPr>
  </w:style>
  <w:style w:type="character" w:styleId="947" w:customStyle="1">
    <w:name w:val="fontstyle21"/>
    <w:uiPriority w:val="0"/>
    <w:qFormat/>
    <w:rPr>
      <w:rFonts w:hint="default" w:ascii="Times New Roman" w:hAnsi="Times New Roman" w:cs="Times New Roman"/>
      <w:color w:val="000000"/>
      <w:sz w:val="24"/>
      <w:szCs w:val="24"/>
    </w:rPr>
  </w:style>
  <w:style w:type="paragraph" w:styleId="948"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49" w:customStyle="1">
    <w:name w:val="表格中文字（dbapp）"/>
    <w:basedOn w:val="884"/>
    <w:uiPriority w:val="0"/>
    <w:qFormat/>
    <w:pPr>
      <w:jc w:val="left"/>
      <w:spacing w:before="20" w:after="20"/>
    </w:pPr>
    <w:rPr>
      <w:rFonts w:ascii="方正兰亭黑简体" w:hAnsi="方正兰亭黑简体" w:eastAsia="方正兰亭黑简体"/>
      <w:szCs w:val="21"/>
    </w:rPr>
  </w:style>
  <w:style w:type="paragraph" w:styleId="950" w:customStyle="1">
    <w:name w:val="msolistparagraph"/>
    <w:basedOn w:val="884"/>
    <w:uiPriority w:val="0"/>
    <w:qFormat/>
    <w:pPr>
      <w:ind w:firstLine="420"/>
    </w:pPr>
    <w:rPr>
      <w:rFonts w:ascii="Calibri" w:hAnsi="Calibri" w:eastAsia="宋体" w:cs="Times New Roman"/>
    </w:rPr>
  </w:style>
  <w:style w:type="character" w:styleId="951" w:customStyle="1">
    <w:name w:val="标题 3 Char"/>
    <w:basedOn w:val="888"/>
    <w:link w:val="887"/>
    <w:uiPriority w:val="0"/>
    <w:qFormat/>
    <w:rPr>
      <w:b/>
      <w:bCs/>
      <w:sz w:val="32"/>
      <w:szCs w:val="32"/>
    </w:rPr>
  </w:style>
  <w:style w:type="character" w:styleId="952" w:customStyle="1">
    <w:name w:val="标题 1 Char1"/>
    <w:basedOn w:val="888"/>
    <w:link w:val="885"/>
    <w:uiPriority w:val="0"/>
    <w:qFormat/>
    <w:rPr>
      <w:b/>
      <w:bCs/>
      <w:sz w:val="32"/>
      <w:szCs w:val="44"/>
    </w:rPr>
  </w:style>
  <w:style w:type="character" w:styleId="953" w:customStyle="1">
    <w:name w:val="标题 2 字符1"/>
    <w:basedOn w:val="888"/>
    <w:uiPriority w:val="0"/>
    <w:qFormat/>
    <w:rPr>
      <w:rFonts w:hint="default" w:ascii="Cambria" w:hAnsi="Cambria" w:eastAsia="Cambria" w:cs="Cambria"/>
      <w:b/>
      <w:bCs/>
      <w:sz w:val="32"/>
      <w:szCs w:val="32"/>
    </w:rPr>
  </w:style>
  <w:style w:type="character" w:styleId="954" w:customStyle="1">
    <w:name w:val="批注文字 字符1"/>
    <w:basedOn w:val="888"/>
    <w:uiPriority w:val="0"/>
    <w:qFormat/>
    <w:rPr>
      <w:sz w:val="21"/>
      <w:szCs w:val="24"/>
    </w:rPr>
  </w:style>
  <w:style w:type="character" w:styleId="955" w:customStyle="1">
    <w:name w:val="批注文字 Char1"/>
    <w:basedOn w:val="888"/>
    <w:link w:val="894"/>
    <w:uiPriority w:val="99"/>
    <w:qFormat/>
    <w:rPr>
      <w:sz w:val="21"/>
      <w:szCs w:val="24"/>
    </w:rPr>
  </w:style>
  <w:style w:type="paragraph" w:styleId="95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1" w:customStyle="1">
    <w:name w:val="HTML 预设格式 Char"/>
    <w:basedOn w:val="888"/>
    <w:link w:val="909"/>
    <w:uiPriority w:val="0"/>
    <w:qFormat/>
    <w:rPr>
      <w:rFonts w:hint="eastAsia" w:ascii="宋体" w:hAnsi="宋体" w:eastAsia="宋体" w:cs="宋体"/>
      <w:sz w:val="24"/>
      <w:szCs w:val="24"/>
    </w:rPr>
  </w:style>
  <w:style w:type="paragraph" w:styleId="962"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63"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8" w:customStyle="1">
    <w:name w:val="_正文段落 Char Char"/>
    <w:basedOn w:val="888"/>
    <w:uiPriority w:val="0"/>
    <w:qFormat/>
    <w:rPr>
      <w:sz w:val="24"/>
      <w:szCs w:val="24"/>
    </w:rPr>
  </w:style>
  <w:style w:type="paragraph" w:styleId="969" w:customStyle="1">
    <w:name w:val="正文段落样式"/>
    <w:basedOn w:val="884"/>
    <w:link w:val="971"/>
    <w:uiPriority w:val="0"/>
    <w:qFormat/>
    <w:pPr>
      <w:ind w:firstLine="420"/>
      <w:jc w:val="left"/>
      <w:spacing w:line="360" w:lineRule="auto"/>
    </w:pPr>
    <w:rPr>
      <w:rFonts w:hint="eastAsia" w:ascii="等线" w:hAnsi="等线" w:eastAsia="等线" w:cs="Times New Roman"/>
      <w:sz w:val="24"/>
      <w:szCs w:val="21"/>
    </w:rPr>
  </w:style>
  <w:style w:type="character" w:styleId="970" w:customStyle="1">
    <w:name w:val="列表段落 字符"/>
    <w:basedOn w:val="888"/>
    <w:uiPriority w:val="0"/>
    <w:qFormat/>
    <w:rPr>
      <w:rFonts w:hint="eastAsia" w:ascii="Arial Unicode MS" w:hAnsi="Arial Unicode MS" w:eastAsia="等线" w:cs="Arial Unicode MS"/>
      <w:color w:val="000000"/>
      <w:lang w:eastAsia="en-US"/>
    </w:rPr>
  </w:style>
  <w:style w:type="character" w:styleId="971" w:customStyle="1">
    <w:name w:val="正文段落样式 Char"/>
    <w:basedOn w:val="888"/>
    <w:link w:val="969"/>
    <w:uiPriority w:val="0"/>
    <w:qFormat/>
    <w:rPr>
      <w:rFonts w:hint="eastAsia" w:ascii="等线" w:hAnsi="等线" w:eastAsia="等线" w:cs="Times New Roman"/>
      <w:sz w:val="24"/>
      <w:szCs w:val="21"/>
    </w:rPr>
  </w:style>
  <w:style w:type="paragraph" w:styleId="972"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73"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74" w:customStyle="1">
    <w:name w:val="标题 6 字符"/>
    <w:basedOn w:val="888"/>
    <w:uiPriority w:val="0"/>
    <w:qFormat/>
    <w:rPr>
      <w:rFonts w:ascii="Arial" w:hAnsi="Arial" w:eastAsia="黑体" w:cs="Times New Roman"/>
      <w:sz w:val="22"/>
      <w:szCs w:val="20"/>
    </w:rPr>
  </w:style>
  <w:style w:type="character" w:styleId="975" w:customStyle="1">
    <w:name w:val="文档正文 Char"/>
    <w:basedOn w:val="888"/>
    <w:uiPriority w:val="0"/>
    <w:qFormat/>
    <w:rPr>
      <w:rFonts w:hint="default" w:ascii="Times New Roman" w:hAnsi="Times New Roman" w:eastAsia="宋体" w:cs="Times New Roman"/>
      <w:sz w:val="22"/>
      <w:szCs w:val="20"/>
    </w:rPr>
  </w:style>
  <w:style w:type="character" w:styleId="976" w:customStyle="1">
    <w:name w:val="标题 5 字符"/>
    <w:basedOn w:val="888"/>
    <w:uiPriority w:val="0"/>
    <w:qFormat/>
    <w:rPr>
      <w:rFonts w:hint="default" w:ascii="Times New Roman" w:hAnsi="Times New Roman" w:eastAsia="宋体" w:cs="Times New Roman"/>
      <w:sz w:val="28"/>
      <w:szCs w:val="20"/>
    </w:rPr>
  </w:style>
  <w:style w:type="character" w:styleId="977" w:customStyle="1">
    <w:name w:val="正文(首行缩进) Char"/>
    <w:basedOn w:val="888"/>
    <w:link w:val="978"/>
    <w:uiPriority w:val="0"/>
    <w:qFormat/>
    <w:rPr>
      <w:rFonts w:hint="default" w:ascii="Times New Roman" w:hAnsi="Times New Roman" w:eastAsia="宋体" w:cs="Times New Roman"/>
      <w:sz w:val="24"/>
      <w:szCs w:val="24"/>
    </w:rPr>
  </w:style>
  <w:style w:type="paragraph" w:styleId="978" w:customStyle="1">
    <w:name w:val="正文(首行缩进)"/>
    <w:basedOn w:val="884"/>
    <w:next w:val="884"/>
    <w:link w:val="977"/>
    <w:uiPriority w:val="0"/>
    <w:qFormat/>
    <w:pPr>
      <w:ind w:firstLine="480"/>
      <w:spacing w:line="360" w:lineRule="auto"/>
    </w:pPr>
    <w:rPr>
      <w:rFonts w:ascii="Times New Roman" w:hAnsi="Times New Roman" w:eastAsia="宋体" w:cs="Times New Roman"/>
      <w:sz w:val="24"/>
      <w:szCs w:val="24"/>
    </w:rPr>
  </w:style>
  <w:style w:type="character" w:styleId="979" w:customStyle="1">
    <w:name w:val="标题 4 字符"/>
    <w:basedOn w:val="888"/>
    <w:uiPriority w:val="0"/>
    <w:qFormat/>
    <w:rPr>
      <w:rFonts w:hint="eastAsia" w:ascii="宋体" w:hAnsi="宋体" w:eastAsia="宋体" w:cs="Times New Roman"/>
      <w:b/>
      <w:sz w:val="24"/>
      <w:szCs w:val="24"/>
    </w:rPr>
  </w:style>
  <w:style w:type="paragraph" w:styleId="980" w:customStyle="1">
    <w:name w:val="表格内容"/>
    <w:basedOn w:val="884"/>
    <w:uiPriority w:val="0"/>
    <w:qFormat/>
    <w:pPr>
      <w:ind w:left="420"/>
      <w:spacing w:before="156" w:after="156" w:line="300" w:lineRule="auto"/>
    </w:pPr>
    <w:rPr>
      <w:rFonts w:ascii="Times New Roman" w:hAnsi="Times New Roman" w:eastAsia="宋体" w:cs="Times New Roman"/>
      <w:sz w:val="18"/>
      <w:szCs w:val="24"/>
    </w:rPr>
  </w:style>
  <w:style w:type="character" w:styleId="981" w:customStyle="1">
    <w:name w:val="标题 3 字符"/>
    <w:basedOn w:val="888"/>
    <w:uiPriority w:val="0"/>
    <w:qFormat/>
    <w:rPr>
      <w:rFonts w:hint="eastAsia" w:ascii="宋体" w:hAnsi="宋体" w:eastAsia="宋体" w:cs="Times New Roman"/>
      <w:b/>
      <w:bCs/>
      <w:sz w:val="24"/>
      <w:szCs w:val="24"/>
    </w:rPr>
  </w:style>
  <w:style w:type="character" w:styleId="982" w:customStyle="1">
    <w:name w:val="标题 1 字符"/>
    <w:basedOn w:val="888"/>
    <w:uiPriority w:val="0"/>
    <w:qFormat/>
    <w:rPr>
      <w:rFonts w:hint="eastAsia" w:ascii="宋体" w:hAnsi="宋体" w:eastAsia="宋体" w:cs="Times New Roman"/>
      <w:b/>
      <w:bCs/>
      <w:sz w:val="36"/>
      <w:szCs w:val="36"/>
    </w:rPr>
  </w:style>
  <w:style w:type="character" w:styleId="983" w:customStyle="1">
    <w:name w:val="标题 9 字符"/>
    <w:basedOn w:val="888"/>
    <w:uiPriority w:val="0"/>
    <w:qFormat/>
    <w:rPr>
      <w:rFonts w:hint="default" w:ascii="Arial" w:hAnsi="Arial" w:eastAsia="黑体" w:cs="Times New Roman"/>
      <w:sz w:val="22"/>
      <w:szCs w:val="20"/>
    </w:rPr>
  </w:style>
  <w:style w:type="character" w:styleId="984" w:customStyle="1">
    <w:name w:val="标题 8 字符"/>
    <w:basedOn w:val="888"/>
    <w:uiPriority w:val="0"/>
    <w:qFormat/>
    <w:rPr>
      <w:rFonts w:hint="default" w:ascii="Arial" w:hAnsi="Arial" w:eastAsia="黑体" w:cs="Times New Roman"/>
      <w:sz w:val="22"/>
      <w:szCs w:val="20"/>
    </w:rPr>
  </w:style>
  <w:style w:type="character" w:styleId="985" w:customStyle="1">
    <w:name w:val="[正文行首缩进] Char"/>
    <w:basedOn w:val="888"/>
    <w:link w:val="986"/>
    <w:uiPriority w:val="0"/>
    <w:qFormat/>
    <w:rPr>
      <w:rFonts w:hint="eastAsia" w:ascii="宋体" w:hAnsi="宋体" w:eastAsia="宋体" w:cs="宋体"/>
      <w:color w:val="000000"/>
      <w:sz w:val="24"/>
      <w:szCs w:val="24"/>
    </w:rPr>
  </w:style>
  <w:style w:type="paragraph" w:styleId="986" w:customStyle="1">
    <w:name w:val="[正文行首缩进]"/>
    <w:basedOn w:val="884"/>
    <w:link w:val="985"/>
    <w:uiPriority w:val="0"/>
    <w:qFormat/>
    <w:pPr>
      <w:jc w:val="center"/>
      <w:spacing w:line="360" w:lineRule="auto"/>
    </w:pPr>
    <w:rPr>
      <w:rFonts w:hint="eastAsia" w:ascii="宋体" w:hAnsi="等线" w:eastAsia="等线" w:cs="Times New Roman"/>
      <w:color w:val="000000"/>
      <w:sz w:val="24"/>
      <w:szCs w:val="24"/>
    </w:rPr>
  </w:style>
  <w:style w:type="character" w:styleId="987" w:customStyle="1">
    <w:name w:val="正文缩进 字符"/>
    <w:basedOn w:val="888"/>
    <w:uiPriority w:val="0"/>
    <w:qFormat/>
    <w:rPr>
      <w:sz w:val="24"/>
    </w:rPr>
  </w:style>
  <w:style w:type="character" w:styleId="988" w:customStyle="1">
    <w:name w:val="文档结构图 Char"/>
    <w:basedOn w:val="888"/>
    <w:link w:val="893"/>
    <w:uiPriority w:val="0"/>
    <w:qFormat/>
    <w:rPr>
      <w:rFonts w:hint="eastAsia" w:ascii="Microsoft YaHei UI" w:hAnsi="Microsoft YaHei UI" w:eastAsia="Microsoft YaHei UI" w:cs="Microsoft YaHei UI"/>
      <w:sz w:val="18"/>
      <w:szCs w:val="18"/>
    </w:rPr>
  </w:style>
  <w:style w:type="character" w:styleId="989" w:customStyle="1">
    <w:name w:val="标题 Char"/>
    <w:basedOn w:val="888"/>
    <w:link w:val="911"/>
    <w:uiPriority w:val="0"/>
    <w:qFormat/>
    <w:rPr>
      <w:rFonts w:ascii="等线 Light" w:hAnsi="等线 Light" w:eastAsia="等线 Light" w:cs="Times New Roman"/>
      <w:b/>
      <w:bCs/>
      <w:sz w:val="32"/>
      <w:szCs w:val="32"/>
    </w:rPr>
  </w:style>
  <w:style w:type="character" w:styleId="990" w:customStyle="1">
    <w:name w:val="标题 2 字符"/>
    <w:basedOn w:val="888"/>
    <w:uiPriority w:val="0"/>
    <w:qFormat/>
    <w:rPr>
      <w:rFonts w:hint="eastAsia" w:ascii="宋体" w:hAnsi="宋体" w:eastAsia="宋体" w:cs="Times New Roman"/>
      <w:b/>
      <w:bCs/>
      <w:sz w:val="28"/>
      <w:szCs w:val="32"/>
    </w:rPr>
  </w:style>
  <w:style w:type="character" w:styleId="991" w:customStyle="1">
    <w:name w:val="标题 7 字符"/>
    <w:basedOn w:val="888"/>
    <w:uiPriority w:val="0"/>
    <w:qFormat/>
    <w:rPr>
      <w:rFonts w:hint="default" w:ascii="Times New Roman" w:hAnsi="Times New Roman" w:eastAsia="宋体" w:cs="Times New Roman"/>
      <w:b/>
      <w:sz w:val="22"/>
      <w:szCs w:val="20"/>
    </w:rPr>
  </w:style>
  <w:style w:type="paragraph" w:styleId="992" w:customStyle="1">
    <w:name w:val="表格标题"/>
    <w:basedOn w:val="884"/>
    <w:uiPriority w:val="0"/>
    <w:qFormat/>
    <w:pPr>
      <w:jc w:val="center"/>
      <w:spacing w:before="62" w:after="62" w:line="360" w:lineRule="auto"/>
    </w:pPr>
    <w:rPr>
      <w:rFonts w:hint="eastAsia" w:ascii="宋体" w:hAnsi="宋体" w:eastAsia="宋体" w:cs="Times New Roman"/>
      <w:b/>
      <w:bCs/>
      <w:szCs w:val="20"/>
    </w:rPr>
  </w:style>
  <w:style w:type="table" w:styleId="993" w:customStyle="1">
    <w:name w:val="Table Normal"/>
    <w:basedOn w:val="889"/>
    <w:uiPriority w:val="0"/>
    <w:semiHidden/>
    <w:qFormat/>
    <w:pPr>
      <w:widowControl w:val="off"/>
    </w:pPr>
    <w:rPr>
      <w:rFonts w:hint="eastAsia"/>
      <w:sz w:val="22"/>
      <w:szCs w:val="22"/>
      <w:lang w:eastAsia="en-US"/>
    </w:rPr>
    <w:tblPr>
      <w:tblCellMar>
        <w:left w:w="0" w:type="dxa"/>
        <w:top w:w="0" w:type="dxa"/>
        <w:right w:w="0" w:type="dxa"/>
        <w:bottom w:w="0" w:type="dxa"/>
      </w:tblCellMar>
    </w:tblPr>
  </w:style>
  <w:style w:type="paragraph" w:styleId="994"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95" w:customStyle="1">
    <w:name w:val="正文文本首行缩进 字符"/>
    <w:uiPriority w:val="0"/>
    <w:qFormat/>
    <w:rPr>
      <w:rFonts w:hint="default" w:ascii="Calibri" w:hAnsi="Calibri" w:eastAsia="宋体" w:cs="Times New Roman"/>
      <w:sz w:val="21"/>
      <w:szCs w:val="22"/>
    </w:rPr>
  </w:style>
  <w:style w:type="paragraph" w:styleId="996" w:customStyle="1">
    <w:name w:val="表正文"/>
    <w:basedOn w:val="884"/>
    <w:uiPriority w:val="0"/>
    <w:qFormat/>
    <w:rPr>
      <w:rFonts w:hint="eastAsia" w:ascii="等线" w:hAnsi="等线" w:eastAsia="宋体" w:cs="Times New Roman"/>
      <w:sz w:val="18"/>
    </w:rPr>
  </w:style>
  <w:style w:type="paragraph" w:styleId="997"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8" w:customStyle="1">
    <w:name w:val="列出段落 Char"/>
    <w:basedOn w:val="888"/>
    <w:uiPriority w:val="0"/>
    <w:qFormat/>
    <w:rPr>
      <w:rFonts w:hint="eastAsia" w:ascii="Arial Unicode MS" w:hAnsi="Arial Unicode MS" w:eastAsia="Arial Unicode MS" w:cs="Arial Unicode MS"/>
      <w:color w:val="000000"/>
      <w:sz w:val="20"/>
      <w:szCs w:val="20"/>
      <w:lang w:eastAsia="en-US"/>
    </w:rPr>
  </w:style>
  <w:style w:type="character" w:styleId="999" w:customStyle="1">
    <w:name w:val="标题 2 字符2"/>
    <w:basedOn w:val="888"/>
    <w:uiPriority w:val="0"/>
    <w:qFormat/>
    <w:rPr>
      <w:rFonts w:hint="default" w:ascii="Arial" w:hAnsi="Arial" w:eastAsia="黑体" w:cs="Arial"/>
      <w:b/>
      <w:bCs/>
      <w:sz w:val="32"/>
      <w:szCs w:val="32"/>
    </w:rPr>
  </w:style>
  <w:style w:type="paragraph" w:styleId="1000"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1"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2" w:customStyle="1">
    <w:name w:val="标题 2 Char"/>
    <w:basedOn w:val="888"/>
    <w:link w:val="886"/>
    <w:uiPriority w:val="0"/>
    <w:qFormat/>
    <w:rPr>
      <w:rFonts w:hint="default" w:ascii="Arial" w:hAnsi="Arial" w:eastAsia="黑体" w:cs="Arial"/>
      <w:b/>
      <w:bCs/>
      <w:sz w:val="32"/>
      <w:szCs w:val="32"/>
    </w:rPr>
  </w:style>
  <w:style w:type="character" w:styleId="1003" w:customStyle="1">
    <w:name w:val="列出段落 Char1"/>
    <w:basedOn w:val="888"/>
    <w:uiPriority w:val="0"/>
    <w:qFormat/>
    <w:rPr>
      <w:rFonts w:hint="eastAsia" w:ascii="Arial Unicode MS" w:hAnsi="Arial Unicode MS" w:eastAsia="Arial Unicode MS" w:cs="Arial Unicode MS"/>
      <w:color w:val="000000"/>
      <w:sz w:val="20"/>
      <w:szCs w:val="20"/>
      <w:lang w:eastAsia="en-US"/>
    </w:rPr>
  </w:style>
  <w:style w:type="paragraph" w:styleId="1004"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05"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06" w:customStyle="1">
    <w:name w:val="Table Text"/>
    <w:basedOn w:val="884"/>
    <w:hidden/>
    <w:uiPriority w:val="0"/>
    <w:qFormat/>
    <w:pPr>
      <w:jc w:val="left"/>
      <w:widowControl/>
    </w:pPr>
    <w:rPr>
      <w:rFonts w:hint="eastAsia" w:ascii="宋体" w:hAnsi="宋体" w:eastAsia="宋体" w:cs="Times New Roman"/>
      <w:color w:val="000000"/>
      <w:szCs w:val="21"/>
    </w:rPr>
  </w:style>
  <w:style w:type="paragraph" w:styleId="1007"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09" w:customStyle="1">
    <w:name w:val="纯文本 字符1"/>
    <w:basedOn w:val="888"/>
    <w:uiPriority w:val="0"/>
    <w:qFormat/>
    <w:rPr>
      <w:rFonts w:hint="eastAsia" w:ascii="宋体" w:hAnsi="Courier New" w:eastAsia="宋体" w:cs="Courier New"/>
      <w:szCs w:val="24"/>
    </w:rPr>
  </w:style>
  <w:style w:type="paragraph" w:styleId="1010"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1" w:customStyle="1">
    <w:name w:val="段"/>
    <w:basedOn w:val="884"/>
    <w:next w:val="884"/>
    <w:uiPriority w:val="0"/>
    <w:qFormat/>
    <w:pPr>
      <w:ind w:firstLine="200"/>
      <w:spacing w:line="360" w:lineRule="auto"/>
      <w:widowControl/>
    </w:pPr>
    <w:rPr>
      <w:rFonts w:hint="eastAsia" w:ascii="宋体" w:hAnsi="Times New Roman" w:eastAsia="宋体" w:cs="Times New Roman"/>
      <w:sz w:val="24"/>
    </w:rPr>
  </w:style>
  <w:style w:type="paragraph" w:styleId="1012"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13"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14"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16" w:customStyle="1">
    <w:name w:val="正文文本首行缩进 2 字符"/>
    <w:uiPriority w:val="0"/>
    <w:qFormat/>
    <w:rPr>
      <w:sz w:val="21"/>
      <w:szCs w:val="24"/>
    </w:rPr>
  </w:style>
  <w:style w:type="paragraph" w:styleId="1017" w:customStyle="1">
    <w:name w:val="qq正文"/>
    <w:basedOn w:val="884"/>
    <w:uiPriority w:val="0"/>
    <w:qFormat/>
    <w:pPr>
      <w:ind w:firstLine="200"/>
      <w:spacing w:line="360" w:lineRule="auto"/>
    </w:pPr>
    <w:rPr>
      <w:rFonts w:ascii="Times New Roman" w:hAnsi="Times New Roman" w:eastAsia="宋体" w:cs="Times New Roman"/>
      <w:sz w:val="24"/>
      <w:szCs w:val="24"/>
    </w:rPr>
  </w:style>
  <w:style w:type="paragraph" w:styleId="1018"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19"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2"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23"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1025"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修订34"/>
    <w:hidden/>
    <w:uiPriority w:val="99"/>
    <w:semiHidden/>
    <w:qFormat/>
    <w:rPr>
      <w:rFonts w:asciiTheme="minorHAnsi" w:hAnsiTheme="minorHAnsi" w:eastAsiaTheme="minorEastAsia" w:cstheme="minorBidi"/>
      <w:sz w:val="21"/>
      <w:szCs w:val="22"/>
      <w:lang w:val="en-US" w:eastAsia="zh-CN" w:bidi="ar-SA"/>
    </w:rPr>
  </w:style>
  <w:style w:type="paragraph" w:styleId="1027" w:customStyle="1">
    <w:name w:val="修订35"/>
    <w:hidden/>
    <w:uiPriority w:val="99"/>
    <w:unhideWhenUsed/>
    <w:qFormat/>
    <w:rPr>
      <w:rFonts w:asciiTheme="minorHAnsi" w:hAnsiTheme="minorHAnsi" w:eastAsiaTheme="minorEastAsia" w:cstheme="minorBidi"/>
      <w:sz w:val="21"/>
      <w:szCs w:val="22"/>
      <w:lang w:val="en-US" w:eastAsia="zh-CN" w:bidi="ar-SA"/>
    </w:rPr>
  </w:style>
  <w:style w:type="paragraph" w:styleId="1028"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E0C153F-57AE-45ED-BB67-16AD4FB1909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5</cp:revision>
  <dcterms:created xsi:type="dcterms:W3CDTF">2026-04-05T14:31:00Z</dcterms:created>
  <dcterms:modified xsi:type="dcterms:W3CDTF">2026-04-14T02:54:29Z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B39F9EBF2357441086B06668393C577B_13</vt:lpwstr>
  </property>
  <property fmtid="{D5CDD505-2E9C-101B-9397-08002B2CF9AE}" pid="4" name="KSOTemplateDocerSaveRecord">
    <vt:lpwstr>eyJoZGlkIjoiNTE3ODBhODAwYWZlYmM2Zjk2MjA5ZjdiYTk1Y2U0OTQiLCJ1c2VySWQiOiI5NTc1NDY5NDYifQ==</vt:lpwstr>
  </property>
</Properties>
</file>