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06"/>
        <w:ind w:firstLine="300"/>
        <w:spacing w:line="360" w:lineRule="auto"/>
        <w:rPr>
          <w:color w:val="000000"/>
          <w:sz w:val="60"/>
          <w:szCs w:val="60"/>
          <w:highlight w:val="none"/>
        </w:rPr>
      </w:pPr>
      <w:r>
        <w:rPr>
          <w:color w:val="000000"/>
          <w:sz w:val="60"/>
          <w:szCs w:val="60"/>
          <w:highlight w:val="none"/>
        </w:rPr>
      </w:r>
      <w:r/>
    </w:p>
    <w:p>
      <w:pPr>
        <w:pStyle w:val="906"/>
        <w:jc w:val="center"/>
        <w:spacing w:line="360" w:lineRule="auto"/>
        <w:rPr>
          <w:b/>
          <w:bCs/>
          <w:color w:val="000000"/>
          <w:sz w:val="84"/>
          <w:szCs w:val="84"/>
          <w:highlight w:val="none"/>
        </w:rPr>
      </w:pPr>
      <w:r>
        <w:rPr>
          <w:b/>
          <w:bCs/>
          <w:color w:val="000000"/>
          <w:sz w:val="84"/>
          <w:szCs w:val="84"/>
          <w:highlight w:val="none"/>
        </w:rPr>
        <w:t xml:space="preserve">常州市政府采购项目</w:t>
      </w:r>
      <w:r>
        <w:rPr>
          <w:b/>
          <w:bCs/>
          <w:color w:val="000000"/>
          <w:sz w:val="84"/>
          <w:szCs w:val="84"/>
          <w:highlight w:val="none"/>
        </w:rPr>
      </w:r>
      <w:r/>
    </w:p>
    <w:p>
      <w:pPr>
        <w:pStyle w:val="906"/>
        <w:jc w:val="center"/>
        <w:spacing w:line="360" w:lineRule="auto"/>
        <w:rPr>
          <w:b/>
          <w:bCs/>
          <w:color w:val="000000"/>
          <w:sz w:val="84"/>
          <w:szCs w:val="84"/>
          <w:highlight w:val="none"/>
        </w:rPr>
      </w:pPr>
      <w:r>
        <w:rPr>
          <w:rFonts w:hint="eastAsia"/>
          <w:b/>
          <w:bCs/>
          <w:color w:val="000000"/>
          <w:sz w:val="84"/>
          <w:szCs w:val="84"/>
          <w:highlight w:val="none"/>
        </w:rPr>
        <w:t xml:space="preserve">公开</w:t>
      </w:r>
      <w:r>
        <w:rPr>
          <w:b/>
          <w:bCs/>
          <w:color w:val="000000"/>
          <w:sz w:val="84"/>
          <w:szCs w:val="84"/>
          <w:highlight w:val="none"/>
        </w:rPr>
        <w:t xml:space="preserve">招标文件</w:t>
      </w:r>
      <w:r>
        <w:rPr>
          <w:b/>
          <w:bCs/>
          <w:color w:val="000000"/>
          <w:sz w:val="84"/>
          <w:szCs w:val="84"/>
          <w:highlight w:val="none"/>
        </w:rPr>
      </w:r>
      <w:r/>
    </w:p>
    <w:p>
      <w:pPr>
        <w:pStyle w:val="906"/>
        <w:jc w:val="center"/>
        <w:rPr>
          <w:b/>
          <w:bCs/>
          <w:color w:val="000000"/>
          <w:sz w:val="60"/>
          <w:szCs w:val="60"/>
          <w:highlight w:val="none"/>
        </w:rPr>
      </w:pPr>
      <w:r>
        <w:rPr>
          <w:b/>
          <w:bCs/>
          <w:color w:val="000000"/>
          <w:sz w:val="60"/>
          <w:szCs w:val="60"/>
          <w:highlight w:val="none"/>
        </w:rPr>
      </w:r>
      <w:r/>
    </w:p>
    <w:p>
      <w:pPr>
        <w:pStyle w:val="906"/>
        <w:jc w:val="center"/>
        <w:rPr>
          <w:b/>
          <w:bCs/>
          <w:color w:val="000000"/>
          <w:sz w:val="60"/>
          <w:szCs w:val="60"/>
          <w:highlight w:val="none"/>
        </w:rPr>
      </w:pPr>
      <w:r>
        <w:rPr>
          <w:b/>
          <w:bCs/>
          <w:color w:val="000000"/>
          <w:sz w:val="60"/>
          <w:szCs w:val="60"/>
          <w:highlight w:val="none"/>
        </w:rPr>
      </w:r>
      <w:r/>
    </w:p>
    <w:p>
      <w:pPr>
        <w:pStyle w:val="906"/>
        <w:jc w:val="center"/>
        <w:spacing w:line="360" w:lineRule="auto"/>
        <w:rPr>
          <w:color w:val="000000"/>
          <w:sz w:val="60"/>
          <w:szCs w:val="60"/>
          <w:highlight w:val="none"/>
        </w:rPr>
      </w:pPr>
      <w:r>
        <w:rPr>
          <w:color w:val="000000"/>
          <w:sz w:val="60"/>
          <w:szCs w:val="60"/>
          <w:highlight w:val="none"/>
        </w:rPr>
      </w:r>
      <w:r/>
    </w:p>
    <w:p>
      <w:pPr>
        <w:pStyle w:val="906"/>
        <w:jc w:val="center"/>
        <w:spacing w:line="360" w:lineRule="auto"/>
        <w:rPr>
          <w:rFonts w:hint="eastAsia"/>
          <w:color w:val="000000"/>
          <w:sz w:val="60"/>
          <w:szCs w:val="60"/>
          <w:highlight w:val="none"/>
        </w:rPr>
      </w:pPr>
      <w:r>
        <w:rPr>
          <w:rFonts w:hint="eastAsia"/>
          <w:color w:val="000000"/>
          <w:sz w:val="60"/>
          <w:szCs w:val="60"/>
          <w:highlight w:val="none"/>
        </w:rPr>
      </w:r>
      <w:r/>
    </w:p>
    <w:p>
      <w:pPr>
        <w:pStyle w:val="906"/>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rPr>
      </w:pPr>
      <w:r>
        <w:rPr>
          <w:bCs/>
          <w:color w:val="000000"/>
          <w:sz w:val="36"/>
          <w:szCs w:val="36"/>
          <w:highlight w:val="none"/>
        </w:rPr>
        <w:t xml:space="preserve">项目名称：</w:t>
      </w:r>
      <w:r>
        <w:rPr>
          <w:rFonts w:hint="eastAsia" w:ascii="Times New Roman" w:hAnsi="Times New Roman" w:eastAsia="宋体" w:cs="Times New Roman"/>
          <w:bCs/>
          <w:color w:val="000000"/>
          <w:sz w:val="36"/>
          <w:szCs w:val="36"/>
          <w:highlight w:val="none"/>
          <w:lang w:val="en-US" w:eastAsia="zh-CN"/>
        </w:rPr>
        <w:t xml:space="preserve">2026-2028年新北区园林绿化垃圾收运及资源化利用服务项目</w:t>
      </w:r>
      <w:r>
        <w:rPr>
          <w:rFonts w:hint="eastAsia" w:ascii="Times New Roman" w:hAnsi="Times New Roman" w:eastAsia="宋体" w:cs="Times New Roman"/>
          <w:bCs/>
          <w:color w:val="000000"/>
          <w:sz w:val="36"/>
          <w:szCs w:val="36"/>
          <w:highlight w:val="none"/>
        </w:rPr>
      </w:r>
      <w:r/>
    </w:p>
    <w:p>
      <w:pPr>
        <w:pStyle w:val="906"/>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val="en-US" w:eastAsia="zh-CN"/>
        </w:rPr>
      </w:pPr>
      <w:r>
        <w:rPr>
          <w:bCs/>
          <w:color w:val="000000"/>
          <w:sz w:val="36"/>
          <w:szCs w:val="36"/>
          <w:highlight w:val="none"/>
        </w:rPr>
        <w:t xml:space="preserve">项目编号/包</w:t>
      </w:r>
      <w:r>
        <w:rPr>
          <w:rFonts w:ascii="Times New Roman" w:hAnsi="Times New Roman" w:eastAsia="宋体" w:cs="Times New Roman"/>
          <w:bCs/>
          <w:color w:val="000000"/>
          <w:sz w:val="36"/>
          <w:szCs w:val="36"/>
          <w:highlight w:val="none"/>
        </w:rPr>
        <w:t xml:space="preserve">号</w:t>
      </w:r>
      <w:r>
        <w:rPr>
          <w:rFonts w:hint="eastAsia" w:ascii="Times New Roman" w:hAnsi="Times New Roman" w:eastAsia="宋体" w:cs="Times New Roman"/>
          <w:bCs/>
          <w:color w:val="000000"/>
          <w:sz w:val="36"/>
          <w:szCs w:val="36"/>
          <w:highlight w:val="none"/>
          <w:lang w:val="en-US" w:eastAsia="zh-CN"/>
        </w:rPr>
        <w:t xml:space="preserve">：</w:t>
      </w:r>
      <w:r>
        <w:rPr>
          <w:rFonts w:ascii="Times New Roman" w:hAnsi="Times New Roman" w:eastAsia="宋体" w:cs="Times New Roman"/>
          <w:bCs/>
          <w:color w:val="000000"/>
          <w:sz w:val="36"/>
          <w:szCs w:val="36"/>
          <w:highlight w:val="none"/>
        </w:rPr>
        <w:t xml:space="preserve">JSZC-320411-CZJD-G2026-0005</w:t>
      </w:r>
      <w:r>
        <w:rPr>
          <w:rFonts w:hint="eastAsia" w:ascii="Times New Roman" w:hAnsi="Times New Roman" w:eastAsia="宋体" w:cs="Times New Roman"/>
          <w:bCs/>
          <w:color w:val="000000"/>
          <w:sz w:val="36"/>
          <w:szCs w:val="36"/>
          <w:highlight w:val="none"/>
          <w:lang w:val="en-US" w:eastAsia="zh-CN"/>
        </w:rPr>
      </w:r>
      <w:r/>
    </w:p>
    <w:p>
      <w:pPr>
        <w:pStyle w:val="906"/>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val="en-US" w:eastAsia="zh-CN"/>
        </w:rPr>
      </w:pPr>
      <w:r>
        <w:rPr>
          <w:bCs/>
          <w:color w:val="000000"/>
          <w:sz w:val="36"/>
          <w:szCs w:val="36"/>
          <w:highlight w:val="none"/>
        </w:rPr>
        <w:t xml:space="preserve">采 购 人：</w:t>
      </w:r>
      <w:r>
        <w:rPr>
          <w:rFonts w:hint="eastAsia" w:ascii="Times New Roman" w:hAnsi="Times New Roman" w:eastAsia="宋体" w:cs="Times New Roman"/>
          <w:bCs/>
          <w:color w:val="000000"/>
          <w:sz w:val="36"/>
          <w:szCs w:val="36"/>
          <w:highlight w:val="none"/>
          <w:lang w:val="en-US" w:eastAsia="zh-CN"/>
        </w:rPr>
        <w:t xml:space="preserve">常州市新北区市政绿化管理所</w:t>
      </w:r>
      <w:r>
        <w:rPr>
          <w:rFonts w:hint="eastAsia" w:ascii="Times New Roman" w:hAnsi="Times New Roman" w:eastAsia="宋体" w:cs="Times New Roman"/>
          <w:bCs/>
          <w:color w:val="000000"/>
          <w:sz w:val="36"/>
          <w:szCs w:val="36"/>
          <w:highlight w:val="none"/>
          <w:lang w:val="en-US" w:eastAsia="zh-CN"/>
        </w:rPr>
      </w:r>
      <w:r/>
    </w:p>
    <w:p>
      <w:pPr>
        <w:pStyle w:val="906"/>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江苏嘉德全过程工程咨询有限公司</w:t>
      </w:r>
      <w:r>
        <w:rPr>
          <w:bCs/>
          <w:color w:val="000000"/>
          <w:sz w:val="36"/>
          <w:szCs w:val="36"/>
          <w:highlight w:val="none"/>
        </w:rPr>
      </w:r>
      <w:r/>
    </w:p>
    <w:p>
      <w:pPr>
        <w:pStyle w:val="906"/>
        <w:jc w:val="center"/>
        <w:widowControl/>
        <w:rPr>
          <w:b/>
          <w:color w:val="000000"/>
          <w:sz w:val="48"/>
          <w:szCs w:val="48"/>
          <w:highlight w:val="none"/>
        </w:rPr>
      </w:pPr>
      <w:r>
        <w:rPr>
          <w:b/>
          <w:bCs/>
          <w:color w:val="000000"/>
          <w:sz w:val="44"/>
          <w:highlight w:val="none"/>
        </w:rPr>
        <w:br w:type="page" w:clear="all"/>
      </w:r>
      <w:bookmarkStart w:id="0" w:name="_Toc99301418"/>
      <w:r>
        <w:rPr>
          <w:b/>
          <w:color w:val="000000"/>
          <w:sz w:val="48"/>
          <w:szCs w:val="48"/>
          <w:highlight w:val="none"/>
        </w:rPr>
        <w:t xml:space="preserve">目  录</w:t>
      </w:r>
      <w:bookmarkEnd w:id="0"/>
      <w:r>
        <w:rPr>
          <w:b/>
          <w:color w:val="000000"/>
          <w:sz w:val="48"/>
          <w:szCs w:val="48"/>
          <w:highlight w:val="none"/>
        </w:rPr>
      </w:r>
      <w:r/>
    </w:p>
    <w:p>
      <w:pPr>
        <w:pStyle w:val="958"/>
        <w:tabs>
          <w:tab w:val="right" w:pos="9072" w:leader="dot"/>
        </w:tabs>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highlight w:val="none"/>
        </w:rPr>
        <w:instrText xml:space="preserve"> HYPERLINK \l _Toc19477 </w:instrText>
      </w:r>
      <w:r>
        <w:rPr>
          <w:rFonts w:ascii="Times New Roman" w:hAnsi="Times New Roman"/>
          <w:highlight w:val="none"/>
        </w:rPr>
        <w:fldChar w:fldCharType="separate"/>
      </w:r>
      <w:r>
        <w:rPr>
          <w:szCs w:val="36"/>
          <w:highlight w:val="none"/>
        </w:rPr>
        <w:t xml:space="preserve">第一章   投标邀请</w:t>
      </w:r>
      <w:r>
        <w:tab/>
      </w:r>
      <w:r>
        <w:fldChar w:fldCharType="begin"/>
      </w:r>
      <w:r>
        <w:instrText xml:space="preserve"> PAGEREF _Toc19477 \h </w:instrText>
      </w:r>
      <w:r>
        <w:fldChar w:fldCharType="separate"/>
      </w:r>
      <w:r>
        <w:t xml:space="preserve">3</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_Toc11737 </w:instrText>
      </w:r>
      <w:r>
        <w:rPr>
          <w:rFonts w:ascii="Times New Roman" w:hAnsi="Times New Roman"/>
          <w:highlight w:val="none"/>
        </w:rPr>
        <w:fldChar w:fldCharType="separate"/>
      </w:r>
      <w:r>
        <w:rPr>
          <w:szCs w:val="36"/>
          <w:highlight w:val="none"/>
        </w:rPr>
        <w:t xml:space="preserve">第二章   投标人须知</w:t>
      </w:r>
      <w:r>
        <w:tab/>
      </w:r>
      <w:r>
        <w:fldChar w:fldCharType="begin"/>
      </w:r>
      <w:r>
        <w:instrText xml:space="preserve"> PAGEREF _Toc11737 \h </w:instrText>
      </w:r>
      <w:r>
        <w:fldChar w:fldCharType="separate"/>
      </w:r>
      <w:r>
        <w:t xml:space="preserve">6</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_Toc2708 </w:instrText>
      </w:r>
      <w:r>
        <w:rPr>
          <w:rFonts w:ascii="Times New Roman" w:hAnsi="Times New Roman"/>
          <w:highlight w:val="none"/>
        </w:rPr>
        <w:fldChar w:fldCharType="separate"/>
      </w:r>
      <w:r>
        <w:rPr>
          <w:szCs w:val="36"/>
          <w:highlight w:val="none"/>
        </w:rPr>
        <w:t xml:space="preserve">第三章   资格审查</w:t>
      </w:r>
      <w:r>
        <w:tab/>
      </w:r>
      <w:r>
        <w:fldChar w:fldCharType="begin"/>
      </w:r>
      <w:r>
        <w:instrText xml:space="preserve"> PAGEREF _Toc2708 \h </w:instrText>
      </w:r>
      <w:r>
        <w:fldChar w:fldCharType="separate"/>
      </w:r>
      <w:r>
        <w:t xml:space="preserve">19</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_Toc11005 </w:instrText>
      </w:r>
      <w:r>
        <w:rPr>
          <w:rFonts w:ascii="Times New Roman" w:hAnsi="Times New Roman"/>
          <w:highlight w:val="none"/>
        </w:rPr>
        <w:fldChar w:fldCharType="separate"/>
      </w:r>
      <w:r>
        <w:rPr>
          <w:szCs w:val="36"/>
          <w:highlight w:val="none"/>
        </w:rPr>
        <w:t xml:space="preserve">第四章   评标程序、评标方法和评标标准</w:t>
      </w:r>
      <w:r>
        <w:tab/>
      </w:r>
      <w:r>
        <w:fldChar w:fldCharType="begin"/>
      </w:r>
      <w:r>
        <w:instrText xml:space="preserve"> PAGEREF _Toc11005 \h </w:instrText>
      </w:r>
      <w:r>
        <w:fldChar w:fldCharType="separate"/>
      </w:r>
      <w:r>
        <w:t xml:space="preserve">20</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_Toc12262 </w:instrText>
      </w:r>
      <w:r>
        <w:rPr>
          <w:rFonts w:ascii="Times New Roman" w:hAnsi="Times New Roman"/>
          <w:highlight w:val="none"/>
        </w:rPr>
        <w:fldChar w:fldCharType="separate"/>
      </w:r>
      <w:r>
        <w:rPr>
          <w:szCs w:val="36"/>
          <w:highlight w:val="none"/>
        </w:rPr>
        <w:t xml:space="preserve">第五章   采购需求</w:t>
      </w:r>
      <w:r>
        <w:tab/>
      </w:r>
      <w:r>
        <w:fldChar w:fldCharType="begin"/>
      </w:r>
      <w:r>
        <w:instrText xml:space="preserve"> PAGEREF _Toc12262 \h </w:instrText>
      </w:r>
      <w:r>
        <w:fldChar w:fldCharType="separate"/>
      </w:r>
      <w:r>
        <w:t xml:space="preserve">28</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_Toc4339 </w:instrText>
      </w:r>
      <w:r>
        <w:rPr>
          <w:rFonts w:ascii="Times New Roman" w:hAnsi="Times New Roman"/>
          <w:highlight w:val="none"/>
        </w:rPr>
        <w:fldChar w:fldCharType="separate"/>
      </w:r>
      <w:r>
        <w:rPr>
          <w:szCs w:val="36"/>
          <w:highlight w:val="none"/>
        </w:rPr>
        <w:t xml:space="preserve">第六章   拟签订的合同文本</w:t>
      </w:r>
      <w:r>
        <w:tab/>
      </w:r>
      <w:r>
        <w:fldChar w:fldCharType="begin"/>
      </w:r>
      <w:r>
        <w:instrText xml:space="preserve"> PAGEREF _Toc4339 \h </w:instrText>
      </w:r>
      <w:r>
        <w:fldChar w:fldCharType="separate"/>
      </w:r>
      <w:r>
        <w:t xml:space="preserve">36</w:t>
      </w:r>
      <w:r>
        <w:fldChar w:fldCharType="end"/>
      </w:r>
      <w:r>
        <w:rPr>
          <w:rFonts w:ascii="Times New Roman" w:hAnsi="Times New Roman"/>
          <w:color w:val="000000"/>
          <w:highlight w:val="none"/>
        </w:rPr>
        <w:fldChar w:fldCharType="end"/>
      </w:r>
      <w:r/>
    </w:p>
    <w:p>
      <w:pPr>
        <w:pStyle w:val="958"/>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_Toc30692 </w:instrText>
      </w:r>
      <w:r>
        <w:rPr>
          <w:rFonts w:ascii="Times New Roman" w:hAnsi="Times New Roman"/>
          <w:highlight w:val="none"/>
        </w:rPr>
        <w:fldChar w:fldCharType="separate"/>
      </w:r>
      <w:r>
        <w:rPr>
          <w:szCs w:val="36"/>
          <w:highlight w:val="none"/>
        </w:rPr>
        <w:t xml:space="preserve">第七章   投标文件格式</w:t>
      </w:r>
      <w:r>
        <w:tab/>
      </w:r>
      <w:r>
        <w:fldChar w:fldCharType="begin"/>
      </w:r>
      <w:r>
        <w:instrText xml:space="preserve"> PAGEREF _Toc30692 \h </w:instrText>
      </w:r>
      <w:r>
        <w:fldChar w:fldCharType="separate"/>
      </w:r>
      <w:r>
        <w:t xml:space="preserve">55</w:t>
      </w:r>
      <w:r>
        <w:fldChar w:fldCharType="end"/>
      </w:r>
      <w:r>
        <w:rPr>
          <w:rFonts w:ascii="Times New Roman" w:hAnsi="Times New Roman"/>
          <w:color w:val="000000"/>
          <w:highlight w:val="none"/>
        </w:rPr>
        <w:fldChar w:fldCharType="end"/>
      </w:r>
      <w:r/>
    </w:p>
    <w:p>
      <w:pPr>
        <w:pStyle w:val="958"/>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906"/>
        <w:jc w:val="center"/>
        <w:spacing w:line="360" w:lineRule="auto"/>
        <w:rPr>
          <w:rFonts w:hint="eastAsia"/>
          <w:b/>
          <w:color w:val="000000"/>
          <w:sz w:val="36"/>
          <w:szCs w:val="36"/>
          <w:highlight w:val="none"/>
        </w:rPr>
        <w:outlineLvl w:val="0"/>
      </w:pPr>
      <w:r>
        <w:rPr>
          <w:color w:val="000000"/>
          <w:sz w:val="24"/>
          <w:highlight w:val="none"/>
        </w:rPr>
        <w:br w:type="page" w:clear="all"/>
      </w:r>
      <w:bookmarkStart w:id="1" w:name="_Toc19477"/>
      <w:r>
        <w:rPr>
          <w:b/>
          <w:color w:val="000000"/>
          <w:sz w:val="36"/>
          <w:szCs w:val="36"/>
          <w:highlight w:val="none"/>
        </w:rPr>
        <w:t xml:space="preserve">第一章   投标邀请</w:t>
      </w:r>
      <w:bookmarkEnd w:id="1"/>
      <w:r>
        <w:rPr>
          <w:rFonts w:hint="eastAsia"/>
          <w:b/>
          <w:color w:val="000000"/>
          <w:sz w:val="36"/>
          <w:szCs w:val="36"/>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3"/>
      </w:tblGrid>
      <w:tr>
        <w:trPr>
          <w:trHeight w:val="1434"/>
        </w:trPr>
        <w:tc>
          <w:tcPr>
            <w:tcW w:w="9043" w:type="dxa"/>
            <w:vAlign w:val="top"/>
            <w:textDirection w:val="lrTb"/>
            <w:noWrap w:val="false"/>
          </w:tcPr>
          <w:p>
            <w:pPr>
              <w:pStyle w:val="906"/>
              <w:ind w:firstLine="440"/>
              <w:spacing w:line="360" w:lineRule="auto"/>
              <w:widowControl/>
              <w:rPr>
                <w:rFonts w:ascii="宋体" w:hAnsi="宋体" w:cs="宋体"/>
                <w:b/>
                <w:bCs/>
                <w:color w:val="000000"/>
                <w:sz w:val="22"/>
                <w:highlight w:val="none"/>
                <w:u w:val="single"/>
              </w:rPr>
            </w:pPr>
            <w:r/>
            <w:bookmarkStart w:id="2" w:name="_Hlk108603559"/>
            <w:r>
              <w:rPr>
                <w:rFonts w:hint="eastAsia" w:ascii="宋体" w:hAnsi="宋体" w:cs="宋体"/>
                <w:color w:val="000000"/>
                <w:sz w:val="22"/>
                <w:highlight w:val="none"/>
              </w:rPr>
              <w:t xml:space="preserve">项目概况</w:t>
            </w:r>
            <w:r>
              <w:rPr>
                <w:rFonts w:ascii="宋体" w:hAnsi="宋体" w:cs="宋体"/>
                <w:b/>
                <w:bCs/>
                <w:color w:val="000000"/>
                <w:sz w:val="22"/>
                <w:highlight w:val="none"/>
                <w:u w:val="single"/>
              </w:rPr>
            </w:r>
            <w:r/>
          </w:p>
          <w:p>
            <w:pPr>
              <w:pStyle w:val="906"/>
              <w:ind w:firstLine="442"/>
              <w:spacing w:line="360" w:lineRule="auto"/>
              <w:widowControl/>
              <w:rPr>
                <w:rFonts w:ascii="宋体" w:hAnsi="宋体" w:cs="宋体"/>
                <w:b/>
                <w:bCs/>
                <w:color w:val="000000"/>
                <w:sz w:val="22"/>
                <w:highlight w:val="none"/>
                <w:u w:val="single"/>
              </w:rPr>
            </w:pPr>
            <w:r>
              <w:rPr>
                <w:rFonts w:hint="eastAsia"/>
                <w:b/>
                <w:color w:val="000000"/>
                <w:sz w:val="22"/>
                <w:highlight w:val="none"/>
                <w:u w:val="single"/>
                <w:lang w:eastAsia="zh-CN"/>
              </w:rPr>
              <w:t xml:space="preserve">2026-2028年新北区园林绿化垃圾收运及资源化利用服务项目</w:t>
            </w:r>
            <w:r>
              <w:rPr>
                <w:rFonts w:hint="eastAsia" w:ascii="宋体" w:hAnsi="宋体" w:cs="宋体"/>
                <w:color w:val="000000"/>
                <w:sz w:val="22"/>
                <w:highlight w:val="none"/>
              </w:rPr>
              <w:t xml:space="preserve">的潜在投标人应在“苏采云”政府采购一体化平台获取采购文件，并于</w:t>
            </w:r>
            <w:r>
              <w:rPr>
                <w:rFonts w:hint="eastAsia" w:ascii="宋体" w:hAnsi="宋体" w:cs="宋体"/>
                <w:b/>
                <w:bCs/>
                <w:color w:val="000000"/>
                <w:sz w:val="22"/>
                <w:highlight w:val="none"/>
              </w:rPr>
              <w:t xml:space="preserve">202</w:t>
            </w:r>
            <w:r>
              <w:rPr>
                <w:rFonts w:hint="eastAsia" w:ascii="宋体" w:hAnsi="宋体" w:cs="宋体"/>
                <w:b/>
                <w:bCs/>
                <w:color w:val="000000"/>
                <w:sz w:val="22"/>
                <w:highlight w:val="none"/>
                <w:lang w:val="en-US" w:eastAsia="zh-CN"/>
              </w:rPr>
              <w:t xml:space="preserve">6</w:t>
            </w:r>
            <w:r>
              <w:rPr>
                <w:rFonts w:hint="eastAsia" w:ascii="宋体" w:hAnsi="宋体" w:cs="宋体"/>
                <w:b/>
                <w:bCs/>
                <w:color w:val="000000"/>
                <w:sz w:val="22"/>
                <w:highlight w:val="none"/>
              </w:rPr>
              <w:t xml:space="preserve">年</w:t>
            </w:r>
            <w:r>
              <w:rPr>
                <w:rFonts w:hint="eastAsia" w:ascii="宋体" w:hAnsi="宋体" w:cs="宋体"/>
                <w:b/>
                <w:bCs/>
                <w:color w:val="000000"/>
                <w:sz w:val="22"/>
                <w:highlight w:val="none"/>
                <w:lang w:val="en-US" w:eastAsia="zh-CN"/>
              </w:rPr>
              <w:t xml:space="preserve">5</w:t>
            </w:r>
            <w:r>
              <w:rPr>
                <w:rFonts w:hint="eastAsia" w:ascii="宋体" w:hAnsi="宋体" w:cs="宋体"/>
                <w:b/>
                <w:bCs/>
                <w:color w:val="000000"/>
                <w:sz w:val="22"/>
                <w:highlight w:val="none"/>
              </w:rPr>
              <w:t xml:space="preserve">月</w:t>
            </w:r>
            <w:r>
              <w:rPr>
                <w:rFonts w:hint="eastAsia" w:ascii="宋体" w:hAnsi="宋体" w:cs="宋体"/>
                <w:b/>
                <w:bCs/>
                <w:color w:val="000000"/>
                <w:sz w:val="22"/>
                <w:highlight w:val="none"/>
                <w:lang w:val="en-US" w:eastAsia="zh-CN"/>
              </w:rPr>
              <w:t xml:space="preserve">1</w:t>
            </w:r>
            <w:r>
              <w:rPr>
                <w:rFonts w:hint="eastAsia" w:ascii="宋体" w:hAnsi="宋体" w:cs="宋体"/>
                <w:b/>
                <w:bCs/>
                <w:color w:val="000000"/>
                <w:sz w:val="22"/>
                <w:highlight w:val="none"/>
                <w:lang w:val="en-US" w:eastAsia="zh-CN"/>
              </w:rPr>
              <w:t xml:space="preserve">1</w:t>
            </w:r>
            <w:r>
              <w:rPr>
                <w:rFonts w:hint="eastAsia" w:ascii="宋体" w:hAnsi="宋体" w:cs="宋体"/>
                <w:b/>
                <w:bCs/>
                <w:color w:val="000000"/>
                <w:sz w:val="22"/>
                <w:highlight w:val="none"/>
              </w:rPr>
              <w:t xml:space="preserve">日14点00分</w:t>
            </w:r>
            <w:r>
              <w:rPr>
                <w:rFonts w:hint="eastAsia" w:ascii="宋体" w:hAnsi="宋体" w:cs="宋体"/>
                <w:color w:val="000000"/>
                <w:sz w:val="22"/>
                <w:highlight w:val="none"/>
              </w:rPr>
              <w:t xml:space="preserve">（北京时间）前在线提交投标文件。</w:t>
            </w:r>
            <w:r>
              <w:rPr>
                <w:rFonts w:ascii="宋体" w:hAnsi="宋体" w:cs="宋体"/>
                <w:b/>
                <w:bCs/>
                <w:color w:val="000000"/>
                <w:sz w:val="22"/>
                <w:highlight w:val="none"/>
                <w:u w:val="single"/>
              </w:rPr>
            </w:r>
            <w:r/>
          </w:p>
        </w:tc>
      </w:tr>
    </w:tbl>
    <w:p>
      <w:pPr>
        <w:pStyle w:val="906"/>
        <w:ind w:firstLine="442"/>
        <w:spacing w:line="360" w:lineRule="auto"/>
        <w:widowControl/>
        <w:rPr>
          <w:rFonts w:ascii="宋体" w:hAnsi="宋体" w:cs="宋体"/>
          <w:b/>
          <w:bCs/>
          <w:color w:val="000000"/>
          <w:sz w:val="22"/>
          <w:highlight w:val="none"/>
        </w:rPr>
      </w:pPr>
      <w:r>
        <w:rPr>
          <w:rFonts w:hint="eastAsia" w:ascii="宋体" w:hAnsi="宋体" w:cs="宋体"/>
          <w:b/>
          <w:bCs/>
          <w:color w:val="000000"/>
          <w:sz w:val="22"/>
          <w:highlight w:val="none"/>
        </w:rPr>
        <w:t xml:space="preserve">一、项目基本情况</w:t>
      </w:r>
      <w:r>
        <w:rPr>
          <w:rFonts w:ascii="宋体" w:hAnsi="宋体" w:cs="宋体"/>
          <w:b/>
          <w:bCs/>
          <w:color w:val="000000"/>
          <w:sz w:val="22"/>
          <w:highlight w:val="none"/>
        </w:rPr>
        <w:t xml:space="preserve"> </w:t>
      </w:r>
      <w:r>
        <w:rPr>
          <w:rFonts w:ascii="宋体" w:hAnsi="宋体" w:cs="宋体"/>
          <w:b/>
          <w:bCs/>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1.项目编号</w:t>
      </w:r>
      <w:r>
        <w:rPr>
          <w:rFonts w:hint="eastAsia" w:ascii="宋体" w:hAnsi="宋体" w:eastAsia="宋体" w:cs="宋体"/>
          <w:color w:val="000000"/>
          <w:sz w:val="22"/>
          <w:highlight w:val="none"/>
        </w:rPr>
        <w:t xml:space="preserve">：JSZC-320411-CZJD-G2026-0005</w:t>
      </w:r>
      <w:r>
        <w:rPr>
          <w:rFonts w:hint="eastAsia" w:ascii="宋体" w:hAnsi="宋体" w:eastAsia="宋体" w:cs="宋体"/>
          <w:color w:val="000000"/>
          <w:sz w:val="22"/>
          <w:highlight w:val="none"/>
          <w:lang w:eastAsia="zh-CN"/>
        </w:rPr>
      </w:r>
      <w:r/>
    </w:p>
    <w:p>
      <w:pPr>
        <w:pStyle w:val="906"/>
        <w:ind w:firstLine="440"/>
        <w:spacing w:line="36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2.项目名称：</w:t>
      </w:r>
      <w:r>
        <w:rPr>
          <w:rFonts w:hint="eastAsia" w:ascii="宋体" w:hAnsi="宋体" w:cs="宋体"/>
          <w:color w:val="000000"/>
          <w:sz w:val="22"/>
          <w:highlight w:val="none"/>
          <w:lang w:eastAsia="zh-CN"/>
        </w:rPr>
        <w:t xml:space="preserve">2026-2028年新北区园林绿化垃圾收运及资源化利用服务项目</w:t>
      </w:r>
      <w:r>
        <w:rPr>
          <w:rFonts w:hint="eastAsia" w:ascii="宋体" w:hAnsi="宋体" w:eastAsia="宋体" w:cs="宋体"/>
          <w:color w:val="000000"/>
          <w:sz w:val="22"/>
          <w:highlight w:val="none"/>
          <w:lang w:eastAsia="zh-CN"/>
        </w:rPr>
      </w:r>
      <w:r/>
    </w:p>
    <w:p>
      <w:pPr>
        <w:pStyle w:val="906"/>
        <w:ind w:firstLine="440"/>
        <w:spacing w:line="360" w:lineRule="auto"/>
        <w:widowControl/>
        <w:rPr>
          <w:rFonts w:hint="eastAsia" w:ascii="宋体" w:hAnsi="宋体" w:eastAsia="宋体" w:cs="宋体"/>
          <w:color w:val="000000"/>
          <w:sz w:val="22"/>
          <w:highlight w:val="none"/>
        </w:rPr>
      </w:pPr>
      <w:r>
        <w:rPr>
          <w:rFonts w:hint="eastAsia" w:ascii="宋体" w:hAnsi="宋体" w:cs="宋体"/>
          <w:color w:val="000000"/>
          <w:sz w:val="22"/>
          <w:highlight w:val="none"/>
        </w:rPr>
        <w:t xml:space="preserve">3</w:t>
      </w:r>
      <w:r>
        <w:rPr>
          <w:rFonts w:hint="eastAsia" w:ascii="宋体" w:hAnsi="宋体" w:eastAsia="宋体" w:cs="宋体"/>
          <w:color w:val="000000"/>
          <w:sz w:val="22"/>
          <w:highlight w:val="none"/>
        </w:rPr>
        <w:t xml:space="preserve">.采购方式：公开招标</w:t>
      </w:r>
      <w:r>
        <w:rPr>
          <w:rFonts w:hint="eastAsia" w:ascii="宋体" w:hAnsi="宋体" w:eastAsia="宋体" w:cs="宋体"/>
          <w:color w:val="000000"/>
          <w:sz w:val="22"/>
          <w:highlight w:val="none"/>
        </w:rPr>
      </w:r>
      <w:r/>
    </w:p>
    <w:p>
      <w:pPr>
        <w:pStyle w:val="906"/>
        <w:ind w:firstLine="440"/>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项目预算金额：</w:t>
      </w:r>
      <w:r>
        <w:rPr>
          <w:rFonts w:hint="eastAsia" w:ascii="宋体" w:hAnsi="宋体" w:cs="宋体"/>
          <w:color w:val="000000"/>
          <w:sz w:val="22"/>
          <w:highlight w:val="none"/>
          <w:lang w:val="en-US" w:eastAsia="zh-CN"/>
        </w:rPr>
        <w:t xml:space="preserve">1290</w:t>
      </w:r>
      <w:r>
        <w:rPr>
          <w:rFonts w:hint="eastAsia" w:ascii="宋体" w:hAnsi="宋体" w:cs="宋体"/>
          <w:color w:val="000000"/>
          <w:sz w:val="22"/>
          <w:highlight w:val="none"/>
        </w:rPr>
        <w:t xml:space="preserve">万元</w:t>
      </w:r>
      <w:r>
        <w:rPr>
          <w:rFonts w:hint="eastAsia"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5</w:t>
      </w:r>
      <w:r>
        <w:rPr>
          <w:rFonts w:hint="eastAsia" w:ascii="宋体" w:hAnsi="宋体" w:cs="宋体"/>
          <w:color w:val="000000"/>
          <w:sz w:val="22"/>
          <w:highlight w:val="none"/>
        </w:rPr>
        <w:t xml:space="preserve">.项目最高限价：</w:t>
      </w:r>
      <w:r>
        <w:rPr>
          <w:rFonts w:hint="eastAsia" w:ascii="宋体" w:hAnsi="宋体" w:cs="宋体"/>
          <w:color w:val="000000"/>
          <w:sz w:val="22"/>
          <w:szCs w:val="22"/>
          <w:highlight w:val="none"/>
        </w:rPr>
        <w:t xml:space="preserve">1267.837284万元（三年）、422.612428万元/年</w:t>
      </w:r>
      <w:r>
        <w:rPr>
          <w:rFonts w:ascii="宋体" w:hAnsi="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.采购需求：</w:t>
      </w:r>
      <w:r>
        <w:rPr>
          <w:rFonts w:hint="eastAsia" w:ascii="宋体" w:hAnsi="宋体" w:cs="宋体"/>
          <w:color w:val="000000"/>
          <w:sz w:val="22"/>
          <w:szCs w:val="22"/>
          <w:highlight w:val="none"/>
        </w:rPr>
        <w:t xml:space="preserve">本项目是</w:t>
      </w:r>
      <w:r>
        <w:rPr>
          <w:rFonts w:hint="eastAsia" w:ascii="宋体" w:hAnsi="宋体" w:cs="宋体"/>
          <w:color w:val="000000"/>
          <w:sz w:val="22"/>
          <w:szCs w:val="22"/>
          <w:highlight w:val="none"/>
          <w:lang w:eastAsia="zh-CN"/>
        </w:rPr>
        <w:t xml:space="preserve">2026-2028年新北区园林绿化垃圾收运及资源化利用服务项目</w:t>
      </w:r>
      <w:r>
        <w:rPr>
          <w:rFonts w:hint="eastAsia" w:ascii="宋体" w:hAnsi="宋体" w:cs="宋体"/>
          <w:color w:val="000000"/>
          <w:sz w:val="22"/>
          <w:szCs w:val="22"/>
          <w:highlight w:val="none"/>
        </w:rPr>
        <w:t xml:space="preserve">，服务内容包括</w:t>
      </w:r>
      <w:r>
        <w:rPr>
          <w:rFonts w:hint="eastAsia" w:ascii="宋体" w:hAnsi="宋体" w:cs="宋体"/>
          <w:color w:val="000000"/>
          <w:sz w:val="22"/>
          <w:szCs w:val="22"/>
          <w:highlight w:val="none"/>
        </w:rPr>
        <w:t xml:space="preserve">采购人管辖范围内由区财政性资金养护的公共绿地</w:t>
      </w:r>
      <w:r>
        <w:rPr>
          <w:rFonts w:hint="eastAsia" w:ascii="宋体" w:hAnsi="宋体" w:cs="宋体"/>
          <w:color w:val="000000"/>
          <w:sz w:val="22"/>
          <w:szCs w:val="22"/>
          <w:highlight w:val="none"/>
        </w:rPr>
        <w:t xml:space="preserve">的园林绿化垃圾收集运输、园林绿化垃圾无害化处理和资源化利用、资源化利用产品（有机基质等）推广等服务。</w:t>
      </w:r>
      <w:r>
        <w:rPr>
          <w:rFonts w:hint="eastAsia" w:ascii="宋体" w:hAnsi="宋体" w:eastAsia="宋体" w:cs="宋体"/>
          <w:color w:val="000000"/>
          <w:sz w:val="22"/>
          <w:highlight w:val="none"/>
          <w:lang w:val="en-US" w:eastAsia="zh-CN"/>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7</w:t>
      </w:r>
      <w:r>
        <w:rPr>
          <w:rFonts w:hint="eastAsia" w:ascii="宋体" w:hAnsi="宋体" w:cs="宋体"/>
          <w:color w:val="000000"/>
          <w:sz w:val="22"/>
          <w:highlight w:val="none"/>
        </w:rPr>
        <w:t xml:space="preserve">.合同履行期限：</w:t>
      </w:r>
      <w:r>
        <w:rPr>
          <w:rFonts w:hint="eastAsia" w:ascii="宋体" w:hAnsi="宋体" w:cs="宋体"/>
          <w:color w:val="000000"/>
          <w:sz w:val="22"/>
          <w:highlight w:val="none"/>
          <w:lang w:val="en-US" w:eastAsia="zh-CN"/>
        </w:rPr>
        <w:t xml:space="preserve">合同签订之日起至2028年12月31日</w:t>
      </w:r>
      <w:r>
        <w:rPr>
          <w:rFonts w:hint="eastAsia" w:ascii="宋体" w:hAnsi="宋体" w:cs="宋体"/>
          <w:color w:val="000000"/>
          <w:sz w:val="22"/>
          <w:szCs w:val="22"/>
          <w:highlight w:val="none"/>
        </w:rPr>
        <w:t xml:space="preserve">。合同一年一签，合同期满经采购单位考核合格后，可签订下一年合同，最多续签二次。</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.本项目是否接受联合体：□是  ■否。</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9</w:t>
      </w:r>
      <w:r>
        <w:rPr>
          <w:rFonts w:hint="eastAsia" w:ascii="宋体" w:hAnsi="宋体" w:cs="宋体"/>
          <w:color w:val="000000"/>
          <w:sz w:val="22"/>
          <w:highlight w:val="none"/>
        </w:rPr>
        <w:t xml:space="preserve">.本项目是否接受进口产品响应：□是  ■否。</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2"/>
        <w:spacing w:line="360" w:lineRule="auto"/>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二、申请人的资格要求（须同时满足） </w:t>
      </w:r>
      <w:r>
        <w:rPr>
          <w:rFonts w:hint="eastAsia" w:ascii="宋体" w:hAnsi="宋体" w:eastAsia="宋体" w:cs="宋体"/>
          <w:b/>
          <w:bCs/>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1.满足《中华人民共和国政府采购法》第二十二条规定以及下列情形：</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sz w:val="22"/>
          <w:highlight w:val="none"/>
        </w:rPr>
      </w:r>
      <w:r/>
    </w:p>
    <w:p>
      <w:pPr>
        <w:pStyle w:val="906"/>
        <w:ind w:firstLine="440"/>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2"/>
          <w:highlight w:val="none"/>
        </w:rPr>
      </w:r>
      <w:r/>
    </w:p>
    <w:p>
      <w:pPr>
        <w:pStyle w:val="906"/>
        <w:ind w:firstLine="440"/>
        <w:spacing w:line="360" w:lineRule="auto"/>
        <w:widowControl/>
        <w:rPr>
          <w:rFonts w:hint="eastAsia" w:ascii="宋体" w:hAnsi="宋体" w:eastAsia="宋体" w:cs="宋体"/>
          <w:b/>
          <w:bCs/>
          <w:color w:val="000000"/>
          <w:sz w:val="22"/>
          <w:highlight w:val="none"/>
          <w:u w:val="single"/>
        </w:rPr>
      </w:pPr>
      <w:r>
        <w:rPr>
          <w:rFonts w:hint="eastAsia" w:ascii="宋体" w:hAnsi="宋体" w:cs="宋体"/>
          <w:color w:val="000000"/>
          <w:sz w:val="22"/>
          <w:highlight w:val="none"/>
        </w:rPr>
        <w:t xml:space="preserve">2.落实政府采购政策需满足的资格要求：</w:t>
      </w:r>
      <w:r>
        <w:rPr>
          <w:rFonts w:hint="eastAsia" w:ascii="宋体" w:hAnsi="宋体" w:cs="宋体"/>
          <w:b/>
          <w:bCs/>
          <w:color w:val="000000"/>
          <w:sz w:val="22"/>
          <w:szCs w:val="22"/>
          <w:highlight w:val="none"/>
          <w:u w:val="single"/>
        </w:rPr>
        <w:t xml:space="preserve">本项目专门面向中小企业采购，即：提供的服务全部由符合政策要求的中小企业承接。（说明：中小企业包含中型、小型、微型企业，残疾人福利性单位和监狱企业视同小微企业）</w:t>
      </w:r>
      <w:r>
        <w:rPr>
          <w:rFonts w:hint="eastAsia" w:ascii="宋体" w:hAnsi="宋体" w:eastAsia="宋体" w:cs="宋体"/>
          <w:b/>
          <w:bCs/>
          <w:color w:val="000000"/>
          <w:sz w:val="22"/>
          <w:highlight w:val="none"/>
          <w:u w:val="single"/>
        </w:rPr>
      </w:r>
      <w:r/>
    </w:p>
    <w:p>
      <w:pPr>
        <w:pStyle w:val="906"/>
        <w:ind w:firstLine="440"/>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3.本项目的特定资格要求：</w:t>
      </w:r>
      <w:r>
        <w:rPr>
          <w:rFonts w:hint="eastAsia" w:ascii="宋体" w:hAnsi="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3.1本项目是否接受分支机构参与响应：否</w:t>
      </w:r>
      <w:r>
        <w:rPr>
          <w:rFonts w:hint="eastAsia" w:ascii="宋体" w:hAnsi="宋体" w:cs="宋体"/>
          <w:color w:val="000000"/>
          <w:sz w:val="22"/>
          <w:highlight w:val="none"/>
          <w:lang w:val="en-US" w:eastAsia="zh-CN"/>
        </w:rPr>
        <w:t xml:space="preserve"> </w:t>
      </w:r>
      <w:r>
        <w:rPr>
          <w:rFonts w:hint="eastAsia" w:ascii="宋体" w:hAnsi="宋体" w:eastAsia="宋体" w:cs="宋体"/>
          <w:color w:val="000000"/>
          <w:sz w:val="22"/>
          <w:highlight w:val="none"/>
          <w:lang w:val="en-US" w:eastAsia="zh-CN"/>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3.2 本项目是否属于政府购买服务：否</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3.3其他特定资格要求：</w:t>
      </w:r>
      <w:r>
        <w:rPr>
          <w:rFonts w:hint="eastAsia" w:ascii="宋体" w:hAnsi="宋体" w:cs="宋体"/>
          <w:color w:val="000000"/>
          <w:sz w:val="22"/>
          <w:highlight w:val="none"/>
          <w:lang w:val="en-US" w:eastAsia="zh-CN"/>
        </w:rPr>
        <w:t xml:space="preserve">无</w:t>
      </w:r>
      <w:r>
        <w:rPr>
          <w:rFonts w:hint="eastAsia" w:ascii="宋体" w:hAnsi="宋体" w:eastAsia="宋体" w:cs="宋体"/>
          <w:color w:val="000000"/>
          <w:sz w:val="22"/>
          <w:highlight w:val="none"/>
          <w:lang w:eastAsia="zh-CN"/>
        </w:rPr>
      </w:r>
      <w:r/>
    </w:p>
    <w:p>
      <w:pPr>
        <w:pStyle w:val="906"/>
        <w:ind w:firstLine="442"/>
        <w:spacing w:line="360" w:lineRule="auto"/>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三、获取招标文件 </w:t>
      </w:r>
      <w:r>
        <w:rPr>
          <w:rFonts w:hint="eastAsia" w:ascii="宋体" w:hAnsi="宋体" w:eastAsia="宋体" w:cs="宋体"/>
          <w:b/>
          <w:bCs/>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1.时间：</w:t>
      </w:r>
      <w:r>
        <w:rPr>
          <w:rFonts w:hint="eastAsia" w:ascii="宋体" w:hAnsi="宋体" w:eastAsia="宋体" w:cs="宋体"/>
          <w:color w:val="000000"/>
          <w:sz w:val="22"/>
          <w:szCs w:val="22"/>
          <w:highlight w:val="none"/>
        </w:rPr>
        <w:t xml:space="preserve">自</w:t>
      </w:r>
      <w:r>
        <w:rPr>
          <w:rFonts w:hint="eastAsia" w:ascii="宋体" w:hAnsi="宋体" w:eastAsia="宋体" w:cs="宋体"/>
          <w:color w:val="000000"/>
          <w:sz w:val="22"/>
          <w:szCs w:val="22"/>
          <w:highlight w:val="none"/>
          <w:lang w:val="en-US" w:eastAsia="zh-CN"/>
        </w:rPr>
        <w:t xml:space="preserve">招标</w:t>
      </w:r>
      <w:r>
        <w:rPr>
          <w:rFonts w:hint="eastAsia" w:ascii="宋体" w:hAnsi="宋体" w:eastAsia="宋体" w:cs="宋体"/>
          <w:color w:val="000000"/>
          <w:sz w:val="22"/>
          <w:szCs w:val="22"/>
          <w:highlight w:val="none"/>
        </w:rPr>
        <w:t xml:space="preserve">文件公告发布之日起5个工作日。</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2.地点：“苏采云”政府采购一体化平台</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3.方式：投标人登陆“江苏政府采</w:t>
      </w:r>
      <w:r>
        <w:rPr>
          <w:rFonts w:hint="eastAsia" w:ascii="宋体" w:hAnsi="宋体" w:eastAsia="宋体" w:cs="宋体"/>
          <w:color w:val="000000"/>
          <w:sz w:val="22"/>
          <w:highlight w:val="none"/>
        </w:rPr>
        <w:t xml:space="preserve">购网”，在网站首</w:t>
      </w:r>
      <w:r>
        <w:rPr>
          <w:rFonts w:hint="eastAsia" w:ascii="宋体" w:hAnsi="宋体" w:cs="宋体"/>
          <w:color w:val="000000"/>
          <w:sz w:val="22"/>
          <w:highlight w:val="none"/>
        </w:rPr>
        <w:t xml:space="preserve">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4.售价：0元。</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四、提交投标文件截止时间、开标时间和地点</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截止时间：</w:t>
      </w:r>
      <w:r>
        <w:rPr>
          <w:rFonts w:hint="eastAsia" w:ascii="宋体" w:hAnsi="宋体" w:cs="宋体"/>
          <w:b/>
          <w:bCs/>
          <w:color w:val="000000"/>
          <w:sz w:val="22"/>
          <w:highlight w:val="none"/>
        </w:rPr>
        <w:t xml:space="preserve">202</w:t>
      </w:r>
      <w:r>
        <w:rPr>
          <w:rFonts w:hint="eastAsia" w:ascii="宋体" w:hAnsi="宋体" w:cs="宋体"/>
          <w:b/>
          <w:bCs/>
          <w:color w:val="000000"/>
          <w:sz w:val="22"/>
          <w:highlight w:val="none"/>
          <w:lang w:val="en-US" w:eastAsia="zh-CN"/>
        </w:rPr>
        <w:t xml:space="preserve">6</w:t>
      </w:r>
      <w:r>
        <w:rPr>
          <w:rFonts w:hint="eastAsia" w:ascii="宋体" w:hAnsi="宋体" w:cs="宋体"/>
          <w:b/>
          <w:bCs/>
          <w:color w:val="000000"/>
          <w:sz w:val="22"/>
          <w:highlight w:val="none"/>
        </w:rPr>
        <w:t xml:space="preserve">年</w:t>
      </w:r>
      <w:r>
        <w:rPr>
          <w:rFonts w:hint="eastAsia" w:ascii="宋体" w:hAnsi="宋体" w:cs="宋体"/>
          <w:b/>
          <w:bCs/>
          <w:color w:val="000000"/>
          <w:sz w:val="22"/>
          <w:highlight w:val="none"/>
          <w:lang w:val="en-US" w:eastAsia="zh-CN"/>
        </w:rPr>
        <w:t xml:space="preserve">5</w:t>
      </w:r>
      <w:r>
        <w:rPr>
          <w:rFonts w:hint="eastAsia" w:ascii="宋体" w:hAnsi="宋体" w:cs="宋体"/>
          <w:b/>
          <w:bCs/>
          <w:color w:val="000000"/>
          <w:sz w:val="22"/>
          <w:highlight w:val="none"/>
        </w:rPr>
        <w:t xml:space="preserve">月</w:t>
      </w:r>
      <w:r>
        <w:rPr>
          <w:rFonts w:hint="eastAsia" w:ascii="宋体" w:hAnsi="宋体" w:cs="宋体"/>
          <w:b/>
          <w:bCs/>
          <w:color w:val="000000"/>
          <w:sz w:val="22"/>
          <w:highlight w:val="none"/>
          <w:lang w:val="en-US" w:eastAsia="zh-CN"/>
        </w:rPr>
        <w:t xml:space="preserve">11</w:t>
      </w:r>
      <w:r>
        <w:rPr>
          <w:rFonts w:hint="eastAsia" w:ascii="宋体" w:hAnsi="宋体" w:cs="宋体"/>
          <w:b/>
          <w:bCs/>
          <w:color w:val="000000"/>
          <w:sz w:val="22"/>
          <w:highlight w:val="none"/>
        </w:rPr>
        <w:t xml:space="preserve">日14点00分</w:t>
      </w:r>
      <w:r>
        <w:rPr>
          <w:rFonts w:hint="eastAsia" w:ascii="宋体" w:hAnsi="宋体" w:cs="宋体"/>
          <w:color w:val="000000"/>
          <w:sz w:val="22"/>
          <w:highlight w:val="none"/>
        </w:rPr>
        <w:t xml:space="preserve">（北京时间）。</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地点：“苏采云”政府采购一体化平台网上开标大厅。</w:t>
      </w:r>
      <w:r>
        <w:rPr>
          <w:rFonts w:ascii="宋体" w:hAnsi="宋体" w:cs="宋体"/>
          <w:color w:val="000000"/>
          <w:sz w:val="22"/>
          <w:highlight w:val="none"/>
        </w:rPr>
      </w:r>
      <w:r/>
    </w:p>
    <w:p>
      <w:pPr>
        <w:pStyle w:val="906"/>
        <w:ind w:firstLine="442"/>
        <w:spacing w:line="360" w:lineRule="auto"/>
        <w:widowControl/>
        <w:rPr>
          <w:rFonts w:ascii="宋体" w:hAnsi="宋体" w:cs="宋体"/>
          <w:b/>
          <w:bCs/>
          <w:color w:val="000000"/>
          <w:sz w:val="22"/>
          <w:highlight w:val="none"/>
        </w:rPr>
      </w:pPr>
      <w:r>
        <w:rPr>
          <w:rFonts w:hint="eastAsia" w:ascii="宋体" w:hAnsi="宋体" w:cs="宋体"/>
          <w:b/>
          <w:bCs/>
          <w:color w:val="000000"/>
          <w:sz w:val="22"/>
          <w:highlight w:val="none"/>
        </w:rPr>
        <w:t xml:space="preserve">五、公告期限</w:t>
      </w:r>
      <w:r>
        <w:rPr>
          <w:rFonts w:ascii="宋体" w:hAnsi="宋体" w:cs="宋体"/>
          <w:b/>
          <w:bCs/>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自本公告发布之日起5个工作日。</w:t>
      </w:r>
      <w:r>
        <w:rPr>
          <w:rFonts w:ascii="宋体" w:hAnsi="宋体" w:cs="宋体"/>
          <w:color w:val="000000"/>
          <w:sz w:val="22"/>
          <w:highlight w:val="none"/>
        </w:rPr>
      </w:r>
      <w:r/>
    </w:p>
    <w:p>
      <w:pPr>
        <w:pStyle w:val="906"/>
        <w:ind w:firstLine="442"/>
        <w:spacing w:line="360" w:lineRule="auto"/>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六、其他补充事宜 </w:t>
      </w:r>
      <w:r>
        <w:rPr>
          <w:rFonts w:hint="eastAsia" w:ascii="宋体" w:hAnsi="宋体" w:eastAsia="宋体" w:cs="宋体"/>
          <w:b/>
          <w:bCs/>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rFonts w:hint="eastAsia" w:ascii="宋体" w:hAnsi="宋体" w:eastAsia="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2.根据省</w:t>
      </w:r>
      <w:r>
        <w:rPr>
          <w:rFonts w:hint="eastAsia" w:ascii="宋体" w:hAnsi="宋体" w:eastAsia="宋体" w:cs="宋体"/>
          <w:color w:val="000000"/>
          <w:sz w:val="22"/>
          <w:highlight w:val="none"/>
        </w:rPr>
        <w:t xml:space="preserve">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.有关本次招标的事项若存在变动或修改，敬请及时关注常州市政府采购中心在“江苏政府采购网”、“常州市政府采购网”发布的更正公告。</w:t>
      </w:r>
      <w:r>
        <w:rPr>
          <w:rFonts w:hint="eastAsia" w:ascii="宋体" w:hAnsi="宋体" w:eastAsia="宋体" w:cs="宋体"/>
          <w:color w:val="000000"/>
          <w:sz w:val="22"/>
          <w:highlight w:val="none"/>
        </w:rPr>
      </w:r>
      <w:r/>
    </w:p>
    <w:p>
      <w:pPr>
        <w:pStyle w:val="906"/>
        <w:ind w:firstLine="440"/>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.关于常州市中小企业政府采购信用融资：</w:t>
      </w:r>
      <w:r>
        <w:rPr>
          <w:rFonts w:hint="eastAsia"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2"/>
          <w:highlight w:val="none"/>
        </w:rPr>
      </w:r>
      <w:r/>
    </w:p>
    <w:p>
      <w:pPr>
        <w:pStyle w:val="906"/>
        <w:ind w:firstLine="442"/>
        <w:spacing w:line="360" w:lineRule="auto"/>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七、对本招标提出询问，请按以下方式联系。 </w:t>
      </w:r>
      <w:r>
        <w:rPr>
          <w:rFonts w:hint="eastAsia" w:ascii="宋体" w:hAnsi="宋体" w:eastAsia="宋体" w:cs="宋体"/>
          <w:b/>
          <w:bCs/>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1.采购人信息</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名称：常州市新北区市政绿化管理所 </w:t>
      </w:r>
      <w:r>
        <w:rPr>
          <w:rFonts w:hint="eastAsia" w:ascii="宋体" w:hAnsi="宋体" w:eastAsia="宋体" w:cs="宋体"/>
          <w:color w:val="000000"/>
          <w:sz w:val="22"/>
          <w:highlight w:val="none"/>
          <w:lang w:eastAsia="zh-CN"/>
        </w:rPr>
      </w:r>
      <w:r/>
    </w:p>
    <w:p>
      <w:pPr>
        <w:pStyle w:val="906"/>
        <w:ind w:firstLine="440"/>
        <w:spacing w:line="360" w:lineRule="auto"/>
        <w:widowControl/>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地址：常州市新北区泰山北路225号</w:t>
      </w:r>
      <w:r>
        <w:rPr>
          <w:rFonts w:hint="eastAsia" w:ascii="宋体" w:hAnsi="宋体" w:eastAsia="宋体" w:cs="宋体"/>
          <w:color w:val="000000"/>
          <w:sz w:val="22"/>
          <w:highlight w:val="none"/>
          <w:lang w:eastAsia="zh-CN"/>
        </w:rPr>
      </w:r>
      <w:r/>
    </w:p>
    <w:p>
      <w:pPr>
        <w:pStyle w:val="906"/>
        <w:ind w:firstLine="440"/>
        <w:spacing w:line="360" w:lineRule="auto"/>
        <w:widowControl/>
        <w:rPr>
          <w:rFonts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钱先生 </w:t>
      </w:r>
      <w:r>
        <w:rPr>
          <w:rFonts w:hint="eastAsia" w:ascii="宋体" w:hAnsi="宋体" w:cs="宋体"/>
          <w:color w:val="000000"/>
          <w:sz w:val="22"/>
          <w:highlight w:val="none"/>
        </w:rPr>
        <w:t xml:space="preserve"> </w:t>
      </w:r>
      <w:r>
        <w:rPr>
          <w:rFonts w:ascii="宋体" w:hAnsi="宋体" w:cs="宋体"/>
          <w:color w:val="000000"/>
          <w:sz w:val="22"/>
          <w:highlight w:val="none"/>
        </w:rPr>
        <w:t xml:space="preserve">0519-</w:t>
      </w:r>
      <w:r>
        <w:rPr>
          <w:rFonts w:hint="eastAsia" w:ascii="宋体" w:hAnsi="宋体" w:cs="宋体"/>
          <w:color w:val="000000"/>
          <w:sz w:val="22"/>
          <w:highlight w:val="none"/>
          <w:lang w:val="en-US" w:eastAsia="zh-CN"/>
        </w:rPr>
        <w:t xml:space="preserve">89816928</w:t>
      </w:r>
      <w:r>
        <w:rPr>
          <w:rFonts w:ascii="宋体" w:hAnsi="宋体" w:eastAsia="宋体" w:cs="宋体"/>
          <w:color w:val="000000"/>
          <w:sz w:val="22"/>
          <w:highlight w:val="none"/>
          <w:lang w:val="en-US" w:eastAsia="zh-CN"/>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2.采购代理机构信息</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名称：</w:t>
      </w:r>
      <w:bookmarkStart w:id="3" w:name="_Hlk131092656"/>
      <w:r>
        <w:rPr>
          <w:rFonts w:hint="eastAsia" w:ascii="宋体" w:hAnsi="宋体" w:cs="宋体"/>
          <w:color w:val="000000"/>
          <w:sz w:val="22"/>
          <w:highlight w:val="none"/>
        </w:rPr>
        <w:t xml:space="preserve">江苏嘉德全过程工程咨询有限公司</w:t>
      </w:r>
      <w:bookmarkEnd w:id="3"/>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地址：常州市天宁区嘉宏世纪大厦1917室</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联系方式：</w:t>
      </w:r>
      <w:r>
        <w:rPr>
          <w:rFonts w:ascii="宋体" w:hAnsi="宋体" w:cs="宋体"/>
          <w:color w:val="000000"/>
          <w:sz w:val="22"/>
          <w:highlight w:val="none"/>
        </w:rPr>
        <w:t xml:space="preserve">0519</w:t>
      </w:r>
      <w:r>
        <w:rPr>
          <w:rFonts w:hint="eastAsia" w:ascii="宋体" w:hAnsi="宋体" w:cs="宋体"/>
          <w:color w:val="000000"/>
          <w:sz w:val="22"/>
          <w:highlight w:val="none"/>
        </w:rPr>
        <w:t xml:space="preserve">-</w:t>
      </w:r>
      <w:r>
        <w:rPr>
          <w:rFonts w:ascii="宋体" w:hAnsi="宋体" w:cs="宋体"/>
          <w:color w:val="000000"/>
          <w:sz w:val="22"/>
          <w:highlight w:val="none"/>
        </w:rPr>
        <w:t xml:space="preserve">86787783</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3.项目联系方式</w:t>
      </w:r>
      <w:r>
        <w:rPr>
          <w:rFonts w:ascii="宋体" w:hAnsi="宋体" w:cs="宋体"/>
          <w:color w:val="000000"/>
          <w:sz w:val="22"/>
          <w:highlight w:val="none"/>
        </w:rPr>
        <w:t xml:space="preserve"> </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项目联系人：吕工</w:t>
      </w:r>
      <w:r>
        <w:rPr>
          <w:rFonts w:ascii="宋体" w:hAnsi="宋体" w:cs="宋体"/>
          <w:color w:val="000000"/>
          <w:sz w:val="22"/>
          <w:highlight w:val="none"/>
        </w:rPr>
      </w:r>
      <w:r/>
    </w:p>
    <w:p>
      <w:pPr>
        <w:pStyle w:val="906"/>
        <w:ind w:firstLine="440"/>
        <w:spacing w:line="360" w:lineRule="auto"/>
        <w:widowControl/>
        <w:rPr>
          <w:rFonts w:ascii="宋体" w:hAnsi="宋体" w:cs="宋体"/>
          <w:color w:val="000000"/>
          <w:sz w:val="22"/>
          <w:highlight w:val="none"/>
        </w:rPr>
      </w:pPr>
      <w:r>
        <w:rPr>
          <w:rFonts w:hint="eastAsia" w:ascii="宋体" w:hAnsi="宋体" w:cs="宋体"/>
          <w:color w:val="000000"/>
          <w:sz w:val="22"/>
          <w:highlight w:val="none"/>
        </w:rPr>
        <w:t xml:space="preserve">电      话：</w:t>
      </w:r>
      <w:r>
        <w:rPr>
          <w:rFonts w:ascii="宋体" w:hAnsi="宋体" w:cs="宋体"/>
          <w:color w:val="000000"/>
          <w:sz w:val="22"/>
          <w:highlight w:val="none"/>
        </w:rPr>
        <w:t xml:space="preserve">13813684169</w:t>
      </w:r>
      <w:r>
        <w:rPr>
          <w:rFonts w:ascii="宋体" w:hAnsi="宋体" w:cs="宋体"/>
          <w:color w:val="000000"/>
          <w:sz w:val="22"/>
          <w:highlight w:val="none"/>
        </w:rPr>
      </w:r>
      <w:r/>
    </w:p>
    <w:p>
      <w:pPr>
        <w:pStyle w:val="906"/>
        <w:ind w:right="884"/>
        <w:spacing w:line="360" w:lineRule="auto"/>
        <w:rPr>
          <w:color w:val="000000"/>
          <w:sz w:val="24"/>
          <w:highlight w:val="none"/>
        </w:rPr>
      </w:pPr>
      <w:r>
        <w:rPr>
          <w:b/>
          <w:bCs/>
          <w:color w:val="000000"/>
          <w:sz w:val="22"/>
          <w:szCs w:val="22"/>
          <w:highlight w:val="none"/>
        </w:rPr>
        <w:t xml:space="preserve">注：上述个人信息由于工作需要经机构或本人同意对外公布。</w:t>
      </w:r>
      <w:bookmarkEnd w:id="2"/>
      <w:r>
        <w:rPr>
          <w:color w:val="000000"/>
          <w:sz w:val="24"/>
          <w:highlight w:val="none"/>
        </w:rPr>
      </w:r>
      <w:r/>
    </w:p>
    <w:p>
      <w:pPr>
        <w:pStyle w:val="906"/>
        <w:jc w:val="center"/>
        <w:spacing w:line="360" w:lineRule="auto"/>
        <w:rPr>
          <w:b/>
          <w:color w:val="000000"/>
          <w:sz w:val="32"/>
          <w:szCs w:val="32"/>
          <w:highlight w:val="none"/>
        </w:rPr>
        <w:outlineLvl w:val="0"/>
      </w:pPr>
      <w:r>
        <w:rPr>
          <w:color w:val="000000"/>
          <w:sz w:val="24"/>
          <w:highlight w:val="none"/>
        </w:rPr>
        <w:br w:type="page" w:clear="all"/>
      </w:r>
      <w:bookmarkStart w:id="4" w:name="_Toc226965856"/>
      <w:r/>
      <w:bookmarkStart w:id="5" w:name="_Toc264969275"/>
      <w:r/>
      <w:bookmarkStart w:id="6" w:name="_Toc127161488"/>
      <w:r/>
      <w:bookmarkStart w:id="7" w:name="_Toc305158928"/>
      <w:r/>
      <w:bookmarkStart w:id="8" w:name="_Toc195842950"/>
      <w:r/>
      <w:bookmarkStart w:id="9" w:name="_Toc305158854"/>
      <w:r/>
      <w:bookmarkStart w:id="10" w:name="_Toc150774783"/>
      <w:r/>
      <w:bookmarkStart w:id="11" w:name="_Toc265228423"/>
      <w:r/>
      <w:bookmarkStart w:id="12" w:name="_Toc512937850"/>
      <w:r/>
      <w:bookmarkStart w:id="13" w:name="_Toc11737"/>
      <w:r/>
      <w:bookmarkStart w:id="14" w:name="_Toc127151777"/>
      <w:r/>
      <w:bookmarkStart w:id="15" w:name="_Toc353825548"/>
      <w:r/>
      <w:bookmarkStart w:id="16" w:name="_Toc353873938"/>
      <w:r>
        <w:rPr>
          <w:b/>
          <w:color w:val="000000"/>
          <w:sz w:val="36"/>
          <w:szCs w:val="36"/>
          <w:highlight w:val="none"/>
        </w:rPr>
        <w:t xml:space="preserve">第二章   投标人须知</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Pr>
          <w:b/>
          <w:color w:val="000000"/>
          <w:sz w:val="32"/>
          <w:szCs w:val="32"/>
          <w:highlight w:val="none"/>
        </w:rPr>
      </w:r>
      <w:r/>
    </w:p>
    <w:p>
      <w:pPr>
        <w:pStyle w:val="908"/>
        <w:spacing w:before="0" w:line="360" w:lineRule="auto"/>
        <w:tabs>
          <w:tab w:val="center" w:pos="4592" w:leader="none"/>
          <w:tab w:val="left" w:pos="7860" w:leader="none"/>
        </w:tabs>
        <w:rPr>
          <w:rFonts w:hint="eastAsia" w:ascii="Times New Roman" w:hAnsi="Times New Roman" w:eastAsia="宋体"/>
          <w:color w:val="000000"/>
          <w:sz w:val="28"/>
          <w:highlight w:val="none"/>
        </w:rPr>
      </w:pPr>
      <w:r/>
      <w:bookmarkStart w:id="17" w:name="_Toc164229214"/>
      <w:r/>
      <w:bookmarkStart w:id="18" w:name="_Toc226965792"/>
      <w:r/>
      <w:bookmarkStart w:id="19" w:name="_Toc226965709"/>
      <w:r/>
      <w:bookmarkStart w:id="20" w:name="_Toc151193761"/>
      <w:r/>
      <w:bookmarkStart w:id="21" w:name="_Toc151193689"/>
      <w:r/>
      <w:bookmarkStart w:id="22" w:name="_Toc127161433"/>
      <w:r/>
      <w:bookmarkStart w:id="23" w:name="_Toc226309763"/>
      <w:r/>
      <w:bookmarkStart w:id="24" w:name="_Toc142311021"/>
      <w:r/>
      <w:bookmarkStart w:id="25" w:name="_Toc164229360"/>
      <w:r/>
      <w:bookmarkStart w:id="26" w:name="_Toc151193617"/>
      <w:r/>
      <w:bookmarkStart w:id="27" w:name="_Toc150774724"/>
      <w:r/>
      <w:bookmarkStart w:id="28" w:name="_Toc150480757"/>
      <w:r/>
      <w:bookmarkStart w:id="29" w:name="_Toc127151519"/>
      <w:r/>
      <w:bookmarkStart w:id="30" w:name="_Toc195842884"/>
      <w:r/>
      <w:bookmarkStart w:id="31" w:name="_Toc164351613"/>
      <w:r/>
      <w:bookmarkStart w:id="32" w:name="_Toc164608633"/>
      <w:r/>
      <w:bookmarkStart w:id="33" w:name="_Toc150774619"/>
      <w:r/>
      <w:bookmarkStart w:id="34" w:name="_Toc150509270"/>
      <w:r/>
      <w:bookmarkStart w:id="35" w:name="_Toc226337215"/>
      <w:r/>
      <w:bookmarkStart w:id="36" w:name="_Toc151193833"/>
      <w:r/>
      <w:bookmarkStart w:id="37" w:name="_Toc149720812"/>
      <w:r/>
      <w:bookmarkStart w:id="38" w:name="_Toc151190146"/>
      <w:r/>
      <w:bookmarkStart w:id="39" w:name="_Toc127151720"/>
      <w:r/>
      <w:bookmarkStart w:id="40" w:name="_Toc164608788"/>
      <w:r/>
      <w:bookmarkStart w:id="41" w:name="_Toc151193907"/>
      <w:r/>
      <w:bookmarkStart w:id="42" w:name="_Toc520356144"/>
      <w:r>
        <w:rPr>
          <w:rFonts w:ascii="Times New Roman" w:hAnsi="Times New Roman" w:eastAsia="宋体"/>
          <w:color w:val="000000"/>
          <w:sz w:val="28"/>
          <w:highlight w:val="none"/>
        </w:rPr>
        <w:t xml:space="preserve">投标人须知资料表</w:t>
      </w:r>
      <w:r>
        <w:rPr>
          <w:rFonts w:hint="eastAsia" w:ascii="Times New Roman" w:hAnsi="Times New Roman" w:eastAsia="宋体"/>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6"/>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06"/>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906"/>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□货物</w:t>
            </w:r>
            <w:r>
              <w:rPr>
                <w:rFonts w:ascii="宋体" w:hAnsi="宋体"/>
                <w:color w:val="000000"/>
                <w:sz w:val="24"/>
                <w:highlight w:val="none"/>
              </w:rPr>
            </w:r>
            <w:r/>
          </w:p>
          <w:p>
            <w:pPr>
              <w:pStyle w:val="906"/>
              <w:jc w:val="left"/>
              <w:spacing w:line="340" w:lineRule="exact"/>
              <w:rPr>
                <w:rFonts w:ascii="宋体" w:hAnsi="宋体"/>
                <w:color w:val="000000"/>
                <w:sz w:val="24"/>
                <w:highlight w:val="none"/>
                <w:u w:val="single"/>
              </w:rPr>
            </w:pPr>
            <w:r>
              <w:rPr>
                <w:rFonts w:ascii="宋体" w:hAnsi="宋体"/>
                <w:color w:val="000000"/>
                <w:sz w:val="24"/>
                <w:highlight w:val="none"/>
              </w:rPr>
              <w:t xml:space="preserve">□</w:t>
            </w:r>
            <w:r>
              <w:rPr>
                <w:rFonts w:hint="eastAsia" w:ascii="宋体" w:hAnsi="宋体"/>
                <w:color w:val="000000"/>
                <w:sz w:val="24"/>
                <w:highlight w:val="none"/>
              </w:rPr>
              <w:t xml:space="preserve">工程</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06"/>
              <w:ind w:left="228" w:hanging="228"/>
              <w:jc w:val="center"/>
              <w:spacing w:line="276" w:lineRule="auto"/>
              <w:rPr>
                <w:rFonts w:hAnsi="宋体"/>
                <w:color w:val="000000"/>
                <w:sz w:val="24"/>
                <w:szCs w:val="24"/>
                <w:highlight w:val="none"/>
              </w:rPr>
            </w:pPr>
            <w:r>
              <w:rPr>
                <w:rFonts w:hint="eastAsia" w:ascii="宋体" w:hAnsi="宋体" w:cs="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906"/>
              <w:ind w:left="228" w:hanging="228"/>
              <w:jc w:val="center"/>
              <w:spacing w:line="276" w:lineRule="auto"/>
              <w:rPr>
                <w:rFonts w:ascii="宋体" w:hAnsi="宋体"/>
                <w:color w:val="000000"/>
                <w:sz w:val="24"/>
                <w:highlight w:val="none"/>
              </w:rPr>
            </w:pPr>
            <w:r>
              <w:rPr>
                <w:rFonts w:hint="eastAsia" w:ascii="宋体" w:hAnsi="宋体" w:cs="宋体"/>
                <w:color w:val="000000"/>
                <w:sz w:val="24"/>
                <w:szCs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■关于核心产品本项目不适用。</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本项目为单一产品采购项目。</w:t>
            </w:r>
            <w:r>
              <w:rPr>
                <w:rFonts w:hint="eastAsia" w:ascii="宋体" w:hAnsi="宋体" w:cs="宋体"/>
                <w:color w:val="000000"/>
                <w:sz w:val="24"/>
                <w:szCs w:val="24"/>
                <w:highlight w:val="none"/>
              </w:rPr>
            </w:r>
            <w:r/>
          </w:p>
          <w:p>
            <w:pPr>
              <w:pStyle w:val="906"/>
              <w:ind w:left="228" w:hanging="228"/>
              <w:jc w:val="left"/>
              <w:spacing w:line="276" w:lineRule="auto"/>
              <w:rPr>
                <w:rFonts w:ascii="宋体" w:hAnsi="宋体"/>
                <w:b/>
                <w:color w:val="000000"/>
                <w:sz w:val="24"/>
                <w:highlight w:val="none"/>
              </w:rPr>
            </w:pPr>
            <w:r>
              <w:rPr>
                <w:rFonts w:hint="eastAsia" w:ascii="宋体" w:hAnsi="宋体" w:cs="宋体"/>
                <w:color w:val="000000"/>
                <w:sz w:val="24"/>
                <w:szCs w:val="24"/>
                <w:highlight w:val="none"/>
              </w:rPr>
              <w:t xml:space="preserve">□本项目为非单一产品采购项目，核心产品为： </w:t>
            </w:r>
            <w:r>
              <w:rPr>
                <w:rFonts w:ascii="宋体" w:hAnsi="宋体"/>
                <w:b/>
                <w:color w:val="000000"/>
                <w:sz w:val="24"/>
                <w:highlight w:val="none"/>
              </w:rPr>
            </w:r>
            <w:r/>
          </w:p>
        </w:tc>
      </w:tr>
      <w:tr>
        <w:trPr>
          <w:trHeight w:val="20"/>
        </w:trPr>
        <w:tc>
          <w:tcPr>
            <w:tcW w:w="988" w:type="dxa"/>
            <w:vAlign w:val="center"/>
            <w:vMerge w:val="restart"/>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不组织</w:t>
            </w:r>
            <w:r>
              <w:rPr>
                <w:rFonts w:ascii="宋体" w:hAnsi="宋体"/>
                <w:color w:val="000000"/>
                <w:sz w:val="24"/>
                <w:highlight w:val="none"/>
              </w:rPr>
            </w:r>
            <w:r/>
          </w:p>
          <w:p>
            <w:pPr>
              <w:pStyle w:val="906"/>
              <w:jc w:val="left"/>
              <w:spacing w:line="340" w:lineRule="exact"/>
              <w:rPr>
                <w:rFonts w:ascii="宋体" w:hAnsi="宋体"/>
                <w:bCs/>
                <w:color w:val="000000"/>
                <w:sz w:val="24"/>
                <w:highlight w:val="none"/>
                <w:u w:val="single"/>
              </w:rPr>
            </w:pPr>
            <w:r>
              <w:rPr>
                <w:rFonts w:ascii="宋体" w:hAnsi="宋体"/>
                <w:color w:val="000000"/>
                <w:sz w:val="24"/>
                <w:highlight w:val="none"/>
              </w:rPr>
              <w:t xml:space="preserve">□组织，考察时间：</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bidi="ar"/>
              </w:rPr>
              <w:t xml:space="preserve"> </w:t>
            </w:r>
            <w:r>
              <w:rPr>
                <w:rFonts w:ascii="宋体" w:hAnsi="宋体"/>
                <w:color w:val="000000"/>
                <w:sz w:val="24"/>
                <w:highlight w:val="none"/>
                <w:u w:val="single"/>
                <w:lang w:bidi="ar"/>
              </w:rPr>
              <w:t xml:space="preserve">年</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月</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日</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点</w:t>
            </w:r>
            <w:r>
              <w:rPr>
                <w:rFonts w:ascii="宋体" w:hAnsi="宋体"/>
                <w:color w:val="000000"/>
                <w:sz w:val="24"/>
                <w:highlight w:val="none"/>
                <w:u w:val="single"/>
              </w:rPr>
              <w:t xml:space="preserve">_</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分</w:t>
            </w:r>
            <w:r>
              <w:rPr>
                <w:rFonts w:ascii="宋体" w:hAnsi="宋体"/>
                <w:bCs/>
                <w:color w:val="000000"/>
                <w:sz w:val="24"/>
                <w:highlight w:val="none"/>
                <w:u w:val="single"/>
              </w:rPr>
            </w:r>
            <w:r/>
          </w:p>
          <w:p>
            <w:pPr>
              <w:pStyle w:val="945"/>
              <w:spacing w:line="340" w:lineRule="exact"/>
              <w:rPr>
                <w:rFonts w:hAnsi="宋体"/>
                <w:color w:val="000000"/>
                <w:sz w:val="24"/>
                <w:szCs w:val="24"/>
                <w:highlight w:val="none"/>
              </w:rPr>
            </w:pPr>
            <w:r>
              <w:rPr>
                <w:rFonts w:hAnsi="宋体"/>
                <w:color w:val="000000"/>
                <w:sz w:val="24"/>
                <w:szCs w:val="24"/>
                <w:highlight w:val="none"/>
              </w:rPr>
              <w:t xml:space="preserve">考察地点：</w:t>
            </w:r>
            <w:r>
              <w:rPr>
                <w:rFonts w:hAnsi="宋体"/>
                <w:color w:val="000000"/>
                <w:sz w:val="24"/>
                <w:szCs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□召开，召开时间：_</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bidi="ar"/>
              </w:rPr>
              <w:t xml:space="preserve"> </w:t>
            </w:r>
            <w:r>
              <w:rPr>
                <w:rFonts w:ascii="宋体" w:hAnsi="宋体"/>
                <w:color w:val="000000"/>
                <w:sz w:val="24"/>
                <w:highlight w:val="none"/>
                <w:u w:val="single"/>
                <w:lang w:bidi="ar"/>
              </w:rPr>
              <w:t xml:space="preserve">年</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月</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日</w:t>
            </w:r>
            <w:r>
              <w:rPr>
                <w:rFonts w:hint="eastAsia" w:ascii="宋体" w:hAnsi="宋体"/>
                <w:color w:val="000000"/>
                <w:sz w:val="24"/>
                <w:highlight w:val="none"/>
                <w:u w:val="single"/>
                <w:lang w:bidi="ar"/>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点</w:t>
            </w:r>
            <w:r>
              <w:rPr>
                <w:rFonts w:ascii="宋体" w:hAnsi="宋体"/>
                <w:color w:val="000000"/>
                <w:sz w:val="24"/>
                <w:highlight w:val="none"/>
                <w:u w:val="single"/>
              </w:rPr>
              <w:t xml:space="preserve">_</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lang w:bidi="ar"/>
              </w:rPr>
              <w:t xml:space="preserve">分</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rPr>
              <w:t xml:space="preserve">。</w:t>
            </w:r>
            <w:r>
              <w:rPr>
                <w:rFonts w:ascii="宋体" w:hAnsi="宋体"/>
                <w:color w:val="000000"/>
                <w:sz w:val="24"/>
                <w:highlight w:val="none"/>
              </w:rPr>
            </w:r>
            <w:r/>
          </w:p>
        </w:tc>
      </w:tr>
      <w:tr>
        <w:trPr>
          <w:trHeight w:val="896"/>
        </w:trPr>
        <w:tc>
          <w:tcPr>
            <w:tcW w:w="988" w:type="dxa"/>
            <w:vAlign w:val="center"/>
            <w:textDirection w:val="lrTb"/>
            <w:noWrap w:val="false"/>
          </w:tcPr>
          <w:p>
            <w:pPr>
              <w:pStyle w:val="906"/>
              <w:ind w:left="228" w:hanging="228"/>
              <w:jc w:val="center"/>
              <w:spacing w:line="276" w:lineRule="auto"/>
              <w:rPr>
                <w:rFonts w:hAnsi="宋体"/>
                <w:color w:val="000000"/>
                <w:sz w:val="24"/>
                <w:szCs w:val="24"/>
                <w:highlight w:val="none"/>
              </w:rPr>
            </w:pPr>
            <w:r>
              <w:rPr>
                <w:rFonts w:hint="eastAsia" w:ascii="宋体" w:hAnsi="宋体" w:cs="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906"/>
              <w:ind w:left="228" w:hanging="228"/>
              <w:jc w:val="center"/>
              <w:spacing w:line="276" w:lineRule="auto"/>
              <w:rPr>
                <w:rFonts w:ascii="宋体" w:hAnsi="宋体"/>
                <w:color w:val="000000"/>
                <w:sz w:val="24"/>
                <w:highlight w:val="none"/>
              </w:rPr>
            </w:pPr>
            <w:r>
              <w:rPr>
                <w:rFonts w:hint="eastAsia" w:ascii="宋体" w:hAnsi="宋体" w:cs="宋体"/>
                <w:color w:val="000000"/>
                <w:sz w:val="24"/>
                <w:szCs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投标样品递交：</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■不需要</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□需要，具体要求如下：</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（1）样品制作的标准和要求：详见采购需求</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（2）是否需要随样品提交相关检测报告：详见采购需求</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（3）样品递交要求：详见采购需求</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（4）未中标人样品退还：详见采购需求</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（5）中标人样品保管、封存及退还：详见采购需求</w:t>
            </w:r>
            <w:r>
              <w:rPr>
                <w:rFonts w:hint="eastAsia" w:ascii="宋体" w:hAnsi="宋体" w:cs="宋体"/>
                <w:color w:val="000000"/>
                <w:sz w:val="24"/>
                <w:szCs w:val="24"/>
                <w:highlight w:val="none"/>
              </w:rPr>
            </w:r>
            <w:r/>
          </w:p>
          <w:p>
            <w:pPr>
              <w:pStyle w:val="906"/>
              <w:ind w:left="228" w:hanging="228"/>
              <w:jc w:val="left"/>
              <w:spacing w:line="276" w:lineRule="auto"/>
              <w:rPr>
                <w:rFonts w:ascii="宋体" w:hAnsi="宋体"/>
                <w:color w:val="000000"/>
                <w:sz w:val="24"/>
                <w:highlight w:val="none"/>
              </w:rPr>
            </w:pPr>
            <w:r>
              <w:rPr>
                <w:rFonts w:hint="eastAsia" w:ascii="宋体" w:hAnsi="宋体" w:cs="宋体"/>
                <w:color w:val="000000"/>
                <w:sz w:val="24"/>
                <w:szCs w:val="24"/>
                <w:highlight w:val="none"/>
              </w:rPr>
              <w:t xml:space="preserve">（6）其他要求（如有）：详见采购需求</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906"/>
              <w:jc w:val="left"/>
              <w:rPr>
                <w:rFonts w:hint="eastAsia"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b/>
                <w:bCs/>
                <w:color w:val="000000"/>
                <w:sz w:val="24"/>
                <w:highlight w:val="none"/>
                <w:u w:val="single"/>
              </w:rPr>
              <w:t xml:space="preserve">其他</w:t>
            </w:r>
            <w:r>
              <w:rPr>
                <w:rFonts w:ascii="宋体" w:hAnsi="宋体"/>
                <w:b/>
                <w:bCs/>
                <w:color w:val="000000"/>
                <w:sz w:val="24"/>
                <w:highlight w:val="none"/>
                <w:u w:val="single"/>
              </w:rPr>
              <w:t xml:space="preserve">未列明</w:t>
            </w:r>
            <w:r>
              <w:rPr>
                <w:rFonts w:hint="eastAsia" w:ascii="宋体" w:hAnsi="宋体"/>
                <w:b/>
                <w:bCs/>
                <w:color w:val="000000"/>
                <w:sz w:val="24"/>
                <w:highlight w:val="none"/>
                <w:u w:val="single"/>
              </w:rPr>
              <w:t xml:space="preserve">行业</w:t>
            </w:r>
            <w:r>
              <w:rPr>
                <w:rFonts w:hint="eastAsia"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5.2.6</w:t>
            </w:r>
            <w:r>
              <w:rPr>
                <w:rFonts w:hAnsi="宋体" w:eastAsia="宋体"/>
                <w:color w:val="000000"/>
                <w:sz w:val="24"/>
                <w:szCs w:val="24"/>
                <w:highlight w:val="none"/>
                <w:lang w:val="en-US" w:eastAsia="zh-CN"/>
              </w:rPr>
            </w:r>
            <w:r/>
          </w:p>
        </w:tc>
        <w:tc>
          <w:tcPr>
            <w:tcW w:w="1701" w:type="dxa"/>
            <w:vAlign w:val="center"/>
            <w:textDirection w:val="lrTb"/>
            <w:noWrap w:val="false"/>
          </w:tcPr>
          <w:p>
            <w:pPr>
              <w:pStyle w:val="906"/>
              <w:jc w:val="center"/>
              <w:rPr>
                <w:rFonts w:ascii="宋体" w:hAnsi="宋体"/>
                <w:color w:val="000000"/>
                <w:sz w:val="24"/>
                <w:highlight w:val="none"/>
              </w:rPr>
            </w:pPr>
            <w:r>
              <w:rPr>
                <w:rFonts w:hint="eastAsia"/>
                <w:color w:val="000000"/>
                <w:sz w:val="24"/>
                <w:highlight w:val="none"/>
              </w:rPr>
              <w:t xml:space="preserve">本国产品政策支持</w:t>
            </w:r>
            <w:r>
              <w:rPr>
                <w:rFonts w:ascii="宋体" w:hAnsi="宋体"/>
                <w:color w:val="000000"/>
                <w:sz w:val="24"/>
                <w:highlight w:val="none"/>
              </w:rPr>
            </w:r>
            <w:r/>
          </w:p>
        </w:tc>
        <w:tc>
          <w:tcPr>
            <w:tcW w:w="7540" w:type="dxa"/>
            <w:vAlign w:val="center"/>
            <w:textDirection w:val="lrTb"/>
            <w:noWrap w:val="false"/>
          </w:tcPr>
          <w:p>
            <w:pPr>
              <w:pStyle w:val="906"/>
              <w:jc w:val="left"/>
              <w:rPr>
                <w:color w:val="000000"/>
                <w:sz w:val="24"/>
                <w:highlight w:val="none"/>
              </w:rPr>
            </w:pPr>
            <w:r>
              <w:rPr>
                <w:rFonts w:hint="eastAsia"/>
                <w:color w:val="000000"/>
                <w:sz w:val="24"/>
                <w:highlight w:val="none"/>
              </w:rPr>
              <w:t xml:space="preserve">关于对采购本国产品给予政策支持，本项目：</w:t>
            </w:r>
            <w:r>
              <w:rPr>
                <w:rFonts w:hint="eastAsia" w:ascii="宋体" w:hAnsi="宋体"/>
                <w:color w:val="000000"/>
                <w:highlight w:val="none"/>
              </w:rPr>
              <w:t xml:space="preserve">□</w:t>
            </w:r>
            <w:r>
              <w:rPr>
                <w:rFonts w:hint="eastAsia"/>
                <w:color w:val="000000"/>
                <w:sz w:val="24"/>
                <w:highlight w:val="none"/>
              </w:rPr>
              <w:t xml:space="preserve">适用 </w:t>
            </w:r>
            <w:r>
              <w:rPr>
                <w:rFonts w:hint="eastAsia" w:ascii="宋体" w:hAnsi="宋体"/>
                <w:color w:val="000000"/>
                <w:highlight w:val="none"/>
              </w:rPr>
              <w:t xml:space="preserve">■</w:t>
            </w:r>
            <w:r>
              <w:rPr>
                <w:rFonts w:hint="eastAsia"/>
                <w:color w:val="000000"/>
                <w:sz w:val="24"/>
                <w:highlight w:val="none"/>
              </w:rPr>
              <w:t xml:space="preserve">不适用。</w:t>
            </w:r>
            <w:r>
              <w:rPr>
                <w:color w:val="000000"/>
                <w:sz w:val="24"/>
                <w:highlight w:val="none"/>
              </w:rPr>
            </w:r>
            <w:r/>
          </w:p>
          <w:p>
            <w:pPr>
              <w:pStyle w:val="906"/>
              <w:jc w:val="left"/>
              <w:rPr>
                <w:rFonts w:ascii="宋体" w:hAnsi="宋体"/>
                <w:color w:val="000000"/>
                <w:sz w:val="24"/>
                <w:highlight w:val="none"/>
              </w:rPr>
            </w:pPr>
            <w:r>
              <w:rPr>
                <w:rFonts w:hint="eastAsia"/>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报价的特殊规定：</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无</w:t>
            </w:r>
            <w:r>
              <w:rPr>
                <w:rFonts w:ascii="宋体" w:hAnsi="宋体"/>
                <w:color w:val="000000"/>
                <w:sz w:val="24"/>
                <w:highlight w:val="none"/>
              </w:rPr>
            </w:r>
            <w:r/>
          </w:p>
          <w:p>
            <w:pPr>
              <w:pStyle w:val="906"/>
              <w:jc w:val="left"/>
              <w:spacing w:line="340" w:lineRule="exact"/>
              <w:rPr>
                <w:rFonts w:hint="eastAsia" w:ascii="宋体" w:hAnsi="宋体"/>
                <w:color w:val="000000"/>
                <w:sz w:val="24"/>
                <w:highlight w:val="none"/>
              </w:rPr>
            </w:pPr>
            <w:r>
              <w:rPr>
                <w:rFonts w:ascii="宋体" w:hAnsi="宋体"/>
                <w:color w:val="000000"/>
                <w:sz w:val="24"/>
                <w:highlight w:val="none"/>
              </w:rPr>
              <w:t xml:space="preserve">□有，具体情形：</w:t>
            </w:r>
            <w:r>
              <w:rPr>
                <w:rFonts w:hint="eastAsia" w:ascii="宋体" w:hAnsi="宋体"/>
                <w:color w:val="000000"/>
                <w:sz w:val="24"/>
                <w:highlight w:val="none"/>
                <w:u w:val="single"/>
              </w:rPr>
              <w:t xml:space="preserve">/</w:t>
            </w:r>
            <w:r>
              <w:rPr>
                <w:rFonts w:hint="eastAsia" w:ascii="宋体" w:hAnsi="宋体"/>
                <w:color w:val="000000"/>
                <w:sz w:val="24"/>
                <w:highlight w:val="none"/>
              </w:rPr>
            </w:r>
            <w:r/>
          </w:p>
        </w:tc>
      </w:tr>
      <w:tr>
        <w:trPr>
          <w:trHeight w:val="468"/>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906"/>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74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906"/>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hint="eastAsia" w:ascii="宋体" w:hAnsi="宋体"/>
                <w:color w:val="000000"/>
                <w:sz w:val="24"/>
                <w:highlight w:val="none"/>
                <w:u w:val="single"/>
                <w:lang w:val="en-US" w:eastAsia="zh-CN"/>
              </w:rPr>
              <w:t xml:space="preserve"> 60 </w:t>
            </w:r>
            <w:r>
              <w:rPr>
                <w:rFonts w:ascii="宋体" w:hAnsi="宋体"/>
                <w:color w:val="000000"/>
                <w:sz w:val="24"/>
                <w:highlight w:val="none"/>
              </w:rPr>
              <w:t xml:space="preserve">日历天。</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906"/>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906"/>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06"/>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06"/>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906"/>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906"/>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77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26.1</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906"/>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rPr>
              <w:t xml:space="preserve">投标人对招标文件如有疑问，请将疑问于</w:t>
            </w:r>
            <w:r>
              <w:rPr>
                <w:rFonts w:hint="eastAsia" w:ascii="宋体" w:hAnsi="宋体"/>
                <w:b/>
                <w:bCs/>
                <w:color w:val="000000"/>
                <w:sz w:val="24"/>
                <w:highlight w:val="none"/>
              </w:rPr>
              <w:t xml:space="preserve">202</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22</w:t>
            </w:r>
            <w:r>
              <w:rPr>
                <w:rFonts w:hint="eastAsia" w:ascii="宋体" w:hAnsi="宋体"/>
                <w:b/>
                <w:bCs/>
                <w:color w:val="000000"/>
                <w:sz w:val="24"/>
                <w:highlight w:val="none"/>
              </w:rPr>
              <w:t xml:space="preserve">日1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点00分（北京时间）</w:t>
            </w:r>
            <w:r>
              <w:rPr>
                <w:rFonts w:hint="eastAsia" w:ascii="宋体" w:hAnsi="宋体"/>
                <w:color w:val="000000"/>
                <w:sz w:val="24"/>
                <w:highlight w:val="none"/>
              </w:rPr>
              <w:t xml:space="preserve">前以书面形式提交至江苏嘉德全过程工程咨询有限公司（地址：常州市天宁区嘉宏世纪大厦1917室）。</w:t>
            </w:r>
            <w:r>
              <w:rPr>
                <w:rFonts w:ascii="宋体" w:hAnsi="宋体"/>
                <w:color w:val="000000"/>
                <w:sz w:val="24"/>
                <w:highlight w:val="none"/>
              </w:rPr>
            </w:r>
            <w:r/>
          </w:p>
        </w:tc>
      </w:tr>
      <w:tr>
        <w:trPr>
          <w:trHeight w:val="746"/>
        </w:trPr>
        <w:tc>
          <w:tcPr>
            <w:tcW w:w="988" w:type="dxa"/>
            <w:vAlign w:val="center"/>
            <w:textDirection w:val="lrTb"/>
            <w:noWrap w:val="false"/>
          </w:tcPr>
          <w:p>
            <w:pPr>
              <w:pStyle w:val="945"/>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26.2</w:t>
            </w:r>
            <w:r>
              <w:rPr>
                <w:rFonts w:hAnsi="宋体" w:eastAsia="宋体"/>
                <w:color w:val="000000"/>
                <w:sz w:val="24"/>
                <w:szCs w:val="24"/>
                <w:highlight w:val="none"/>
                <w:lang w:val="en-US" w:eastAsia="zh-CN"/>
              </w:rPr>
            </w:r>
            <w:r/>
          </w:p>
        </w:tc>
        <w:tc>
          <w:tcPr>
            <w:tcW w:w="1701" w:type="dxa"/>
            <w:vAlign w:val="center"/>
            <w:textDirection w:val="lrTb"/>
            <w:noWrap w:val="false"/>
          </w:tcPr>
          <w:p>
            <w:pPr>
              <w:pStyle w:val="906"/>
              <w:ind w:left="228" w:hanging="228"/>
              <w:jc w:val="center"/>
              <w:spacing w:line="276" w:lineRule="auto"/>
              <w:rPr>
                <w:rFonts w:ascii="宋体" w:hAnsi="宋体"/>
                <w:color w:val="000000"/>
                <w:sz w:val="24"/>
                <w:highlight w:val="none"/>
              </w:rPr>
            </w:pPr>
            <w:r>
              <w:rPr>
                <w:rFonts w:hint="eastAsia" w:ascii="宋体" w:hAnsi="宋体" w:cs="宋体"/>
                <w:color w:val="000000"/>
                <w:sz w:val="24"/>
                <w:szCs w:val="24"/>
                <w:highlight w:val="none"/>
              </w:rPr>
              <w:t xml:space="preserve">质疑</w:t>
            </w:r>
            <w:r>
              <w:rPr>
                <w:rFonts w:ascii="宋体" w:hAnsi="宋体"/>
                <w:color w:val="000000"/>
                <w:sz w:val="24"/>
                <w:highlight w:val="none"/>
              </w:rPr>
            </w:r>
            <w:r/>
          </w:p>
        </w:tc>
        <w:tc>
          <w:tcPr>
            <w:tcW w:w="7540" w:type="dxa"/>
            <w:vAlign w:val="center"/>
            <w:textDirection w:val="lrTb"/>
            <w:noWrap w:val="false"/>
          </w:tcPr>
          <w:p>
            <w:pPr>
              <w:pStyle w:val="906"/>
              <w:ind w:left="228" w:hanging="228"/>
              <w:jc w:val="left"/>
              <w:spacing w:line="276" w:lineRule="auto"/>
              <w:rPr>
                <w:rFonts w:ascii="宋体" w:hAnsi="宋体"/>
                <w:color w:val="000000"/>
                <w:sz w:val="24"/>
                <w:highlight w:val="none"/>
              </w:rPr>
            </w:pPr>
            <w:r>
              <w:rPr>
                <w:rFonts w:hint="eastAsia" w:ascii="宋体" w:hAnsi="宋体" w:cs="宋体"/>
                <w:color w:val="000000"/>
                <w:sz w:val="24"/>
                <w:szCs w:val="24"/>
                <w:highlight w:val="none"/>
              </w:rPr>
              <w:t xml:space="preserve">质疑送达形式：纸质书面送达。</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906"/>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江苏嘉德全过程工程咨询有限公司</w:t>
            </w:r>
            <w:r>
              <w:rPr>
                <w:rFonts w:ascii="宋体" w:hAnsi="宋体"/>
                <w:color w:val="000000"/>
                <w:sz w:val="24"/>
                <w:highlight w:val="none"/>
                <w:u w:val="single"/>
              </w:rPr>
              <w:t xml:space="preserve">；</w:t>
            </w:r>
            <w:r>
              <w:rPr>
                <w:rFonts w:ascii="宋体" w:hAnsi="宋体"/>
                <w:color w:val="000000"/>
                <w:sz w:val="24"/>
                <w:highlight w:val="none"/>
              </w:rPr>
            </w:r>
            <w:r/>
          </w:p>
          <w:p>
            <w:pPr>
              <w:pStyle w:val="906"/>
              <w:jc w:val="left"/>
              <w:spacing w:line="340" w:lineRule="exact"/>
              <w:rPr>
                <w:rFonts w:ascii="宋体" w:hAnsi="宋体"/>
                <w:color w:val="000000"/>
                <w:sz w:val="24"/>
                <w:highlight w:val="none"/>
                <w:u w:val="single"/>
              </w:rPr>
            </w:pPr>
            <w:r>
              <w:rPr>
                <w:rFonts w:ascii="宋体" w:hAnsi="宋体"/>
                <w:color w:val="000000"/>
                <w:sz w:val="24"/>
                <w:highlight w:val="none"/>
              </w:rPr>
              <w:t xml:space="preserve">联系电话：</w:t>
            </w:r>
            <w:r>
              <w:rPr>
                <w:rFonts w:ascii="宋体" w:hAnsi="宋体"/>
                <w:color w:val="000000"/>
                <w:sz w:val="24"/>
                <w:highlight w:val="none"/>
                <w:u w:val="single"/>
              </w:rPr>
              <w:t xml:space="preserve">0519</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86787783；</w:t>
            </w:r>
            <w:r>
              <w:rPr>
                <w:rFonts w:ascii="宋体" w:hAnsi="宋体"/>
                <w:color w:val="000000"/>
                <w:sz w:val="24"/>
                <w:highlight w:val="none"/>
                <w:u w:val="single"/>
              </w:rPr>
            </w:r>
            <w:r/>
          </w:p>
          <w:p>
            <w:pPr>
              <w:pStyle w:val="906"/>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常州市天宁区嘉宏世纪大厦1917室</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906"/>
              <w:jc w:val="left"/>
              <w:spacing w:line="340" w:lineRule="exac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color w:val="000000"/>
                <w:highlight w:val="none"/>
              </w:rPr>
              <w:t xml:space="preserve">□</w:t>
            </w:r>
            <w:r>
              <w:rPr>
                <w:rFonts w:ascii="宋体" w:hAnsi="宋体"/>
                <w:color w:val="000000"/>
                <w:sz w:val="24"/>
                <w:highlight w:val="none"/>
              </w:rPr>
              <w:t xml:space="preserve">采购人</w:t>
            </w:r>
            <w:r>
              <w:rPr>
                <w:rFonts w:ascii="宋体" w:hAnsi="宋体"/>
                <w:color w:val="000000"/>
                <w:sz w:val="24"/>
                <w:highlight w:val="none"/>
              </w:rPr>
            </w:r>
            <w:r/>
          </w:p>
          <w:p>
            <w:pPr>
              <w:pStyle w:val="906"/>
              <w:jc w:val="left"/>
              <w:spacing w:line="340" w:lineRule="exact"/>
              <w:rPr>
                <w:rFonts w:ascii="宋体" w:hAnsi="宋体"/>
                <w:color w:val="000000"/>
                <w:sz w:val="24"/>
                <w:highlight w:val="none"/>
              </w:rPr>
            </w:pPr>
            <w:r>
              <w:rPr>
                <w:rFonts w:ascii="宋体" w:hAnsi="宋体"/>
                <w:b/>
                <w:color w:val="000000"/>
                <w:sz w:val="24"/>
                <w:highlight w:val="none"/>
              </w:rPr>
              <w:t xml:space="preserve">■</w:t>
            </w:r>
            <w:r>
              <w:rPr>
                <w:rFonts w:hint="eastAsia" w:ascii="宋体" w:hAnsi="宋体"/>
                <w:color w:val="000000"/>
                <w:sz w:val="24"/>
                <w:highlight w:val="none"/>
              </w:rPr>
              <w:t xml:space="preserve">中标人</w:t>
            </w:r>
            <w:r>
              <w:rPr>
                <w:rFonts w:ascii="宋体" w:hAnsi="宋体"/>
                <w:color w:val="000000"/>
                <w:sz w:val="24"/>
                <w:highlight w:val="none"/>
              </w:rPr>
            </w:r>
            <w:r/>
          </w:p>
          <w:p>
            <w:pPr>
              <w:pStyle w:val="906"/>
              <w:jc w:val="left"/>
              <w:spacing w:line="340" w:lineRule="exact"/>
              <w:rPr>
                <w:rFonts w:ascii="宋体" w:hAnsi="宋体"/>
                <w:color w:val="000000"/>
                <w:sz w:val="24"/>
                <w:highlight w:val="none"/>
                <w:u w:val="single"/>
              </w:rPr>
            </w:pPr>
            <w:r>
              <w:rPr>
                <w:rFonts w:ascii="宋体" w:hAnsi="宋体"/>
                <w:color w:val="000000"/>
                <w:sz w:val="24"/>
                <w:highlight w:val="none"/>
              </w:rPr>
              <w:t xml:space="preserve">收费标准：</w:t>
            </w:r>
            <w:r>
              <w:rPr>
                <w:rFonts w:hint="eastAsia" w:ascii="宋体" w:hAnsi="宋体" w:eastAsia="宋体" w:cs="Times New Roman"/>
                <w:b/>
                <w:bCs/>
                <w:color w:val="000000"/>
                <w:sz w:val="24"/>
                <w:highlight w:val="none"/>
                <w:u w:val="single"/>
              </w:rPr>
              <w:t xml:space="preserve">以项目中标金额为基数，100万元(含)以下部分</w:t>
            </w:r>
            <w:r>
              <w:rPr>
                <w:rFonts w:hint="eastAsia" w:ascii="宋体" w:hAnsi="宋体" w:eastAsia="宋体" w:cs="Times New Roman"/>
                <w:b/>
                <w:bCs/>
                <w:color w:val="000000"/>
                <w:sz w:val="24"/>
                <w:highlight w:val="none"/>
                <w:u w:val="single"/>
                <w:lang w:val="en-US" w:eastAsia="zh-CN"/>
              </w:rPr>
              <w:t xml:space="preserve">*</w:t>
            </w:r>
            <w:r>
              <w:rPr>
                <w:rFonts w:hint="eastAsia" w:ascii="宋体" w:hAnsi="宋体" w:eastAsia="宋体" w:cs="Times New Roman"/>
                <w:b/>
                <w:bCs/>
                <w:color w:val="000000"/>
                <w:sz w:val="24"/>
                <w:highlight w:val="none"/>
                <w:u w:val="single"/>
              </w:rPr>
              <w:t xml:space="preserve">1.5%、100万元-500万元(含)部分</w:t>
            </w:r>
            <w:r>
              <w:rPr>
                <w:rFonts w:hint="eastAsia" w:ascii="宋体" w:hAnsi="宋体" w:eastAsia="宋体" w:cs="Times New Roman"/>
                <w:b/>
                <w:bCs/>
                <w:color w:val="000000"/>
                <w:sz w:val="24"/>
                <w:highlight w:val="none"/>
                <w:u w:val="single"/>
                <w:lang w:val="en-US" w:eastAsia="zh-CN"/>
              </w:rPr>
              <w:t xml:space="preserve">*</w:t>
            </w:r>
            <w:r>
              <w:rPr>
                <w:rFonts w:hint="eastAsia" w:ascii="宋体" w:hAnsi="宋体" w:eastAsia="宋体" w:cs="Times New Roman"/>
                <w:b/>
                <w:bCs/>
                <w:color w:val="000000"/>
                <w:sz w:val="24"/>
                <w:highlight w:val="none"/>
                <w:u w:val="single"/>
              </w:rPr>
              <w:t xml:space="preserve">0.8%，500万元</w:t>
            </w:r>
            <w:r>
              <w:rPr>
                <w:rFonts w:hint="eastAsia" w:ascii="宋体" w:hAnsi="宋体" w:eastAsia="宋体" w:cs="Times New Roman"/>
                <w:b/>
                <w:bCs/>
                <w:color w:val="000000"/>
                <w:sz w:val="24"/>
                <w:highlight w:val="none"/>
                <w:u w:val="single"/>
                <w:lang w:val="en-US" w:eastAsia="zh-CN"/>
              </w:rPr>
              <w:t xml:space="preserve">-</w:t>
            </w:r>
            <w:r>
              <w:rPr>
                <w:rFonts w:hint="eastAsia" w:ascii="宋体" w:hAnsi="宋体" w:eastAsia="宋体" w:cs="Times New Roman"/>
                <w:b/>
                <w:bCs/>
                <w:color w:val="000000"/>
                <w:sz w:val="24"/>
                <w:highlight w:val="none"/>
                <w:u w:val="single"/>
              </w:rPr>
              <w:t xml:space="preserve">1000万元</w:t>
            </w:r>
            <w:r>
              <w:rPr>
                <w:rFonts w:hint="eastAsia" w:ascii="宋体" w:hAnsi="宋体" w:eastAsia="宋体" w:cs="Times New Roman"/>
                <w:b/>
                <w:bCs/>
                <w:color w:val="000000"/>
                <w:sz w:val="24"/>
                <w:highlight w:val="none"/>
                <w:u w:val="single"/>
                <w:lang w:val="en-US" w:eastAsia="zh-CN"/>
              </w:rPr>
              <w:t xml:space="preserve">部分*</w:t>
            </w:r>
            <w:r>
              <w:rPr>
                <w:rFonts w:hint="eastAsia" w:ascii="宋体" w:hAnsi="宋体" w:eastAsia="宋体" w:cs="Times New Roman"/>
                <w:b/>
                <w:bCs/>
                <w:color w:val="000000"/>
                <w:sz w:val="24"/>
                <w:highlight w:val="none"/>
                <w:u w:val="single"/>
              </w:rPr>
              <w:t xml:space="preserve">0.45%，1000万元</w:t>
            </w:r>
            <w:r>
              <w:rPr>
                <w:rFonts w:hint="eastAsia" w:ascii="宋体" w:hAnsi="宋体" w:eastAsia="宋体" w:cs="Times New Roman"/>
                <w:b/>
                <w:bCs/>
                <w:color w:val="000000"/>
                <w:sz w:val="24"/>
                <w:highlight w:val="none"/>
                <w:u w:val="single"/>
                <w:lang w:val="en-US" w:eastAsia="zh-CN"/>
              </w:rPr>
              <w:t xml:space="preserve">-</w:t>
            </w:r>
            <w:r>
              <w:rPr>
                <w:rFonts w:hint="eastAsia" w:ascii="宋体" w:hAnsi="宋体" w:eastAsia="宋体" w:cs="Times New Roman"/>
                <w:b/>
                <w:bCs/>
                <w:color w:val="000000"/>
                <w:sz w:val="24"/>
                <w:highlight w:val="none"/>
                <w:u w:val="single"/>
              </w:rPr>
              <w:t xml:space="preserve">5000万元</w:t>
            </w:r>
            <w:r>
              <w:rPr>
                <w:rFonts w:hint="eastAsia" w:ascii="宋体" w:hAnsi="宋体" w:eastAsia="宋体" w:cs="Times New Roman"/>
                <w:b/>
                <w:bCs/>
                <w:color w:val="000000"/>
                <w:sz w:val="24"/>
                <w:highlight w:val="none"/>
                <w:u w:val="single"/>
                <w:lang w:val="en-US" w:eastAsia="zh-CN"/>
              </w:rPr>
              <w:t xml:space="preserve">部分*</w:t>
            </w:r>
            <w:r>
              <w:rPr>
                <w:rFonts w:hint="eastAsia" w:ascii="宋体" w:hAnsi="宋体" w:eastAsia="宋体" w:cs="Times New Roman"/>
                <w:b/>
                <w:bCs/>
                <w:color w:val="000000"/>
                <w:sz w:val="24"/>
                <w:highlight w:val="none"/>
                <w:u w:val="single"/>
              </w:rPr>
              <w:t xml:space="preserve">0.25%，中标服务收费按差额定率累进法计算，代理服务费不足3000元的，按3000元收取。</w:t>
            </w:r>
            <w:r>
              <w:rPr>
                <w:rFonts w:ascii="宋体" w:hAnsi="宋体"/>
                <w:color w:val="000000"/>
                <w:sz w:val="24"/>
                <w:highlight w:val="none"/>
                <w:u w:val="single"/>
              </w:rPr>
            </w:r>
            <w:r/>
          </w:p>
          <w:p>
            <w:pPr>
              <w:pStyle w:val="906"/>
              <w:jc w:val="left"/>
              <w:spacing w:line="340" w:lineRule="exact"/>
              <w:rPr>
                <w:rFonts w:ascii="宋体" w:hAnsi="宋体" w:cs="宋体"/>
                <w:color w:val="000000"/>
                <w:sz w:val="24"/>
                <w:highlight w:val="none"/>
                <w:u w:val="single"/>
              </w:rPr>
            </w:pPr>
            <w:r>
              <w:rPr>
                <w:rFonts w:ascii="宋体" w:hAnsi="宋体"/>
                <w:color w:val="000000"/>
                <w:sz w:val="24"/>
                <w:highlight w:val="none"/>
              </w:rPr>
              <w:t xml:space="preserve">缴纳时间：</w:t>
            </w:r>
            <w:r>
              <w:rPr>
                <w:rFonts w:hint="eastAsia" w:ascii="宋体" w:hAnsi="宋体" w:cs="宋体"/>
                <w:color w:val="000000"/>
                <w:sz w:val="24"/>
                <w:highlight w:val="none"/>
                <w:u w:val="single"/>
              </w:rPr>
              <w:t xml:space="preserve">中标人应在领取《中标通知书》时将代理服务费付至采购代理机构的账户并备注项目名称。</w:t>
            </w:r>
            <w:r>
              <w:rPr>
                <w:rFonts w:ascii="宋体" w:hAnsi="宋体" w:cs="宋体"/>
                <w:color w:val="000000"/>
                <w:sz w:val="24"/>
                <w:highlight w:val="none"/>
                <w:u w:val="single"/>
              </w:rPr>
            </w:r>
            <w:r/>
          </w:p>
          <w:p>
            <w:pPr>
              <w:pStyle w:val="906"/>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w:t>
            </w:r>
            <w:bookmarkStart w:id="43" w:name="_Hlk131682214"/>
            <w:r>
              <w:rPr>
                <w:rFonts w:hint="eastAsia" w:ascii="宋体" w:hAnsi="宋体" w:cs="宋体"/>
                <w:color w:val="000000"/>
                <w:sz w:val="24"/>
                <w:highlight w:val="none"/>
                <w:u w:val="single"/>
              </w:rPr>
              <w:t xml:space="preserve">江苏嘉德全过程工程咨询有限公司</w:t>
            </w:r>
            <w:bookmarkEnd w:id="43"/>
            <w:r>
              <w:rPr>
                <w:rFonts w:hint="eastAsia" w:ascii="宋体" w:hAnsi="宋体" w:cs="宋体"/>
                <w:color w:val="000000"/>
                <w:sz w:val="24"/>
                <w:highlight w:val="none"/>
                <w:u w:val="single"/>
              </w:rPr>
            </w:r>
            <w:r/>
          </w:p>
          <w:p>
            <w:pPr>
              <w:pStyle w:val="906"/>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w:t>
            </w:r>
            <w:r>
              <w:rPr>
                <w:rFonts w:ascii="宋体" w:hAnsi="宋体" w:cs="宋体"/>
                <w:color w:val="000000"/>
                <w:sz w:val="24"/>
                <w:highlight w:val="none"/>
                <w:u w:val="single"/>
              </w:rPr>
              <w:t xml:space="preserve">32001628436052514982</w:t>
            </w:r>
            <w:r>
              <w:rPr>
                <w:rFonts w:hint="eastAsia" w:ascii="宋体" w:hAnsi="宋体" w:cs="宋体"/>
                <w:color w:val="000000"/>
                <w:sz w:val="24"/>
                <w:highlight w:val="none"/>
                <w:u w:val="single"/>
              </w:rPr>
            </w:r>
            <w:r/>
          </w:p>
          <w:p>
            <w:pPr>
              <w:pStyle w:val="906"/>
              <w:jc w:val="left"/>
              <w:rPr>
                <w:rFonts w:ascii="宋体" w:hAnsi="宋体"/>
                <w:color w:val="000000"/>
                <w:sz w:val="24"/>
                <w:highlight w:val="none"/>
              </w:rPr>
            </w:pPr>
            <w:r>
              <w:rPr>
                <w:rFonts w:hint="eastAsia" w:ascii="宋体" w:hAnsi="宋体" w:cs="宋体"/>
                <w:color w:val="000000"/>
                <w:sz w:val="24"/>
                <w:highlight w:val="none"/>
                <w:u w:val="single"/>
              </w:rPr>
              <w:t xml:space="preserve">开户银行：中国建设银行股份有限公司常州新北支行</w:t>
            </w:r>
            <w:r>
              <w:rPr>
                <w:rFonts w:ascii="宋体" w:hAnsi="宋体"/>
                <w:color w:val="000000"/>
                <w:sz w:val="24"/>
                <w:highlight w:val="none"/>
              </w:rPr>
            </w:r>
            <w:r/>
          </w:p>
        </w:tc>
      </w:tr>
      <w:tr>
        <w:trPr>
          <w:trHeight w:val="896"/>
        </w:trPr>
        <w:tc>
          <w:tcPr>
            <w:tcW w:w="988" w:type="dxa"/>
            <w:vAlign w:val="center"/>
            <w:textDirection w:val="lrTb"/>
            <w:noWrap w:val="false"/>
          </w:tcPr>
          <w:p>
            <w:pPr>
              <w:pStyle w:val="945"/>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w:t>
            </w:r>
            <w:r>
              <w:rPr>
                <w:rFonts w:ascii="宋体" w:hAnsi="宋体" w:eastAsia="宋体" w:cs="Times New Roman"/>
                <w:color w:val="000000"/>
                <w:sz w:val="24"/>
                <w:szCs w:val="24"/>
                <w:highlight w:val="none"/>
              </w:rPr>
            </w:r>
            <w:r/>
          </w:p>
        </w:tc>
        <w:tc>
          <w:tcPr>
            <w:tcW w:w="1701" w:type="dxa"/>
            <w:vAlign w:val="center"/>
            <w:textDirection w:val="lrTb"/>
            <w:noWrap w:val="false"/>
          </w:tcPr>
          <w:p>
            <w:pPr>
              <w:pStyle w:val="906"/>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履约保证金</w:t>
            </w:r>
            <w:r>
              <w:rPr>
                <w:rFonts w:ascii="宋体" w:hAnsi="宋体" w:eastAsia="宋体" w:cs="Times New Roman"/>
                <w:color w:val="000000"/>
                <w:sz w:val="24"/>
                <w:highlight w:val="none"/>
              </w:rPr>
            </w:r>
            <w:r/>
          </w:p>
        </w:tc>
        <w:tc>
          <w:tcPr>
            <w:tcW w:w="7540" w:type="dxa"/>
            <w:vAlign w:val="center"/>
            <w:textDirection w:val="lrTb"/>
            <w:noWrap w:val="false"/>
          </w:tcPr>
          <w:p>
            <w:pPr>
              <w:pStyle w:val="906"/>
              <w:ind w:left="228" w:hanging="228"/>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■免收</w:t>
            </w:r>
            <w:r>
              <w:rPr>
                <w:rFonts w:hint="eastAsia" w:ascii="宋体" w:hAnsi="宋体" w:cs="宋体"/>
                <w:color w:val="000000"/>
                <w:sz w:val="24"/>
                <w:szCs w:val="24"/>
                <w:highlight w:val="none"/>
              </w:rPr>
            </w:r>
            <w:r/>
          </w:p>
          <w:p>
            <w:pPr>
              <w:pStyle w:val="906"/>
              <w:ind w:left="228" w:hanging="228"/>
              <w:jc w:val="left"/>
              <w:spacing w:line="276" w:lineRule="auto"/>
              <w:rPr>
                <w:rFonts w:hint="eastAsia" w:ascii="宋体" w:hAnsi="宋体" w:cs="宋体"/>
                <w:color w:val="000000"/>
                <w:sz w:val="24"/>
                <w:highlight w:val="none"/>
                <w:u w:val="single"/>
              </w:rPr>
            </w:pPr>
            <w:r>
              <w:rPr>
                <w:rFonts w:hint="eastAsia" w:ascii="宋体" w:hAnsi="宋体" w:cs="宋体"/>
                <w:color w:val="000000"/>
                <w:sz w:val="24"/>
                <w:szCs w:val="24"/>
                <w:highlight w:val="none"/>
              </w:rPr>
              <w:t xml:space="preserve">□/元，由采购人自行收取</w:t>
            </w:r>
            <w:r>
              <w:rPr>
                <w:rFonts w:hint="eastAsia" w:ascii="宋体" w:hAnsi="宋体" w:cs="宋体"/>
                <w:color w:val="000000"/>
                <w:sz w:val="24"/>
                <w:highlight w:val="none"/>
                <w:u w:val="single"/>
              </w:rPr>
            </w:r>
            <w:r/>
          </w:p>
        </w:tc>
      </w:tr>
      <w:tr>
        <w:trPr>
          <w:trHeight w:val="896"/>
        </w:trPr>
        <w:tc>
          <w:tcPr>
            <w:tcW w:w="988" w:type="dxa"/>
            <w:vAlign w:val="center"/>
            <w:textDirection w:val="lrTb"/>
            <w:noWrap w:val="false"/>
          </w:tcPr>
          <w:p>
            <w:pPr>
              <w:pStyle w:val="945"/>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w:t>
            </w:r>
            <w:r>
              <w:rPr>
                <w:rFonts w:ascii="宋体" w:hAnsi="宋体" w:eastAsia="宋体" w:cs="Times New Roman"/>
                <w:color w:val="000000"/>
                <w:sz w:val="24"/>
                <w:szCs w:val="24"/>
                <w:highlight w:val="none"/>
              </w:rPr>
            </w:r>
            <w:r/>
          </w:p>
        </w:tc>
        <w:tc>
          <w:tcPr>
            <w:tcW w:w="1701" w:type="dxa"/>
            <w:vAlign w:val="center"/>
            <w:textDirection w:val="lrTb"/>
            <w:noWrap w:val="false"/>
          </w:tcPr>
          <w:p>
            <w:pPr>
              <w:pStyle w:val="906"/>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纸质投标文件</w:t>
            </w:r>
            <w:r>
              <w:rPr>
                <w:rFonts w:ascii="宋体" w:hAnsi="宋体" w:eastAsia="宋体" w:cs="Times New Roman"/>
                <w:color w:val="000000"/>
                <w:sz w:val="24"/>
                <w:highlight w:val="none"/>
              </w:rPr>
            </w:r>
            <w:r/>
          </w:p>
        </w:tc>
        <w:tc>
          <w:tcPr>
            <w:tcW w:w="7540" w:type="dxa"/>
            <w:vAlign w:val="center"/>
            <w:textDirection w:val="lrTb"/>
            <w:noWrap w:val="false"/>
          </w:tcPr>
          <w:p>
            <w:pPr>
              <w:pStyle w:val="906"/>
              <w:jc w:val="left"/>
              <w:spacing w:line="340" w:lineRule="exact"/>
              <w:rPr>
                <w:rFonts w:hint="eastAsia" w:ascii="宋体" w:hAnsi="宋体" w:cs="宋体"/>
                <w:color w:val="000000"/>
                <w:sz w:val="24"/>
                <w:highlight w:val="none"/>
                <w:u w:val="single"/>
              </w:rPr>
            </w:pPr>
            <w:r>
              <w:rPr>
                <w:rFonts w:hint="eastAsia" w:ascii="宋体" w:hAnsi="宋体" w:eastAsia="宋体" w:cs="Times New Roman"/>
                <w:color w:val="000000"/>
                <w:sz w:val="24"/>
                <w:highlight w:val="none"/>
              </w:rPr>
              <w:t xml:space="preserve">中标人在签订合同前向代理机构提供</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套纸质投标文件，</w:t>
            </w:r>
            <w:r>
              <w:rPr>
                <w:rFonts w:ascii="宋体" w:hAnsi="宋体" w:eastAsia="宋体" w:cs="Times New Roman"/>
                <w:color w:val="000000"/>
                <w:sz w:val="24"/>
                <w:highlight w:val="none"/>
              </w:rPr>
              <w:t xml:space="preserve">纸质文件</w:t>
            </w:r>
            <w:r>
              <w:rPr>
                <w:rFonts w:hint="eastAsia" w:ascii="宋体" w:hAnsi="宋体" w:eastAsia="宋体" w:cs="Times New Roman"/>
                <w:color w:val="000000"/>
                <w:sz w:val="24"/>
                <w:highlight w:val="none"/>
              </w:rPr>
              <w:t xml:space="preserve">须</w:t>
            </w:r>
            <w:r>
              <w:rPr>
                <w:rFonts w:ascii="宋体" w:hAnsi="宋体" w:eastAsia="宋体" w:cs="Times New Roman"/>
                <w:color w:val="000000"/>
                <w:sz w:val="24"/>
                <w:highlight w:val="none"/>
              </w:rPr>
              <w:t xml:space="preserve">与电子</w:t>
            </w:r>
            <w:r>
              <w:rPr>
                <w:rFonts w:hint="eastAsia" w:ascii="宋体" w:hAnsi="宋体" w:eastAsia="宋体" w:cs="Times New Roman"/>
                <w:color w:val="000000"/>
                <w:sz w:val="24"/>
                <w:highlight w:val="none"/>
              </w:rPr>
              <w:t xml:space="preserve">投标文件内容一致。</w:t>
            </w:r>
            <w:r>
              <w:rPr>
                <w:rFonts w:hint="eastAsia" w:ascii="宋体" w:hAnsi="宋体" w:cs="宋体"/>
                <w:color w:val="000000"/>
                <w:sz w:val="24"/>
                <w:highlight w:val="none"/>
                <w:u w:val="single"/>
              </w:rPr>
            </w:r>
            <w:r/>
          </w:p>
        </w:tc>
      </w:tr>
    </w:tbl>
    <w:p>
      <w:pPr>
        <w:pStyle w:val="906"/>
        <w:jc w:val="center"/>
        <w:rPr>
          <w:b/>
          <w:color w:val="000000"/>
          <w:sz w:val="28"/>
          <w:szCs w:val="28"/>
          <w:highlight w:val="none"/>
        </w:rPr>
      </w:pPr>
      <w:r>
        <w:rPr>
          <w:color w:val="000000"/>
          <w:highlight w:val="none"/>
        </w:rPr>
        <w:br w:type="page" w:clear="all"/>
      </w:r>
      <w:bookmarkStart w:id="44" w:name="_Toc353873662"/>
      <w:r/>
      <w:bookmarkStart w:id="45" w:name="_Toc353873932"/>
      <w:r/>
      <w:bookmarkStart w:id="46" w:name="_Toc127151517"/>
      <w:r/>
      <w:bookmarkStart w:id="47" w:name="_Toc195842882"/>
      <w:r/>
      <w:bookmarkStart w:id="48" w:name="_Toc150480755"/>
      <w:r/>
      <w:bookmarkStart w:id="49" w:name="_Toc226337213"/>
      <w:r/>
      <w:bookmarkStart w:id="50" w:name="_Toc150774722"/>
      <w:r/>
      <w:bookmarkStart w:id="51" w:name="_Toc305158859"/>
      <w:r/>
      <w:bookmarkStart w:id="52" w:name="_Toc305158785"/>
      <w:r/>
      <w:bookmarkStart w:id="53" w:name="_Toc265228355"/>
      <w:r/>
      <w:bookmarkStart w:id="54" w:name="_Toc226965790"/>
      <w:r/>
      <w:bookmarkStart w:id="55" w:name="_Toc353825542"/>
      <w:r/>
      <w:bookmarkStart w:id="56" w:name="_Toc264969207"/>
      <w:r/>
      <w:bookmarkStart w:id="57" w:name="_Toc142311019"/>
      <w:r>
        <w:rPr>
          <w:b/>
          <w:color w:val="000000"/>
          <w:sz w:val="28"/>
          <w:szCs w:val="28"/>
          <w:highlight w:val="none"/>
        </w:rPr>
        <w:t xml:space="preserve">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b/>
          <w:color w:val="000000"/>
          <w:sz w:val="28"/>
          <w:szCs w:val="28"/>
          <w:highlight w:val="none"/>
        </w:rPr>
      </w:r>
      <w:r/>
    </w:p>
    <w:p>
      <w:pPr>
        <w:pStyle w:val="90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8" w:name="_Toc520356143"/>
      <w:r/>
      <w:bookmarkStart w:id="59" w:name="_Toc127151518"/>
      <w:r>
        <w:rPr>
          <w:rFonts w:ascii="Times New Roman" w:hAnsi="Times New Roman" w:eastAsia="宋体"/>
          <w:color w:val="000000"/>
          <w:sz w:val="28"/>
          <w:highlight w:val="none"/>
        </w:rPr>
        <w:tab/>
      </w:r>
      <w:bookmarkStart w:id="60" w:name="_Toc305158786"/>
      <w:r/>
      <w:bookmarkStart w:id="61" w:name="_Toc226337214"/>
      <w:r/>
      <w:bookmarkStart w:id="62" w:name="_Toc151193616"/>
      <w:r/>
      <w:bookmarkStart w:id="63" w:name="_Toc264969208"/>
      <w:r/>
      <w:bookmarkStart w:id="64" w:name="_Toc151193688"/>
      <w:r/>
      <w:bookmarkStart w:id="65" w:name="_Toc195842883"/>
      <w:r/>
      <w:bookmarkStart w:id="66" w:name="_Toc150509269"/>
      <w:r/>
      <w:bookmarkStart w:id="67" w:name="_Toc265228356"/>
      <w:r/>
      <w:bookmarkStart w:id="68" w:name="_Toc151193832"/>
      <w:r/>
      <w:bookmarkStart w:id="69" w:name="_Toc150774723"/>
      <w:r/>
      <w:bookmarkStart w:id="70" w:name="_Toc151193760"/>
      <w:r/>
      <w:bookmarkStart w:id="71" w:name="_Toc150774618"/>
      <w:r/>
      <w:bookmarkStart w:id="72" w:name="_Toc151193906"/>
      <w:r/>
      <w:bookmarkStart w:id="73" w:name="_Toc150480756"/>
      <w:r/>
      <w:bookmarkStart w:id="74" w:name="_Toc226309762"/>
      <w:r/>
      <w:bookmarkStart w:id="75" w:name="_Toc142311020"/>
      <w:r/>
      <w:bookmarkStart w:id="76" w:name="_Toc151190145"/>
      <w:r/>
      <w:bookmarkStart w:id="77" w:name="_Toc226965791"/>
      <w:r/>
      <w:bookmarkStart w:id="78" w:name="_Toc305158860"/>
      <w:r/>
      <w:bookmarkStart w:id="79" w:name="_Toc226965708"/>
      <w:r>
        <w:rPr>
          <w:rFonts w:ascii="Times New Roman" w:hAnsi="Times New Roman" w:eastAsia="宋体"/>
          <w:color w:val="000000"/>
          <w:sz w:val="28"/>
          <w:highlight w:val="none"/>
        </w:rPr>
        <w:t xml:space="preserve">一   说  明</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s>
        <w:rPr>
          <w:rFonts w:ascii="宋体" w:hAnsi="宋体"/>
          <w:color w:val="000000"/>
          <w:sz w:val="22"/>
          <w:szCs w:val="22"/>
          <w:highlight w:val="none"/>
        </w:rPr>
      </w:pPr>
      <w:r/>
      <w:bookmarkStart w:id="80" w:name="_Toc265228357"/>
      <w:r/>
      <w:bookmarkStart w:id="81" w:name="_Toc264969209"/>
      <w:r/>
      <w:bookmarkStart w:id="82" w:name="_Toc305158787"/>
      <w:r/>
      <w:bookmarkStart w:id="83" w:name="_Toc305158861"/>
      <w:r>
        <w:rPr>
          <w:rFonts w:ascii="宋体" w:hAnsi="宋体"/>
          <w:color w:val="000000"/>
          <w:sz w:val="22"/>
          <w:szCs w:val="22"/>
          <w:highlight w:val="none"/>
        </w:rPr>
        <w:t xml:space="preserve">采购人、采购代理机构、投标人</w:t>
      </w:r>
      <w:bookmarkEnd w:id="80"/>
      <w:r/>
      <w:bookmarkEnd w:id="81"/>
      <w:r/>
      <w:bookmarkEnd w:id="82"/>
      <w:r/>
      <w:bookmarkEnd w:id="83"/>
      <w:r>
        <w:rPr>
          <w:rFonts w:hint="eastAsia" w:ascii="宋体" w:hAnsi="宋体"/>
          <w:color w:val="000000"/>
          <w:sz w:val="22"/>
          <w:szCs w:val="22"/>
          <w:highlight w:val="none"/>
        </w:rPr>
        <w:t xml:space="preserve">、联合体</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 w:val="left" w:pos="5521" w:leader="none"/>
        </w:tabs>
        <w:rPr>
          <w:rFonts w:ascii="宋体" w:hAnsi="宋体"/>
          <w:color w:val="000000"/>
          <w:sz w:val="22"/>
          <w:szCs w:val="22"/>
          <w:highlight w:val="none"/>
        </w:rPr>
      </w:pPr>
      <w:r>
        <w:rPr>
          <w:rFonts w:ascii="宋体" w:hAnsi="宋体"/>
          <w:color w:val="000000"/>
          <w:sz w:val="22"/>
          <w:szCs w:val="22"/>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 w:val="left" w:pos="5521" w:leader="none"/>
        </w:tabs>
        <w:rPr>
          <w:rFonts w:ascii="宋体" w:hAnsi="宋体"/>
          <w:color w:val="000000"/>
          <w:sz w:val="22"/>
          <w:szCs w:val="22"/>
          <w:highlight w:val="none"/>
        </w:rPr>
      </w:pPr>
      <w:r>
        <w:rPr>
          <w:rFonts w:ascii="宋体" w:hAnsi="宋体"/>
          <w:color w:val="000000"/>
          <w:sz w:val="22"/>
          <w:szCs w:val="22"/>
          <w:highlight w:val="none"/>
        </w:rPr>
        <w:t xml:space="preserve">投标人（也称</w:t>
      </w:r>
      <w:r>
        <w:rPr>
          <w:rFonts w:hint="eastAsia" w:ascii="宋体" w:hAnsi="宋体"/>
          <w:color w:val="000000"/>
          <w:sz w:val="22"/>
          <w:szCs w:val="22"/>
          <w:highlight w:val="none"/>
        </w:rPr>
        <w:t xml:space="preserve">“供应商”、“</w:t>
      </w:r>
      <w:r>
        <w:rPr>
          <w:rFonts w:ascii="宋体" w:hAnsi="宋体"/>
          <w:color w:val="000000"/>
          <w:sz w:val="22"/>
          <w:szCs w:val="22"/>
          <w:highlight w:val="none"/>
        </w:rPr>
        <w:t xml:space="preserve">申请人</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）：指向采购人提供货物、工程或者服务的法人、其他组织或者自然人。</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 w:val="left" w:pos="5521" w:leader="none"/>
        </w:tabs>
        <w:rPr>
          <w:rFonts w:ascii="宋体" w:hAnsi="宋体"/>
          <w:color w:val="000000"/>
          <w:sz w:val="22"/>
          <w:szCs w:val="22"/>
          <w:highlight w:val="none"/>
        </w:rPr>
      </w:pPr>
      <w:r>
        <w:rPr>
          <w:rFonts w:hint="eastAsia" w:ascii="宋体" w:hAnsi="宋体"/>
          <w:color w:val="000000"/>
          <w:sz w:val="22"/>
          <w:szCs w:val="22"/>
          <w:highlight w:val="none"/>
        </w:rPr>
        <w:t xml:space="preserve">联合体：指两个以上的自然人、法人或者其他组织组成一个联合体，以一个供应商的身份共同参加政府采购。</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s>
        <w:rPr>
          <w:rFonts w:ascii="宋体" w:hAnsi="宋体"/>
          <w:color w:val="000000"/>
          <w:sz w:val="22"/>
          <w:szCs w:val="22"/>
          <w:highlight w:val="none"/>
        </w:rPr>
      </w:pPr>
      <w:r/>
      <w:bookmarkStart w:id="84" w:name="_Toc127151721"/>
      <w:r/>
      <w:bookmarkStart w:id="85" w:name="_Toc164351614"/>
      <w:r/>
      <w:bookmarkStart w:id="86" w:name="_Toc264969210"/>
      <w:r/>
      <w:bookmarkStart w:id="87" w:name="_Toc151193618"/>
      <w:r/>
      <w:bookmarkStart w:id="88" w:name="_Toc127151520"/>
      <w:r/>
      <w:bookmarkStart w:id="89" w:name="_Toc151193690"/>
      <w:r/>
      <w:bookmarkStart w:id="90" w:name="_Toc151193762"/>
      <w:r/>
      <w:bookmarkStart w:id="91" w:name="_Toc164229361"/>
      <w:r/>
      <w:bookmarkStart w:id="92" w:name="_Toc150774620"/>
      <w:r/>
      <w:bookmarkStart w:id="93" w:name="_Toc164608789"/>
      <w:r/>
      <w:bookmarkStart w:id="94" w:name="_Toc195842885"/>
      <w:r/>
      <w:bookmarkStart w:id="95" w:name="_Toc149720813"/>
      <w:r/>
      <w:bookmarkStart w:id="96" w:name="_Toc142311022"/>
      <w:r/>
      <w:bookmarkStart w:id="97" w:name="_Toc150774725"/>
      <w:r/>
      <w:bookmarkStart w:id="98" w:name="_Toc226965793"/>
      <w:r/>
      <w:bookmarkStart w:id="99" w:name="_Toc151190147"/>
      <w:r/>
      <w:bookmarkStart w:id="100" w:name="_Toc305158862"/>
      <w:r/>
      <w:bookmarkStart w:id="101" w:name="_Toc151193908"/>
      <w:r/>
      <w:bookmarkStart w:id="102" w:name="_Toc150509271"/>
      <w:r/>
      <w:bookmarkStart w:id="103" w:name="_Toc127161434"/>
      <w:r/>
      <w:bookmarkStart w:id="104" w:name="_Toc150480758"/>
      <w:r/>
      <w:bookmarkStart w:id="105" w:name="_Toc164229215"/>
      <w:r/>
      <w:bookmarkStart w:id="106" w:name="_Toc305158788"/>
      <w:r/>
      <w:bookmarkStart w:id="107" w:name="_Toc226309764"/>
      <w:r/>
      <w:bookmarkStart w:id="108" w:name="_Toc265228358"/>
      <w:r/>
      <w:bookmarkStart w:id="109" w:name="_Toc151193834"/>
      <w:r/>
      <w:bookmarkStart w:id="110" w:name="_Toc164608634"/>
      <w:r/>
      <w:bookmarkStart w:id="111" w:name="_Toc226337216"/>
      <w:r/>
      <w:bookmarkStart w:id="112" w:name="_Toc226965710"/>
      <w:r>
        <w:rPr>
          <w:rFonts w:ascii="宋体" w:hAnsi="宋体"/>
          <w:color w:val="000000"/>
          <w:sz w:val="22"/>
          <w:szCs w:val="22"/>
          <w:highlight w:val="none"/>
        </w:rPr>
        <w:t xml:space="preserve">资金来源</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宋体" w:hAnsi="宋体"/>
          <w:color w:val="000000"/>
          <w:sz w:val="22"/>
          <w:szCs w:val="22"/>
          <w:highlight w:val="none"/>
        </w:rPr>
        <w:t xml:space="preserve">、项目属性、科研仪器设备采购、核心产品</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资金来源为财政性资金和/或本项目采购中无法与财政性资金分割的非财政性资金。</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项目属性见《投标人须知资料表》。</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是否属于科研仪器设备采购见《投标人须知资料表》。</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 w:val="left" w:pos="5521" w:leader="none"/>
        </w:tabs>
        <w:rPr>
          <w:rFonts w:ascii="宋体" w:hAnsi="宋体"/>
          <w:color w:val="000000"/>
          <w:sz w:val="22"/>
          <w:szCs w:val="22"/>
          <w:highlight w:val="none"/>
        </w:rPr>
      </w:pPr>
      <w:r>
        <w:rPr>
          <w:rFonts w:ascii="宋体" w:hAnsi="宋体"/>
          <w:color w:val="000000"/>
          <w:sz w:val="22"/>
          <w:szCs w:val="22"/>
          <w:highlight w:val="none"/>
        </w:rPr>
        <w:t xml:space="preserve">核心产品见《投标人须知资料表》。</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现场考察、开标前答疑会</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若《投标人须知资料表》中规定了组织现场考察、召开开标前答疑会，则投标人应按要求在规定的时间和地点参加。</w:t>
      </w:r>
      <w:bookmarkStart w:id="113" w:name="_Toc150774622"/>
      <w:r/>
      <w:bookmarkStart w:id="114" w:name="_Toc151193764"/>
      <w:r/>
      <w:bookmarkStart w:id="115" w:name="_Toc150774727"/>
      <w:r/>
      <w:bookmarkStart w:id="116" w:name="_Toc151193692"/>
      <w:r/>
      <w:bookmarkStart w:id="117" w:name="_Toc520356146"/>
      <w:r/>
      <w:bookmarkStart w:id="118" w:name="_Toc151193620"/>
      <w:r/>
      <w:bookmarkStart w:id="119" w:name="_Toc150509273"/>
      <w:r/>
      <w:bookmarkStart w:id="120" w:name="_Toc150480760"/>
      <w:r/>
      <w:bookmarkStart w:id="121" w:name="_Toc127151522"/>
      <w:r/>
      <w:bookmarkStart w:id="122" w:name="_Toc305158864"/>
      <w:r/>
      <w:bookmarkStart w:id="123" w:name="_Toc151193910"/>
      <w:r/>
      <w:bookmarkStart w:id="124" w:name="_Toc151190149"/>
      <w:r/>
      <w:bookmarkStart w:id="125" w:name="_Toc305158790"/>
      <w:r/>
      <w:bookmarkStart w:id="126" w:name="_Toc265228360"/>
      <w:r/>
      <w:bookmarkStart w:id="127" w:name="_Toc226965712"/>
      <w:r/>
      <w:bookmarkStart w:id="128" w:name="_Toc195842887"/>
      <w:r/>
      <w:bookmarkStart w:id="129" w:name="_Toc226337218"/>
      <w:r/>
      <w:bookmarkStart w:id="130" w:name="_Toc142311024"/>
      <w:r/>
      <w:bookmarkStart w:id="131" w:name="_Toc264969212"/>
      <w:r/>
      <w:bookmarkStart w:id="132" w:name="_Toc151193836"/>
      <w:r/>
      <w:bookmarkStart w:id="133" w:name="_Toc226309766"/>
      <w:r/>
      <w:bookmarkStart w:id="134" w:name="_Toc226965795"/>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样品</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样品的评审方法以及评审标准等内容见第四章《评标方法和评标标准》。</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s>
        <w:rPr>
          <w:rFonts w:ascii="宋体" w:hAnsi="宋体"/>
          <w:color w:val="000000"/>
          <w:sz w:val="22"/>
          <w:szCs w:val="22"/>
          <w:highlight w:val="none"/>
        </w:rPr>
      </w:pPr>
      <w:r>
        <w:rPr>
          <w:rFonts w:ascii="宋体" w:hAnsi="宋体"/>
          <w:color w:val="000000"/>
          <w:sz w:val="22"/>
          <w:szCs w:val="22"/>
          <w:highlight w:val="none"/>
        </w:rPr>
        <w:t xml:space="preserve">政府采购政策（包括但不限于下列具体政策要求）</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进口产品</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中小企业、监狱企业及残疾人福利性单位</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中小企业定义：</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5.2.1.1</w:t>
      </w:r>
      <w:r>
        <w:rPr>
          <w:rFonts w:ascii="宋体" w:hAnsi="宋体"/>
          <w:color w:val="000000"/>
          <w:sz w:val="22"/>
          <w:szCs w:val="22"/>
          <w:highlight w:val="none"/>
        </w:rPr>
        <w:t xml:space="preserve">中小企业是</w:t>
      </w:r>
      <w:r>
        <w:rPr>
          <w:rFonts w:ascii="宋体" w:hAnsi="宋体"/>
          <w:color w:val="000000"/>
          <w:sz w:val="22"/>
          <w:szCs w:val="22"/>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5.2.1.2</w:t>
      </w:r>
      <w:r>
        <w:rPr>
          <w:rFonts w:ascii="宋体" w:hAnsi="宋体"/>
          <w:color w:val="000000"/>
          <w:sz w:val="22"/>
          <w:szCs w:val="22"/>
          <w:highlight w:val="none"/>
        </w:rPr>
        <w:t xml:space="preserve">供应商提供的货物、工程或者服务符合下列情形的，享受中小企业扶持政策：</w:t>
      </w:r>
      <w:r>
        <w:rPr>
          <w:rFonts w:ascii="宋体" w:hAnsi="宋体"/>
          <w:color w:val="000000"/>
          <w:sz w:val="22"/>
          <w:szCs w:val="22"/>
          <w:highlight w:val="none"/>
        </w:rPr>
      </w:r>
      <w:r/>
    </w:p>
    <w:p>
      <w:pPr>
        <w:pStyle w:val="906"/>
        <w:ind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（1）在货物采购项目中，货物由中小企业制造，即货物由中小企业生产且使用该中小企业商号或者注册商标；</w:t>
      </w:r>
      <w:r>
        <w:rPr>
          <w:rFonts w:ascii="宋体" w:hAnsi="宋体"/>
          <w:color w:val="000000"/>
          <w:sz w:val="22"/>
          <w:szCs w:val="22"/>
          <w:highlight w:val="none"/>
        </w:rPr>
      </w:r>
      <w:r/>
    </w:p>
    <w:p>
      <w:pPr>
        <w:pStyle w:val="906"/>
        <w:ind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（2）在工程采购项目中，工程由中小企业承建，即工程施工单位为中小企业；</w:t>
      </w:r>
      <w:r>
        <w:rPr>
          <w:rFonts w:ascii="宋体" w:hAnsi="宋体"/>
          <w:color w:val="000000"/>
          <w:sz w:val="22"/>
          <w:szCs w:val="22"/>
          <w:highlight w:val="none"/>
        </w:rPr>
      </w:r>
      <w:r/>
    </w:p>
    <w:p>
      <w:pPr>
        <w:pStyle w:val="906"/>
        <w:ind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（3）在服务采购项目中，服务由中小企业承接，即提供服务的人员为中小企业依照《中华人民共和国劳动</w:t>
      </w:r>
      <w:r>
        <w:rPr>
          <w:rFonts w:hint="eastAsia" w:ascii="宋体" w:hAnsi="宋体"/>
          <w:color w:val="000000"/>
          <w:sz w:val="22"/>
          <w:szCs w:val="22"/>
          <w:highlight w:val="none"/>
        </w:rPr>
        <w:t xml:space="preserve">合同法</w:t>
      </w:r>
      <w:r>
        <w:rPr>
          <w:rFonts w:ascii="宋体" w:hAnsi="宋体"/>
          <w:color w:val="000000"/>
          <w:sz w:val="22"/>
          <w:szCs w:val="22"/>
          <w:highlight w:val="none"/>
        </w:rPr>
        <w:t xml:space="preserve">》订立劳动合同的从业人员。</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5.2.1.3</w:t>
      </w:r>
      <w:r>
        <w:rPr>
          <w:rFonts w:ascii="宋体" w:hAnsi="宋体"/>
          <w:color w:val="000000"/>
          <w:sz w:val="22"/>
          <w:szCs w:val="22"/>
          <w:highlight w:val="none"/>
        </w:rPr>
        <w:t xml:space="preserve">在货物采购项目中，供应商提供的货物既有中小企业制造货物，也有大型企业制造货物的，不享受中小企业扶持政策。</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5.2.1.4</w:t>
      </w:r>
      <w:r>
        <w:rPr>
          <w:rFonts w:ascii="宋体" w:hAnsi="宋体"/>
          <w:color w:val="000000"/>
          <w:sz w:val="22"/>
          <w:szCs w:val="22"/>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残疾人福利单位定义：享受政府采购支持政策的残疾人福利性单位应当同时满足以下条件：</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5.2.3.1</w:t>
      </w:r>
      <w:r>
        <w:rPr>
          <w:rFonts w:ascii="宋体" w:hAnsi="宋体"/>
          <w:color w:val="000000"/>
          <w:sz w:val="22"/>
          <w:szCs w:val="22"/>
          <w:highlight w:val="none"/>
        </w:rPr>
        <w:t xml:space="preserve">安置的残疾人占本单位在职职工人数的比例不低于25%（含25%），并且安置的残疾人人数不少于10 人（含10 人）；</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5.2.3.2</w:t>
      </w:r>
      <w:r>
        <w:rPr>
          <w:rFonts w:ascii="宋体" w:hAnsi="宋体"/>
          <w:color w:val="000000"/>
          <w:sz w:val="22"/>
          <w:szCs w:val="22"/>
          <w:highlight w:val="none"/>
        </w:rPr>
        <w:t xml:space="preserve">依法与安置的每位残疾人签订了一年以上（含一年）的劳动合同或服务协议；</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5.2.3.3</w:t>
      </w:r>
      <w:r>
        <w:rPr>
          <w:rFonts w:ascii="宋体" w:hAnsi="宋体"/>
          <w:color w:val="000000"/>
          <w:sz w:val="22"/>
          <w:szCs w:val="22"/>
          <w:highlight w:val="none"/>
        </w:rPr>
        <w:t xml:space="preserve">为安置的每位残疾人按月足额缴纳了基本养老保险、基本医疗保险、失业保险、工伤保险和生育保险等社会保险费；</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5.2.3.4</w:t>
      </w:r>
      <w:r>
        <w:rPr>
          <w:rFonts w:ascii="宋体" w:hAnsi="宋体"/>
          <w:color w:val="000000"/>
          <w:sz w:val="22"/>
          <w:szCs w:val="22"/>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5.2.3.5</w:t>
      </w:r>
      <w:r>
        <w:rPr>
          <w:rFonts w:ascii="宋体" w:hAnsi="宋体"/>
          <w:color w:val="000000"/>
          <w:sz w:val="22"/>
          <w:szCs w:val="22"/>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2"/>
          <w:szCs w:val="22"/>
          <w:highlight w:val="none"/>
        </w:rPr>
      </w:r>
      <w:r/>
    </w:p>
    <w:p>
      <w:pPr>
        <w:pStyle w:val="906"/>
        <w:numPr>
          <w:ilvl w:val="3"/>
          <w:numId w:val="0"/>
        </w:numPr>
        <w:ind w:left="0" w:firstLine="440"/>
        <w:spacing w:line="360" w:lineRule="auto"/>
        <w:tabs>
          <w:tab w:val="left" w:pos="1980" w:leader="none"/>
          <w:tab w:val="left" w:pos="2035" w:leader="none"/>
          <w:tab w:val="left" w:pos="2885" w:leader="none"/>
          <w:tab w:val="left" w:pos="2977" w:leader="none"/>
        </w:tabs>
        <w:rPr>
          <w:rFonts w:ascii="宋体" w:hAnsi="宋体"/>
          <w:color w:val="000000"/>
          <w:sz w:val="22"/>
          <w:szCs w:val="22"/>
          <w:highlight w:val="none"/>
        </w:rPr>
      </w:pPr>
      <w:r>
        <w:rPr>
          <w:rFonts w:hint="eastAsia" w:ascii="宋体" w:hAnsi="宋体"/>
          <w:color w:val="000000"/>
          <w:sz w:val="22"/>
          <w:szCs w:val="22"/>
          <w:highlight w:val="none"/>
          <w:lang w:val="en-US" w:eastAsia="zh-CN" w:bidi="ar-SA"/>
        </w:rPr>
        <w:t xml:space="preserve">5.2.3.6</w:t>
      </w:r>
      <w:r>
        <w:rPr>
          <w:rFonts w:ascii="宋体" w:hAnsi="宋体"/>
          <w:color w:val="000000"/>
          <w:sz w:val="22"/>
          <w:szCs w:val="22"/>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本项目是否专门面向中小企业预留采购份额见第一章《投标邀请》。</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采购标的对应的中小企业划分标准所属行业见《投标人须知资料表》。</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小微企业价格评审优惠的政策调整：见第四章《评标方法和评标标准》。</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政府采购节能产品、环境标志产品</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2"/>
          <w:szCs w:val="22"/>
          <w:highlight w:val="none"/>
        </w:rPr>
        <w:t xml:space="preserve">否则</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hint="eastAsia" w:ascii="宋体" w:hAnsi="宋体"/>
          <w:color w:val="000000"/>
          <w:sz w:val="22"/>
          <w:szCs w:val="22"/>
          <w:highlight w:val="none"/>
        </w:rPr>
      </w:pPr>
      <w:r>
        <w:rPr>
          <w:rFonts w:ascii="宋体" w:hAnsi="宋体"/>
          <w:color w:val="000000"/>
          <w:sz w:val="22"/>
          <w:szCs w:val="22"/>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2"/>
          <w:szCs w:val="22"/>
          <w:highlight w:val="none"/>
        </w:rPr>
      </w:r>
      <w:r/>
    </w:p>
    <w:p>
      <w:pPr>
        <w:pStyle w:val="906"/>
        <w:numPr>
          <w:ilvl w:val="2"/>
          <w:numId w:val="8"/>
        </w:numPr>
        <w:ind w:left="0" w:firstLine="440"/>
        <w:spacing w:line="360" w:lineRule="auto"/>
        <w:tabs>
          <w:tab w:val="left" w:pos="1980" w:leader="none"/>
          <w:tab w:val="left" w:pos="2014" w:leader="none"/>
        </w:tabs>
        <w:rPr>
          <w:rFonts w:ascii="宋体" w:hAnsi="宋体"/>
          <w:color w:val="000000"/>
          <w:sz w:val="22"/>
          <w:szCs w:val="22"/>
          <w:highlight w:val="none"/>
        </w:rPr>
      </w:pPr>
      <w:r>
        <w:rPr>
          <w:rFonts w:hint="eastAsia" w:ascii="宋体" w:hAnsi="宋体"/>
          <w:color w:val="000000"/>
          <w:sz w:val="22"/>
          <w:szCs w:val="22"/>
          <w:highlight w:val="none"/>
        </w:rPr>
        <w:t xml:space="preserve">依据</w:t>
      </w:r>
      <w:r>
        <w:rPr>
          <w:rFonts w:ascii="宋体" w:hAnsi="宋体"/>
          <w:color w:val="000000"/>
          <w:sz w:val="22"/>
          <w:szCs w:val="22"/>
          <w:highlight w:val="none"/>
        </w:rPr>
        <w:t xml:space="preserve">《关于印发〈商品包装政府采购需求标准（试行）〉、〈快递包装政府采购需求标准（试行）〉的通知》（财办库〔2020〕123号）</w:t>
      </w:r>
      <w:r>
        <w:rPr>
          <w:rFonts w:hint="eastAsia" w:ascii="宋体" w:hAnsi="宋体"/>
          <w:color w:val="000000"/>
          <w:sz w:val="22"/>
          <w:szCs w:val="22"/>
          <w:highlight w:val="none"/>
        </w:rPr>
        <w:t xml:space="preserve">文件</w:t>
      </w:r>
      <w:r>
        <w:rPr>
          <w:rFonts w:ascii="宋体" w:hAnsi="宋体"/>
          <w:color w:val="000000"/>
          <w:sz w:val="22"/>
          <w:szCs w:val="22"/>
          <w:highlight w:val="none"/>
        </w:rPr>
        <w:t xml:space="preserve">精神</w:t>
      </w:r>
      <w:r>
        <w:rPr>
          <w:rFonts w:hint="eastAsia" w:ascii="宋体" w:hAnsi="宋体"/>
          <w:color w:val="000000"/>
          <w:sz w:val="22"/>
          <w:szCs w:val="22"/>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支持乡村产业振兴管理</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正版软件</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2"/>
          <w:szCs w:val="22"/>
          <w:highlight w:val="none"/>
        </w:rPr>
        <w:t xml:space="preserve">否则</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政府采购创新产品政策</w:t>
      </w:r>
      <w:r>
        <w:rPr>
          <w:rFonts w:hint="eastAsia" w:ascii="宋体" w:hAnsi="宋体"/>
          <w:color w:val="000000"/>
          <w:sz w:val="22"/>
          <w:szCs w:val="22"/>
          <w:highlight w:val="none"/>
        </w:rPr>
      </w:r>
      <w:r/>
    </w:p>
    <w:p>
      <w:pPr>
        <w:pStyle w:val="906"/>
        <w:numPr>
          <w:ilvl w:val="2"/>
          <w:numId w:val="8"/>
        </w:numPr>
        <w:ind w:left="0" w:firstLine="440"/>
        <w:spacing w:line="360" w:lineRule="auto"/>
        <w:tabs>
          <w:tab w:val="left" w:pos="1980" w:leader="none"/>
          <w:tab w:val="left" w:pos="2014"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 绿色采购政策</w:t>
      </w:r>
      <w:r>
        <w:rPr>
          <w:rFonts w:hint="eastAsia" w:ascii="宋体" w:hAnsi="宋体" w:eastAsia="宋体" w:cs="Times New Roman"/>
          <w:color w:val="000000"/>
          <w:sz w:val="22"/>
          <w:szCs w:val="22"/>
          <w:highlight w:val="none"/>
        </w:rPr>
      </w:r>
      <w:r/>
    </w:p>
    <w:p>
      <w:pPr>
        <w:pStyle w:val="9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5.7.1 </w:t>
      </w:r>
      <w:r>
        <w:rPr>
          <w:rFonts w:hint="eastAsia" w:ascii="宋体" w:hAnsi="宋体" w:cs="宋体"/>
          <w:b/>
          <w:bCs/>
          <w:color w:val="000000"/>
          <w:sz w:val="24"/>
          <w:highlight w:val="none"/>
        </w:rPr>
        <w:t xml:space="preserve">绿色包装：</w:t>
      </w: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olor w:val="000000"/>
          <w:sz w:val="22"/>
          <w:szCs w:val="22"/>
          <w:highlight w:val="none"/>
        </w:rPr>
      </w:r>
      <w:r/>
    </w:p>
    <w:p>
      <w:pPr>
        <w:pStyle w:val="906"/>
        <w:ind w:firstLine="440"/>
        <w:spacing w:line="360" w:lineRule="auto"/>
        <w:rPr>
          <w:rFonts w:ascii="宋体" w:hAnsi="宋体"/>
          <w:b/>
          <w:color w:val="000000"/>
          <w:sz w:val="22"/>
          <w:szCs w:val="22"/>
          <w:highlight w:val="none"/>
        </w:rPr>
      </w:pPr>
      <w:r>
        <w:rPr>
          <w:rFonts w:hint="eastAsia" w:ascii="宋体" w:hAnsi="宋体"/>
          <w:color w:val="000000"/>
          <w:sz w:val="22"/>
          <w:szCs w:val="22"/>
          <w:highlight w:val="none"/>
        </w:rPr>
        <w:t xml:space="preserve">5.7.</w:t>
      </w:r>
      <w:r>
        <w:rPr>
          <w:rFonts w:hint="eastAsia" w:ascii="宋体" w:hAnsi="宋体"/>
          <w:color w:val="000000"/>
          <w:sz w:val="22"/>
          <w:szCs w:val="22"/>
          <w:highlight w:val="none"/>
          <w:lang w:val="en-US" w:eastAsia="zh-CN"/>
        </w:rPr>
        <w:t xml:space="preserve">2</w:t>
      </w:r>
      <w:r>
        <w:rPr>
          <w:rFonts w:hint="eastAsia" w:ascii="宋体" w:hAnsi="宋体"/>
          <w:b/>
          <w:color w:val="000000"/>
          <w:sz w:val="22"/>
          <w:szCs w:val="22"/>
          <w:highlight w:val="none"/>
        </w:rPr>
        <w:t xml:space="preserve">绿色数据中心政策 </w:t>
      </w:r>
      <w:r>
        <w:rPr>
          <w:rFonts w:ascii="宋体" w:hAnsi="宋体"/>
          <w:b/>
          <w:color w:val="000000"/>
          <w:sz w:val="22"/>
          <w:szCs w:val="22"/>
          <w:highlight w:val="none"/>
        </w:rPr>
      </w:r>
      <w:r/>
    </w:p>
    <w:p>
      <w:pPr>
        <w:pStyle w:val="90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依据《绿色数据中心政府采购需求标准（试行）》（财办库〔2023〕7 号）文件精神，采购</w:t>
      </w:r>
      <w:r>
        <w:rPr>
          <w:rFonts w:hint="eastAsia" w:ascii="宋体" w:hAnsi="宋体"/>
          <w:color w:val="000000"/>
          <w:sz w:val="22"/>
          <w:szCs w:val="22"/>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2"/>
          <w:szCs w:val="22"/>
          <w:highlight w:val="none"/>
        </w:rPr>
      </w:r>
      <w:r/>
    </w:p>
    <w:p>
      <w:pPr>
        <w:pStyle w:val="90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5.7.</w:t>
      </w:r>
      <w:r>
        <w:rPr>
          <w:rFonts w:hint="eastAsia" w:ascii="宋体" w:hAnsi="宋体"/>
          <w:color w:val="000000"/>
          <w:sz w:val="22"/>
          <w:szCs w:val="22"/>
          <w:highlight w:val="none"/>
          <w:lang w:val="en-US" w:eastAsia="zh-CN"/>
        </w:rPr>
        <w:t xml:space="preserve">3</w:t>
      </w:r>
      <w:r>
        <w:rPr>
          <w:rFonts w:hint="eastAsia" w:ascii="宋体" w:hAnsi="宋体"/>
          <w:color w:val="000000"/>
          <w:sz w:val="22"/>
          <w:szCs w:val="22"/>
          <w:highlight w:val="none"/>
        </w:rPr>
        <w:t xml:space="preserve"> 推广应用绿色建材</w:t>
      </w:r>
      <w:r>
        <w:rPr>
          <w:rFonts w:ascii="宋体" w:hAnsi="宋体"/>
          <w:color w:val="000000"/>
          <w:sz w:val="22"/>
          <w:szCs w:val="22"/>
          <w:highlight w:val="none"/>
        </w:rPr>
      </w:r>
      <w:r/>
    </w:p>
    <w:p>
      <w:pPr>
        <w:pStyle w:val="90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采购人实施政府采购工程项目，要按照《常州市政府采购支持绿色建材促进建筑品质提升试点工作方案》（常财购</w:t>
      </w:r>
      <w:r>
        <w:rPr>
          <w:rFonts w:ascii="宋体" w:hAnsi="宋体"/>
          <w:color w:val="000000"/>
          <w:sz w:val="22"/>
          <w:szCs w:val="22"/>
          <w:highlight w:val="none"/>
        </w:rPr>
        <w:t xml:space="preserve">〔20</w:t>
      </w:r>
      <w:r>
        <w:rPr>
          <w:rFonts w:hint="eastAsia" w:ascii="宋体" w:hAnsi="宋体"/>
          <w:color w:val="000000"/>
          <w:sz w:val="22"/>
          <w:szCs w:val="22"/>
          <w:highlight w:val="none"/>
        </w:rPr>
        <w:t xml:space="preserve">23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18</w:t>
      </w:r>
      <w:r>
        <w:rPr>
          <w:rFonts w:ascii="宋体" w:hAnsi="宋体"/>
          <w:color w:val="000000"/>
          <w:sz w:val="22"/>
          <w:szCs w:val="22"/>
          <w:highlight w:val="none"/>
        </w:rPr>
        <w:t xml:space="preserve"> 号</w:t>
      </w:r>
      <w:r>
        <w:rPr>
          <w:rFonts w:hint="eastAsia" w:ascii="宋体" w:hAnsi="宋体"/>
          <w:color w:val="000000"/>
          <w:sz w:val="22"/>
          <w:szCs w:val="22"/>
          <w:highlight w:val="none"/>
        </w:rPr>
        <w:t xml:space="preserve">）总体要求，落实《绿色建筑和绿色建材政府采购需求标准》（</w:t>
      </w:r>
      <w:r>
        <w:rPr>
          <w:rFonts w:ascii="宋体" w:hAnsi="宋体"/>
          <w:color w:val="000000"/>
          <w:sz w:val="22"/>
          <w:szCs w:val="22"/>
          <w:highlight w:val="none"/>
        </w:rPr>
        <w:t xml:space="preserve">财库〔20</w:t>
      </w:r>
      <w:r>
        <w:rPr>
          <w:rFonts w:hint="eastAsia" w:ascii="宋体" w:hAnsi="宋体"/>
          <w:color w:val="000000"/>
          <w:sz w:val="22"/>
          <w:szCs w:val="22"/>
          <w:highlight w:val="none"/>
        </w:rPr>
        <w:t xml:space="preserve">22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35</w:t>
      </w:r>
      <w:r>
        <w:rPr>
          <w:rFonts w:ascii="宋体" w:hAnsi="宋体"/>
          <w:color w:val="000000"/>
          <w:sz w:val="22"/>
          <w:szCs w:val="22"/>
          <w:highlight w:val="none"/>
        </w:rPr>
        <w:t xml:space="preserve"> 号</w:t>
      </w:r>
      <w:r>
        <w:rPr>
          <w:rFonts w:hint="eastAsia" w:ascii="宋体" w:hAnsi="宋体"/>
          <w:color w:val="000000"/>
          <w:sz w:val="22"/>
          <w:szCs w:val="22"/>
          <w:highlight w:val="none"/>
        </w:rPr>
        <w:t xml:space="preserve">）和《政府采购支持绿色建材促进建筑品质提升政策项目实施指南》（财办库</w:t>
      </w:r>
      <w:r>
        <w:rPr>
          <w:rFonts w:ascii="宋体" w:hAnsi="宋体"/>
          <w:color w:val="000000"/>
          <w:sz w:val="22"/>
          <w:szCs w:val="22"/>
          <w:highlight w:val="none"/>
        </w:rPr>
        <w:t xml:space="preserve">〔20</w:t>
      </w:r>
      <w:r>
        <w:rPr>
          <w:rFonts w:hint="eastAsia" w:ascii="宋体" w:hAnsi="宋体"/>
          <w:color w:val="000000"/>
          <w:sz w:val="22"/>
          <w:szCs w:val="22"/>
          <w:highlight w:val="none"/>
        </w:rPr>
        <w:t xml:space="preserve">23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52</w:t>
      </w:r>
      <w:r>
        <w:rPr>
          <w:rFonts w:ascii="宋体" w:hAnsi="宋体"/>
          <w:color w:val="000000"/>
          <w:sz w:val="22"/>
          <w:szCs w:val="22"/>
          <w:highlight w:val="none"/>
        </w:rPr>
        <w:t xml:space="preserve"> 号</w:t>
      </w:r>
      <w:r>
        <w:rPr>
          <w:rFonts w:hint="eastAsia" w:ascii="宋体" w:hAnsi="宋体"/>
          <w:color w:val="000000"/>
          <w:sz w:val="22"/>
          <w:szCs w:val="22"/>
          <w:highlight w:val="none"/>
        </w:rPr>
        <w:t xml:space="preserve">）,依据相关需求标准确定采购需求，在采购文件和采购合同中载明具体需求、履约验收条款和违约责任。</w:t>
      </w:r>
      <w:r>
        <w:rPr>
          <w:rFonts w:ascii="宋体" w:hAnsi="宋体"/>
          <w:color w:val="000000"/>
          <w:sz w:val="22"/>
          <w:szCs w:val="22"/>
          <w:highlight w:val="none"/>
        </w:rPr>
      </w:r>
      <w:r/>
    </w:p>
    <w:p>
      <w:pPr>
        <w:pStyle w:val="90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5.7.</w:t>
      </w:r>
      <w:r>
        <w:rPr>
          <w:rFonts w:hint="eastAsia" w:ascii="宋体" w:hAnsi="宋体"/>
          <w:color w:val="000000"/>
          <w:sz w:val="22"/>
          <w:szCs w:val="22"/>
          <w:highlight w:val="none"/>
          <w:lang w:val="en-US" w:eastAsia="zh-CN"/>
        </w:rPr>
        <w:t xml:space="preserve">4</w:t>
      </w:r>
      <w:r>
        <w:rPr>
          <w:rFonts w:hint="eastAsia" w:ascii="宋体" w:hAnsi="宋体"/>
          <w:color w:val="000000"/>
          <w:sz w:val="22"/>
          <w:szCs w:val="22"/>
          <w:highlight w:val="none"/>
        </w:rPr>
        <w:t xml:space="preserve"> 优先使用低挥发性有机化合物产品</w:t>
      </w:r>
      <w:r>
        <w:rPr>
          <w:rFonts w:ascii="宋体" w:hAnsi="宋体"/>
          <w:color w:val="000000"/>
          <w:sz w:val="22"/>
          <w:szCs w:val="22"/>
          <w:highlight w:val="none"/>
        </w:rPr>
      </w:r>
      <w:r/>
    </w:p>
    <w:p>
      <w:pPr>
        <w:pStyle w:val="9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政府采购中实施本国产品标准及相关政策</w:t>
      </w:r>
      <w:r>
        <w:rPr>
          <w:rFonts w:ascii="宋体" w:hAnsi="宋体" w:eastAsia="宋体" w:cs="Times New Roman"/>
          <w:color w:val="000000"/>
          <w:sz w:val="22"/>
          <w:szCs w:val="22"/>
          <w:highlight w:val="none"/>
        </w:rPr>
      </w:r>
      <w:r/>
    </w:p>
    <w:p>
      <w:pPr>
        <w:pStyle w:val="906"/>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5.8.1本项目对采购本国产品给予政策支持，具体内容见招标文件“第四章 评标程序、评标方法与评标标准”。</w:t>
      </w:r>
      <w:r>
        <w:rPr>
          <w:rFonts w:hint="eastAsia" w:ascii="宋体" w:hAnsi="宋体" w:eastAsia="宋体" w:cs="Times New Roman"/>
          <w:color w:val="000000"/>
          <w:sz w:val="22"/>
          <w:szCs w:val="22"/>
          <w:highlight w:val="none"/>
        </w:rPr>
      </w:r>
      <w:r/>
    </w:p>
    <w:p>
      <w:pPr>
        <w:pStyle w:val="906"/>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2"/>
          <w:szCs w:val="22"/>
          <w:highlight w:val="none"/>
        </w:rPr>
      </w:r>
      <w:r/>
    </w:p>
    <w:p>
      <w:pPr>
        <w:pStyle w:val="906"/>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投标费用</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ascii="宋体" w:hAnsi="宋体"/>
          <w:color w:val="000000"/>
          <w:sz w:val="22"/>
          <w:szCs w:val="22"/>
          <w:highlight w:val="none"/>
        </w:rPr>
        <w:t xml:space="preserve">投标人应自行承担所有与准备和参加投标有关的费用，无论投标的结果如何，采购人或采购代理机构在任何情况下均无承担这些费用的义务和责任。</w:t>
      </w:r>
      <w:bookmarkStart w:id="135" w:name="_1.8_计量单位"/>
      <w:r/>
      <w:bookmarkEnd w:id="135"/>
      <w:r>
        <w:rPr>
          <w:rFonts w:hint="eastAsia" w:ascii="宋体" w:hAnsi="宋体"/>
          <w:color w:val="000000"/>
          <w:sz w:val="22"/>
          <w:szCs w:val="22"/>
          <w:highlight w:val="none"/>
        </w:rPr>
      </w:r>
      <w:r/>
    </w:p>
    <w:p>
      <w:pPr>
        <w:pStyle w:val="908"/>
        <w:ind w:firstLine="56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136" w:name="_Toc151193693"/>
      <w:r/>
      <w:bookmarkStart w:id="137" w:name="_Toc195842888"/>
      <w:r/>
      <w:bookmarkStart w:id="138" w:name="_Toc151193837"/>
      <w:r/>
      <w:bookmarkStart w:id="139" w:name="_Toc226337219"/>
      <w:r/>
      <w:bookmarkStart w:id="140" w:name="_Toc127151724"/>
      <w:r/>
      <w:bookmarkStart w:id="141" w:name="_Toc127151523"/>
      <w:r/>
      <w:bookmarkStart w:id="142" w:name="_Toc164229218"/>
      <w:r/>
      <w:bookmarkStart w:id="143" w:name="_Toc226965713"/>
      <w:r/>
      <w:bookmarkStart w:id="144" w:name="_Toc151190150"/>
      <w:r/>
      <w:bookmarkStart w:id="145" w:name="_Toc164351617"/>
      <w:r/>
      <w:bookmarkStart w:id="146" w:name="_Toc520356147"/>
      <w:r/>
      <w:bookmarkStart w:id="147" w:name="_Toc164608637"/>
      <w:r/>
      <w:bookmarkStart w:id="148" w:name="_Toc151193765"/>
      <w:r/>
      <w:bookmarkStart w:id="149" w:name="_Toc150509274"/>
      <w:r/>
      <w:bookmarkStart w:id="150" w:name="_Toc142311025"/>
      <w:r/>
      <w:bookmarkStart w:id="151" w:name="_Toc305158865"/>
      <w:r/>
      <w:bookmarkStart w:id="152" w:name="_Toc226309767"/>
      <w:r/>
      <w:bookmarkStart w:id="153" w:name="_Toc150774623"/>
      <w:r/>
      <w:bookmarkStart w:id="154" w:name="_Toc264969213"/>
      <w:r/>
      <w:bookmarkStart w:id="155" w:name="_Toc150774728"/>
      <w:r/>
      <w:bookmarkStart w:id="156" w:name="_Toc127161437"/>
      <w:r/>
      <w:bookmarkStart w:id="157" w:name="_Toc265228361"/>
      <w:r/>
      <w:bookmarkStart w:id="158" w:name="_Toc164229364"/>
      <w:r/>
      <w:bookmarkStart w:id="159" w:name="_Toc151193621"/>
      <w:r/>
      <w:bookmarkStart w:id="160" w:name="_Toc149720816"/>
      <w:r/>
      <w:bookmarkStart w:id="161" w:name="_Toc226965796"/>
      <w:r/>
      <w:bookmarkStart w:id="162" w:name="_Toc164608792"/>
      <w:r/>
      <w:bookmarkStart w:id="163" w:name="_Toc150480761"/>
      <w:r/>
      <w:bookmarkStart w:id="164" w:name="_Toc151193911"/>
      <w:r/>
      <w:bookmarkStart w:id="165" w:name="_Toc305158791"/>
      <w:r>
        <w:rPr>
          <w:rFonts w:ascii="宋体" w:hAnsi="宋体"/>
          <w:color w:val="000000"/>
          <w:sz w:val="22"/>
          <w:szCs w:val="22"/>
          <w:highlight w:val="none"/>
        </w:rPr>
        <w:t xml:space="preserve">招标文件构</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color w:val="000000"/>
          <w:sz w:val="22"/>
          <w:szCs w:val="22"/>
          <w:highlight w:val="none"/>
        </w:rPr>
        <w:t xml:space="preserve">成</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招标文件包括以下部分：</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投标邀请</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投标人须知</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资格审查</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评标程序、评标方法和评标标准</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采购需求</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ascii="宋体" w:hAnsi="宋体"/>
          <w:color w:val="000000"/>
          <w:sz w:val="22"/>
          <w:szCs w:val="22"/>
          <w:highlight w:val="none"/>
        </w:rPr>
      </w:pPr>
      <w:r>
        <w:rPr>
          <w:rFonts w:ascii="宋体" w:hAnsi="宋体"/>
          <w:color w:val="000000"/>
          <w:sz w:val="22"/>
          <w:szCs w:val="22"/>
          <w:highlight w:val="none"/>
        </w:rPr>
        <w:t xml:space="preserve">拟签订的合同文本</w:t>
      </w:r>
      <w:r>
        <w:rPr>
          <w:rFonts w:ascii="宋体" w:hAnsi="宋体"/>
          <w:color w:val="000000"/>
          <w:sz w:val="22"/>
          <w:szCs w:val="22"/>
          <w:highlight w:val="none"/>
        </w:rPr>
      </w:r>
      <w:r/>
    </w:p>
    <w:p>
      <w:pPr>
        <w:pStyle w:val="906"/>
        <w:numPr>
          <w:ilvl w:val="0"/>
          <w:numId w:val="9"/>
        </w:numPr>
        <w:ind w:left="0" w:firstLine="440"/>
        <w:spacing w:line="360" w:lineRule="auto"/>
        <w:tabs>
          <w:tab w:val="left" w:pos="1980" w:leader="none"/>
          <w:tab w:val="left" w:pos="2520" w:leader="none"/>
          <w:tab w:val="left" w:pos="4941" w:leader="none"/>
        </w:tabs>
        <w:rPr>
          <w:rFonts w:hint="eastAsia" w:ascii="宋体" w:hAnsi="宋体"/>
          <w:color w:val="000000"/>
          <w:sz w:val="22"/>
          <w:szCs w:val="22"/>
          <w:highlight w:val="none"/>
        </w:rPr>
      </w:pPr>
      <w:r>
        <w:rPr>
          <w:rFonts w:ascii="宋体" w:hAnsi="宋体"/>
          <w:color w:val="000000"/>
          <w:sz w:val="22"/>
          <w:szCs w:val="22"/>
          <w:highlight w:val="none"/>
        </w:rPr>
        <w:t xml:space="preserve">投标文件格式</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0"/>
          <w:numId w:val="8"/>
        </w:numPr>
        <w:ind w:left="0" w:firstLine="440"/>
        <w:spacing w:line="360" w:lineRule="auto"/>
        <w:tabs>
          <w:tab w:val="left" w:pos="900" w:leader="none"/>
          <w:tab w:val="left" w:pos="1080"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对招标文件的澄清或修改</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61"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采购人或采购代理机构对已发出的招标文件进行必要澄清或者修改的，将在原公告发布媒体上以</w:t>
      </w:r>
      <w:r>
        <w:rPr>
          <w:rFonts w:hint="eastAsia" w:ascii="宋体" w:hAnsi="宋体"/>
          <w:color w:val="000000"/>
          <w:sz w:val="22"/>
          <w:szCs w:val="22"/>
          <w:highlight w:val="none"/>
        </w:rPr>
        <w:t xml:space="preserve">发布</w:t>
      </w:r>
      <w:r>
        <w:rPr>
          <w:rFonts w:ascii="宋体" w:hAnsi="宋体"/>
          <w:color w:val="000000"/>
          <w:sz w:val="22"/>
          <w:szCs w:val="22"/>
          <w:highlight w:val="none"/>
        </w:rPr>
        <w:t xml:space="preserve">更正公告</w:t>
      </w:r>
      <w:r>
        <w:rPr>
          <w:rFonts w:hint="eastAsia" w:ascii="宋体" w:hAnsi="宋体"/>
          <w:color w:val="000000"/>
          <w:sz w:val="22"/>
          <w:szCs w:val="22"/>
          <w:highlight w:val="none"/>
        </w:rPr>
        <w:t xml:space="preserve">的</w:t>
      </w:r>
      <w:r>
        <w:rPr>
          <w:rFonts w:ascii="宋体" w:hAnsi="宋体"/>
          <w:color w:val="000000"/>
          <w:sz w:val="22"/>
          <w:szCs w:val="22"/>
          <w:highlight w:val="none"/>
        </w:rPr>
        <w:t xml:space="preserve">形式通知所有获取招标文件的潜在投标人。</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61" w:leader="none"/>
          <w:tab w:val="left" w:pos="1589" w:leader="none"/>
          <w:tab w:val="left" w:pos="2014" w:leader="none"/>
        </w:tabs>
        <w:rPr>
          <w:rFonts w:hint="eastAsia" w:ascii="宋体" w:hAnsi="宋体"/>
          <w:color w:val="000000"/>
          <w:sz w:val="22"/>
          <w:szCs w:val="22"/>
          <w:highlight w:val="none"/>
        </w:rPr>
      </w:pPr>
      <w:r>
        <w:rPr>
          <w:rFonts w:ascii="宋体" w:hAnsi="宋体"/>
          <w:color w:val="000000"/>
          <w:sz w:val="22"/>
          <w:szCs w:val="22"/>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66" w:name="_Toc226309770"/>
      <w:r/>
      <w:bookmarkStart w:id="167" w:name="_Toc142311028"/>
      <w:r/>
      <w:bookmarkStart w:id="168" w:name="_Toc520356150"/>
      <w:r/>
      <w:bookmarkStart w:id="169" w:name="_Toc150774626"/>
      <w:r/>
      <w:bookmarkStart w:id="170" w:name="_Toc151193624"/>
      <w:r/>
      <w:bookmarkStart w:id="171" w:name="_Toc151193840"/>
      <w:r/>
      <w:bookmarkStart w:id="172" w:name="_Toc305158868"/>
      <w:r/>
      <w:bookmarkStart w:id="173" w:name="_Toc151193914"/>
      <w:r/>
      <w:bookmarkStart w:id="174" w:name="_Toc265228364"/>
      <w:r/>
      <w:bookmarkStart w:id="175" w:name="_Toc151190153"/>
      <w:r/>
      <w:bookmarkStart w:id="176" w:name="_Toc127151526"/>
      <w:r/>
      <w:bookmarkStart w:id="177" w:name="_Toc151193696"/>
      <w:r/>
      <w:bookmarkStart w:id="178" w:name="_Toc226337222"/>
      <w:r/>
      <w:bookmarkStart w:id="179" w:name="_Toc226965799"/>
      <w:r/>
      <w:bookmarkStart w:id="180" w:name="_Toc151193768"/>
      <w:r/>
      <w:bookmarkStart w:id="181" w:name="_Toc195842891"/>
      <w:r/>
      <w:bookmarkStart w:id="182" w:name="_Toc264969216"/>
      <w:r/>
      <w:bookmarkStart w:id="183" w:name="_Toc150509277"/>
      <w:r/>
      <w:bookmarkStart w:id="184" w:name="_Toc226965716"/>
      <w:r/>
      <w:bookmarkStart w:id="185" w:name="_Toc516367020"/>
      <w:r/>
      <w:bookmarkStart w:id="186" w:name="_Toc150774731"/>
      <w:r/>
      <w:bookmarkStart w:id="187" w:name="_Toc305158794"/>
      <w:r/>
      <w:bookmarkStart w:id="188" w:name="_Toc150480764"/>
      <w:r>
        <w:rPr>
          <w:rFonts w:hint="eastAsia" w:ascii="宋体" w:hAnsi="宋体"/>
          <w:color w:val="000000"/>
          <w:sz w:val="22"/>
          <w:szCs w:val="22"/>
          <w:highlight w:val="none"/>
        </w:rPr>
      </w:r>
      <w:r/>
    </w:p>
    <w:p>
      <w:pPr>
        <w:pStyle w:val="90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85"/>
      <w:r>
        <w:rPr>
          <w:rFonts w:ascii="Times New Roman" w:hAnsi="Times New Roman" w:eastAsia="宋体"/>
          <w:color w:val="000000"/>
          <w:sz w:val="28"/>
          <w:highlight w:val="none"/>
        </w:rPr>
        <w:t xml:space="preserve">的编制</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bookmarkEnd w:id="188"/>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189" w:name="_Toc164351621"/>
      <w:r/>
      <w:bookmarkStart w:id="190" w:name="_Toc226965717"/>
      <w:r/>
      <w:bookmarkStart w:id="191" w:name="_Toc164608641"/>
      <w:r/>
      <w:bookmarkStart w:id="192" w:name="_Toc151193841"/>
      <w:r/>
      <w:bookmarkStart w:id="193" w:name="_Toc127151527"/>
      <w:r/>
      <w:bookmarkStart w:id="194" w:name="_Toc151193697"/>
      <w:r/>
      <w:bookmarkStart w:id="195" w:name="_Toc164229222"/>
      <w:r/>
      <w:bookmarkStart w:id="196" w:name="_Toc150774732"/>
      <w:r/>
      <w:bookmarkStart w:id="197" w:name="_Toc516367021"/>
      <w:r/>
      <w:bookmarkStart w:id="198" w:name="_Toc520356151"/>
      <w:r/>
      <w:bookmarkStart w:id="199" w:name="_Toc164608796"/>
      <w:r/>
      <w:bookmarkStart w:id="200" w:name="_Toc305158869"/>
      <w:r/>
      <w:bookmarkStart w:id="201" w:name="_Toc265228365"/>
      <w:r/>
      <w:bookmarkStart w:id="202" w:name="_Toc226965800"/>
      <w:r/>
      <w:bookmarkStart w:id="203" w:name="_Toc226309771"/>
      <w:r/>
      <w:bookmarkStart w:id="204" w:name="_Toc127161441"/>
      <w:r/>
      <w:bookmarkStart w:id="205" w:name="_Toc151193769"/>
      <w:r/>
      <w:bookmarkStart w:id="206" w:name="_Toc305158795"/>
      <w:r/>
      <w:bookmarkStart w:id="207" w:name="_Toc150480765"/>
      <w:r/>
      <w:bookmarkStart w:id="208" w:name="_Toc150509278"/>
      <w:r/>
      <w:bookmarkStart w:id="209" w:name="_Toc127151728"/>
      <w:r/>
      <w:bookmarkStart w:id="210" w:name="_Toc150774627"/>
      <w:r/>
      <w:bookmarkStart w:id="211" w:name="_Toc226337223"/>
      <w:r/>
      <w:bookmarkStart w:id="212" w:name="_Toc195842892"/>
      <w:r/>
      <w:bookmarkStart w:id="213" w:name="_Toc149720820"/>
      <w:r/>
      <w:bookmarkStart w:id="214" w:name="_Toc151193625"/>
      <w:r/>
      <w:bookmarkStart w:id="215" w:name="_Toc142311029"/>
      <w:r/>
      <w:bookmarkStart w:id="216" w:name="_Toc151193915"/>
      <w:r/>
      <w:bookmarkStart w:id="217" w:name="_Toc164229368"/>
      <w:r/>
      <w:bookmarkStart w:id="218" w:name="_Toc264969217"/>
      <w:r/>
      <w:bookmarkStart w:id="219" w:name="_Toc151190154"/>
      <w:r>
        <w:rPr>
          <w:rFonts w:ascii="宋体" w:hAnsi="宋体"/>
          <w:color w:val="000000"/>
          <w:sz w:val="22"/>
          <w:szCs w:val="22"/>
          <w:highlight w:val="none"/>
        </w:rPr>
        <w:t xml:space="preserve">投标范围、投标文件中计量单位的使用</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宋体" w:hAnsi="宋体"/>
          <w:color w:val="000000"/>
          <w:sz w:val="22"/>
          <w:szCs w:val="22"/>
          <w:highlight w:val="none"/>
        </w:rPr>
        <w:t xml:space="preserve">及投标语言</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2"/>
          <w:szCs w:val="22"/>
          <w:highlight w:val="none"/>
        </w:rPr>
        <w:t xml:space="preserve">无效投标</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除招标文件有特殊要求外，本项目投标所使用的计量单位，应采用中华人民共和国法定计量单位。</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220" w:name="_Toc149720821"/>
      <w:r/>
      <w:bookmarkStart w:id="221" w:name="_Toc127151729"/>
      <w:r/>
      <w:bookmarkStart w:id="222" w:name="_Toc226309772"/>
      <w:r/>
      <w:bookmarkStart w:id="223" w:name="_Toc520356152"/>
      <w:r/>
      <w:bookmarkStart w:id="224" w:name="_Toc151193698"/>
      <w:r/>
      <w:bookmarkStart w:id="225" w:name="_Toc151193842"/>
      <w:r/>
      <w:bookmarkStart w:id="226" w:name="_Toc151190155"/>
      <w:r/>
      <w:bookmarkStart w:id="227" w:name="_Toc164608642"/>
      <w:r/>
      <w:bookmarkStart w:id="228" w:name="_Toc164229223"/>
      <w:r/>
      <w:bookmarkStart w:id="229" w:name="_Toc127151528"/>
      <w:r/>
      <w:bookmarkStart w:id="230" w:name="_Toc265228366"/>
      <w:r/>
      <w:bookmarkStart w:id="231" w:name="_Toc142311030"/>
      <w:r/>
      <w:bookmarkStart w:id="232" w:name="_Toc150774733"/>
      <w:r/>
      <w:bookmarkStart w:id="233" w:name="_Ref467306676"/>
      <w:r/>
      <w:bookmarkStart w:id="234" w:name="_Toc516367022"/>
      <w:r/>
      <w:bookmarkStart w:id="235" w:name="_Toc195842893"/>
      <w:r/>
      <w:bookmarkStart w:id="236" w:name="_Ref467306195"/>
      <w:r/>
      <w:bookmarkStart w:id="237" w:name="_Toc151193916"/>
      <w:r/>
      <w:bookmarkStart w:id="238" w:name="_Toc226965801"/>
      <w:r/>
      <w:bookmarkStart w:id="239" w:name="_Toc164229369"/>
      <w:r/>
      <w:bookmarkStart w:id="240" w:name="_Toc226965718"/>
      <w:r/>
      <w:bookmarkStart w:id="241" w:name="_Toc151193770"/>
      <w:r/>
      <w:bookmarkStart w:id="242" w:name="_Toc150774628"/>
      <w:r/>
      <w:bookmarkStart w:id="243" w:name="_Toc151193626"/>
      <w:r/>
      <w:bookmarkStart w:id="244" w:name="_Toc164351622"/>
      <w:r/>
      <w:bookmarkStart w:id="245" w:name="_Toc305158796"/>
      <w:r/>
      <w:bookmarkStart w:id="246" w:name="_Toc150480766"/>
      <w:r/>
      <w:bookmarkStart w:id="247" w:name="_Toc127161442"/>
      <w:r/>
      <w:bookmarkStart w:id="248" w:name="_Toc305158870"/>
      <w:r/>
      <w:bookmarkStart w:id="249" w:name="_Toc164608797"/>
      <w:r/>
      <w:bookmarkStart w:id="250" w:name="_Toc264969218"/>
      <w:r/>
      <w:bookmarkStart w:id="251" w:name="_Toc226337224"/>
      <w:r/>
      <w:bookmarkStart w:id="252" w:name="_Toc150509279"/>
      <w:r>
        <w:rPr>
          <w:rFonts w:ascii="宋体" w:hAnsi="宋体"/>
          <w:color w:val="000000"/>
          <w:sz w:val="22"/>
          <w:szCs w:val="22"/>
          <w:highlight w:val="none"/>
        </w:rPr>
        <w:t xml:space="preserve">投标文件</w:t>
      </w:r>
      <w:bookmarkEnd w:id="233"/>
      <w:r/>
      <w:bookmarkEnd w:id="234"/>
      <w:r/>
      <w:bookmarkEnd w:id="236"/>
      <w:r>
        <w:rPr>
          <w:rFonts w:ascii="宋体" w:hAnsi="宋体"/>
          <w:color w:val="000000"/>
          <w:sz w:val="22"/>
          <w:szCs w:val="22"/>
          <w:highlight w:val="none"/>
        </w:rPr>
        <w:t xml:space="preserve">构成</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5"/>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bookmarkStart w:id="253" w:name="_Ref467052588"/>
      <w:r>
        <w:rPr>
          <w:rFonts w:ascii="宋体" w:hAnsi="宋体"/>
          <w:color w:val="000000"/>
          <w:sz w:val="22"/>
          <w:szCs w:val="22"/>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对于招标文件中标记了“实质性格式”文件的，</w:t>
      </w:r>
      <w:r>
        <w:rPr>
          <w:rFonts w:ascii="宋体" w:hAnsi="宋体"/>
          <w:color w:val="000000"/>
          <w:sz w:val="22"/>
          <w:szCs w:val="22"/>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2"/>
          <w:szCs w:val="22"/>
          <w:highlight w:val="none"/>
        </w:rPr>
        <w:t xml:space="preserve">否则</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。未标记“实质性格式”的文件和招标文件未提供格式的内容，可由投标人自行编写。</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第四章《评标程序、评标方法和评标标准》中涉及的证明文件。</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投标人认为应附的其他材料。</w:t>
      </w:r>
      <w:bookmarkEnd w:id="253"/>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如标书制作工具中格式和内容与“江苏政府采购网” 、“常州市政府采购网”发布的招标文件不一致，请以“江苏政府采购网” 、“常州市政府采购网”发布的招标文件为准。</w:t>
      </w:r>
      <w:r>
        <w:rPr>
          <w:rFonts w:hint="eastAsia" w:ascii="宋体" w:hAnsi="宋体" w:eastAsia="宋体" w:cs="Times New Roman"/>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rFonts w:hint="eastAsia" w:ascii="宋体" w:hAnsi="宋体" w:eastAsia="宋体" w:cs="Times New Roman"/>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254" w:name="_Toc151193772"/>
      <w:r/>
      <w:bookmarkStart w:id="255" w:name="_Toc127151731"/>
      <w:r/>
      <w:bookmarkStart w:id="256" w:name="_Toc151193700"/>
      <w:r/>
      <w:bookmarkStart w:id="257" w:name="_Toc150509281"/>
      <w:r/>
      <w:bookmarkStart w:id="258" w:name="_Toc150774735"/>
      <w:r/>
      <w:bookmarkStart w:id="259" w:name="_Toc164608799"/>
      <w:r/>
      <w:bookmarkStart w:id="260" w:name="_Toc127151530"/>
      <w:r/>
      <w:bookmarkStart w:id="261" w:name="_Toc151193628"/>
      <w:r/>
      <w:bookmarkStart w:id="262" w:name="_Toc151193918"/>
      <w:r/>
      <w:bookmarkStart w:id="263" w:name="_Toc164229225"/>
      <w:r/>
      <w:bookmarkStart w:id="264" w:name="_Toc520356155"/>
      <w:r/>
      <w:bookmarkStart w:id="265" w:name="_Toc142311032"/>
      <w:r/>
      <w:bookmarkStart w:id="266" w:name="_Toc151193844"/>
      <w:r/>
      <w:bookmarkStart w:id="267" w:name="_Toc164351624"/>
      <w:r/>
      <w:bookmarkStart w:id="268" w:name="_Toc150480768"/>
      <w:r/>
      <w:bookmarkStart w:id="269" w:name="_Toc151190157"/>
      <w:r/>
      <w:bookmarkStart w:id="270" w:name="_Toc164229371"/>
      <w:r/>
      <w:bookmarkStart w:id="271" w:name="_Toc127161444"/>
      <w:r/>
      <w:bookmarkStart w:id="272" w:name="_Toc149720823"/>
      <w:r/>
      <w:bookmarkStart w:id="273" w:name="_Toc195842895"/>
      <w:r/>
      <w:bookmarkStart w:id="274" w:name="_Toc164608644"/>
      <w:r/>
      <w:bookmarkStart w:id="275" w:name="_Toc150774630"/>
      <w:r>
        <w:rPr>
          <w:rFonts w:ascii="宋体" w:hAnsi="宋体"/>
          <w:color w:val="000000"/>
          <w:sz w:val="22"/>
          <w:szCs w:val="22"/>
          <w:highlight w:val="none"/>
        </w:rPr>
        <w:t xml:space="preserve">投标报价</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所有投标均以人民币报价。</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投标人的报价应包括为完成本项目所发生的一切费用和税费，招标人将不再支付报价以外的任何费用。</w:t>
      </w:r>
      <w:r>
        <w:rPr>
          <w:rFonts w:hint="eastAsia" w:ascii="宋体" w:hAnsi="宋体"/>
          <w:color w:val="000000"/>
          <w:sz w:val="22"/>
          <w:szCs w:val="22"/>
          <w:highlight w:val="none"/>
        </w:rPr>
        <w:t xml:space="preserve">投标人的报价应包括但不限于下列内容，《投标人须知资料表》中有特殊规定的，从其规定。</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按照招标文件要求完成本项目的全部相关服务费用。 </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采购人不得向供应商索要或者接受其给予的赠品、回扣或者与采购无关的其他商品、服务。</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投标人不能提供任何有选择性或可调整的报价，否则其</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hint="eastAsia" w:ascii="宋体" w:hAnsi="宋体"/>
          <w:color w:val="000000"/>
          <w:sz w:val="22"/>
          <w:szCs w:val="22"/>
          <w:highlight w:val="none"/>
        </w:rPr>
      </w:pPr>
      <w:r/>
      <w:bookmarkStart w:id="276" w:name="_Toc195842896"/>
      <w:r/>
      <w:bookmarkStart w:id="277" w:name="_Toc151193701"/>
      <w:r/>
      <w:bookmarkStart w:id="278" w:name="_Toc164229372"/>
      <w:r/>
      <w:bookmarkStart w:id="279" w:name="_Toc264969221"/>
      <w:r/>
      <w:bookmarkStart w:id="280" w:name="_Toc150480769"/>
      <w:r/>
      <w:bookmarkStart w:id="281" w:name="_Toc226965804"/>
      <w:r/>
      <w:bookmarkStart w:id="282" w:name="_Toc150774631"/>
      <w:r/>
      <w:bookmarkStart w:id="283" w:name="_Toc151193629"/>
      <w:r/>
      <w:bookmarkStart w:id="284" w:name="_Toc127151732"/>
      <w:r/>
      <w:bookmarkStart w:id="285" w:name="_Toc127161445"/>
      <w:r/>
      <w:bookmarkStart w:id="286" w:name="_Toc151193919"/>
      <w:r/>
      <w:bookmarkStart w:id="287" w:name="_Toc164608645"/>
      <w:r/>
      <w:bookmarkStart w:id="288" w:name="_Toc305158799"/>
      <w:r/>
      <w:bookmarkStart w:id="289" w:name="_Toc151193845"/>
      <w:r/>
      <w:bookmarkStart w:id="290" w:name="_Toc127151531"/>
      <w:r/>
      <w:bookmarkStart w:id="291" w:name="_Toc226965721"/>
      <w:r/>
      <w:bookmarkStart w:id="292" w:name="_Toc164351625"/>
      <w:r/>
      <w:bookmarkStart w:id="293" w:name="_Toc164608800"/>
      <w:r/>
      <w:bookmarkStart w:id="294" w:name="_Toc151193773"/>
      <w:r/>
      <w:bookmarkStart w:id="295" w:name="_Toc164229226"/>
      <w:r/>
      <w:bookmarkStart w:id="296" w:name="_Toc226337227"/>
      <w:r/>
      <w:bookmarkStart w:id="297" w:name="_Toc151190158"/>
      <w:r/>
      <w:bookmarkStart w:id="298" w:name="_Toc142311033"/>
      <w:r/>
      <w:bookmarkStart w:id="299" w:name="_Toc149720824"/>
      <w:r/>
      <w:bookmarkStart w:id="300" w:name="_Toc150774736"/>
      <w:r/>
      <w:bookmarkStart w:id="301" w:name="_Toc265228369"/>
      <w:r/>
      <w:bookmarkStart w:id="302" w:name="_Ref467306513"/>
      <w:r/>
      <w:bookmarkStart w:id="303" w:name="_Toc520356156"/>
      <w:r/>
      <w:bookmarkStart w:id="304" w:name="_Toc150509282"/>
      <w:r/>
      <w:bookmarkStart w:id="305" w:name="_Toc305158873"/>
      <w:r/>
      <w:bookmarkStart w:id="306" w:name="_Toc226309775"/>
      <w:r>
        <w:rPr>
          <w:rFonts w:ascii="宋体" w:hAnsi="宋体"/>
          <w:color w:val="000000"/>
          <w:sz w:val="22"/>
          <w:szCs w:val="22"/>
          <w:highlight w:val="none"/>
        </w:rPr>
        <w:t xml:space="preserve">投标保证金</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olor w:val="000000"/>
          <w:sz w:val="22"/>
          <w:szCs w:val="22"/>
          <w:highlight w:val="none"/>
        </w:rPr>
      </w:r>
      <w:r/>
    </w:p>
    <w:p>
      <w:pPr>
        <w:pStyle w:val="906"/>
        <w:ind w:firstLine="440"/>
        <w:spacing w:line="360" w:lineRule="auto"/>
        <w:tabs>
          <w:tab w:val="left" w:pos="360" w:leader="none"/>
        </w:tabs>
        <w:rPr>
          <w:rFonts w:ascii="宋体" w:hAnsi="宋体"/>
          <w:color w:val="000000"/>
          <w:sz w:val="22"/>
          <w:szCs w:val="22"/>
          <w:highlight w:val="none"/>
        </w:rPr>
      </w:pPr>
      <w:r>
        <w:rPr>
          <w:rFonts w:hint="eastAsia" w:ascii="宋体" w:hAnsi="宋体"/>
          <w:color w:val="000000"/>
          <w:sz w:val="22"/>
          <w:szCs w:val="22"/>
          <w:highlight w:val="none"/>
        </w:rPr>
        <w:t xml:space="preserve">根据江苏省和常州市的相关文件规定，免收投标保证金。</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307" w:name="_Toc151193846"/>
      <w:r/>
      <w:bookmarkStart w:id="308" w:name="_Toc164229373"/>
      <w:r/>
      <w:bookmarkStart w:id="309" w:name="_Toc520356157"/>
      <w:r/>
      <w:bookmarkStart w:id="310" w:name="_Toc305158800"/>
      <w:r/>
      <w:bookmarkStart w:id="311" w:name="_Toc151193774"/>
      <w:r/>
      <w:bookmarkStart w:id="312" w:name="_Toc226309776"/>
      <w:r/>
      <w:bookmarkStart w:id="313" w:name="_Toc150480770"/>
      <w:r/>
      <w:bookmarkStart w:id="314" w:name="_Toc151193630"/>
      <w:r/>
      <w:bookmarkStart w:id="315" w:name="_Toc164608646"/>
      <w:r/>
      <w:bookmarkStart w:id="316" w:name="_Toc164608801"/>
      <w:r/>
      <w:bookmarkStart w:id="317" w:name="_Toc226337228"/>
      <w:r/>
      <w:bookmarkStart w:id="318" w:name="_Toc151193920"/>
      <w:r/>
      <w:bookmarkStart w:id="319" w:name="_Toc226965805"/>
      <w:r/>
      <w:bookmarkStart w:id="320" w:name="_Toc164229227"/>
      <w:r/>
      <w:bookmarkStart w:id="321" w:name="_Toc164351626"/>
      <w:r/>
      <w:bookmarkStart w:id="322" w:name="_Toc151190159"/>
      <w:r/>
      <w:bookmarkStart w:id="323" w:name="_Toc127161446"/>
      <w:r/>
      <w:bookmarkStart w:id="324" w:name="_Toc305158874"/>
      <w:r/>
      <w:bookmarkStart w:id="325" w:name="_Toc150774632"/>
      <w:r/>
      <w:bookmarkStart w:id="326" w:name="_Toc127151733"/>
      <w:r/>
      <w:bookmarkStart w:id="327" w:name="_Toc264969222"/>
      <w:r/>
      <w:bookmarkStart w:id="328" w:name="_Toc151193702"/>
      <w:r/>
      <w:bookmarkStart w:id="329" w:name="_Toc149720825"/>
      <w:r/>
      <w:bookmarkStart w:id="330" w:name="_Toc195842897"/>
      <w:r/>
      <w:bookmarkStart w:id="331" w:name="_Toc150774737"/>
      <w:r/>
      <w:bookmarkStart w:id="332" w:name="_Toc226965722"/>
      <w:r/>
      <w:bookmarkStart w:id="333" w:name="_Toc265228370"/>
      <w:r/>
      <w:bookmarkStart w:id="334" w:name="_Toc150509283"/>
      <w:r/>
      <w:bookmarkStart w:id="335" w:name="_Toc127151532"/>
      <w:r/>
      <w:bookmarkStart w:id="336" w:name="_Toc142311034"/>
      <w:r>
        <w:rPr>
          <w:rFonts w:ascii="宋体" w:hAnsi="宋体"/>
          <w:color w:val="000000"/>
          <w:sz w:val="22"/>
          <w:szCs w:val="22"/>
          <w:highlight w:val="none"/>
        </w:rPr>
        <w:t xml:space="preserve">投标有效期</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w:t>
      </w:r>
      <w:r>
        <w:rPr>
          <w:rFonts w:hint="eastAsia" w:ascii="宋体" w:hAnsi="宋体"/>
          <w:color w:val="000000"/>
          <w:sz w:val="22"/>
          <w:szCs w:val="22"/>
          <w:highlight w:val="none"/>
        </w:rPr>
        <w:t xml:space="preserve">文件</w:t>
      </w:r>
      <w:r>
        <w:rPr>
          <w:rFonts w:ascii="宋体" w:hAnsi="宋体"/>
          <w:color w:val="000000"/>
          <w:sz w:val="22"/>
          <w:szCs w:val="22"/>
          <w:highlight w:val="none"/>
        </w:rPr>
        <w:t xml:space="preserve">应在本招标文件《投标人须知资料表》中规定的投标有效期内保持有效，投标有效期少于招标文件规定期限的，其</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337" w:name="_Toc127161447"/>
      <w:r/>
      <w:bookmarkStart w:id="338" w:name="_Toc226965723"/>
      <w:r/>
      <w:bookmarkStart w:id="339" w:name="_Toc164229228"/>
      <w:r/>
      <w:bookmarkStart w:id="340" w:name="_Toc164608802"/>
      <w:r/>
      <w:bookmarkStart w:id="341" w:name="_Toc149720826"/>
      <w:r/>
      <w:bookmarkStart w:id="342" w:name="_Toc265228371"/>
      <w:r/>
      <w:bookmarkStart w:id="343" w:name="_Toc226965806"/>
      <w:r/>
      <w:bookmarkStart w:id="344" w:name="_Toc127151734"/>
      <w:r/>
      <w:bookmarkStart w:id="345" w:name="_Toc264969223"/>
      <w:r/>
      <w:bookmarkStart w:id="346" w:name="_Toc164608647"/>
      <w:r/>
      <w:bookmarkStart w:id="347" w:name="_Toc151190160"/>
      <w:r/>
      <w:bookmarkStart w:id="348" w:name="_Toc151193631"/>
      <w:r/>
      <w:bookmarkStart w:id="349" w:name="_Toc195842898"/>
      <w:r/>
      <w:bookmarkStart w:id="350" w:name="_Toc305158801"/>
      <w:r/>
      <w:bookmarkStart w:id="351" w:name="_Toc151193703"/>
      <w:r/>
      <w:bookmarkStart w:id="352" w:name="_Toc305158875"/>
      <w:r/>
      <w:bookmarkStart w:id="353" w:name="_Toc164351627"/>
      <w:r/>
      <w:bookmarkStart w:id="354" w:name="_Toc151193775"/>
      <w:r/>
      <w:bookmarkStart w:id="355" w:name="_Toc150774633"/>
      <w:r/>
      <w:bookmarkStart w:id="356" w:name="_Toc150480771"/>
      <w:r/>
      <w:bookmarkStart w:id="357" w:name="_Toc226337229"/>
      <w:r/>
      <w:bookmarkStart w:id="358" w:name="_Toc151193921"/>
      <w:r/>
      <w:bookmarkStart w:id="359" w:name="_Toc150774738"/>
      <w:r/>
      <w:bookmarkStart w:id="360" w:name="_Toc127151533"/>
      <w:r/>
      <w:bookmarkStart w:id="361" w:name="_Toc142311035"/>
      <w:r/>
      <w:bookmarkStart w:id="362" w:name="_Toc150509284"/>
      <w:r/>
      <w:bookmarkStart w:id="363" w:name="_Toc520356158"/>
      <w:r/>
      <w:bookmarkStart w:id="364" w:name="_Toc151193847"/>
      <w:r/>
      <w:bookmarkStart w:id="365" w:name="_Toc164229374"/>
      <w:r/>
      <w:bookmarkStart w:id="366" w:name="_Toc226309777"/>
      <w:r>
        <w:rPr>
          <w:rFonts w:ascii="宋体" w:hAnsi="宋体"/>
          <w:color w:val="000000"/>
          <w:sz w:val="22"/>
          <w:szCs w:val="22"/>
          <w:highlight w:val="none"/>
        </w:rPr>
        <w:t xml:space="preserve">投标文件的签署</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ascii="宋体" w:hAnsi="宋体"/>
          <w:color w:val="000000"/>
          <w:sz w:val="22"/>
          <w:szCs w:val="22"/>
          <w:highlight w:val="none"/>
        </w:rPr>
        <w:t xml:space="preserve">、加盖公章</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bookmarkStart w:id="367" w:name="_Toc151193704"/>
      <w:r/>
      <w:bookmarkStart w:id="368" w:name="_Toc151193632"/>
      <w:r/>
      <w:bookmarkStart w:id="369" w:name="_Toc142311036"/>
      <w:r/>
      <w:bookmarkStart w:id="370" w:name="_Toc151190161"/>
      <w:r/>
      <w:bookmarkStart w:id="371" w:name="_Toc264969224"/>
      <w:r/>
      <w:bookmarkStart w:id="372" w:name="_Toc305158802"/>
      <w:r/>
      <w:bookmarkStart w:id="373" w:name="_Toc150774634"/>
      <w:r/>
      <w:bookmarkStart w:id="374" w:name="_Toc127151534"/>
      <w:r/>
      <w:bookmarkStart w:id="375" w:name="_Toc226965807"/>
      <w:r/>
      <w:bookmarkStart w:id="376" w:name="_Toc150509285"/>
      <w:r/>
      <w:bookmarkStart w:id="377" w:name="_Toc226309778"/>
      <w:r/>
      <w:bookmarkStart w:id="378" w:name="_Toc150774739"/>
      <w:r/>
      <w:bookmarkStart w:id="379" w:name="_Toc151193922"/>
      <w:r/>
      <w:bookmarkStart w:id="380" w:name="_Toc226965724"/>
      <w:r/>
      <w:bookmarkStart w:id="381" w:name="_Toc150480772"/>
      <w:r/>
      <w:bookmarkStart w:id="382" w:name="_Toc265228372"/>
      <w:r/>
      <w:bookmarkStart w:id="383" w:name="_Toc151193776"/>
      <w:r/>
      <w:bookmarkStart w:id="384" w:name="_Toc520356159"/>
      <w:r/>
      <w:bookmarkStart w:id="385" w:name="_Toc195842899"/>
      <w:r/>
      <w:bookmarkStart w:id="386" w:name="_Toc151193848"/>
      <w:r/>
      <w:bookmarkStart w:id="387" w:name="_Toc226337230"/>
      <w:r/>
      <w:bookmarkStart w:id="388" w:name="_Toc305158876"/>
      <w:r>
        <w:rPr>
          <w:rFonts w:ascii="宋体" w:hAnsi="宋体"/>
          <w:color w:val="000000"/>
          <w:sz w:val="22"/>
          <w:szCs w:val="22"/>
          <w:highlight w:val="none"/>
        </w:rPr>
        <w:t xml:space="preserve">招标文件要求签字的内容（如授权委托书等），</w:t>
      </w:r>
      <w:r>
        <w:rPr>
          <w:rFonts w:hint="eastAsia" w:ascii="宋体" w:hAnsi="宋体"/>
          <w:color w:val="000000"/>
          <w:sz w:val="22"/>
          <w:szCs w:val="22"/>
          <w:highlight w:val="none"/>
        </w:rPr>
        <w:t xml:space="preserve">可以使用电子签章或使用原件的电子件（电子件指扫描件、照片等形式电子文件）；要求</w:t>
      </w:r>
      <w:r>
        <w:rPr>
          <w:rFonts w:ascii="宋体" w:hAnsi="宋体"/>
          <w:color w:val="000000"/>
          <w:sz w:val="22"/>
          <w:szCs w:val="22"/>
          <w:highlight w:val="none"/>
        </w:rPr>
        <w:t xml:space="preserve">第三方出具的加盖公章原件（如联合协议、分包意向协议、制造商授权书等），投标文件中应使用原件的电子件。</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ascii="宋体" w:hAnsi="宋体"/>
          <w:color w:val="000000"/>
          <w:sz w:val="22"/>
          <w:szCs w:val="22"/>
          <w:highlight w:val="none"/>
        </w:rPr>
        <w:t xml:space="preserve">招标文件要求加盖公章的内容，</w:t>
      </w:r>
      <w:r>
        <w:rPr>
          <w:rFonts w:hint="eastAsia" w:ascii="宋体" w:hAnsi="宋体"/>
          <w:color w:val="000000"/>
          <w:sz w:val="22"/>
          <w:szCs w:val="22"/>
          <w:highlight w:val="none"/>
        </w:rPr>
        <w:t xml:space="preserve">一般</w:t>
      </w:r>
      <w:r>
        <w:rPr>
          <w:rFonts w:ascii="宋体" w:hAnsi="宋体"/>
          <w:color w:val="000000"/>
          <w:sz w:val="22"/>
          <w:szCs w:val="22"/>
          <w:highlight w:val="none"/>
        </w:rPr>
        <w:t xml:space="preserve">通过投标文件编制工具加盖电子签章。</w:t>
      </w:r>
      <w:r>
        <w:rPr>
          <w:rFonts w:hint="eastAsia" w:ascii="宋体" w:hAnsi="宋体"/>
          <w:color w:val="000000"/>
          <w:sz w:val="22"/>
          <w:szCs w:val="22"/>
          <w:highlight w:val="none"/>
        </w:rPr>
      </w:r>
      <w:r/>
    </w:p>
    <w:p>
      <w:pPr>
        <w:pStyle w:val="908"/>
        <w:ind w:firstLine="56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 w:val="left" w:pos="900" w:leader="none"/>
        </w:tabs>
        <w:rPr>
          <w:color w:val="000000"/>
          <w:sz w:val="22"/>
          <w:szCs w:val="22"/>
          <w:highlight w:val="none"/>
        </w:rPr>
      </w:pPr>
      <w:r/>
      <w:bookmarkStart w:id="389" w:name="_Toc264969225"/>
      <w:r/>
      <w:bookmarkStart w:id="390" w:name="_Toc149720828"/>
      <w:r/>
      <w:bookmarkStart w:id="391" w:name="_Toc265228373"/>
      <w:r/>
      <w:bookmarkStart w:id="392" w:name="_Toc150480773"/>
      <w:r/>
      <w:bookmarkStart w:id="393" w:name="_Toc305158877"/>
      <w:r/>
      <w:bookmarkStart w:id="394" w:name="_Toc151190162"/>
      <w:r/>
      <w:bookmarkStart w:id="395" w:name="_Toc150774635"/>
      <w:r/>
      <w:bookmarkStart w:id="396" w:name="_Toc127161449"/>
      <w:r/>
      <w:bookmarkStart w:id="397" w:name="_Toc151193849"/>
      <w:r/>
      <w:bookmarkStart w:id="398" w:name="_Toc195842900"/>
      <w:r/>
      <w:bookmarkStart w:id="399" w:name="_Toc164229376"/>
      <w:r/>
      <w:bookmarkStart w:id="400" w:name="_Toc305158803"/>
      <w:r/>
      <w:bookmarkStart w:id="401" w:name="_Toc164229230"/>
      <w:r/>
      <w:bookmarkStart w:id="402" w:name="_Toc226965725"/>
      <w:r/>
      <w:bookmarkStart w:id="403" w:name="_Toc520356160"/>
      <w:r/>
      <w:bookmarkStart w:id="404" w:name="_Toc151193633"/>
      <w:r/>
      <w:bookmarkStart w:id="405" w:name="_Toc164608804"/>
      <w:r/>
      <w:bookmarkStart w:id="406" w:name="_Toc226965808"/>
      <w:r/>
      <w:bookmarkStart w:id="407" w:name="_Toc151193777"/>
      <w:r/>
      <w:bookmarkStart w:id="408" w:name="_Toc164608649"/>
      <w:r/>
      <w:bookmarkStart w:id="409" w:name="_Toc150509286"/>
      <w:r/>
      <w:bookmarkStart w:id="410" w:name="_Toc150774740"/>
      <w:r/>
      <w:bookmarkStart w:id="411" w:name="_Toc127151736"/>
      <w:r/>
      <w:bookmarkStart w:id="412" w:name="_Toc226309779"/>
      <w:r/>
      <w:bookmarkStart w:id="413" w:name="_Toc142311037"/>
      <w:r/>
      <w:bookmarkStart w:id="414" w:name="_Toc151193923"/>
      <w:r/>
      <w:bookmarkStart w:id="415" w:name="_Toc127151535"/>
      <w:r/>
      <w:bookmarkStart w:id="416" w:name="_Toc164351629"/>
      <w:r/>
      <w:bookmarkStart w:id="417" w:name="_Toc151193705"/>
      <w:r/>
      <w:bookmarkStart w:id="418" w:name="_Toc226337231"/>
      <w:r>
        <w:rPr>
          <w:color w:val="000000"/>
          <w:sz w:val="22"/>
          <w:szCs w:val="22"/>
          <w:highlight w:val="none"/>
        </w:rPr>
        <w:t xml:space="preserve">投标文件的</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color w:val="000000"/>
          <w:sz w:val="22"/>
          <w:szCs w:val="22"/>
          <w:highlight w:val="none"/>
        </w:rPr>
        <w:t xml:space="preserve">提交</w:t>
      </w:r>
      <w:r>
        <w:rPr>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color w:val="000000"/>
          <w:sz w:val="22"/>
          <w:szCs w:val="22"/>
          <w:highlight w:val="none"/>
        </w:rPr>
      </w:pPr>
      <w:r>
        <w:rPr>
          <w:color w:val="000000"/>
          <w:sz w:val="22"/>
          <w:szCs w:val="22"/>
          <w:highlight w:val="none"/>
        </w:rPr>
        <w:t xml:space="preserve">本项目使用</w:t>
      </w:r>
      <w:r>
        <w:rPr>
          <w:rFonts w:hint="eastAsia"/>
          <w:color w:val="000000"/>
          <w:sz w:val="22"/>
          <w:szCs w:val="22"/>
          <w:highlight w:val="none"/>
        </w:rPr>
        <w:t xml:space="preserve">“苏采云”政府采购一体化平台</w:t>
      </w:r>
      <w:r>
        <w:rPr>
          <w:color w:val="000000"/>
          <w:sz w:val="22"/>
          <w:szCs w:val="22"/>
          <w:highlight w:val="none"/>
        </w:rPr>
        <w:t xml:space="preserve">。投标人根据招标文件及</w:t>
      </w:r>
      <w:r>
        <w:rPr>
          <w:rFonts w:hint="eastAsia"/>
          <w:color w:val="000000"/>
          <w:sz w:val="22"/>
          <w:szCs w:val="22"/>
          <w:highlight w:val="none"/>
        </w:rPr>
        <w:t xml:space="preserve">“苏采云”政府采购一体化平台</w:t>
      </w:r>
      <w:r>
        <w:rPr>
          <w:color w:val="000000"/>
          <w:sz w:val="22"/>
          <w:szCs w:val="22"/>
          <w:highlight w:val="none"/>
        </w:rPr>
        <w:t xml:space="preserve">供应商操作手册要求编制、生成并提交电子投标文件。</w:t>
      </w:r>
      <w:r>
        <w:rPr>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color w:val="000000"/>
          <w:sz w:val="22"/>
          <w:szCs w:val="22"/>
          <w:highlight w:val="none"/>
        </w:rPr>
      </w:pPr>
      <w:r>
        <w:rPr>
          <w:color w:val="000000"/>
          <w:sz w:val="22"/>
          <w:szCs w:val="22"/>
          <w:highlight w:val="none"/>
        </w:rPr>
        <w:t xml:space="preserve">采购人及采购代理机构拒绝接受通过</w:t>
      </w:r>
      <w:r>
        <w:rPr>
          <w:rFonts w:hint="eastAsia"/>
          <w:color w:val="000000"/>
          <w:sz w:val="22"/>
          <w:szCs w:val="22"/>
          <w:highlight w:val="none"/>
        </w:rPr>
        <w:t xml:space="preserve">“苏采云”政府采购一体化平台</w:t>
      </w:r>
      <w:r>
        <w:rPr>
          <w:color w:val="000000"/>
          <w:sz w:val="22"/>
          <w:szCs w:val="22"/>
          <w:highlight w:val="none"/>
        </w:rPr>
        <w:t xml:space="preserve">以外任何形式提交的投标文件。</w:t>
      </w:r>
      <w:r>
        <w:rPr>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color w:val="000000"/>
          <w:sz w:val="22"/>
          <w:szCs w:val="22"/>
          <w:highlight w:val="none"/>
        </w:rPr>
      </w:pPr>
      <w:r/>
      <w:bookmarkStart w:id="419" w:name="_Toc151193924"/>
      <w:r/>
      <w:bookmarkStart w:id="420" w:name="_Toc226337232"/>
      <w:r/>
      <w:bookmarkStart w:id="421" w:name="_Toc520356161"/>
      <w:r/>
      <w:bookmarkStart w:id="422" w:name="_Toc127151536"/>
      <w:r/>
      <w:bookmarkStart w:id="423" w:name="_Toc151193778"/>
      <w:r/>
      <w:bookmarkStart w:id="424" w:name="_Toc151193634"/>
      <w:r/>
      <w:bookmarkStart w:id="425" w:name="_Toc164608650"/>
      <w:r/>
      <w:bookmarkStart w:id="426" w:name="_Toc149720829"/>
      <w:r/>
      <w:bookmarkStart w:id="427" w:name="_Toc151190163"/>
      <w:r/>
      <w:bookmarkStart w:id="428" w:name="_Toc226965726"/>
      <w:r/>
      <w:bookmarkStart w:id="429" w:name="_Toc142311038"/>
      <w:r/>
      <w:bookmarkStart w:id="430" w:name="_Toc150480774"/>
      <w:r/>
      <w:bookmarkStart w:id="431" w:name="_Toc164229231"/>
      <w:r/>
      <w:bookmarkStart w:id="432" w:name="_Toc164229377"/>
      <w:r/>
      <w:bookmarkStart w:id="433" w:name="_Toc264969226"/>
      <w:r/>
      <w:bookmarkStart w:id="434" w:name="_Toc151193850"/>
      <w:r/>
      <w:bookmarkStart w:id="435" w:name="_Toc151193706"/>
      <w:r/>
      <w:bookmarkStart w:id="436" w:name="_Toc150774636"/>
      <w:r/>
      <w:bookmarkStart w:id="437" w:name="_Toc164351630"/>
      <w:r/>
      <w:bookmarkStart w:id="438" w:name="_Toc265228374"/>
      <w:r/>
      <w:bookmarkStart w:id="439" w:name="_Toc150774741"/>
      <w:r/>
      <w:bookmarkStart w:id="440" w:name="_Toc164608805"/>
      <w:r/>
      <w:bookmarkStart w:id="441" w:name="_Toc150509287"/>
      <w:r/>
      <w:bookmarkStart w:id="442" w:name="_Toc305158804"/>
      <w:r/>
      <w:bookmarkStart w:id="443" w:name="_Toc127161450"/>
      <w:r/>
      <w:bookmarkStart w:id="444" w:name="_Toc305158878"/>
      <w:r/>
      <w:bookmarkStart w:id="445" w:name="_Toc127151737"/>
      <w:r/>
      <w:bookmarkStart w:id="446" w:name="_Toc195842901"/>
      <w:r/>
      <w:bookmarkStart w:id="447" w:name="_Toc226965809"/>
      <w:r/>
      <w:bookmarkStart w:id="448" w:name="_Toc226309780"/>
      <w:r>
        <w:rPr>
          <w:color w:val="000000"/>
          <w:sz w:val="22"/>
          <w:szCs w:val="22"/>
          <w:highlight w:val="none"/>
        </w:rPr>
        <w:t xml:space="preserve">投标截止</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color w:val="000000"/>
          <w:sz w:val="22"/>
          <w:szCs w:val="22"/>
          <w:highlight w:val="none"/>
        </w:rPr>
        <w:t xml:space="preserve">时间</w:t>
      </w:r>
      <w:r>
        <w:rPr>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color w:val="000000"/>
          <w:sz w:val="22"/>
          <w:szCs w:val="22"/>
          <w:highlight w:val="none"/>
        </w:rPr>
      </w:pPr>
      <w:r>
        <w:rPr>
          <w:color w:val="000000"/>
          <w:sz w:val="22"/>
          <w:szCs w:val="22"/>
          <w:highlight w:val="none"/>
        </w:rPr>
        <w:t xml:space="preserve">投标人应在招标文件要求提交投标文件截止时间前，将电子投标文件提交至</w:t>
      </w:r>
      <w:r>
        <w:rPr>
          <w:rFonts w:hint="eastAsia"/>
          <w:color w:val="000000"/>
          <w:sz w:val="22"/>
          <w:szCs w:val="22"/>
          <w:highlight w:val="none"/>
        </w:rPr>
        <w:t xml:space="preserve">“苏采云”政府采购一体化平台</w:t>
      </w:r>
      <w:r>
        <w:rPr>
          <w:color w:val="000000"/>
          <w:sz w:val="22"/>
          <w:szCs w:val="22"/>
          <w:highlight w:val="none"/>
        </w:rPr>
        <w:t xml:space="preserve">。</w:t>
      </w:r>
      <w:r>
        <w:rPr>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color w:val="000000"/>
          <w:sz w:val="22"/>
          <w:szCs w:val="22"/>
          <w:highlight w:val="none"/>
        </w:rPr>
      </w:pPr>
      <w:r/>
      <w:bookmarkStart w:id="449" w:name="_Toc150480775"/>
      <w:r/>
      <w:bookmarkStart w:id="450" w:name="_Toc264969227"/>
      <w:r/>
      <w:bookmarkStart w:id="451" w:name="_Toc149720830"/>
      <w:r/>
      <w:bookmarkStart w:id="452" w:name="_Toc226965727"/>
      <w:r/>
      <w:bookmarkStart w:id="453" w:name="_Toc127151738"/>
      <w:r/>
      <w:bookmarkStart w:id="454" w:name="_Toc164229378"/>
      <w:r/>
      <w:bookmarkStart w:id="455" w:name="_Toc151193779"/>
      <w:r/>
      <w:bookmarkStart w:id="456" w:name="_Toc127161451"/>
      <w:r/>
      <w:bookmarkStart w:id="457" w:name="_Toc151193925"/>
      <w:r/>
      <w:bookmarkStart w:id="458" w:name="_Toc164608806"/>
      <w:r/>
      <w:bookmarkStart w:id="459" w:name="_Toc150509288"/>
      <w:r/>
      <w:bookmarkStart w:id="460" w:name="_Toc142311039"/>
      <w:r/>
      <w:bookmarkStart w:id="461" w:name="_Toc151193635"/>
      <w:r/>
      <w:bookmarkStart w:id="462" w:name="_Toc150774637"/>
      <w:r/>
      <w:bookmarkStart w:id="463" w:name="_Toc305158805"/>
      <w:r/>
      <w:bookmarkStart w:id="464" w:name="_Toc265228375"/>
      <w:r/>
      <w:bookmarkStart w:id="465" w:name="_Toc151190164"/>
      <w:r/>
      <w:bookmarkStart w:id="466" w:name="_Toc226309781"/>
      <w:r/>
      <w:bookmarkStart w:id="467" w:name="_Toc151193851"/>
      <w:r/>
      <w:bookmarkStart w:id="468" w:name="_Toc150774742"/>
      <w:r/>
      <w:bookmarkStart w:id="469" w:name="_Toc520356162"/>
      <w:r/>
      <w:bookmarkStart w:id="470" w:name="_Toc151193707"/>
      <w:r/>
      <w:bookmarkStart w:id="471" w:name="_Toc164351631"/>
      <w:r/>
      <w:bookmarkStart w:id="472" w:name="_Toc226965810"/>
      <w:r/>
      <w:bookmarkStart w:id="473" w:name="_Toc226337233"/>
      <w:r/>
      <w:bookmarkStart w:id="474" w:name="_Toc195842902"/>
      <w:r/>
      <w:bookmarkStart w:id="475" w:name="_Toc127151537"/>
      <w:r/>
      <w:bookmarkStart w:id="476" w:name="_Toc164608651"/>
      <w:r/>
      <w:bookmarkStart w:id="477" w:name="_Toc164229232"/>
      <w:r/>
      <w:bookmarkStart w:id="478" w:name="_Toc305158879"/>
      <w:r>
        <w:rPr>
          <w:color w:val="000000"/>
          <w:sz w:val="22"/>
          <w:szCs w:val="22"/>
          <w:highlight w:val="none"/>
        </w:rPr>
        <w:t xml:space="preserve">投标文件的修改与撤回</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color w:val="000000"/>
          <w:sz w:val="22"/>
          <w:szCs w:val="22"/>
          <w:highlight w:val="none"/>
        </w:rPr>
      </w:pPr>
      <w:r>
        <w:rPr>
          <w:color w:val="000000"/>
          <w:sz w:val="22"/>
          <w:szCs w:val="22"/>
          <w:highlight w:val="none"/>
        </w:rPr>
        <w:t xml:space="preserve">投标截止时间前，投标人可以通过</w:t>
      </w:r>
      <w:r>
        <w:rPr>
          <w:rFonts w:hint="eastAsia"/>
          <w:color w:val="000000"/>
          <w:sz w:val="22"/>
          <w:szCs w:val="22"/>
          <w:highlight w:val="none"/>
        </w:rPr>
        <w:t xml:space="preserve">“苏采云”政府采购一体化平台</w:t>
      </w:r>
      <w:r>
        <w:rPr>
          <w:color w:val="000000"/>
          <w:sz w:val="22"/>
          <w:szCs w:val="22"/>
          <w:highlight w:val="none"/>
        </w:rPr>
        <w:t xml:space="preserve">对所提交的投标文件进行补充、修改或者撤回。</w:t>
      </w:r>
      <w:r>
        <w:rPr>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color w:val="000000"/>
          <w:sz w:val="22"/>
          <w:szCs w:val="22"/>
          <w:highlight w:val="none"/>
        </w:rPr>
      </w:pPr>
      <w:r>
        <w:rPr>
          <w:color w:val="000000"/>
          <w:sz w:val="22"/>
          <w:szCs w:val="22"/>
          <w:highlight w:val="none"/>
        </w:rPr>
        <w:t xml:space="preserve">投标人对投标文件的补充、修改的内容应当按照招标文件要求签署、加盖公章，作为投标文件的组成部分。</w:t>
      </w:r>
      <w:r>
        <w:rPr>
          <w:rFonts w:hint="eastAsia"/>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color w:val="000000"/>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在投标截止时间至招标文件中规定的投标有效期满之间的这段时间内，投标人不得撤回其投标。</w:t>
      </w:r>
      <w:r>
        <w:rPr>
          <w:rFonts w:hint="eastAsia"/>
          <w:color w:val="000000"/>
          <w:highlight w:val="none"/>
          <w:lang w:val="en-US" w:eastAsia="zh-CN"/>
        </w:rPr>
      </w:r>
      <w:r/>
    </w:p>
    <w:p>
      <w:pPr>
        <w:pStyle w:val="908"/>
        <w:spacing w:before="0" w:line="360" w:lineRule="auto"/>
        <w:rPr>
          <w:rFonts w:ascii="Times New Roman" w:hAnsi="Times New Roman" w:eastAsia="宋体"/>
          <w:color w:val="000000"/>
          <w:sz w:val="28"/>
          <w:highlight w:val="none"/>
        </w:rPr>
      </w:pPr>
      <w:r/>
      <w:bookmarkStart w:id="479" w:name="_Toc151193708"/>
      <w:r/>
      <w:bookmarkStart w:id="480" w:name="_Toc226309782"/>
      <w:r/>
      <w:bookmarkStart w:id="481" w:name="_Toc226965728"/>
      <w:r/>
      <w:bookmarkStart w:id="482" w:name="_Toc305158806"/>
      <w:r/>
      <w:bookmarkStart w:id="483" w:name="_Toc226965811"/>
      <w:r/>
      <w:bookmarkStart w:id="484" w:name="_Toc150774743"/>
      <w:r/>
      <w:bookmarkStart w:id="485" w:name="_Toc226337234"/>
      <w:r/>
      <w:bookmarkStart w:id="486" w:name="_Toc151190165"/>
      <w:r/>
      <w:bookmarkStart w:id="487" w:name="_Toc127151538"/>
      <w:r/>
      <w:bookmarkStart w:id="488" w:name="_Toc150509289"/>
      <w:r/>
      <w:bookmarkStart w:id="489" w:name="_Toc150480776"/>
      <w:r/>
      <w:bookmarkStart w:id="490" w:name="_Toc151193780"/>
      <w:r/>
      <w:bookmarkStart w:id="491" w:name="_Toc305158880"/>
      <w:r/>
      <w:bookmarkStart w:id="492" w:name="_Toc265228376"/>
      <w:r/>
      <w:bookmarkStart w:id="493" w:name="_Toc151193636"/>
      <w:r/>
      <w:bookmarkStart w:id="494" w:name="_Toc520356163"/>
      <w:r/>
      <w:bookmarkStart w:id="495" w:name="_Toc151193926"/>
      <w:r/>
      <w:bookmarkStart w:id="496" w:name="_Toc151193852"/>
      <w:r/>
      <w:bookmarkStart w:id="497" w:name="_Toc195842903"/>
      <w:r/>
      <w:bookmarkStart w:id="498" w:name="_Toc264969228"/>
      <w:r/>
      <w:bookmarkStart w:id="499" w:name="_Toc150774638"/>
      <w:r/>
      <w:bookmarkStart w:id="500" w:name="_Toc142311040"/>
      <w:r>
        <w:rPr>
          <w:rFonts w:ascii="Times New Roman" w:hAnsi="Times New Roman" w:eastAsia="宋体"/>
          <w:color w:val="000000"/>
          <w:sz w:val="28"/>
          <w:highlight w:val="none"/>
        </w:rPr>
        <w:t xml:space="preserve">五   开标、资格审查及评标</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501" w:name="_Toc149720832"/>
      <w:r/>
      <w:bookmarkStart w:id="502" w:name="_Toc305158807"/>
      <w:r/>
      <w:bookmarkStart w:id="503" w:name="_Toc195842904"/>
      <w:r/>
      <w:bookmarkStart w:id="504" w:name="_Toc151193709"/>
      <w:r/>
      <w:bookmarkStart w:id="505" w:name="_Toc151193781"/>
      <w:r/>
      <w:bookmarkStart w:id="506" w:name="_Toc127151539"/>
      <w:r/>
      <w:bookmarkStart w:id="507" w:name="_Toc226965812"/>
      <w:r/>
      <w:bookmarkStart w:id="508" w:name="_Toc264969229"/>
      <w:r/>
      <w:bookmarkStart w:id="509" w:name="_Toc150480777"/>
      <w:r/>
      <w:bookmarkStart w:id="510" w:name="_Toc265228377"/>
      <w:r/>
      <w:bookmarkStart w:id="511" w:name="_Toc151193927"/>
      <w:r/>
      <w:bookmarkStart w:id="512" w:name="_Toc151193637"/>
      <w:r/>
      <w:bookmarkStart w:id="513" w:name="_Toc151190166"/>
      <w:r/>
      <w:bookmarkStart w:id="514" w:name="_Toc127151740"/>
      <w:r/>
      <w:bookmarkStart w:id="515" w:name="_Toc150774744"/>
      <w:r/>
      <w:bookmarkStart w:id="516" w:name="_Toc142311041"/>
      <w:r/>
      <w:bookmarkStart w:id="517" w:name="_Toc226337235"/>
      <w:r/>
      <w:bookmarkStart w:id="518" w:name="_Toc164229380"/>
      <w:r/>
      <w:bookmarkStart w:id="519" w:name="_Toc226309783"/>
      <w:r/>
      <w:bookmarkStart w:id="520" w:name="_Toc150774639"/>
      <w:r/>
      <w:bookmarkStart w:id="521" w:name="_Toc164608808"/>
      <w:r/>
      <w:bookmarkStart w:id="522" w:name="_Toc164351633"/>
      <w:r/>
      <w:bookmarkStart w:id="523" w:name="_Toc520356164"/>
      <w:r/>
      <w:bookmarkStart w:id="524" w:name="_Toc151193853"/>
      <w:r/>
      <w:bookmarkStart w:id="525" w:name="_Toc127161453"/>
      <w:r/>
      <w:bookmarkStart w:id="526" w:name="_Toc150509290"/>
      <w:r/>
      <w:bookmarkStart w:id="527" w:name="_Toc305158881"/>
      <w:r/>
      <w:bookmarkStart w:id="528" w:name="_Toc164229234"/>
      <w:r/>
      <w:bookmarkStart w:id="529" w:name="_Toc226965729"/>
      <w:r/>
      <w:bookmarkStart w:id="530" w:name="_Toc164608653"/>
      <w:r>
        <w:rPr>
          <w:rFonts w:ascii="宋体" w:hAnsi="宋体"/>
          <w:color w:val="000000"/>
          <w:sz w:val="22"/>
          <w:szCs w:val="22"/>
          <w:highlight w:val="none"/>
        </w:rPr>
        <w:t xml:space="preserve">开标</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采购人或采购代理机构将按招标文件的规定，在投标截止时间的同一时间和招标文件预先确定的地点组织开标。</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本项目开标采用不见面招投标模式</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使用</w:t>
      </w:r>
      <w:r>
        <w:rPr>
          <w:rFonts w:hint="eastAsia" w:ascii="宋体" w:hAnsi="宋体"/>
          <w:color w:val="000000"/>
          <w:sz w:val="22"/>
          <w:szCs w:val="22"/>
          <w:highlight w:val="none"/>
        </w:rPr>
        <w:t xml:space="preserve">“苏采云”政府采购一体化平台在线进行开标</w:t>
      </w:r>
      <w:r>
        <w:rPr>
          <w:rFonts w:ascii="宋体" w:hAnsi="宋体"/>
          <w:color w:val="000000"/>
          <w:sz w:val="22"/>
          <w:szCs w:val="22"/>
          <w:highlight w:val="none"/>
        </w:rPr>
        <w:t xml:space="preserve">。投标人应在规定的时间内对投标文件进行解密，因非系统原因导致的解密失败，视为</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开标过程将使用</w:t>
      </w:r>
      <w:r>
        <w:rPr>
          <w:rFonts w:hint="eastAsia" w:ascii="宋体" w:hAnsi="宋体"/>
          <w:color w:val="000000"/>
          <w:sz w:val="22"/>
          <w:szCs w:val="22"/>
          <w:highlight w:val="none"/>
        </w:rPr>
        <w:t xml:space="preserve">“苏采云”政府采购一体化平台公</w:t>
      </w:r>
      <w:r>
        <w:rPr>
          <w:rFonts w:ascii="宋体" w:hAnsi="宋体"/>
          <w:color w:val="000000"/>
          <w:sz w:val="22"/>
          <w:szCs w:val="22"/>
          <w:highlight w:val="none"/>
        </w:rPr>
        <w:t xml:space="preserve">布投标人名称、投标价格和招标文件规定的需要宣布的其他内容并进行记录，并由参加开标的各投标人代表</w:t>
      </w:r>
      <w:r>
        <w:rPr>
          <w:rFonts w:hint="eastAsia" w:ascii="宋体" w:hAnsi="宋体"/>
          <w:color w:val="000000"/>
          <w:sz w:val="22"/>
          <w:szCs w:val="22"/>
          <w:highlight w:val="none"/>
        </w:rPr>
        <w:t xml:space="preserve">在规定时间内</w:t>
      </w:r>
      <w:r>
        <w:rPr>
          <w:rFonts w:ascii="宋体" w:hAnsi="宋体"/>
          <w:color w:val="000000"/>
          <w:sz w:val="22"/>
          <w:szCs w:val="22"/>
          <w:highlight w:val="none"/>
        </w:rPr>
        <w:t xml:space="preserve">确认</w:t>
      </w:r>
      <w:bookmarkStart w:id="531" w:name="_Toc520356165"/>
      <w:r>
        <w:rPr>
          <w:rFonts w:hint="eastAsia" w:ascii="宋体" w:hAnsi="宋体"/>
          <w:color w:val="000000"/>
          <w:sz w:val="22"/>
          <w:szCs w:val="22"/>
          <w:highlight w:val="none"/>
        </w:rPr>
        <w:t xml:space="preserve">。投标人超过规定时间未确认但是未提出疑义的，系统将视同已确认</w:t>
      </w:r>
      <w:r>
        <w:rPr>
          <w:rFonts w:ascii="宋体" w:hAnsi="宋体"/>
          <w:color w:val="000000"/>
          <w:sz w:val="22"/>
          <w:szCs w:val="22"/>
          <w:highlight w:val="none"/>
        </w:rPr>
        <w:t xml:space="preserve">。</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2"/>
          <w:szCs w:val="22"/>
          <w:highlight w:val="none"/>
        </w:rPr>
        <w:t xml:space="preserve">通过“苏采云”政府采购一体化平台</w:t>
      </w:r>
      <w:r>
        <w:rPr>
          <w:rFonts w:ascii="宋体" w:hAnsi="宋体"/>
          <w:color w:val="000000"/>
          <w:sz w:val="22"/>
          <w:szCs w:val="22"/>
          <w:highlight w:val="none"/>
        </w:rPr>
        <w:t xml:space="preserve">提出询问或者回避申请。采购人、采购代理机构对投标人代表提出的询问或者回避申请将及时处理。</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ascii="宋体" w:hAnsi="宋体"/>
          <w:color w:val="000000"/>
          <w:sz w:val="22"/>
          <w:szCs w:val="22"/>
          <w:highlight w:val="none"/>
        </w:rPr>
        <w:t xml:space="preserve">投标人不足3家的，不予开标。</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投标人须在开标前使用“验证CA”功能验证本地计算机的控件环境是否正常，并且在开标</w:t>
      </w:r>
      <w:r>
        <w:rPr>
          <w:rFonts w:hint="eastAsia" w:ascii="宋体" w:hAnsi="宋体"/>
          <w:color w:val="000000"/>
          <w:sz w:val="22"/>
          <w:szCs w:val="22"/>
          <w:highlight w:val="none"/>
        </w:rPr>
        <w:t xml:space="preserve">评审</w:t>
      </w:r>
      <w:r>
        <w:rPr>
          <w:rFonts w:ascii="宋体" w:hAnsi="宋体"/>
          <w:color w:val="000000"/>
          <w:sz w:val="22"/>
          <w:szCs w:val="22"/>
          <w:highlight w:val="none"/>
        </w:rPr>
        <w:t xml:space="preserve">过程中不可随意更换</w:t>
      </w:r>
      <w:r>
        <w:rPr>
          <w:rFonts w:hint="eastAsia" w:ascii="宋体" w:hAnsi="宋体"/>
          <w:color w:val="000000"/>
          <w:sz w:val="22"/>
          <w:szCs w:val="22"/>
          <w:highlight w:val="none"/>
        </w:rPr>
        <w:t xml:space="preserve">计算机</w:t>
      </w:r>
      <w:r>
        <w:rPr>
          <w:rFonts w:ascii="宋体" w:hAnsi="宋体"/>
          <w:color w:val="000000"/>
          <w:sz w:val="22"/>
          <w:szCs w:val="22"/>
          <w:highlight w:val="none"/>
        </w:rPr>
        <w:t xml:space="preserve">，必须使用验证成功的计算机进行操作，否则造成相应后果由投标</w:t>
      </w:r>
      <w:r>
        <w:rPr>
          <w:rFonts w:hint="eastAsia" w:ascii="宋体" w:hAnsi="宋体"/>
          <w:color w:val="000000"/>
          <w:sz w:val="22"/>
          <w:szCs w:val="22"/>
          <w:highlight w:val="none"/>
        </w:rPr>
        <w:t xml:space="preserve">人</w:t>
      </w:r>
      <w:r>
        <w:rPr>
          <w:rFonts w:ascii="宋体" w:hAnsi="宋体"/>
          <w:color w:val="000000"/>
          <w:sz w:val="22"/>
          <w:szCs w:val="22"/>
          <w:highlight w:val="none"/>
        </w:rPr>
        <w:t xml:space="preserve">自行承担。本地计算机</w:t>
      </w:r>
      <w:r>
        <w:rPr>
          <w:rFonts w:hint="eastAsia" w:ascii="宋体" w:hAnsi="宋体"/>
          <w:color w:val="000000"/>
          <w:sz w:val="22"/>
          <w:szCs w:val="22"/>
          <w:highlight w:val="none"/>
        </w:rPr>
        <w:t xml:space="preserve">要求安装摄像头、麦克风和音箱，保持网络通畅。</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因本项目</w:t>
      </w:r>
      <w:r>
        <w:rPr>
          <w:rFonts w:ascii="宋体" w:hAnsi="宋体"/>
          <w:color w:val="000000"/>
          <w:sz w:val="22"/>
          <w:szCs w:val="22"/>
          <w:highlight w:val="none"/>
        </w:rPr>
        <w:t xml:space="preserve">采用不见面交易的</w:t>
      </w:r>
      <w:r>
        <w:rPr>
          <w:rFonts w:hint="eastAsia" w:ascii="宋体" w:hAnsi="宋体"/>
          <w:color w:val="000000"/>
          <w:sz w:val="22"/>
          <w:szCs w:val="22"/>
          <w:highlight w:val="none"/>
        </w:rPr>
        <w:t xml:space="preserve">方式</w:t>
      </w:r>
      <w:r>
        <w:rPr>
          <w:rFonts w:ascii="宋体" w:hAnsi="宋体"/>
          <w:color w:val="000000"/>
          <w:sz w:val="22"/>
          <w:szCs w:val="22"/>
          <w:highlight w:val="none"/>
        </w:rPr>
        <w:t xml:space="preserve">，在</w:t>
      </w:r>
      <w:r>
        <w:rPr>
          <w:rFonts w:hint="eastAsia" w:ascii="宋体" w:hAnsi="宋体"/>
          <w:color w:val="000000"/>
          <w:sz w:val="22"/>
          <w:szCs w:val="22"/>
          <w:highlight w:val="none"/>
        </w:rPr>
        <w:t xml:space="preserve">开标、评审</w:t>
      </w:r>
      <w:r>
        <w:rPr>
          <w:rFonts w:ascii="宋体" w:hAnsi="宋体"/>
          <w:color w:val="000000"/>
          <w:sz w:val="22"/>
          <w:szCs w:val="22"/>
          <w:highlight w:val="none"/>
        </w:rPr>
        <w:t xml:space="preserve">过程中，</w:t>
      </w:r>
      <w:r>
        <w:rPr>
          <w:rFonts w:hint="eastAsia" w:ascii="宋体" w:hAnsi="宋体"/>
          <w:color w:val="000000"/>
          <w:sz w:val="22"/>
          <w:szCs w:val="22"/>
          <w:highlight w:val="none"/>
        </w:rPr>
        <w:t xml:space="preserve">供应商</w:t>
      </w:r>
      <w:r>
        <w:rPr>
          <w:rFonts w:ascii="宋体" w:hAnsi="宋体"/>
          <w:color w:val="000000"/>
          <w:sz w:val="22"/>
          <w:szCs w:val="22"/>
          <w:highlight w:val="none"/>
        </w:rPr>
        <w:t xml:space="preserve">需</w:t>
      </w:r>
      <w:r>
        <w:rPr>
          <w:rFonts w:hint="eastAsia" w:ascii="宋体" w:hAnsi="宋体"/>
          <w:color w:val="000000"/>
          <w:sz w:val="22"/>
          <w:szCs w:val="22"/>
          <w:highlight w:val="none"/>
        </w:rPr>
        <w:t xml:space="preserve">要</w:t>
      </w:r>
      <w:r>
        <w:rPr>
          <w:rFonts w:ascii="宋体" w:hAnsi="宋体"/>
          <w:color w:val="000000"/>
          <w:sz w:val="22"/>
          <w:szCs w:val="22"/>
          <w:highlight w:val="none"/>
        </w:rPr>
        <w:t xml:space="preserve">保持操作计算机前有相关责任人</w:t>
      </w:r>
      <w:r>
        <w:rPr>
          <w:rFonts w:hint="eastAsia" w:ascii="宋体" w:hAnsi="宋体"/>
          <w:color w:val="000000"/>
          <w:sz w:val="22"/>
          <w:szCs w:val="22"/>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如果在</w:t>
      </w:r>
      <w:r>
        <w:rPr>
          <w:rFonts w:ascii="宋体" w:hAnsi="宋体"/>
          <w:color w:val="000000"/>
          <w:sz w:val="22"/>
          <w:szCs w:val="22"/>
          <w:highlight w:val="none"/>
        </w:rPr>
        <w:t xml:space="preserve">采购</w:t>
      </w:r>
      <w:r>
        <w:rPr>
          <w:rFonts w:hint="eastAsia" w:ascii="宋体" w:hAnsi="宋体"/>
          <w:color w:val="000000"/>
          <w:sz w:val="22"/>
          <w:szCs w:val="22"/>
          <w:highlight w:val="none"/>
        </w:rPr>
        <w:t xml:space="preserve">活动</w:t>
      </w:r>
      <w:r>
        <w:rPr>
          <w:rFonts w:ascii="宋体" w:hAnsi="宋体"/>
          <w:color w:val="000000"/>
          <w:sz w:val="22"/>
          <w:szCs w:val="22"/>
          <w:highlight w:val="none"/>
        </w:rPr>
        <w:t xml:space="preserve">过程中出现以下情形，导致</w:t>
      </w:r>
      <w:r>
        <w:rPr>
          <w:rFonts w:hint="eastAsia" w:ascii="宋体" w:hAnsi="宋体"/>
          <w:color w:val="000000"/>
          <w:sz w:val="22"/>
          <w:szCs w:val="22"/>
          <w:highlight w:val="none"/>
        </w:rPr>
        <w:t xml:space="preserve">“苏采云”政府采购一体化平台系统</w:t>
      </w:r>
      <w:r>
        <w:rPr>
          <w:rFonts w:ascii="宋体" w:hAnsi="宋体"/>
          <w:color w:val="000000"/>
          <w:sz w:val="22"/>
          <w:szCs w:val="22"/>
          <w:highlight w:val="none"/>
        </w:rPr>
        <w:t xml:space="preserve">无法正常运行，或者无法保证</w:t>
      </w:r>
      <w:r>
        <w:rPr>
          <w:rFonts w:hint="eastAsia" w:ascii="宋体" w:hAnsi="宋体"/>
          <w:color w:val="000000"/>
          <w:sz w:val="22"/>
          <w:szCs w:val="22"/>
          <w:highlight w:val="none"/>
        </w:rPr>
        <w:t xml:space="preserve">本项目采购活动</w:t>
      </w:r>
      <w:r>
        <w:rPr>
          <w:rFonts w:ascii="宋体" w:hAnsi="宋体"/>
          <w:color w:val="000000"/>
          <w:sz w:val="22"/>
          <w:szCs w:val="22"/>
          <w:highlight w:val="none"/>
        </w:rPr>
        <w:t xml:space="preserve">的公平、公正和安全时，</w:t>
      </w:r>
      <w:r>
        <w:rPr>
          <w:rFonts w:hint="eastAsia" w:ascii="宋体" w:hAnsi="宋体"/>
          <w:color w:val="000000"/>
          <w:sz w:val="22"/>
          <w:szCs w:val="22"/>
          <w:highlight w:val="none"/>
        </w:rPr>
        <w:t xml:space="preserve">代理机构</w:t>
      </w:r>
      <w:r>
        <w:rPr>
          <w:rFonts w:ascii="宋体" w:hAnsi="宋体"/>
          <w:color w:val="000000"/>
          <w:sz w:val="22"/>
          <w:szCs w:val="22"/>
          <w:highlight w:val="none"/>
        </w:rPr>
        <w:t xml:space="preserve">可</w:t>
      </w:r>
      <w:r>
        <w:rPr>
          <w:rFonts w:hint="eastAsia" w:ascii="宋体" w:hAnsi="宋体"/>
          <w:color w:val="000000"/>
          <w:sz w:val="22"/>
          <w:szCs w:val="22"/>
          <w:highlight w:val="none"/>
        </w:rPr>
        <w:t xml:space="preserve">以延缓或者暂停采购活动，情况严重的可以终止采购</w:t>
      </w:r>
      <w:r>
        <w:rPr>
          <w:rFonts w:ascii="宋体" w:hAnsi="宋体"/>
          <w:color w:val="000000"/>
          <w:sz w:val="22"/>
          <w:szCs w:val="22"/>
          <w:highlight w:val="none"/>
        </w:rPr>
        <w:t xml:space="preserve">活动：</w:t>
      </w:r>
      <w:r>
        <w:rPr>
          <w:rFonts w:hint="eastAsia" w:ascii="宋体" w:hAnsi="宋体" w:eastAsia="宋体" w:cs="Times New Roman"/>
          <w:color w:val="000000"/>
          <w:sz w:val="22"/>
          <w:szCs w:val="22"/>
          <w:highlight w:val="none"/>
        </w:rPr>
      </w:r>
      <w:r/>
    </w:p>
    <w:p>
      <w:pPr>
        <w:pStyle w:val="906"/>
        <w:numPr>
          <w:ilvl w:val="0"/>
          <w:numId w:val="0"/>
        </w:numPr>
        <w:spacing w:line="360" w:lineRule="auto"/>
        <w:tabs>
          <w:tab w:val="left" w:pos="1080"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1)平台系统发生故障而无法登录访问的；</w:t>
      </w:r>
      <w:r>
        <w:rPr>
          <w:rFonts w:hint="eastAsia" w:ascii="宋体" w:hAnsi="宋体" w:eastAsia="宋体" w:cs="Times New Roman"/>
          <w:color w:val="000000"/>
          <w:sz w:val="22"/>
          <w:szCs w:val="22"/>
          <w:highlight w:val="none"/>
        </w:rPr>
      </w:r>
      <w:r/>
    </w:p>
    <w:p>
      <w:pPr>
        <w:pStyle w:val="906"/>
        <w:ind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平台</w:t>
      </w:r>
      <w:r>
        <w:rPr>
          <w:rFonts w:hint="eastAsia" w:ascii="宋体" w:hAnsi="宋体"/>
          <w:color w:val="000000"/>
          <w:sz w:val="22"/>
          <w:szCs w:val="22"/>
          <w:highlight w:val="none"/>
        </w:rPr>
        <w:t xml:space="preserve">系统</w:t>
      </w:r>
      <w:r>
        <w:rPr>
          <w:rFonts w:ascii="宋体" w:hAnsi="宋体"/>
          <w:color w:val="000000"/>
          <w:sz w:val="22"/>
          <w:szCs w:val="22"/>
          <w:highlight w:val="none"/>
        </w:rPr>
        <w:t xml:space="preserve">应用或数据库出现错误，不能进行正常操作的；</w:t>
      </w:r>
      <w:r>
        <w:rPr>
          <w:rFonts w:ascii="宋体" w:hAnsi="宋体"/>
          <w:color w:val="000000"/>
          <w:sz w:val="22"/>
          <w:szCs w:val="22"/>
          <w:highlight w:val="none"/>
        </w:rPr>
      </w:r>
      <w:r/>
    </w:p>
    <w:p>
      <w:pPr>
        <w:pStyle w:val="906"/>
        <w:ind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平台</w:t>
      </w:r>
      <w:r>
        <w:rPr>
          <w:rFonts w:hint="eastAsia" w:ascii="宋体" w:hAnsi="宋体"/>
          <w:color w:val="000000"/>
          <w:sz w:val="22"/>
          <w:szCs w:val="22"/>
          <w:highlight w:val="none"/>
        </w:rPr>
        <w:t xml:space="preserve">系统</w:t>
      </w:r>
      <w:r>
        <w:rPr>
          <w:rFonts w:ascii="宋体" w:hAnsi="宋体"/>
          <w:color w:val="000000"/>
          <w:sz w:val="22"/>
          <w:szCs w:val="22"/>
          <w:highlight w:val="none"/>
        </w:rPr>
        <w:t xml:space="preserve">发现严重安全漏洞，有潜在泄密危险的；</w:t>
      </w:r>
      <w:r>
        <w:rPr>
          <w:rFonts w:ascii="宋体" w:hAnsi="宋体"/>
          <w:color w:val="000000"/>
          <w:sz w:val="22"/>
          <w:szCs w:val="22"/>
          <w:highlight w:val="none"/>
        </w:rPr>
      </w:r>
      <w:r/>
    </w:p>
    <w:p>
      <w:pPr>
        <w:pStyle w:val="906"/>
        <w:ind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hint="eastAsia" w:ascii="宋体" w:hAnsi="宋体"/>
          <w:color w:val="000000"/>
          <w:sz w:val="22"/>
          <w:szCs w:val="22"/>
          <w:highlight w:val="none"/>
        </w:rPr>
        <w:t xml:space="preserve">4)</w:t>
      </w:r>
      <w:r>
        <w:rPr>
          <w:rFonts w:ascii="宋体" w:hAnsi="宋体"/>
          <w:color w:val="000000"/>
          <w:sz w:val="22"/>
          <w:szCs w:val="22"/>
          <w:highlight w:val="none"/>
        </w:rPr>
        <w:t xml:space="preserve">病毒发作导致平台</w:t>
      </w:r>
      <w:r>
        <w:rPr>
          <w:rFonts w:hint="eastAsia" w:ascii="宋体" w:hAnsi="宋体"/>
          <w:color w:val="000000"/>
          <w:sz w:val="22"/>
          <w:szCs w:val="22"/>
          <w:highlight w:val="none"/>
        </w:rPr>
        <w:t xml:space="preserve">系统</w:t>
      </w:r>
      <w:r>
        <w:rPr>
          <w:rFonts w:ascii="宋体" w:hAnsi="宋体"/>
          <w:color w:val="000000"/>
          <w:sz w:val="22"/>
          <w:szCs w:val="22"/>
          <w:highlight w:val="none"/>
        </w:rPr>
        <w:t xml:space="preserve">不能进行正常操作的；</w:t>
      </w:r>
      <w:r>
        <w:rPr>
          <w:rFonts w:ascii="宋体" w:hAnsi="宋体"/>
          <w:color w:val="000000"/>
          <w:sz w:val="22"/>
          <w:szCs w:val="22"/>
          <w:highlight w:val="none"/>
        </w:rPr>
      </w:r>
      <w:r/>
    </w:p>
    <w:p>
      <w:pPr>
        <w:pStyle w:val="906"/>
        <w:ind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t xml:space="preserve">其他无法保证</w:t>
      </w:r>
      <w:r>
        <w:rPr>
          <w:rFonts w:hint="eastAsia" w:ascii="宋体" w:hAnsi="宋体"/>
          <w:color w:val="000000"/>
          <w:sz w:val="22"/>
          <w:szCs w:val="22"/>
          <w:highlight w:val="none"/>
        </w:rPr>
        <w:t xml:space="preserve">本次采购活动</w:t>
      </w:r>
      <w:r>
        <w:rPr>
          <w:rFonts w:ascii="宋体" w:hAnsi="宋体"/>
          <w:color w:val="000000"/>
          <w:sz w:val="22"/>
          <w:szCs w:val="22"/>
          <w:highlight w:val="none"/>
        </w:rPr>
        <w:t xml:space="preserve">的公平、公正和安全的情况。</w:t>
      </w:r>
      <w:r>
        <w:rPr>
          <w:rFonts w:hint="eastAsia" w:ascii="宋体" w:hAnsi="宋体"/>
          <w:color w:val="000000"/>
          <w:sz w:val="22"/>
          <w:szCs w:val="22"/>
          <w:highlight w:val="none"/>
        </w:rPr>
      </w:r>
      <w:r/>
    </w:p>
    <w:p>
      <w:pPr>
        <w:pStyle w:val="906"/>
        <w:ind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出现</w:t>
      </w:r>
      <w:r>
        <w:rPr>
          <w:rFonts w:hint="eastAsia" w:ascii="宋体" w:hAnsi="宋体"/>
          <w:color w:val="000000"/>
          <w:sz w:val="22"/>
          <w:szCs w:val="22"/>
          <w:highlight w:val="none"/>
        </w:rPr>
        <w:t xml:space="preserve">上述</w:t>
      </w:r>
      <w:r>
        <w:rPr>
          <w:rFonts w:ascii="宋体" w:hAnsi="宋体"/>
          <w:color w:val="000000"/>
          <w:sz w:val="22"/>
          <w:szCs w:val="22"/>
          <w:highlight w:val="none"/>
        </w:rPr>
        <w:t xml:space="preserve">情形，不影响采购</w:t>
      </w:r>
      <w:r>
        <w:rPr>
          <w:rFonts w:hint="eastAsia" w:ascii="宋体" w:hAnsi="宋体"/>
          <w:color w:val="000000"/>
          <w:sz w:val="22"/>
          <w:szCs w:val="22"/>
          <w:highlight w:val="none"/>
        </w:rPr>
        <w:t xml:space="preserve">活动</w:t>
      </w:r>
      <w:r>
        <w:rPr>
          <w:rFonts w:ascii="宋体" w:hAnsi="宋体"/>
          <w:color w:val="000000"/>
          <w:sz w:val="22"/>
          <w:szCs w:val="22"/>
          <w:highlight w:val="none"/>
        </w:rPr>
        <w:t xml:space="preserve">公平、公正性的，</w:t>
      </w:r>
      <w:r>
        <w:rPr>
          <w:rFonts w:hint="eastAsia" w:ascii="宋体" w:hAnsi="宋体"/>
          <w:color w:val="000000"/>
          <w:sz w:val="22"/>
          <w:szCs w:val="22"/>
          <w:highlight w:val="none"/>
        </w:rPr>
        <w:t xml:space="preserve">代理机构</w:t>
      </w:r>
      <w:r>
        <w:rPr>
          <w:rFonts w:ascii="宋体" w:hAnsi="宋体"/>
          <w:color w:val="000000"/>
          <w:sz w:val="22"/>
          <w:szCs w:val="22"/>
          <w:highlight w:val="none"/>
        </w:rPr>
        <w:t xml:space="preserve">可以待上述情形消除后继续组织</w:t>
      </w:r>
      <w:r>
        <w:rPr>
          <w:rFonts w:hint="eastAsia" w:ascii="宋体" w:hAnsi="宋体"/>
          <w:color w:val="000000"/>
          <w:sz w:val="22"/>
          <w:szCs w:val="22"/>
          <w:highlight w:val="none"/>
        </w:rPr>
        <w:t xml:space="preserve">不见面</w:t>
      </w:r>
      <w:r>
        <w:rPr>
          <w:rFonts w:ascii="宋体" w:hAnsi="宋体"/>
          <w:color w:val="000000"/>
          <w:sz w:val="22"/>
          <w:szCs w:val="22"/>
          <w:highlight w:val="none"/>
        </w:rPr>
        <w:t xml:space="preserve">交易</w:t>
      </w:r>
      <w:r>
        <w:rPr>
          <w:rFonts w:hint="eastAsia" w:ascii="宋体" w:hAnsi="宋体"/>
          <w:color w:val="000000"/>
          <w:sz w:val="22"/>
          <w:szCs w:val="22"/>
          <w:highlight w:val="none"/>
        </w:rPr>
        <w:t xml:space="preserve">采购</w:t>
      </w:r>
      <w:r>
        <w:rPr>
          <w:rFonts w:ascii="宋体" w:hAnsi="宋体"/>
          <w:color w:val="000000"/>
          <w:sz w:val="22"/>
          <w:szCs w:val="22"/>
          <w:highlight w:val="none"/>
        </w:rPr>
        <w:t xml:space="preserve">活动，也可以决定某些环节以纸质形式进行；影响或可能影响采购</w:t>
      </w:r>
      <w:r>
        <w:rPr>
          <w:rFonts w:hint="eastAsia" w:ascii="宋体" w:hAnsi="宋体"/>
          <w:color w:val="000000"/>
          <w:sz w:val="22"/>
          <w:szCs w:val="22"/>
          <w:highlight w:val="none"/>
        </w:rPr>
        <w:t xml:space="preserve">活动</w:t>
      </w:r>
      <w:r>
        <w:rPr>
          <w:rFonts w:ascii="宋体" w:hAnsi="宋体"/>
          <w:color w:val="000000"/>
          <w:sz w:val="22"/>
          <w:szCs w:val="22"/>
          <w:highlight w:val="none"/>
        </w:rPr>
        <w:t xml:space="preserve">公平、公正性的，应当</w:t>
      </w:r>
      <w:r>
        <w:rPr>
          <w:rFonts w:hint="eastAsia" w:ascii="宋体" w:hAnsi="宋体"/>
          <w:color w:val="000000"/>
          <w:sz w:val="22"/>
          <w:szCs w:val="22"/>
          <w:highlight w:val="none"/>
        </w:rPr>
        <w:t xml:space="preserve">终止本次项目，</w:t>
      </w:r>
      <w:r>
        <w:rPr>
          <w:rFonts w:ascii="宋体" w:hAnsi="宋体"/>
          <w:color w:val="000000"/>
          <w:sz w:val="22"/>
          <w:szCs w:val="22"/>
          <w:highlight w:val="none"/>
        </w:rPr>
        <w:t xml:space="preserve">重新</w:t>
      </w:r>
      <w:r>
        <w:rPr>
          <w:rFonts w:hint="eastAsia" w:ascii="宋体" w:hAnsi="宋体"/>
          <w:color w:val="000000"/>
          <w:sz w:val="22"/>
          <w:szCs w:val="22"/>
          <w:highlight w:val="none"/>
        </w:rPr>
        <w:t xml:space="preserve">组织</w:t>
      </w:r>
      <w:r>
        <w:rPr>
          <w:rFonts w:ascii="宋体" w:hAnsi="宋体"/>
          <w:color w:val="000000"/>
          <w:sz w:val="22"/>
          <w:szCs w:val="22"/>
          <w:highlight w:val="none"/>
        </w:rPr>
        <w:t xml:space="preserve">采购。</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资格审查</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见第三章《资格审查》。</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End w:id="531"/>
      <w:r/>
      <w:bookmarkStart w:id="532" w:name="_Toc142311042"/>
      <w:r/>
      <w:bookmarkStart w:id="533" w:name="_Toc150480778"/>
      <w:r/>
      <w:bookmarkStart w:id="534" w:name="_Toc226965730"/>
      <w:r/>
      <w:bookmarkStart w:id="535" w:name="_Toc127151540"/>
      <w:r/>
      <w:bookmarkStart w:id="536" w:name="_Toc164229381"/>
      <w:r/>
      <w:bookmarkStart w:id="537" w:name="_Toc164608654"/>
      <w:r/>
      <w:bookmarkStart w:id="538" w:name="_Toc264969230"/>
      <w:r/>
      <w:bookmarkStart w:id="539" w:name="_Toc265228378"/>
      <w:r/>
      <w:bookmarkStart w:id="540" w:name="_Toc151193710"/>
      <w:r/>
      <w:bookmarkStart w:id="541" w:name="_Toc151193782"/>
      <w:r/>
      <w:bookmarkStart w:id="542" w:name="_Toc164229235"/>
      <w:r/>
      <w:bookmarkStart w:id="543" w:name="_Toc151193638"/>
      <w:r/>
      <w:bookmarkStart w:id="544" w:name="_Toc305158808"/>
      <w:r/>
      <w:bookmarkStart w:id="545" w:name="_Toc226309784"/>
      <w:r/>
      <w:bookmarkStart w:id="546" w:name="_Toc149720833"/>
      <w:r/>
      <w:bookmarkStart w:id="547" w:name="_Toc150774640"/>
      <w:r/>
      <w:bookmarkStart w:id="548" w:name="_Toc150509291"/>
      <w:r/>
      <w:bookmarkStart w:id="549" w:name="_Toc305158882"/>
      <w:r/>
      <w:bookmarkStart w:id="550" w:name="_Toc151193854"/>
      <w:r/>
      <w:bookmarkStart w:id="551" w:name="_Toc151193928"/>
      <w:r/>
      <w:bookmarkStart w:id="552" w:name="_Toc226337236"/>
      <w:r/>
      <w:bookmarkStart w:id="553" w:name="_Toc226965813"/>
      <w:r/>
      <w:bookmarkStart w:id="554" w:name="_Toc151190167"/>
      <w:r/>
      <w:bookmarkStart w:id="555" w:name="_Toc164608809"/>
      <w:r/>
      <w:bookmarkStart w:id="556" w:name="_Toc127161454"/>
      <w:r/>
      <w:bookmarkStart w:id="557" w:name="_Toc127151741"/>
      <w:r/>
      <w:bookmarkStart w:id="558" w:name="_Toc164351634"/>
      <w:r/>
      <w:bookmarkStart w:id="559" w:name="_Toc150774745"/>
      <w:r/>
      <w:bookmarkStart w:id="560" w:name="_Toc195842905"/>
      <w:r>
        <w:rPr>
          <w:rFonts w:ascii="宋体" w:hAnsi="宋体"/>
          <w:color w:val="000000"/>
          <w:sz w:val="22"/>
          <w:szCs w:val="22"/>
          <w:highlight w:val="none"/>
        </w:rPr>
        <w:t xml:space="preserve">评标委员会</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评标委员会根据政府采购有关规定和本次招标采购项目的特点进行组建，并负责具体评标事务，独立履行职责。</w:t>
      </w:r>
      <w:bookmarkStart w:id="561" w:name="_Toc520356166"/>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评审专家须符合</w:t>
      </w:r>
      <w:r>
        <w:rPr>
          <w:rFonts w:hint="eastAsia" w:ascii="宋体" w:hAnsi="宋体"/>
          <w:color w:val="000000"/>
          <w:sz w:val="22"/>
          <w:szCs w:val="22"/>
          <w:highlight w:val="none"/>
        </w:rPr>
        <w:t xml:space="preserve">相关</w:t>
      </w:r>
      <w:r>
        <w:rPr>
          <w:rFonts w:ascii="宋体" w:hAnsi="宋体"/>
          <w:color w:val="000000"/>
          <w:sz w:val="22"/>
          <w:szCs w:val="22"/>
          <w:highlight w:val="none"/>
        </w:rPr>
        <w:t xml:space="preserve">规定。依法自行选定评审专家的，采购人和采购代理机构将查询有关信用记录，对具有行贿、受贿、欺诈等不良信用记录的人员，拒绝其参与政府采购活动。</w:t>
      </w:r>
      <w:bookmarkEnd w:id="561"/>
      <w:r/>
      <w:bookmarkStart w:id="562" w:name="_Toc520356169"/>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评标程序、评标方法和评标标准</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color w:val="000000"/>
          <w:sz w:val="22"/>
          <w:szCs w:val="22"/>
          <w:highlight w:val="none"/>
        </w:rPr>
      </w:pPr>
      <w:r>
        <w:rPr>
          <w:rFonts w:ascii="宋体" w:hAnsi="宋体"/>
          <w:color w:val="000000"/>
          <w:sz w:val="22"/>
          <w:szCs w:val="22"/>
          <w:highlight w:val="none"/>
        </w:rPr>
        <w:t xml:space="preserve">见第四章《评标程序、评标方法和评标标准》。</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评审内容的保密</w:t>
      </w:r>
      <w:r>
        <w:rPr>
          <w:rFonts w:hint="eastAsia" w:ascii="宋体" w:hAnsi="宋体" w:eastAsia="宋体" w:cs="Times New Roman"/>
          <w:color w:val="000000"/>
          <w:sz w:val="22"/>
          <w:szCs w:val="22"/>
          <w:highlight w:val="none"/>
        </w:rPr>
      </w:r>
      <w:r/>
    </w:p>
    <w:p>
      <w:pPr>
        <w:pStyle w:val="906"/>
        <w:numPr>
          <w:ilvl w:val="0"/>
          <w:numId w:val="0"/>
        </w:numPr>
        <w:spacing w:line="360" w:lineRule="auto"/>
        <w:tabs>
          <w:tab w:val="left" w:pos="1080"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21.2.1开标开始后，直到宣布授予中标人合同为止，凡属于审查、澄清、评价和</w:t>
      </w:r>
      <w:r>
        <w:rPr>
          <w:rFonts w:hint="eastAsia" w:ascii="宋体" w:hAnsi="宋体" w:eastAsia="宋体" w:cs="Times New Roman"/>
          <w:color w:val="000000"/>
          <w:sz w:val="22"/>
          <w:szCs w:val="22"/>
          <w:highlight w:val="none"/>
        </w:rPr>
        <w:t xml:space="preserve">比较投标文件的所有资料，有关授予合同的信息都不应向投标人或与评审无关的其他人泄露。</w:t>
      </w:r>
      <w:r>
        <w:rPr>
          <w:rFonts w:hint="eastAsia" w:ascii="宋体" w:hAnsi="宋体" w:eastAsia="宋体" w:cs="Times New Roman"/>
          <w:color w:val="000000"/>
          <w:sz w:val="22"/>
          <w:szCs w:val="22"/>
          <w:highlight w:val="none"/>
        </w:rPr>
      </w:r>
      <w:r/>
    </w:p>
    <w:p>
      <w:pPr>
        <w:pStyle w:val="906"/>
        <w:numPr>
          <w:ilvl w:val="0"/>
          <w:numId w:val="0"/>
        </w:numPr>
        <w:spacing w:line="360" w:lineRule="auto"/>
        <w:tabs>
          <w:tab w:val="left" w:pos="1080"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21.2</w:t>
      </w:r>
      <w:r>
        <w:rPr>
          <w:rFonts w:hint="eastAsia" w:ascii="宋体" w:hAnsi="宋体" w:eastAsia="宋体" w:cs="Times New Roman"/>
          <w:color w:val="000000"/>
          <w:sz w:val="22"/>
          <w:szCs w:val="22"/>
          <w:highlight w:val="none"/>
        </w:rPr>
        <w:t xml:space="preserve">.2在评审过程中，投标人不得以任何行为影响评审过程，否则其投标文件将被作为无效投标文件。</w:t>
      </w:r>
      <w:r>
        <w:rPr>
          <w:rFonts w:hint="eastAsia" w:ascii="宋体" w:hAnsi="宋体" w:eastAsia="宋体" w:cs="Times New Roman"/>
          <w:color w:val="000000"/>
          <w:sz w:val="22"/>
          <w:szCs w:val="22"/>
          <w:highlight w:val="none"/>
        </w:rPr>
      </w:r>
      <w:r/>
    </w:p>
    <w:p>
      <w:pPr>
        <w:pStyle w:val="906"/>
        <w:numPr>
          <w:ilvl w:val="0"/>
          <w:numId w:val="0"/>
        </w:numPr>
        <w:spacing w:line="360" w:lineRule="auto"/>
        <w:tabs>
          <w:tab w:val="left" w:pos="1080" w:leader="none"/>
          <w:tab w:val="left" w:pos="2014"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21.2</w:t>
      </w:r>
      <w:r>
        <w:rPr>
          <w:rFonts w:hint="eastAsia" w:ascii="宋体" w:hAnsi="宋体" w:eastAsia="宋体" w:cs="Times New Roman"/>
          <w:color w:val="000000"/>
          <w:sz w:val="22"/>
          <w:szCs w:val="22"/>
          <w:highlight w:val="none"/>
        </w:rPr>
        <w:t xml:space="preserve">.3评标委员会不向未中标的投标人解释未中标原因，也不公布评审过程中的相关细节。</w:t>
      </w:r>
      <w:r>
        <w:rPr>
          <w:rFonts w:hint="eastAsia" w:ascii="宋体" w:hAnsi="宋体" w:eastAsia="宋体" w:cs="Times New Roman"/>
          <w:color w:val="000000"/>
          <w:sz w:val="22"/>
          <w:szCs w:val="22"/>
          <w:highlight w:val="none"/>
        </w:rPr>
      </w:r>
      <w:r/>
    </w:p>
    <w:p>
      <w:pPr>
        <w:pStyle w:val="908"/>
        <w:spacing w:before="0" w:line="360" w:lineRule="auto"/>
        <w:rPr>
          <w:rFonts w:ascii="Times New Roman" w:hAnsi="Times New Roman" w:eastAsia="宋体"/>
          <w:color w:val="000000"/>
          <w:sz w:val="28"/>
          <w:highlight w:val="none"/>
        </w:rPr>
      </w:pPr>
      <w:r/>
      <w:bookmarkStart w:id="563" w:name="_Toc142311047"/>
      <w:r/>
      <w:bookmarkStart w:id="564" w:name="_Toc151193933"/>
      <w:r/>
      <w:bookmarkStart w:id="565" w:name="_Toc226965735"/>
      <w:r/>
      <w:bookmarkStart w:id="566" w:name="_Toc226309789"/>
      <w:r/>
      <w:bookmarkStart w:id="567" w:name="_Toc226337241"/>
      <w:r/>
      <w:bookmarkStart w:id="568" w:name="_Toc150480783"/>
      <w:r/>
      <w:bookmarkStart w:id="569" w:name="_Toc305158813"/>
      <w:r/>
      <w:bookmarkStart w:id="570" w:name="_Toc150774750"/>
      <w:r/>
      <w:bookmarkStart w:id="571" w:name="_Toc195842910"/>
      <w:r/>
      <w:bookmarkStart w:id="572" w:name="_Toc127151545"/>
      <w:r/>
      <w:bookmarkStart w:id="573" w:name="_Toc151193787"/>
      <w:r/>
      <w:bookmarkStart w:id="574" w:name="_Toc226965818"/>
      <w:r/>
      <w:bookmarkStart w:id="575" w:name="_Toc305158887"/>
      <w:r/>
      <w:bookmarkStart w:id="576" w:name="_Toc150509296"/>
      <w:r/>
      <w:bookmarkStart w:id="577" w:name="_Toc150774645"/>
      <w:r/>
      <w:bookmarkStart w:id="578" w:name="_Toc264969235"/>
      <w:r/>
      <w:bookmarkStart w:id="579" w:name="_Toc151190172"/>
      <w:r/>
      <w:bookmarkStart w:id="580" w:name="_Toc151193643"/>
      <w:r/>
      <w:bookmarkStart w:id="581" w:name="_Toc151193859"/>
      <w:r/>
      <w:bookmarkStart w:id="582" w:name="_Toc151193715"/>
      <w:r/>
      <w:bookmarkStart w:id="583" w:name="_Toc265228383"/>
      <w:r>
        <w:rPr>
          <w:rFonts w:ascii="Times New Roman" w:hAnsi="Times New Roman" w:eastAsia="宋体"/>
          <w:color w:val="000000"/>
          <w:sz w:val="28"/>
          <w:highlight w:val="none"/>
        </w:rPr>
        <w:t xml:space="preserve">六   </w:t>
      </w:r>
      <w:bookmarkEnd w:id="562"/>
      <w:r>
        <w:rPr>
          <w:rFonts w:ascii="Times New Roman" w:hAnsi="Times New Roman" w:eastAsia="宋体"/>
          <w:color w:val="000000"/>
          <w:sz w:val="28"/>
          <w:highlight w:val="none"/>
        </w:rPr>
        <w:t xml:space="preserve">确定中标</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164229388"/>
      <w:r/>
      <w:bookmarkStart w:id="585" w:name="_Toc164608816"/>
      <w:r/>
      <w:bookmarkStart w:id="586" w:name="_Toc150480785"/>
      <w:r/>
      <w:bookmarkStart w:id="587" w:name="_Toc150774647"/>
      <w:r/>
      <w:bookmarkStart w:id="588" w:name="_Toc164351641"/>
      <w:r/>
      <w:bookmarkStart w:id="589" w:name="_Toc265228385"/>
      <w:r/>
      <w:bookmarkStart w:id="590" w:name="_Toc226309791"/>
      <w:r/>
      <w:bookmarkStart w:id="591" w:name="_Toc151193861"/>
      <w:r/>
      <w:bookmarkStart w:id="592" w:name="_Toc151193789"/>
      <w:r/>
      <w:bookmarkStart w:id="593" w:name="_Toc305158815"/>
      <w:r/>
      <w:bookmarkStart w:id="594" w:name="_Toc151193935"/>
      <w:r/>
      <w:bookmarkStart w:id="595" w:name="_Toc151193717"/>
      <w:r/>
      <w:bookmarkStart w:id="596" w:name="_Toc305158889"/>
      <w:r/>
      <w:bookmarkStart w:id="597" w:name="_Toc127161461"/>
      <w:r/>
      <w:bookmarkStart w:id="598" w:name="_Toc127151547"/>
      <w:r/>
      <w:bookmarkStart w:id="599" w:name="_Toc226337243"/>
      <w:r/>
      <w:bookmarkStart w:id="600" w:name="_Toc226965737"/>
      <w:r/>
      <w:bookmarkStart w:id="601" w:name="_Toc142311049"/>
      <w:r/>
      <w:bookmarkStart w:id="602" w:name="_Toc151190174"/>
      <w:r/>
      <w:bookmarkStart w:id="603" w:name="_Toc149720840"/>
      <w:r/>
      <w:bookmarkStart w:id="604" w:name="_Toc226965820"/>
      <w:r/>
      <w:bookmarkStart w:id="605" w:name="_Toc164229242"/>
      <w:r/>
      <w:bookmarkStart w:id="606" w:name="_Toc150774752"/>
      <w:r/>
      <w:bookmarkStart w:id="607" w:name="_Toc151193645"/>
      <w:r/>
      <w:bookmarkStart w:id="608" w:name="_Toc195842912"/>
      <w:r/>
      <w:bookmarkStart w:id="609" w:name="_Toc127151748"/>
      <w:r/>
      <w:bookmarkStart w:id="610" w:name="_Toc150509298"/>
      <w:r/>
      <w:bookmarkStart w:id="611" w:name="_Toc164608661"/>
      <w:r/>
      <w:bookmarkStart w:id="612" w:name="_Toc264969237"/>
      <w:r>
        <w:rPr>
          <w:rFonts w:ascii="Times New Roman" w:hAnsi="Times New Roman" w:eastAsia="宋体"/>
          <w:color w:val="000000"/>
          <w:sz w:val="28"/>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确定中标人</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采购人将在评标报告确定的中标候选人名单中按顺序确定中标人，中标候选人并列的，由采购人</w:t>
      </w:r>
      <w:r>
        <w:rPr>
          <w:rFonts w:hint="eastAsia" w:ascii="宋体" w:hAnsi="宋体"/>
          <w:color w:val="000000"/>
          <w:sz w:val="22"/>
          <w:szCs w:val="22"/>
          <w:highlight w:val="none"/>
        </w:rPr>
        <w:t xml:space="preserve">依法</w:t>
      </w:r>
      <w:r>
        <w:rPr>
          <w:rFonts w:ascii="宋体" w:hAnsi="宋体"/>
          <w:color w:val="000000"/>
          <w:sz w:val="22"/>
          <w:szCs w:val="22"/>
          <w:highlight w:val="none"/>
        </w:rPr>
        <w:t xml:space="preserve">确定</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Start w:id="613" w:name="_Toc305158817"/>
      <w:r/>
      <w:bookmarkStart w:id="614" w:name="_Toc305158891"/>
      <w:r/>
      <w:bookmarkStart w:id="615" w:name="_Toc150509300"/>
      <w:r/>
      <w:bookmarkStart w:id="616" w:name="_Toc164608663"/>
      <w:r/>
      <w:bookmarkStart w:id="617" w:name="_Toc164229390"/>
      <w:r/>
      <w:bookmarkStart w:id="618" w:name="_Toc142311051"/>
      <w:r/>
      <w:bookmarkStart w:id="619" w:name="_Toc226337245"/>
      <w:r/>
      <w:bookmarkStart w:id="620" w:name="_Toc195842914"/>
      <w:r/>
      <w:bookmarkStart w:id="621" w:name="_Toc226309793"/>
      <w:r/>
      <w:bookmarkStart w:id="622" w:name="_Toc150774754"/>
      <w:r/>
      <w:bookmarkStart w:id="623" w:name="_Toc226965739"/>
      <w:r/>
      <w:bookmarkStart w:id="624" w:name="_Toc127161463"/>
      <w:r/>
      <w:bookmarkStart w:id="625" w:name="_Toc150480787"/>
      <w:r/>
      <w:bookmarkStart w:id="626" w:name="_Toc151193863"/>
      <w:r/>
      <w:bookmarkStart w:id="627" w:name="_Toc164229244"/>
      <w:r/>
      <w:bookmarkStart w:id="628" w:name="_Toc164608818"/>
      <w:r/>
      <w:bookmarkStart w:id="629" w:name="_Toc151193937"/>
      <w:r/>
      <w:bookmarkStart w:id="630" w:name="_Toc151193647"/>
      <w:r/>
      <w:bookmarkStart w:id="631" w:name="_Toc226965822"/>
      <w:r/>
      <w:bookmarkStart w:id="632" w:name="_Toc127151750"/>
      <w:r/>
      <w:bookmarkStart w:id="633" w:name="_Toc264969239"/>
      <w:r/>
      <w:bookmarkStart w:id="634" w:name="_Toc127151549"/>
      <w:r/>
      <w:bookmarkStart w:id="635" w:name="_Toc151190176"/>
      <w:r/>
      <w:bookmarkStart w:id="636" w:name="_Toc151193719"/>
      <w:r/>
      <w:bookmarkStart w:id="637" w:name="_Toc151193791"/>
      <w:r/>
      <w:bookmarkStart w:id="638" w:name="_Toc149720842"/>
      <w:r/>
      <w:bookmarkStart w:id="639" w:name="_Toc265228387"/>
      <w:r/>
      <w:bookmarkStart w:id="640" w:name="_Toc164351643"/>
      <w:r/>
      <w:bookmarkStart w:id="641" w:name="_Toc150774649"/>
      <w:r/>
      <w:bookmarkStart w:id="642" w:name="_Ref467306425"/>
      <w:r/>
      <w:bookmarkStart w:id="643" w:name="_Toc520356176"/>
      <w:r/>
      <w:bookmarkStart w:id="644" w:name="_Ref467307090"/>
      <w:r>
        <w:rPr>
          <w:rFonts w:ascii="宋体" w:hAnsi="宋体"/>
          <w:color w:val="000000"/>
          <w:sz w:val="22"/>
          <w:szCs w:val="22"/>
          <w:highlight w:val="none"/>
        </w:rPr>
        <w:t xml:space="preserve">中标公告与中标通知书</w:t>
      </w:r>
      <w:bookmarkEnd w:id="613"/>
      <w:r/>
      <w:bookmarkEnd w:id="614"/>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采购人或采购代理机构自中标人确定之日起2个工作日内，</w:t>
      </w:r>
      <w:r>
        <w:rPr>
          <w:rFonts w:ascii="宋体" w:hAnsi="宋体"/>
          <w:color w:val="000000"/>
          <w:sz w:val="22"/>
          <w:szCs w:val="22"/>
          <w:highlight w:val="none"/>
        </w:rPr>
        <w:t xml:space="preserve">在</w:t>
      </w:r>
      <w:r>
        <w:rPr>
          <w:rFonts w:hint="eastAsia" w:ascii="宋体" w:hAnsi="宋体"/>
          <w:color w:val="000000"/>
          <w:sz w:val="22"/>
          <w:szCs w:val="22"/>
          <w:highlight w:val="none"/>
        </w:rPr>
        <w:t xml:space="preserve">常州市政府采购网</w:t>
      </w:r>
      <w:r>
        <w:rPr>
          <w:rFonts w:ascii="宋体" w:hAnsi="宋体"/>
          <w:color w:val="000000"/>
          <w:sz w:val="22"/>
          <w:szCs w:val="22"/>
          <w:highlight w:val="none"/>
        </w:rPr>
        <w:t xml:space="preserve">公告中标结果</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同时向中标人发出中标通知书，</w:t>
      </w:r>
      <w:r>
        <w:rPr>
          <w:rFonts w:ascii="宋体" w:hAnsi="宋体"/>
          <w:color w:val="000000"/>
          <w:sz w:val="22"/>
          <w:szCs w:val="22"/>
          <w:highlight w:val="none"/>
        </w:rPr>
        <w:t xml:space="preserve">中标公告期限为1个工作日。</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废标</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在招标采购中，出现下列情形之一的，应予废标：</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符合专业条件的供应商或者对招标文件作实质响应的供应商不足三家的；</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出现影响采购公正的违法、违规行为的；</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投标人的报价均超过了采购预算，采购人不能支付的；</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hint="eastAsia" w:ascii="宋体" w:hAnsi="宋体"/>
          <w:color w:val="000000"/>
          <w:sz w:val="22"/>
          <w:szCs w:val="22"/>
          <w:highlight w:val="none"/>
        </w:rPr>
      </w:pPr>
      <w:r>
        <w:rPr>
          <w:rFonts w:ascii="宋体" w:hAnsi="宋体"/>
          <w:color w:val="000000"/>
          <w:sz w:val="22"/>
          <w:szCs w:val="22"/>
          <w:highlight w:val="none"/>
        </w:rPr>
        <w:t xml:space="preserve">因重大变故，采购任务取消的。</w:t>
      </w:r>
      <w:r>
        <w:rPr>
          <w:rFonts w:hint="eastAsia" w:ascii="宋体" w:hAnsi="宋体"/>
          <w:color w:val="000000"/>
          <w:sz w:val="22"/>
          <w:szCs w:val="22"/>
          <w:highlight w:val="none"/>
        </w:rPr>
      </w:r>
      <w:r/>
    </w:p>
    <w:p>
      <w:pPr>
        <w:pStyle w:val="906"/>
        <w:numPr>
          <w:ilvl w:val="2"/>
          <w:numId w:val="8"/>
        </w:numPr>
        <w:ind w:left="0" w:firstLine="448"/>
        <w:spacing w:line="360" w:lineRule="auto"/>
        <w:tabs>
          <w:tab w:val="left" w:pos="1980" w:leader="none"/>
        </w:tabs>
        <w:rPr>
          <w:rFonts w:ascii="宋体" w:hAnsi="宋体"/>
          <w:color w:val="000000"/>
          <w:sz w:val="22"/>
          <w:szCs w:val="22"/>
          <w:highlight w:val="none"/>
        </w:rPr>
      </w:pPr>
      <w:r>
        <w:rPr>
          <w:rFonts w:hint="eastAsia" w:ascii="宋体" w:hAnsi="宋体"/>
          <w:color w:val="000000"/>
          <w:spacing w:val="2"/>
          <w:sz w:val="22"/>
          <w:szCs w:val="22"/>
          <w:highlight w:val="none"/>
        </w:rPr>
        <w:t xml:space="preserve">平台系统</w:t>
      </w:r>
      <w:r>
        <w:rPr>
          <w:rFonts w:ascii="宋体" w:hAnsi="宋体"/>
          <w:color w:val="000000"/>
          <w:sz w:val="22"/>
          <w:szCs w:val="22"/>
          <w:highlight w:val="none"/>
        </w:rPr>
        <w:t xml:space="preserve">出现</w:t>
      </w:r>
      <w:r>
        <w:rPr>
          <w:rFonts w:hint="eastAsia" w:ascii="宋体" w:hAnsi="宋体"/>
          <w:color w:val="000000"/>
          <w:sz w:val="22"/>
          <w:szCs w:val="22"/>
          <w:highlight w:val="none"/>
        </w:rPr>
        <w:t xml:space="preserve">序号18.8的所述</w:t>
      </w:r>
      <w:r>
        <w:rPr>
          <w:rFonts w:ascii="宋体" w:hAnsi="宋体"/>
          <w:color w:val="000000"/>
          <w:sz w:val="22"/>
          <w:szCs w:val="22"/>
          <w:highlight w:val="none"/>
        </w:rPr>
        <w:t xml:space="preserve">情形，</w:t>
      </w:r>
      <w:r>
        <w:rPr>
          <w:rFonts w:hint="eastAsia" w:ascii="宋体" w:hAnsi="宋体"/>
          <w:color w:val="000000"/>
          <w:sz w:val="22"/>
          <w:szCs w:val="22"/>
          <w:highlight w:val="none"/>
        </w:rPr>
        <w:t xml:space="preserve">情况严重且</w:t>
      </w:r>
      <w:r>
        <w:rPr>
          <w:rFonts w:ascii="宋体" w:hAnsi="宋体"/>
          <w:color w:val="000000"/>
          <w:sz w:val="22"/>
          <w:szCs w:val="22"/>
          <w:highlight w:val="none"/>
        </w:rPr>
        <w:t xml:space="preserve">影响采购</w:t>
      </w:r>
      <w:r>
        <w:rPr>
          <w:rFonts w:hint="eastAsia" w:ascii="宋体" w:hAnsi="宋体"/>
          <w:color w:val="000000"/>
          <w:sz w:val="22"/>
          <w:szCs w:val="22"/>
          <w:highlight w:val="none"/>
        </w:rPr>
        <w:t xml:space="preserve">活动</w:t>
      </w:r>
      <w:r>
        <w:rPr>
          <w:rFonts w:ascii="宋体" w:hAnsi="宋体"/>
          <w:color w:val="000000"/>
          <w:sz w:val="22"/>
          <w:szCs w:val="22"/>
          <w:highlight w:val="none"/>
        </w:rPr>
        <w:t xml:space="preserve">公平、公正性的</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废标后，采购人将废标理由通知所有投标人。</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Start w:id="645" w:name="_Toc150480788"/>
      <w:r/>
      <w:bookmarkStart w:id="646" w:name="_Toc127161464"/>
      <w:r/>
      <w:bookmarkStart w:id="647" w:name="_Toc264969240"/>
      <w:r/>
      <w:bookmarkStart w:id="648" w:name="_Toc164229391"/>
      <w:r/>
      <w:bookmarkStart w:id="649" w:name="_Ref467306978"/>
      <w:r/>
      <w:bookmarkStart w:id="650" w:name="_Toc151193792"/>
      <w:r/>
      <w:bookmarkStart w:id="651" w:name="_Toc164608664"/>
      <w:r/>
      <w:bookmarkStart w:id="652" w:name="_Toc226965823"/>
      <w:r/>
      <w:bookmarkStart w:id="653" w:name="_Toc195842915"/>
      <w:r/>
      <w:bookmarkStart w:id="654" w:name="_Toc127151751"/>
      <w:r/>
      <w:bookmarkStart w:id="655" w:name="_Toc151193864"/>
      <w:r/>
      <w:bookmarkStart w:id="656" w:name="_Toc150509301"/>
      <w:r/>
      <w:bookmarkStart w:id="657" w:name="_Toc127151550"/>
      <w:r/>
      <w:bookmarkStart w:id="658" w:name="_Ref467307062"/>
      <w:r/>
      <w:bookmarkStart w:id="659" w:name="_Toc164608819"/>
      <w:r/>
      <w:bookmarkStart w:id="660" w:name="_Toc265228388"/>
      <w:r/>
      <w:bookmarkStart w:id="661" w:name="_Toc150774650"/>
      <w:r/>
      <w:bookmarkStart w:id="662" w:name="_Toc305158892"/>
      <w:r/>
      <w:bookmarkStart w:id="663" w:name="_Toc149720843"/>
      <w:r/>
      <w:bookmarkStart w:id="664" w:name="_Toc226337246"/>
      <w:r/>
      <w:bookmarkStart w:id="665" w:name="_Ref467307204"/>
      <w:r/>
      <w:bookmarkStart w:id="666" w:name="_Toc305158818"/>
      <w:r/>
      <w:bookmarkStart w:id="667" w:name="_Toc150774755"/>
      <w:r/>
      <w:bookmarkStart w:id="668" w:name="_Toc151193938"/>
      <w:r/>
      <w:bookmarkStart w:id="669" w:name="_Toc151190177"/>
      <w:r/>
      <w:bookmarkStart w:id="670" w:name="_Toc226309794"/>
      <w:r/>
      <w:bookmarkStart w:id="671" w:name="_Toc164351644"/>
      <w:r/>
      <w:bookmarkStart w:id="672" w:name="_Toc151193648"/>
      <w:r/>
      <w:bookmarkStart w:id="673" w:name="_Toc151193720"/>
      <w:r/>
      <w:bookmarkStart w:id="674" w:name="_Toc164229245"/>
      <w:r/>
      <w:bookmarkStart w:id="675" w:name="_Toc226965740"/>
      <w:r/>
      <w:bookmarkStart w:id="676" w:name="_Toc520356175"/>
      <w:r/>
      <w:bookmarkStart w:id="677" w:name="_Ref467306377"/>
      <w:r/>
      <w:bookmarkStart w:id="678" w:name="_Toc142311052"/>
      <w:r>
        <w:rPr>
          <w:rFonts w:ascii="宋体" w:hAnsi="宋体"/>
          <w:color w:val="000000"/>
          <w:sz w:val="22"/>
          <w:szCs w:val="22"/>
          <w:highlight w:val="none"/>
        </w:rPr>
        <w:t xml:space="preserve">签订合同</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中标人</w:t>
      </w:r>
      <w:r>
        <w:rPr>
          <w:rFonts w:hint="eastAsia" w:ascii="宋体" w:hAnsi="宋体"/>
          <w:color w:val="000000"/>
          <w:sz w:val="22"/>
          <w:szCs w:val="22"/>
          <w:highlight w:val="none"/>
        </w:rPr>
        <w:t xml:space="preserve">拒绝</w:t>
      </w:r>
      <w:r>
        <w:rPr>
          <w:rFonts w:ascii="宋体" w:hAnsi="宋体"/>
          <w:color w:val="000000"/>
          <w:sz w:val="22"/>
          <w:szCs w:val="22"/>
          <w:highlight w:val="none"/>
        </w:rPr>
        <w:t xml:space="preserve">与采购人签订合同的，采购人</w:t>
      </w:r>
      <w:r>
        <w:rPr>
          <w:rFonts w:hint="eastAsia" w:ascii="宋体" w:hAnsi="宋体"/>
          <w:color w:val="000000"/>
          <w:sz w:val="22"/>
          <w:szCs w:val="22"/>
          <w:highlight w:val="none"/>
        </w:rPr>
        <w:t xml:space="preserve">可以</w:t>
      </w:r>
      <w:r>
        <w:rPr>
          <w:rFonts w:ascii="宋体" w:hAnsi="宋体"/>
          <w:color w:val="000000"/>
          <w:sz w:val="22"/>
          <w:szCs w:val="22"/>
          <w:highlight w:val="none"/>
        </w:rPr>
        <w:t xml:space="preserve">按照评</w:t>
      </w:r>
      <w:r>
        <w:rPr>
          <w:rFonts w:hint="eastAsia" w:ascii="宋体" w:hAnsi="宋体"/>
          <w:color w:val="000000"/>
          <w:sz w:val="22"/>
          <w:szCs w:val="22"/>
          <w:highlight w:val="none"/>
        </w:rPr>
        <w:t xml:space="preserve">标</w:t>
      </w:r>
      <w:r>
        <w:rPr>
          <w:rFonts w:ascii="宋体" w:hAnsi="宋体"/>
          <w:color w:val="000000"/>
          <w:sz w:val="22"/>
          <w:szCs w:val="22"/>
          <w:highlight w:val="none"/>
        </w:rPr>
        <w:t xml:space="preserve">报告推荐的中标候选人名单排序，确定下一候选人为中标人，</w:t>
      </w:r>
      <w:r>
        <w:rPr>
          <w:rFonts w:hint="eastAsia" w:ascii="宋体" w:hAnsi="宋体"/>
          <w:color w:val="000000"/>
          <w:sz w:val="22"/>
          <w:szCs w:val="22"/>
          <w:highlight w:val="none"/>
        </w:rPr>
        <w:t xml:space="preserve">也可以</w:t>
      </w:r>
      <w:r>
        <w:rPr>
          <w:rFonts w:ascii="宋体" w:hAnsi="宋体"/>
          <w:color w:val="000000"/>
          <w:sz w:val="22"/>
          <w:szCs w:val="22"/>
          <w:highlight w:val="none"/>
        </w:rPr>
        <w:t xml:space="preserve">重新开展政府采购活动。</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联合体中标的，联合体各方应当共同与采购人签订合同，就中标项目向采购人承担连带责任。</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政府采购合同不能转包。</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2"/>
          <w:szCs w:val="22"/>
          <w:highlight w:val="none"/>
        </w:rPr>
        <w:t xml:space="preserve">，</w:t>
      </w:r>
      <w:r>
        <w:rPr>
          <w:rFonts w:ascii="宋体" w:hAnsi="宋体"/>
          <w:color w:val="000000"/>
          <w:sz w:val="22"/>
          <w:szCs w:val="22"/>
          <w:highlight w:val="none"/>
        </w:rPr>
        <w:t xml:space="preserve">否则</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。中标人就采购项目和分包项目向采购人负责，分包供应商就分包项目承担责任。</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bookmarkEnd w:id="642"/>
      <w:r/>
      <w:bookmarkEnd w:id="643"/>
      <w:r/>
      <w:bookmarkEnd w:id="644"/>
      <w:r>
        <w:rPr>
          <w:rFonts w:ascii="宋体" w:hAnsi="宋体"/>
          <w:color w:val="000000"/>
          <w:sz w:val="22"/>
          <w:szCs w:val="22"/>
          <w:highlight w:val="none"/>
        </w:rPr>
        <w:t xml:space="preserve">询问与质疑</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询问</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投标人对政府采购活动事项有疑问的，可依法提出询问，并按《投标人须知资料表》载明的形式送达采购人或采购代理机构。</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采购人或采购代理机构对供应商依法提出的询问，在3个工作日内作出答复，但答复的内容不得涉及商业秘密。</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质疑</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hint="eastAsia" w:ascii="宋体" w:hAnsi="宋体"/>
          <w:color w:val="000000"/>
          <w:sz w:val="22"/>
          <w:szCs w:val="22"/>
          <w:highlight w:val="none"/>
        </w:rPr>
      </w:pPr>
      <w:r>
        <w:rPr>
          <w:rFonts w:ascii="宋体" w:hAnsi="宋体"/>
          <w:color w:val="000000"/>
          <w:sz w:val="22"/>
          <w:szCs w:val="22"/>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2"/>
          <w:szCs w:val="22"/>
          <w:highlight w:val="none"/>
        </w:rPr>
      </w:r>
      <w:r/>
    </w:p>
    <w:p>
      <w:pPr>
        <w:pStyle w:val="906"/>
        <w:numPr>
          <w:ilvl w:val="2"/>
          <w:numId w:val="8"/>
        </w:numPr>
        <w:ind w:left="0" w:firstLine="442"/>
        <w:spacing w:line="360" w:lineRule="auto"/>
        <w:tabs>
          <w:tab w:val="left" w:pos="1980" w:leader="none"/>
        </w:tabs>
        <w:rPr>
          <w:rFonts w:ascii="宋体" w:hAnsi="宋体"/>
          <w:color w:val="000000"/>
          <w:sz w:val="22"/>
          <w:szCs w:val="22"/>
          <w:highlight w:val="none"/>
        </w:rPr>
      </w:pPr>
      <w:r>
        <w:rPr>
          <w:rFonts w:hint="eastAsia" w:ascii="宋体" w:hAnsi="宋体"/>
          <w:b/>
          <w:color w:val="000000"/>
          <w:sz w:val="22"/>
          <w:szCs w:val="22"/>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质疑函须使用财政部制定的范本文件。</w:t>
      </w:r>
      <w:r>
        <w:rPr>
          <w:rFonts w:hint="eastAsia" w:ascii="宋体" w:hAnsi="宋体"/>
          <w:color w:val="000000"/>
          <w:sz w:val="22"/>
          <w:szCs w:val="22"/>
          <w:highlight w:val="none"/>
        </w:rPr>
        <w:t xml:space="preserve">（下载网址：</w:t>
      </w:r>
      <w:r>
        <w:rPr>
          <w:rFonts w:ascii="宋体" w:hAnsi="宋体"/>
          <w:color w:val="000000"/>
          <w:sz w:val="22"/>
          <w:szCs w:val="22"/>
          <w:highlight w:val="none"/>
        </w:rPr>
        <w:fldChar w:fldCharType="begin"/>
      </w:r>
      <w:r>
        <w:rPr>
          <w:rFonts w:ascii="宋体" w:hAnsi="宋体"/>
          <w:color w:val="000000"/>
          <w:sz w:val="22"/>
          <w:szCs w:val="22"/>
          <w:highlight w:val="none"/>
        </w:rPr>
        <w:instrText xml:space="preserve"> HYPERLINK "http://gks.mof.gov.cn/ztztz/zhengfucaigouguanli/201802/t20180201_2804589.htm" </w:instrText>
      </w:r>
      <w:r>
        <w:rPr>
          <w:rFonts w:ascii="宋体" w:hAnsi="宋体"/>
          <w:color w:val="000000"/>
          <w:sz w:val="22"/>
          <w:szCs w:val="22"/>
          <w:highlight w:val="none"/>
        </w:rPr>
        <w:fldChar w:fldCharType="separate"/>
      </w:r>
      <w:r>
        <w:rPr>
          <w:rStyle w:val="979"/>
          <w:rFonts w:ascii="宋体" w:hAnsi="宋体"/>
          <w:color w:val="000000"/>
          <w:sz w:val="22"/>
          <w:szCs w:val="22"/>
          <w:highlight w:val="none"/>
        </w:rPr>
        <w:t xml:space="preserve">http://gk</w:t>
      </w:r>
      <w:bookmarkStart w:id="679" w:name="_Hlt100654014"/>
      <w:r>
        <w:rPr>
          <w:rStyle w:val="979"/>
          <w:rFonts w:ascii="宋体" w:hAnsi="宋体"/>
          <w:color w:val="000000"/>
          <w:sz w:val="22"/>
          <w:szCs w:val="22"/>
          <w:highlight w:val="none"/>
        </w:rPr>
        <w:t xml:space="preserve">s</w:t>
      </w:r>
      <w:bookmarkEnd w:id="679"/>
      <w:r>
        <w:rPr>
          <w:rStyle w:val="979"/>
          <w:rFonts w:ascii="宋体" w:hAnsi="宋体"/>
          <w:color w:val="000000"/>
          <w:sz w:val="22"/>
          <w:szCs w:val="22"/>
          <w:highlight w:val="none"/>
        </w:rPr>
        <w:t xml:space="preserve">.m</w:t>
      </w:r>
      <w:bookmarkStart w:id="680" w:name="_Hlt100653994"/>
      <w:r/>
      <w:bookmarkStart w:id="681" w:name="_Hlt100653993"/>
      <w:r>
        <w:rPr>
          <w:rStyle w:val="979"/>
          <w:rFonts w:ascii="宋体" w:hAnsi="宋体"/>
          <w:color w:val="000000"/>
          <w:sz w:val="22"/>
          <w:szCs w:val="22"/>
          <w:highlight w:val="none"/>
        </w:rPr>
        <w:t xml:space="preserve">o</w:t>
      </w:r>
      <w:bookmarkEnd w:id="680"/>
      <w:r/>
      <w:bookmarkEnd w:id="681"/>
      <w:r>
        <w:rPr>
          <w:rStyle w:val="979"/>
          <w:rFonts w:ascii="宋体" w:hAnsi="宋体"/>
          <w:color w:val="000000"/>
          <w:sz w:val="22"/>
          <w:szCs w:val="22"/>
          <w:highlight w:val="none"/>
        </w:rPr>
        <w:t xml:space="preserve">f.gov.cn/ztztz/zhengfucaigouguanli/201802/t20180201_2804589.htm</w:t>
      </w:r>
      <w:r>
        <w:rPr>
          <w:rFonts w:ascii="宋体" w:hAnsi="宋体"/>
          <w:color w:val="000000"/>
          <w:sz w:val="22"/>
          <w:szCs w:val="22"/>
          <w:highlight w:val="none"/>
        </w:rPr>
        <w:fldChar w:fldCharType="end"/>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2"/>
          <w:szCs w:val="22"/>
          <w:highlight w:val="none"/>
        </w:rPr>
      </w:r>
      <w:r/>
    </w:p>
    <w:p>
      <w:pPr>
        <w:pStyle w:val="906"/>
        <w:numPr>
          <w:ilvl w:val="2"/>
          <w:numId w:val="8"/>
        </w:numPr>
        <w:ind w:left="0" w:firstLine="440"/>
        <w:spacing w:line="360" w:lineRule="auto"/>
        <w:tabs>
          <w:tab w:val="left" w:pos="1980" w:leader="none"/>
        </w:tabs>
        <w:rPr>
          <w:rFonts w:hint="eastAsia" w:ascii="宋体" w:hAnsi="宋体"/>
          <w:color w:val="000000"/>
          <w:sz w:val="22"/>
          <w:szCs w:val="22"/>
          <w:highlight w:val="none"/>
        </w:rPr>
      </w:pPr>
      <w:r>
        <w:rPr>
          <w:rFonts w:ascii="宋体" w:hAnsi="宋体"/>
          <w:color w:val="000000"/>
          <w:sz w:val="22"/>
          <w:szCs w:val="22"/>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接收询问和质疑的联系部门、联系电话和通讯地址见《投标人须知资料表》</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ascii="宋体" w:hAnsi="宋体"/>
          <w:color w:val="000000"/>
          <w:sz w:val="22"/>
          <w:szCs w:val="22"/>
          <w:highlight w:val="none"/>
        </w:rPr>
      </w:pPr>
      <w:r>
        <w:rPr>
          <w:rFonts w:ascii="宋体" w:hAnsi="宋体"/>
          <w:color w:val="000000"/>
          <w:sz w:val="22"/>
          <w:szCs w:val="22"/>
          <w:highlight w:val="none"/>
        </w:rPr>
        <w:t xml:space="preserve">代理费</w:t>
      </w:r>
      <w:r>
        <w:rPr>
          <w:rFonts w:ascii="宋体" w:hAnsi="宋体"/>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ascii="宋体" w:hAnsi="宋体"/>
          <w:color w:val="000000"/>
          <w:sz w:val="22"/>
          <w:szCs w:val="22"/>
          <w:highlight w:val="none"/>
        </w:rPr>
      </w:pPr>
      <w:r>
        <w:rPr>
          <w:rFonts w:ascii="宋体" w:hAnsi="宋体"/>
          <w:color w:val="000000"/>
          <w:sz w:val="22"/>
          <w:szCs w:val="22"/>
          <w:highlight w:val="none"/>
        </w:rPr>
        <w:t xml:space="preserve">收费对象、收费标准及缴纳时间见《投标人须知资料表》。由中标人支付的，中标人须一次性向采购代理机构缴纳代理费，投标报价应包含代理费用。</w:t>
      </w:r>
      <w:bookmarkStart w:id="682" w:name="_Toc265228392"/>
      <w:r/>
      <w:bookmarkStart w:id="683" w:name="_Toc305158822"/>
      <w:r/>
      <w:bookmarkStart w:id="684" w:name="_Toc353825544"/>
      <w:r/>
      <w:bookmarkStart w:id="685" w:name="_Toc150480792"/>
      <w:r/>
      <w:bookmarkStart w:id="686" w:name="_Toc353873664"/>
      <w:r/>
      <w:bookmarkStart w:id="687" w:name="_Toc353873934"/>
      <w:r/>
      <w:bookmarkStart w:id="688" w:name="_Toc150774759"/>
      <w:r/>
      <w:bookmarkStart w:id="689" w:name="_Toc127151554"/>
      <w:r/>
      <w:bookmarkStart w:id="690" w:name="_Toc226965827"/>
      <w:r/>
      <w:bookmarkStart w:id="691" w:name="_Toc226337250"/>
      <w:r/>
      <w:bookmarkStart w:id="692" w:name="_Toc142311056"/>
      <w:r/>
      <w:bookmarkStart w:id="693" w:name="_Toc305158896"/>
      <w:r/>
      <w:bookmarkStart w:id="694" w:name="_Toc264969244"/>
      <w:r>
        <w:rPr>
          <w:rFonts w:ascii="宋体" w:hAnsi="宋体"/>
          <w:color w:val="000000"/>
          <w:sz w:val="22"/>
          <w:szCs w:val="22"/>
          <w:highlight w:val="none"/>
        </w:rPr>
      </w:r>
      <w:r/>
    </w:p>
    <w:p>
      <w:pPr>
        <w:pStyle w:val="906"/>
        <w:numPr>
          <w:ilvl w:val="0"/>
          <w:numId w:val="8"/>
        </w:numPr>
        <w:ind w:left="0" w:firstLine="440"/>
        <w:spacing w:line="360" w:lineRule="auto"/>
        <w:tabs>
          <w:tab w:val="left" w:pos="360" w:leader="none"/>
          <w:tab w:val="left" w:pos="900"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履约保证金</w:t>
      </w:r>
      <w:r>
        <w:rPr>
          <w:rFonts w:hint="eastAsia" w:ascii="宋体" w:hAnsi="宋体" w:eastAsia="宋体" w:cs="Times New Roman"/>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本项目免收履约保证金。</w:t>
      </w:r>
      <w:r>
        <w:rPr>
          <w:rFonts w:hint="eastAsia" w:ascii="宋体" w:hAnsi="宋体" w:eastAsia="宋体" w:cs="Times New Roman"/>
          <w:color w:val="000000"/>
          <w:sz w:val="22"/>
          <w:szCs w:val="22"/>
          <w:highlight w:val="none"/>
          <w:lang w:val="en-US" w:eastAsia="zh-CN"/>
        </w:rPr>
      </w:r>
      <w:r/>
    </w:p>
    <w:p>
      <w:pPr>
        <w:pStyle w:val="906"/>
        <w:numPr>
          <w:ilvl w:val="0"/>
          <w:numId w:val="8"/>
        </w:numPr>
        <w:ind w:left="0" w:firstLine="440"/>
        <w:spacing w:line="360" w:lineRule="auto"/>
        <w:tabs>
          <w:tab w:val="left" w:pos="360" w:leader="none"/>
          <w:tab w:val="left" w:pos="900"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纸质投标文件</w:t>
      </w:r>
      <w:r>
        <w:rPr>
          <w:rFonts w:hint="eastAsia" w:ascii="宋体" w:hAnsi="宋体" w:eastAsia="宋体" w:cs="Times New Roman"/>
          <w:color w:val="000000"/>
          <w:sz w:val="22"/>
          <w:szCs w:val="22"/>
          <w:highlight w:val="none"/>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中标人在签订合同前向代理机构提供正本2套纸质投标文件。</w:t>
      </w:r>
      <w:r>
        <w:rPr>
          <w:rFonts w:hint="eastAsia" w:ascii="宋体" w:hAnsi="宋体" w:eastAsia="宋体" w:cs="Times New Roman"/>
          <w:color w:val="000000"/>
          <w:sz w:val="22"/>
          <w:szCs w:val="22"/>
          <w:highlight w:val="none"/>
          <w:lang w:val="en-US" w:eastAsia="zh-CN"/>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纸质投标文件需与政府采购系统的投标文件一致，中标人应按照要求签字、盖章。</w:t>
      </w:r>
      <w:r>
        <w:rPr>
          <w:rFonts w:hint="eastAsia" w:ascii="宋体" w:hAnsi="宋体" w:eastAsia="宋体" w:cs="Times New Roman"/>
          <w:color w:val="000000"/>
          <w:sz w:val="22"/>
          <w:szCs w:val="22"/>
          <w:highlight w:val="none"/>
          <w:lang w:val="en-US" w:eastAsia="zh-CN"/>
        </w:rPr>
      </w:r>
      <w:r/>
    </w:p>
    <w:p>
      <w:pPr>
        <w:pStyle w:val="906"/>
        <w:numPr>
          <w:ilvl w:val="1"/>
          <w:numId w:val="8"/>
        </w:numPr>
        <w:ind w:left="0" w:firstLine="440"/>
        <w:spacing w:line="360" w:lineRule="auto"/>
        <w:tabs>
          <w:tab w:val="left" w:pos="1080" w:leader="none"/>
          <w:tab w:val="left" w:pos="1589" w:leader="none"/>
          <w:tab w:val="left" w:pos="2014" w:leader="none"/>
        </w:tabs>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招标文件所表述（指定）的公章是指法定名称章，不包括合同专用章、业务专用章等印章；盖章是指加盖鲜章。</w:t>
      </w:r>
      <w:r>
        <w:rPr>
          <w:rFonts w:hint="eastAsia" w:ascii="宋体" w:hAnsi="宋体" w:eastAsia="宋体" w:cs="Times New Roman"/>
          <w:color w:val="000000"/>
          <w:sz w:val="22"/>
          <w:szCs w:val="22"/>
          <w:highlight w:val="none"/>
          <w:lang w:val="en-US" w:eastAsia="zh-CN"/>
        </w:rPr>
      </w:r>
      <w:r/>
    </w:p>
    <w:p>
      <w:pPr>
        <w:pStyle w:val="937"/>
        <w:tabs>
          <w:tab w:val="left" w:pos="567" w:leader="none"/>
        </w:tabs>
        <w:rPr>
          <w:color w:val="000000"/>
          <w:highlight w:val="none"/>
        </w:rPr>
      </w:pPr>
      <w:r>
        <w:rPr>
          <w:color w:val="000000"/>
          <w:highlight w:val="none"/>
        </w:rPr>
      </w:r>
      <w:r/>
    </w:p>
    <w:p>
      <w:pPr>
        <w:pStyle w:val="906"/>
        <w:jc w:val="center"/>
        <w:spacing w:line="360" w:lineRule="auto"/>
        <w:rPr>
          <w:b/>
          <w:color w:val="000000"/>
          <w:sz w:val="36"/>
          <w:szCs w:val="36"/>
          <w:highlight w:val="none"/>
        </w:rPr>
        <w:outlineLvl w:val="0"/>
      </w:pPr>
      <w:r>
        <w:rPr>
          <w:color w:val="000000"/>
          <w:sz w:val="24"/>
          <w:highlight w:val="none"/>
        </w:rPr>
        <w:br w:type="page" w:clear="all"/>
      </w:r>
      <w:bookmarkStart w:id="695" w:name="_Toc2708"/>
      <w:r>
        <w:rPr>
          <w:b/>
          <w:color w:val="000000"/>
          <w:sz w:val="36"/>
          <w:szCs w:val="36"/>
          <w:highlight w:val="none"/>
        </w:rPr>
        <w:t xml:space="preserve">第三章   </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b/>
          <w:color w:val="000000"/>
          <w:sz w:val="36"/>
          <w:szCs w:val="36"/>
          <w:highlight w:val="none"/>
        </w:rPr>
        <w:t xml:space="preserve">资格审查</w:t>
      </w:r>
      <w:bookmarkEnd w:id="695"/>
      <w:r/>
      <w:bookmarkStart w:id="696" w:name="_Toc487900382"/>
      <w:r>
        <w:rPr>
          <w:b/>
          <w:color w:val="000000"/>
          <w:sz w:val="36"/>
          <w:szCs w:val="36"/>
          <w:highlight w:val="none"/>
        </w:rPr>
      </w:r>
      <w:r/>
    </w:p>
    <w:p>
      <w:pPr>
        <w:pStyle w:val="906"/>
        <w:jc w:val="center"/>
        <w:spacing w:line="360" w:lineRule="auto"/>
        <w:tabs>
          <w:tab w:val="left" w:pos="360" w:leader="none"/>
          <w:tab w:val="left" w:pos="900" w:leader="none"/>
        </w:tabs>
        <w:rPr>
          <w:b/>
          <w:color w:val="000000"/>
          <w:sz w:val="24"/>
          <w:highlight w:val="none"/>
        </w:rPr>
        <w:outlineLvl w:val="1"/>
      </w:pPr>
      <w:r/>
      <w:bookmarkStart w:id="697" w:name="_Toc99301422"/>
      <w:r>
        <w:rPr>
          <w:b/>
          <w:color w:val="000000"/>
          <w:sz w:val="24"/>
          <w:highlight w:val="none"/>
        </w:rPr>
        <w:t xml:space="preserve">一、资格审查程序</w:t>
      </w:r>
      <w:bookmarkEnd w:id="697"/>
      <w:r>
        <w:rPr>
          <w:b/>
          <w:color w:val="000000"/>
          <w:sz w:val="24"/>
          <w:highlight w:val="none"/>
        </w:rPr>
      </w:r>
      <w:r/>
    </w:p>
    <w:p>
      <w:pPr>
        <w:pStyle w:val="906"/>
        <w:spacing w:line="360" w:lineRule="auto"/>
        <w:tabs>
          <w:tab w:val="left" w:pos="426" w:leader="none"/>
          <w:tab w:val="left" w:pos="851" w:leader="none"/>
        </w:tabs>
        <w:rPr>
          <w:color w:val="000000"/>
          <w:sz w:val="22"/>
          <w:szCs w:val="22"/>
          <w:highlight w:val="none"/>
        </w:rPr>
        <w:outlineLvl w:val="1"/>
      </w:pPr>
      <w:r>
        <w:rPr>
          <w:rFonts w:hint="eastAsia"/>
          <w:color w:val="000000"/>
          <w:sz w:val="22"/>
          <w:szCs w:val="22"/>
          <w:highlight w:val="none"/>
        </w:rPr>
        <w:t xml:space="preserve">1、</w:t>
      </w:r>
      <w:r>
        <w:rPr>
          <w:color w:val="000000"/>
          <w:sz w:val="22"/>
          <w:szCs w:val="22"/>
          <w:highlight w:val="none"/>
        </w:rPr>
        <w:t xml:space="preserve">开标结束后，采购人将根据《资格审查要求》中的规定，对投标人进行资格审查，并形成资格审查结果。</w:t>
      </w:r>
      <w:r>
        <w:rPr>
          <w:color w:val="000000"/>
          <w:sz w:val="22"/>
          <w:szCs w:val="22"/>
          <w:highlight w:val="none"/>
        </w:rPr>
      </w:r>
      <w:r/>
    </w:p>
    <w:p>
      <w:pPr>
        <w:pStyle w:val="906"/>
        <w:spacing w:line="360" w:lineRule="auto"/>
        <w:tabs>
          <w:tab w:val="left" w:pos="426" w:leader="none"/>
          <w:tab w:val="left" w:pos="851" w:leader="none"/>
        </w:tabs>
        <w:rPr>
          <w:color w:val="000000"/>
          <w:sz w:val="22"/>
          <w:szCs w:val="22"/>
          <w:highlight w:val="none"/>
        </w:rPr>
        <w:outlineLvl w:val="1"/>
      </w:pPr>
      <w:r>
        <w:rPr>
          <w:rFonts w:hint="eastAsia"/>
          <w:color w:val="000000"/>
          <w:sz w:val="22"/>
          <w:szCs w:val="22"/>
          <w:highlight w:val="none"/>
        </w:rPr>
        <w:t xml:space="preserve">2、</w:t>
      </w:r>
      <w:r>
        <w:rPr>
          <w:color w:val="000000"/>
          <w:sz w:val="22"/>
          <w:szCs w:val="22"/>
          <w:highlight w:val="none"/>
        </w:rPr>
        <w:t xml:space="preserve">《资格审查要求》中对格式有要求的，除招标文件另有规定外，均为“实质性格式”文件。</w:t>
      </w:r>
      <w:r>
        <w:rPr>
          <w:color w:val="000000"/>
          <w:sz w:val="22"/>
          <w:szCs w:val="22"/>
          <w:highlight w:val="none"/>
        </w:rPr>
      </w:r>
      <w:r/>
    </w:p>
    <w:p>
      <w:pPr>
        <w:pStyle w:val="906"/>
        <w:spacing w:line="360" w:lineRule="auto"/>
        <w:tabs>
          <w:tab w:val="left" w:pos="426" w:leader="none"/>
          <w:tab w:val="left" w:pos="851" w:leader="none"/>
        </w:tabs>
        <w:rPr>
          <w:color w:val="000000"/>
          <w:sz w:val="22"/>
          <w:szCs w:val="22"/>
          <w:highlight w:val="none"/>
        </w:rPr>
        <w:outlineLvl w:val="1"/>
      </w:pPr>
      <w:r>
        <w:rPr>
          <w:rFonts w:hint="eastAsia"/>
          <w:color w:val="000000"/>
          <w:sz w:val="22"/>
          <w:szCs w:val="22"/>
          <w:highlight w:val="none"/>
        </w:rPr>
        <w:t xml:space="preserve">3、</w:t>
      </w:r>
      <w:r>
        <w:rPr>
          <w:color w:val="000000"/>
          <w:sz w:val="22"/>
          <w:szCs w:val="22"/>
          <w:highlight w:val="none"/>
        </w:rPr>
        <w:t xml:space="preserve">投标人《资格证明文件》有任何一项不符合《资格审查要求》的，资格审查不合格，其</w:t>
      </w:r>
      <w:r>
        <w:rPr>
          <w:b/>
          <w:color w:val="000000"/>
          <w:sz w:val="22"/>
          <w:szCs w:val="22"/>
          <w:highlight w:val="none"/>
        </w:rPr>
        <w:t xml:space="preserve">投标无效</w:t>
      </w:r>
      <w:r>
        <w:rPr>
          <w:color w:val="000000"/>
          <w:sz w:val="22"/>
          <w:szCs w:val="22"/>
          <w:highlight w:val="none"/>
        </w:rPr>
        <w:t xml:space="preserve">。</w:t>
      </w:r>
      <w:r>
        <w:rPr>
          <w:color w:val="000000"/>
          <w:sz w:val="22"/>
          <w:szCs w:val="22"/>
          <w:highlight w:val="none"/>
        </w:rPr>
      </w:r>
      <w:r/>
    </w:p>
    <w:p>
      <w:pPr>
        <w:pStyle w:val="906"/>
        <w:spacing w:line="360" w:lineRule="auto"/>
        <w:tabs>
          <w:tab w:val="left" w:pos="426" w:leader="none"/>
          <w:tab w:val="left" w:pos="851" w:leader="none"/>
        </w:tabs>
        <w:rPr>
          <w:color w:val="000000"/>
          <w:sz w:val="22"/>
          <w:szCs w:val="22"/>
          <w:highlight w:val="none"/>
        </w:rPr>
        <w:outlineLvl w:val="1"/>
      </w:pPr>
      <w:r>
        <w:rPr>
          <w:rFonts w:hint="eastAsia"/>
          <w:color w:val="000000"/>
          <w:sz w:val="22"/>
          <w:szCs w:val="22"/>
          <w:highlight w:val="none"/>
        </w:rPr>
        <w:t xml:space="preserve">4、</w:t>
      </w:r>
      <w:r>
        <w:rPr>
          <w:color w:val="000000"/>
          <w:sz w:val="22"/>
          <w:szCs w:val="22"/>
          <w:highlight w:val="none"/>
        </w:rPr>
        <w:t xml:space="preserve">资格审查合格的投标人不足3家的，不进行评标。</w:t>
      </w:r>
      <w:r>
        <w:rPr>
          <w:color w:val="000000"/>
          <w:sz w:val="22"/>
          <w:szCs w:val="22"/>
          <w:highlight w:val="none"/>
        </w:rPr>
      </w:r>
      <w:r/>
    </w:p>
    <w:p>
      <w:pPr>
        <w:pStyle w:val="906"/>
        <w:jc w:val="left"/>
        <w:widowControl/>
        <w:rPr>
          <w:color w:val="000000"/>
          <w:sz w:val="24"/>
          <w:highlight w:val="none"/>
        </w:rPr>
      </w:pPr>
      <w:r>
        <w:rPr>
          <w:color w:val="000000"/>
          <w:sz w:val="24"/>
          <w:highlight w:val="none"/>
        </w:rPr>
      </w:r>
      <w:r/>
    </w:p>
    <w:p>
      <w:pPr>
        <w:pStyle w:val="906"/>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018"/>
        <w:gridCol w:w="5047"/>
        <w:gridCol w:w="1701"/>
      </w:tblGrid>
      <w:tr>
        <w:trPr>
          <w:cantSplit/>
          <w:trHeight w:val="468"/>
          <w:tblHeader/>
        </w:trPr>
        <w:tc>
          <w:tcPr>
            <w:tcW w:w="861" w:type="dxa"/>
            <w:vAlign w:val="center"/>
            <w:textDirection w:val="lrTb"/>
            <w:noWrap w:val="false"/>
          </w:tcPr>
          <w:p>
            <w:pPr>
              <w:pStyle w:val="906"/>
              <w:jc w:val="center"/>
              <w:tabs>
                <w:tab w:val="left" w:pos="1080" w:leader="none"/>
              </w:tabs>
              <w:rPr>
                <w:rFonts w:ascii="宋体" w:hAnsi="宋体"/>
                <w:b/>
                <w:color w:val="000000"/>
                <w:sz w:val="22"/>
                <w:szCs w:val="22"/>
                <w:highlight w:val="none"/>
              </w:rPr>
            </w:pPr>
            <w:r/>
            <w:bookmarkStart w:id="698" w:name="_Hlt487972895"/>
            <w:r/>
            <w:bookmarkEnd w:id="698"/>
            <w:r>
              <w:rPr>
                <w:rFonts w:ascii="宋体" w:hAnsi="宋体"/>
                <w:b/>
                <w:color w:val="000000"/>
                <w:sz w:val="22"/>
                <w:szCs w:val="22"/>
                <w:highlight w:val="none"/>
              </w:rPr>
              <w:t xml:space="preserve">序号</w:t>
            </w:r>
            <w:r>
              <w:rPr>
                <w:rFonts w:ascii="宋体" w:hAnsi="宋体"/>
                <w:b/>
                <w:color w:val="000000"/>
                <w:sz w:val="22"/>
                <w:szCs w:val="22"/>
                <w:highlight w:val="none"/>
              </w:rPr>
            </w:r>
            <w:r/>
          </w:p>
        </w:tc>
        <w:tc>
          <w:tcPr>
            <w:tcW w:w="2018" w:type="dxa"/>
            <w:vAlign w:val="center"/>
            <w:textDirection w:val="lrTb"/>
            <w:noWrap w:val="false"/>
          </w:tcPr>
          <w:p>
            <w:pPr>
              <w:pStyle w:val="906"/>
              <w:jc w:val="center"/>
              <w:tabs>
                <w:tab w:val="left" w:pos="1080" w:leader="none"/>
              </w:tabs>
              <w:rPr>
                <w:rFonts w:ascii="宋体" w:hAnsi="宋体"/>
                <w:b/>
                <w:color w:val="000000"/>
                <w:sz w:val="22"/>
                <w:szCs w:val="22"/>
                <w:highlight w:val="none"/>
              </w:rPr>
            </w:pPr>
            <w:r>
              <w:rPr>
                <w:rFonts w:ascii="宋体" w:hAnsi="宋体"/>
                <w:b/>
                <w:color w:val="000000"/>
                <w:sz w:val="22"/>
                <w:szCs w:val="22"/>
                <w:highlight w:val="none"/>
              </w:rPr>
              <w:t xml:space="preserve">审查因素</w:t>
            </w:r>
            <w:r>
              <w:rPr>
                <w:rFonts w:ascii="宋体" w:hAnsi="宋体"/>
                <w:b/>
                <w:color w:val="000000"/>
                <w:sz w:val="22"/>
                <w:szCs w:val="22"/>
                <w:highlight w:val="none"/>
              </w:rPr>
            </w:r>
            <w:r/>
          </w:p>
        </w:tc>
        <w:tc>
          <w:tcPr>
            <w:tcW w:w="5047" w:type="dxa"/>
            <w:vAlign w:val="center"/>
            <w:textDirection w:val="lrTb"/>
            <w:noWrap w:val="false"/>
          </w:tcPr>
          <w:p>
            <w:pPr>
              <w:pStyle w:val="906"/>
              <w:jc w:val="center"/>
              <w:tabs>
                <w:tab w:val="left" w:pos="1080" w:leader="none"/>
              </w:tabs>
              <w:rPr>
                <w:rFonts w:ascii="宋体" w:hAnsi="宋体"/>
                <w:b/>
                <w:color w:val="000000"/>
                <w:sz w:val="22"/>
                <w:szCs w:val="22"/>
                <w:highlight w:val="none"/>
              </w:rPr>
            </w:pPr>
            <w:r>
              <w:rPr>
                <w:rFonts w:ascii="宋体" w:hAnsi="宋体"/>
                <w:b/>
                <w:color w:val="000000"/>
                <w:sz w:val="22"/>
                <w:szCs w:val="22"/>
                <w:highlight w:val="none"/>
              </w:rPr>
              <w:t xml:space="preserve">审查内容</w:t>
            </w:r>
            <w:r>
              <w:rPr>
                <w:rFonts w:ascii="宋体" w:hAnsi="宋体"/>
                <w:b/>
                <w:color w:val="000000"/>
                <w:sz w:val="22"/>
                <w:szCs w:val="22"/>
                <w:highlight w:val="none"/>
              </w:rPr>
            </w:r>
            <w:r/>
          </w:p>
        </w:tc>
        <w:tc>
          <w:tcPr>
            <w:tcW w:w="1701" w:type="dxa"/>
            <w:vAlign w:val="center"/>
            <w:textDirection w:val="lrTb"/>
            <w:noWrap w:val="false"/>
          </w:tcPr>
          <w:p>
            <w:pPr>
              <w:pStyle w:val="906"/>
              <w:jc w:val="center"/>
              <w:tabs>
                <w:tab w:val="left" w:pos="1080" w:leader="none"/>
              </w:tabs>
              <w:rPr>
                <w:rFonts w:ascii="宋体" w:hAnsi="宋体"/>
                <w:b/>
                <w:color w:val="000000"/>
                <w:sz w:val="22"/>
                <w:szCs w:val="22"/>
                <w:highlight w:val="none"/>
              </w:rPr>
            </w:pPr>
            <w:r>
              <w:rPr>
                <w:rFonts w:ascii="宋体" w:hAnsi="宋体"/>
                <w:b/>
                <w:color w:val="000000"/>
                <w:sz w:val="22"/>
                <w:szCs w:val="22"/>
                <w:highlight w:val="none"/>
              </w:rPr>
              <w:t xml:space="preserve">格式要求</w:t>
            </w:r>
            <w:r>
              <w:rPr>
                <w:rFonts w:ascii="宋体" w:hAnsi="宋体"/>
                <w:b/>
                <w:color w:val="000000"/>
                <w:sz w:val="22"/>
                <w:szCs w:val="22"/>
                <w:highlight w:val="none"/>
              </w:rPr>
            </w:r>
            <w:r/>
          </w:p>
        </w:tc>
      </w:tr>
      <w:tr>
        <w:trPr>
          <w:cantSplit/>
          <w:trHeight w:val="468"/>
        </w:trPr>
        <w:tc>
          <w:tcPr>
            <w:tcW w:w="861" w:type="dxa"/>
            <w:vAlign w:val="center"/>
            <w:textDirection w:val="lrTb"/>
            <w:noWrap w:val="false"/>
          </w:tcPr>
          <w:p>
            <w:pPr>
              <w:pStyle w:val="906"/>
              <w:jc w:val="center"/>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2018"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满足《中华人民共和国政府采购法》第二十二条规定及法律法规的其他规定</w:t>
            </w:r>
            <w:r>
              <w:rPr>
                <w:rFonts w:ascii="宋体" w:hAnsi="宋体"/>
                <w:color w:val="000000"/>
                <w:sz w:val="22"/>
                <w:szCs w:val="22"/>
                <w:highlight w:val="none"/>
              </w:rPr>
            </w:r>
            <w:r/>
          </w:p>
        </w:tc>
        <w:tc>
          <w:tcPr>
            <w:tcW w:w="5047"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具体规定见第一章《投标邀请》</w:t>
            </w:r>
            <w:r>
              <w:rPr>
                <w:rFonts w:ascii="宋体" w:hAnsi="宋体"/>
                <w:color w:val="000000"/>
                <w:sz w:val="22"/>
                <w:szCs w:val="22"/>
                <w:highlight w:val="none"/>
              </w:rPr>
            </w:r>
            <w:r/>
          </w:p>
        </w:tc>
        <w:tc>
          <w:tcPr>
            <w:tcW w:w="1701"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r>
            <w:r/>
          </w:p>
        </w:tc>
      </w:tr>
      <w:tr>
        <w:trPr>
          <w:cantSplit/>
          <w:trHeight w:val="468"/>
        </w:trPr>
        <w:tc>
          <w:tcPr>
            <w:tcW w:w="861" w:type="dxa"/>
            <w:vAlign w:val="center"/>
            <w:textDirection w:val="lrTb"/>
            <w:noWrap w:val="false"/>
          </w:tcPr>
          <w:p>
            <w:pPr>
              <w:pStyle w:val="906"/>
              <w:jc w:val="center"/>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1</w:t>
            </w: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018" w:type="dxa"/>
            <w:vAlign w:val="center"/>
            <w:textDirection w:val="lrTb"/>
            <w:noWrap w:val="false"/>
          </w:tcPr>
          <w:p>
            <w:pPr>
              <w:pStyle w:val="906"/>
              <w:tabs>
                <w:tab w:val="left" w:pos="1080" w:leader="none"/>
              </w:tabs>
              <w:rPr>
                <w:rFonts w:ascii="宋体" w:hAnsi="宋体"/>
                <w:color w:val="000000"/>
                <w:sz w:val="22"/>
                <w:szCs w:val="22"/>
                <w:highlight w:val="none"/>
              </w:rPr>
            </w:pPr>
            <w:r>
              <w:rPr>
                <w:rFonts w:hint="eastAsia" w:ascii="宋体" w:hAnsi="宋体"/>
                <w:color w:val="000000"/>
                <w:sz w:val="22"/>
                <w:szCs w:val="22"/>
                <w:highlight w:val="none"/>
              </w:rPr>
              <w:t xml:space="preserve">投标人资格声明函</w:t>
            </w:r>
            <w:r>
              <w:rPr>
                <w:rFonts w:ascii="宋体" w:hAnsi="宋体"/>
                <w:color w:val="000000"/>
                <w:sz w:val="22"/>
                <w:szCs w:val="22"/>
                <w:highlight w:val="none"/>
              </w:rPr>
            </w:r>
            <w:r/>
          </w:p>
        </w:tc>
        <w:tc>
          <w:tcPr>
            <w:tcW w:w="5047"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提供了符合招标文件要求的《</w:t>
            </w:r>
            <w:r>
              <w:rPr>
                <w:rFonts w:hint="eastAsia" w:ascii="宋体" w:hAnsi="宋体"/>
                <w:color w:val="000000"/>
                <w:sz w:val="22"/>
                <w:szCs w:val="22"/>
                <w:highlight w:val="none"/>
              </w:rPr>
              <w:t xml:space="preserve">投标人资格声明函</w:t>
            </w:r>
            <w:r>
              <w:rPr>
                <w:rFonts w:ascii="宋体" w:hAnsi="宋体"/>
                <w:color w:val="000000"/>
                <w:sz w:val="22"/>
                <w:szCs w:val="22"/>
                <w:highlight w:val="none"/>
              </w:rPr>
              <w:t xml:space="preserve">》。</w:t>
            </w:r>
            <w:r>
              <w:rPr>
                <w:rFonts w:ascii="宋体" w:hAnsi="宋体"/>
                <w:color w:val="000000"/>
                <w:sz w:val="22"/>
                <w:szCs w:val="22"/>
                <w:highlight w:val="none"/>
              </w:rPr>
            </w:r>
            <w:r/>
          </w:p>
        </w:tc>
        <w:tc>
          <w:tcPr>
            <w:tcW w:w="1701"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格式见《投标文件格式》</w:t>
            </w:r>
            <w:r>
              <w:rPr>
                <w:rFonts w:ascii="宋体" w:hAnsi="宋体"/>
                <w:color w:val="000000"/>
                <w:sz w:val="22"/>
                <w:szCs w:val="22"/>
                <w:highlight w:val="none"/>
              </w:rPr>
            </w:r>
            <w:r/>
          </w:p>
        </w:tc>
      </w:tr>
      <w:tr>
        <w:trPr>
          <w:cantSplit/>
          <w:trHeight w:val="468"/>
        </w:trPr>
        <w:tc>
          <w:tcPr>
            <w:tcW w:w="861" w:type="dxa"/>
            <w:vAlign w:val="center"/>
            <w:textDirection w:val="lrTb"/>
            <w:noWrap w:val="false"/>
          </w:tcPr>
          <w:p>
            <w:pPr>
              <w:pStyle w:val="906"/>
              <w:jc w:val="center"/>
              <w:tabs>
                <w:tab w:val="left" w:pos="1080" w:leader="none"/>
              </w:tabs>
              <w:rPr>
                <w:rFonts w:ascii="宋体" w:hAnsi="宋体"/>
                <w:color w:val="000000"/>
                <w:sz w:val="22"/>
                <w:szCs w:val="22"/>
                <w:highlight w:val="none"/>
              </w:rPr>
            </w:pPr>
            <w:r>
              <w:rPr>
                <w:rFonts w:hint="eastAsia" w:ascii="宋体" w:hAnsi="宋体"/>
                <w:color w:val="000000"/>
                <w:sz w:val="22"/>
                <w:szCs w:val="22"/>
                <w:highlight w:val="none"/>
              </w:rPr>
              <w:t xml:space="preserve">1-2</w:t>
            </w:r>
            <w:r>
              <w:rPr>
                <w:rFonts w:ascii="宋体" w:hAnsi="宋体"/>
                <w:color w:val="000000"/>
                <w:sz w:val="22"/>
                <w:szCs w:val="22"/>
                <w:highlight w:val="none"/>
              </w:rPr>
            </w:r>
            <w:r/>
          </w:p>
        </w:tc>
        <w:tc>
          <w:tcPr>
            <w:tcW w:w="2018"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投标人信用记录</w:t>
            </w:r>
            <w:r>
              <w:rPr>
                <w:rFonts w:ascii="宋体" w:hAnsi="宋体"/>
                <w:color w:val="000000"/>
                <w:sz w:val="22"/>
                <w:szCs w:val="22"/>
                <w:highlight w:val="none"/>
              </w:rPr>
            </w:r>
            <w:r/>
          </w:p>
        </w:tc>
        <w:tc>
          <w:tcPr>
            <w:tcW w:w="5047"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查询渠道：信用中国网站和中国政府采购网（www.creditchina.gov.cn、www.ccgp.gov.cn）；</w:t>
            </w:r>
            <w:r>
              <w:rPr>
                <w:rFonts w:ascii="宋体" w:hAnsi="宋体"/>
                <w:color w:val="000000"/>
                <w:sz w:val="22"/>
                <w:szCs w:val="22"/>
                <w:highlight w:val="none"/>
              </w:rPr>
            </w:r>
            <w:r/>
          </w:p>
          <w:p>
            <w:pPr>
              <w:pStyle w:val="906"/>
              <w:tabs>
                <w:tab w:val="left" w:pos="900" w:leader="none"/>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截止时点：投标截止时间以后、</w:t>
            </w:r>
            <w:r>
              <w:rPr>
                <w:rFonts w:hint="eastAsia" w:ascii="宋体" w:hAnsi="宋体"/>
                <w:color w:val="000000"/>
                <w:sz w:val="22"/>
                <w:szCs w:val="22"/>
                <w:highlight w:val="none"/>
              </w:rPr>
              <w:t xml:space="preserve">资格审查阶段采购人或</w:t>
            </w:r>
            <w:r>
              <w:rPr>
                <w:rFonts w:ascii="宋体" w:hAnsi="宋体"/>
                <w:color w:val="000000"/>
                <w:sz w:val="22"/>
                <w:szCs w:val="22"/>
                <w:highlight w:val="none"/>
              </w:rPr>
              <w:t xml:space="preserve">采购代理机构的实际查询时间；</w:t>
            </w:r>
            <w:r>
              <w:rPr>
                <w:rFonts w:ascii="宋体" w:hAnsi="宋体"/>
                <w:color w:val="000000"/>
                <w:sz w:val="22"/>
                <w:szCs w:val="22"/>
                <w:highlight w:val="none"/>
              </w:rPr>
            </w:r>
            <w:r/>
          </w:p>
          <w:p>
            <w:pPr>
              <w:pStyle w:val="906"/>
              <w:tabs>
                <w:tab w:val="left" w:pos="900" w:leader="none"/>
                <w:tab w:val="left" w:pos="1980" w:leader="none"/>
              </w:tabs>
              <w:rPr>
                <w:rFonts w:ascii="宋体" w:hAnsi="宋体"/>
                <w:color w:val="000000"/>
                <w:sz w:val="22"/>
                <w:szCs w:val="22"/>
                <w:highlight w:val="none"/>
              </w:rPr>
            </w:pPr>
            <w:r>
              <w:rPr>
                <w:rFonts w:ascii="宋体" w:hAnsi="宋体"/>
                <w:color w:val="000000"/>
                <w:sz w:val="22"/>
                <w:szCs w:val="22"/>
                <w:highlight w:val="none"/>
              </w:rPr>
              <w:t xml:space="preserve">信用信息查询记录和证据留存具体方式：查询结果网页打印页作为查询记录和证据，与其他采购文件一并保存；</w:t>
            </w:r>
            <w:r>
              <w:rPr>
                <w:rFonts w:ascii="宋体" w:hAnsi="宋体"/>
                <w:color w:val="000000"/>
                <w:sz w:val="22"/>
                <w:szCs w:val="22"/>
                <w:highlight w:val="none"/>
              </w:rPr>
            </w:r>
            <w:r/>
          </w:p>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2"/>
                <w:szCs w:val="22"/>
                <w:highlight w:val="none"/>
              </w:rPr>
              <w:t xml:space="preserve">投标无效</w:t>
            </w:r>
            <w:r>
              <w:rPr>
                <w:rFonts w:ascii="宋体" w:hAnsi="宋体"/>
                <w:color w:val="000000"/>
                <w:sz w:val="22"/>
                <w:szCs w:val="22"/>
                <w:highlight w:val="none"/>
              </w:rPr>
              <w:t xml:space="preserve">。联合体形式投标的，联合体成员存在不良信用记录，视同联合体存在不良信用记录。</w:t>
            </w:r>
            <w:r>
              <w:rPr>
                <w:rFonts w:ascii="宋体" w:hAnsi="宋体"/>
                <w:color w:val="000000"/>
                <w:sz w:val="22"/>
                <w:szCs w:val="22"/>
                <w:highlight w:val="none"/>
              </w:rPr>
            </w:r>
            <w:r/>
          </w:p>
        </w:tc>
        <w:tc>
          <w:tcPr>
            <w:tcW w:w="1701"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无须投标人提供，由采购人查询。</w:t>
            </w:r>
            <w:r>
              <w:rPr>
                <w:rFonts w:ascii="宋体" w:hAnsi="宋体"/>
                <w:color w:val="000000"/>
                <w:sz w:val="22"/>
                <w:szCs w:val="22"/>
                <w:highlight w:val="none"/>
              </w:rPr>
            </w:r>
            <w:r/>
          </w:p>
        </w:tc>
      </w:tr>
      <w:tr>
        <w:trPr>
          <w:cantSplit/>
          <w:trHeight w:val="590"/>
        </w:trPr>
        <w:tc>
          <w:tcPr>
            <w:tcW w:w="861" w:type="dxa"/>
            <w:vAlign w:val="center"/>
            <w:textDirection w:val="lrTb"/>
            <w:noWrap w:val="false"/>
          </w:tcPr>
          <w:p>
            <w:pPr>
              <w:pStyle w:val="906"/>
              <w:jc w:val="center"/>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2</w:t>
            </w:r>
            <w:r>
              <w:rPr>
                <w:rFonts w:ascii="宋体" w:hAnsi="宋体"/>
                <w:color w:val="000000"/>
                <w:sz w:val="22"/>
                <w:szCs w:val="22"/>
                <w:highlight w:val="none"/>
              </w:rPr>
            </w:r>
            <w:r/>
          </w:p>
        </w:tc>
        <w:tc>
          <w:tcPr>
            <w:tcW w:w="2018"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落实政府采购政策需满足的资格要求</w:t>
            </w:r>
            <w:r>
              <w:rPr>
                <w:rFonts w:ascii="宋体" w:hAnsi="宋体"/>
                <w:color w:val="000000"/>
                <w:sz w:val="22"/>
                <w:szCs w:val="22"/>
                <w:highlight w:val="none"/>
              </w:rPr>
            </w:r>
            <w:r/>
          </w:p>
        </w:tc>
        <w:tc>
          <w:tcPr>
            <w:tcW w:w="5047"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具体要求见第一章《投标邀请》</w:t>
            </w:r>
            <w:r>
              <w:rPr>
                <w:rFonts w:ascii="宋体" w:hAnsi="宋体"/>
                <w:color w:val="000000"/>
                <w:sz w:val="22"/>
                <w:szCs w:val="22"/>
                <w:highlight w:val="none"/>
              </w:rPr>
            </w:r>
            <w:r/>
          </w:p>
        </w:tc>
        <w:tc>
          <w:tcPr>
            <w:tcW w:w="1701"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r>
            <w:r/>
          </w:p>
        </w:tc>
      </w:tr>
      <w:tr>
        <w:trPr>
          <w:cantSplit/>
          <w:trHeight w:val="468"/>
        </w:trPr>
        <w:tc>
          <w:tcPr>
            <w:tcW w:w="861" w:type="dxa"/>
            <w:vAlign w:val="center"/>
            <w:textDirection w:val="lrTb"/>
            <w:noWrap w:val="false"/>
          </w:tcPr>
          <w:p>
            <w:pPr>
              <w:pStyle w:val="906"/>
              <w:jc w:val="center"/>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2-1</w:t>
            </w:r>
            <w:r>
              <w:rPr>
                <w:rFonts w:ascii="宋体" w:hAnsi="宋体"/>
                <w:color w:val="000000"/>
                <w:sz w:val="22"/>
                <w:szCs w:val="22"/>
                <w:highlight w:val="none"/>
              </w:rPr>
            </w:r>
            <w:r/>
          </w:p>
        </w:tc>
        <w:tc>
          <w:tcPr>
            <w:tcW w:w="2018"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中小企业声明函</w:t>
            </w:r>
            <w:r>
              <w:rPr>
                <w:rFonts w:ascii="宋体" w:hAnsi="宋体"/>
                <w:color w:val="000000"/>
                <w:sz w:val="22"/>
                <w:szCs w:val="22"/>
                <w:highlight w:val="none"/>
              </w:rPr>
            </w:r>
            <w:r/>
          </w:p>
        </w:tc>
        <w:tc>
          <w:tcPr>
            <w:tcW w:w="5047" w:type="dxa"/>
            <w:vAlign w:val="center"/>
            <w:textDirection w:val="lrTb"/>
            <w:noWrap w:val="false"/>
          </w:tcPr>
          <w:p>
            <w:pPr>
              <w:pStyle w:val="906"/>
              <w:tabs>
                <w:tab w:val="left" w:pos="1080" w:leader="none"/>
              </w:tabs>
              <w:rPr>
                <w:rFonts w:ascii="宋体" w:hAnsi="宋体"/>
                <w:color w:val="000000"/>
                <w:sz w:val="22"/>
                <w:szCs w:val="22"/>
                <w:highlight w:val="none"/>
              </w:rPr>
            </w:pPr>
            <w:r>
              <w:rPr>
                <w:rFonts w:hint="eastAsia" w:ascii="宋体" w:hAnsi="宋体"/>
                <w:color w:val="000000"/>
                <w:sz w:val="22"/>
                <w:szCs w:val="22"/>
                <w:highlight w:val="none"/>
              </w:rPr>
              <w:t xml:space="preserve">提供中小企业声明函；如为监狱企业或</w:t>
            </w:r>
            <w:r>
              <w:rPr>
                <w:rFonts w:ascii="宋体" w:hAnsi="宋体"/>
                <w:color w:val="000000"/>
                <w:sz w:val="22"/>
                <w:szCs w:val="22"/>
                <w:highlight w:val="none"/>
              </w:rPr>
              <w:t xml:space="preserve">残疾人福利性单位</w:t>
            </w:r>
            <w:r>
              <w:rPr>
                <w:rFonts w:hint="eastAsia" w:ascii="宋体" w:hAnsi="宋体"/>
                <w:color w:val="000000"/>
                <w:sz w:val="22"/>
                <w:szCs w:val="22"/>
                <w:highlight w:val="none"/>
              </w:rPr>
              <w:t xml:space="preserve">，不必提供中小企业声明函，但须按注1或注2要求提供证明材料。</w:t>
            </w:r>
            <w:r>
              <w:rPr>
                <w:rFonts w:ascii="宋体" w:hAnsi="宋体"/>
                <w:color w:val="000000"/>
                <w:sz w:val="22"/>
                <w:szCs w:val="22"/>
                <w:highlight w:val="none"/>
              </w:rPr>
            </w:r>
            <w:r/>
          </w:p>
          <w:p>
            <w:pPr>
              <w:pStyle w:val="906"/>
              <w:tabs>
                <w:tab w:val="left" w:pos="1080" w:leader="none"/>
              </w:tabs>
              <w:rPr>
                <w:rFonts w:ascii="宋体" w:hAnsi="宋体"/>
                <w:color w:val="000000"/>
                <w:sz w:val="22"/>
                <w:szCs w:val="22"/>
                <w:highlight w:val="none"/>
              </w:rPr>
            </w:pPr>
            <w:r>
              <w:rPr>
                <w:rFonts w:hint="eastAsia" w:ascii="宋体" w:hAnsi="宋体"/>
                <w:color w:val="000000"/>
                <w:sz w:val="22"/>
                <w:szCs w:val="22"/>
                <w:highlight w:val="none"/>
              </w:rPr>
              <w:t xml:space="preserve">注1：</w:t>
            </w:r>
            <w:r>
              <w:rPr>
                <w:rFonts w:ascii="宋体" w:hAnsi="宋体"/>
                <w:color w:val="000000"/>
                <w:sz w:val="22"/>
                <w:szCs w:val="22"/>
                <w:highlight w:val="none"/>
              </w:rPr>
              <w:t xml:space="preserve">监狱企业须提供由省级以上监狱管理局（常州市含教育矫治局）、戒毒管理局（含新疆生产建设兵团）出具的属于监狱企业的证明文件。</w:t>
            </w:r>
            <w:r>
              <w:rPr>
                <w:rFonts w:ascii="宋体" w:hAnsi="宋体"/>
                <w:color w:val="000000"/>
                <w:sz w:val="22"/>
                <w:szCs w:val="22"/>
                <w:highlight w:val="none"/>
              </w:rPr>
            </w:r>
            <w:r/>
          </w:p>
          <w:p>
            <w:pPr>
              <w:pStyle w:val="906"/>
              <w:tabs>
                <w:tab w:val="left" w:pos="1080" w:leader="none"/>
              </w:tabs>
              <w:rPr>
                <w:rFonts w:ascii="宋体" w:hAnsi="宋体"/>
                <w:color w:val="000000"/>
                <w:sz w:val="22"/>
                <w:szCs w:val="22"/>
                <w:highlight w:val="none"/>
              </w:rPr>
            </w:pPr>
            <w:r>
              <w:rPr>
                <w:rFonts w:hint="eastAsia" w:ascii="宋体" w:hAnsi="宋体"/>
                <w:color w:val="000000"/>
                <w:sz w:val="22"/>
                <w:szCs w:val="22"/>
                <w:highlight w:val="none"/>
              </w:rPr>
              <w:t xml:space="preserve">注2：</w:t>
            </w:r>
            <w:r>
              <w:rPr>
                <w:rFonts w:ascii="宋体" w:hAnsi="宋体"/>
                <w:color w:val="000000"/>
                <w:sz w:val="22"/>
                <w:szCs w:val="22"/>
                <w:highlight w:val="none"/>
              </w:rPr>
              <w:t xml:space="preserve">残疾人福利性单位须按招标文件要求提供《残疾人福利性单位声明函》。</w:t>
            </w:r>
            <w:r>
              <w:rPr>
                <w:rFonts w:ascii="宋体" w:hAnsi="宋体"/>
                <w:color w:val="000000"/>
                <w:sz w:val="22"/>
                <w:szCs w:val="22"/>
                <w:highlight w:val="none"/>
              </w:rPr>
            </w:r>
            <w:r/>
          </w:p>
        </w:tc>
        <w:tc>
          <w:tcPr>
            <w:tcW w:w="1701" w:type="dxa"/>
            <w:vAlign w:val="center"/>
            <w:textDirection w:val="lrTb"/>
            <w:noWrap w:val="false"/>
          </w:tcPr>
          <w:p>
            <w:pPr>
              <w:pStyle w:val="906"/>
              <w:tabs>
                <w:tab w:val="left" w:pos="1080" w:leader="none"/>
              </w:tabs>
              <w:rPr>
                <w:rFonts w:ascii="宋体" w:hAnsi="宋体"/>
                <w:color w:val="000000"/>
                <w:sz w:val="22"/>
                <w:szCs w:val="22"/>
                <w:highlight w:val="none"/>
              </w:rPr>
            </w:pPr>
            <w:r>
              <w:rPr>
                <w:rFonts w:ascii="宋体" w:hAnsi="宋体"/>
                <w:color w:val="000000"/>
                <w:sz w:val="22"/>
                <w:szCs w:val="22"/>
                <w:highlight w:val="none"/>
              </w:rPr>
              <w:t xml:space="preserve">格式见《投标文件格式》</w:t>
            </w:r>
            <w:r>
              <w:rPr>
                <w:rFonts w:ascii="宋体" w:hAnsi="宋体"/>
                <w:color w:val="000000"/>
                <w:sz w:val="22"/>
                <w:szCs w:val="22"/>
                <w:highlight w:val="none"/>
              </w:rPr>
            </w:r>
            <w:r/>
          </w:p>
        </w:tc>
      </w:tr>
    </w:tbl>
    <w:p>
      <w:pPr>
        <w:pStyle w:val="906"/>
        <w:jc w:val="left"/>
        <w:widowControl/>
        <w:rPr>
          <w:color w:val="000000"/>
          <w:sz w:val="24"/>
          <w:highlight w:val="none"/>
        </w:rPr>
      </w:pPr>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696"/>
      <w:r/>
      <w:bookmarkStart w:id="699" w:name="_Toc353825550"/>
      <w:r/>
      <w:bookmarkStart w:id="700" w:name="_Toc127151779"/>
      <w:r/>
      <w:bookmarkStart w:id="701" w:name="_Toc226965858"/>
      <w:r/>
      <w:bookmarkStart w:id="702" w:name="_Toc127161490"/>
      <w:r/>
      <w:bookmarkStart w:id="703" w:name="_Toc353873940"/>
      <w:r>
        <w:rPr>
          <w:color w:val="000000"/>
          <w:sz w:val="24"/>
          <w:highlight w:val="none"/>
        </w:rPr>
        <w:br w:type="page" w:clear="all"/>
      </w:r>
      <w:r>
        <w:rPr>
          <w:color w:val="000000"/>
          <w:sz w:val="24"/>
          <w:highlight w:val="none"/>
        </w:rPr>
      </w:r>
      <w:r/>
    </w:p>
    <w:p>
      <w:pPr>
        <w:pStyle w:val="906"/>
        <w:jc w:val="center"/>
        <w:spacing w:line="360" w:lineRule="auto"/>
        <w:rPr>
          <w:b/>
          <w:color w:val="000000"/>
          <w:sz w:val="36"/>
          <w:szCs w:val="36"/>
          <w:highlight w:val="none"/>
        </w:rPr>
        <w:outlineLvl w:val="0"/>
      </w:pPr>
      <w:r/>
      <w:bookmarkStart w:id="704" w:name="_Toc11005"/>
      <w:r>
        <w:rPr>
          <w:b/>
          <w:color w:val="000000"/>
          <w:sz w:val="36"/>
          <w:szCs w:val="36"/>
          <w:highlight w:val="none"/>
        </w:rPr>
        <w:t xml:space="preserve">第四章   </w:t>
      </w:r>
      <w:bookmarkEnd w:id="699"/>
      <w:r/>
      <w:bookmarkEnd w:id="700"/>
      <w:r/>
      <w:bookmarkEnd w:id="701"/>
      <w:r/>
      <w:bookmarkEnd w:id="702"/>
      <w:r/>
      <w:bookmarkEnd w:id="703"/>
      <w:r/>
      <w:bookmarkStart w:id="705" w:name="_Hlt164229061"/>
      <w:r/>
      <w:bookmarkEnd w:id="705"/>
      <w:r>
        <w:rPr>
          <w:b/>
          <w:color w:val="000000"/>
          <w:sz w:val="36"/>
          <w:szCs w:val="36"/>
          <w:highlight w:val="none"/>
        </w:rPr>
        <w:t xml:space="preserve">评标程序、评标方法和评标标准</w:t>
      </w:r>
      <w:bookmarkEnd w:id="704"/>
      <w:r>
        <w:rPr>
          <w:b/>
          <w:color w:val="000000"/>
          <w:sz w:val="36"/>
          <w:szCs w:val="36"/>
          <w:highlight w:val="none"/>
        </w:rPr>
      </w:r>
      <w:r/>
    </w:p>
    <w:p>
      <w:pPr>
        <w:pStyle w:val="906"/>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06"/>
        <w:numPr>
          <w:ilvl w:val="0"/>
          <w:numId w:val="0"/>
        </w:numPr>
        <w:ind w:left="0" w:firstLine="440"/>
        <w:spacing w:line="360" w:lineRule="auto"/>
        <w:tabs>
          <w:tab w:val="left" w:pos="360" w:leader="none"/>
        </w:tabs>
        <w:rPr>
          <w:color w:val="000000"/>
          <w:sz w:val="22"/>
          <w:szCs w:val="22"/>
          <w:highlight w:val="none"/>
        </w:rPr>
      </w:pPr>
      <w:r/>
      <w:bookmarkStart w:id="706" w:name="_Toc264969231"/>
      <w:r/>
      <w:bookmarkStart w:id="707" w:name="_Toc151193855"/>
      <w:r/>
      <w:bookmarkStart w:id="708" w:name="_Toc265228379"/>
      <w:r/>
      <w:bookmarkStart w:id="709" w:name="_Toc305158809"/>
      <w:r/>
      <w:bookmarkStart w:id="710" w:name="_Toc164351635"/>
      <w:r/>
      <w:bookmarkStart w:id="711" w:name="_Toc127151742"/>
      <w:r/>
      <w:bookmarkStart w:id="712" w:name="_Toc305158883"/>
      <w:r/>
      <w:bookmarkStart w:id="713" w:name="_Toc164229236"/>
      <w:r/>
      <w:bookmarkStart w:id="714" w:name="_Toc164608655"/>
      <w:r/>
      <w:bookmarkStart w:id="715" w:name="_Toc150509292"/>
      <w:r/>
      <w:bookmarkStart w:id="716" w:name="_Toc149720834"/>
      <w:r/>
      <w:bookmarkStart w:id="717" w:name="_Toc151190168"/>
      <w:r/>
      <w:bookmarkStart w:id="718" w:name="_Toc151193639"/>
      <w:r/>
      <w:bookmarkStart w:id="719" w:name="_Toc151193711"/>
      <w:r/>
      <w:bookmarkStart w:id="720" w:name="_Toc226309785"/>
      <w:r/>
      <w:bookmarkStart w:id="721" w:name="_Toc164608810"/>
      <w:r/>
      <w:bookmarkStart w:id="722" w:name="_Toc195842906"/>
      <w:r/>
      <w:bookmarkStart w:id="723" w:name="_Toc142311043"/>
      <w:r/>
      <w:bookmarkStart w:id="724" w:name="_Toc226337237"/>
      <w:r/>
      <w:bookmarkStart w:id="725" w:name="_Toc164229382"/>
      <w:r/>
      <w:bookmarkStart w:id="726" w:name="_Toc226965731"/>
      <w:r/>
      <w:bookmarkStart w:id="727" w:name="_Toc127151541"/>
      <w:r/>
      <w:bookmarkStart w:id="728" w:name="_Toc150774641"/>
      <w:r/>
      <w:bookmarkStart w:id="729" w:name="_Toc226965814"/>
      <w:r/>
      <w:bookmarkStart w:id="730" w:name="_Toc150480779"/>
      <w:r/>
      <w:bookmarkStart w:id="731" w:name="_Toc127161455"/>
      <w:r/>
      <w:bookmarkStart w:id="732" w:name="_Toc151193929"/>
      <w:r/>
      <w:bookmarkStart w:id="733" w:name="_Toc151193783"/>
      <w:r/>
      <w:bookmarkStart w:id="734" w:name="_Toc150774746"/>
      <w:r/>
      <w:bookmarkStart w:id="735" w:name="_Toc353825551"/>
      <w:r/>
      <w:bookmarkStart w:id="736" w:name="_Toc353873941"/>
      <w:r/>
      <w:bookmarkStart w:id="737" w:name="_Toc226965828"/>
      <w:r/>
      <w:bookmarkStart w:id="738" w:name="_Toc195842920"/>
      <w:r/>
      <w:bookmarkStart w:id="739" w:name="_Toc265228393"/>
      <w:r/>
      <w:bookmarkStart w:id="740" w:name="_Toc150480793"/>
      <w:r/>
      <w:bookmarkStart w:id="741" w:name="_Toc353825545"/>
      <w:r/>
      <w:bookmarkStart w:id="742" w:name="_Toc305158823"/>
      <w:r/>
      <w:bookmarkStart w:id="743" w:name="_Toc142311057"/>
      <w:r/>
      <w:bookmarkStart w:id="744" w:name="_Toc127151555"/>
      <w:r/>
      <w:bookmarkStart w:id="745" w:name="_Toc150774760"/>
      <w:r/>
      <w:bookmarkStart w:id="746" w:name="_Toc264969245"/>
      <w:r/>
      <w:bookmarkStart w:id="747" w:name="_Toc226337251"/>
      <w:r/>
      <w:bookmarkStart w:id="748" w:name="_Toc305158897"/>
      <w:r/>
      <w:bookmarkStart w:id="749" w:name="_Toc353873935"/>
      <w:r/>
      <w:bookmarkStart w:id="750" w:name="_Toc353873665"/>
      <w:r>
        <w:rPr>
          <w:rFonts w:hint="eastAsia"/>
          <w:color w:val="000000"/>
          <w:sz w:val="22"/>
          <w:szCs w:val="22"/>
          <w:highlight w:val="none"/>
          <w:lang w:val="en-US" w:eastAsia="zh-CN" w:bidi="ar-SA"/>
        </w:rPr>
        <w:t xml:space="preserve">1</w:t>
      </w:r>
      <w:r>
        <w:rPr>
          <w:color w:val="000000"/>
          <w:sz w:val="22"/>
          <w:szCs w:val="22"/>
          <w:highlight w:val="none"/>
        </w:rPr>
        <w:t xml:space="preserve">投标文件的符合性审查</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1.1</w:t>
      </w:r>
      <w:r>
        <w:rPr>
          <w:color w:val="000000"/>
          <w:sz w:val="22"/>
          <w:szCs w:val="22"/>
          <w:highlight w:val="none"/>
        </w:rPr>
        <w:t xml:space="preserve">评标委员会对资格审查合格的投标人的投标文件进行符合性审查，以确定其是否满足招标文件的实质性要求。</w:t>
      </w:r>
      <w:bookmarkStart w:id="751" w:name="_Toc520356167"/>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1.2</w:t>
      </w:r>
      <w:r>
        <w:rPr>
          <w:color w:val="000000"/>
          <w:sz w:val="22"/>
          <w:szCs w:val="22"/>
          <w:highlight w:val="none"/>
        </w:rPr>
        <w:t xml:space="preserve">评标委员会根据《符合性审查</w:t>
      </w:r>
      <w:r>
        <w:rPr>
          <w:rFonts w:hint="eastAsia"/>
          <w:color w:val="000000"/>
          <w:sz w:val="22"/>
          <w:szCs w:val="22"/>
          <w:highlight w:val="none"/>
        </w:rPr>
        <w:t xml:space="preserve">要求</w:t>
      </w:r>
      <w:r>
        <w:rPr>
          <w:color w:val="000000"/>
          <w:sz w:val="22"/>
          <w:szCs w:val="22"/>
          <w:highlight w:val="none"/>
        </w:rPr>
        <w:t xml:space="preserve">》中规定的审查因素和审查内容，对投标人的投标文件是否实质上响应招标文件进行符合性审查，并形成符合性审查评审结果。</w:t>
      </w:r>
      <w:r>
        <w:rPr>
          <w:rFonts w:hint="eastAsia"/>
          <w:color w:val="000000"/>
          <w:sz w:val="22"/>
          <w:szCs w:val="22"/>
          <w:highlight w:val="none"/>
        </w:rPr>
        <w:t xml:space="preserve">投标人《商务技术文件》有任何一项不符合</w:t>
      </w:r>
      <w:r>
        <w:rPr>
          <w:color w:val="000000"/>
          <w:sz w:val="22"/>
          <w:szCs w:val="22"/>
          <w:highlight w:val="none"/>
        </w:rPr>
        <w:t xml:space="preserve">《符合性审查</w:t>
      </w:r>
      <w:r>
        <w:rPr>
          <w:rFonts w:hint="eastAsia"/>
          <w:color w:val="000000"/>
          <w:sz w:val="22"/>
          <w:szCs w:val="22"/>
          <w:highlight w:val="none"/>
        </w:rPr>
        <w:t xml:space="preserve">要求</w:t>
      </w:r>
      <w:r>
        <w:rPr>
          <w:color w:val="000000"/>
          <w:sz w:val="22"/>
          <w:szCs w:val="22"/>
          <w:highlight w:val="none"/>
        </w:rPr>
        <w:t xml:space="preserve">》</w:t>
      </w:r>
      <w:bookmarkEnd w:id="751"/>
      <w:r>
        <w:rPr>
          <w:rFonts w:hint="eastAsia"/>
          <w:color w:val="000000"/>
          <w:sz w:val="22"/>
          <w:szCs w:val="22"/>
          <w:highlight w:val="none"/>
        </w:rPr>
        <w:t xml:space="preserve">要求的，</w:t>
      </w:r>
      <w:r>
        <w:rPr>
          <w:rFonts w:hint="eastAsia"/>
          <w:b/>
          <w:color w:val="000000"/>
          <w:sz w:val="22"/>
          <w:szCs w:val="22"/>
          <w:highlight w:val="none"/>
        </w:rPr>
        <w:t xml:space="preserve">投标无效</w:t>
      </w:r>
      <w:r>
        <w:rPr>
          <w:rFonts w:hint="eastAsia"/>
          <w:color w:val="000000"/>
          <w:sz w:val="22"/>
          <w:szCs w:val="22"/>
          <w:highlight w:val="none"/>
        </w:rPr>
        <w:t xml:space="preserve">。</w:t>
      </w:r>
      <w:r>
        <w:rPr>
          <w:color w:val="000000"/>
          <w:sz w:val="22"/>
          <w:szCs w:val="22"/>
          <w:highlight w:val="none"/>
        </w:rPr>
      </w:r>
      <w:r/>
    </w:p>
    <w:p>
      <w:pPr>
        <w:pStyle w:val="906"/>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835"/>
        <w:gridCol w:w="6807"/>
      </w:tblGrid>
      <w:tr>
        <w:trPr>
          <w:trHeight w:val="300"/>
        </w:trPr>
        <w:tc>
          <w:tcPr>
            <w:tcW w:w="404" w:type="dxa"/>
            <w:vAlign w:val="center"/>
            <w:textDirection w:val="lrTb"/>
            <w:noWrap w:val="false"/>
          </w:tcPr>
          <w:p>
            <w:pPr>
              <w:pStyle w:val="906"/>
              <w:jc w:val="center"/>
              <w:widowControl/>
              <w:rPr>
                <w:b/>
                <w:color w:val="000000"/>
                <w:sz w:val="22"/>
                <w:szCs w:val="22"/>
                <w:highlight w:val="none"/>
              </w:rPr>
            </w:pPr>
            <w:r>
              <w:rPr>
                <w:b/>
                <w:color w:val="000000"/>
                <w:sz w:val="22"/>
                <w:szCs w:val="22"/>
                <w:highlight w:val="none"/>
              </w:rPr>
              <w:t xml:space="preserve">序号</w:t>
            </w:r>
            <w:r>
              <w:rPr>
                <w:b/>
                <w:color w:val="000000"/>
                <w:sz w:val="22"/>
                <w:szCs w:val="22"/>
                <w:highlight w:val="none"/>
              </w:rPr>
            </w:r>
            <w:r/>
          </w:p>
        </w:tc>
        <w:tc>
          <w:tcPr>
            <w:tcW w:w="976" w:type="dxa"/>
            <w:vAlign w:val="center"/>
            <w:textDirection w:val="lrTb"/>
            <w:noWrap w:val="false"/>
          </w:tcPr>
          <w:p>
            <w:pPr>
              <w:pStyle w:val="906"/>
              <w:jc w:val="center"/>
              <w:widowControl/>
              <w:rPr>
                <w:b/>
                <w:color w:val="000000"/>
                <w:sz w:val="22"/>
                <w:szCs w:val="22"/>
                <w:highlight w:val="none"/>
              </w:rPr>
            </w:pPr>
            <w:r>
              <w:rPr>
                <w:b/>
                <w:color w:val="000000"/>
                <w:sz w:val="22"/>
                <w:szCs w:val="22"/>
                <w:highlight w:val="none"/>
              </w:rPr>
              <w:t xml:space="preserve">审查因素</w:t>
            </w:r>
            <w:r>
              <w:rPr>
                <w:b/>
                <w:color w:val="000000"/>
                <w:sz w:val="22"/>
                <w:szCs w:val="22"/>
                <w:highlight w:val="none"/>
              </w:rPr>
            </w:r>
            <w:r/>
          </w:p>
        </w:tc>
        <w:tc>
          <w:tcPr>
            <w:tcW w:w="3620" w:type="dxa"/>
            <w:vAlign w:val="center"/>
            <w:textDirection w:val="lrTb"/>
            <w:noWrap w:val="false"/>
          </w:tcPr>
          <w:p>
            <w:pPr>
              <w:pStyle w:val="906"/>
              <w:jc w:val="center"/>
              <w:widowControl/>
              <w:rPr>
                <w:b/>
                <w:color w:val="000000"/>
                <w:sz w:val="22"/>
                <w:szCs w:val="22"/>
                <w:highlight w:val="none"/>
              </w:rPr>
            </w:pPr>
            <w:r>
              <w:rPr>
                <w:b/>
                <w:color w:val="000000"/>
                <w:sz w:val="22"/>
                <w:szCs w:val="22"/>
                <w:highlight w:val="none"/>
              </w:rPr>
              <w:t xml:space="preserve">审查内容</w:t>
            </w:r>
            <w:r>
              <w:rPr>
                <w:b/>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976" w:type="dxa"/>
            <w:vAlign w:val="center"/>
            <w:textDirection w:val="lrTb"/>
            <w:noWrap w:val="false"/>
          </w:tcPr>
          <w:p>
            <w:pPr>
              <w:pStyle w:val="906"/>
              <w:jc w:val="left"/>
              <w:widowControl/>
              <w:rPr>
                <w:rFonts w:eastAsia="宋体"/>
                <w:color w:val="000000"/>
                <w:sz w:val="22"/>
                <w:szCs w:val="22"/>
                <w:highlight w:val="none"/>
                <w:lang w:val="en-US" w:eastAsia="zh-CN"/>
              </w:rPr>
            </w:pPr>
            <w:r>
              <w:rPr>
                <w:rFonts w:hint="eastAsia"/>
                <w:color w:val="000000"/>
                <w:sz w:val="22"/>
                <w:szCs w:val="22"/>
                <w:highlight w:val="none"/>
              </w:rPr>
              <w:t xml:space="preserve">投标函、</w:t>
            </w:r>
            <w:r>
              <w:rPr>
                <w:rFonts w:hint="eastAsia"/>
                <w:color w:val="000000"/>
                <w:sz w:val="22"/>
                <w:szCs w:val="22"/>
                <w:highlight w:val="none"/>
              </w:rPr>
              <w:t xml:space="preserve">法定代表人资格证明书</w:t>
            </w:r>
            <w:r>
              <w:rPr>
                <w:rFonts w:hint="eastAsia"/>
                <w:color w:val="000000"/>
                <w:sz w:val="22"/>
                <w:szCs w:val="22"/>
                <w:highlight w:val="none"/>
                <w:lang w:eastAsia="zh-CN"/>
              </w:rPr>
              <w:t xml:space="preserve">、</w:t>
            </w:r>
            <w:r>
              <w:rPr>
                <w:rFonts w:hint="eastAsia"/>
                <w:color w:val="000000"/>
                <w:sz w:val="22"/>
                <w:szCs w:val="22"/>
                <w:highlight w:val="none"/>
              </w:rPr>
              <w:t xml:space="preserve">政府采购供应商信用承诺书</w:t>
            </w:r>
            <w:r>
              <w:rPr>
                <w:rFonts w:hint="eastAsia"/>
                <w:color w:val="000000"/>
                <w:sz w:val="22"/>
                <w:szCs w:val="22"/>
                <w:highlight w:val="none"/>
                <w:lang w:val="en-US" w:eastAsia="zh-CN"/>
              </w:rPr>
              <w:t xml:space="preserve">和营业执照</w:t>
            </w:r>
            <w:r>
              <w:rPr>
                <w:rFonts w:eastAsia="宋体"/>
                <w:color w:val="000000"/>
                <w:sz w:val="22"/>
                <w:szCs w:val="22"/>
                <w:highlight w:val="none"/>
                <w:lang w:val="en-US" w:eastAsia="zh-CN"/>
              </w:rPr>
            </w:r>
            <w:r/>
          </w:p>
        </w:tc>
        <w:tc>
          <w:tcPr>
            <w:tcW w:w="3620" w:type="dxa"/>
            <w:vAlign w:val="center"/>
            <w:textDirection w:val="lrTb"/>
            <w:noWrap w:val="false"/>
          </w:tcPr>
          <w:p>
            <w:pPr>
              <w:pStyle w:val="906"/>
              <w:jc w:val="left"/>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t xml:space="preserve">按招标文件要求提供</w:t>
            </w:r>
            <w:r>
              <w:rPr>
                <w:rFonts w:hint="eastAsia" w:ascii="Times New Roman" w:hAnsi="Times New Roman" w:eastAsia="宋体" w:cs="Times New Roman"/>
                <w:b/>
                <w:bCs/>
                <w:color w:val="000000"/>
                <w:sz w:val="22"/>
                <w:szCs w:val="22"/>
                <w:highlight w:val="none"/>
              </w:rPr>
              <w:t xml:space="preserve">投标函、法定代表人资格证明书</w:t>
            </w:r>
            <w:r>
              <w:rPr>
                <w:rFonts w:hint="eastAsia" w:ascii="Times New Roman" w:hAnsi="Times New Roman" w:eastAsia="宋体" w:cs="Times New Roman"/>
                <w:b/>
                <w:bCs/>
                <w:color w:val="000000"/>
                <w:sz w:val="22"/>
                <w:szCs w:val="22"/>
                <w:highlight w:val="none"/>
                <w:lang w:eastAsia="zh-CN"/>
              </w:rPr>
              <w:t xml:space="preserve">（</w:t>
            </w:r>
            <w:r>
              <w:rPr>
                <w:rFonts w:hint="eastAsia" w:ascii="Times New Roman" w:hAnsi="Times New Roman" w:eastAsia="宋体" w:cs="Times New Roman"/>
                <w:b/>
                <w:bCs/>
                <w:color w:val="000000"/>
                <w:sz w:val="22"/>
                <w:szCs w:val="22"/>
                <w:highlight w:val="none"/>
              </w:rPr>
              <w:t xml:space="preserve">委托代理人参加的</w:t>
            </w:r>
            <w:r>
              <w:rPr>
                <w:rFonts w:hint="eastAsia" w:ascii="Times New Roman" w:hAnsi="Times New Roman" w:eastAsia="宋体" w:cs="Times New Roman"/>
                <w:b/>
                <w:bCs/>
                <w:color w:val="000000"/>
                <w:sz w:val="22"/>
                <w:szCs w:val="22"/>
                <w:highlight w:val="none"/>
                <w:lang w:val="en-US" w:eastAsia="zh-CN"/>
              </w:rPr>
              <w:t xml:space="preserve">还须提供</w:t>
            </w:r>
            <w:r>
              <w:rPr>
                <w:rFonts w:hint="eastAsia" w:ascii="Times New Roman" w:hAnsi="Times New Roman" w:eastAsia="宋体" w:cs="Times New Roman"/>
                <w:b/>
                <w:bCs/>
                <w:color w:val="000000"/>
                <w:sz w:val="22"/>
                <w:szCs w:val="22"/>
                <w:highlight w:val="none"/>
              </w:rPr>
              <w:t xml:space="preserve">授权委托书和本人身份证</w:t>
            </w:r>
            <w:r>
              <w:rPr>
                <w:rFonts w:hint="eastAsia" w:ascii="Times New Roman" w:hAnsi="Times New Roman" w:eastAsia="宋体" w:cs="Times New Roman"/>
                <w:b/>
                <w:bCs/>
                <w:color w:val="000000"/>
                <w:sz w:val="22"/>
                <w:szCs w:val="22"/>
                <w:highlight w:val="none"/>
                <w:lang w:eastAsia="zh-CN"/>
              </w:rPr>
              <w:t xml:space="preserve">）、</w:t>
            </w:r>
            <w:r>
              <w:rPr>
                <w:rFonts w:hint="eastAsia" w:ascii="Times New Roman" w:hAnsi="Times New Roman" w:eastAsia="宋体" w:cs="Times New Roman"/>
                <w:b/>
                <w:bCs/>
                <w:color w:val="000000"/>
                <w:sz w:val="22"/>
                <w:szCs w:val="22"/>
                <w:highlight w:val="none"/>
              </w:rPr>
              <w:t xml:space="preserve">政府采购供应商信用承诺书</w:t>
            </w:r>
            <w:r>
              <w:rPr>
                <w:rFonts w:hint="eastAsia" w:ascii="Times New Roman" w:hAnsi="Times New Roman" w:eastAsia="宋体" w:cs="Times New Roman"/>
                <w:b/>
                <w:bCs/>
                <w:color w:val="000000"/>
                <w:sz w:val="22"/>
                <w:szCs w:val="22"/>
                <w:highlight w:val="none"/>
                <w:lang w:val="en-US" w:eastAsia="zh-CN"/>
              </w:rPr>
              <w:t xml:space="preserve">和</w:t>
            </w:r>
            <w:r>
              <w:rPr>
                <w:rFonts w:hint="eastAsia" w:ascii="Times New Roman" w:hAnsi="Times New Roman" w:eastAsia="宋体" w:cs="Times New Roman"/>
                <w:b/>
                <w:bCs/>
                <w:color w:val="000000"/>
                <w:sz w:val="22"/>
                <w:szCs w:val="22"/>
                <w:highlight w:val="none"/>
              </w:rPr>
              <w:t xml:space="preserve">营业执照</w:t>
            </w:r>
            <w:r>
              <w:rPr>
                <w:rFonts w:ascii="Times New Roman" w:hAnsi="Times New Roman" w:eastAsia="宋体" w:cs="Times New Roman"/>
                <w:color w:val="000000"/>
                <w:sz w:val="22"/>
                <w:szCs w:val="22"/>
                <w:highlight w:val="none"/>
              </w:rPr>
              <w:t xml:space="preserve">；</w:t>
            </w:r>
            <w:r>
              <w:rPr>
                <w:rFonts w:ascii="Times New Roman" w:hAnsi="Times New Roman" w:eastAsia="宋体" w:cs="Times New Roman"/>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投标完整性</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rFonts w:hint="eastAsia"/>
                <w:color w:val="000000"/>
                <w:sz w:val="22"/>
                <w:szCs w:val="22"/>
                <w:highlight w:val="none"/>
              </w:rPr>
              <w:t xml:space="preserve">未</w:t>
            </w:r>
            <w:r>
              <w:rPr>
                <w:color w:val="000000"/>
                <w:sz w:val="22"/>
                <w:szCs w:val="22"/>
                <w:highlight w:val="none"/>
              </w:rPr>
              <w:t xml:space="preserve">将一个采购包中的内容拆开投标；</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投标报价</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投标报价</w:t>
            </w:r>
            <w:r>
              <w:rPr>
                <w:rFonts w:hint="eastAsia"/>
                <w:color w:val="000000"/>
                <w:sz w:val="22"/>
                <w:szCs w:val="22"/>
                <w:highlight w:val="none"/>
              </w:rPr>
              <w:t xml:space="preserve">未</w:t>
            </w:r>
            <w:r>
              <w:rPr>
                <w:color w:val="000000"/>
                <w:sz w:val="22"/>
                <w:szCs w:val="22"/>
                <w:highlight w:val="none"/>
              </w:rPr>
              <w:t xml:space="preserve">超过招标文件中规定的项目/采购包预算金额或者项目/采购包最高限价</w:t>
            </w:r>
            <w:r>
              <w:rPr>
                <w:color w:val="000000"/>
                <w:sz w:val="22"/>
                <w:szCs w:val="22"/>
                <w:highlight w:val="none"/>
              </w:rPr>
              <w:t xml:space="preserve">；</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报价唯一性</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投标文件</w:t>
            </w:r>
            <w:r>
              <w:rPr>
                <w:rFonts w:hint="eastAsia"/>
                <w:color w:val="000000"/>
                <w:sz w:val="22"/>
                <w:szCs w:val="22"/>
                <w:highlight w:val="none"/>
              </w:rPr>
              <w:t xml:space="preserve">未</w:t>
            </w:r>
            <w:r>
              <w:rPr>
                <w:rFonts w:hint="eastAsia"/>
                <w:color w:val="000000"/>
                <w:sz w:val="22"/>
                <w:szCs w:val="22"/>
                <w:highlight w:val="none"/>
              </w:rPr>
              <w:t xml:space="preserve">出现可选择性或可调整的报价（招标文件另有规定的除外）</w:t>
            </w:r>
            <w:r>
              <w:rPr>
                <w:color w:val="000000"/>
                <w:sz w:val="22"/>
                <w:szCs w:val="22"/>
                <w:highlight w:val="none"/>
              </w:rPr>
              <w:t xml:space="preserve">；</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投标有效期</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投标文件中承诺的投标有效期</w:t>
            </w:r>
            <w:r>
              <w:rPr>
                <w:rFonts w:hint="eastAsia"/>
                <w:color w:val="000000"/>
                <w:sz w:val="22"/>
                <w:szCs w:val="22"/>
                <w:highlight w:val="none"/>
              </w:rPr>
              <w:t xml:space="preserve">满足</w:t>
            </w:r>
            <w:r>
              <w:rPr>
                <w:color w:val="000000"/>
                <w:sz w:val="22"/>
                <w:szCs w:val="22"/>
                <w:highlight w:val="none"/>
              </w:rPr>
              <w:t xml:space="preserve">招标文件中载明的投标有效期的；</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签署、加盖公章</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按照招标文件要求签署、加盖公章的；</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rFonts w:hint="eastAsia"/>
                <w:color w:val="000000"/>
                <w:sz w:val="22"/>
                <w:szCs w:val="22"/>
                <w:highlight w:val="none"/>
              </w:rPr>
              <w:t xml:space="preserve">7</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rFonts w:hint="eastAsia"/>
                <w:color w:val="000000"/>
                <w:sz w:val="22"/>
                <w:szCs w:val="22"/>
                <w:highlight w:val="none"/>
              </w:rPr>
              <w:t xml:space="preserve">实质性格式</w:t>
            </w:r>
            <w:r>
              <w:rPr>
                <w:color w:val="000000"/>
                <w:sz w:val="22"/>
                <w:szCs w:val="22"/>
                <w:highlight w:val="none"/>
              </w:rPr>
            </w:r>
            <w:r/>
          </w:p>
        </w:tc>
        <w:tc>
          <w:tcPr>
            <w:tcW w:w="3620" w:type="dxa"/>
            <w:vAlign w:val="center"/>
            <w:textDirection w:val="lrTb"/>
            <w:noWrap w:val="false"/>
          </w:tcPr>
          <w:p>
            <w:pPr>
              <w:pStyle w:val="906"/>
              <w:jc w:val="left"/>
              <w:widowControl/>
              <w:rPr>
                <w:rFonts w:hint="eastAsia" w:eastAsia="宋体"/>
                <w:color w:val="000000"/>
                <w:sz w:val="22"/>
                <w:szCs w:val="22"/>
                <w:highlight w:val="none"/>
                <w:lang w:eastAsia="zh-CN"/>
              </w:rPr>
            </w:pPr>
            <w:r>
              <w:rPr>
                <w:rFonts w:hint="eastAsia"/>
                <w:color w:val="000000"/>
                <w:sz w:val="22"/>
                <w:szCs w:val="22"/>
                <w:highlight w:val="none"/>
              </w:rPr>
              <w:t xml:space="preserve">标记为</w:t>
            </w:r>
            <w:r>
              <w:rPr>
                <w:color w:val="000000"/>
                <w:sz w:val="22"/>
                <w:szCs w:val="22"/>
                <w:highlight w:val="none"/>
              </w:rPr>
              <w:t xml:space="preserve">“实质性格式”的</w:t>
            </w:r>
            <w:r>
              <w:rPr>
                <w:rFonts w:hint="eastAsia"/>
                <w:color w:val="000000"/>
                <w:sz w:val="22"/>
                <w:szCs w:val="22"/>
                <w:highlight w:val="none"/>
              </w:rPr>
              <w:t xml:space="preserve">文件均按</w:t>
            </w:r>
            <w:r>
              <w:rPr>
                <w:color w:val="000000"/>
                <w:sz w:val="22"/>
                <w:szCs w:val="22"/>
                <w:highlight w:val="none"/>
              </w:rPr>
              <w:t xml:space="preserve">招标文件</w:t>
            </w:r>
            <w:r>
              <w:rPr>
                <w:rFonts w:hint="eastAsia"/>
                <w:color w:val="000000"/>
                <w:sz w:val="22"/>
                <w:szCs w:val="22"/>
                <w:highlight w:val="none"/>
              </w:rPr>
              <w:t xml:space="preserve">要求提供；</w:t>
            </w:r>
            <w:r>
              <w:rPr>
                <w:rFonts w:hint="eastAsia" w:ascii="宋体" w:hAnsi="宋体"/>
                <w:color w:val="000000"/>
                <w:sz w:val="24"/>
                <w:highlight w:val="none"/>
              </w:rPr>
              <w:t xml:space="preserve">除前面已提供的实质性格式文件以外，</w:t>
            </w:r>
            <w:r>
              <w:rPr>
                <w:rFonts w:hint="eastAsia" w:ascii="宋体" w:hAnsi="宋体"/>
                <w:b/>
                <w:color w:val="000000"/>
                <w:sz w:val="24"/>
                <w:highlight w:val="none"/>
              </w:rPr>
              <w:t xml:space="preserve">还需提供：合同条款偏离表，采购需求偏离表</w:t>
            </w:r>
            <w:r>
              <w:rPr>
                <w:rFonts w:hint="eastAsia" w:ascii="宋体" w:hAnsi="宋体"/>
                <w:color w:val="000000"/>
                <w:sz w:val="24"/>
                <w:highlight w:val="none"/>
              </w:rPr>
              <w:t xml:space="preserve">，</w:t>
            </w:r>
            <w:r>
              <w:rPr>
                <w:color w:val="000000"/>
                <w:sz w:val="24"/>
                <w:highlight w:val="none"/>
              </w:rPr>
              <w:t xml:space="preserve">格式见《</w:t>
            </w:r>
            <w:r>
              <w:rPr>
                <w:rFonts w:hint="eastAsia"/>
                <w:color w:val="000000"/>
                <w:sz w:val="24"/>
                <w:highlight w:val="none"/>
                <w:lang w:val="en-US" w:eastAsia="zh-CN"/>
              </w:rPr>
              <w:t xml:space="preserve">投标</w:t>
            </w:r>
            <w:r>
              <w:rPr>
                <w:color w:val="000000"/>
                <w:sz w:val="24"/>
                <w:highlight w:val="none"/>
              </w:rPr>
              <w:t xml:space="preserve">文件格式》</w:t>
            </w:r>
            <w:r>
              <w:rPr>
                <w:rFonts w:hint="eastAsia"/>
                <w:color w:val="000000"/>
                <w:sz w:val="24"/>
                <w:highlight w:val="none"/>
                <w:lang w:eastAsia="zh-CN"/>
              </w:rPr>
              <w:t xml:space="preserve">。</w:t>
            </w:r>
            <w:r>
              <w:rPr>
                <w:rFonts w:hint="eastAsia" w:eastAsia="宋体"/>
                <w:color w:val="000000"/>
                <w:sz w:val="22"/>
                <w:szCs w:val="22"/>
                <w:highlight w:val="none"/>
                <w:lang w:eastAsia="zh-CN"/>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rFonts w:ascii="Segoe UI Symbol" w:hAnsi="Segoe UI Symbol" w:cs="Segoe UI Symbol"/>
                <w:color w:val="000000"/>
                <w:sz w:val="22"/>
                <w:szCs w:val="22"/>
                <w:highlight w:val="none"/>
              </w:rPr>
              <w:t xml:space="preserve">★</w:t>
            </w:r>
            <w:r>
              <w:rPr>
                <w:color w:val="000000"/>
                <w:sz w:val="22"/>
                <w:szCs w:val="22"/>
                <w:highlight w:val="none"/>
              </w:rPr>
              <w:t xml:space="preserve">号条款响应</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投标文件满足招标文件</w:t>
            </w:r>
            <w:r>
              <w:rPr>
                <w:color w:val="000000"/>
                <w:sz w:val="22"/>
                <w:szCs w:val="22"/>
                <w:highlight w:val="none"/>
              </w:rPr>
              <w:t xml:space="preserve">第五章《采购需求》</w:t>
            </w:r>
            <w:r>
              <w:rPr>
                <w:color w:val="000000"/>
                <w:sz w:val="22"/>
                <w:szCs w:val="22"/>
                <w:highlight w:val="none"/>
              </w:rPr>
              <w:t xml:space="preserve">中</w:t>
            </w:r>
            <w:r>
              <w:rPr>
                <w:rFonts w:ascii="Segoe UI Symbol" w:hAnsi="Segoe UI Symbol" w:cs="Segoe UI Symbol"/>
                <w:color w:val="000000"/>
                <w:sz w:val="22"/>
                <w:szCs w:val="22"/>
                <w:highlight w:val="none"/>
              </w:rPr>
              <w:t xml:space="preserve">★</w:t>
            </w:r>
            <w:r>
              <w:rPr>
                <w:color w:val="000000"/>
                <w:sz w:val="22"/>
                <w:szCs w:val="22"/>
                <w:highlight w:val="none"/>
              </w:rPr>
              <w:t xml:space="preserve">号条款要求的；</w:t>
            </w:r>
            <w:r>
              <w:rPr>
                <w:rFonts w:hint="eastAsia" w:ascii="Times New Roman" w:hAnsi="Times New Roman" w:eastAsia="宋体" w:cs="Times New Roman"/>
                <w:b/>
                <w:bCs/>
                <w:color w:val="000000"/>
                <w:sz w:val="22"/>
                <w:szCs w:val="22"/>
                <w:highlight w:val="none"/>
              </w:rPr>
              <w:t xml:space="preserve">如有的，根据下面列出的实质性条款，按照序号逐项提供相关证明材料；</w:t>
            </w:r>
            <w:r>
              <w:rPr>
                <w:rFonts w:hint="eastAsia" w:ascii="Times New Roman" w:hAnsi="Times New Roman" w:eastAsia="宋体" w:cs="Times New Roman"/>
                <w:color w:val="000000"/>
                <w:sz w:val="22"/>
                <w:szCs w:val="22"/>
                <w:highlight w:val="none"/>
              </w:rPr>
              <w:t xml:space="preserve">如没有的，则无需供应商提供材料。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分包承担主体资质（如有）</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分包承担主体具备《投标人须知资料表》载明的资质条件</w:t>
            </w:r>
            <w:r>
              <w:rPr>
                <w:rFonts w:hint="eastAsia"/>
                <w:color w:val="000000"/>
                <w:sz w:val="22"/>
                <w:szCs w:val="22"/>
                <w:highlight w:val="none"/>
              </w:rPr>
              <w:t xml:space="preserve">且</w:t>
            </w:r>
            <w:r>
              <w:rPr>
                <w:color w:val="000000"/>
                <w:sz w:val="22"/>
                <w:szCs w:val="22"/>
                <w:highlight w:val="none"/>
              </w:rPr>
              <w:t xml:space="preserve">提供</w:t>
            </w:r>
            <w:r>
              <w:rPr>
                <w:rFonts w:hint="eastAsia"/>
                <w:color w:val="000000"/>
                <w:sz w:val="22"/>
                <w:szCs w:val="22"/>
                <w:highlight w:val="none"/>
              </w:rPr>
              <w:t xml:space="preserve">了</w:t>
            </w:r>
            <w:r>
              <w:rPr>
                <w:color w:val="000000"/>
                <w:sz w:val="22"/>
                <w:szCs w:val="22"/>
                <w:highlight w:val="none"/>
              </w:rPr>
              <w:t xml:space="preserve">资质证书电子件</w:t>
            </w:r>
            <w:r>
              <w:rPr>
                <w:rFonts w:hint="eastAsia"/>
                <w:color w:val="000000"/>
                <w:sz w:val="22"/>
                <w:szCs w:val="22"/>
                <w:highlight w:val="none"/>
              </w:rPr>
              <w:t xml:space="preserve">（如有）</w:t>
            </w:r>
            <w:r>
              <w:rPr>
                <w:color w:val="000000"/>
                <w:sz w:val="22"/>
                <w:szCs w:val="22"/>
                <w:highlight w:val="none"/>
              </w:rPr>
              <w:t xml:space="preserve">；</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分包意向协议</w:t>
            </w:r>
            <w:r>
              <w:rPr>
                <w:color w:val="000000"/>
                <w:sz w:val="22"/>
                <w:szCs w:val="22"/>
                <w:highlight w:val="none"/>
              </w:rPr>
            </w:r>
            <w:r/>
          </w:p>
          <w:p>
            <w:pPr>
              <w:pStyle w:val="906"/>
              <w:jc w:val="left"/>
              <w:widowControl/>
              <w:rPr>
                <w:color w:val="000000"/>
                <w:sz w:val="22"/>
                <w:szCs w:val="22"/>
                <w:highlight w:val="none"/>
              </w:rPr>
            </w:pPr>
            <w:r>
              <w:rPr>
                <w:color w:val="000000"/>
                <w:sz w:val="22"/>
                <w:szCs w:val="22"/>
                <w:highlight w:val="none"/>
              </w:rPr>
              <w:t xml:space="preserve">（如有）</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按招标文件规定签订并提供分包意向协议原件的电子件的；</w:t>
            </w:r>
            <w:r>
              <w:rPr>
                <w:rFonts w:hint="eastAsia"/>
                <w:color w:val="000000"/>
                <w:sz w:val="22"/>
                <w:szCs w:val="22"/>
                <w:highlight w:val="none"/>
              </w:rPr>
              <w:t xml:space="preserve">（如有）</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11</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报价的修正（如有）</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rFonts w:hint="eastAsia"/>
                <w:color w:val="000000"/>
                <w:sz w:val="22"/>
                <w:szCs w:val="22"/>
                <w:highlight w:val="none"/>
              </w:rPr>
              <w:t xml:space="preserve">不涉及报价修正</w:t>
            </w:r>
            <w:r>
              <w:rPr>
                <w:color w:val="000000"/>
                <w:sz w:val="22"/>
                <w:szCs w:val="22"/>
                <w:highlight w:val="none"/>
              </w:rPr>
              <w:t xml:space="preserve">，或投标文件报价出现前后不一致</w:t>
            </w:r>
            <w:r>
              <w:rPr>
                <w:rFonts w:hint="eastAsia"/>
                <w:color w:val="000000"/>
                <w:sz w:val="22"/>
                <w:szCs w:val="22"/>
                <w:highlight w:val="none"/>
              </w:rPr>
              <w:t xml:space="preserve">时</w:t>
            </w:r>
            <w:r>
              <w:rPr>
                <w:color w:val="000000"/>
                <w:sz w:val="22"/>
                <w:szCs w:val="22"/>
                <w:highlight w:val="none"/>
              </w:rPr>
              <w:t xml:space="preserve">，投标人对修正后的报价予</w:t>
            </w:r>
            <w:r>
              <w:rPr>
                <w:rFonts w:hint="eastAsia"/>
                <w:color w:val="000000"/>
                <w:sz w:val="22"/>
                <w:szCs w:val="22"/>
                <w:highlight w:val="none"/>
              </w:rPr>
              <w:t xml:space="preserve">以</w:t>
            </w:r>
            <w:r>
              <w:rPr>
                <w:color w:val="000000"/>
                <w:sz w:val="22"/>
                <w:szCs w:val="22"/>
                <w:highlight w:val="none"/>
              </w:rPr>
              <w:t xml:space="preserve">确认；（如有）</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12</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报价合理性</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报价合理，或</w:t>
            </w:r>
            <w:r>
              <w:rPr>
                <w:rFonts w:hint="eastAsia"/>
                <w:color w:val="000000"/>
                <w:sz w:val="22"/>
                <w:szCs w:val="22"/>
                <w:highlight w:val="none"/>
              </w:rPr>
              <w:t xml:space="preserve">投标人的报价明显低于其他通过符合性审查投标人的报价，</w:t>
            </w:r>
            <w:r>
              <w:rPr>
                <w:color w:val="000000"/>
                <w:sz w:val="22"/>
                <w:szCs w:val="22"/>
                <w:highlight w:val="none"/>
              </w:rPr>
              <w:t xml:space="preserve">有可能影响产品质量或者不能诚信履约的</w:t>
            </w:r>
            <w:r>
              <w:rPr>
                <w:rFonts w:hint="eastAsia"/>
                <w:color w:val="000000"/>
                <w:sz w:val="22"/>
                <w:szCs w:val="22"/>
                <w:highlight w:val="none"/>
              </w:rPr>
              <w:t xml:space="preserve">，能够应评标委员会要求在规定时间内证明其报价合理性的</w:t>
            </w:r>
            <w:r>
              <w:rPr>
                <w:color w:val="000000"/>
                <w:sz w:val="22"/>
                <w:szCs w:val="22"/>
                <w:highlight w:val="none"/>
              </w:rPr>
              <w:t xml:space="preserve">；</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13</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进口产品</w:t>
            </w:r>
            <w:r>
              <w:rPr>
                <w:color w:val="000000"/>
                <w:sz w:val="22"/>
                <w:szCs w:val="22"/>
                <w:highlight w:val="none"/>
              </w:rPr>
            </w:r>
            <w:r/>
          </w:p>
          <w:p>
            <w:pPr>
              <w:pStyle w:val="906"/>
              <w:jc w:val="left"/>
              <w:widowControl/>
              <w:rPr>
                <w:color w:val="000000"/>
                <w:sz w:val="22"/>
                <w:szCs w:val="22"/>
                <w:highlight w:val="none"/>
              </w:rPr>
            </w:pPr>
            <w:r>
              <w:rPr>
                <w:color w:val="000000"/>
                <w:sz w:val="22"/>
                <w:szCs w:val="22"/>
                <w:highlight w:val="none"/>
              </w:rPr>
              <w:t xml:space="preserve">（如有）</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rFonts w:hint="eastAsia" w:ascii="宋体" w:hAnsi="宋体"/>
                <w:color w:val="000000"/>
                <w:sz w:val="22"/>
                <w:szCs w:val="22"/>
                <w:highlight w:val="none"/>
              </w:rPr>
              <w:t xml:space="preserve">招标文件</w:t>
            </w:r>
            <w:r>
              <w:rPr>
                <w:rFonts w:ascii="宋体" w:hAnsi="宋体"/>
                <w:color w:val="000000"/>
                <w:sz w:val="22"/>
                <w:szCs w:val="22"/>
                <w:highlight w:val="none"/>
              </w:rPr>
              <w:t xml:space="preserve">不接受进口产品投标</w:t>
            </w:r>
            <w:r>
              <w:rPr>
                <w:rFonts w:hint="eastAsia" w:ascii="宋体" w:hAnsi="宋体"/>
                <w:color w:val="000000"/>
                <w:sz w:val="22"/>
                <w:szCs w:val="22"/>
                <w:highlight w:val="none"/>
              </w:rPr>
              <w:t xml:space="preserve">的内容时</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投标人所投产品非进口产品的；</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14</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国家有关部门对投标人的投标产品有强制性规定或要求的</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国家有关部门对投标人的投标产品有强制性规定或要求的（如相应技术、安全、节能和环保等），投标人的投标产品</w:t>
            </w:r>
            <w:r>
              <w:rPr>
                <w:rFonts w:hint="eastAsia"/>
                <w:color w:val="000000"/>
                <w:sz w:val="22"/>
                <w:szCs w:val="22"/>
                <w:highlight w:val="none"/>
              </w:rPr>
              <w:t xml:space="preserve">应</w:t>
            </w:r>
            <w:r>
              <w:rPr>
                <w:color w:val="000000"/>
                <w:sz w:val="22"/>
                <w:szCs w:val="22"/>
                <w:highlight w:val="none"/>
              </w:rPr>
              <w:t xml:space="preserve">符合相应规定或要求</w:t>
            </w:r>
            <w:r>
              <w:rPr>
                <w:rFonts w:hint="eastAsia"/>
                <w:color w:val="000000"/>
                <w:sz w:val="22"/>
                <w:szCs w:val="22"/>
                <w:highlight w:val="none"/>
              </w:rPr>
              <w:t xml:space="preserve">，并提供证明文件电子件：</w:t>
            </w:r>
            <w:r>
              <w:rPr>
                <w:color w:val="000000"/>
                <w:sz w:val="22"/>
                <w:szCs w:val="22"/>
                <w:highlight w:val="none"/>
              </w:rPr>
            </w:r>
            <w:r/>
          </w:p>
          <w:p>
            <w:pPr>
              <w:pStyle w:val="906"/>
              <w:jc w:val="left"/>
              <w:widowControl/>
              <w:rPr>
                <w:color w:val="000000"/>
                <w:sz w:val="22"/>
                <w:szCs w:val="22"/>
                <w:highlight w:val="none"/>
              </w:rPr>
            </w:pPr>
            <w:r>
              <w:rPr>
                <w:rFonts w:hint="eastAsia"/>
                <w:color w:val="000000"/>
                <w:sz w:val="22"/>
                <w:szCs w:val="22"/>
                <w:highlight w:val="none"/>
              </w:rPr>
              <w:t xml:space="preserve">1）</w:t>
            </w:r>
            <w:r>
              <w:rPr>
                <w:color w:val="000000"/>
                <w:sz w:val="22"/>
                <w:szCs w:val="22"/>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2"/>
                <w:szCs w:val="22"/>
                <w:highlight w:val="none"/>
              </w:rPr>
            </w:r>
            <w:r/>
          </w:p>
          <w:p>
            <w:pPr>
              <w:pStyle w:val="906"/>
              <w:jc w:val="left"/>
              <w:widowControl/>
              <w:rPr>
                <w:color w:val="000000"/>
                <w:sz w:val="22"/>
                <w:szCs w:val="22"/>
                <w:highlight w:val="none"/>
              </w:rPr>
            </w:pPr>
            <w:r>
              <w:rPr>
                <w:rFonts w:hint="eastAsia"/>
                <w:color w:val="000000"/>
                <w:sz w:val="22"/>
                <w:szCs w:val="22"/>
                <w:highlight w:val="none"/>
              </w:rPr>
              <w:t xml:space="preserve">2）</w:t>
            </w:r>
            <w:r>
              <w:rPr>
                <w:color w:val="000000"/>
                <w:sz w:val="22"/>
                <w:szCs w:val="22"/>
                <w:highlight w:val="none"/>
              </w:rPr>
              <w:t xml:space="preserve">投标产品如涉及计算机信息系统安全专用产品的，须</w:t>
            </w:r>
            <w:r>
              <w:rPr>
                <w:rFonts w:hint="eastAsia"/>
                <w:color w:val="000000"/>
                <w:sz w:val="22"/>
                <w:szCs w:val="22"/>
                <w:highlight w:val="none"/>
              </w:rPr>
              <w:t xml:space="preserve">提供</w:t>
            </w:r>
            <w:r>
              <w:rPr>
                <w:color w:val="000000"/>
                <w:sz w:val="22"/>
                <w:szCs w:val="22"/>
                <w:highlight w:val="none"/>
              </w:rPr>
              <w:t xml:space="preserve">公安部颁发的计算机信息系统安全专用产品销售许可证；</w:t>
            </w:r>
            <w:r>
              <w:rPr>
                <w:color w:val="000000"/>
                <w:sz w:val="22"/>
                <w:szCs w:val="22"/>
                <w:highlight w:val="none"/>
              </w:rPr>
            </w:r>
            <w:r/>
          </w:p>
          <w:p>
            <w:pPr>
              <w:pStyle w:val="906"/>
              <w:jc w:val="left"/>
              <w:widowControl/>
              <w:rPr>
                <w:color w:val="000000"/>
                <w:sz w:val="22"/>
                <w:szCs w:val="22"/>
                <w:highlight w:val="none"/>
              </w:rPr>
            </w:pPr>
            <w:r>
              <w:rPr>
                <w:color w:val="000000"/>
                <w:sz w:val="22"/>
                <w:szCs w:val="22"/>
                <w:highlight w:val="none"/>
              </w:rPr>
              <w:t xml:space="preserve">3</w:t>
            </w:r>
            <w:r>
              <w:rPr>
                <w:rFonts w:hint="eastAsia"/>
                <w:color w:val="000000"/>
                <w:sz w:val="22"/>
                <w:szCs w:val="22"/>
                <w:highlight w:val="none"/>
              </w:rPr>
              <w:t xml:space="preserve">）</w:t>
            </w:r>
            <w:r>
              <w:rPr>
                <w:color w:val="000000"/>
                <w:sz w:val="22"/>
                <w:szCs w:val="22"/>
                <w:highlight w:val="none"/>
              </w:rPr>
              <w:t xml:space="preserve">投标产品如有属于开展国家信息安全产品认证产品范围的，须</w:t>
            </w:r>
            <w:r>
              <w:rPr>
                <w:rFonts w:hint="eastAsia"/>
                <w:color w:val="000000"/>
                <w:sz w:val="22"/>
                <w:szCs w:val="22"/>
                <w:highlight w:val="none"/>
              </w:rPr>
              <w:t xml:space="preserve">提供</w:t>
            </w:r>
            <w:r>
              <w:rPr>
                <w:color w:val="000000"/>
                <w:sz w:val="22"/>
                <w:szCs w:val="22"/>
                <w:highlight w:val="none"/>
              </w:rPr>
              <w:t xml:space="preserve">由中国网络安全审查技术与认证中心（原中国信息安全认证中心）按国家标准认证颁发的有效认证证书等）；</w:t>
            </w:r>
            <w:r>
              <w:rPr>
                <w:color w:val="000000"/>
                <w:sz w:val="22"/>
                <w:szCs w:val="22"/>
                <w:highlight w:val="none"/>
              </w:rPr>
            </w:r>
            <w:r/>
          </w:p>
          <w:p>
            <w:pPr>
              <w:pStyle w:val="906"/>
              <w:jc w:val="left"/>
              <w:widowControl/>
              <w:rPr>
                <w:color w:val="000000"/>
                <w:sz w:val="22"/>
                <w:szCs w:val="22"/>
                <w:highlight w:val="none"/>
              </w:rPr>
            </w:pPr>
            <w:r>
              <w:rPr>
                <w:rFonts w:hint="eastAsia"/>
                <w:color w:val="000000"/>
                <w:sz w:val="22"/>
                <w:szCs w:val="22"/>
                <w:highlight w:val="none"/>
              </w:rPr>
              <w:t xml:space="preserve">4）</w:t>
            </w:r>
            <w:r>
              <w:rPr>
                <w:color w:val="000000"/>
                <w:sz w:val="22"/>
                <w:szCs w:val="22"/>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15</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公平竞争</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投标人遵循公平竞争的原则，不存在恶意串通，妨碍其他投标人的竞争行为，不存在损害采购人或者其他投标人的合法权益情形的；</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16</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串通投标</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rFonts w:hint="eastAsia"/>
                <w:color w:val="000000"/>
                <w:sz w:val="22"/>
                <w:szCs w:val="22"/>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2"/>
                <w:szCs w:val="22"/>
                <w:highlight w:val="none"/>
              </w:rPr>
              <w:t xml:space="preserve">（包含使用同一MAC地址的计算机制作电子响应文件的情形）</w:t>
            </w:r>
            <w:r>
              <w:rPr>
                <w:rFonts w:hint="eastAsia"/>
                <w:color w:val="000000"/>
                <w:sz w:val="22"/>
                <w:szCs w:val="22"/>
                <w:highlight w:val="none"/>
              </w:rPr>
              <w:t xml:space="preserve">；（二）不同投标人委托同一单位或者个人办理投标事宜</w:t>
            </w:r>
            <w:r>
              <w:rPr>
                <w:rFonts w:hint="eastAsia" w:ascii="宋体" w:hAnsi="宋体"/>
                <w:color w:val="000000"/>
                <w:sz w:val="22"/>
                <w:szCs w:val="22"/>
                <w:highlight w:val="none"/>
              </w:rPr>
              <w:t xml:space="preserve">（包含使用同一MAC地址的计算机提交或者解密电子响应文件的情形）</w:t>
            </w:r>
            <w:r>
              <w:rPr>
                <w:rFonts w:hint="eastAsia"/>
                <w:color w:val="000000"/>
                <w:sz w:val="22"/>
                <w:szCs w:val="22"/>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2"/>
                <w:szCs w:val="22"/>
                <w:highlight w:val="none"/>
              </w:rPr>
              <w:t xml:space="preserve">；</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color w:val="000000"/>
                <w:sz w:val="22"/>
                <w:szCs w:val="22"/>
                <w:highlight w:val="none"/>
              </w:rPr>
              <w:t xml:space="preserve">17</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附加条件</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投标文件</w:t>
            </w:r>
            <w:r>
              <w:rPr>
                <w:rFonts w:hint="eastAsia"/>
                <w:color w:val="000000"/>
                <w:sz w:val="22"/>
                <w:szCs w:val="22"/>
                <w:highlight w:val="none"/>
              </w:rPr>
              <w:t xml:space="preserve">未</w:t>
            </w:r>
            <w:r>
              <w:rPr>
                <w:color w:val="000000"/>
                <w:sz w:val="22"/>
                <w:szCs w:val="22"/>
                <w:highlight w:val="none"/>
              </w:rPr>
              <w:t xml:space="preserve">含有采购人不能接受的附加条件的；</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r>
        <w:trPr>
          <w:trHeight w:val="685"/>
        </w:trPr>
        <w:tc>
          <w:tcPr>
            <w:tcW w:w="404" w:type="dxa"/>
            <w:vAlign w:val="center"/>
            <w:textDirection w:val="lrTb"/>
            <w:noWrap w:val="false"/>
          </w:tcPr>
          <w:p>
            <w:pPr>
              <w:pStyle w:val="906"/>
              <w:jc w:val="center"/>
              <w:widowControl/>
              <w:rPr>
                <w:color w:val="000000"/>
                <w:sz w:val="22"/>
                <w:szCs w:val="22"/>
                <w:highlight w:val="none"/>
              </w:rPr>
            </w:pPr>
            <w:r>
              <w:rPr>
                <w:rFonts w:hint="eastAsia"/>
                <w:color w:val="000000"/>
                <w:sz w:val="22"/>
                <w:szCs w:val="22"/>
                <w:highlight w:val="none"/>
              </w:rPr>
              <w:t xml:space="preserve">1</w:t>
            </w:r>
            <w:r>
              <w:rPr>
                <w:color w:val="000000"/>
                <w:sz w:val="22"/>
                <w:szCs w:val="22"/>
                <w:highlight w:val="none"/>
              </w:rPr>
              <w:t xml:space="preserve">8</w:t>
            </w:r>
            <w:r>
              <w:rPr>
                <w:color w:val="000000"/>
                <w:sz w:val="22"/>
                <w:szCs w:val="22"/>
                <w:highlight w:val="none"/>
              </w:rPr>
            </w:r>
            <w:r/>
          </w:p>
        </w:tc>
        <w:tc>
          <w:tcPr>
            <w:tcW w:w="976"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其他无效情形</w:t>
            </w:r>
            <w:r>
              <w:rPr>
                <w:color w:val="000000"/>
                <w:sz w:val="22"/>
                <w:szCs w:val="22"/>
                <w:highlight w:val="none"/>
              </w:rPr>
            </w:r>
            <w:r/>
          </w:p>
        </w:tc>
        <w:tc>
          <w:tcPr>
            <w:tcW w:w="3620" w:type="dxa"/>
            <w:vAlign w:val="center"/>
            <w:textDirection w:val="lrTb"/>
            <w:noWrap w:val="false"/>
          </w:tcPr>
          <w:p>
            <w:pPr>
              <w:pStyle w:val="906"/>
              <w:jc w:val="left"/>
              <w:widowControl/>
              <w:rPr>
                <w:color w:val="000000"/>
                <w:sz w:val="22"/>
                <w:szCs w:val="22"/>
                <w:highlight w:val="none"/>
              </w:rPr>
            </w:pPr>
            <w:r>
              <w:rPr>
                <w:color w:val="000000"/>
                <w:sz w:val="22"/>
                <w:szCs w:val="22"/>
                <w:highlight w:val="none"/>
              </w:rPr>
              <w:t xml:space="preserve">投标人、投标文件</w:t>
            </w:r>
            <w:r>
              <w:rPr>
                <w:rFonts w:hint="eastAsia"/>
                <w:color w:val="000000"/>
                <w:sz w:val="22"/>
                <w:szCs w:val="22"/>
                <w:highlight w:val="none"/>
              </w:rPr>
              <w:t xml:space="preserve">不存在</w:t>
            </w:r>
            <w:r>
              <w:rPr>
                <w:color w:val="000000"/>
                <w:sz w:val="22"/>
                <w:szCs w:val="22"/>
                <w:highlight w:val="none"/>
              </w:rPr>
              <w:t xml:space="preserve">不符合法律、法规和招标文件规定的其他无效情形。</w:t>
            </w:r>
            <w:r>
              <w:rPr>
                <w:rFonts w:hint="eastAsia" w:ascii="Times New Roman" w:hAnsi="Times New Roman" w:eastAsia="宋体" w:cs="Times New Roman"/>
                <w:b/>
                <w:bCs/>
                <w:color w:val="000000"/>
                <w:sz w:val="22"/>
                <w:szCs w:val="22"/>
                <w:highlight w:val="none"/>
              </w:rPr>
              <w:t xml:space="preserve">（由</w:t>
            </w:r>
            <w:r>
              <w:rPr>
                <w:rFonts w:hint="eastAsia" w:ascii="Times New Roman" w:hAnsi="Times New Roman" w:eastAsia="宋体" w:cs="Times New Roman"/>
                <w:b/>
                <w:bCs/>
                <w:color w:val="000000"/>
                <w:sz w:val="22"/>
                <w:szCs w:val="22"/>
                <w:highlight w:val="none"/>
                <w:lang w:val="en-US" w:eastAsia="zh-CN"/>
              </w:rPr>
              <w:t xml:space="preserve">评审</w:t>
            </w:r>
            <w:r>
              <w:rPr>
                <w:rFonts w:ascii="Times New Roman" w:hAnsi="Times New Roman" w:eastAsia="宋体" w:cs="Times New Roman"/>
                <w:b/>
                <w:bCs/>
                <w:color w:val="000000"/>
                <w:sz w:val="22"/>
                <w:szCs w:val="22"/>
                <w:highlight w:val="none"/>
              </w:rPr>
              <w:t xml:space="preserve">小组</w:t>
            </w:r>
            <w:r>
              <w:rPr>
                <w:rFonts w:hint="eastAsia" w:ascii="Times New Roman" w:hAnsi="Times New Roman" w:eastAsia="宋体" w:cs="Times New Roman"/>
                <w:b/>
                <w:bCs/>
                <w:color w:val="000000"/>
                <w:sz w:val="22"/>
                <w:szCs w:val="22"/>
                <w:highlight w:val="none"/>
              </w:rPr>
              <w:t xml:space="preserve">审查，无需供应商提供材料）</w:t>
            </w:r>
            <w:r>
              <w:rPr>
                <w:color w:val="000000"/>
                <w:sz w:val="22"/>
                <w:szCs w:val="22"/>
                <w:highlight w:val="none"/>
              </w:rPr>
            </w:r>
            <w:r/>
          </w:p>
        </w:tc>
      </w:tr>
    </w:tbl>
    <w:p>
      <w:pPr>
        <w:pStyle w:val="906"/>
        <w:numPr>
          <w:ilvl w:val="0"/>
          <w:numId w:val="0"/>
        </w:numPr>
        <w:ind w:left="0" w:firstLine="440"/>
        <w:spacing w:line="360" w:lineRule="auto"/>
        <w:tabs>
          <w:tab w:val="left" w:pos="360" w:leader="none"/>
        </w:tabs>
        <w:rPr>
          <w:rFonts w:hint="eastAsia"/>
          <w:color w:val="000000"/>
          <w:sz w:val="22"/>
          <w:szCs w:val="22"/>
          <w:highlight w:val="none"/>
          <w:lang w:val="en-US" w:eastAsia="zh-CN" w:bidi="ar-SA"/>
        </w:rPr>
      </w:pPr>
      <w:r>
        <w:rPr>
          <w:rFonts w:hint="eastAsia"/>
          <w:color w:val="000000"/>
          <w:sz w:val="22"/>
          <w:szCs w:val="22"/>
          <w:highlight w:val="none"/>
          <w:lang w:val="en-US" w:eastAsia="zh-CN" w:bidi="ar-SA"/>
        </w:rPr>
      </w:r>
      <w:r/>
    </w:p>
    <w:p>
      <w:pPr>
        <w:pStyle w:val="906"/>
        <w:numPr>
          <w:ilvl w:val="0"/>
          <w:numId w:val="0"/>
        </w:numPr>
        <w:ind w:left="0" w:firstLine="440"/>
        <w:spacing w:line="360" w:lineRule="auto"/>
        <w:tabs>
          <w:tab w:val="left" w:pos="360" w:leader="none"/>
        </w:tabs>
        <w:rPr>
          <w:color w:val="000000"/>
          <w:sz w:val="22"/>
          <w:szCs w:val="22"/>
          <w:highlight w:val="none"/>
        </w:rPr>
      </w:pPr>
      <w:r>
        <w:rPr>
          <w:rFonts w:hint="eastAsia"/>
          <w:color w:val="000000"/>
          <w:sz w:val="22"/>
          <w:szCs w:val="22"/>
          <w:highlight w:val="none"/>
          <w:lang w:val="en-US" w:eastAsia="zh-CN" w:bidi="ar-SA"/>
        </w:rPr>
        <w:t xml:space="preserve">2</w:t>
      </w:r>
      <w:r>
        <w:rPr>
          <w:color w:val="000000"/>
          <w:sz w:val="22"/>
          <w:szCs w:val="22"/>
          <w:highlight w:val="none"/>
        </w:rPr>
        <w:t xml:space="preserve">投标文件有关事项的澄清或者说明</w:t>
      </w:r>
      <w:r>
        <w:rPr>
          <w:color w:val="000000"/>
          <w:sz w:val="22"/>
          <w:szCs w:val="22"/>
          <w:highlight w:val="none"/>
        </w:rPr>
      </w:r>
      <w:r/>
    </w:p>
    <w:p>
      <w:pPr>
        <w:pStyle w:val="906"/>
        <w:numPr>
          <w:ilvl w:val="1"/>
          <w:numId w:val="0"/>
        </w:numPr>
        <w:ind w:left="0" w:firstLine="480"/>
        <w:spacing w:line="360" w:lineRule="auto"/>
        <w:tabs>
          <w:tab w:val="left" w:pos="1080" w:leader="none"/>
        </w:tabs>
        <w:rPr>
          <w:rFonts w:ascii="Times New Roman" w:hAnsi="Times New Roman" w:eastAsia="宋体" w:cs="Times New Roman"/>
          <w:color w:val="000000"/>
          <w:sz w:val="22"/>
          <w:szCs w:val="22"/>
          <w:highlight w:val="none"/>
        </w:rPr>
      </w:pPr>
      <w:r>
        <w:rPr>
          <w:rFonts w:ascii="Times New Roman" w:hAnsi="Times New Roman" w:cs="Times New Roman"/>
          <w:color w:val="000000"/>
          <w:sz w:val="24"/>
          <w:szCs w:val="24"/>
          <w:highlight w:val="none"/>
          <w:lang w:val="en-US" w:eastAsia="zh-CN" w:bidi="ar-SA"/>
        </w:rPr>
        <w:t xml:space="preserve">2.1</w:t>
      </w:r>
      <w:r>
        <w:rPr>
          <w:color w:val="000000"/>
          <w:sz w:val="22"/>
          <w:szCs w:val="22"/>
          <w:highlight w:val="none"/>
        </w:rPr>
        <w:t xml:space="preserve">评标过程中，评标委员会将</w:t>
      </w:r>
      <w:r>
        <w:rPr>
          <w:rFonts w:hint="eastAsia"/>
          <w:color w:val="000000"/>
          <w:sz w:val="22"/>
          <w:szCs w:val="22"/>
          <w:highlight w:val="none"/>
        </w:rPr>
        <w:t xml:space="preserve">通过</w:t>
      </w:r>
      <w:r>
        <w:rPr>
          <w:rFonts w:hint="eastAsia" w:ascii="宋体" w:hAnsi="宋体"/>
          <w:color w:val="000000"/>
          <w:sz w:val="22"/>
          <w:szCs w:val="22"/>
          <w:highlight w:val="none"/>
        </w:rPr>
        <w:t xml:space="preserve">“苏采云”政府采购一体化平台</w:t>
      </w:r>
      <w:r>
        <w:rPr>
          <w:rFonts w:hint="eastAsia"/>
          <w:color w:val="000000"/>
          <w:sz w:val="22"/>
          <w:szCs w:val="22"/>
          <w:highlight w:val="none"/>
        </w:rPr>
        <w:t xml:space="preserve">系统</w:t>
      </w:r>
      <w:r>
        <w:rPr>
          <w:color w:val="000000"/>
          <w:sz w:val="22"/>
          <w:szCs w:val="22"/>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2"/>
          <w:szCs w:val="22"/>
          <w:highlight w:val="none"/>
        </w:rPr>
        <w:t xml:space="preserve">电子</w:t>
      </w:r>
      <w:r>
        <w:rPr>
          <w:color w:val="000000"/>
          <w:sz w:val="22"/>
          <w:szCs w:val="22"/>
          <w:highlight w:val="none"/>
        </w:rPr>
        <w:t xml:space="preserve">公章。投标人的澄清、说明或者补正不得超出投标文件的范围或者改变投标文件的实质性内容。澄清文件将作为投标文件内容的一部分。</w:t>
      </w:r>
      <w:r>
        <w:rPr>
          <w:rFonts w:hint="eastAsia" w:ascii="Times New Roman" w:hAnsi="Times New Roman" w:eastAsia="宋体" w:cs="Times New Roman"/>
          <w:color w:val="000000"/>
          <w:sz w:val="22"/>
          <w:szCs w:val="22"/>
          <w:highlight w:val="none"/>
        </w:rPr>
        <w:t xml:space="preserve">接到评标委员会澄清、说明和补正要求的投标人如未按规定做出澄清、说明和补正，其风险由投标人自行承担。</w:t>
      </w:r>
      <w:r>
        <w:rPr>
          <w:rFonts w:ascii="Times New Roman" w:hAnsi="Times New Roman" w:eastAsia="宋体" w:cs="Times New Roman"/>
          <w:color w:val="000000"/>
          <w:sz w:val="22"/>
          <w:szCs w:val="22"/>
          <w:highlight w:val="none"/>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lang w:val="en-US" w:eastAsia="zh-CN"/>
        </w:rPr>
      </w:pPr>
      <w:r>
        <w:rPr>
          <w:rFonts w:ascii="Times New Roman" w:hAnsi="Times New Roman" w:eastAsia="宋体" w:cs="Times New Roman"/>
          <w:color w:val="000000"/>
          <w:sz w:val="22"/>
          <w:szCs w:val="22"/>
          <w:highlight w:val="none"/>
          <w:lang w:val="en-US" w:eastAsia="zh-CN"/>
        </w:rPr>
        <w:t xml:space="preserve">2.2</w:t>
      </w:r>
      <w:r>
        <w:rPr>
          <w:rFonts w:hint="eastAsia" w:ascii="Times New Roman" w:hAnsi="Times New Roman" w:eastAsia="宋体" w:cs="Times New Roman"/>
          <w:color w:val="000000"/>
          <w:sz w:val="22"/>
          <w:szCs w:val="22"/>
          <w:highlight w:val="none"/>
          <w:lang w:val="en-US" w:eastAsia="zh-CN"/>
        </w:rPr>
        <w:t xml:space="preserve">根据财库〔</w:t>
      </w:r>
      <w:r>
        <w:rPr>
          <w:rFonts w:ascii="Times New Roman" w:hAnsi="Times New Roman" w:eastAsia="宋体" w:cs="Times New Roman"/>
          <w:color w:val="000000"/>
          <w:sz w:val="22"/>
          <w:szCs w:val="22"/>
          <w:highlight w:val="none"/>
          <w:lang w:val="en-US" w:eastAsia="zh-CN"/>
        </w:rPr>
        <w:t xml:space="preserve">2026</w:t>
      </w:r>
      <w:r>
        <w:rPr>
          <w:rFonts w:hint="eastAsia" w:ascii="Times New Roman" w:hAnsi="Times New Roman" w:eastAsia="宋体" w:cs="Times New Roman"/>
          <w:color w:val="000000"/>
          <w:sz w:val="22"/>
          <w:szCs w:val="22"/>
          <w:highlight w:val="none"/>
          <w:lang w:val="en-US" w:eastAsia="zh-CN"/>
        </w:rPr>
        <w:t xml:space="preserve">〕</w:t>
      </w:r>
      <w:r>
        <w:rPr>
          <w:rFonts w:ascii="Times New Roman" w:hAnsi="Times New Roman" w:eastAsia="宋体" w:cs="Times New Roman"/>
          <w:color w:val="000000"/>
          <w:sz w:val="22"/>
          <w:szCs w:val="22"/>
          <w:highlight w:val="none"/>
          <w:lang w:val="en-US" w:eastAsia="zh-CN"/>
        </w:rPr>
        <w:t xml:space="preserve">2</w:t>
      </w:r>
      <w:r>
        <w:rPr>
          <w:rFonts w:hint="eastAsia" w:ascii="Times New Roman" w:hAnsi="Times New Roman" w:eastAsia="宋体" w:cs="Times New Roman"/>
          <w:color w:val="000000"/>
          <w:sz w:val="22"/>
          <w:szCs w:val="22"/>
          <w:highlight w:val="none"/>
          <w:lang w:val="en-US" w:eastAsia="zh-CN"/>
        </w:rPr>
        <w:t xml:space="preserve">号文件规定，政府采购评审中出现下列情形之一的，评审委员会应当启动异常低价投标（响应）审查程序：</w:t>
      </w:r>
      <w:r>
        <w:rPr>
          <w:rFonts w:hint="eastAsia"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2.2.1投标（响应）报价低于全部通过符合性审查供应商投标（响应）报价平均值</w:t>
      </w:r>
      <w:r>
        <w:rPr>
          <w:rFonts w:ascii="Times New Roman" w:hAnsi="Times New Roman" w:eastAsia="宋体" w:cs="Times New Roman"/>
          <w:color w:val="000000"/>
          <w:sz w:val="22"/>
          <w:szCs w:val="22"/>
          <w:highlight w:val="none"/>
          <w:lang w:val="en-US" w:eastAsia="zh-CN"/>
        </w:rPr>
        <w:t xml:space="preserve">50%</w:t>
      </w:r>
      <w:r>
        <w:rPr>
          <w:rFonts w:hint="eastAsia" w:ascii="Times New Roman" w:hAnsi="Times New Roman" w:eastAsia="宋体" w:cs="Times New Roman"/>
          <w:color w:val="000000"/>
          <w:sz w:val="22"/>
          <w:szCs w:val="22"/>
          <w:highlight w:val="none"/>
          <w:lang w:val="en-US" w:eastAsia="zh-CN"/>
        </w:rPr>
        <w:t xml:space="preserve">的，即投标（响应）报价</w:t>
      </w:r>
      <w:r>
        <w:rPr>
          <w:rFonts w:ascii="Times New Roman" w:hAnsi="Times New Roman" w:eastAsia="宋体" w:cs="Times New Roman"/>
          <w:color w:val="000000"/>
          <w:sz w:val="22"/>
          <w:szCs w:val="22"/>
          <w:highlight w:val="none"/>
          <w:lang w:val="en-US" w:eastAsia="zh-CN"/>
        </w:rPr>
        <w:t xml:space="preserve">&lt;</w:t>
      </w:r>
      <w:r>
        <w:rPr>
          <w:rFonts w:hint="eastAsia" w:ascii="Times New Roman" w:hAnsi="Times New Roman" w:eastAsia="宋体" w:cs="Times New Roman"/>
          <w:color w:val="000000"/>
          <w:sz w:val="22"/>
          <w:szCs w:val="22"/>
          <w:highlight w:val="none"/>
          <w:lang w:val="en-US" w:eastAsia="zh-CN"/>
        </w:rPr>
        <w:t xml:space="preserve">全部通过符合性审查供应商投标（响应）报价平均值×</w:t>
      </w:r>
      <w:r>
        <w:rPr>
          <w:rFonts w:ascii="Times New Roman" w:hAnsi="Times New Roman" w:eastAsia="宋体" w:cs="Times New Roman"/>
          <w:color w:val="000000"/>
          <w:sz w:val="22"/>
          <w:szCs w:val="22"/>
          <w:highlight w:val="none"/>
          <w:lang w:val="en-US" w:eastAsia="zh-CN"/>
        </w:rPr>
        <w:t xml:space="preserve">50%</w:t>
      </w:r>
      <w:r>
        <w:rPr>
          <w:rFonts w:hint="eastAsia" w:ascii="Times New Roman" w:hAnsi="Times New Roman" w:eastAsia="宋体" w:cs="Times New Roman"/>
          <w:color w:val="000000"/>
          <w:sz w:val="22"/>
          <w:szCs w:val="22"/>
          <w:highlight w:val="none"/>
          <w:lang w:val="en-US" w:eastAsia="zh-CN"/>
        </w:rPr>
        <w:t xml:space="preserve">；</w:t>
      </w:r>
      <w:r>
        <w:rPr>
          <w:rFonts w:hint="eastAsia"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2.2.2投标（响应）报价低于通过符合性审查的次低报价供应商投标（响应）报价</w:t>
      </w:r>
      <w:r>
        <w:rPr>
          <w:rFonts w:ascii="Times New Roman" w:hAnsi="Times New Roman" w:eastAsia="宋体" w:cs="Times New Roman"/>
          <w:color w:val="000000"/>
          <w:sz w:val="22"/>
          <w:szCs w:val="22"/>
          <w:highlight w:val="none"/>
          <w:lang w:val="en-US" w:eastAsia="zh-CN"/>
        </w:rPr>
        <w:t xml:space="preserve">50%</w:t>
      </w:r>
      <w:r>
        <w:rPr>
          <w:rFonts w:hint="eastAsia" w:ascii="Times New Roman" w:hAnsi="Times New Roman" w:eastAsia="宋体" w:cs="Times New Roman"/>
          <w:color w:val="000000"/>
          <w:sz w:val="22"/>
          <w:szCs w:val="22"/>
          <w:highlight w:val="none"/>
          <w:lang w:val="en-US" w:eastAsia="zh-CN"/>
        </w:rPr>
        <w:t xml:space="preserve">的，即投标（响应）报价</w:t>
      </w:r>
      <w:r>
        <w:rPr>
          <w:rFonts w:ascii="Times New Roman" w:hAnsi="Times New Roman" w:eastAsia="宋体" w:cs="Times New Roman"/>
          <w:color w:val="000000"/>
          <w:sz w:val="22"/>
          <w:szCs w:val="22"/>
          <w:highlight w:val="none"/>
          <w:lang w:val="en-US" w:eastAsia="zh-CN"/>
        </w:rPr>
        <w:t xml:space="preserve">&lt;</w:t>
      </w:r>
      <w:r>
        <w:rPr>
          <w:rFonts w:hint="eastAsia" w:ascii="Times New Roman" w:hAnsi="Times New Roman" w:eastAsia="宋体" w:cs="Times New Roman"/>
          <w:color w:val="000000"/>
          <w:sz w:val="22"/>
          <w:szCs w:val="22"/>
          <w:highlight w:val="none"/>
          <w:lang w:val="en-US" w:eastAsia="zh-CN"/>
        </w:rPr>
        <w:t xml:space="preserve">通过符合性审查的次低报价供应商投标（响应）报价×</w:t>
      </w:r>
      <w:r>
        <w:rPr>
          <w:rFonts w:ascii="Times New Roman" w:hAnsi="Times New Roman" w:eastAsia="宋体" w:cs="Times New Roman"/>
          <w:color w:val="000000"/>
          <w:sz w:val="22"/>
          <w:szCs w:val="22"/>
          <w:highlight w:val="none"/>
          <w:lang w:val="en-US" w:eastAsia="zh-CN"/>
        </w:rPr>
        <w:t xml:space="preserve">50%</w:t>
      </w:r>
      <w:r>
        <w:rPr>
          <w:rFonts w:hint="eastAsia" w:ascii="Times New Roman" w:hAnsi="Times New Roman" w:eastAsia="宋体" w:cs="Times New Roman"/>
          <w:color w:val="000000"/>
          <w:sz w:val="22"/>
          <w:szCs w:val="22"/>
          <w:highlight w:val="none"/>
          <w:lang w:val="en-US" w:eastAsia="zh-CN"/>
        </w:rPr>
        <w:t xml:space="preserve">；</w:t>
      </w:r>
      <w:r>
        <w:rPr>
          <w:rFonts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2.2.3投标（响应）报价低于采购项目最高限价</w:t>
      </w:r>
      <w:r>
        <w:rPr>
          <w:rFonts w:ascii="Times New Roman" w:hAnsi="Times New Roman" w:eastAsia="宋体" w:cs="Times New Roman"/>
          <w:color w:val="000000"/>
          <w:sz w:val="22"/>
          <w:szCs w:val="22"/>
          <w:highlight w:val="none"/>
          <w:lang w:val="en-US" w:eastAsia="zh-CN"/>
        </w:rPr>
        <w:t xml:space="preserve">45%</w:t>
      </w:r>
      <w:r>
        <w:rPr>
          <w:rFonts w:hint="eastAsia" w:ascii="Times New Roman" w:hAnsi="Times New Roman" w:eastAsia="宋体" w:cs="Times New Roman"/>
          <w:color w:val="000000"/>
          <w:sz w:val="22"/>
          <w:szCs w:val="22"/>
          <w:highlight w:val="none"/>
          <w:lang w:val="en-US" w:eastAsia="zh-CN"/>
        </w:rPr>
        <w:t xml:space="preserve">的，即投标（响应）报价</w:t>
      </w:r>
      <w:r>
        <w:rPr>
          <w:rFonts w:ascii="Times New Roman" w:hAnsi="Times New Roman" w:eastAsia="宋体" w:cs="Times New Roman"/>
          <w:color w:val="000000"/>
          <w:sz w:val="22"/>
          <w:szCs w:val="22"/>
          <w:highlight w:val="none"/>
          <w:lang w:val="en-US" w:eastAsia="zh-CN"/>
        </w:rPr>
        <w:t xml:space="preserve">&lt;</w:t>
      </w:r>
      <w:r>
        <w:rPr>
          <w:rFonts w:hint="eastAsia" w:ascii="Times New Roman" w:hAnsi="Times New Roman" w:eastAsia="宋体" w:cs="Times New Roman"/>
          <w:color w:val="000000"/>
          <w:sz w:val="22"/>
          <w:szCs w:val="22"/>
          <w:highlight w:val="none"/>
          <w:lang w:val="en-US" w:eastAsia="zh-CN"/>
        </w:rPr>
        <w:t xml:space="preserve">采购项目最高限价×</w:t>
      </w:r>
      <w:r>
        <w:rPr>
          <w:rFonts w:ascii="Times New Roman" w:hAnsi="Times New Roman" w:eastAsia="宋体" w:cs="Times New Roman"/>
          <w:color w:val="000000"/>
          <w:sz w:val="22"/>
          <w:szCs w:val="22"/>
          <w:highlight w:val="none"/>
          <w:lang w:val="en-US" w:eastAsia="zh-CN"/>
        </w:rPr>
        <w:t xml:space="preserve">45%</w:t>
      </w:r>
      <w:r>
        <w:rPr>
          <w:rFonts w:hint="eastAsia" w:ascii="Times New Roman" w:hAnsi="Times New Roman" w:eastAsia="宋体" w:cs="Times New Roman"/>
          <w:color w:val="000000"/>
          <w:sz w:val="22"/>
          <w:szCs w:val="22"/>
          <w:highlight w:val="none"/>
          <w:lang w:val="en-US" w:eastAsia="zh-CN"/>
        </w:rPr>
        <w:t xml:space="preserve">；</w:t>
      </w:r>
      <w:r>
        <w:rPr>
          <w:rFonts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2.2.4评审委员会基于专业判断，认为供应商报价过低，有可能影响产品质量或者不能诚信履约的其他情形。相关法律法规对供应商报价有规定的，从其规定。</w:t>
      </w:r>
      <w:r>
        <w:rPr>
          <w:rFonts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评审委员会启动异常低价投标（响应）审查后，属于前述第</w:t>
      </w:r>
      <w:r>
        <w:rPr>
          <w:rFonts w:ascii="Times New Roman" w:hAnsi="Times New Roman" w:eastAsia="宋体" w:cs="Times New Roman"/>
          <w:color w:val="000000"/>
          <w:sz w:val="22"/>
          <w:szCs w:val="22"/>
          <w:highlight w:val="none"/>
          <w:lang w:val="en-US" w:eastAsia="zh-CN"/>
        </w:rPr>
        <w:t xml:space="preserve">1</w:t>
      </w:r>
      <w:r>
        <w:rPr>
          <w:rFonts w:hint="eastAsia" w:ascii="Times New Roman" w:hAnsi="Times New Roman" w:eastAsia="宋体" w:cs="Times New Roman"/>
          <w:color w:val="000000"/>
          <w:sz w:val="22"/>
          <w:szCs w:val="22"/>
          <w:highlight w:val="none"/>
          <w:lang w:val="en-US" w:eastAsia="zh-CN"/>
        </w:rPr>
        <w:t xml:space="preserve">项至第</w:t>
      </w:r>
      <w:r>
        <w:rPr>
          <w:rFonts w:ascii="Times New Roman" w:hAnsi="Times New Roman" w:eastAsia="宋体" w:cs="Times New Roman"/>
          <w:color w:val="000000"/>
          <w:sz w:val="22"/>
          <w:szCs w:val="22"/>
          <w:highlight w:val="none"/>
          <w:lang w:val="en-US" w:eastAsia="zh-CN"/>
        </w:rPr>
        <w:t xml:space="preserve">4</w:t>
      </w:r>
      <w:r>
        <w:rPr>
          <w:rFonts w:hint="eastAsia" w:ascii="Times New Roman" w:hAnsi="Times New Roman" w:eastAsia="宋体" w:cs="Times New Roman"/>
          <w:color w:val="000000"/>
          <w:sz w:val="22"/>
          <w:szCs w:val="22"/>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宋体" w:cs="Times New Roman"/>
          <w:color w:val="000000"/>
          <w:sz w:val="22"/>
          <w:szCs w:val="22"/>
          <w:highlight w:val="none"/>
          <w:lang w:val="en-US" w:eastAsia="zh-CN"/>
        </w:rPr>
        <w:t xml:space="preserve">30</w:t>
      </w:r>
      <w:r>
        <w:rPr>
          <w:rFonts w:hint="eastAsia" w:ascii="Times New Roman" w:hAnsi="Times New Roman" w:eastAsia="宋体" w:cs="Times New Roman"/>
          <w:color w:val="000000"/>
          <w:sz w:val="22"/>
          <w:szCs w:val="22"/>
          <w:highlight w:val="none"/>
          <w:lang w:val="en-US" w:eastAsia="zh-CN"/>
        </w:rPr>
        <w:t xml:space="preserve">分钟。其中，属于第</w:t>
      </w:r>
      <w:r>
        <w:rPr>
          <w:rFonts w:ascii="Times New Roman" w:hAnsi="Times New Roman" w:eastAsia="宋体" w:cs="Times New Roman"/>
          <w:color w:val="000000"/>
          <w:sz w:val="22"/>
          <w:szCs w:val="22"/>
          <w:highlight w:val="none"/>
          <w:lang w:val="en-US" w:eastAsia="zh-CN"/>
        </w:rPr>
        <w:t xml:space="preserve">3</w:t>
      </w:r>
      <w:r>
        <w:rPr>
          <w:rFonts w:hint="eastAsia" w:ascii="Times New Roman" w:hAnsi="Times New Roman" w:eastAsia="宋体" w:cs="Times New Roman"/>
          <w:color w:val="000000"/>
          <w:sz w:val="22"/>
          <w:szCs w:val="22"/>
          <w:highlight w:val="none"/>
          <w:lang w:val="en-US" w:eastAsia="zh-CN"/>
        </w:rPr>
        <w:t xml:space="preserve">项情形，供应商已随投标（响应）文件一并提交相关书面说明及必要的证明材料的，在评审现场可不再重复提交。</w:t>
      </w:r>
      <w:r>
        <w:rPr>
          <w:rFonts w:hint="eastAsia"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评审委员会借助互联网等渠道查询相关信息的，应当严格遵守评审工作纪律，不得实施影响评审公正的行为。</w:t>
      </w:r>
      <w:r>
        <w:rPr>
          <w:rFonts w:hint="eastAsia" w:ascii="Times New Roman" w:hAnsi="Times New Roman" w:eastAsia="宋体" w:cs="Times New Roman"/>
          <w:color w:val="000000"/>
          <w:sz w:val="22"/>
          <w:szCs w:val="22"/>
          <w:highlight w:val="none"/>
          <w:lang w:val="en-US" w:eastAsia="zh-CN"/>
        </w:rPr>
      </w:r>
      <w:r/>
    </w:p>
    <w:p>
      <w:pPr>
        <w:pStyle w:val="906"/>
        <w:numPr>
          <w:ilvl w:val="1"/>
          <w:numId w:val="0"/>
        </w:numPr>
        <w:ind w:left="0" w:firstLine="440"/>
        <w:spacing w:line="360" w:lineRule="auto"/>
        <w:tabs>
          <w:tab w:val="left" w:pos="1080" w:leader="none"/>
        </w:tabs>
        <w:rPr>
          <w:rFonts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color w:val="000000"/>
          <w:sz w:val="22"/>
          <w:szCs w:val="22"/>
          <w:highlight w:val="none"/>
          <w:lang w:val="en-US" w:eastAsia="zh-CN"/>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2.3</w:t>
      </w:r>
      <w:r>
        <w:rPr>
          <w:color w:val="000000"/>
          <w:sz w:val="22"/>
          <w:szCs w:val="22"/>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2"/>
          <w:szCs w:val="22"/>
          <w:highlight w:val="none"/>
        </w:rPr>
        <w:t xml:space="preserve">规定</w:t>
      </w:r>
      <w:r>
        <w:rPr>
          <w:color w:val="000000"/>
          <w:sz w:val="22"/>
          <w:szCs w:val="22"/>
          <w:highlight w:val="none"/>
        </w:rPr>
        <w:t xml:space="preserve">的时间内对此进行书面确认，投标人不确认的，视为将一个采购包中的内容拆开投标，其</w:t>
      </w:r>
      <w:r>
        <w:rPr>
          <w:b/>
          <w:color w:val="000000"/>
          <w:sz w:val="22"/>
          <w:szCs w:val="22"/>
          <w:highlight w:val="none"/>
        </w:rPr>
        <w:t xml:space="preserve">投标无效</w:t>
      </w:r>
      <w:r>
        <w:rPr>
          <w:color w:val="000000"/>
          <w:sz w:val="22"/>
          <w:szCs w:val="22"/>
          <w:highlight w:val="none"/>
        </w:rPr>
        <w:t xml:space="preserve">。</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2.4</w:t>
      </w:r>
      <w:r>
        <w:rPr>
          <w:color w:val="000000"/>
          <w:sz w:val="22"/>
          <w:szCs w:val="22"/>
          <w:highlight w:val="none"/>
        </w:rPr>
        <w:t xml:space="preserve">投标文件报价出现前后不一致的，按照下列规定修正：</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 w:val="left" w:pos="2114" w:leader="none"/>
        </w:tabs>
        <w:rPr>
          <w:color w:val="000000"/>
          <w:sz w:val="22"/>
          <w:szCs w:val="22"/>
          <w:highlight w:val="none"/>
        </w:rPr>
      </w:pPr>
      <w:r>
        <w:rPr>
          <w:rFonts w:hint="eastAsia"/>
          <w:color w:val="000000"/>
          <w:sz w:val="22"/>
          <w:szCs w:val="22"/>
          <w:highlight w:val="none"/>
          <w:lang w:val="en-US" w:eastAsia="zh-CN" w:bidi="ar-SA"/>
        </w:rPr>
        <w:t xml:space="preserve">2.4.1</w:t>
      </w:r>
      <w:r>
        <w:rPr>
          <w:color w:val="000000"/>
          <w:sz w:val="22"/>
          <w:szCs w:val="22"/>
          <w:highlight w:val="none"/>
        </w:rPr>
        <w:t xml:space="preserve">招标文件对于报价修正是否另有规定：</w:t>
      </w:r>
      <w:r>
        <w:rPr>
          <w:color w:val="000000"/>
          <w:sz w:val="22"/>
          <w:szCs w:val="22"/>
          <w:highlight w:val="none"/>
        </w:rPr>
      </w:r>
      <w:r/>
    </w:p>
    <w:p>
      <w:pPr>
        <w:pStyle w:val="906"/>
        <w:ind w:firstLine="440"/>
        <w:spacing w:line="360" w:lineRule="auto"/>
        <w:tabs>
          <w:tab w:val="left" w:pos="1080" w:leader="none"/>
          <w:tab w:val="left" w:pos="1589" w:leader="none"/>
          <w:tab w:val="left" w:pos="2035" w:leader="none"/>
          <w:tab w:val="left" w:pos="2114" w:leader="none"/>
        </w:tabs>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t xml:space="preserve">□有，具体规定为：______________</w:t>
      </w:r>
      <w:r>
        <w:rPr>
          <w:rFonts w:ascii="Times New Roman" w:hAnsi="Times New Roman" w:eastAsia="宋体" w:cs="Times New Roman"/>
          <w:color w:val="000000"/>
          <w:sz w:val="22"/>
          <w:szCs w:val="22"/>
          <w:highlight w:val="none"/>
        </w:rPr>
      </w:r>
      <w:r/>
    </w:p>
    <w:p>
      <w:pPr>
        <w:pStyle w:val="906"/>
        <w:ind w:firstLine="440"/>
        <w:spacing w:line="360" w:lineRule="auto"/>
        <w:tabs>
          <w:tab w:val="left" w:pos="1080" w:leader="none"/>
          <w:tab w:val="left" w:pos="1589" w:leader="none"/>
          <w:tab w:val="left" w:pos="2035" w:leader="none"/>
          <w:tab w:val="left" w:pos="2114"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rPr>
        <w:t xml:space="preserve">■</w:t>
      </w:r>
      <w:r>
        <w:rPr>
          <w:rFonts w:ascii="Times New Roman" w:hAnsi="Times New Roman" w:eastAsia="宋体" w:cs="Times New Roman"/>
          <w:color w:val="000000"/>
          <w:sz w:val="22"/>
          <w:szCs w:val="22"/>
          <w:highlight w:val="none"/>
        </w:rPr>
        <w:t xml:space="preserve">无，按下述2.4.2-2.4.7项规定修正。</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2035" w:leader="none"/>
          <w:tab w:val="left" w:pos="2114" w:leader="none"/>
          <w:tab w:val="left" w:pos="2977" w:leader="none"/>
        </w:tabs>
        <w:rPr>
          <w:color w:val="000000"/>
          <w:sz w:val="22"/>
          <w:szCs w:val="22"/>
          <w:highlight w:val="none"/>
        </w:rPr>
      </w:pPr>
      <w:r>
        <w:rPr>
          <w:rFonts w:hint="eastAsia"/>
          <w:color w:val="000000"/>
          <w:sz w:val="22"/>
          <w:szCs w:val="22"/>
          <w:highlight w:val="none"/>
          <w:lang w:val="en-US" w:eastAsia="zh-CN" w:bidi="ar-SA"/>
        </w:rPr>
        <w:t xml:space="preserve">2.4.2</w:t>
      </w:r>
      <w:r>
        <w:rPr>
          <w:color w:val="000000"/>
          <w:sz w:val="22"/>
          <w:szCs w:val="22"/>
          <w:highlight w:val="none"/>
        </w:rPr>
        <w:t xml:space="preserve">单独递交的开标一览表（报价表）与投标文件中开标一览表（报价表）内容不一致的，以单独递交的开标一览表（报价表）为准；</w:t>
      </w:r>
      <w:r>
        <w:rPr>
          <w:color w:val="000000"/>
          <w:sz w:val="22"/>
          <w:szCs w:val="22"/>
          <w:highlight w:val="none"/>
        </w:rPr>
      </w:r>
      <w:r/>
    </w:p>
    <w:p>
      <w:pPr>
        <w:pStyle w:val="906"/>
        <w:numPr>
          <w:ilvl w:val="2"/>
          <w:numId w:val="0"/>
        </w:numPr>
        <w:ind w:left="0" w:firstLine="440"/>
        <w:spacing w:line="360" w:lineRule="auto"/>
        <w:tabs>
          <w:tab w:val="left" w:pos="2035" w:leader="none"/>
          <w:tab w:val="left" w:pos="2114" w:leader="none"/>
          <w:tab w:val="left" w:pos="2977" w:leader="none"/>
        </w:tabs>
        <w:rPr>
          <w:color w:val="000000"/>
          <w:sz w:val="22"/>
          <w:szCs w:val="22"/>
          <w:highlight w:val="none"/>
        </w:rPr>
      </w:pPr>
      <w:r>
        <w:rPr>
          <w:rFonts w:hint="eastAsia"/>
          <w:color w:val="000000"/>
          <w:sz w:val="22"/>
          <w:szCs w:val="22"/>
          <w:highlight w:val="none"/>
          <w:lang w:val="en-US" w:eastAsia="zh-CN" w:bidi="ar-SA"/>
        </w:rPr>
        <w:t xml:space="preserve">2.4.3</w:t>
      </w:r>
      <w:r>
        <w:rPr>
          <w:color w:val="000000"/>
          <w:sz w:val="22"/>
          <w:szCs w:val="22"/>
          <w:highlight w:val="none"/>
        </w:rPr>
        <w:t xml:space="preserve">投标文件中开标一览表（报价表）内容与投标文件中相应内容不一致的，以开标一览表（报价表）为准；</w:t>
      </w:r>
      <w:r>
        <w:rPr>
          <w:color w:val="000000"/>
          <w:sz w:val="22"/>
          <w:szCs w:val="22"/>
          <w:highlight w:val="none"/>
        </w:rPr>
      </w:r>
      <w:r/>
    </w:p>
    <w:p>
      <w:pPr>
        <w:pStyle w:val="906"/>
        <w:numPr>
          <w:ilvl w:val="2"/>
          <w:numId w:val="0"/>
        </w:numPr>
        <w:ind w:left="0" w:firstLine="440"/>
        <w:spacing w:line="360" w:lineRule="auto"/>
        <w:tabs>
          <w:tab w:val="left" w:pos="2035" w:leader="none"/>
          <w:tab w:val="left" w:pos="2114" w:leader="none"/>
          <w:tab w:val="left" w:pos="2977" w:leader="none"/>
        </w:tabs>
        <w:rPr>
          <w:color w:val="000000"/>
          <w:sz w:val="22"/>
          <w:szCs w:val="22"/>
          <w:highlight w:val="none"/>
        </w:rPr>
      </w:pPr>
      <w:r>
        <w:rPr>
          <w:rFonts w:hint="eastAsia"/>
          <w:color w:val="000000"/>
          <w:sz w:val="22"/>
          <w:szCs w:val="22"/>
          <w:highlight w:val="none"/>
          <w:lang w:val="en-US" w:eastAsia="zh-CN" w:bidi="ar-SA"/>
        </w:rPr>
        <w:t xml:space="preserve">2.4.4</w:t>
      </w:r>
      <w:r>
        <w:rPr>
          <w:color w:val="000000"/>
          <w:sz w:val="22"/>
          <w:szCs w:val="22"/>
          <w:highlight w:val="none"/>
        </w:rPr>
        <w:t xml:space="preserve">大写金额和小写金额不一致的，以大写金额为准；</w:t>
      </w:r>
      <w:r>
        <w:rPr>
          <w:color w:val="000000"/>
          <w:sz w:val="22"/>
          <w:szCs w:val="22"/>
          <w:highlight w:val="none"/>
        </w:rPr>
      </w:r>
      <w:r/>
    </w:p>
    <w:p>
      <w:pPr>
        <w:pStyle w:val="906"/>
        <w:numPr>
          <w:ilvl w:val="2"/>
          <w:numId w:val="0"/>
        </w:numPr>
        <w:ind w:left="0" w:firstLine="440"/>
        <w:spacing w:line="360" w:lineRule="auto"/>
        <w:tabs>
          <w:tab w:val="left" w:pos="2035" w:leader="none"/>
          <w:tab w:val="left" w:pos="2114" w:leader="none"/>
          <w:tab w:val="left" w:pos="2977" w:leader="none"/>
        </w:tabs>
        <w:rPr>
          <w:color w:val="000000"/>
          <w:sz w:val="22"/>
          <w:szCs w:val="22"/>
          <w:highlight w:val="none"/>
        </w:rPr>
      </w:pPr>
      <w:r>
        <w:rPr>
          <w:rFonts w:hint="eastAsia"/>
          <w:color w:val="000000"/>
          <w:sz w:val="22"/>
          <w:szCs w:val="22"/>
          <w:highlight w:val="none"/>
          <w:lang w:val="en-US" w:eastAsia="zh-CN" w:bidi="ar-SA"/>
        </w:rPr>
        <w:t xml:space="preserve">2.4.5</w:t>
      </w:r>
      <w:r>
        <w:rPr>
          <w:color w:val="000000"/>
          <w:sz w:val="22"/>
          <w:szCs w:val="22"/>
          <w:highlight w:val="none"/>
        </w:rPr>
        <w:t xml:space="preserve">单价金额小数点或者百分比有明显错位的，以开标一览表的总价为准，并修改单价；</w:t>
      </w:r>
      <w:r>
        <w:rPr>
          <w:color w:val="000000"/>
          <w:sz w:val="22"/>
          <w:szCs w:val="22"/>
          <w:highlight w:val="none"/>
        </w:rPr>
      </w:r>
      <w:r/>
    </w:p>
    <w:p>
      <w:pPr>
        <w:pStyle w:val="906"/>
        <w:numPr>
          <w:ilvl w:val="2"/>
          <w:numId w:val="0"/>
        </w:numPr>
        <w:ind w:left="0" w:firstLine="440"/>
        <w:spacing w:line="360" w:lineRule="auto"/>
        <w:tabs>
          <w:tab w:val="left" w:pos="2035" w:leader="none"/>
          <w:tab w:val="left" w:pos="2114" w:leader="none"/>
          <w:tab w:val="left" w:pos="2977" w:leader="none"/>
        </w:tabs>
        <w:rPr>
          <w:color w:val="000000"/>
          <w:sz w:val="22"/>
          <w:szCs w:val="22"/>
          <w:highlight w:val="none"/>
        </w:rPr>
      </w:pPr>
      <w:r>
        <w:rPr>
          <w:rFonts w:hint="eastAsia"/>
          <w:color w:val="000000"/>
          <w:sz w:val="22"/>
          <w:szCs w:val="22"/>
          <w:highlight w:val="none"/>
          <w:lang w:val="en-US" w:eastAsia="zh-CN" w:bidi="ar-SA"/>
        </w:rPr>
        <w:t xml:space="preserve">2.4.6</w:t>
      </w:r>
      <w:r>
        <w:rPr>
          <w:color w:val="000000"/>
          <w:sz w:val="22"/>
          <w:szCs w:val="22"/>
          <w:highlight w:val="none"/>
        </w:rPr>
        <w:t xml:space="preserve">总价金额与按单价汇总金额不一致的，以单价金额计算结果为准。</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 w:val="left" w:pos="2114" w:leader="none"/>
        </w:tabs>
        <w:rPr>
          <w:color w:val="000000"/>
          <w:sz w:val="22"/>
          <w:szCs w:val="22"/>
          <w:highlight w:val="none"/>
        </w:rPr>
      </w:pPr>
      <w:r>
        <w:rPr>
          <w:rFonts w:hint="eastAsia"/>
          <w:color w:val="000000"/>
          <w:sz w:val="22"/>
          <w:szCs w:val="22"/>
          <w:highlight w:val="none"/>
          <w:lang w:val="en-US" w:eastAsia="zh-CN" w:bidi="ar-SA"/>
        </w:rPr>
        <w:t xml:space="preserve">2.4.7</w:t>
      </w:r>
      <w:r>
        <w:rPr>
          <w:color w:val="000000"/>
          <w:sz w:val="22"/>
          <w:szCs w:val="22"/>
          <w:highlight w:val="none"/>
        </w:rPr>
        <w:t xml:space="preserve">同时出现两种以上不一致的，按照前款规定的顺序修正。修正后的报价经投标人书面确认后产生约束力，投标人不确认的，其</w:t>
      </w:r>
      <w:r>
        <w:rPr>
          <w:b/>
          <w:color w:val="000000"/>
          <w:sz w:val="22"/>
          <w:szCs w:val="22"/>
          <w:highlight w:val="none"/>
        </w:rPr>
        <w:t xml:space="preserve">投标无效</w:t>
      </w:r>
      <w:r>
        <w:rPr>
          <w:color w:val="000000"/>
          <w:sz w:val="22"/>
          <w:szCs w:val="22"/>
          <w:highlight w:val="none"/>
        </w:rPr>
        <w:t xml:space="preserve">。</w:t>
      </w:r>
      <w:r>
        <w:rPr>
          <w:color w:val="000000"/>
          <w:sz w:val="22"/>
          <w:szCs w:val="22"/>
          <w:highlight w:val="none"/>
        </w:rPr>
      </w:r>
      <w:r/>
    </w:p>
    <w:p>
      <w:pPr>
        <w:pStyle w:val="906"/>
        <w:numPr>
          <w:ilvl w:val="1"/>
          <w:numId w:val="0"/>
        </w:numPr>
        <w:ind w:left="0" w:firstLine="480"/>
        <w:spacing w:line="360" w:lineRule="auto"/>
        <w:tabs>
          <w:tab w:val="left" w:pos="1080" w:leader="none"/>
        </w:tabs>
        <w:rPr>
          <w:rFonts w:hint="eastAsia" w:ascii="Times New Roman" w:hAnsi="Times New Roman" w:eastAsia="宋体" w:cs="Times New Roman"/>
          <w:color w:val="000000"/>
          <w:sz w:val="22"/>
          <w:szCs w:val="22"/>
          <w:highlight w:val="none"/>
          <w:lang w:eastAsia="zh-CN"/>
        </w:rPr>
      </w:pPr>
      <w:r>
        <w:rPr>
          <w:rFonts w:ascii="Times New Roman" w:hAnsi="Times New Roman" w:cs="Times New Roman"/>
          <w:color w:val="000000"/>
          <w:sz w:val="24"/>
          <w:szCs w:val="24"/>
          <w:highlight w:val="none"/>
          <w:lang w:val="en-US" w:eastAsia="zh-CN" w:bidi="ar-SA"/>
        </w:rPr>
        <w:t xml:space="preserve">2.5</w:t>
      </w:r>
      <w:r>
        <w:rPr>
          <w:color w:val="000000"/>
          <w:sz w:val="22"/>
          <w:szCs w:val="22"/>
          <w:highlight w:val="none"/>
        </w:rPr>
        <w:t xml:space="preserve">落实政府采购政</w:t>
      </w:r>
      <w:r>
        <w:rPr>
          <w:rFonts w:ascii="Times New Roman" w:hAnsi="Times New Roman" w:eastAsia="宋体" w:cs="Times New Roman"/>
          <w:color w:val="000000"/>
          <w:sz w:val="22"/>
          <w:szCs w:val="22"/>
          <w:highlight w:val="none"/>
        </w:rPr>
        <w:t xml:space="preserve">策</w:t>
      </w:r>
      <w:r>
        <w:rPr>
          <w:rFonts w:hint="eastAsia" w:ascii="Times New Roman" w:hAnsi="Times New Roman" w:eastAsia="宋体" w:cs="Times New Roman"/>
          <w:color w:val="000000"/>
          <w:sz w:val="22"/>
          <w:szCs w:val="22"/>
          <w:highlight w:val="none"/>
        </w:rPr>
        <w:t xml:space="preserve">（</w:t>
      </w:r>
      <w:r>
        <w:rPr>
          <w:rFonts w:ascii="Times New Roman" w:hAnsi="Times New Roman" w:eastAsia="宋体" w:cs="Times New Roman"/>
          <w:color w:val="000000"/>
          <w:sz w:val="22"/>
          <w:szCs w:val="22"/>
          <w:highlight w:val="none"/>
        </w:rPr>
        <w:t xml:space="preserve">中小企业扶持政策</w:t>
      </w:r>
      <w:r>
        <w:rPr>
          <w:rFonts w:hint="eastAsia" w:ascii="Times New Roman" w:hAnsi="Times New Roman" w:eastAsia="宋体" w:cs="Times New Roman"/>
          <w:color w:val="000000"/>
          <w:sz w:val="22"/>
          <w:szCs w:val="22"/>
          <w:highlight w:val="none"/>
        </w:rPr>
        <w:t xml:space="preserve">）</w:t>
      </w:r>
      <w:r>
        <w:rPr>
          <w:rFonts w:ascii="Times New Roman" w:hAnsi="Times New Roman" w:eastAsia="宋体" w:cs="Times New Roman"/>
          <w:color w:val="000000"/>
          <w:sz w:val="22"/>
          <w:szCs w:val="22"/>
          <w:highlight w:val="none"/>
        </w:rPr>
        <w:t xml:space="preserve">的价格调整</w:t>
      </w:r>
      <w:r>
        <w:rPr>
          <w:color w:val="000000"/>
          <w:sz w:val="22"/>
          <w:szCs w:val="22"/>
          <w:highlight w:val="none"/>
        </w:rPr>
        <w:t xml:space="preserve">：</w:t>
      </w:r>
      <w:r>
        <w:rPr>
          <w:rFonts w:ascii="Times New Roman" w:hAnsi="Times New Roman" w:eastAsia="宋体" w:cs="Times New Roman"/>
          <w:color w:val="000000"/>
          <w:sz w:val="22"/>
          <w:szCs w:val="22"/>
          <w:highlight w:val="none"/>
        </w:rPr>
        <w:t xml:space="preserve">只有符合第二章《投标人须知》5.2条规定情形的，可以享受中小企业扶持政策，用扣除后的价格参加评审；否则，评标时价格不予扣除。</w:t>
      </w:r>
      <w:r>
        <w:rPr>
          <w:rFonts w:hint="eastAsia" w:ascii="Times New Roman" w:hAnsi="Times New Roman" w:eastAsia="宋体" w:cs="Times New Roman"/>
          <w:b/>
          <w:bCs/>
          <w:color w:val="000000"/>
          <w:sz w:val="22"/>
          <w:szCs w:val="22"/>
          <w:highlight w:val="none"/>
        </w:rPr>
        <w:t xml:space="preserve">该项目专门面向中小微型企业采购，则供应商不再享受小微型企业价格扣除</w:t>
      </w:r>
      <w:r>
        <w:rPr>
          <w:rFonts w:hint="eastAsia" w:ascii="Times New Roman" w:hAnsi="Times New Roman" w:eastAsia="宋体" w:cs="Times New Roman"/>
          <w:b/>
          <w:bCs/>
          <w:color w:val="000000"/>
          <w:sz w:val="22"/>
          <w:szCs w:val="22"/>
          <w:highlight w:val="none"/>
          <w:lang w:eastAsia="zh-CN"/>
        </w:rPr>
        <w:t xml:space="preserve">。</w:t>
      </w:r>
      <w:r>
        <w:rPr>
          <w:rFonts w:hint="eastAsia" w:ascii="Times New Roman" w:hAnsi="Times New Roman" w:eastAsia="宋体" w:cs="Times New Roman"/>
          <w:color w:val="000000"/>
          <w:sz w:val="22"/>
          <w:szCs w:val="22"/>
          <w:highlight w:val="none"/>
          <w:lang w:eastAsia="zh-CN"/>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2.5.1</w:t>
      </w:r>
      <w:r>
        <w:rPr>
          <w:rFonts w:ascii="Times New Roman" w:hAnsi="Times New Roman" w:eastAsia="宋体" w:cs="Times New Roman"/>
          <w:color w:val="000000"/>
          <w:sz w:val="22"/>
          <w:szCs w:val="22"/>
          <w:highlight w:val="none"/>
        </w:rPr>
        <w:t xml:space="preserve">对于未预留份额专门面向中小企业采购的采购项目，以及预留份额项目中的非预留部分采购包，对</w:t>
      </w:r>
      <w:r>
        <w:rPr>
          <w:rFonts w:ascii="Times New Roman" w:hAnsi="Times New Roman" w:eastAsia="宋体" w:cs="Times New Roman"/>
          <w:b/>
          <w:color w:val="000000"/>
          <w:sz w:val="22"/>
          <w:szCs w:val="22"/>
          <w:highlight w:val="none"/>
        </w:rPr>
        <w:t xml:space="preserve">小微企业</w:t>
      </w:r>
      <w:r>
        <w:rPr>
          <w:rFonts w:ascii="Times New Roman" w:hAnsi="Times New Roman" w:eastAsia="宋体" w:cs="Times New Roman"/>
          <w:color w:val="000000"/>
          <w:sz w:val="22"/>
          <w:szCs w:val="22"/>
          <w:highlight w:val="none"/>
        </w:rPr>
        <w:t xml:space="preserve">报价给予</w:t>
      </w:r>
      <w:r>
        <w:rPr>
          <w:rFonts w:hint="eastAsia" w:ascii="Times New Roman" w:hAnsi="Times New Roman" w:eastAsia="宋体" w:cs="Times New Roman"/>
          <w:color w:val="000000"/>
          <w:sz w:val="22"/>
          <w:szCs w:val="22"/>
          <w:highlight w:val="none"/>
          <w:u w:val="single"/>
          <w:lang w:val="en-US" w:eastAsia="zh-CN"/>
        </w:rPr>
        <w:t xml:space="preserve">2</w:t>
      </w:r>
      <w:r>
        <w:rPr>
          <w:rFonts w:hint="eastAsia" w:ascii="Times New Roman" w:hAnsi="Times New Roman" w:eastAsia="宋体" w:cs="Times New Roman"/>
          <w:color w:val="000000"/>
          <w:sz w:val="22"/>
          <w:szCs w:val="22"/>
          <w:highlight w:val="none"/>
          <w:u w:val="single"/>
        </w:rPr>
        <w:t xml:space="preserve">0</w:t>
      </w:r>
      <w:r>
        <w:rPr>
          <w:rFonts w:ascii="Times New Roman" w:hAnsi="Times New Roman" w:eastAsia="宋体" w:cs="Times New Roman"/>
          <w:color w:val="000000"/>
          <w:sz w:val="22"/>
          <w:szCs w:val="22"/>
          <w:highlight w:val="none"/>
        </w:rPr>
        <w:t xml:space="preserve">%的扣除，用扣除后的价格参加评审。</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2.5.2</w:t>
      </w:r>
      <w:r>
        <w:rPr>
          <w:rFonts w:ascii="Times New Roman" w:hAnsi="Times New Roman" w:eastAsia="宋体" w:cs="Times New Roman"/>
          <w:color w:val="000000"/>
          <w:sz w:val="22"/>
          <w:szCs w:val="22"/>
          <w:highlight w:val="none"/>
        </w:rPr>
        <w:t xml:space="preserve">对于未预留份额专门面向中小企业采购的采购项目，以及预留份额项目中的非预留部分采购包，且接受大中型企业与</w:t>
      </w:r>
      <w:r>
        <w:rPr>
          <w:rFonts w:ascii="Times New Roman" w:hAnsi="Times New Roman" w:eastAsia="宋体" w:cs="Times New Roman"/>
          <w:b/>
          <w:color w:val="000000"/>
          <w:sz w:val="22"/>
          <w:szCs w:val="22"/>
          <w:highlight w:val="none"/>
        </w:rPr>
        <w:t xml:space="preserve">小微企业</w:t>
      </w:r>
      <w:r>
        <w:rPr>
          <w:rFonts w:ascii="Times New Roman" w:hAnsi="Times New Roman" w:eastAsia="宋体" w:cs="Times New Roman"/>
          <w:color w:val="000000"/>
          <w:sz w:val="22"/>
          <w:szCs w:val="22"/>
          <w:highlight w:val="none"/>
        </w:rPr>
        <w:t xml:space="preserve">组成联合体或者允许大中型企业向一家或者多家</w:t>
      </w:r>
      <w:r>
        <w:rPr>
          <w:rFonts w:ascii="Times New Roman" w:hAnsi="Times New Roman" w:eastAsia="宋体" w:cs="Times New Roman"/>
          <w:b/>
          <w:color w:val="000000"/>
          <w:sz w:val="22"/>
          <w:szCs w:val="22"/>
          <w:highlight w:val="none"/>
        </w:rPr>
        <w:t xml:space="preserve">小微企业</w:t>
      </w:r>
      <w:r>
        <w:rPr>
          <w:rFonts w:ascii="Times New Roman" w:hAnsi="Times New Roman" w:eastAsia="宋体" w:cs="Times New Roman"/>
          <w:color w:val="000000"/>
          <w:sz w:val="22"/>
          <w:szCs w:val="22"/>
          <w:highlight w:val="none"/>
        </w:rPr>
        <w:t xml:space="preserve">分包的采购项目，对于联合协议或者分包意向协议约定</w:t>
      </w:r>
      <w:r>
        <w:rPr>
          <w:rFonts w:ascii="Times New Roman" w:hAnsi="Times New Roman" w:eastAsia="宋体" w:cs="Times New Roman"/>
          <w:b/>
          <w:color w:val="000000"/>
          <w:sz w:val="22"/>
          <w:szCs w:val="22"/>
          <w:highlight w:val="none"/>
        </w:rPr>
        <w:t xml:space="preserve">小微企业</w:t>
      </w:r>
      <w:r>
        <w:rPr>
          <w:rFonts w:ascii="Times New Roman" w:hAnsi="Times New Roman" w:eastAsia="宋体" w:cs="Times New Roman"/>
          <w:color w:val="000000"/>
          <w:sz w:val="22"/>
          <w:szCs w:val="22"/>
          <w:highlight w:val="none"/>
        </w:rPr>
        <w:t xml:space="preserve">的合同份额占到合同总金额 30%以上的联合体或者大中型企业的报价给予</w:t>
      </w:r>
      <w:r>
        <w:rPr>
          <w:rFonts w:hint="eastAsia" w:ascii="Times New Roman" w:hAnsi="Times New Roman" w:eastAsia="宋体" w:cs="Times New Roman"/>
          <w:color w:val="000000"/>
          <w:sz w:val="22"/>
          <w:szCs w:val="22"/>
          <w:highlight w:val="none"/>
          <w:u w:val="single"/>
        </w:rPr>
        <w:t xml:space="preserve">3</w:t>
      </w:r>
      <w:r>
        <w:rPr>
          <w:rFonts w:ascii="Times New Roman" w:hAnsi="Times New Roman" w:eastAsia="宋体" w:cs="Times New Roman"/>
          <w:color w:val="000000"/>
          <w:sz w:val="22"/>
          <w:szCs w:val="22"/>
          <w:highlight w:val="none"/>
        </w:rPr>
        <w:t xml:space="preserve">%的扣除，用扣除后的价格参加评审。</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2.5.3</w:t>
      </w:r>
      <w:r>
        <w:rPr>
          <w:rFonts w:ascii="Times New Roman" w:hAnsi="Times New Roman" w:eastAsia="宋体" w:cs="Times New Roman"/>
          <w:color w:val="000000"/>
          <w:sz w:val="22"/>
          <w:szCs w:val="22"/>
          <w:highlight w:val="none"/>
        </w:rPr>
        <w:t xml:space="preserve">组成联合体或者接受分包的小微企业与联合体内其他企业、分包企业之间存在直接控股、管理关系的，不享受价格扣除优惠政策。</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2.5.4</w:t>
      </w:r>
      <w:r>
        <w:rPr>
          <w:rFonts w:ascii="Times New Roman" w:hAnsi="Times New Roman" w:eastAsia="宋体" w:cs="Times New Roman"/>
          <w:color w:val="000000"/>
          <w:sz w:val="22"/>
          <w:szCs w:val="22"/>
          <w:highlight w:val="none"/>
        </w:rPr>
        <w:t xml:space="preserve">价格扣除比例对小型企业和微型企业同等对待，不作区分。</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2.5.5</w:t>
      </w:r>
      <w:r>
        <w:rPr>
          <w:rFonts w:ascii="Times New Roman" w:hAnsi="Times New Roman" w:eastAsia="宋体" w:cs="Times New Roman"/>
          <w:color w:val="000000"/>
          <w:sz w:val="22"/>
          <w:szCs w:val="22"/>
          <w:highlight w:val="none"/>
        </w:rPr>
        <w:t xml:space="preserve">中小企业参加政府采购活动，应当按照招标文件给定的格式出具《中小企业声明函》，否则不得享受相关中小企业扶持政策。</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2.5.6</w:t>
      </w:r>
      <w:r>
        <w:rPr>
          <w:rFonts w:ascii="Times New Roman" w:hAnsi="Times New Roman" w:eastAsia="宋体" w:cs="Times New Roman"/>
          <w:color w:val="000000"/>
          <w:sz w:val="22"/>
          <w:szCs w:val="22"/>
          <w:highlight w:val="none"/>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2.5.7</w:t>
      </w:r>
      <w:r>
        <w:rPr>
          <w:rFonts w:ascii="Times New Roman" w:hAnsi="Times New Roman" w:eastAsia="宋体" w:cs="Times New Roman"/>
          <w:color w:val="000000"/>
          <w:sz w:val="22"/>
          <w:szCs w:val="22"/>
          <w:highlight w:val="none"/>
        </w:rPr>
        <w:t xml:space="preserve">残疾人福利性单位按招标文件要求提供了《残疾人福利性单位声明函》（见附件）的，视同小微企业。</w:t>
      </w:r>
      <w:r>
        <w:rPr>
          <w:rFonts w:ascii="Times New Roman" w:hAnsi="Times New Roman" w:eastAsia="宋体" w:cs="Times New Roman"/>
          <w:color w:val="000000"/>
          <w:sz w:val="22"/>
          <w:szCs w:val="22"/>
          <w:highlight w:val="none"/>
        </w:rPr>
      </w:r>
      <w:r/>
    </w:p>
    <w:p>
      <w:pPr>
        <w:pStyle w:val="906"/>
        <w:numPr>
          <w:ilvl w:val="1"/>
          <w:numId w:val="0"/>
        </w:numPr>
        <w:ind w:left="0" w:firstLine="440"/>
        <w:spacing w:line="360" w:lineRule="auto"/>
        <w:tabs>
          <w:tab w:val="left" w:pos="1080" w:leader="none"/>
        </w:tabs>
        <w:rPr>
          <w:color w:val="000000"/>
          <w:sz w:val="22"/>
          <w:szCs w:val="22"/>
          <w:highlight w:val="none"/>
        </w:rPr>
      </w:pPr>
      <w:r>
        <w:rPr>
          <w:rFonts w:hint="eastAsia" w:ascii="Times New Roman" w:hAnsi="Times New Roman" w:eastAsia="宋体" w:cs="Times New Roman"/>
          <w:color w:val="000000"/>
          <w:sz w:val="22"/>
          <w:szCs w:val="22"/>
          <w:highlight w:val="none"/>
          <w:lang w:val="en-US" w:eastAsia="zh-CN" w:bidi="ar-SA"/>
        </w:rPr>
        <w:t xml:space="preserve">2.5.8</w:t>
      </w:r>
      <w:r>
        <w:rPr>
          <w:rFonts w:ascii="Times New Roman" w:hAnsi="Times New Roman" w:eastAsia="宋体" w:cs="Times New Roman"/>
          <w:color w:val="000000"/>
          <w:sz w:val="22"/>
          <w:szCs w:val="22"/>
          <w:highlight w:val="none"/>
        </w:rPr>
        <w:t xml:space="preserve">若投标人同时属于小型或微型企业、监狱企业、残疾人福利性单位中的两种及以上，将不重复享受小微企业价格扣减的优惠政策。</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ascii="Times New Roman" w:hAnsi="Times New Roman" w:eastAsia="宋体" w:cs="Times New Roman"/>
          <w:color w:val="000000"/>
          <w:sz w:val="22"/>
          <w:szCs w:val="22"/>
          <w:highlight w:val="none"/>
        </w:rPr>
        <w:t xml:space="preserve">落实政府采购政策</w:t>
      </w:r>
      <w:r>
        <w:rPr>
          <w:rFonts w:hint="eastAsia" w:ascii="Times New Roman" w:hAnsi="Times New Roman" w:eastAsia="宋体" w:cs="Times New Roman"/>
          <w:color w:val="000000"/>
          <w:sz w:val="22"/>
          <w:szCs w:val="22"/>
          <w:highlight w:val="none"/>
        </w:rPr>
        <w:t xml:space="preserve">（采购本国产品的支持政策）</w:t>
      </w:r>
      <w:r>
        <w:rPr>
          <w:rFonts w:ascii="Times New Roman" w:hAnsi="Times New Roman" w:eastAsia="宋体" w:cs="Times New Roman"/>
          <w:color w:val="000000"/>
          <w:sz w:val="22"/>
          <w:szCs w:val="22"/>
          <w:highlight w:val="none"/>
        </w:rPr>
        <w:t xml:space="preserve">的价格调整：</w:t>
      </w:r>
      <w:r>
        <w:rPr>
          <w:rFonts w:hint="eastAsia"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hint="eastAsia" w:ascii="Times New Roman" w:hAnsi="Times New Roman" w:eastAsia="宋体" w:cs="Times New Roman"/>
          <w:color w:val="000000"/>
          <w:sz w:val="22"/>
          <w:szCs w:val="22"/>
          <w:highlight w:val="none"/>
        </w:rPr>
        <w:t xml:space="preserve">.1 本项目政府采购活动中既有本国产品又有非本国产品参与竞争的，依法对本国产品给予价格评审优惠，对本国产品的报价给予</w:t>
      </w:r>
      <w:r>
        <w:rPr>
          <w:rFonts w:hint="eastAsia" w:ascii="Times New Roman" w:hAnsi="Times New Roman" w:eastAsia="宋体" w:cs="Times New Roman"/>
          <w:color w:val="000000"/>
          <w:sz w:val="22"/>
          <w:szCs w:val="22"/>
          <w:highlight w:val="none"/>
          <w:u w:val="single"/>
        </w:rPr>
        <w:t xml:space="preserve"> 20%</w:t>
      </w:r>
      <w:r>
        <w:rPr>
          <w:rFonts w:hint="eastAsia" w:ascii="Times New Roman" w:hAnsi="Times New Roman" w:eastAsia="宋体" w:cs="Times New Roman"/>
          <w:color w:val="000000"/>
          <w:sz w:val="22"/>
          <w:szCs w:val="22"/>
          <w:highlight w:val="none"/>
        </w:rPr>
        <w:t xml:space="preserve">的价格扣除，用扣除后的价格参与评审。</w:t>
      </w:r>
      <w:r>
        <w:rPr>
          <w:rFonts w:hint="eastAsia"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hint="eastAsia" w:ascii="Times New Roman" w:hAnsi="Times New Roman" w:eastAsia="宋体" w:cs="Times New Roman"/>
          <w:color w:val="000000"/>
          <w:sz w:val="22"/>
          <w:szCs w:val="22"/>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hint="eastAsia" w:ascii="Times New Roman" w:hAnsi="Times New Roman" w:eastAsia="宋体" w:cs="Times New Roman"/>
          <w:color w:val="000000"/>
          <w:sz w:val="22"/>
          <w:szCs w:val="22"/>
          <w:highlight w:val="none"/>
        </w:rPr>
        <w:t xml:space="preserve">.3 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hint="eastAsia" w:ascii="Times New Roman" w:hAnsi="Times New Roman" w:eastAsia="宋体" w:cs="Times New Roman"/>
          <w:color w:val="000000"/>
          <w:sz w:val="22"/>
          <w:szCs w:val="22"/>
          <w:highlight w:val="none"/>
        </w:rPr>
        <w:t xml:space="preserve">.4 供应商需在《声明函》中逐一、</w:t>
      </w:r>
      <w:r>
        <w:rPr>
          <w:rFonts w:ascii="Times New Roman" w:hAnsi="Times New Roman" w:eastAsia="宋体" w:cs="Times New Roman"/>
          <w:color w:val="000000"/>
          <w:sz w:val="22"/>
          <w:szCs w:val="22"/>
          <w:highlight w:val="none"/>
        </w:rPr>
        <w:t xml:space="preserve">准确</w:t>
      </w:r>
      <w:r>
        <w:rPr>
          <w:rFonts w:hint="eastAsia" w:ascii="Times New Roman" w:hAnsi="Times New Roman" w:eastAsia="宋体" w:cs="Times New Roman"/>
          <w:color w:val="000000"/>
          <w:sz w:val="22"/>
          <w:szCs w:val="22"/>
          <w:highlight w:val="none"/>
        </w:rPr>
        <w:t xml:space="preserve">填写产品名称、厂名、生产厂址三项信息（《声明函》中用斜线划除的地方无需填写），三</w:t>
      </w:r>
      <w:r>
        <w:rPr>
          <w:rFonts w:ascii="Times New Roman" w:hAnsi="Times New Roman" w:eastAsia="宋体" w:cs="Times New Roman"/>
          <w:color w:val="000000"/>
          <w:sz w:val="22"/>
          <w:szCs w:val="22"/>
          <w:highlight w:val="none"/>
        </w:rPr>
        <w:t xml:space="preserve">项信息中</w:t>
      </w:r>
      <w:r>
        <w:rPr>
          <w:rFonts w:hint="eastAsia" w:ascii="Times New Roman" w:hAnsi="Times New Roman" w:eastAsia="宋体" w:cs="Times New Roman"/>
          <w:color w:val="000000"/>
          <w:sz w:val="22"/>
          <w:szCs w:val="22"/>
          <w:highlight w:val="none"/>
        </w:rPr>
        <w:t xml:space="preserve">任意一项未填写的视为该项产品不符合本国产品标准，不享受本国产品价格评审优惠。</w:t>
      </w:r>
      <w:r>
        <w:rPr>
          <w:rFonts w:hint="eastAsia" w:ascii="Times New Roman" w:hAnsi="Times New Roman" w:eastAsia="宋体" w:cs="Times New Roman"/>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14" w:leader="none"/>
        </w:tabs>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2.6</w:t>
      </w:r>
      <w:r>
        <w:rPr>
          <w:rFonts w:hint="eastAsia" w:ascii="Times New Roman" w:hAnsi="Times New Roman" w:eastAsia="宋体" w:cs="Times New Roman"/>
          <w:color w:val="000000"/>
          <w:sz w:val="22"/>
          <w:szCs w:val="22"/>
          <w:highlight w:val="none"/>
        </w:rPr>
        <w:t xml:space="preserve">.5 评标过程中，如发现供应商在《声明函》内容</w:t>
      </w:r>
      <w:r>
        <w:rPr>
          <w:rFonts w:ascii="Times New Roman" w:hAnsi="Times New Roman" w:eastAsia="宋体" w:cs="Times New Roman"/>
          <w:color w:val="000000"/>
          <w:sz w:val="22"/>
          <w:szCs w:val="22"/>
          <w:highlight w:val="none"/>
        </w:rPr>
        <w:t xml:space="preserve">含义不明确、同类事项与投</w:t>
      </w:r>
      <w:r>
        <w:rPr>
          <w:rFonts w:hint="eastAsia" w:ascii="Times New Roman" w:hAnsi="Times New Roman" w:eastAsia="宋体" w:cs="Times New Roman"/>
          <w:color w:val="000000"/>
          <w:sz w:val="22"/>
          <w:szCs w:val="22"/>
          <w:highlight w:val="none"/>
        </w:rPr>
        <w:t xml:space="preserve">标</w:t>
      </w:r>
      <w:r>
        <w:rPr>
          <w:rFonts w:ascii="Times New Roman" w:hAnsi="Times New Roman" w:eastAsia="宋体" w:cs="Times New Roman"/>
          <w:color w:val="000000"/>
          <w:sz w:val="22"/>
          <w:szCs w:val="22"/>
          <w:highlight w:val="none"/>
        </w:rPr>
        <w:t xml:space="preserve">（</w:t>
      </w:r>
      <w:r>
        <w:rPr>
          <w:rFonts w:hint="eastAsia" w:ascii="Times New Roman" w:hAnsi="Times New Roman" w:eastAsia="宋体" w:cs="Times New Roman"/>
          <w:color w:val="000000"/>
          <w:sz w:val="22"/>
          <w:szCs w:val="22"/>
          <w:highlight w:val="none"/>
        </w:rPr>
        <w:t xml:space="preserve">响应</w:t>
      </w:r>
      <w:r>
        <w:rPr>
          <w:rFonts w:ascii="Times New Roman" w:hAnsi="Times New Roman" w:eastAsia="宋体" w:cs="Times New Roman"/>
          <w:color w:val="000000"/>
          <w:sz w:val="22"/>
          <w:szCs w:val="22"/>
          <w:highlight w:val="none"/>
        </w:rPr>
        <w:t xml:space="preserve">）</w:t>
      </w:r>
      <w:r>
        <w:rPr>
          <w:rFonts w:hint="eastAsia" w:ascii="Times New Roman" w:hAnsi="Times New Roman" w:eastAsia="宋体" w:cs="Times New Roman"/>
          <w:color w:val="000000"/>
          <w:sz w:val="22"/>
          <w:szCs w:val="22"/>
          <w:highlight w:val="none"/>
        </w:rPr>
        <w:t xml:space="preserve">文件</w:t>
      </w:r>
      <w:r>
        <w:rPr>
          <w:rFonts w:ascii="Times New Roman" w:hAnsi="Times New Roman" w:eastAsia="宋体" w:cs="Times New Roman"/>
          <w:color w:val="000000"/>
          <w:sz w:val="22"/>
          <w:szCs w:val="22"/>
          <w:highlight w:val="none"/>
        </w:rPr>
        <w:t xml:space="preserve">表述不一致或者有</w:t>
      </w:r>
      <w:r>
        <w:rPr>
          <w:rFonts w:hint="eastAsia" w:ascii="Times New Roman" w:hAnsi="Times New Roman" w:eastAsia="宋体" w:cs="Times New Roman"/>
          <w:color w:val="000000"/>
          <w:sz w:val="22"/>
          <w:szCs w:val="22"/>
          <w:highlight w:val="none"/>
        </w:rPr>
        <w:t xml:space="preserve">明显</w:t>
      </w:r>
      <w:r>
        <w:rPr>
          <w:rFonts w:ascii="Times New Roman" w:hAnsi="Times New Roman" w:eastAsia="宋体" w:cs="Times New Roman"/>
          <w:color w:val="000000"/>
          <w:sz w:val="22"/>
          <w:szCs w:val="22"/>
          <w:highlight w:val="none"/>
        </w:rPr>
        <w:t xml:space="preserve">文字错误等情况的</w:t>
      </w:r>
      <w:r>
        <w:rPr>
          <w:rFonts w:hint="eastAsia" w:ascii="Times New Roman" w:hAnsi="Times New Roman" w:eastAsia="宋体" w:cs="Times New Roman"/>
          <w:color w:val="000000"/>
          <w:sz w:val="22"/>
          <w:szCs w:val="22"/>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 w:val="22"/>
          <w:szCs w:val="22"/>
          <w:highlight w:val="none"/>
        </w:rPr>
      </w:r>
      <w:r/>
    </w:p>
    <w:p>
      <w:pPr>
        <w:pStyle w:val="906"/>
        <w:numPr>
          <w:ilvl w:val="0"/>
          <w:numId w:val="0"/>
        </w:numPr>
        <w:ind w:left="0" w:firstLine="440"/>
        <w:spacing w:line="360" w:lineRule="auto"/>
        <w:tabs>
          <w:tab w:val="left" w:pos="360" w:leader="none"/>
        </w:tabs>
        <w:rPr>
          <w:color w:val="000000"/>
          <w:sz w:val="22"/>
          <w:szCs w:val="22"/>
          <w:highlight w:val="none"/>
        </w:rPr>
      </w:pPr>
      <w:r>
        <w:rPr>
          <w:rFonts w:hint="eastAsia"/>
          <w:color w:val="000000"/>
          <w:sz w:val="22"/>
          <w:szCs w:val="22"/>
          <w:highlight w:val="none"/>
          <w:lang w:val="en-US" w:eastAsia="zh-CN" w:bidi="ar-SA"/>
        </w:rPr>
        <w:t xml:space="preserve">3</w:t>
      </w:r>
      <w:r>
        <w:rPr>
          <w:color w:val="000000"/>
          <w:sz w:val="22"/>
          <w:szCs w:val="22"/>
          <w:highlight w:val="none"/>
        </w:rPr>
        <w:t xml:space="preserve">投标文件的比较和评价</w:t>
      </w:r>
      <w:bookmarkEnd w:id="735"/>
      <w:r/>
      <w:bookmarkEnd w:id="736"/>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3.1</w:t>
      </w:r>
      <w:r>
        <w:rPr>
          <w:color w:val="000000"/>
          <w:sz w:val="22"/>
          <w:szCs w:val="22"/>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3.2</w:t>
      </w:r>
      <w:r>
        <w:rPr>
          <w:color w:val="000000"/>
          <w:sz w:val="22"/>
          <w:szCs w:val="22"/>
          <w:highlight w:val="none"/>
        </w:rPr>
        <w:t xml:space="preserve">评标方法和评标标准</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color w:val="000000"/>
          <w:sz w:val="22"/>
          <w:szCs w:val="22"/>
          <w:highlight w:val="none"/>
        </w:rPr>
      </w:pPr>
      <w:r>
        <w:rPr>
          <w:rFonts w:hint="eastAsia"/>
          <w:color w:val="000000"/>
          <w:sz w:val="22"/>
          <w:szCs w:val="22"/>
          <w:highlight w:val="none"/>
          <w:lang w:val="en-US" w:eastAsia="zh-CN" w:bidi="ar-SA"/>
        </w:rPr>
        <w:t xml:space="preserve">3.2.1</w:t>
      </w:r>
      <w:r>
        <w:rPr>
          <w:color w:val="000000"/>
          <w:sz w:val="22"/>
          <w:szCs w:val="22"/>
          <w:highlight w:val="none"/>
        </w:rPr>
        <w:t xml:space="preserve">本项目采用的评标方法为：</w:t>
      </w:r>
      <w:r>
        <w:rPr>
          <w:color w:val="000000"/>
          <w:sz w:val="22"/>
          <w:szCs w:val="22"/>
          <w:highlight w:val="none"/>
        </w:rPr>
      </w:r>
      <w:r/>
    </w:p>
    <w:p>
      <w:pPr>
        <w:pStyle w:val="906"/>
        <w:ind w:firstLine="480"/>
        <w:spacing w:line="360" w:lineRule="auto"/>
        <w:tabs>
          <w:tab w:val="left" w:pos="900" w:leader="none"/>
          <w:tab w:val="left" w:pos="1589" w:leader="none"/>
          <w:tab w:val="left" w:pos="1701" w:leader="none"/>
        </w:tabs>
        <w:rPr>
          <w:color w:val="000000"/>
          <w:sz w:val="22"/>
          <w:szCs w:val="22"/>
          <w:highlight w:val="none"/>
        </w:rPr>
      </w:pPr>
      <w:r>
        <w:rPr>
          <w:rFonts w:hint="eastAsia" w:ascii="宋体" w:hAnsi="宋体" w:cs="宋体"/>
          <w:color w:val="000000"/>
          <w:sz w:val="24"/>
          <w:highlight w:val="none"/>
        </w:rPr>
        <w:t xml:space="preserve">■</w:t>
      </w:r>
      <w:r>
        <w:rPr>
          <w:color w:val="000000"/>
          <w:sz w:val="22"/>
          <w:szCs w:val="22"/>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2"/>
          <w:szCs w:val="22"/>
          <w:highlight w:val="none"/>
        </w:rPr>
        <w:t xml:space="preserve">，招标文件中没有规定的评标标准不得作为评审的依据。</w:t>
      </w:r>
      <w:r>
        <w:rPr>
          <w:color w:val="000000"/>
          <w:sz w:val="22"/>
          <w:szCs w:val="22"/>
          <w:highlight w:val="none"/>
        </w:rPr>
      </w:r>
      <w:r/>
    </w:p>
    <w:p>
      <w:pPr>
        <w:pStyle w:val="906"/>
        <w:ind w:firstLine="440"/>
        <w:spacing w:line="360" w:lineRule="auto"/>
        <w:tabs>
          <w:tab w:val="left" w:pos="900" w:leader="none"/>
          <w:tab w:val="left" w:pos="1589" w:leader="none"/>
          <w:tab w:val="left" w:pos="1701" w:leader="none"/>
        </w:tabs>
        <w:rPr>
          <w:color w:val="000000"/>
          <w:sz w:val="22"/>
          <w:szCs w:val="22"/>
          <w:highlight w:val="none"/>
        </w:rPr>
      </w:pPr>
      <w:r>
        <w:rPr>
          <w:color w:val="000000"/>
          <w:sz w:val="22"/>
          <w:szCs w:val="22"/>
          <w:highlight w:val="none"/>
        </w:rPr>
        <w:t xml:space="preserve">□最低评标价法，指投标文件满足招标文件全部实质性要求，且投标报价最低的投标人为中标候选人的评标方法。</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color w:val="000000"/>
          <w:sz w:val="22"/>
          <w:szCs w:val="22"/>
          <w:highlight w:val="none"/>
        </w:rPr>
      </w:pPr>
      <w:r>
        <w:rPr>
          <w:rFonts w:hint="eastAsia"/>
          <w:color w:val="000000"/>
          <w:sz w:val="22"/>
          <w:szCs w:val="22"/>
          <w:highlight w:val="none"/>
          <w:lang w:val="en-US" w:eastAsia="zh-CN" w:bidi="ar-SA"/>
        </w:rPr>
        <w:t xml:space="preserve">3.2.2</w:t>
      </w:r>
      <w:r>
        <w:rPr>
          <w:color w:val="000000"/>
          <w:sz w:val="22"/>
          <w:szCs w:val="22"/>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2"/>
          <w:szCs w:val="22"/>
          <w:highlight w:val="none"/>
        </w:rPr>
        <w:t xml:space="preserve">投标无效</w:t>
      </w:r>
      <w:r>
        <w:rPr>
          <w:color w:val="000000"/>
          <w:sz w:val="22"/>
          <w:szCs w:val="22"/>
          <w:highlight w:val="none"/>
        </w:rPr>
        <w:t xml:space="preserve">。</w:t>
      </w:r>
      <w:r>
        <w:rPr>
          <w:color w:val="000000"/>
          <w:sz w:val="22"/>
          <w:szCs w:val="22"/>
          <w:highlight w:val="none"/>
        </w:rPr>
      </w:r>
      <w:r/>
    </w:p>
    <w:p>
      <w:pPr>
        <w:pStyle w:val="906"/>
        <w:ind w:firstLine="480"/>
        <w:spacing w:line="360" w:lineRule="auto"/>
        <w:tabs>
          <w:tab w:val="left" w:pos="1080" w:leader="none"/>
          <w:tab w:val="left" w:pos="1589" w:leader="none"/>
          <w:tab w:val="left" w:pos="2035" w:leader="none"/>
        </w:tabs>
        <w:rPr>
          <w:color w:val="000000"/>
          <w:sz w:val="22"/>
          <w:szCs w:val="22"/>
          <w:highlight w:val="none"/>
        </w:rPr>
      </w:pPr>
      <w:r>
        <w:rPr>
          <w:rFonts w:hint="eastAsia" w:ascii="宋体" w:hAnsi="宋体" w:cs="宋体"/>
          <w:color w:val="000000"/>
          <w:sz w:val="24"/>
          <w:highlight w:val="none"/>
        </w:rPr>
        <w:t xml:space="preserve">■</w:t>
      </w:r>
      <w:r>
        <w:rPr>
          <w:color w:val="000000"/>
          <w:sz w:val="22"/>
          <w:szCs w:val="22"/>
          <w:highlight w:val="none"/>
        </w:rPr>
        <w:t xml:space="preserve">随机抽取</w:t>
      </w:r>
      <w:r>
        <w:rPr>
          <w:color w:val="000000"/>
          <w:sz w:val="22"/>
          <w:szCs w:val="22"/>
          <w:highlight w:val="none"/>
        </w:rPr>
      </w:r>
      <w:r/>
    </w:p>
    <w:p>
      <w:pPr>
        <w:pStyle w:val="906"/>
        <w:ind w:firstLine="440"/>
        <w:spacing w:line="360" w:lineRule="auto"/>
        <w:tabs>
          <w:tab w:val="left" w:pos="1080" w:leader="none"/>
          <w:tab w:val="left" w:pos="1589" w:leader="none"/>
          <w:tab w:val="left" w:pos="2035" w:leader="none"/>
        </w:tabs>
        <w:rPr>
          <w:color w:val="000000"/>
          <w:sz w:val="22"/>
          <w:szCs w:val="22"/>
          <w:highlight w:val="none"/>
          <w:u w:val="single"/>
        </w:rPr>
      </w:pPr>
      <w:r>
        <w:rPr>
          <w:color w:val="000000"/>
          <w:sz w:val="22"/>
          <w:szCs w:val="22"/>
          <w:highlight w:val="none"/>
        </w:rPr>
        <w:t xml:space="preserve">□其他方式，具体要求：_____</w:t>
      </w:r>
      <w:r>
        <w:rPr>
          <w:color w:val="000000"/>
          <w:sz w:val="22"/>
          <w:szCs w:val="22"/>
          <w:highlight w:val="none"/>
          <w:u w:val="single"/>
        </w:rPr>
      </w:r>
      <w:r/>
    </w:p>
    <w:p>
      <w:pPr>
        <w:pStyle w:val="906"/>
        <w:numPr>
          <w:ilvl w:val="2"/>
          <w:numId w:val="0"/>
        </w:numPr>
        <w:ind w:left="0" w:firstLine="440"/>
        <w:spacing w:line="360" w:lineRule="auto"/>
        <w:tabs>
          <w:tab w:val="left" w:pos="1080" w:leader="none"/>
          <w:tab w:val="left" w:pos="1589" w:leader="none"/>
          <w:tab w:val="left" w:pos="2035" w:leader="none"/>
        </w:tabs>
        <w:rPr>
          <w:color w:val="000000"/>
          <w:sz w:val="22"/>
          <w:szCs w:val="22"/>
          <w:highlight w:val="none"/>
        </w:rPr>
      </w:pPr>
      <w:r>
        <w:rPr>
          <w:rFonts w:hint="eastAsia"/>
          <w:color w:val="000000"/>
          <w:sz w:val="22"/>
          <w:szCs w:val="22"/>
          <w:highlight w:val="none"/>
          <w:lang w:val="en-US" w:eastAsia="zh-CN" w:bidi="ar-SA"/>
        </w:rPr>
        <w:t xml:space="preserve">3.2.3</w:t>
      </w:r>
      <w:r>
        <w:rPr>
          <w:color w:val="000000"/>
          <w:sz w:val="22"/>
          <w:szCs w:val="22"/>
          <w:highlight w:val="none"/>
        </w:rPr>
        <w:t xml:space="preserve">非政府强制采购的节能产品或环境标志产品，依据品目清单和认证证书实施政府优先采购。优先采购的具体规定（如涉及）_____。</w:t>
      </w:r>
      <w:r>
        <w:rPr>
          <w:color w:val="000000"/>
          <w:sz w:val="22"/>
          <w:szCs w:val="22"/>
          <w:highlight w:val="none"/>
        </w:rPr>
      </w:r>
      <w:r/>
    </w:p>
    <w:p>
      <w:pPr>
        <w:pStyle w:val="906"/>
        <w:numPr>
          <w:ilvl w:val="2"/>
          <w:numId w:val="0"/>
        </w:numPr>
        <w:ind w:left="0" w:firstLine="440"/>
        <w:spacing w:line="360" w:lineRule="auto"/>
        <w:tabs>
          <w:tab w:val="left" w:pos="1080" w:leader="none"/>
          <w:tab w:val="left" w:pos="1589" w:leader="none"/>
          <w:tab w:val="left" w:pos="2035" w:leader="none"/>
        </w:tabs>
        <w:rPr>
          <w:color w:val="000000"/>
          <w:sz w:val="22"/>
          <w:szCs w:val="22"/>
          <w:highlight w:val="none"/>
        </w:rPr>
      </w:pPr>
      <w:r>
        <w:rPr>
          <w:rFonts w:hint="eastAsia"/>
          <w:color w:val="000000"/>
          <w:sz w:val="22"/>
          <w:szCs w:val="22"/>
          <w:highlight w:val="none"/>
          <w:lang w:val="en-US" w:eastAsia="zh-CN" w:bidi="ar-SA"/>
        </w:rPr>
        <w:t xml:space="preserve">3.2.4</w:t>
      </w:r>
      <w:r>
        <w:rPr>
          <w:color w:val="000000"/>
          <w:sz w:val="22"/>
          <w:szCs w:val="22"/>
          <w:highlight w:val="none"/>
        </w:rPr>
        <w:t xml:space="preserve">关于无线局域网认证产品政府采购清单中的产品，优先采购的具体规定（如涉及）_____。</w:t>
      </w:r>
      <w:r>
        <w:rPr>
          <w:color w:val="000000"/>
          <w:sz w:val="22"/>
          <w:szCs w:val="22"/>
          <w:highlight w:val="none"/>
        </w:rPr>
      </w:r>
      <w:r/>
    </w:p>
    <w:p>
      <w:pPr>
        <w:pStyle w:val="906"/>
        <w:numPr>
          <w:ilvl w:val="0"/>
          <w:numId w:val="0"/>
        </w:numPr>
        <w:ind w:left="0" w:firstLine="440"/>
        <w:spacing w:line="360" w:lineRule="auto"/>
        <w:tabs>
          <w:tab w:val="left" w:pos="360" w:leader="none"/>
        </w:tabs>
        <w:rPr>
          <w:color w:val="000000"/>
          <w:sz w:val="22"/>
          <w:szCs w:val="22"/>
          <w:highlight w:val="none"/>
        </w:rPr>
      </w:pPr>
      <w:r>
        <w:rPr>
          <w:rFonts w:hint="eastAsia"/>
          <w:color w:val="000000"/>
          <w:sz w:val="22"/>
          <w:szCs w:val="22"/>
          <w:highlight w:val="none"/>
          <w:lang w:val="en-US" w:eastAsia="zh-CN" w:bidi="ar-SA"/>
        </w:rPr>
        <w:t xml:space="preserve">4</w:t>
      </w:r>
      <w:r>
        <w:rPr>
          <w:color w:val="000000"/>
          <w:sz w:val="22"/>
          <w:szCs w:val="22"/>
          <w:highlight w:val="none"/>
        </w:rPr>
        <w:t xml:space="preserve">确定</w:t>
      </w:r>
      <w:bookmarkStart w:id="752" w:name="_Toc164229241"/>
      <w:r/>
      <w:bookmarkStart w:id="753" w:name="_Toc226337242"/>
      <w:r/>
      <w:bookmarkStart w:id="754" w:name="_Toc226965819"/>
      <w:r/>
      <w:bookmarkStart w:id="755" w:name="_Toc150509297"/>
      <w:r/>
      <w:bookmarkStart w:id="756" w:name="_Toc151190173"/>
      <w:r/>
      <w:bookmarkStart w:id="757" w:name="_Toc305158888"/>
      <w:r/>
      <w:bookmarkStart w:id="758" w:name="_Toc149720839"/>
      <w:r/>
      <w:bookmarkStart w:id="759" w:name="_Toc151193860"/>
      <w:r/>
      <w:bookmarkStart w:id="760" w:name="_Ref467307010"/>
      <w:r/>
      <w:bookmarkStart w:id="761" w:name="_Toc127151747"/>
      <w:r/>
      <w:bookmarkStart w:id="762" w:name="_Toc151193644"/>
      <w:r/>
      <w:bookmarkStart w:id="763" w:name="_Toc150774751"/>
      <w:r/>
      <w:bookmarkStart w:id="764" w:name="_Toc265228384"/>
      <w:r/>
      <w:bookmarkStart w:id="765" w:name="_Toc164351640"/>
      <w:r/>
      <w:bookmarkStart w:id="766" w:name="_Toc195842911"/>
      <w:r/>
      <w:bookmarkStart w:id="767" w:name="_Toc151193788"/>
      <w:r/>
      <w:bookmarkStart w:id="768" w:name="_Toc127151546"/>
      <w:r/>
      <w:bookmarkStart w:id="769" w:name="_Toc226309790"/>
      <w:r/>
      <w:bookmarkStart w:id="770" w:name="_Toc150774646"/>
      <w:r/>
      <w:bookmarkStart w:id="771" w:name="_Toc164229387"/>
      <w:r/>
      <w:bookmarkStart w:id="772" w:name="_Toc164608660"/>
      <w:r/>
      <w:bookmarkStart w:id="773" w:name="_Toc164608815"/>
      <w:r/>
      <w:bookmarkStart w:id="774" w:name="_Toc151193716"/>
      <w:r/>
      <w:bookmarkStart w:id="775" w:name="_Toc305158814"/>
      <w:r/>
      <w:bookmarkStart w:id="776" w:name="_Toc520356170"/>
      <w:r/>
      <w:bookmarkStart w:id="777" w:name="_Toc127161460"/>
      <w:r/>
      <w:bookmarkStart w:id="778" w:name="_Toc151193934"/>
      <w:r/>
      <w:bookmarkStart w:id="779" w:name="_Toc226965736"/>
      <w:r/>
      <w:bookmarkStart w:id="780" w:name="_Toc142311048"/>
      <w:r/>
      <w:bookmarkStart w:id="781" w:name="_Toc150480784"/>
      <w:r/>
      <w:bookmarkStart w:id="782" w:name="_Toc264969236"/>
      <w:r>
        <w:rPr>
          <w:color w:val="000000"/>
          <w:sz w:val="22"/>
          <w:szCs w:val="22"/>
          <w:highlight w:val="none"/>
        </w:rPr>
        <w:t xml:space="preserve">中标候选人名单</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4.1</w:t>
      </w:r>
      <w:r>
        <w:rPr>
          <w:color w:val="000000"/>
          <w:sz w:val="22"/>
          <w:szCs w:val="22"/>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2"/>
          <w:szCs w:val="22"/>
          <w:highlight w:val="none"/>
        </w:rPr>
      </w:r>
      <w:r/>
    </w:p>
    <w:p>
      <w:pPr>
        <w:pStyle w:val="945"/>
        <w:ind w:firstLine="480"/>
        <w:spacing w:line="360" w:lineRule="auto"/>
        <w:tabs>
          <w:tab w:val="left" w:pos="900" w:leader="none"/>
          <w:tab w:val="left" w:pos="2127" w:leader="none"/>
        </w:tabs>
        <w:rPr>
          <w:rFonts w:ascii="Times New Roman" w:hAnsi="Times New Roman"/>
          <w:color w:val="000000"/>
          <w:sz w:val="22"/>
          <w:szCs w:val="22"/>
          <w:highlight w:val="none"/>
        </w:rPr>
      </w:pPr>
      <w:r>
        <w:rPr>
          <w:rFonts w:hAnsi="宋体" w:cs="宋体"/>
          <w:color w:val="000000"/>
          <w:sz w:val="24"/>
          <w:highlight w:val="none"/>
        </w:rPr>
        <w:t xml:space="preserve">■</w:t>
      </w:r>
      <w:r>
        <w:rPr>
          <w:rFonts w:ascii="Times New Roman" w:hAnsi="Times New Roman"/>
          <w:color w:val="000000"/>
          <w:sz w:val="22"/>
          <w:szCs w:val="22"/>
          <w:highlight w:val="none"/>
        </w:rPr>
        <w:t xml:space="preserve">随机抽取</w:t>
      </w:r>
      <w:r>
        <w:rPr>
          <w:rFonts w:ascii="Times New Roman" w:hAnsi="Times New Roman"/>
          <w:color w:val="000000"/>
          <w:sz w:val="22"/>
          <w:szCs w:val="22"/>
          <w:highlight w:val="none"/>
        </w:rPr>
      </w:r>
      <w:r/>
    </w:p>
    <w:p>
      <w:pPr>
        <w:pStyle w:val="945"/>
        <w:ind w:firstLine="440"/>
        <w:spacing w:line="360" w:lineRule="auto"/>
        <w:tabs>
          <w:tab w:val="left" w:pos="900" w:leader="none"/>
          <w:tab w:val="left" w:pos="2127" w:leader="none"/>
        </w:tabs>
        <w:rPr>
          <w:rFonts w:ascii="Times New Roman" w:hAnsi="Times New Roman"/>
          <w:color w:val="000000"/>
          <w:sz w:val="22"/>
          <w:szCs w:val="22"/>
          <w:highlight w:val="none"/>
        </w:rPr>
      </w:pPr>
      <w:r>
        <w:rPr>
          <w:rFonts w:ascii="Times New Roman" w:hAnsi="Times New Roman"/>
          <w:color w:val="000000"/>
          <w:sz w:val="22"/>
          <w:szCs w:val="22"/>
          <w:highlight w:val="none"/>
        </w:rPr>
        <w:t xml:space="preserve">□其他方式，具体要求：_____</w:t>
      </w:r>
      <w:r>
        <w:rPr>
          <w:rFonts w:ascii="Times New Roman" w:hAnsi="Times New Roman"/>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4.2</w:t>
      </w:r>
      <w:r>
        <w:rPr>
          <w:color w:val="000000"/>
          <w:sz w:val="22"/>
          <w:szCs w:val="22"/>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4.3</w:t>
      </w:r>
      <w:r>
        <w:rPr>
          <w:color w:val="000000"/>
          <w:sz w:val="22"/>
          <w:szCs w:val="22"/>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4.4</w:t>
      </w:r>
      <w:r>
        <w:rPr>
          <w:color w:val="000000"/>
          <w:sz w:val="22"/>
          <w:szCs w:val="22"/>
          <w:highlight w:val="none"/>
        </w:rPr>
        <w:t xml:space="preserve">评标委员会要对评分汇总情况进行复核，特别是对排名第一的、报价最低的、投标或</w:t>
      </w:r>
      <w:r>
        <w:rPr>
          <w:rFonts w:hint="eastAsia"/>
          <w:color w:val="000000"/>
          <w:sz w:val="22"/>
          <w:szCs w:val="22"/>
          <w:highlight w:val="none"/>
        </w:rPr>
        <w:t xml:space="preserve">响应</w:t>
      </w:r>
      <w:r>
        <w:rPr>
          <w:color w:val="000000"/>
          <w:sz w:val="22"/>
          <w:szCs w:val="22"/>
          <w:highlight w:val="none"/>
        </w:rPr>
        <w:t xml:space="preserve">文件被认定为无效的情形进行重点复核。</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4.5</w:t>
      </w:r>
      <w:r>
        <w:rPr>
          <w:color w:val="000000"/>
          <w:sz w:val="22"/>
          <w:szCs w:val="22"/>
          <w:highlight w:val="none"/>
        </w:rPr>
        <w:t xml:space="preserve">评标委员会将根据各投标人的评标排序，依次推荐本项目（</w:t>
      </w:r>
      <w:r>
        <w:rPr>
          <w:rFonts w:hint="eastAsia"/>
          <w:color w:val="000000"/>
          <w:sz w:val="22"/>
          <w:szCs w:val="22"/>
          <w:highlight w:val="none"/>
        </w:rPr>
        <w:t xml:space="preserve">各</w:t>
      </w:r>
      <w:r>
        <w:rPr>
          <w:color w:val="000000"/>
          <w:sz w:val="22"/>
          <w:szCs w:val="22"/>
          <w:highlight w:val="none"/>
        </w:rPr>
        <w:t xml:space="preserve">采购包）的中标候选人，起草并签署评标报告。本项目（</w:t>
      </w:r>
      <w:r>
        <w:rPr>
          <w:rFonts w:hint="eastAsia"/>
          <w:color w:val="000000"/>
          <w:sz w:val="22"/>
          <w:szCs w:val="22"/>
          <w:highlight w:val="none"/>
        </w:rPr>
        <w:t xml:space="preserve">各</w:t>
      </w:r>
      <w:r>
        <w:rPr>
          <w:color w:val="000000"/>
          <w:sz w:val="22"/>
          <w:szCs w:val="22"/>
          <w:highlight w:val="none"/>
        </w:rPr>
        <w:t xml:space="preserve">采购包）评标委员会共（各）推荐</w:t>
      </w:r>
      <w:r>
        <w:rPr>
          <w:rFonts w:hint="eastAsia"/>
          <w:color w:val="000000"/>
          <w:sz w:val="22"/>
          <w:szCs w:val="22"/>
          <w:highlight w:val="none"/>
        </w:rPr>
        <w:t xml:space="preserve">不少于3</w:t>
      </w:r>
      <w:r>
        <w:rPr>
          <w:color w:val="000000"/>
          <w:sz w:val="22"/>
          <w:szCs w:val="22"/>
          <w:highlight w:val="none"/>
        </w:rPr>
        <w:t xml:space="preserve">名中标候选人。</w:t>
      </w:r>
      <w:r>
        <w:rPr>
          <w:color w:val="000000"/>
          <w:sz w:val="22"/>
          <w:szCs w:val="22"/>
          <w:highlight w:val="none"/>
        </w:rPr>
      </w:r>
      <w:r/>
    </w:p>
    <w:p>
      <w:pPr>
        <w:pStyle w:val="906"/>
        <w:numPr>
          <w:ilvl w:val="0"/>
          <w:numId w:val="0"/>
        </w:numPr>
        <w:ind w:left="0" w:firstLine="440"/>
        <w:spacing w:line="360" w:lineRule="auto"/>
        <w:tabs>
          <w:tab w:val="left" w:pos="360" w:leader="none"/>
        </w:tabs>
        <w:rPr>
          <w:color w:val="000000"/>
          <w:sz w:val="22"/>
          <w:szCs w:val="22"/>
          <w:highlight w:val="none"/>
        </w:rPr>
      </w:pPr>
      <w:r>
        <w:rPr>
          <w:rFonts w:hint="eastAsia"/>
          <w:color w:val="000000"/>
          <w:sz w:val="22"/>
          <w:szCs w:val="22"/>
          <w:highlight w:val="none"/>
          <w:lang w:val="en-US" w:eastAsia="zh-CN" w:bidi="ar-SA"/>
        </w:rPr>
        <w:t xml:space="preserve">5</w:t>
      </w:r>
      <w:r>
        <w:rPr>
          <w:color w:val="000000"/>
          <w:sz w:val="22"/>
          <w:szCs w:val="22"/>
          <w:highlight w:val="none"/>
        </w:rPr>
        <w:t xml:space="preserve">报告违法行为</w:t>
      </w:r>
      <w:r>
        <w:rPr>
          <w:color w:val="000000"/>
          <w:sz w:val="22"/>
          <w:szCs w:val="22"/>
          <w:highlight w:val="none"/>
        </w:rPr>
      </w:r>
      <w:r/>
    </w:p>
    <w:p>
      <w:pPr>
        <w:pStyle w:val="906"/>
        <w:numPr>
          <w:ilvl w:val="1"/>
          <w:numId w:val="0"/>
        </w:numPr>
        <w:ind w:left="0" w:firstLine="480"/>
        <w:spacing w:line="360" w:lineRule="auto"/>
        <w:tabs>
          <w:tab w:val="left" w:pos="1080" w:leader="none"/>
        </w:tabs>
        <w:rPr>
          <w:color w:val="000000"/>
          <w:sz w:val="22"/>
          <w:szCs w:val="22"/>
          <w:highlight w:val="none"/>
        </w:rPr>
      </w:pPr>
      <w:r>
        <w:rPr>
          <w:rFonts w:ascii="Times New Roman" w:hAnsi="Times New Roman" w:cs="Times New Roman"/>
          <w:color w:val="000000"/>
          <w:sz w:val="24"/>
          <w:szCs w:val="24"/>
          <w:highlight w:val="none"/>
          <w:lang w:val="en-US" w:eastAsia="zh-CN" w:bidi="ar-SA"/>
        </w:rPr>
        <w:t xml:space="preserve">5.1</w:t>
      </w:r>
      <w:r>
        <w:rPr>
          <w:color w:val="000000"/>
          <w:sz w:val="22"/>
          <w:szCs w:val="22"/>
          <w:highlight w:val="none"/>
        </w:rPr>
        <w:t xml:space="preserve">评标委员会在评标过程中发现投标人有行贿、提供虚假材料或者串通等违法行为时，有向采购人、采购代理机构或者有关部门报告的职责。</w:t>
      </w:r>
      <w:r>
        <w:rPr>
          <w:color w:val="000000"/>
          <w:sz w:val="22"/>
          <w:szCs w:val="22"/>
          <w:highlight w:val="none"/>
        </w:rPr>
      </w:r>
      <w:r/>
    </w:p>
    <w:p>
      <w:pPr>
        <w:pStyle w:val="906"/>
        <w:numPr>
          <w:ilvl w:val="1"/>
          <w:numId w:val="0"/>
        </w:numPr>
        <w:ind w:left="0" w:firstLine="440"/>
        <w:spacing w:line="360" w:lineRule="auto"/>
        <w:tabs>
          <w:tab w:val="left" w:pos="1080" w:leader="none"/>
        </w:tabs>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6</w:t>
      </w:r>
      <w:r>
        <w:rPr>
          <w:rFonts w:hint="eastAsia" w:ascii="Times New Roman" w:hAnsi="Times New Roman" w:eastAsia="宋体" w:cs="Times New Roman"/>
          <w:color w:val="000000"/>
          <w:sz w:val="22"/>
          <w:szCs w:val="22"/>
          <w:highlight w:val="none"/>
        </w:rPr>
        <w:t xml:space="preserve">未通过资格审查或符合性审查的投标人，评标委员会将在“苏采云”系统中告知未通过资格审查或符合性审查的原因，评标结束后，代理机构将不再告知未通过资格审查和符合性审查的原因。</w:t>
      </w:r>
      <w:r>
        <w:rPr>
          <w:rFonts w:hint="eastAsia" w:ascii="Times New Roman" w:hAnsi="Times New Roman" w:eastAsia="宋体" w:cs="Times New Roman"/>
          <w:color w:val="000000"/>
          <w:sz w:val="22"/>
          <w:szCs w:val="22"/>
          <w:highlight w:val="none"/>
        </w:rPr>
      </w:r>
      <w:r/>
    </w:p>
    <w:p>
      <w:pPr>
        <w:pStyle w:val="906"/>
        <w:numPr>
          <w:ilvl w:val="1"/>
          <w:numId w:val="0"/>
        </w:numPr>
        <w:ind w:left="0" w:firstLine="440"/>
        <w:spacing w:line="360" w:lineRule="auto"/>
        <w:tabs>
          <w:tab w:val="left" w:pos="1080" w:leader="none"/>
        </w:tabs>
        <w:rPr>
          <w:rFonts w:ascii="Times New Roman" w:hAnsi="Times New Roman" w:eastAsia="宋体" w:cs="Times New Roman"/>
          <w:color w:val="000000"/>
          <w:sz w:val="22"/>
          <w:szCs w:val="22"/>
          <w:highlight w:val="none"/>
        </w:rPr>
      </w:pPr>
      <w:r/>
      <w:bookmarkStart w:id="783" w:name="_Hlk159067375"/>
      <w:r>
        <w:rPr>
          <w:rFonts w:hint="eastAsia" w:ascii="Times New Roman" w:hAnsi="Times New Roman" w:eastAsia="宋体" w:cs="Times New Roman"/>
          <w:color w:val="000000"/>
          <w:sz w:val="22"/>
          <w:szCs w:val="22"/>
          <w:highlight w:val="none"/>
          <w:lang w:val="en-US" w:eastAsia="zh-CN"/>
        </w:rPr>
        <w:t xml:space="preserve">7</w:t>
      </w:r>
      <w:r>
        <w:rPr>
          <w:rFonts w:hint="eastAsia" w:ascii="Times New Roman" w:hAnsi="Times New Roman" w:eastAsia="宋体" w:cs="Times New Roman"/>
          <w:color w:val="000000"/>
          <w:sz w:val="22"/>
          <w:szCs w:val="22"/>
          <w:highlight w:val="none"/>
        </w:rPr>
        <w:t xml:space="preserve">采用综合评分法的项目，未中标的投标人可于中标结果公告期限届满之日起通过“苏采云”系统查看自己的评审得分及排序情况。</w:t>
      </w:r>
      <w:bookmarkEnd w:id="783"/>
      <w:r>
        <w:rPr>
          <w:rFonts w:ascii="Times New Roman" w:hAnsi="Times New Roman" w:eastAsia="宋体" w:cs="Times New Roman"/>
          <w:color w:val="000000"/>
          <w:sz w:val="22"/>
          <w:szCs w:val="22"/>
          <w:highlight w:val="none"/>
        </w:rPr>
      </w:r>
      <w:r/>
    </w:p>
    <w:p>
      <w:pPr>
        <w:pStyle w:val="906"/>
        <w:jc w:val="left"/>
        <w:widowControl/>
        <w:rPr>
          <w:b/>
          <w:color w:val="000000"/>
          <w:sz w:val="24"/>
          <w:highlight w:val="none"/>
        </w:rPr>
      </w:pPr>
      <w:r>
        <w:rPr>
          <w:b/>
          <w:color w:val="000000"/>
          <w:sz w:val="24"/>
          <w:highlight w:val="none"/>
        </w:rPr>
      </w:r>
      <w:r/>
    </w:p>
    <w:p>
      <w:pPr>
        <w:pStyle w:val="906"/>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20" w:type="dxa"/>
        <w:tblInd w:w="-50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135"/>
        <w:gridCol w:w="6015"/>
        <w:gridCol w:w="960"/>
        <w:gridCol w:w="990"/>
      </w:tblGrid>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序号</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评分因素</w:t>
            </w:r>
            <w:r>
              <w:rPr>
                <w:rFonts w:ascii="Times New Roman" w:hAnsi="Times New Roman" w:eastAsia="宋体" w:cs="Times New Roman"/>
                <w:color w:val="000000"/>
                <w:highlight w:val="none"/>
              </w:rPr>
            </w:r>
            <w:r/>
          </w:p>
        </w:tc>
        <w:tc>
          <w:tcPr>
            <w:tcW w:w="6015"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评分标准和评审材料</w:t>
            </w:r>
            <w:r>
              <w:rPr>
                <w:rFonts w:ascii="Times New Roman" w:hAnsi="Times New Roman" w:eastAsia="宋体" w:cs="Times New Roman"/>
                <w:color w:val="00000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最低分值</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最高分值</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1</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价格分</w:t>
            </w:r>
            <w:r>
              <w:rPr>
                <w:rFonts w:ascii="Times New Roman" w:hAnsi="Times New Roman" w:eastAsia="宋体" w:cs="Times New Roman"/>
                <w:color w:val="00000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0"/>
                <w:szCs w:val="20"/>
                <w:highlight w:val="none"/>
              </w:rPr>
            </w:r>
            <w:r/>
          </w:p>
          <w:p>
            <w:pPr>
              <w:pStyle w:val="906"/>
              <w:jc w:val="left"/>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投标报价得分＝（评标基准价/投标报价）×分值。</w:t>
            </w:r>
            <w:r>
              <w:rPr>
                <w:rFonts w:ascii="Times New Roman" w:hAnsi="Times New Roman" w:eastAsia="宋体" w:cs="Times New Roman"/>
                <w:color w:val="00000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lang w:val="en-US" w:eastAsia="zh-CN"/>
              </w:rPr>
              <w:t xml:space="preserve">0</w:t>
            </w:r>
            <w:r>
              <w:rPr>
                <w:rFonts w:hint="eastAsia" w:ascii="Times New Roman" w:hAnsi="Times New Roman" w:eastAsia="宋体" w:cs="Times New Roman"/>
                <w:color w:val="000000"/>
                <w:highlight w:val="none"/>
                <w:lang w:eastAsia="zh-CN"/>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2</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center"/>
              <w:spacing w:line="24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技术分</w:t>
            </w:r>
            <w:r>
              <w:rPr>
                <w:rFonts w:hint="eastAsia" w:ascii="宋体" w:hAnsi="宋体" w:eastAsia="宋体" w:cs="宋体"/>
                <w:b/>
                <w:bCs/>
                <w:color w:val="000000"/>
                <w:sz w:val="20"/>
                <w:szCs w:val="20"/>
                <w:highlight w:val="none"/>
              </w:rPr>
            </w:r>
            <w:r/>
          </w:p>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（主观分）</w:t>
            </w:r>
            <w:r>
              <w:rPr>
                <w:rFonts w:ascii="Times New Roman" w:hAnsi="Times New Roman" w:eastAsia="宋体" w:cs="Times New Roman"/>
                <w:color w:val="000000"/>
                <w:highlight w:val="none"/>
              </w:rPr>
            </w:r>
            <w:r/>
          </w:p>
        </w:tc>
        <w:tc>
          <w:tcPr>
            <w:tcW w:w="6015"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96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52</w:t>
            </w:r>
            <w:r>
              <w:rPr>
                <w:rFonts w:ascii="Times New Roman" w:hAnsi="Times New Roman" w:eastAsia="宋体" w:cs="Times New Roman"/>
                <w:color w:val="000000"/>
                <w:highlight w:val="none"/>
                <w:lang w:val="en-US" w:eastAsia="zh-CN"/>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2.1</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废弃物处理工艺</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评标委员会根据投标人绿化废弃物处理工艺的描述进行评分，方案至少应包含覆盖物生产、有机基质生产两种处理工艺，描述应详细、深入浅出。（提供工艺流程图）</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方案阐述详尽、采用技术科学、工艺先进、操作性强的，得</w:t>
            </w:r>
            <w:r>
              <w:rPr>
                <w:rFonts w:hint="eastAsia" w:ascii="宋体" w:hAnsi="宋体" w:eastAsia="宋体" w:cs="宋体"/>
                <w:color w:val="000000"/>
                <w:sz w:val="20"/>
                <w:szCs w:val="20"/>
                <w:highlight w:val="none"/>
                <w:lang w:val="en-US" w:eastAsia="zh-CN"/>
              </w:rPr>
              <w:t xml:space="preserve">12</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方案阐述较为全面，采用技术合理、工艺规范科学的，得</w:t>
            </w:r>
            <w:r>
              <w:rPr>
                <w:rFonts w:hint="eastAsia" w:ascii="宋体" w:hAnsi="宋体" w:eastAsia="宋体" w:cs="宋体"/>
                <w:color w:val="000000"/>
                <w:sz w:val="20"/>
                <w:szCs w:val="20"/>
                <w:highlight w:val="none"/>
                <w:lang w:val="en-US" w:eastAsia="zh-CN"/>
              </w:rPr>
              <w:t xml:space="preserve">9</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方案较简单，采用技术较合理、工艺较规范的，得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方案简单，描述不够详细，无法判断技术、工艺合理性的，得</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2.2</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废弃物收运方案</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评标委员会根据投标人绿化废弃物收、运方案进行评分。方案应考虑采购人的需求，集中收运与直运的利弊比较，综合考虑便利、环保、经济等因素，设计综合性价比最高的方案。</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对项目需求理解非常深入，各项因素考虑周到，收运方案设置科学合理，可操作性强的，得1</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对项目需求有一定理解，能考虑到多种因素，收运方案较为合理的，得</w:t>
            </w:r>
            <w:r>
              <w:rPr>
                <w:rFonts w:hint="eastAsia" w:ascii="宋体" w:hAnsi="宋体" w:eastAsia="宋体" w:cs="宋体"/>
                <w:color w:val="000000"/>
                <w:sz w:val="20"/>
                <w:szCs w:val="20"/>
                <w:highlight w:val="none"/>
                <w:lang w:val="en-US" w:eastAsia="zh-CN"/>
              </w:rPr>
              <w:t xml:space="preserve">9</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对项目需求理解不够到位，收运方案不太贴合实际，可操作性一般的，得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对项目需求理解不到位，收运方案不贴合实际，</w:t>
            </w:r>
            <w:r>
              <w:rPr>
                <w:rFonts w:hint="eastAsia" w:ascii="宋体" w:hAnsi="宋体" w:eastAsia="宋体" w:cs="宋体"/>
                <w:color w:val="000000"/>
                <w:sz w:val="20"/>
                <w:szCs w:val="20"/>
                <w:highlight w:val="none"/>
                <w:lang w:val="en-US" w:eastAsia="zh-CN"/>
              </w:rPr>
              <w:t xml:space="preserve">不具有</w:t>
            </w:r>
            <w:r>
              <w:rPr>
                <w:rFonts w:hint="eastAsia" w:ascii="宋体" w:hAnsi="宋体" w:eastAsia="宋体" w:cs="宋体"/>
                <w:color w:val="000000"/>
                <w:sz w:val="20"/>
                <w:szCs w:val="20"/>
                <w:highlight w:val="none"/>
              </w:rPr>
              <w:t xml:space="preserve">可操作性的</w:t>
            </w:r>
            <w:r>
              <w:rPr>
                <w:rFonts w:hint="eastAsia" w:ascii="宋体" w:hAnsi="宋体" w:eastAsia="宋体" w:cs="宋体"/>
                <w:color w:val="000000"/>
                <w:sz w:val="20"/>
                <w:szCs w:val="20"/>
                <w:highlight w:val="none"/>
                <w:lang w:val="en-US" w:eastAsia="zh-CN"/>
              </w:rPr>
              <w:t xml:space="preserve">得4分；</w:t>
            </w:r>
            <w:r>
              <w:rPr>
                <w:rFonts w:ascii="宋体" w:hAnsi="宋体" w:eastAsia="宋体" w:cs="宋体"/>
                <w:color w:val="000000"/>
                <w:sz w:val="20"/>
                <w:szCs w:val="20"/>
                <w:highlight w:val="none"/>
                <w:lang w:val="en-US" w:eastAsia="zh-CN"/>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lang w:val="en-US" w:eastAsia="zh-CN"/>
              </w:rPr>
            </w:pPr>
            <w:r>
              <w:rPr>
                <w:rFonts w:hint="eastAsia" w:ascii="宋体" w:hAnsi="宋体" w:eastAsia="宋体" w:cs="宋体"/>
                <w:color w:val="000000"/>
                <w:sz w:val="20"/>
                <w:szCs w:val="20"/>
                <w:highlight w:val="none"/>
                <w:lang w:val="en-US" w:eastAsia="zh-CN"/>
              </w:rPr>
              <w:t xml:space="preserve">12</w:t>
            </w:r>
            <w:r>
              <w:rPr>
                <w:rFonts w:ascii="Times New Roman" w:hAnsi="Times New Roman" w:eastAsia="宋体" w:cs="Times New Roman"/>
                <w:color w:val="000000"/>
                <w:highlight w:val="none"/>
                <w:lang w:val="en-US" w:eastAsia="zh-CN"/>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2.3</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资源化利用生产方案</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评标委员会根据投标人绿化废弃物资源化利用方案及生产质量保证措施进行评分。方案应对资源化产品的品类、生产管理、质量控制、检验、存储、销售等方面进行阐述。（提供生产场地分区图）</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资源化品类多样、生产管理体系科学合理、质量品控严格、企业经营状况优良的，得</w:t>
            </w:r>
            <w:r>
              <w:rPr>
                <w:rFonts w:hint="eastAsia" w:ascii="宋体" w:hAnsi="宋体" w:eastAsia="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资源化品类满足项目最低需求、生产管理体系较合理，产品质量管理较规范的，得</w:t>
            </w:r>
            <w:r>
              <w:rPr>
                <w:rFonts w:hint="eastAsia" w:ascii="宋体" w:hAnsi="宋体" w:eastAsia="宋体" w:cs="宋体"/>
                <w:color w:val="000000"/>
                <w:sz w:val="20"/>
                <w:szCs w:val="20"/>
                <w:highlight w:val="none"/>
                <w:lang w:val="en-US" w:eastAsia="zh-CN"/>
              </w:rPr>
              <w:t xml:space="preserve">7.5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资源化品类满足项目最低需求，企业内部管理一般的，得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lang w:val="en-US" w:eastAsia="zh-CN"/>
              </w:rPr>
            </w:pPr>
            <w:r>
              <w:rPr>
                <w:rFonts w:hint="eastAsia" w:ascii="宋体" w:hAnsi="宋体" w:eastAsia="宋体" w:cs="宋体"/>
                <w:color w:val="000000"/>
                <w:sz w:val="20"/>
                <w:szCs w:val="20"/>
                <w:highlight w:val="none"/>
                <w:lang w:val="en-US" w:eastAsia="zh-CN"/>
              </w:rPr>
              <w:t xml:space="preserve">10</w:t>
            </w:r>
            <w:r>
              <w:rPr>
                <w:rFonts w:ascii="Times New Roman" w:hAnsi="Times New Roman" w:eastAsia="宋体" w:cs="Times New Roman"/>
                <w:color w:val="000000"/>
                <w:highlight w:val="none"/>
                <w:lang w:val="en-US" w:eastAsia="zh-CN"/>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2.4</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安全生产方案及措施</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评标委员会根据投标人安全生产方案及应急保障措施进行评分。方案应全面描述企业为安全生产采取的各项措施、及发生特别情况时采用的应急预案。</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安全生产方案科学合理、措施完备、可操作性强的，得6分；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安全生产方案较合理、措施具备实用性的，得4分；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安全生产方案较简单，措施不够完善的，得2分；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6</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2.5</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环境保护方案及措施</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评标委员会根据投标人环境保护方案及应急保障措施进行评分。方案应全面描述企业生产过程中为环境保护采取的各项措施、及发生特别情况时采用的应急预案。</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环境保护方案科学合理、措施完备、可操作性强的，得6分；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环境保护方案较合理、措施具备实用性的，得4分；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环境保护方案较简单，措施不够完善的，得2分；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6</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2.6</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售后服务方案</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评标委员会根据投标人售后服务方案及承诺进行评分。方案应对售后服务时间、售后服务内容、售后服务组织等方面进行阐述和承诺。</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售后服务内容完备、充分考虑到使用者的需求，有利于废弃物资源化利用推广工作，可操作性强的，得6分；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售后服务内容较完备、售后服务组织较完善，能解决使用者后顾之忧的，得4分；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售后服务内容较简单，组织不够完善，陈述较空洞的，得2分；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6</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3</w:t>
            </w:r>
            <w:r>
              <w:rPr>
                <w:rFonts w:ascii="Times New Roman" w:hAnsi="Times New Roman" w:eastAsia="宋体" w:cs="Times New Roman"/>
                <w:color w:val="000000"/>
                <w:highlight w:val="none"/>
              </w:rPr>
            </w:r>
            <w:r/>
          </w:p>
        </w:tc>
        <w:tc>
          <w:tcPr>
            <w:tcW w:w="1135" w:type="dxa"/>
            <w:vAlign w:val="center"/>
            <w:textDirection w:val="lrTb"/>
            <w:noWrap w:val="false"/>
          </w:tcPr>
          <w:p>
            <w:pPr>
              <w:pStyle w:val="906"/>
              <w:jc w:val="center"/>
              <w:spacing w:line="24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商务分</w:t>
            </w:r>
            <w:r>
              <w:rPr>
                <w:rFonts w:hint="eastAsia" w:ascii="宋体" w:hAnsi="宋体" w:eastAsia="宋体" w:cs="宋体"/>
                <w:b/>
                <w:bCs/>
                <w:color w:val="000000"/>
                <w:sz w:val="20"/>
                <w:szCs w:val="20"/>
                <w:highlight w:val="none"/>
              </w:rPr>
            </w:r>
            <w:r/>
          </w:p>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b/>
                <w:bCs/>
                <w:color w:val="000000"/>
                <w:sz w:val="20"/>
                <w:szCs w:val="20"/>
                <w:highlight w:val="none"/>
              </w:rPr>
              <w:t xml:space="preserve">（客观分）</w:t>
            </w:r>
            <w:r>
              <w:rPr>
                <w:rFonts w:ascii="Times New Roman" w:hAnsi="Times New Roman" w:eastAsia="宋体" w:cs="Times New Roman"/>
                <w:color w:val="000000"/>
                <w:highlight w:val="none"/>
              </w:rPr>
            </w:r>
            <w:r/>
          </w:p>
        </w:tc>
        <w:tc>
          <w:tcPr>
            <w:tcW w:w="6015"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96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38</w:t>
            </w:r>
            <w:r>
              <w:rPr>
                <w:rFonts w:ascii="Times New Roman" w:hAnsi="Times New Roman" w:eastAsia="宋体" w:cs="Times New Roman"/>
                <w:color w:val="000000"/>
                <w:highlight w:val="none"/>
                <w:lang w:val="en-US" w:eastAsia="zh-CN"/>
              </w:rPr>
            </w:r>
            <w:r/>
          </w:p>
        </w:tc>
      </w:tr>
      <w:tr>
        <w:trPr/>
        <w:tc>
          <w:tcPr>
            <w:tcW w:w="62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lang w:val="en-US" w:eastAsia="zh-CN"/>
              </w:rPr>
              <w:t xml:space="preserve">1</w:t>
            </w:r>
            <w:r>
              <w:rPr>
                <w:rFonts w:hint="eastAsia" w:ascii="Times New Roman" w:hAnsi="Times New Roman" w:eastAsia="宋体" w:cs="Times New Roman"/>
                <w:color w:val="000000"/>
                <w:highlight w:val="none"/>
                <w:lang w:eastAsia="zh-CN"/>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投标人荣誉</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投标供应商（含投标供应商参加的项目）2022年1月1日以来获得过区级及以上政府部门颁发的荣誉的，每有1项得3分，本项最高得6分。</w:t>
            </w:r>
            <w:r>
              <w:rPr>
                <w:rFonts w:hint="eastAsia" w:ascii="宋体" w:hAnsi="宋体" w:eastAsia="宋体" w:cs="宋体"/>
                <w:color w:val="000000"/>
                <w:sz w:val="20"/>
                <w:szCs w:val="20"/>
                <w:highlight w:val="none"/>
              </w:rPr>
            </w:r>
            <w:r/>
          </w:p>
          <w:p>
            <w:pPr>
              <w:pStyle w:val="906"/>
              <w:jc w:val="left"/>
              <w:spacing w:line="240" w:lineRule="exact"/>
              <w:rPr>
                <w:rFonts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备注：响应文件中提供</w:t>
            </w:r>
            <w:r>
              <w:rPr>
                <w:rFonts w:hint="eastAsia" w:ascii="宋体" w:hAnsi="宋体" w:eastAsia="宋体" w:cs="宋体"/>
                <w:b/>
                <w:bCs/>
                <w:color w:val="000000"/>
                <w:sz w:val="20"/>
                <w:szCs w:val="20"/>
                <w:highlight w:val="none"/>
                <w:lang w:val="en-US" w:eastAsia="zh-CN"/>
              </w:rPr>
              <w:t xml:space="preserve">相关证明材料</w:t>
            </w:r>
            <w:r>
              <w:rPr>
                <w:rFonts w:hint="eastAsia" w:ascii="宋体" w:hAnsi="宋体" w:eastAsia="宋体" w:cs="宋体"/>
                <w:b/>
                <w:bCs/>
                <w:color w:val="000000"/>
                <w:sz w:val="20"/>
                <w:szCs w:val="20"/>
                <w:highlight w:val="none"/>
              </w:rPr>
              <w:t xml:space="preserve">的原件扫描件。</w:t>
            </w:r>
            <w:r>
              <w:rPr>
                <w:rFonts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6</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lang w:val="en-US" w:eastAsia="zh-CN"/>
              </w:rPr>
              <w:t xml:space="preserve">2</w:t>
            </w:r>
            <w:r>
              <w:rPr>
                <w:rFonts w:hint="eastAsia" w:ascii="Times New Roman" w:hAnsi="Times New Roman" w:eastAsia="宋体" w:cs="Times New Roman"/>
                <w:color w:val="000000"/>
                <w:highlight w:val="none"/>
                <w:lang w:eastAsia="zh-CN"/>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项目负责人</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投标供应商拟投入本项目的项目负责人具备园林专业高级工程师及以上技术职称的得3分，具有园林专业工程师职称的得1分；本项最高得3分。</w:t>
            </w:r>
            <w:r>
              <w:rPr>
                <w:rFonts w:hint="eastAsia" w:ascii="宋体" w:hAnsi="宋体" w:eastAsia="宋体" w:cs="宋体"/>
                <w:color w:val="000000"/>
                <w:sz w:val="20"/>
                <w:szCs w:val="20"/>
                <w:highlight w:val="none"/>
              </w:rPr>
            </w:r>
            <w:r/>
          </w:p>
          <w:p>
            <w:pPr>
              <w:pStyle w:val="906"/>
              <w:jc w:val="left"/>
              <w:spacing w:line="240" w:lineRule="exact"/>
              <w:rPr>
                <w:rFonts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备注：响应文件中提供项目负责人的职称证书及本单位为其缴纳的近3个月内任意1个月的社保证明材料的原件扫描件。</w:t>
            </w:r>
            <w:r>
              <w:rPr>
                <w:rFonts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3</w:t>
            </w:r>
            <w:r>
              <w:rPr>
                <w:rFonts w:ascii="Times New Roman" w:hAnsi="Times New Roman" w:eastAsia="宋体" w:cs="Times New Roman"/>
                <w:color w:val="000000"/>
                <w:highlight w:val="none"/>
              </w:rPr>
            </w:r>
            <w:r/>
          </w:p>
        </w:tc>
      </w:tr>
      <w:tr>
        <w:trPr/>
        <w:tc>
          <w:tcPr>
            <w:tcW w:w="62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lang w:val="en-US" w:eastAsia="zh-CN"/>
              </w:rPr>
              <w:t xml:space="preserve">3</w:t>
            </w:r>
            <w:r>
              <w:rPr>
                <w:rFonts w:hint="eastAsia" w:ascii="Times New Roman" w:hAnsi="Times New Roman" w:eastAsia="宋体" w:cs="Times New Roman"/>
                <w:color w:val="000000"/>
                <w:highlight w:val="none"/>
                <w:lang w:eastAsia="zh-CN"/>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项目组成员</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（1）项目组成员中（不含项目负责人）具</w:t>
            </w:r>
            <w:r>
              <w:rPr>
                <w:rFonts w:hint="eastAsia" w:ascii="宋体" w:hAnsi="宋体" w:eastAsia="宋体" w:cs="宋体"/>
                <w:color w:val="000000"/>
                <w:sz w:val="20"/>
                <w:szCs w:val="20"/>
                <w:highlight w:val="none"/>
                <w:lang w:val="en-US" w:eastAsia="zh-CN"/>
              </w:rPr>
              <w:t xml:space="preserve">有</w:t>
            </w:r>
            <w:r>
              <w:rPr>
                <w:rFonts w:hint="eastAsia" w:ascii="宋体" w:hAnsi="宋体" w:eastAsia="宋体" w:cs="宋体"/>
                <w:color w:val="000000"/>
                <w:sz w:val="20"/>
                <w:szCs w:val="20"/>
                <w:highlight w:val="none"/>
              </w:rPr>
              <w:t xml:space="preserve">高级工程师及以上技术职称的，每有1人得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本项最高得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（2）项目组成员中（不含项目负责人）具备注册安全工程师证书的，每有1人得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分，本项最高得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备注：响应文件中提供项目组成员的</w:t>
            </w:r>
            <w:r>
              <w:rPr>
                <w:rFonts w:hint="eastAsia" w:ascii="宋体" w:hAnsi="宋体" w:eastAsia="宋体" w:cs="宋体"/>
                <w:b/>
                <w:bCs/>
                <w:color w:val="000000"/>
                <w:sz w:val="20"/>
                <w:szCs w:val="20"/>
                <w:highlight w:val="none"/>
                <w:lang w:val="en-US" w:eastAsia="zh-CN"/>
              </w:rPr>
              <w:t xml:space="preserve">相关</w:t>
            </w:r>
            <w:r>
              <w:rPr>
                <w:rFonts w:hint="eastAsia" w:ascii="宋体" w:hAnsi="宋体" w:eastAsia="宋体" w:cs="宋体"/>
                <w:b/>
                <w:bCs/>
                <w:color w:val="000000"/>
                <w:sz w:val="20"/>
                <w:szCs w:val="20"/>
                <w:highlight w:val="none"/>
              </w:rPr>
              <w:t xml:space="preserve">证书及本单位为其缴纳的近3个月内任意1个月的社保证明材料的原件扫描件。</w:t>
            </w:r>
            <w:r>
              <w:rPr>
                <w:rFonts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lang w:val="en-US" w:eastAsia="zh-CN"/>
              </w:rPr>
              <w:t xml:space="preserve">9</w:t>
            </w:r>
            <w:r>
              <w:rPr>
                <w:rFonts w:hint="eastAsia" w:ascii="Times New Roman" w:hAnsi="Times New Roman" w:eastAsia="宋体" w:cs="Times New Roman"/>
                <w:color w:val="000000"/>
                <w:highlight w:val="none"/>
                <w:lang w:eastAsia="zh-CN"/>
              </w:rPr>
            </w:r>
            <w:r/>
          </w:p>
        </w:tc>
      </w:tr>
      <w:tr>
        <w:trPr/>
        <w:tc>
          <w:tcPr>
            <w:tcW w:w="620" w:type="dxa"/>
            <w:vAlign w:val="center"/>
            <w:textDirection w:val="lrTb"/>
            <w:noWrap w:val="false"/>
          </w:tcPr>
          <w:p>
            <w:pPr>
              <w:pStyle w:val="906"/>
              <w:jc w:val="center"/>
              <w:spacing w:line="240" w:lineRule="exact"/>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lang w:val="en-US" w:eastAsia="zh-CN"/>
              </w:rPr>
              <w:t xml:space="preserve">4</w:t>
            </w:r>
            <w:r>
              <w:rPr>
                <w:rFonts w:hint="eastAsia" w:ascii="Times New Roman" w:hAnsi="Times New Roman" w:eastAsia="宋体" w:cs="Times New Roman"/>
                <w:color w:val="000000"/>
                <w:highlight w:val="none"/>
                <w:lang w:eastAsia="zh-CN"/>
              </w:rPr>
            </w:r>
            <w:r/>
          </w:p>
        </w:tc>
        <w:tc>
          <w:tcPr>
            <w:tcW w:w="113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设备配置</w:t>
            </w:r>
            <w:r>
              <w:rPr>
                <w:rFonts w:hint="eastAsia" w:ascii="宋体" w:hAnsi="宋体" w:eastAsia="宋体" w:cs="宋体"/>
                <w:color w:val="000000"/>
                <w:sz w:val="20"/>
                <w:szCs w:val="20"/>
                <w:highlight w:val="none"/>
              </w:rPr>
            </w:r>
            <w:r/>
          </w:p>
        </w:tc>
        <w:tc>
          <w:tcPr>
            <w:tcW w:w="6015" w:type="dxa"/>
            <w:vAlign w:val="center"/>
            <w:textDirection w:val="lrTb"/>
            <w:noWrap w:val="false"/>
          </w:tcPr>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投标供应商</w:t>
            </w:r>
            <w:r>
              <w:rPr>
                <w:rFonts w:hint="eastAsia" w:ascii="宋体" w:hAnsi="宋体" w:eastAsia="宋体" w:cs="宋体"/>
                <w:color w:val="000000"/>
                <w:sz w:val="20"/>
                <w:szCs w:val="20"/>
                <w:highlight w:val="none"/>
                <w:lang w:val="en-US" w:eastAsia="zh-CN"/>
              </w:rPr>
              <w:t xml:space="preserve">具有</w:t>
            </w:r>
            <w:r>
              <w:rPr>
                <w:rFonts w:hint="eastAsia" w:ascii="宋体" w:hAnsi="宋体" w:eastAsia="宋体" w:cs="宋体"/>
                <w:color w:val="000000"/>
                <w:sz w:val="20"/>
                <w:szCs w:val="20"/>
                <w:highlight w:val="none"/>
              </w:rPr>
              <w:t xml:space="preserve">以下设备设施的：</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（1）基质加工设备1套（包含：</w:t>
            </w:r>
            <w:r>
              <w:rPr>
                <w:rFonts w:ascii="宋体" w:hAnsi="宋体" w:eastAsia="宋体" w:cs="Times New Roman"/>
                <w:color w:val="000000"/>
                <w:highlight w:val="none"/>
              </w:rPr>
              <w:t xml:space="preserve">大型树枝粉碎机（</w:t>
            </w:r>
            <w:r>
              <w:rPr>
                <w:rFonts w:hint="eastAsia" w:ascii="宋体" w:hAnsi="宋体" w:eastAsia="宋体" w:cs="Times New Roman"/>
                <w:color w:val="000000"/>
                <w:highlight w:val="none"/>
              </w:rPr>
              <w:t xml:space="preserve">主电机</w:t>
            </w:r>
            <w:r>
              <w:rPr>
                <w:rFonts w:ascii="宋体" w:hAnsi="宋体" w:eastAsia="宋体" w:cs="Times New Roman"/>
                <w:color w:val="000000"/>
                <w:highlight w:val="none"/>
              </w:rPr>
              <w:t xml:space="preserve">功率≥</w:t>
            </w:r>
            <w:r>
              <w:rPr>
                <w:rFonts w:hint="eastAsia" w:ascii="宋体" w:hAnsi="宋体" w:eastAsia="宋体" w:cs="Times New Roman"/>
                <w:color w:val="000000"/>
                <w:highlight w:val="none"/>
              </w:rPr>
              <w:t xml:space="preserve">150KW</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1台；基质设备（主电机功率</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130KW，1台；辅助料仓1套；能完成有机介质工艺），</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Times New Roman"/>
                <w:color w:val="000000"/>
                <w:highlight w:val="none"/>
              </w:rPr>
              <w:t xml:space="preserve">雾炮车至少1台（载重量</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10t），得2分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Times New Roman"/>
                <w:color w:val="000000"/>
                <w:highlight w:val="none"/>
              </w:rPr>
              <w:t xml:space="preserve">（3）吸污车至少1台（载重量</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9t），得2分；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w:t>
            </w:r>
            <w:r>
              <w:rPr>
                <w:rFonts w:hint="eastAsia" w:ascii="宋体" w:hAnsi="宋体" w:eastAsia="宋体" w:cs="Times New Roman"/>
                <w:color w:val="000000"/>
                <w:highlight w:val="none"/>
              </w:rPr>
              <w:t xml:space="preserve">运输车辆（载重量</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13吨），有1辆得2分，每增加一辆加1分，本项最高得6分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Times New Roman"/>
                <w:color w:val="000000"/>
                <w:highlight w:val="none"/>
              </w:rPr>
            </w:pPr>
            <w:r>
              <w:rPr>
                <w:rFonts w:hint="eastAsia" w:ascii="宋体" w:hAnsi="宋体" w:eastAsia="宋体" w:cs="宋体"/>
                <w:color w:val="000000"/>
                <w:sz w:val="20"/>
                <w:szCs w:val="20"/>
                <w:highlight w:val="none"/>
              </w:rPr>
              <w:t xml:space="preserve">（5）地磅至少1台</w:t>
            </w:r>
            <w:r>
              <w:rPr>
                <w:rFonts w:hint="eastAsia" w:ascii="宋体" w:hAnsi="宋体" w:eastAsia="宋体" w:cs="Times New Roman"/>
                <w:color w:val="000000"/>
                <w:highlight w:val="none"/>
              </w:rPr>
              <w:t xml:space="preserve">（额定称量</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60吨），得2分；</w:t>
            </w:r>
            <w:r>
              <w:rPr>
                <w:rFonts w:hint="eastAsia" w:ascii="宋体" w:hAnsi="宋体" w:eastAsia="宋体" w:cs="Times New Roman"/>
                <w:color w:val="000000"/>
                <w:highlight w:val="none"/>
              </w:rPr>
            </w:r>
            <w:r/>
          </w:p>
          <w:p>
            <w:pPr>
              <w:pStyle w:val="906"/>
              <w:jc w:val="left"/>
              <w:spacing w:line="24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（6）打包机（包装系统能力:</w:t>
            </w:r>
            <w:r>
              <w:rPr>
                <w:rFonts w:hint="eastAsia" w:ascii="宋体" w:hAnsi="宋体" w:eastAsia="宋体" w:cs="Times New Roman"/>
                <w:color w:val="000000"/>
                <w:highlight w:val="none"/>
                <w:lang w:val="en-US" w:eastAsia="zh-CN"/>
              </w:rPr>
              <w:t xml:space="preserve">自动打包，</w:t>
            </w:r>
            <w:r>
              <w:rPr>
                <w:rFonts w:hint="eastAsia" w:ascii="宋体" w:hAnsi="宋体" w:eastAsia="宋体" w:cs="Times New Roman"/>
                <w:color w:val="000000"/>
                <w:highlight w:val="none"/>
              </w:rPr>
              <w:t xml:space="preserve">包装范</w:t>
            </w:r>
            <w:r>
              <w:rPr>
                <w:rFonts w:hint="eastAsia" w:ascii="宋体" w:hAnsi="宋体" w:eastAsia="宋体" w:cs="Times New Roman"/>
                <w:color w:val="000000"/>
                <w:highlight w:val="none"/>
                <w:lang w:val="en-US" w:eastAsia="zh-CN"/>
              </w:rPr>
              <w:t xml:space="preserve">围≥25</w:t>
            </w:r>
            <w:r>
              <w:rPr>
                <w:rFonts w:hint="eastAsia" w:ascii="宋体" w:hAnsi="宋体" w:eastAsia="宋体" w:cs="Times New Roman"/>
                <w:color w:val="000000"/>
                <w:highlight w:val="none"/>
              </w:rPr>
              <w:t xml:space="preserve">kg，</w:t>
            </w:r>
            <w:r>
              <w:rPr>
                <w:rFonts w:hint="eastAsia" w:ascii="宋体" w:hAnsi="宋体" w:eastAsia="宋体" w:cs="Times New Roman"/>
                <w:color w:val="000000"/>
                <w:highlight w:val="none"/>
                <w:lang w:val="en-US" w:eastAsia="zh-CN"/>
              </w:rPr>
              <w:t xml:space="preserve">包</w:t>
            </w:r>
            <w:r>
              <w:rPr>
                <w:rFonts w:hint="eastAsia" w:ascii="宋体" w:hAnsi="宋体" w:eastAsia="宋体" w:cs="Times New Roman"/>
                <w:color w:val="000000"/>
                <w:highlight w:val="none"/>
              </w:rPr>
              <w:t xml:space="preserve">装速度</w:t>
            </w:r>
            <w:r>
              <w:rPr>
                <w:rFonts w:hint="eastAsia" w:ascii="宋体" w:hAnsi="宋体" w:eastAsia="宋体" w:cs="Times New Roman"/>
                <w:color w:val="000000"/>
                <w:highlight w:val="none"/>
                <w:lang w:val="en-US" w:eastAsia="zh-CN"/>
              </w:rPr>
              <w:t xml:space="preserve">≥</w:t>
            </w:r>
            <w:r>
              <w:rPr>
                <w:rFonts w:hint="eastAsia" w:ascii="宋体" w:hAnsi="宋体" w:eastAsia="宋体" w:cs="Times New Roman"/>
                <w:color w:val="000000"/>
                <w:highlight w:val="none"/>
              </w:rPr>
              <w:t xml:space="preserve">100 包/小时；</w:t>
            </w:r>
            <w:r>
              <w:rPr>
                <w:rFonts w:hint="eastAsia" w:ascii="宋体" w:hAnsi="宋体" w:eastAsia="宋体" w:cs="Times New Roman"/>
                <w:color w:val="000000"/>
                <w:highlight w:val="none"/>
              </w:rPr>
              <w:t xml:space="preserve">），有1台得1分，</w:t>
            </w:r>
            <w:r>
              <w:rPr>
                <w:rFonts w:hint="eastAsia" w:ascii="宋体" w:hAnsi="宋体" w:eastAsia="宋体" w:cs="宋体"/>
                <w:color w:val="000000"/>
                <w:sz w:val="20"/>
                <w:szCs w:val="20"/>
                <w:highlight w:val="none"/>
              </w:rPr>
              <w:t xml:space="preserve">本项最高得1分。</w:t>
            </w:r>
            <w:r>
              <w:rPr>
                <w:rFonts w:hint="eastAsia" w:ascii="宋体" w:hAnsi="宋体" w:eastAsia="宋体" w:cs="Times New Roman"/>
                <w:color w:val="00000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Times New Roman"/>
                <w:color w:val="000000"/>
                <w:highlight w:val="none"/>
              </w:rPr>
              <w:t xml:space="preserve">（7）上料抓机设备（配合进行上料，含挖掘铲斗夹具一套（标准斗容不低于0.23m³），有1台得1分，</w:t>
            </w:r>
            <w:r>
              <w:rPr>
                <w:rFonts w:hint="eastAsia" w:ascii="宋体" w:hAnsi="宋体" w:eastAsia="宋体" w:cs="宋体"/>
                <w:color w:val="000000"/>
                <w:sz w:val="20"/>
                <w:szCs w:val="20"/>
                <w:highlight w:val="none"/>
              </w:rPr>
              <w:t xml:space="preserve">本项最高得1分。</w:t>
            </w:r>
            <w:r>
              <w:rPr>
                <w:rFonts w:hint="eastAsia" w:ascii="宋体" w:hAnsi="宋体" w:eastAsia="宋体" w:cs="宋体"/>
                <w:color w:val="000000"/>
                <w:sz w:val="20"/>
                <w:szCs w:val="20"/>
                <w:highlight w:val="none"/>
              </w:rPr>
            </w:r>
            <w:r/>
          </w:p>
          <w:p>
            <w:pPr>
              <w:pStyle w:val="906"/>
              <w:jc w:val="left"/>
              <w:spacing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（8）装载机1台，</w:t>
            </w:r>
            <w:r>
              <w:rPr>
                <w:rFonts w:hint="eastAsia" w:ascii="宋体" w:hAnsi="宋体" w:eastAsia="宋体" w:cs="Times New Roman"/>
                <w:color w:val="000000"/>
                <w:highlight w:val="none"/>
              </w:rPr>
              <w:t xml:space="preserve">有1台得1分，</w:t>
            </w:r>
            <w:r>
              <w:rPr>
                <w:rFonts w:hint="eastAsia" w:ascii="宋体" w:hAnsi="宋体" w:eastAsia="宋体" w:cs="宋体"/>
                <w:color w:val="000000"/>
                <w:sz w:val="20"/>
                <w:szCs w:val="20"/>
                <w:highlight w:val="none"/>
              </w:rPr>
              <w:t xml:space="preserve">本项最高得1分。</w:t>
            </w:r>
            <w:r>
              <w:rPr>
                <w:rFonts w:hint="eastAsia" w:ascii="宋体" w:hAnsi="宋体" w:eastAsia="宋体" w:cs="宋体"/>
                <w:color w:val="000000"/>
                <w:sz w:val="20"/>
                <w:szCs w:val="20"/>
                <w:highlight w:val="none"/>
              </w:rPr>
            </w:r>
            <w:r/>
          </w:p>
          <w:p>
            <w:pPr>
              <w:pStyle w:val="906"/>
              <w:jc w:val="left"/>
              <w:spacing w:line="240" w:lineRule="exact"/>
              <w:rPr>
                <w:rFonts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备注：响应文件中</w:t>
            </w:r>
            <w:r>
              <w:rPr>
                <w:rFonts w:hint="eastAsia" w:ascii="宋体" w:hAnsi="宋体" w:eastAsia="宋体" w:cs="宋体"/>
                <w:b/>
                <w:bCs/>
                <w:color w:val="000000"/>
                <w:sz w:val="20"/>
                <w:szCs w:val="20"/>
                <w:highlight w:val="none"/>
              </w:rPr>
              <w:t xml:space="preserve">提供设备及车辆清单、实物照片、购置发票的原件扫描件，车辆还须提供车辆登记证、车辆行驶证的原件扫描件。若设备或车辆为租赁的，还须另行提供租赁协议的原件扫描件。</w:t>
            </w:r>
            <w:r>
              <w:rPr>
                <w:rFonts w:ascii="宋体" w:hAnsi="宋体" w:eastAsia="宋体" w:cs="宋体"/>
                <w:color w:val="000000"/>
                <w:sz w:val="20"/>
                <w:szCs w:val="20"/>
                <w:highlight w:val="none"/>
              </w:rPr>
            </w:r>
            <w:r/>
          </w:p>
        </w:tc>
        <w:tc>
          <w:tcPr>
            <w:tcW w:w="96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rPr>
              <w:t xml:space="preserve">0</w:t>
            </w:r>
            <w:r>
              <w:rPr>
                <w:rFonts w:ascii="Times New Roman" w:hAnsi="Times New Roman" w:eastAsia="宋体" w:cs="Times New Roman"/>
                <w:color w:val="000000"/>
                <w:highlight w:val="none"/>
              </w:rPr>
            </w:r>
            <w:r/>
          </w:p>
        </w:tc>
        <w:tc>
          <w:tcPr>
            <w:tcW w:w="990" w:type="dxa"/>
            <w:vAlign w:val="center"/>
            <w:textDirection w:val="lrTb"/>
            <w:noWrap w:val="false"/>
          </w:tcPr>
          <w:p>
            <w:pPr>
              <w:pStyle w:val="906"/>
              <w:jc w:val="center"/>
              <w:spacing w:line="240" w:lineRule="exact"/>
              <w:rPr>
                <w:rFonts w:ascii="Times New Roman" w:hAnsi="Times New Roman" w:eastAsia="宋体" w:cs="Times New Roman"/>
                <w:color w:val="000000"/>
                <w:highlight w:val="none"/>
                <w:lang w:val="en-US" w:eastAsia="zh-CN"/>
              </w:rPr>
            </w:pPr>
            <w:r>
              <w:rPr>
                <w:rFonts w:hint="eastAsia" w:ascii="宋体" w:hAnsi="宋体" w:eastAsia="宋体" w:cs="宋体"/>
                <w:color w:val="000000"/>
                <w:sz w:val="20"/>
                <w:szCs w:val="20"/>
                <w:highlight w:val="none"/>
                <w:lang w:val="en-US" w:eastAsia="zh-CN"/>
              </w:rPr>
              <w:t xml:space="preserve">20</w:t>
            </w:r>
            <w:r>
              <w:rPr>
                <w:rFonts w:ascii="Times New Roman" w:hAnsi="Times New Roman" w:eastAsia="宋体" w:cs="Times New Roman"/>
                <w:color w:val="000000"/>
                <w:highlight w:val="none"/>
                <w:lang w:val="en-US" w:eastAsia="zh-CN"/>
              </w:rPr>
            </w:r>
            <w:r/>
          </w:p>
        </w:tc>
      </w:tr>
    </w:tbl>
    <w:p>
      <w:pPr>
        <w:pStyle w:val="906"/>
        <w:ind w:left="0" w:right="0"/>
        <w:jc w:val="left"/>
        <w:keepLines w:val="0"/>
        <w:keepNext w:val="0"/>
        <w:spacing w:before="0" w:beforeAutospacing="0" w:after="0" w:afterAutospacing="0" w:line="400" w:lineRule="exact"/>
        <w:widowControl/>
        <w:rPr>
          <w:rFonts w:hint="eastAsia" w:ascii="宋体" w:hAnsi="宋体" w:eastAsia="宋体" w:cs="楷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楷体"/>
          <w:b/>
          <w:bCs/>
          <w:color w:val="000000"/>
          <w:sz w:val="21"/>
          <w:szCs w:val="21"/>
          <w:highlight w:val="none"/>
        </w:rPr>
      </w:r>
      <w:r/>
    </w:p>
    <w:p>
      <w:pPr>
        <w:pStyle w:val="906"/>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906"/>
        <w:jc w:val="center"/>
        <w:spacing w:line="360" w:lineRule="auto"/>
        <w:rPr>
          <w:b/>
          <w:color w:val="000000"/>
          <w:sz w:val="36"/>
          <w:szCs w:val="36"/>
          <w:highlight w:val="none"/>
        </w:rPr>
        <w:outlineLvl w:val="0"/>
      </w:pPr>
      <w:r>
        <w:rPr>
          <w:b/>
          <w:color w:val="000000"/>
          <w:sz w:val="36"/>
          <w:szCs w:val="36"/>
          <w:highlight w:val="none"/>
        </w:rPr>
        <w:br w:type="page" w:clear="all"/>
      </w:r>
      <w:bookmarkStart w:id="784" w:name="_Toc12262"/>
      <w:r>
        <w:rPr>
          <w:b/>
          <w:color w:val="000000"/>
          <w:sz w:val="36"/>
          <w:szCs w:val="36"/>
          <w:highlight w:val="none"/>
        </w:rPr>
        <w:t xml:space="preserve">第五章   采购需求</w:t>
      </w:r>
      <w:bookmarkEnd w:id="784"/>
      <w:r>
        <w:rPr>
          <w:b/>
          <w:color w:val="000000"/>
          <w:sz w:val="36"/>
          <w:szCs w:val="36"/>
          <w:highlight w:val="none"/>
        </w:rPr>
      </w:r>
      <w:r/>
    </w:p>
    <w:p>
      <w:pPr>
        <w:pStyle w:val="906"/>
        <w:contextualSpacing/>
        <w:ind w:firstLine="440"/>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00"/>
        <w:contextualSpacing/>
        <w:ind w:left="442" w:firstLine="0"/>
        <w:spacing w:line="360" w:lineRule="auto"/>
        <w:rPr>
          <w:rFonts w:hint="eastAsia" w:ascii="宋体" w:hAnsi="宋体" w:eastAsia="宋体" w:cs="Times New Roman"/>
          <w:b/>
          <w:color w:val="000000"/>
          <w:sz w:val="22"/>
          <w:highlight w:val="none"/>
        </w:rPr>
      </w:pPr>
      <w:r>
        <w:rPr>
          <w:rFonts w:hint="eastAsia" w:ascii="宋体" w:hAnsi="宋体" w:eastAsia="宋体" w:cs="Times New Roman"/>
          <w:b/>
          <w:color w:val="000000"/>
          <w:sz w:val="22"/>
          <w:highlight w:val="none"/>
        </w:rPr>
        <w:t xml:space="preserve">一、采购标的</w:t>
      </w:r>
      <w:r>
        <w:rPr>
          <w:rFonts w:hint="eastAsia" w:ascii="宋体" w:hAnsi="宋体" w:eastAsia="宋体" w:cs="Times New Roman"/>
          <w:b/>
          <w:color w:val="000000"/>
          <w:sz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rPr>
        <w:t xml:space="preserve">1.项目名称：</w:t>
      </w:r>
      <w:r>
        <w:rPr>
          <w:rFonts w:hint="eastAsia" w:ascii="宋体" w:hAnsi="宋体" w:eastAsia="宋体" w:cs="宋体"/>
          <w:color w:val="000000"/>
          <w:sz w:val="22"/>
          <w:szCs w:val="22"/>
          <w:highlight w:val="none"/>
          <w:lang w:eastAsia="zh-CN"/>
        </w:rPr>
        <w:t xml:space="preserve">2026-2028年新北区园林绿化垃圾收运及资源化利用服务项目</w:t>
      </w:r>
      <w:r>
        <w:rPr>
          <w:rFonts w:hint="eastAsia" w:ascii="宋体" w:hAnsi="宋体" w:eastAsia="宋体" w:cs="宋体"/>
          <w:bCs/>
          <w:color w:val="000000"/>
          <w:sz w:val="22"/>
          <w:szCs w:val="22"/>
          <w:highlight w:val="none"/>
          <w:lang w:eastAsia="zh-CN"/>
        </w:rPr>
      </w:r>
      <w:r/>
    </w:p>
    <w:p>
      <w:pPr>
        <w:pStyle w:val="906"/>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w:t>
      </w:r>
      <w:r>
        <w:rPr>
          <w:rFonts w:hint="eastAsia" w:ascii="宋体" w:hAnsi="宋体" w:eastAsia="宋体" w:cs="宋体"/>
          <w:color w:val="000000"/>
          <w:sz w:val="22"/>
          <w:szCs w:val="22"/>
          <w:highlight w:val="none"/>
        </w:rPr>
        <w:t xml:space="preserve">项目概况</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园林绿化垃圾是指城市绿地在建设、养护、管理过程中，以及因自然灾害产生的枝叶、根茎、草屑及其他植物性废弃物。</w:t>
      </w:r>
      <w:r>
        <w:rPr>
          <w:rFonts w:hint="eastAsia" w:ascii="宋体" w:hAnsi="宋体" w:eastAsia="宋体" w:cs="宋体"/>
          <w:color w:val="000000"/>
          <w:sz w:val="22"/>
          <w:szCs w:val="22"/>
          <w:highlight w:val="none"/>
        </w:rPr>
      </w:r>
      <w:r/>
    </w:p>
    <w:p>
      <w:pPr>
        <w:pStyle w:val="906"/>
        <w:contextualSpacing/>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市政府办公室关于印发&lt;常州市园林绿化垃圾处理和资源化利用试点工作实施意见&gt;的通知》（常政办发〔2023〕30号），园林绿化垃圾需进行无害化处理和资源化利用，要求园林绿化垃圾综合利用率不小于95%，资源化产品率不低于60%，资源化利用产品（有机基质、</w:t>
      </w:r>
      <w:r>
        <w:rPr>
          <w:rFonts w:hint="eastAsia" w:ascii="宋体" w:hAnsi="宋体" w:eastAsia="宋体" w:cs="宋体"/>
          <w:color w:val="000000"/>
          <w:sz w:val="22"/>
          <w:szCs w:val="22"/>
          <w:highlight w:val="none"/>
        </w:rPr>
        <w:t xml:space="preserve">覆盖物</w:t>
      </w:r>
      <w:r>
        <w:rPr>
          <w:rFonts w:hint="eastAsia" w:ascii="宋体" w:hAnsi="宋体" w:eastAsia="宋体" w:cs="宋体"/>
          <w:color w:val="000000"/>
          <w:sz w:val="22"/>
          <w:szCs w:val="22"/>
          <w:highlight w:val="none"/>
        </w:rPr>
        <w:t xml:space="preserve">等，不包括一次粉碎焚烧和制成颗粒进行焚烧）的50%进行本地化推广，由采购单位安排使用。</w:t>
      </w:r>
      <w:r>
        <w:rPr>
          <w:rFonts w:hint="eastAsia" w:ascii="宋体" w:hAnsi="宋体" w:eastAsia="宋体" w:cs="宋体"/>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3.预算金额：</w:t>
      </w:r>
      <w:r>
        <w:rPr>
          <w:rFonts w:hint="eastAsia" w:ascii="宋体" w:hAnsi="宋体" w:eastAsia="宋体" w:cs="宋体"/>
          <w:color w:val="000000"/>
          <w:sz w:val="22"/>
          <w:szCs w:val="22"/>
          <w:highlight w:val="none"/>
        </w:rPr>
        <w:t xml:space="preserve">1290万元</w:t>
      </w:r>
      <w:r>
        <w:rPr>
          <w:rFonts w:hint="eastAsia" w:ascii="宋体" w:hAnsi="宋体" w:eastAsia="宋体" w:cs="宋体"/>
          <w:bCs/>
          <w:color w:val="000000"/>
          <w:sz w:val="22"/>
          <w:szCs w:val="22"/>
          <w:highlight w:val="none"/>
        </w:rPr>
      </w:r>
      <w:r/>
    </w:p>
    <w:p>
      <w:pPr>
        <w:pStyle w:val="906"/>
        <w:contextualSpacing/>
        <w:ind w:firstLine="440"/>
        <w:spacing w:line="360" w:lineRule="auto"/>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4.最高限价：</w:t>
      </w:r>
      <w:r>
        <w:rPr>
          <w:rFonts w:hint="eastAsia" w:ascii="宋体" w:hAnsi="宋体" w:eastAsia="宋体" w:cs="宋体"/>
          <w:color w:val="000000"/>
          <w:sz w:val="22"/>
          <w:szCs w:val="22"/>
          <w:highlight w:val="none"/>
        </w:rPr>
        <w:t xml:space="preserve">1267.837284万元（三年）、422.612428万元/年</w:t>
      </w:r>
      <w:r>
        <w:rPr>
          <w:rFonts w:ascii="宋体" w:hAnsi="宋体" w:eastAsia="宋体" w:cs="宋体"/>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5.采购需求（简介）：</w:t>
      </w:r>
      <w:r>
        <w:rPr>
          <w:rFonts w:hint="eastAsia" w:ascii="宋体" w:hAnsi="宋体" w:eastAsia="宋体" w:cs="宋体"/>
          <w:color w:val="000000"/>
          <w:sz w:val="22"/>
          <w:szCs w:val="22"/>
          <w:highlight w:val="none"/>
        </w:rPr>
        <w:t xml:space="preserve">本项目是</w:t>
      </w:r>
      <w:r>
        <w:rPr>
          <w:rFonts w:hint="eastAsia" w:ascii="宋体" w:hAnsi="宋体" w:eastAsia="宋体" w:cs="宋体"/>
          <w:color w:val="000000"/>
          <w:sz w:val="22"/>
          <w:szCs w:val="22"/>
          <w:highlight w:val="none"/>
          <w:lang w:eastAsia="zh-CN"/>
        </w:rPr>
        <w:t xml:space="preserve">2026-2028年新北区园林绿化垃圾收运及资源化利用服务项目</w:t>
      </w:r>
      <w:r>
        <w:rPr>
          <w:rFonts w:hint="eastAsia" w:ascii="宋体" w:hAnsi="宋体" w:eastAsia="宋体" w:cs="宋体"/>
          <w:color w:val="000000"/>
          <w:sz w:val="22"/>
          <w:szCs w:val="22"/>
          <w:highlight w:val="none"/>
        </w:rPr>
        <w:t xml:space="preserve">，服务内容包括</w:t>
      </w:r>
      <w:r>
        <w:rPr>
          <w:rFonts w:hint="eastAsia" w:ascii="宋体" w:hAnsi="宋体" w:eastAsia="宋体" w:cs="宋体"/>
          <w:color w:val="000000"/>
          <w:sz w:val="22"/>
          <w:szCs w:val="22"/>
          <w:highlight w:val="none"/>
        </w:rPr>
        <w:t xml:space="preserve">采购人管辖范围内由区财政性资金养护的公共绿地</w:t>
      </w:r>
      <w:r>
        <w:rPr>
          <w:rFonts w:hint="eastAsia" w:ascii="宋体" w:hAnsi="宋体" w:eastAsia="宋体" w:cs="宋体"/>
          <w:color w:val="000000"/>
          <w:sz w:val="22"/>
          <w:szCs w:val="22"/>
          <w:highlight w:val="none"/>
        </w:rPr>
        <w:t xml:space="preserve">的园林绿化垃圾收集运输、园林绿化垃圾无害化处理和资源化利用、资源化利用产品（有机基质等）推广等服务。</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6.合同履行期限：</w:t>
      </w:r>
      <w:r>
        <w:rPr>
          <w:rFonts w:hint="eastAsia" w:ascii="宋体" w:hAnsi="宋体" w:cs="宋体"/>
          <w:color w:val="000000"/>
          <w:sz w:val="22"/>
          <w:highlight w:val="none"/>
          <w:lang w:val="en-US" w:eastAsia="zh-CN"/>
        </w:rPr>
        <w:t xml:space="preserve">合同签订之日起至2028年12月31日</w:t>
      </w:r>
      <w:r>
        <w:rPr>
          <w:rFonts w:hint="eastAsia" w:ascii="宋体" w:hAnsi="宋体" w:cs="宋体"/>
          <w:color w:val="000000"/>
          <w:sz w:val="22"/>
          <w:szCs w:val="22"/>
          <w:highlight w:val="none"/>
        </w:rPr>
        <w:t xml:space="preserve">。合同一年一签，合同期满经采购单位考核合格后，可签订下一年合同，最多续签二次。</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7.是否接受联合体投标，对联合体的要求：否</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8.是否接受分支机构参与响应：否</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9.是否属于政府购买服务：否 </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10.是否接受进口产品投标：否</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w:t>
      </w:r>
      <w:r>
        <w:rPr>
          <w:rFonts w:hint="eastAsia" w:ascii="宋体" w:hAnsi="宋体" w:eastAsia="宋体" w:cs="宋体"/>
          <w:color w:val="000000"/>
          <w:sz w:val="22"/>
          <w:szCs w:val="22"/>
          <w:highlight w:val="none"/>
        </w:rPr>
        <w:t xml:space="preserve">落实政府采购政策需满足的资格要求</w:t>
      </w:r>
      <w:r>
        <w:rPr>
          <w:rFonts w:hint="eastAsia" w:ascii="宋体" w:hAnsi="宋体" w:eastAsia="宋体" w:cs="宋体"/>
          <w:bCs/>
          <w:color w:val="000000"/>
          <w:sz w:val="22"/>
          <w:szCs w:val="22"/>
          <w:highlight w:val="none"/>
        </w:rPr>
        <w:t xml:space="preserve">：</w:t>
      </w:r>
      <w:r>
        <w:rPr>
          <w:rFonts w:hint="eastAsia" w:ascii="宋体" w:hAnsi="宋体" w:eastAsia="宋体" w:cs="宋体"/>
          <w:b/>
          <w:bCs/>
          <w:color w:val="000000"/>
          <w:sz w:val="22"/>
          <w:szCs w:val="22"/>
          <w:highlight w:val="none"/>
          <w:u w:val="single"/>
        </w:rPr>
        <w:t xml:space="preserve">本项目专门面向中小企业采购，即：提供的服务全部由符合政策要求的中小企业承接。（说明：中小企业包含中型、小型、微型企业，残疾人福利性单位和监狱企业视同小微企业）</w:t>
      </w:r>
      <w:r>
        <w:rPr>
          <w:rFonts w:hint="eastAsia" w:ascii="宋体" w:hAnsi="宋体" w:eastAsia="宋体" w:cs="宋体"/>
          <w:bCs/>
          <w:color w:val="000000"/>
          <w:sz w:val="22"/>
          <w:szCs w:val="22"/>
          <w:highlight w:val="none"/>
        </w:rPr>
      </w:r>
      <w:r/>
    </w:p>
    <w:p>
      <w:pPr>
        <w:pStyle w:val="906"/>
        <w:contextualSpacing/>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12.其他特定资格要求：无。</w:t>
      </w:r>
      <w:r>
        <w:rPr>
          <w:rFonts w:hint="eastAsia" w:ascii="宋体" w:hAnsi="宋体" w:eastAsia="宋体" w:cs="宋体"/>
          <w:bCs/>
          <w:color w:val="000000"/>
          <w:sz w:val="22"/>
          <w:szCs w:val="22"/>
          <w:highlight w:val="none"/>
        </w:rPr>
      </w:r>
      <w:r/>
    </w:p>
    <w:p>
      <w:pPr>
        <w:pStyle w:val="1000"/>
        <w:contextualSpacing/>
        <w:ind w:left="442" w:firstLine="0"/>
        <w:spacing w:line="360" w:lineRule="auto"/>
        <w:rPr>
          <w:rFonts w:ascii="宋体" w:hAnsi="宋体" w:eastAsia="宋体" w:cs="Times New Roman"/>
          <w:b/>
          <w:color w:val="000000"/>
          <w:sz w:val="22"/>
          <w:highlight w:val="none"/>
        </w:rPr>
      </w:pPr>
      <w:r>
        <w:rPr>
          <w:rFonts w:hint="eastAsia" w:ascii="宋体" w:hAnsi="宋体" w:eastAsia="宋体" w:cs="Times New Roman"/>
          <w:b/>
          <w:color w:val="000000"/>
          <w:sz w:val="22"/>
          <w:highlight w:val="none"/>
        </w:rPr>
        <w:t xml:space="preserve">二、</w:t>
      </w:r>
      <w:r>
        <w:rPr>
          <w:rFonts w:ascii="宋体" w:hAnsi="宋体" w:eastAsia="宋体" w:cs="Times New Roman"/>
          <w:b/>
          <w:color w:val="000000"/>
          <w:sz w:val="22"/>
          <w:highlight w:val="none"/>
        </w:rPr>
        <w:t xml:space="preserve">商务要求</w:t>
      </w:r>
      <w:r>
        <w:rPr>
          <w:rFonts w:ascii="宋体" w:hAnsi="宋体" w:eastAsia="宋体" w:cs="Times New Roman"/>
          <w:b/>
          <w:color w:val="000000"/>
          <w:sz w:val="22"/>
          <w:highlight w:val="none"/>
        </w:rPr>
      </w:r>
      <w:r/>
    </w:p>
    <w:p>
      <w:pPr>
        <w:pStyle w:val="906"/>
        <w:contextualSpacing/>
        <w:ind w:firstLine="440"/>
        <w:spacing w:line="360" w:lineRule="auto"/>
        <w:rPr>
          <w:rFonts w:ascii="宋体" w:hAnsi="宋体" w:eastAsia="宋体" w:cs="Times New Roman"/>
          <w:i/>
          <w:color w:val="000000"/>
          <w:sz w:val="22"/>
          <w:szCs w:val="22"/>
          <w:highlight w:val="none"/>
        </w:rPr>
      </w:pPr>
      <w:r>
        <w:rPr>
          <w:rFonts w:ascii="宋体" w:hAnsi="宋体" w:eastAsia="宋体" w:cs="Times New Roman"/>
          <w:color w:val="000000"/>
          <w:sz w:val="22"/>
          <w:szCs w:val="22"/>
          <w:highlight w:val="none"/>
        </w:rPr>
        <w:t xml:space="preserve">1.实施的期限</w:t>
      </w:r>
      <w:r>
        <w:rPr>
          <w:rFonts w:hint="eastAsia" w:ascii="宋体" w:hAnsi="宋体" w:eastAsia="宋体" w:cs="宋体"/>
          <w:color w:val="000000"/>
          <w:sz w:val="22"/>
          <w:szCs w:val="22"/>
          <w:highlight w:val="none"/>
        </w:rPr>
        <w:t xml:space="preserve">：</w:t>
      </w:r>
      <w:r>
        <w:rPr>
          <w:rFonts w:hint="eastAsia" w:ascii="宋体" w:hAnsi="宋体" w:cs="宋体"/>
          <w:color w:val="000000"/>
          <w:sz w:val="22"/>
          <w:highlight w:val="none"/>
          <w:lang w:val="en-US" w:eastAsia="zh-CN"/>
        </w:rPr>
        <w:t xml:space="preserve">合同签订之日起至2028年12月31日</w:t>
      </w:r>
      <w:r>
        <w:rPr>
          <w:rFonts w:hint="eastAsia" w:ascii="宋体" w:hAnsi="宋体" w:cs="宋体"/>
          <w:color w:val="000000"/>
          <w:sz w:val="22"/>
          <w:szCs w:val="22"/>
          <w:highlight w:val="none"/>
        </w:rPr>
        <w:t xml:space="preserve">。合同一年一签，合同期满经采购单位考核合格后，可签订下一年合同，最多续签二次。</w:t>
      </w:r>
      <w:r>
        <w:rPr>
          <w:rFonts w:ascii="宋体" w:hAnsi="宋体" w:eastAsia="宋体" w:cs="Times New Roman"/>
          <w:i/>
          <w:color w:val="000000"/>
          <w:sz w:val="22"/>
          <w:szCs w:val="22"/>
          <w:highlight w:val="none"/>
        </w:rPr>
      </w:r>
      <w:r/>
    </w:p>
    <w:p>
      <w:pPr>
        <w:pStyle w:val="906"/>
        <w:contextualSpacing/>
        <w:ind w:firstLine="440"/>
        <w:spacing w:line="360" w:lineRule="auto"/>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2.付款条件（进度和方式）</w:t>
      </w:r>
      <w:r>
        <w:rPr>
          <w:rFonts w:ascii="宋体" w:hAnsi="宋体" w:eastAsia="宋体" w:cs="Times New Roman"/>
          <w:color w:val="000000"/>
          <w:sz w:val="22"/>
          <w:szCs w:val="22"/>
          <w:highlight w:val="none"/>
        </w:rPr>
      </w:r>
      <w:r/>
    </w:p>
    <w:p>
      <w:pPr>
        <w:pStyle w:val="906"/>
        <w:contextualSpacing/>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2.1.结算方式</w:t>
      </w:r>
      <w:r>
        <w:rPr>
          <w:rFonts w:hint="eastAsia" w:ascii="宋体" w:hAnsi="宋体" w:eastAsia="宋体" w:cs="宋体"/>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采购人向中标供应商支付的收运服务费、资源化利用处理费，计算公式如下：</w:t>
      </w:r>
      <w:r>
        <w:rPr>
          <w:rFonts w:hint="eastAsia" w:ascii="宋体" w:hAnsi="宋体" w:eastAsia="宋体" w:cs="宋体"/>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服务费=收运服务费+资源化利用处理费</w:t>
      </w:r>
      <w:r>
        <w:rPr>
          <w:rFonts w:hint="eastAsia" w:ascii="宋体" w:hAnsi="宋体" w:eastAsia="宋体" w:cs="宋体"/>
          <w:color w:val="000000"/>
          <w:sz w:val="22"/>
          <w:szCs w:val="22"/>
          <w:highlight w:val="none"/>
          <w:u w:val="singl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（1）收运服务费</w:t>
      </w:r>
      <w:r>
        <w:rPr>
          <w:rFonts w:hint="eastAsia" w:ascii="宋体" w:hAnsi="宋体" w:eastAsia="宋体" w:cs="宋体"/>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收运服务费=收运单价A×理论收运量+收运单价B×实际收运量。</w:t>
      </w:r>
      <w:r>
        <w:rPr>
          <w:rFonts w:hint="eastAsia" w:ascii="宋体" w:hAnsi="宋体" w:eastAsia="宋体" w:cs="宋体"/>
          <w:color w:val="000000"/>
          <w:sz w:val="22"/>
          <w:szCs w:val="22"/>
          <w:highlight w:val="none"/>
          <w:u w:val="singl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其中：</w:t>
      </w:r>
      <w:r>
        <w:rPr>
          <w:rFonts w:hint="eastAsia" w:ascii="宋体" w:hAnsi="宋体" w:eastAsia="宋体" w:cs="宋体"/>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①</w:t>
      </w:r>
      <w:r>
        <w:rPr>
          <w:rFonts w:hint="eastAsia" w:ascii="宋体" w:hAnsi="宋体" w:eastAsia="宋体" w:cs="宋体"/>
          <w:color w:val="000000"/>
          <w:sz w:val="22"/>
          <w:szCs w:val="22"/>
          <w:highlight w:val="none"/>
        </w:rPr>
        <w:t xml:space="preserve">理论收运量约7138吨/年，实际收运量为中标供应商至中转站（或堆放点）实际收运的园林绿化垃圾量。</w:t>
      </w:r>
      <w:r>
        <w:rPr>
          <w:rFonts w:hint="eastAsia" w:ascii="宋体" w:hAnsi="宋体" w:eastAsia="宋体" w:cs="宋体"/>
          <w:color w:val="000000"/>
          <w:sz w:val="22"/>
          <w:szCs w:val="22"/>
          <w:highlight w:val="none"/>
        </w:rPr>
      </w:r>
      <w:r/>
    </w:p>
    <w:p>
      <w:pPr>
        <w:pStyle w:val="1000"/>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②</w:t>
      </w:r>
      <w:r>
        <w:rPr>
          <w:rFonts w:hint="eastAsia" w:ascii="宋体" w:hAnsi="宋体" w:eastAsia="宋体" w:cs="宋体"/>
          <w:color w:val="000000"/>
          <w:sz w:val="22"/>
          <w:highlight w:val="none"/>
        </w:rPr>
        <w:t xml:space="preserve">收运单价A、收运单价B由中标供应商报价确定。</w:t>
      </w:r>
      <w:r>
        <w:rPr>
          <w:rFonts w:hint="eastAsia" w:ascii="宋体" w:hAnsi="宋体" w:eastAsia="宋体" w:cs="宋体"/>
          <w:color w:val="000000"/>
          <w:sz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（2）资源化利用处理费</w:t>
      </w:r>
      <w:r>
        <w:rPr>
          <w:rFonts w:hint="eastAsia" w:ascii="宋体" w:hAnsi="宋体" w:eastAsia="宋体" w:cs="宋体"/>
          <w:color w:val="000000"/>
          <w:sz w:val="22"/>
          <w:szCs w:val="22"/>
          <w:highlight w:val="none"/>
        </w:rPr>
      </w:r>
      <w:r/>
    </w:p>
    <w:p>
      <w:pPr>
        <w:pStyle w:val="906"/>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资源化利用处理费=处理单价A×理论处理量+处理单价B×实际处理量。</w:t>
      </w:r>
      <w:r>
        <w:rPr>
          <w:rFonts w:hint="eastAsia" w:ascii="宋体" w:hAnsi="宋体" w:eastAsia="宋体" w:cs="宋体"/>
          <w:color w:val="000000"/>
          <w:sz w:val="22"/>
          <w:szCs w:val="22"/>
          <w:highlight w:val="none"/>
          <w:u w:val="singl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其中：</w:t>
      </w:r>
      <w:r>
        <w:rPr>
          <w:rFonts w:hint="eastAsia" w:ascii="宋体" w:hAnsi="宋体" w:eastAsia="宋体" w:cs="宋体"/>
          <w:color w:val="000000"/>
          <w:sz w:val="22"/>
          <w:szCs w:val="22"/>
          <w:highlight w:val="none"/>
        </w:rPr>
      </w:r>
      <w:r/>
    </w:p>
    <w:p>
      <w:pPr>
        <w:pStyle w:val="1000"/>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①</w:t>
      </w:r>
      <w:r>
        <w:rPr>
          <w:rFonts w:hint="eastAsia" w:ascii="宋体" w:hAnsi="宋体" w:eastAsia="宋体" w:cs="宋体"/>
          <w:color w:val="000000"/>
          <w:sz w:val="22"/>
          <w:highlight w:val="none"/>
        </w:rPr>
        <w:t xml:space="preserve">理论处理量约7138吨/年，实际处理量为中标供应商实际处理的园林绿化垃圾量。</w:t>
      </w:r>
      <w:r>
        <w:rPr>
          <w:rFonts w:hint="eastAsia" w:ascii="宋体" w:hAnsi="宋体" w:eastAsia="宋体" w:cs="宋体"/>
          <w:color w:val="000000"/>
          <w:sz w:val="22"/>
          <w:highlight w:val="none"/>
        </w:rPr>
      </w:r>
      <w:r/>
    </w:p>
    <w:p>
      <w:pPr>
        <w:pStyle w:val="1000"/>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②</w:t>
      </w:r>
      <w:r>
        <w:rPr>
          <w:rFonts w:hint="eastAsia" w:ascii="宋体" w:hAnsi="宋体" w:eastAsia="宋体" w:cs="宋体"/>
          <w:color w:val="000000"/>
          <w:sz w:val="22"/>
          <w:highlight w:val="none"/>
        </w:rPr>
        <w:t xml:space="preserve">处理单价A、处理单价B由中标供应商报价确定。</w:t>
      </w:r>
      <w:r>
        <w:rPr>
          <w:rFonts w:hint="eastAsia" w:ascii="宋体" w:hAnsi="宋体" w:eastAsia="宋体" w:cs="宋体"/>
          <w:color w:val="000000"/>
          <w:sz w:val="22"/>
          <w:highlight w:val="none"/>
        </w:rPr>
      </w:r>
      <w:r/>
    </w:p>
    <w:p>
      <w:pPr>
        <w:pStyle w:val="1000"/>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③</w:t>
      </w:r>
      <w:r>
        <w:rPr>
          <w:rFonts w:hint="eastAsia" w:ascii="宋体" w:hAnsi="宋体" w:eastAsia="宋体" w:cs="宋体"/>
          <w:color w:val="000000"/>
          <w:sz w:val="22"/>
          <w:highlight w:val="none"/>
        </w:rPr>
        <w:t xml:space="preserve">每吨园林绿化垃圾资源化利用处理费中，包含0.32吨有机基质的产品费用。采购人支付相应服务费30日后，可至中标供应商指定地点提取相应比例的资源化利用产品。</w:t>
      </w:r>
      <w:r>
        <w:rPr>
          <w:rFonts w:hint="eastAsia" w:ascii="宋体" w:hAnsi="宋体" w:eastAsia="宋体" w:cs="宋体"/>
          <w:color w:val="000000"/>
          <w:sz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（3）相关费用名称解释如下：</w:t>
      </w:r>
      <w:r>
        <w:rPr>
          <w:rFonts w:hint="eastAsia" w:ascii="宋体" w:hAnsi="宋体" w:eastAsia="宋体" w:cs="宋体"/>
          <w:color w:val="000000"/>
          <w:sz w:val="22"/>
          <w:szCs w:val="22"/>
          <w:highlight w:val="none"/>
        </w:rPr>
      </w:r>
      <w:r/>
    </w:p>
    <w:p>
      <w:pPr>
        <w:pStyle w:val="1000"/>
        <w:numPr>
          <w:ilvl w:val="1"/>
          <w:numId w:val="0"/>
        </w:numPr>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①</w:t>
      </w:r>
      <w:r>
        <w:rPr>
          <w:rFonts w:hint="eastAsia" w:ascii="宋体" w:hAnsi="宋体" w:eastAsia="宋体" w:cs="宋体"/>
          <w:color w:val="000000"/>
          <w:sz w:val="22"/>
          <w:highlight w:val="none"/>
        </w:rPr>
        <w:t xml:space="preserve">收运单价A指与实际收运量基本不相关的费用，如部分人员薪酬、维修费、折旧摊销费及其对应的其他费用、合理利润、税费等费用。</w:t>
      </w:r>
      <w:r>
        <w:rPr>
          <w:rFonts w:hint="eastAsia" w:ascii="宋体" w:hAnsi="宋体" w:eastAsia="宋体" w:cs="宋体"/>
          <w:color w:val="000000"/>
          <w:sz w:val="22"/>
          <w:highlight w:val="none"/>
        </w:rPr>
      </w:r>
      <w:r/>
    </w:p>
    <w:p>
      <w:pPr>
        <w:pStyle w:val="1000"/>
        <w:numPr>
          <w:ilvl w:val="1"/>
          <w:numId w:val="0"/>
        </w:numPr>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②</w:t>
      </w:r>
      <w:r>
        <w:rPr>
          <w:rFonts w:hint="eastAsia" w:ascii="宋体" w:hAnsi="宋体" w:eastAsia="宋体" w:cs="宋体"/>
          <w:color w:val="000000"/>
          <w:sz w:val="22"/>
          <w:highlight w:val="none"/>
        </w:rPr>
        <w:t xml:space="preserve">收运单价B指与实际处理量相关的费用，如现场初粉燃油费、运输燃油费、部分人员薪酬及其对应的其他费用、合理利润、税费等费用。</w:t>
      </w:r>
      <w:r>
        <w:rPr>
          <w:rFonts w:hint="eastAsia" w:ascii="宋体" w:hAnsi="宋体" w:eastAsia="宋体" w:cs="宋体"/>
          <w:color w:val="000000"/>
          <w:sz w:val="22"/>
          <w:highlight w:val="none"/>
        </w:rPr>
      </w:r>
      <w:r/>
    </w:p>
    <w:p>
      <w:pPr>
        <w:pStyle w:val="1000"/>
        <w:numPr>
          <w:ilvl w:val="1"/>
          <w:numId w:val="0"/>
        </w:numPr>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③</w:t>
      </w:r>
      <w:r>
        <w:rPr>
          <w:rFonts w:hint="eastAsia" w:ascii="宋体" w:hAnsi="宋体" w:eastAsia="宋体" w:cs="宋体"/>
          <w:color w:val="000000"/>
          <w:sz w:val="22"/>
          <w:highlight w:val="none"/>
        </w:rPr>
        <w:t xml:space="preserve">资源化利用处理费单价A指与实际处理量基本不相关的费用，如部分人员薪酬、维修费、折旧摊销费及其对应的其他费用、合理利润、税费等费用。</w:t>
      </w:r>
      <w:r>
        <w:rPr>
          <w:rFonts w:hint="eastAsia" w:ascii="宋体" w:hAnsi="宋体" w:eastAsia="宋体" w:cs="宋体"/>
          <w:color w:val="000000"/>
          <w:sz w:val="22"/>
          <w:highlight w:val="none"/>
        </w:rPr>
      </w:r>
      <w:r/>
    </w:p>
    <w:p>
      <w:pPr>
        <w:pStyle w:val="1000"/>
        <w:numPr>
          <w:ilvl w:val="1"/>
          <w:numId w:val="0"/>
        </w:numPr>
        <w:ind w:firstLine="440"/>
        <w:spacing w:line="360" w:lineRule="auto"/>
        <w:rPr>
          <w:rFonts w:hint="eastAsia" w:ascii="宋体" w:hAnsi="宋体" w:eastAsia="宋体" w:cs="宋体"/>
          <w:color w:val="000000"/>
          <w:sz w:val="22"/>
          <w:highlight w:val="none"/>
        </w:rPr>
      </w:pPr>
      <w:r>
        <w:rPr>
          <w:rFonts w:ascii="宋体" w:hAnsi="宋体" w:eastAsia="宋体" w:cs="宋体"/>
          <w:color w:val="000000"/>
          <w:sz w:val="22"/>
          <w:highlight w:val="none"/>
        </w:rPr>
        <w:t xml:space="preserve">④</w:t>
      </w:r>
      <w:r>
        <w:rPr>
          <w:rFonts w:hint="eastAsia" w:ascii="宋体" w:hAnsi="宋体" w:eastAsia="宋体" w:cs="宋体"/>
          <w:color w:val="000000"/>
          <w:sz w:val="22"/>
          <w:highlight w:val="none"/>
        </w:rPr>
        <w:t xml:space="preserve">资源化利用处理费单价B指与实际处理量相关的费用，如外购原材料费、燃料及动力费、部分人员薪酬及其对应的其他费用、合理利润、税费等费用，并减去市场化销售净收入。</w:t>
      </w:r>
      <w:r>
        <w:rPr>
          <w:rFonts w:hint="eastAsia" w:ascii="宋体" w:hAnsi="宋体" w:eastAsia="宋体" w:cs="宋体"/>
          <w:color w:val="000000"/>
          <w:sz w:val="22"/>
          <w:highlight w:val="none"/>
        </w:rPr>
      </w:r>
      <w:r/>
    </w:p>
    <w:p>
      <w:pPr>
        <w:pStyle w:val="90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（4）中标人自行承担服务过程中发生的所有费用和风险。除招标文件、服务合同中约定的服务费以外，采购人不向中标人支付其他任何费用。</w:t>
      </w:r>
      <w:r>
        <w:rPr>
          <w:rFonts w:hint="eastAsia" w:ascii="宋体" w:hAnsi="宋体" w:eastAsia="宋体" w:cs="宋体"/>
          <w:color w:val="000000"/>
          <w:sz w:val="22"/>
          <w:szCs w:val="22"/>
          <w:highlight w:val="none"/>
        </w:rPr>
      </w:r>
      <w:r/>
    </w:p>
    <w:p>
      <w:pPr>
        <w:pStyle w:val="906"/>
        <w:ind w:firstLine="48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2.2.本项目付款节点如下：</w:t>
      </w:r>
      <w:r>
        <w:rPr>
          <w:rFonts w:hint="eastAsia" w:ascii="宋体" w:hAnsi="宋体" w:eastAsia="宋体" w:cs="宋体"/>
          <w:b/>
          <w:bCs/>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（1）合同签订后30日内且在收到中标供应商开具的发票后10个工作日内，采购人支付年度合同金额服务费的10%作为项目预付款。</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（2）中标供应商在年度资源化利用实际处理量达到理论处理量的70%后向采购人提交已完工作量台账等材料，经审计单位审核且采购人认可后支付至年度合同金额服务费的70%。</w:t>
      </w:r>
      <w:r>
        <w:rPr>
          <w:rFonts w:hint="eastAsia"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（3）中标供应商在年度资源化利用实际处理量达到理论处理量的90%后向采购人提交已完工作量台账等材料，经审计单位审核且采购人认可后支付至年度合同金额服务费的90%。</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Times New Roman"/>
          <w:color w:val="000000"/>
          <w:sz w:val="22"/>
          <w:szCs w:val="22"/>
          <w:highlight w:val="none"/>
        </w:rPr>
      </w:pPr>
      <w:r>
        <w:rPr>
          <w:rFonts w:hint="eastAsia" w:ascii="宋体" w:hAnsi="宋体" w:eastAsia="宋体" w:cs="宋体"/>
          <w:color w:val="000000"/>
          <w:sz w:val="22"/>
          <w:szCs w:val="22"/>
          <w:highlight w:val="none"/>
        </w:rPr>
        <w:t xml:space="preserve">（4）中标供应商在每个年度服务结束后报送结算资料至审计单位进行审计并出具审计意见且经采购人认可后支付至审定价的100%。年度累计支付不超过合同金额，</w:t>
      </w:r>
      <w:r>
        <w:rPr>
          <w:rFonts w:hint="eastAsia" w:ascii="宋体" w:hAnsi="宋体" w:eastAsia="宋体" w:cs="宋体"/>
          <w:color w:val="000000"/>
          <w:sz w:val="22"/>
          <w:szCs w:val="22"/>
          <w:highlight w:val="none"/>
          <w:lang w:val="en-US" w:eastAsia="zh-CN"/>
        </w:rPr>
        <w:t xml:space="preserve">年度</w:t>
      </w:r>
      <w:r>
        <w:rPr>
          <w:rFonts w:hint="eastAsia" w:ascii="宋体" w:hAnsi="宋体" w:eastAsia="宋体" w:cs="宋体"/>
          <w:color w:val="000000"/>
          <w:sz w:val="22"/>
          <w:szCs w:val="22"/>
          <w:highlight w:val="none"/>
        </w:rPr>
        <w:t xml:space="preserve">资源化利用实际处理量超出理论处理量的，由中标供应商自行处置，采购人不再支付任何费用</w:t>
      </w:r>
      <w:r>
        <w:rPr>
          <w:rFonts w:hint="eastAsia" w:ascii="宋体" w:hAnsi="宋体" w:eastAsia="宋体" w:cs="Times New Roman"/>
          <w:color w:val="000000"/>
          <w:sz w:val="22"/>
          <w:szCs w:val="22"/>
          <w:highlight w:val="none"/>
        </w:rPr>
        <w:t xml:space="preserve">。</w:t>
      </w:r>
      <w:r>
        <w:rPr>
          <w:rFonts w:hint="eastAsia" w:ascii="宋体" w:hAnsi="宋体" w:eastAsia="宋体" w:cs="Times New Roman"/>
          <w:color w:val="000000"/>
          <w:sz w:val="22"/>
          <w:szCs w:val="22"/>
          <w:highlight w:val="none"/>
        </w:rPr>
      </w:r>
      <w:r/>
    </w:p>
    <w:p>
      <w:pPr>
        <w:pStyle w:val="906"/>
        <w:contextualSpacing/>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注：①若年度资源化利用实际处理量未达到理论处理量的70%的，采购人不予支付后续合同款项，并有权解除合同。</w:t>
      </w:r>
      <w:r>
        <w:rPr>
          <w:rFonts w:hint="eastAsia" w:ascii="宋体" w:hAnsi="宋体" w:eastAsia="宋体" w:cs="宋体"/>
          <w:color w:val="000000"/>
          <w:sz w:val="22"/>
          <w:szCs w:val="22"/>
          <w:highlight w:val="none"/>
        </w:rPr>
      </w:r>
      <w:r/>
    </w:p>
    <w:p>
      <w:pPr>
        <w:pStyle w:val="906"/>
        <w:contextualSpacing/>
        <w:ind w:firstLine="440"/>
        <w:spacing w:line="360" w:lineRule="auto"/>
        <w:rPr>
          <w:color w:val="000000"/>
          <w:highlight w:val="none"/>
        </w:rPr>
      </w:pPr>
      <w:r>
        <w:rPr>
          <w:rFonts w:hint="eastAsia" w:ascii="宋体" w:hAnsi="宋体" w:eastAsia="宋体" w:cs="宋体"/>
          <w:color w:val="000000"/>
          <w:sz w:val="22"/>
          <w:szCs w:val="22"/>
          <w:highlight w:val="none"/>
        </w:rPr>
        <w:t xml:space="preserve">②采购人于每个服务年度结束后1个月内对上一服务年度供应商履约状况进行绩效评价，并将年度绩效评价结果以书面形式通知供应商，绩效评价扣费在后续综合服务费中扣除。</w:t>
      </w:r>
      <w:r>
        <w:rPr>
          <w:color w:val="000000"/>
          <w:highlight w:val="none"/>
        </w:rPr>
      </w:r>
      <w:r/>
    </w:p>
    <w:p>
      <w:pPr>
        <w:pStyle w:val="1000"/>
        <w:contextualSpacing/>
        <w:ind w:left="442" w:firstLine="0"/>
        <w:spacing w:line="360" w:lineRule="auto"/>
        <w:rPr>
          <w:rFonts w:hint="eastAsia" w:ascii="宋体" w:hAnsi="宋体" w:eastAsia="宋体" w:cs="Times New Roman"/>
          <w:b/>
          <w:color w:val="000000"/>
          <w:sz w:val="22"/>
          <w:highlight w:val="none"/>
        </w:rPr>
      </w:pPr>
      <w:r>
        <w:rPr>
          <w:rFonts w:hint="eastAsia" w:ascii="宋体" w:hAnsi="宋体" w:eastAsia="宋体" w:cs="Times New Roman"/>
          <w:b/>
          <w:color w:val="000000"/>
          <w:sz w:val="22"/>
          <w:highlight w:val="none"/>
        </w:rPr>
        <w:t xml:space="preserve">三、服务范围</w:t>
      </w:r>
      <w:r>
        <w:rPr>
          <w:rFonts w:hint="eastAsia" w:ascii="宋体" w:hAnsi="宋体" w:eastAsia="宋体" w:cs="Times New Roman"/>
          <w:b/>
          <w:color w:val="000000"/>
          <w:sz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本项目由常州市新北区市政绿化管理所带量采购，对新北区园林绿化垃圾收运、资源化利用服务进行采购，中标供应商的处置基地需按采购人的要求进行系统配备，并负责相关数据的申报工作。服务范围如下：</w:t>
      </w:r>
      <w:r>
        <w:rPr>
          <w:rFonts w:hint="eastAsia" w:ascii="宋体" w:hAnsi="宋体" w:eastAsia="宋体" w:cs="宋体"/>
          <w:color w:val="000000"/>
          <w:sz w:val="22"/>
          <w:szCs w:val="22"/>
          <w:highlight w:val="none"/>
        </w:rPr>
      </w:r>
      <w:r/>
    </w:p>
    <w:p>
      <w:pPr>
        <w:pStyle w:val="906"/>
        <w:ind w:firstLine="48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1.收运服务</w:t>
      </w:r>
      <w:r>
        <w:rPr>
          <w:rFonts w:hint="eastAsia" w:ascii="宋体" w:hAnsi="宋体" w:eastAsia="宋体" w:cs="宋体"/>
          <w:b/>
          <w:bCs/>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收运范围：采购人管辖范围内由区财政性资金养护的公共绿地产生的园林绿化垃圾。</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收运方式：属于政府财政性资金养护的公共绿地区域产生的园林绿化垃圾由园林绿化管养单位收集并运送至中转站（或堆放点）。</w:t>
      </w:r>
      <w:r>
        <w:rPr>
          <w:rFonts w:hint="eastAsia" w:ascii="宋体" w:hAnsi="宋体" w:eastAsia="宋体" w:cs="宋体"/>
          <w:color w:val="000000"/>
          <w:sz w:val="22"/>
          <w:szCs w:val="22"/>
          <w:highlight w:val="none"/>
        </w:rPr>
      </w:r>
      <w:r/>
    </w:p>
    <w:p>
      <w:pPr>
        <w:pStyle w:val="906"/>
        <w:ind w:firstLine="48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2.资源化利用处理服务</w:t>
      </w:r>
      <w:r>
        <w:rPr>
          <w:rFonts w:hint="eastAsia" w:ascii="宋体" w:hAnsi="宋体" w:eastAsia="宋体" w:cs="宋体"/>
          <w:b/>
          <w:bCs/>
          <w:color w:val="000000"/>
          <w:sz w:val="22"/>
          <w:szCs w:val="22"/>
          <w:highlight w:val="none"/>
        </w:rPr>
      </w:r>
      <w:r/>
    </w:p>
    <w:p>
      <w:pPr>
        <w:pStyle w:val="906"/>
        <w:ind w:firstLine="480"/>
        <w:spacing w:line="360" w:lineRule="auto"/>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rPr>
        <w:t xml:space="preserve">★（1）将园林绿化垃圾进行无害化处理和资源化利用，资源化产品率不低于60%。</w:t>
      </w:r>
      <w:r>
        <w:rPr>
          <w:rFonts w:hint="eastAsia" w:ascii="宋体" w:hAnsi="宋体" w:eastAsia="宋体" w:cs="宋体"/>
          <w:i/>
          <w:iCs/>
          <w:color w:val="000000"/>
          <w:sz w:val="22"/>
          <w:szCs w:val="22"/>
          <w:highlight w:val="none"/>
          <w:u w:val="singl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园林绿化垃圾资源化产品率是指园林绿化垃圾处置点以固碳减排、增加碳汇为目的的资源化产品（如生物炭、有机覆盖物、有机基质、木材等）总量占总处理产生产品总量的比例。该指标主要考核处置点园林绿化垃圾处理方向的指标，避免产生单一粉碎焚烧（包括一次粉碎焚烧和制成颗粒进行焚烧）的处置方式。</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rPr>
        <w:t xml:space="preserve">★（2）供应商按处理后生产的资源化产品50%的比例向采购人提供产品。其费用包含在投标报价中，不单独支付。</w:t>
      </w:r>
      <w:r>
        <w:rPr>
          <w:rFonts w:hint="eastAsia" w:ascii="宋体" w:hAnsi="宋体" w:eastAsia="宋体" w:cs="宋体"/>
          <w:i/>
          <w:iCs/>
          <w:color w:val="000000"/>
          <w:sz w:val="22"/>
          <w:szCs w:val="22"/>
          <w:highlight w:val="none"/>
          <w:u w:val="single"/>
        </w:rPr>
      </w:r>
      <w:r/>
    </w:p>
    <w:p>
      <w:pPr>
        <w:pStyle w:val="906"/>
        <w:ind w:firstLine="48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3.供应商需配合采购人的相关建设管理工作，供应商的处置终端需按常州市城市管理局的要求配备绿化垃圾信息化监管系统，且供应商需负责相关数据的申报等工作。其费用包含在投标报价中，不单独支付。</w:t>
      </w:r>
      <w:r>
        <w:rPr>
          <w:rFonts w:hint="eastAsia" w:ascii="宋体" w:hAnsi="宋体" w:eastAsia="宋体" w:cs="宋体"/>
          <w:b/>
          <w:bCs/>
          <w:color w:val="000000"/>
          <w:sz w:val="22"/>
          <w:szCs w:val="22"/>
          <w:highlight w:val="none"/>
        </w:rPr>
      </w:r>
      <w:r/>
    </w:p>
    <w:p>
      <w:pPr>
        <w:pStyle w:val="1000"/>
        <w:contextualSpacing/>
        <w:ind w:left="442" w:firstLine="0"/>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 xml:space="preserve">四、服务标准</w:t>
      </w:r>
      <w:r>
        <w:rPr>
          <w:rFonts w:hint="eastAsia" w:ascii="宋体" w:hAnsi="宋体" w:eastAsia="宋体" w:cs="宋体"/>
          <w:b/>
          <w:color w:val="000000"/>
          <w:sz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1.《关于印发&lt;关于加强城市绿化废弃物管理的若干规定&gt;的通知》（常城管规〔2022〕1号）；</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2.《市政府办公室关于印发&lt;常州市园林绿化垃圾处理和资源化利用试点工作实施意见&gt;的通知》（常政办发〔2023〕30号）；</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3.《常州市绿化垃圾处理和资源化利用试点工作实施方案》，常州市城市管理局，2023年5月；</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4.《绿化植物废弃物处置和应用技术规程》（GB/T 31755-2015）；</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5.本项目采购文件要求及中标供应商投标文件的承诺。</w:t>
      </w:r>
      <w:r>
        <w:rPr>
          <w:rFonts w:hint="eastAsia" w:ascii="宋体" w:hAnsi="宋体" w:eastAsia="宋体" w:cs="宋体"/>
          <w:color w:val="000000"/>
          <w:sz w:val="22"/>
          <w:szCs w:val="22"/>
          <w:highlight w:val="none"/>
        </w:rPr>
      </w:r>
      <w:r/>
    </w:p>
    <w:p>
      <w:pPr>
        <w:pStyle w:val="1000"/>
        <w:contextualSpacing/>
        <w:ind w:left="442" w:firstLine="0"/>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 xml:space="preserve">五、服务要求</w:t>
      </w:r>
      <w:r>
        <w:rPr>
          <w:rFonts w:hint="eastAsia" w:ascii="宋体" w:hAnsi="宋体" w:eastAsia="宋体" w:cs="宋体"/>
          <w:b/>
          <w:color w:val="000000"/>
          <w:sz w:val="22"/>
          <w:highlight w:val="none"/>
        </w:rPr>
      </w:r>
      <w:r/>
    </w:p>
    <w:p>
      <w:pPr>
        <w:pStyle w:val="906"/>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1.服务场地要求</w:t>
      </w:r>
      <w:r>
        <w:rPr>
          <w:rFonts w:hint="eastAsia" w:ascii="宋体" w:hAnsi="宋体" w:eastAsia="宋体" w:cs="宋体"/>
          <w:color w:val="000000"/>
          <w:sz w:val="22"/>
          <w:szCs w:val="22"/>
          <w:highlight w:val="none"/>
          <w:lang w:val="en-US" w:eastAsia="zh-CN"/>
        </w:rPr>
      </w:r>
      <w:r/>
    </w:p>
    <w:p>
      <w:pPr>
        <w:pStyle w:val="906"/>
        <w:ind w:firstLine="480"/>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1.1基本要求</w:t>
      </w:r>
      <w:r>
        <w:rPr>
          <w:rFonts w:ascii="宋体" w:hAnsi="宋体" w:eastAsia="宋体" w:cs="宋体"/>
          <w:color w:val="000000"/>
          <w:sz w:val="22"/>
          <w:szCs w:val="22"/>
          <w:highlight w:val="none"/>
          <w:lang w:val="en-US" w:eastAsia="zh-CN"/>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1.1.1投标人</w:t>
      </w:r>
      <w:r>
        <w:rPr>
          <w:rFonts w:hint="eastAsia" w:ascii="宋体" w:hAnsi="宋体" w:eastAsia="宋体" w:cs="宋体"/>
          <w:color w:val="000000"/>
          <w:sz w:val="22"/>
          <w:szCs w:val="22"/>
          <w:highlight w:val="none"/>
        </w:rPr>
        <w:t xml:space="preserve">须自有或合法租赁满足本项目园林绿化垃圾收运、暂存、破碎、资源化利用及成品堆放的固定作业场地，场地权属清晰、手续合法，不得占用耕地、生态保护红线、饮用水源保护区等禁限区域。</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rPr>
        <w:t xml:space="preserve">2.场地位置合理，交通便利，满足园林垃圾运输车辆及作业设备安全进出、停放、作业需求。</w:t>
      </w:r>
      <w:r>
        <w:rPr>
          <w:rFonts w:hint="eastAsia" w:ascii="宋体" w:hAnsi="宋体" w:eastAsia="宋体" w:cs="宋体"/>
          <w:color w:val="000000"/>
          <w:sz w:val="22"/>
          <w:szCs w:val="22"/>
          <w:highlight w:val="none"/>
          <w:lang w:val="en-US" w:eastAsia="zh-CN"/>
        </w:rPr>
      </w:r>
      <w:r/>
    </w:p>
    <w:p>
      <w:pPr>
        <w:pStyle w:val="906"/>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 场地规模与功能分区</w:t>
      </w:r>
      <w:r>
        <w:rPr>
          <w:rFonts w:hint="eastAsia" w:ascii="宋体" w:hAnsi="宋体" w:eastAsia="宋体" w:cs="宋体"/>
          <w:color w:val="000000"/>
          <w:sz w:val="22"/>
          <w:szCs w:val="22"/>
          <w:highlight w:val="none"/>
          <w:lang w:val="en-US" w:eastAsia="zh-CN"/>
        </w:rPr>
      </w:r>
      <w:r/>
    </w:p>
    <w:p>
      <w:pPr>
        <w:pStyle w:val="906"/>
        <w:ind w:firstLine="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1.2.1</w:t>
      </w:r>
      <w:r>
        <w:rPr>
          <w:rFonts w:hint="eastAsia" w:ascii="宋体" w:hAnsi="宋体" w:eastAsia="宋体" w:cs="宋体"/>
          <w:color w:val="000000"/>
          <w:sz w:val="22"/>
          <w:szCs w:val="22"/>
          <w:highlight w:val="none"/>
        </w:rPr>
        <w:t xml:space="preserve">场地须按作业流程合理分区，至少设置：进场卸料区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分拣预处理区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破碎加工区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资源化利用作业区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成品（营养土、有机覆盖物等）暂存区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不可利用残渣暂存区</w:t>
      </w:r>
      <w:r>
        <w:rPr>
          <w:rFonts w:hint="eastAsia" w:ascii="宋体" w:hAnsi="宋体" w:eastAsia="宋体" w:cs="宋体"/>
          <w:color w:val="000000"/>
          <w:sz w:val="22"/>
          <w:szCs w:val="22"/>
          <w:highlight w:val="none"/>
          <w:lang w:val="en-US" w:eastAsia="zh-CN"/>
        </w:rPr>
        <w:t xml:space="preserve">等</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06"/>
        <w:ind w:firstLine="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1.2.2</w:t>
      </w:r>
      <w:r>
        <w:rPr>
          <w:rFonts w:hint="eastAsia" w:ascii="宋体" w:hAnsi="宋体" w:eastAsia="宋体" w:cs="宋体"/>
          <w:color w:val="000000"/>
          <w:sz w:val="22"/>
          <w:szCs w:val="22"/>
          <w:highlight w:val="none"/>
        </w:rPr>
        <w:t xml:space="preserve">分区清晰、流线顺畅，避免交叉污染与安全隐患。</w:t>
      </w:r>
      <w:r>
        <w:rPr>
          <w:rFonts w:hint="eastAsia" w:ascii="宋体" w:hAnsi="宋体" w:eastAsia="宋体" w:cs="宋体"/>
          <w:color w:val="000000"/>
          <w:sz w:val="22"/>
          <w:szCs w:val="22"/>
          <w:highlight w:val="none"/>
          <w:lang w:eastAsia="zh-CN"/>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1.3</w:t>
      </w:r>
      <w:r>
        <w:rPr>
          <w:rFonts w:hint="eastAsia" w:ascii="宋体" w:hAnsi="宋体" w:eastAsia="宋体" w:cs="宋体"/>
          <w:color w:val="000000"/>
          <w:sz w:val="22"/>
          <w:szCs w:val="22"/>
          <w:highlight w:val="none"/>
        </w:rPr>
        <w:t xml:space="preserve">环保污染防治要求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.3.1</w:t>
      </w:r>
      <w:r>
        <w:rPr>
          <w:rFonts w:hint="eastAsia" w:ascii="宋体" w:hAnsi="宋体" w:eastAsia="宋体" w:cs="宋体"/>
          <w:color w:val="000000"/>
          <w:sz w:val="22"/>
          <w:szCs w:val="22"/>
          <w:highlight w:val="none"/>
        </w:rPr>
        <w:t xml:space="preserve">场地地面硬化防渗，配套雨污分流、废水收集处理及沉淀池设施，生产废水处理达标后回用或合规排放。</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2配备密闭围挡、喷淋降尘、防尘覆盖等抑尘措施。</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3采取除臭、灭蝇、防渗等措施，有效控制异味、渗滤液污染，防止土壤及地下水污染。</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4严禁园林垃圾与生活垃圾、危险废物混存混放，分类堆放规范。</w:t>
      </w:r>
      <w:r>
        <w:rPr>
          <w:rFonts w:hint="eastAsia" w:ascii="宋体" w:hAnsi="宋体" w:eastAsia="宋体" w:cs="宋体"/>
          <w:color w:val="000000"/>
          <w:sz w:val="22"/>
          <w:szCs w:val="22"/>
          <w:highlight w:val="none"/>
          <w:lang w:eastAsia="zh-CN"/>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安全与消防要求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1.4.1</w:t>
      </w:r>
      <w:r>
        <w:rPr>
          <w:rFonts w:hint="eastAsia" w:ascii="宋体" w:hAnsi="宋体" w:eastAsia="宋体" w:cs="宋体"/>
          <w:color w:val="000000"/>
          <w:sz w:val="22"/>
          <w:szCs w:val="22"/>
          <w:highlight w:val="none"/>
        </w:rPr>
        <w:t xml:space="preserve">场地符合安全生产及消防规范，配备消防器材、消防水源、应急通道及安全警示标识。</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2场内道路平整畅通，满足大型车辆及机械设备安全作业、转弯、会车要求。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3建立安全管理制度，落实人员防护、设备操作规程、用电安全等管理要求。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rPr>
        <w:t xml:space="preserve">合规性要求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5.1</w:t>
      </w:r>
      <w:r>
        <w:rPr>
          <w:rFonts w:hint="eastAsia" w:ascii="宋体" w:hAnsi="宋体" w:eastAsia="宋体" w:cs="宋体"/>
          <w:color w:val="000000"/>
          <w:sz w:val="22"/>
          <w:szCs w:val="22"/>
          <w:highlight w:val="none"/>
        </w:rPr>
        <w:t xml:space="preserve">场地须符合国土空间规划、生态环保、城管、住建等相关管理规定。</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1.5.2</w:t>
      </w:r>
      <w:r>
        <w:rPr>
          <w:rFonts w:hint="eastAsia" w:ascii="宋体" w:hAnsi="宋体" w:eastAsia="宋体" w:cs="宋体"/>
          <w:color w:val="000000"/>
          <w:sz w:val="22"/>
          <w:szCs w:val="22"/>
          <w:highlight w:val="none"/>
        </w:rPr>
        <w:t xml:space="preserve">接受采购人及监管部门现场检查，存在问题须按期整改到位。</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1.6</w:t>
      </w:r>
      <w:r>
        <w:rPr>
          <w:rFonts w:hint="eastAsia" w:ascii="宋体" w:hAnsi="宋体" w:eastAsia="宋体" w:cs="宋体"/>
          <w:color w:val="000000"/>
          <w:sz w:val="22"/>
          <w:szCs w:val="22"/>
          <w:highlight w:val="none"/>
        </w:rPr>
        <w:t xml:space="preserve">运营管理要求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6.1</w:t>
      </w:r>
      <w:r>
        <w:rPr>
          <w:rFonts w:hint="eastAsia" w:ascii="宋体" w:hAnsi="宋体" w:eastAsia="宋体" w:cs="宋体"/>
          <w:color w:val="000000"/>
          <w:sz w:val="22"/>
          <w:szCs w:val="22"/>
          <w:highlight w:val="none"/>
        </w:rPr>
        <w:t xml:space="preserve">场地实行封闭管理，建立进出登记、作业台账、视频监控等制度。</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1.6.2</w:t>
      </w:r>
      <w:r>
        <w:rPr>
          <w:rFonts w:hint="eastAsia" w:ascii="宋体" w:hAnsi="宋体" w:eastAsia="宋体" w:cs="宋体"/>
          <w:color w:val="000000"/>
          <w:sz w:val="22"/>
          <w:szCs w:val="22"/>
          <w:highlight w:val="none"/>
        </w:rPr>
        <w:t xml:space="preserve">保持场地整洁，垃圾及时处置，不得长期堆积，杜绝二次污染。</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color w:val="000000"/>
          <w:sz w:val="22"/>
          <w:szCs w:val="22"/>
          <w:highlight w:val="none"/>
        </w:rPr>
        <w:t xml:space="preserve">具备应急处置能力，保障极端天气、集中清运等情况下作业连续稳定。</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1.7中标人在中标后30个日历天内配备满足要求的绿化垃圾处置场地、绿化垃圾处理配套处置设备，</w:t>
      </w:r>
      <w:r>
        <w:rPr>
          <w:rFonts w:hint="eastAsia" w:ascii="宋体" w:hAnsi="宋体" w:eastAsia="宋体" w:cs="宋体"/>
          <w:color w:val="000000"/>
          <w:sz w:val="22"/>
          <w:szCs w:val="22"/>
          <w:highlight w:val="none"/>
        </w:rPr>
        <w:t xml:space="preserve">须符合环卫设施用地要求</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通过采购人验收</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租赁或使用自有所产生的任何费用皆由投标人自行承担。若未在规定时间内配备齐全或未能满足要求的，采购人有权取消其中标资格或解除合同，中标人还须承担相应的违约责任。</w:t>
      </w:r>
      <w:r>
        <w:rPr>
          <w:rFonts w:hint="eastAsia" w:ascii="宋体" w:hAnsi="宋体" w:eastAsia="宋体" w:cs="宋体"/>
          <w:color w:val="000000"/>
          <w:sz w:val="22"/>
          <w:szCs w:val="22"/>
          <w:highlight w:val="none"/>
          <w:lang w:val="en-US" w:eastAsia="zh-CN"/>
        </w:rPr>
      </w:r>
      <w:r/>
    </w:p>
    <w:p>
      <w:pPr>
        <w:pStyle w:val="906"/>
        <w:ind w:firstLine="482"/>
        <w:spacing w:line="360" w:lineRule="auto"/>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2</w:t>
      </w:r>
      <w:r>
        <w:rPr>
          <w:rFonts w:hint="eastAsia" w:ascii="宋体" w:hAnsi="宋体" w:eastAsia="宋体" w:cs="宋体"/>
          <w:b/>
          <w:bCs/>
          <w:color w:val="000000"/>
          <w:sz w:val="22"/>
          <w:szCs w:val="22"/>
          <w:highlight w:val="none"/>
        </w:rPr>
        <w:t xml:space="preserve">.收运要求：</w:t>
      </w:r>
      <w:r>
        <w:rPr>
          <w:rFonts w:ascii="宋体" w:hAnsi="宋体" w:eastAsia="宋体" w:cs="宋体"/>
          <w:b/>
          <w:bCs/>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关于印发&lt;关于加强城市绿化废弃物管理的若干规定&gt;的通知》（常城管规〔2022〕1号），园林绿化垃圾的收集和运输应当按照环境卫生作业标准和作业规范，在规定的时间内及时收运；受病菌或者虫体危害的园林绿化垃圾应当单独收集，并进行特殊预处理；用于运输园林绿化垃圾的车辆应当采取覆盖或者其他措施防止散落，并按照规定的路线和时间进行运输。</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园林垃圾收运过程产生的粉尘、噪声等污染物应达标排放。园林垃圾在进行解体、破碎等预处理及装车、卸料时，可能会产生粉尘、噪声等污染物，收运过程应符合《绿化植物废弃物处置和应用技术规程》（GB/T 31755-2015）等相关规定，粉尘的排放应符合《大气污染物综合排放标准》（GB 16297-1996）的有关规定，噪声水平应符合《声环境质量标准》（GB 3096-2008）、《社会生活环境噪音排放标准》（GB22337-2008）等标准的有关规定。</w:t>
      </w:r>
      <w:r>
        <w:rPr>
          <w:rFonts w:ascii="宋体" w:hAnsi="宋体" w:eastAsia="宋体" w:cs="宋体"/>
          <w:color w:val="000000"/>
          <w:sz w:val="22"/>
          <w:szCs w:val="22"/>
          <w:highlight w:val="none"/>
        </w:rPr>
      </w:r>
      <w:r/>
    </w:p>
    <w:p>
      <w:pPr>
        <w:pStyle w:val="906"/>
        <w:ind w:firstLine="482"/>
        <w:spacing w:line="360" w:lineRule="auto"/>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3</w:t>
      </w:r>
      <w:r>
        <w:rPr>
          <w:rFonts w:hint="eastAsia" w:ascii="宋体" w:hAnsi="宋体" w:eastAsia="宋体" w:cs="宋体"/>
          <w:b/>
          <w:bCs/>
          <w:color w:val="000000"/>
          <w:sz w:val="22"/>
          <w:szCs w:val="22"/>
          <w:highlight w:val="none"/>
        </w:rPr>
        <w:t xml:space="preserve">.资源化利用处理服务要求</w:t>
      </w:r>
      <w:r>
        <w:rPr>
          <w:rFonts w:ascii="宋体" w:hAnsi="宋体" w:eastAsia="宋体" w:cs="宋体"/>
          <w:b/>
          <w:bCs/>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具备与本项目规模相匹配的绿化有机基质和绿化覆盖物资源化产品生产能力，并按照减量化、资源化、无害化的方式对园林绿化垃圾进行处理利用，处理过程、资源化利用产品应满足《绿化植物废弃物处置和应用技术规程》（GB/T 31755-2015）、《绿化用有机基质》（GB/T 33891-2017）中“绿地、林地用”技术指标等相关规定。</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当建立操作管理制度、安全制度、环境保护制度（包括粉尘、噪音、污水处理等）、消防制度、设施设备管理制度、场地管理制度等，经按照制度严格落实相应措施。在处置场所张贴操作流程、警示标识，并配备安全消防设施。</w:t>
      </w:r>
      <w:r>
        <w:rPr>
          <w:rFonts w:hint="eastAsia" w:ascii="宋体" w:hAnsi="宋体" w:eastAsia="宋体" w:cs="宋体"/>
          <w:color w:val="000000"/>
          <w:sz w:val="22"/>
          <w:szCs w:val="22"/>
          <w:highlight w:val="none"/>
        </w:rPr>
      </w:r>
      <w:r/>
    </w:p>
    <w:p>
      <w:pPr>
        <w:pStyle w:val="906"/>
        <w:ind w:firstLine="48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4.</w:t>
      </w:r>
      <w:r>
        <w:rPr>
          <w:rFonts w:hint="eastAsia" w:ascii="宋体" w:hAnsi="宋体" w:eastAsia="宋体" w:cs="宋体"/>
          <w:b/>
          <w:bCs/>
          <w:color w:val="000000"/>
          <w:sz w:val="22"/>
          <w:szCs w:val="22"/>
          <w:highlight w:val="none"/>
        </w:rPr>
        <w:t xml:space="preserve">废物处理工艺要求</w:t>
      </w:r>
      <w:r>
        <w:rPr>
          <w:rFonts w:hint="eastAsia" w:ascii="宋体" w:hAnsi="宋体" w:eastAsia="宋体" w:cs="宋体"/>
          <w:b/>
          <w:bCs/>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4.1</w:t>
      </w:r>
      <w:r>
        <w:rPr>
          <w:rFonts w:hint="eastAsia" w:ascii="宋体" w:hAnsi="宋体" w:eastAsia="宋体" w:cs="宋体"/>
          <w:color w:val="000000"/>
          <w:sz w:val="22"/>
          <w:szCs w:val="22"/>
          <w:highlight w:val="none"/>
        </w:rPr>
        <w:t xml:space="preserve">投标人须提供成熟、稳定、无二次污染的处理工艺方案，处理效率需满足设计处理规模。</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4.2</w:t>
      </w:r>
      <w:r>
        <w:rPr>
          <w:rFonts w:hint="eastAsia" w:ascii="宋体" w:hAnsi="宋体" w:eastAsia="宋体" w:cs="宋体"/>
          <w:color w:val="000000"/>
          <w:sz w:val="22"/>
          <w:szCs w:val="22"/>
          <w:highlight w:val="none"/>
        </w:rPr>
        <w:t xml:space="preserve">需对园林垃圾（树枝、树叶、草丛、花卉废弃物等）进行分类收集、分类处理。对混入的建筑垃圾、有毒有害垃圾（如农药瓶、塑料薄膜）需设置前置分拣工序，并提供处置方案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废弃物收运要求</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w:t>
      </w:r>
      <w:r>
        <w:rPr>
          <w:rFonts w:hint="eastAsia" w:ascii="宋体" w:hAnsi="宋体" w:eastAsia="宋体" w:cs="宋体"/>
          <w:color w:val="000000"/>
          <w:sz w:val="22"/>
          <w:szCs w:val="22"/>
          <w:highlight w:val="none"/>
        </w:rPr>
        <w:t xml:space="preserve">投标人须建立覆盖项目服务区域的专用收运网络，明确收运路线、收运频次及应急收运预案。</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5.2投标人</w:t>
      </w:r>
      <w:r>
        <w:rPr>
          <w:rFonts w:hint="eastAsia" w:ascii="宋体" w:hAnsi="宋体" w:eastAsia="宋体" w:cs="宋体"/>
          <w:color w:val="000000"/>
          <w:sz w:val="22"/>
          <w:szCs w:val="22"/>
          <w:highlight w:val="none"/>
        </w:rPr>
        <w:t xml:space="preserve">应自行考虑具体收运方案。</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5.3</w:t>
      </w:r>
      <w:r>
        <w:rPr>
          <w:rFonts w:hint="eastAsia" w:ascii="宋体" w:hAnsi="宋体" w:eastAsia="宋体" w:cs="宋体"/>
          <w:color w:val="000000"/>
          <w:sz w:val="22"/>
          <w:szCs w:val="22"/>
          <w:highlight w:val="none"/>
        </w:rPr>
        <w:t xml:space="preserve">节假日、重大活动期间，须按采购人要求增加收运频次，确保现场无积存、无裸露、无异味。收运时间宜避开交通高峰时段，具体作业时间须服从采购人及城管部门调度。</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资源化利用生产要求</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资源化产品种类可为：园林覆盖物、有机肥、生物质燃料等。</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产出产品须符合相关国家标准/行业标准</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园林垃圾资源化产品率不低于60%，残余物排放量需控制在最低标准。</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6.4</w:t>
      </w:r>
      <w:r>
        <w:rPr>
          <w:rFonts w:hint="eastAsia" w:ascii="宋体" w:hAnsi="宋体" w:eastAsia="宋体" w:cs="宋体"/>
          <w:color w:val="000000"/>
          <w:sz w:val="21"/>
          <w:szCs w:val="21"/>
          <w:highlight w:val="none"/>
        </w:rPr>
        <w:t xml:space="preserve">不得随意焚烧、填埋或向河道、公共空间倾倒未处理的园林垃圾。</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rPr>
        <w:t xml:space="preserve">生产车间须配备除臭、除尘</w:t>
      </w:r>
      <w:r>
        <w:rPr>
          <w:rFonts w:hint="eastAsia" w:ascii="宋体" w:hAnsi="宋体" w:eastAsia="宋体" w:cs="宋体"/>
          <w:color w:val="000000"/>
          <w:sz w:val="21"/>
          <w:szCs w:val="21"/>
          <w:highlight w:val="none"/>
          <w:lang w:val="en-US" w:eastAsia="zh-CN"/>
        </w:rPr>
        <w:t xml:space="preserve">相关设施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rPr>
        <w:t xml:space="preserve">生产废水应循环利用或经处理达标后回用，不得外排。</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安全生产要求</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投标人须建立完善的安全生产管理体系，制定安全生产责任制及应急预案。</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处理人员须持证上岗（如：</w:t>
      </w:r>
      <w:r>
        <w:rPr>
          <w:rFonts w:hint="eastAsia" w:ascii="宋体" w:hAnsi="宋体" w:eastAsia="宋体" w:cs="宋体"/>
          <w:color w:val="000000"/>
          <w:sz w:val="21"/>
          <w:szCs w:val="21"/>
          <w:highlight w:val="none"/>
          <w:lang w:val="en-US" w:eastAsia="zh-CN"/>
        </w:rPr>
        <w:t xml:space="preserve">装载机驾驶</w:t>
      </w:r>
      <w:r>
        <w:rPr>
          <w:rFonts w:hint="eastAsia" w:ascii="宋体" w:hAnsi="宋体" w:eastAsia="宋体" w:cs="宋体"/>
          <w:color w:val="000000"/>
          <w:sz w:val="21"/>
          <w:szCs w:val="21"/>
          <w:highlight w:val="none"/>
        </w:rPr>
        <w:t xml:space="preserve">证等），并定期接受安全培训与应急演练。</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7.3</w:t>
      </w:r>
      <w:r>
        <w:rPr>
          <w:rFonts w:hint="eastAsia" w:ascii="宋体" w:hAnsi="宋体" w:eastAsia="宋体" w:cs="宋体"/>
          <w:color w:val="000000"/>
          <w:sz w:val="21"/>
          <w:szCs w:val="21"/>
          <w:highlight w:val="none"/>
        </w:rPr>
        <w:t xml:space="preserve">处理设备须符合国家机械安全标准，设置紧急停止、防护栏、警示标识等安全装置。</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7.4</w:t>
      </w:r>
      <w:r>
        <w:rPr>
          <w:rFonts w:hint="eastAsia" w:ascii="宋体" w:hAnsi="宋体" w:eastAsia="宋体" w:cs="宋体"/>
          <w:color w:val="000000"/>
          <w:sz w:val="21"/>
          <w:szCs w:val="21"/>
          <w:highlight w:val="none"/>
        </w:rPr>
        <w:t xml:space="preserve">定期对设备、消防设施、危化品进行维护与检测，建立完整的设备运维台账。</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rPr>
        <w:t xml:space="preserve">夜间作业须配备充足照明设备及反光标识，作业现场须设置安全围挡及警示标志。</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7.6</w:t>
      </w:r>
      <w:r>
        <w:rPr>
          <w:rFonts w:hint="eastAsia" w:ascii="宋体" w:hAnsi="宋体" w:eastAsia="宋体" w:cs="宋体"/>
          <w:color w:val="000000"/>
          <w:sz w:val="21"/>
          <w:szCs w:val="21"/>
          <w:highlight w:val="none"/>
        </w:rPr>
        <w:t xml:space="preserve">收运车辆驾驶员须严格遵守交通法规，严禁疲劳驾驶、酒驾等行为。</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lang w:eastAsia="zh-CN"/>
        </w:rPr>
      </w:pPr>
      <w:r/>
      <w:bookmarkStart w:id="785" w:name="heading_4"/>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环境保护要求</w:t>
      </w:r>
      <w:bookmarkEnd w:id="785"/>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须具备完备的环境保护措施，严格遵守国家及地方相关环保法律法规，全过程符合生态环境、扬尘控制、污水及恶臭防治等相关环境管理要求，实现无害化、资源化处置。</w:t>
      </w:r>
      <w:r>
        <w:rPr>
          <w:rFonts w:hint="eastAsia" w:ascii="宋体" w:hAnsi="宋体" w:eastAsia="宋体" w:cs="宋体"/>
          <w:color w:val="000000"/>
          <w:sz w:val="21"/>
          <w:szCs w:val="21"/>
          <w:highlight w:val="none"/>
        </w:rPr>
      </w:r>
      <w:r/>
    </w:p>
    <w:p>
      <w:pPr>
        <w:pStyle w:val="906"/>
        <w:ind w:firstLine="480"/>
        <w:spacing w:line="360" w:lineRule="auto"/>
        <w:rPr>
          <w:rFonts w:hint="eastAsia" w:ascii="宋体" w:hAnsi="宋体" w:eastAsia="宋体" w:cs="宋体"/>
          <w:color w:val="000000"/>
          <w:sz w:val="21"/>
          <w:szCs w:val="21"/>
          <w:highlight w:val="none"/>
        </w:rPr>
      </w:pPr>
      <w:r/>
      <w:bookmarkStart w:id="786" w:name="heading_5"/>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售后服务要求</w:t>
      </w:r>
      <w:bookmarkEnd w:id="786"/>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须具备完备的</w:t>
      </w:r>
      <w:r>
        <w:rPr>
          <w:rFonts w:hint="eastAsia" w:ascii="宋体" w:hAnsi="宋体" w:eastAsia="宋体" w:cs="宋体"/>
          <w:color w:val="000000"/>
          <w:sz w:val="21"/>
          <w:szCs w:val="21"/>
          <w:highlight w:val="none"/>
          <w:lang w:val="en-US" w:eastAsia="zh-CN"/>
        </w:rPr>
        <w:t xml:space="preserve">售后服务响应机制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6"/>
        <w:ind w:firstLine="482"/>
        <w:spacing w:line="360" w:lineRule="auto"/>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.项目绩效评价</w:t>
      </w:r>
      <w:r>
        <w:rPr>
          <w:rFonts w:ascii="宋体" w:hAnsi="宋体" w:eastAsia="宋体" w:cs="宋体"/>
          <w:b/>
          <w:bCs/>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（1）采购人负责组织实施项目绩效评价工作，并向供应商通报绩效评价情况。</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（2）项目绩效评价在每个服务年度结束后进行一次。供应商应当在每个服务年度结束后二十日内向采购人提交上一服务年度履约报告。采购人根据履约报告和日常检查情况，对供应商进行绩效评价评分。</w:t>
      </w:r>
      <w:r>
        <w:rPr>
          <w:rFonts w:hint="eastAsia"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（3）上一年度综合服务费与绩效评价结果挂钩。当绩效评价得分≥90分时，无需扣减服务费；当绩效评价得分＜90分时，服务费进行相应扣减，计算方式如下：</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上一服务年度绩效评价扣费=上一服务年度服务费×（1－绩效评价得分/90）</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绩效评价扣费在确定绩效评价结果后的首次支付的服务费中扣除。如应扣费额高于首次支付的服务费，则在下一次付费中继续扣除，依此类推，直至扣费额达到要求为止。</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服务期最后一次付费在最后一年绩效评价完毕且扣除最后一年的绩效评价应扣费后予以支付。如最后一次的付费低于最后一年的绩效评价应扣费金额，则供应商应向采购人另行补足。</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如绩效评价得分低于60分，采购人有权立即解除合同。</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（4）绩效评价指标体系详见采购合同。</w:t>
      </w:r>
      <w:r>
        <w:rPr>
          <w:rFonts w:ascii="宋体" w:hAnsi="宋体" w:eastAsia="宋体" w:cs="宋体"/>
          <w:color w:val="000000"/>
          <w:sz w:val="22"/>
          <w:szCs w:val="22"/>
          <w:highlight w:val="none"/>
        </w:rPr>
      </w:r>
      <w:r/>
    </w:p>
    <w:p>
      <w:pPr>
        <w:pStyle w:val="906"/>
        <w:ind w:firstLine="440"/>
        <w:spacing w:line="360" w:lineRule="auto"/>
        <w:rPr>
          <w:rFonts w:hint="eastAsia" w:ascii="宋体" w:hAnsi="宋体" w:eastAsia="宋体" w:cs="Times New Roman"/>
          <w:b/>
          <w:color w:val="000000"/>
          <w:sz w:val="22"/>
          <w:szCs w:val="22"/>
          <w:highlight w:val="none"/>
        </w:rPr>
      </w:pPr>
      <w:r>
        <w:rPr>
          <w:rFonts w:hint="eastAsia" w:ascii="宋体" w:hAnsi="宋体" w:eastAsia="宋体" w:cs="宋体"/>
          <w:color w:val="000000"/>
          <w:sz w:val="22"/>
          <w:szCs w:val="22"/>
          <w:highlight w:val="none"/>
        </w:rPr>
        <w:t xml:space="preserve">（5）本项目不收取履约保证金。</w:t>
      </w:r>
      <w:r>
        <w:rPr>
          <w:rFonts w:hint="eastAsia" w:ascii="宋体" w:hAnsi="宋体" w:eastAsia="宋体" w:cs="Times New Roman"/>
          <w:b/>
          <w:color w:val="000000"/>
          <w:sz w:val="22"/>
          <w:szCs w:val="22"/>
          <w:highlight w:val="none"/>
        </w:rPr>
      </w:r>
      <w:r/>
    </w:p>
    <w:p>
      <w:pPr>
        <w:pStyle w:val="1000"/>
        <w:contextualSpacing/>
        <w:ind w:left="442" w:firstLine="0"/>
        <w:spacing w:line="360" w:lineRule="auto"/>
        <w:rPr>
          <w:rFonts w:ascii="宋体" w:hAnsi="宋体" w:eastAsia="宋体" w:cs="Times New Roman"/>
          <w:b/>
          <w:color w:val="000000"/>
          <w:sz w:val="22"/>
          <w:highlight w:val="none"/>
        </w:rPr>
      </w:pPr>
      <w:r>
        <w:rPr>
          <w:rFonts w:hint="eastAsia" w:ascii="宋体" w:hAnsi="宋体" w:eastAsia="宋体" w:cs="Times New Roman"/>
          <w:b/>
          <w:color w:val="000000"/>
          <w:sz w:val="22"/>
          <w:highlight w:val="none"/>
        </w:rPr>
        <w:t xml:space="preserve">六、报价方式</w:t>
      </w:r>
      <w:r>
        <w:rPr>
          <w:rFonts w:ascii="宋体" w:hAnsi="宋体" w:eastAsia="宋体" w:cs="Times New Roman"/>
          <w:b/>
          <w:color w:val="000000"/>
          <w:sz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1.本项目采用</w:t>
      </w:r>
      <w:r>
        <w:rPr>
          <w:rFonts w:hint="eastAsia" w:ascii="宋体" w:hAnsi="宋体" w:eastAsia="宋体" w:cs="宋体"/>
          <w:color w:val="000000"/>
          <w:sz w:val="22"/>
          <w:szCs w:val="22"/>
          <w:highlight w:val="none"/>
          <w:u w:val="single"/>
        </w:rPr>
        <w:t xml:space="preserve">总价报价</w:t>
      </w:r>
      <w:r>
        <w:rPr>
          <w:rFonts w:hint="eastAsia" w:ascii="宋体" w:hAnsi="宋体" w:eastAsia="宋体" w:cs="宋体"/>
          <w:color w:val="000000"/>
          <w:sz w:val="22"/>
          <w:szCs w:val="22"/>
          <w:highlight w:val="none"/>
        </w:rPr>
        <w:t xml:space="preserve">形式，投标总价不得超过本项目最高投标限价，且投标单价不得超过相应的最高投标单价。</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2.供应商的投标报价应包括完成合同服务内容所需的全部人工、材料、机械、设施设备、企业成本、管理费、利润以及税金等全过程的一切费用。</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3.在合同实施期间，合同单价不随国家政策或法规、标准及市场因素的变化而进行调整，也不因实际工作量的增减而调整。</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4.投标报价表格中的绿化垃圾数量为暂估数量。本项目按实结算，结算方式和相关说明详见采购合同。</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5.成交供应商参与本项目的相关人员、设施设备、运输车辆、生产基地等的保险和第三方责任险均由成交供应商投保，包含在合同总价中，采购人不单独支付。</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6.成交供应商按处理后生产的资源化产品50%的比例向采购人提供产品。其费用包含在投标报价中，不单独支付。</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7.成交供应商需配合采购人的相关建设管理工作，且需负责相关数据的申报工作。其费用包含在投标报价中，不单独支付。</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8.本项目报价均为含税价格。</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应充分了解本项目特点，充分考虑到一切风险及不可预见性费用，报价中视为已包含此部分因素。供应商无论何种原因造成报价的遗漏，其风险自担，一旦发生不作为调价依据，国家法律、行政法规另有规定的除外。</w:t>
      </w:r>
      <w:r>
        <w:rPr>
          <w:rFonts w:hint="eastAsia" w:ascii="宋体" w:hAnsi="宋体" w:eastAsia="宋体" w:cs="宋体"/>
          <w:color w:val="000000"/>
          <w:sz w:val="22"/>
          <w:szCs w:val="22"/>
          <w:highlight w:val="none"/>
        </w:rPr>
      </w:r>
      <w:r/>
    </w:p>
    <w:p>
      <w:pPr>
        <w:pStyle w:val="1000"/>
        <w:contextualSpacing/>
        <w:ind w:left="442" w:firstLine="0"/>
        <w:spacing w:line="360" w:lineRule="auto"/>
        <w:rPr>
          <w:rFonts w:hint="eastAsia" w:ascii="宋体" w:hAnsi="宋体" w:eastAsia="宋体" w:cs="Times New Roman"/>
          <w:b/>
          <w:color w:val="000000"/>
          <w:sz w:val="22"/>
          <w:highlight w:val="none"/>
        </w:rPr>
      </w:pPr>
      <w:r>
        <w:rPr>
          <w:rFonts w:hint="eastAsia" w:ascii="宋体" w:hAnsi="宋体" w:eastAsia="宋体" w:cs="Times New Roman"/>
          <w:b/>
          <w:color w:val="000000"/>
          <w:sz w:val="22"/>
          <w:highlight w:val="none"/>
        </w:rPr>
        <w:t xml:space="preserve">七、其他要求</w:t>
      </w:r>
      <w:r>
        <w:rPr>
          <w:rFonts w:hint="eastAsia" w:ascii="宋体" w:hAnsi="宋体" w:eastAsia="宋体" w:cs="Times New Roman"/>
          <w:b/>
          <w:color w:val="000000"/>
          <w:sz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1、项目组要求：</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投标人至少应为本项目配备如下人员：</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（1）项目负责人：1名，具有绿化垃圾资源化利用项目或绿化养护项目经验，具备中级或以上职称证书；</w:t>
      </w:r>
      <w:r>
        <w:rPr>
          <w:rFonts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（2）主要管理人员：不少于1人，需具有绿化垃圾资源化利用项目或绿化养护项目经验，具备中级或以上职称证书。</w:t>
      </w:r>
      <w:r>
        <w:rPr>
          <w:rFonts w:hint="eastAsia" w:ascii="宋体" w:hAnsi="宋体" w:eastAsia="宋体" w:cs="宋体"/>
          <w:color w:val="000000"/>
          <w:sz w:val="22"/>
          <w:szCs w:val="22"/>
          <w:highlight w:val="none"/>
        </w:rPr>
      </w:r>
      <w:r/>
    </w:p>
    <w:p>
      <w:pPr>
        <w:pStyle w:val="906"/>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（3）作业人员：不少于5人，由投标人根据项目实施方案进行配备。需具有绿化垃圾资源化利用项目或绿化养护项目经验，具备相应上岗证。</w:t>
      </w:r>
      <w:r>
        <w:rPr>
          <w:rFonts w:hint="eastAsia"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t xml:space="preserve">拟投入的项目负责人及项目组成员不得同时在两个或者两个以上单位受聘或者执业：</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①同时在两个及以上单位签订劳动合同或交纳社会保险；</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②将本人执（职）业资格证书同时注册在两个及以上单位。</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若有上述情形，一经查实弄虚作假行为，采购人有权取消该供应商的响应资格，同时上报至行政主管单位并处罚。</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2、其它要求详见</w:t>
      </w:r>
      <w:bookmarkStart w:id="787" w:name="_Hlk146479916"/>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2026-2028年新北区园林绿化垃圾收运及资源化利用服务项目</w:t>
      </w:r>
      <w:r>
        <w:rPr>
          <w:rFonts w:hint="eastAsia" w:ascii="宋体" w:hAnsi="宋体" w:eastAsia="宋体" w:cs="宋体"/>
          <w:color w:val="000000"/>
          <w:sz w:val="22"/>
          <w:szCs w:val="22"/>
          <w:highlight w:val="none"/>
        </w:rPr>
        <w:t xml:space="preserve">采购合同》</w:t>
      </w:r>
      <w:bookmarkEnd w:id="787"/>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906"/>
        <w:ind w:firstLine="480"/>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3、供应商应在投标文件中对于上述项目标准和要求进行响应，作出承诺及说明。</w:t>
      </w:r>
      <w:r>
        <w:rPr>
          <w:rFonts w:ascii="宋体" w:hAnsi="宋体" w:eastAsia="宋体" w:cs="宋体"/>
          <w:color w:val="000000"/>
          <w:sz w:val="22"/>
          <w:szCs w:val="22"/>
          <w:highlight w:val="none"/>
        </w:rPr>
      </w:r>
      <w:r/>
    </w:p>
    <w:p>
      <w:pPr>
        <w:pStyle w:val="906"/>
        <w:jc w:val="center"/>
        <w:spacing w:line="500" w:lineRule="exact"/>
        <w:rPr>
          <w:rFonts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本项目采购标的对应的中小企业划分标准所属行业一览表</w:t>
      </w:r>
      <w:r>
        <w:rPr>
          <w:rFonts w:ascii="宋体" w:hAnsi="宋体" w:eastAsia="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3694"/>
        <w:gridCol w:w="4751"/>
      </w:tblGrid>
      <w:tr>
        <w:trPr>
          <w:cantSplit/>
          <w:trHeight w:val="554"/>
        </w:trPr>
        <w:tc>
          <w:tcPr>
            <w:tcW w:w="509" w:type="dxa"/>
            <w:vAlign w:val="center"/>
            <w:textDirection w:val="lrTb"/>
            <w:noWrap w:val="false"/>
          </w:tcPr>
          <w:p>
            <w:pPr>
              <w:pStyle w:val="906"/>
              <w:jc w:val="center"/>
              <w:spacing w:line="0" w:lineRule="atLeast"/>
              <w:rPr>
                <w:rFonts w:ascii="宋体" w:hAnsi="宋体" w:eastAsia="宋体" w:cs="宋体"/>
                <w:color w:val="000000"/>
                <w:sz w:val="24"/>
                <w:highlight w:val="none"/>
              </w:rPr>
            </w:pPr>
            <w:r>
              <w:rPr>
                <w:rFonts w:ascii="宋体" w:hAnsi="宋体" w:eastAsia="宋体" w:cs="宋体"/>
                <w:color w:val="000000"/>
                <w:sz w:val="24"/>
                <w:highlight w:val="none"/>
                <w:lang w:bidi="ar"/>
              </w:rPr>
              <w:t xml:space="preserve">序号</w:t>
            </w:r>
            <w:r>
              <w:rPr>
                <w:rFonts w:ascii="宋体" w:hAnsi="宋体" w:eastAsia="宋体" w:cs="宋体"/>
                <w:color w:val="000000"/>
                <w:sz w:val="24"/>
                <w:highlight w:val="none"/>
              </w:rPr>
            </w:r>
            <w:r/>
          </w:p>
        </w:tc>
        <w:tc>
          <w:tcPr>
            <w:tcW w:w="1964" w:type="dxa"/>
            <w:vAlign w:val="center"/>
            <w:textDirection w:val="lrTb"/>
            <w:noWrap w:val="false"/>
          </w:tcPr>
          <w:p>
            <w:pPr>
              <w:pStyle w:val="906"/>
              <w:jc w:val="center"/>
              <w:spacing w:line="0" w:lineRule="atLeast"/>
              <w:rPr>
                <w:rFonts w:ascii="宋体" w:hAnsi="宋体" w:eastAsia="宋体" w:cs="宋体"/>
                <w:color w:val="000000"/>
                <w:sz w:val="24"/>
                <w:highlight w:val="none"/>
              </w:rPr>
            </w:pPr>
            <w:r>
              <w:rPr>
                <w:rFonts w:ascii="宋体" w:hAnsi="宋体" w:eastAsia="宋体" w:cs="宋体"/>
                <w:color w:val="000000"/>
                <w:sz w:val="24"/>
                <w:highlight w:val="none"/>
                <w:lang w:bidi="ar"/>
              </w:rPr>
              <w:t xml:space="preserve">采购标的</w:t>
            </w:r>
            <w:r>
              <w:rPr>
                <w:rFonts w:ascii="宋体" w:hAnsi="宋体" w:eastAsia="宋体" w:cs="宋体"/>
                <w:color w:val="000000"/>
                <w:sz w:val="24"/>
                <w:highlight w:val="none"/>
              </w:rPr>
            </w:r>
            <w:r/>
          </w:p>
        </w:tc>
        <w:tc>
          <w:tcPr>
            <w:tcW w:w="2526" w:type="dxa"/>
            <w:vAlign w:val="center"/>
            <w:textDirection w:val="lrTb"/>
            <w:noWrap w:val="false"/>
          </w:tcPr>
          <w:p>
            <w:pPr>
              <w:pStyle w:val="906"/>
              <w:jc w:val="center"/>
              <w:spacing w:line="0" w:lineRule="atLeast"/>
              <w:rPr>
                <w:rFonts w:ascii="宋体" w:hAnsi="宋体" w:eastAsia="宋体" w:cs="宋体"/>
                <w:color w:val="000000"/>
                <w:sz w:val="24"/>
                <w:highlight w:val="none"/>
              </w:rPr>
            </w:pPr>
            <w:r>
              <w:rPr>
                <w:rFonts w:ascii="宋体" w:hAnsi="宋体" w:eastAsia="宋体" w:cs="宋体"/>
                <w:color w:val="000000"/>
                <w:sz w:val="24"/>
                <w:highlight w:val="none"/>
                <w:lang w:bidi="ar"/>
              </w:rPr>
              <w:t xml:space="preserve">对应中小企业划分标准所属行业</w:t>
            </w:r>
            <w:r>
              <w:rPr>
                <w:rFonts w:ascii="宋体" w:hAnsi="宋体" w:eastAsia="宋体" w:cs="宋体"/>
                <w:color w:val="000000"/>
                <w:sz w:val="24"/>
                <w:highlight w:val="none"/>
              </w:rPr>
            </w:r>
            <w:r/>
          </w:p>
        </w:tc>
      </w:tr>
      <w:tr>
        <w:trPr>
          <w:cantSplit/>
          <w:trHeight w:val="492"/>
        </w:trPr>
        <w:tc>
          <w:tcPr>
            <w:tcW w:w="509" w:type="dxa"/>
            <w:vAlign w:val="center"/>
            <w:textDirection w:val="lrTb"/>
            <w:noWrap w:val="false"/>
          </w:tcPr>
          <w:p>
            <w:pPr>
              <w:pStyle w:val="906"/>
              <w:jc w:val="center"/>
              <w:spacing w:line="0" w:lineRule="atLeast"/>
              <w:rPr>
                <w:rFonts w:ascii="宋体" w:hAnsi="宋体" w:eastAsia="宋体" w:cs="宋体"/>
                <w:color w:val="000000"/>
                <w:sz w:val="24"/>
                <w:highlight w:val="none"/>
              </w:rPr>
            </w:pPr>
            <w:r>
              <w:rPr>
                <w:rFonts w:ascii="宋体" w:hAnsi="宋体" w:eastAsia="宋体" w:cs="宋体"/>
                <w:color w:val="000000"/>
                <w:sz w:val="24"/>
                <w:highlight w:val="none"/>
                <w:lang w:bidi="ar"/>
              </w:rPr>
              <w:t xml:space="preserve">1</w:t>
            </w:r>
            <w:r>
              <w:rPr>
                <w:rFonts w:ascii="宋体" w:hAnsi="宋体" w:eastAsia="宋体" w:cs="宋体"/>
                <w:color w:val="000000"/>
                <w:sz w:val="24"/>
                <w:highlight w:val="none"/>
              </w:rPr>
            </w:r>
            <w:r/>
          </w:p>
        </w:tc>
        <w:tc>
          <w:tcPr>
            <w:tcW w:w="1964" w:type="dxa"/>
            <w:vAlign w:val="center"/>
            <w:textDirection w:val="lrTb"/>
            <w:noWrap w:val="false"/>
          </w:tcPr>
          <w:p>
            <w:pPr>
              <w:pStyle w:val="906"/>
              <w:jc w:val="center"/>
              <w:spacing w:line="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2026-2028年新北区园林绿化垃圾收运及资源化利用服务项目</w:t>
            </w:r>
            <w:r>
              <w:rPr>
                <w:rFonts w:hint="eastAsia" w:ascii="宋体" w:hAnsi="宋体" w:eastAsia="宋体" w:cs="宋体"/>
                <w:color w:val="000000"/>
                <w:sz w:val="24"/>
                <w:highlight w:val="none"/>
                <w:lang w:eastAsia="zh-CN"/>
              </w:rPr>
            </w:r>
            <w:r/>
          </w:p>
        </w:tc>
        <w:tc>
          <w:tcPr>
            <w:tcW w:w="2526" w:type="dxa"/>
            <w:vAlign w:val="center"/>
            <w:textDirection w:val="lrTb"/>
            <w:noWrap w:val="false"/>
          </w:tcPr>
          <w:p>
            <w:pPr>
              <w:pStyle w:val="906"/>
              <w:jc w:val="center"/>
              <w:spacing w:line="0"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其他未列明行业</w:t>
            </w:r>
            <w:r>
              <w:rPr>
                <w:rFonts w:ascii="宋体" w:hAnsi="宋体" w:eastAsia="宋体" w:cs="宋体"/>
                <w:b/>
                <w:bCs/>
                <w:color w:val="000000"/>
                <w:sz w:val="24"/>
                <w:highlight w:val="none"/>
              </w:rPr>
            </w:r>
            <w:r/>
          </w:p>
        </w:tc>
      </w:tr>
    </w:tbl>
    <w:p>
      <w:pPr>
        <w:pStyle w:val="906"/>
        <w:jc w:val="center"/>
        <w:spacing w:line="0" w:lineRule="atLeast"/>
        <w:rPr>
          <w:rFonts w:ascii="宋体" w:hAnsi="宋体" w:eastAsia="宋体" w:cs="宋体"/>
          <w:bCs/>
          <w:color w:val="000000"/>
          <w:sz w:val="24"/>
          <w:highlight w:val="none"/>
          <w:lang w:bidi="ar"/>
        </w:rPr>
      </w:pPr>
      <w:r>
        <w:rPr>
          <w:rFonts w:ascii="宋体" w:hAnsi="宋体" w:eastAsia="宋体" w:cs="宋体"/>
          <w:bCs/>
          <w:color w:val="000000"/>
          <w:sz w:val="24"/>
          <w:highlight w:val="none"/>
          <w:lang w:bidi="ar"/>
        </w:rPr>
      </w:r>
      <w:r/>
    </w:p>
    <w:p>
      <w:pPr>
        <w:pStyle w:val="906"/>
        <w:jc w:val="both"/>
        <w:spacing w:line="0" w:lineRule="atLeast"/>
        <w:rPr>
          <w:rFonts w:ascii="宋体" w:hAnsi="宋体" w:eastAsia="宋体" w:cs="宋体"/>
          <w:bCs/>
          <w:color w:val="000000"/>
          <w:sz w:val="24"/>
          <w:highlight w:val="none"/>
          <w:lang w:bidi="ar"/>
        </w:rPr>
      </w:pPr>
      <w:r>
        <w:rPr>
          <w:rFonts w:ascii="宋体" w:hAnsi="宋体" w:eastAsia="宋体" w:cs="宋体"/>
          <w:bCs/>
          <w:color w:val="000000"/>
          <w:sz w:val="24"/>
          <w:highlight w:val="none"/>
          <w:lang w:bidi="ar"/>
        </w:rPr>
      </w:r>
      <w:r/>
    </w:p>
    <w:p>
      <w:pPr>
        <w:pStyle w:val="906"/>
        <w:jc w:val="center"/>
        <w:spacing w:line="160" w:lineRule="atLeast"/>
        <w:rPr>
          <w:rFonts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★本项目实质性要求对照表</w:t>
      </w:r>
      <w:r>
        <w:rPr>
          <w:rFonts w:ascii="宋体" w:hAnsi="宋体" w:eastAsia="宋体" w:cs="宋体"/>
          <w:b/>
          <w:color w:val="000000"/>
          <w:sz w:val="24"/>
          <w:highlight w:val="none"/>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5524"/>
        <w:gridCol w:w="3132"/>
      </w:tblGrid>
      <w:tr>
        <w:trPr>
          <w:trHeight w:val="673"/>
        </w:trPr>
        <w:tc>
          <w:tcPr>
            <w:tcW w:w="397" w:type="dxa"/>
            <w:vAlign w:val="center"/>
            <w:textDirection w:val="lrTb"/>
            <w:noWrap w:val="false"/>
          </w:tcPr>
          <w:p>
            <w:pPr>
              <w:pStyle w:val="906"/>
              <w:jc w:val="center"/>
              <w:spacing w:line="85" w:lineRule="atLeast"/>
              <w:rPr>
                <w:rFonts w:ascii="宋体" w:hAnsi="宋体" w:eastAsia="宋体" w:cs="Times New Roman"/>
                <w:b/>
                <w:bCs/>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highlight w:val="none"/>
                <w:lang w:bidi="ar"/>
              </w:rPr>
              <w:t xml:space="preserve">序号</w:t>
            </w:r>
            <w:r>
              <w:rPr>
                <w:rFonts w:ascii="宋体" w:hAnsi="宋体" w:eastAsia="宋体" w:cs="Times New Roman"/>
                <w:b/>
                <w:bCs/>
                <w:color w:val="000000"/>
                <w:sz w:val="20"/>
                <w:highlight w:val="none"/>
              </w:rPr>
            </w:r>
            <w:r/>
          </w:p>
        </w:tc>
        <w:tc>
          <w:tcPr>
            <w:tcW w:w="2937" w:type="dxa"/>
            <w:vAlign w:val="center"/>
            <w:textDirection w:val="lrTb"/>
            <w:noWrap w:val="false"/>
          </w:tcPr>
          <w:p>
            <w:pPr>
              <w:pStyle w:val="906"/>
              <w:jc w:val="center"/>
              <w:spacing w:line="85" w:lineRule="atLeast"/>
              <w:rPr>
                <w:rFonts w:ascii="宋体" w:hAnsi="宋体" w:eastAsia="宋体" w:cs="Times New Roman"/>
                <w:b/>
                <w:bCs/>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bidi="ar"/>
              </w:rPr>
              <w:t xml:space="preserve">采购需求实质性响应体条款</w:t>
            </w:r>
            <w:r>
              <w:rPr>
                <w:rFonts w:ascii="宋体" w:hAnsi="宋体" w:eastAsia="宋体" w:cs="Times New Roman"/>
                <w:b/>
                <w:bCs/>
                <w:color w:val="000000"/>
                <w:sz w:val="20"/>
                <w:highlight w:val="none"/>
              </w:rPr>
            </w:r>
            <w:r/>
          </w:p>
        </w:tc>
        <w:tc>
          <w:tcPr>
            <w:tcW w:w="1665" w:type="dxa"/>
            <w:vAlign w:val="center"/>
            <w:textDirection w:val="lrTb"/>
            <w:noWrap w:val="false"/>
          </w:tcPr>
          <w:p>
            <w:pPr>
              <w:pStyle w:val="906"/>
              <w:jc w:val="center"/>
              <w:spacing w:line="85" w:lineRule="atLeast"/>
              <w:rPr>
                <w:rFonts w:ascii="宋体" w:hAnsi="宋体" w:eastAsia="宋体" w:cs="Times New Roman"/>
                <w:b/>
                <w:bCs/>
                <w:color w:val="000000"/>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bidi="ar"/>
              </w:rPr>
              <w:t xml:space="preserve">需提供的证明材料</w:t>
            </w:r>
            <w:r>
              <w:rPr>
                <w:rFonts w:ascii="宋体" w:hAnsi="宋体" w:eastAsia="宋体" w:cs="Times New Roman"/>
                <w:b/>
                <w:bCs/>
                <w:color w:val="000000"/>
                <w:sz w:val="20"/>
                <w:highlight w:val="none"/>
              </w:rPr>
            </w:r>
            <w:r/>
          </w:p>
        </w:tc>
      </w:tr>
      <w:tr>
        <w:trPr/>
        <w:tc>
          <w:tcPr>
            <w:tcW w:w="397" w:type="dxa"/>
            <w:vAlign w:val="center"/>
            <w:textDirection w:val="lrTb"/>
            <w:noWrap w:val="false"/>
          </w:tcPr>
          <w:p>
            <w:pPr>
              <w:pStyle w:val="906"/>
              <w:jc w:val="center"/>
              <w:spacing w:line="85" w:lineRule="atLeast"/>
              <w:rPr>
                <w:rFonts w:hint="eastAsia" w:ascii="宋体" w:hAnsi="宋体" w:eastAsia="宋体" w:cs="宋体"/>
                <w:b/>
                <w:bCs/>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bidi="ar"/>
              </w:rPr>
              <w:t xml:space="preserve">1</w:t>
            </w:r>
            <w:r>
              <w:rPr>
                <w:rFonts w:hint="eastAsia" w:ascii="宋体" w:hAnsi="宋体" w:eastAsia="宋体" w:cs="宋体"/>
                <w:b/>
                <w:bCs/>
                <w:color w:val="000000"/>
                <w:sz w:val="24"/>
                <w:highlight w:val="none"/>
                <w:lang w:bidi="ar"/>
              </w:rPr>
            </w:r>
            <w:r/>
          </w:p>
        </w:tc>
        <w:tc>
          <w:tcPr>
            <w:shd w:val="clear" w:color="auto" w:fill="ffffff"/>
            <w:tcW w:w="2937" w:type="dxa"/>
            <w:vAlign w:val="center"/>
            <w:textDirection w:val="lrTb"/>
            <w:noWrap w:val="false"/>
          </w:tcPr>
          <w:p>
            <w:pPr>
              <w:pStyle w:val="906"/>
              <w:jc w:val="left"/>
              <w:spacing w:line="85" w:lineRule="atLeast"/>
              <w:rPr>
                <w:rFonts w:ascii="宋体" w:hAnsi="宋体" w:eastAsia="宋体" w:cs="宋体"/>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bidi="ar"/>
              </w:rPr>
              <w:t xml:space="preserve">园林绿化垃圾进行无害化处理和资源化利用，资源化产品率不低于60%</w:t>
            </w:r>
            <w:r>
              <w:rPr>
                <w:rFonts w:ascii="宋体" w:hAnsi="宋体" w:eastAsia="宋体" w:cs="宋体"/>
                <w:color w:val="000000"/>
                <w:sz w:val="24"/>
                <w:highlight w:val="none"/>
                <w:lang w:bidi="ar"/>
              </w:rPr>
            </w:r>
            <w:r/>
          </w:p>
        </w:tc>
        <w:tc>
          <w:tcPr>
            <w:tcW w:w="1665" w:type="dxa"/>
            <w:vAlign w:val="center"/>
            <w:textDirection w:val="lrTb"/>
            <w:noWrap w:val="false"/>
          </w:tcPr>
          <w:p>
            <w:pPr>
              <w:pStyle w:val="906"/>
              <w:jc w:val="center"/>
              <w:spacing w:line="85" w:lineRule="atLeast"/>
              <w:rPr>
                <w:rFonts w:ascii="宋体" w:hAnsi="宋体" w:eastAsia="宋体" w:cs="Times New Roman"/>
                <w:b/>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lang w:bidi="ar"/>
              </w:rPr>
              <w:t xml:space="preserve">承诺函，格式</w:t>
            </w:r>
            <w:r>
              <w:rPr>
                <w:rFonts w:hint="eastAsia" w:ascii="宋体" w:hAnsi="宋体" w:eastAsia="宋体" w:cs="宋体"/>
                <w:b/>
                <w:bCs/>
                <w:color w:val="000000"/>
                <w:sz w:val="22"/>
                <w:szCs w:val="22"/>
                <w:highlight w:val="none"/>
                <w:lang w:bidi="ar"/>
              </w:rPr>
              <w:t xml:space="preserve">如下</w:t>
            </w:r>
            <w:r>
              <w:rPr>
                <w:rFonts w:ascii="宋体" w:hAnsi="宋体" w:eastAsia="宋体" w:cs="Times New Roman"/>
                <w:b/>
                <w:bCs/>
                <w:color w:val="000000"/>
                <w:sz w:val="22"/>
                <w:szCs w:val="22"/>
                <w:highlight w:val="none"/>
              </w:rPr>
            </w:r>
            <w:r/>
          </w:p>
        </w:tc>
      </w:tr>
      <w:tr>
        <w:trPr/>
        <w:tc>
          <w:tcPr>
            <w:tcW w:w="397" w:type="dxa"/>
            <w:vAlign w:val="center"/>
            <w:textDirection w:val="lrTb"/>
            <w:noWrap w:val="false"/>
          </w:tcPr>
          <w:p>
            <w:pPr>
              <w:pStyle w:val="906"/>
              <w:jc w:val="center"/>
              <w:spacing w:line="85" w:lineRule="atLeast"/>
              <w:rPr>
                <w:rFonts w:hint="eastAsia" w:ascii="宋体" w:hAnsi="宋体" w:eastAsia="宋体" w:cs="宋体"/>
                <w:b/>
                <w:bCs/>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bidi="ar"/>
              </w:rPr>
              <w:t xml:space="preserve">2</w:t>
            </w:r>
            <w:r>
              <w:rPr>
                <w:rFonts w:hint="eastAsia" w:ascii="宋体" w:hAnsi="宋体" w:eastAsia="宋体" w:cs="宋体"/>
                <w:b/>
                <w:bCs/>
                <w:color w:val="000000"/>
                <w:sz w:val="24"/>
                <w:highlight w:val="none"/>
                <w:lang w:bidi="ar"/>
              </w:rPr>
            </w:r>
            <w:r/>
          </w:p>
        </w:tc>
        <w:tc>
          <w:tcPr>
            <w:shd w:val="clear" w:color="auto" w:fill="ffffff"/>
            <w:tcW w:w="2937" w:type="dxa"/>
            <w:vAlign w:val="center"/>
            <w:textDirection w:val="lrTb"/>
            <w:noWrap w:val="false"/>
          </w:tcPr>
          <w:p>
            <w:pPr>
              <w:pStyle w:val="906"/>
              <w:jc w:val="left"/>
              <w:spacing w:line="85" w:lineRule="atLeast"/>
              <w:rPr>
                <w:rFonts w:ascii="宋体" w:hAnsi="宋体" w:eastAsia="宋体" w:cs="宋体"/>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bidi="ar"/>
              </w:rPr>
              <w:t xml:space="preserve">供应商按处理后生产的资源化产品50%的比例向采购人提供产品</w:t>
            </w:r>
            <w:r>
              <w:rPr>
                <w:rFonts w:ascii="宋体" w:hAnsi="宋体" w:eastAsia="宋体" w:cs="宋体"/>
                <w:color w:val="000000"/>
                <w:sz w:val="24"/>
                <w:highlight w:val="none"/>
                <w:lang w:bidi="ar"/>
              </w:rPr>
            </w:r>
            <w:r/>
          </w:p>
        </w:tc>
        <w:tc>
          <w:tcPr>
            <w:tcW w:w="1665" w:type="dxa"/>
            <w:vAlign w:val="center"/>
            <w:textDirection w:val="lrTb"/>
            <w:noWrap w:val="false"/>
          </w:tcPr>
          <w:p>
            <w:pPr>
              <w:pStyle w:val="906"/>
              <w:jc w:val="center"/>
              <w:spacing w:line="85" w:lineRule="atLeast"/>
              <w:rPr>
                <w:rFonts w:ascii="宋体" w:hAnsi="宋体" w:eastAsia="宋体" w:cs="宋体"/>
                <w:b/>
                <w:bCs/>
                <w:color w:val="000000"/>
                <w:sz w:val="22"/>
                <w:szCs w:val="22"/>
                <w:highlight w:val="none"/>
                <w:lang w:bidi="ar"/>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lang w:bidi="ar"/>
              </w:rPr>
              <w:t xml:space="preserve">承诺函，格式</w:t>
            </w:r>
            <w:r>
              <w:rPr>
                <w:rFonts w:hint="eastAsia" w:ascii="宋体" w:hAnsi="宋体" w:eastAsia="宋体" w:cs="宋体"/>
                <w:b/>
                <w:bCs/>
                <w:color w:val="000000"/>
                <w:sz w:val="22"/>
                <w:szCs w:val="22"/>
                <w:highlight w:val="none"/>
                <w:lang w:bidi="ar"/>
              </w:rPr>
              <w:t xml:space="preserve">如下</w:t>
            </w:r>
            <w:r>
              <w:rPr>
                <w:rFonts w:ascii="宋体" w:hAnsi="宋体" w:eastAsia="宋体" w:cs="宋体"/>
                <w:b/>
                <w:bCs/>
                <w:color w:val="000000"/>
                <w:sz w:val="22"/>
                <w:szCs w:val="22"/>
                <w:highlight w:val="none"/>
                <w:lang w:bidi="ar"/>
              </w:rPr>
            </w:r>
            <w:r/>
          </w:p>
        </w:tc>
      </w:tr>
    </w:tbl>
    <w:p>
      <w:pPr>
        <w:pStyle w:val="906"/>
        <w:jc w:val="left"/>
        <w:spacing w:line="440" w:lineRule="exact"/>
        <w:widowControl/>
        <w:rPr>
          <w:rFonts w:ascii="宋体" w:hAnsi="宋体" w:eastAsia="宋体" w:cs="宋体"/>
          <w:b/>
          <w:color w:val="000000"/>
          <w:highlight w:val="none"/>
          <w:u w:val="single"/>
        </w:rPr>
      </w:pPr>
      <w:r>
        <w:rPr>
          <w:rFonts w:hint="eastAsia" w:ascii="宋体" w:hAnsi="宋体" w:eastAsia="宋体" w:cs="宋体"/>
          <w:b/>
          <w:color w:val="000000"/>
          <w:highlight w:val="none"/>
          <w:u w:val="single"/>
        </w:rPr>
        <w:t xml:space="preserve">注：以上“</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highlight w:val="none"/>
          <w:u w:val="single"/>
        </w:rPr>
        <w:t xml:space="preserve">”为实质性要求，未提供视为未响应采购文件实质性要求，做无效投标处理。</w:t>
      </w:r>
      <w:r>
        <w:rPr>
          <w:rFonts w:ascii="宋体" w:hAnsi="宋体" w:eastAsia="宋体" w:cs="宋体"/>
          <w:b/>
          <w:color w:val="000000"/>
          <w:highlight w:val="none"/>
          <w:u w:val="single"/>
        </w:rPr>
      </w:r>
      <w:r/>
    </w:p>
    <w:p>
      <w:pPr>
        <w:pStyle w:val="906"/>
        <w:rPr>
          <w:rFonts w:ascii="宋体" w:hAnsi="宋体" w:eastAsia="宋体" w:cs="Times New Roman"/>
          <w:color w:val="000000"/>
          <w:highlight w:val="none"/>
        </w:rPr>
      </w:pPr>
      <w:r>
        <w:rPr>
          <w:rFonts w:ascii="宋体" w:hAnsi="宋体" w:eastAsia="宋体" w:cs="Times New Roman"/>
          <w:color w:val="000000"/>
          <w:highlight w:val="none"/>
        </w:rPr>
      </w:r>
      <w:r/>
    </w:p>
    <w:p>
      <w:pPr>
        <w:pStyle w:val="906"/>
        <w:jc w:val="center"/>
        <w:widowControl/>
        <w:rPr>
          <w:rFonts w:ascii="宋体" w:hAnsi="宋体" w:eastAsia="宋体" w:cs="宋体"/>
          <w:i/>
          <w:iCs/>
          <w:color w:val="000000"/>
          <w:sz w:val="24"/>
          <w:highlight w:val="none"/>
          <w:u w:val="single"/>
        </w:rPr>
      </w:pPr>
      <w:r>
        <w:rPr>
          <w:rFonts w:hint="eastAsia" w:ascii="宋体" w:hAnsi="宋体" w:eastAsia="宋体" w:cs="宋体"/>
          <w:b/>
          <w:bCs/>
          <w:i/>
          <w:iCs/>
          <w:color w:val="000000"/>
          <w:sz w:val="32"/>
          <w:szCs w:val="32"/>
          <w:highlight w:val="none"/>
          <w:u w:val="single"/>
        </w:rPr>
        <w:t xml:space="preserve">承诺函</w:t>
      </w:r>
      <w:r>
        <w:rPr>
          <w:rFonts w:ascii="宋体" w:hAnsi="宋体" w:eastAsia="宋体" w:cs="宋体"/>
          <w:i/>
          <w:iCs/>
          <w:color w:val="000000"/>
          <w:sz w:val="24"/>
          <w:highlight w:val="none"/>
          <w:u w:val="single"/>
        </w:rPr>
      </w:r>
      <w:r/>
    </w:p>
    <w:p>
      <w:pPr>
        <w:pStyle w:val="906"/>
        <w:rPr>
          <w:rFonts w:ascii="宋体" w:hAnsi="宋体" w:eastAsia="宋体" w:cs="Times New Roman"/>
          <w:color w:val="000000"/>
          <w:highlight w:val="none"/>
        </w:rPr>
      </w:pPr>
      <w:r>
        <w:rPr>
          <w:rFonts w:ascii="宋体" w:hAnsi="宋体" w:eastAsia="宋体" w:cs="Times New Roman"/>
          <w:color w:val="000000"/>
          <w:highlight w:val="none"/>
        </w:rPr>
      </w:r>
      <w:r/>
    </w:p>
    <w:p>
      <w:pPr>
        <w:pStyle w:val="90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我公司承诺：</w:t>
      </w:r>
      <w:r>
        <w:rPr>
          <w:rFonts w:ascii="宋体" w:hAnsi="宋体" w:eastAsia="宋体" w:cs="宋体"/>
          <w:color w:val="000000"/>
          <w:sz w:val="24"/>
          <w:highlight w:val="none"/>
        </w:rPr>
      </w:r>
      <w:r/>
    </w:p>
    <w:p>
      <w:pPr>
        <w:pStyle w:val="90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1、对服务范围内的园林绿化垃圾进行无害化处理和资源化利用，资源化产品率不低于60%；</w:t>
      </w:r>
      <w:r>
        <w:rPr>
          <w:rFonts w:hint="eastAsia" w:ascii="宋体" w:hAnsi="宋体" w:eastAsia="宋体" w:cs="宋体"/>
          <w:color w:val="000000"/>
          <w:sz w:val="24"/>
          <w:highlight w:val="none"/>
        </w:rPr>
      </w:r>
      <w:r/>
    </w:p>
    <w:p>
      <w:pPr>
        <w:pStyle w:val="90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2、按处理后生产的资源化产品50%的比例向采购人提供产品。其费用包含在投标报价中；</w:t>
      </w:r>
      <w:r>
        <w:rPr>
          <w:rFonts w:hint="eastAsia" w:ascii="宋体" w:hAnsi="宋体" w:eastAsia="宋体" w:cs="宋体"/>
          <w:color w:val="000000"/>
          <w:sz w:val="24"/>
          <w:highlight w:val="none"/>
        </w:rPr>
      </w:r>
      <w:r/>
    </w:p>
    <w:p>
      <w:pPr>
        <w:pStyle w:val="906"/>
        <w:ind w:right="22" w:firstLine="4962"/>
        <w:jc w:val="left"/>
        <w:spacing w:line="588" w:lineRule="exact"/>
        <w:tabs>
          <w:tab w:val="left" w:pos="4860"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供应商全称（加盖CA电子公章）：</w:t>
      </w:r>
      <w:r>
        <w:rPr>
          <w:rFonts w:ascii="宋体" w:hAnsi="宋体" w:eastAsia="宋体" w:cs="Times New Roman"/>
          <w:color w:val="000000"/>
          <w:sz w:val="24"/>
          <w:highlight w:val="none"/>
        </w:rPr>
      </w:r>
      <w:r/>
    </w:p>
    <w:p>
      <w:pPr>
        <w:pStyle w:val="906"/>
        <w:ind w:right="1560" w:firstLine="4962"/>
        <w:jc w:val="left"/>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日  期：</w:t>
      </w:r>
      <w:r>
        <w:rPr>
          <w:rFonts w:hint="eastAsia" w:ascii="宋体" w:hAnsi="宋体" w:eastAsia="宋体" w:cs="宋体"/>
          <w:color w:val="000000"/>
          <w:sz w:val="24"/>
          <w:highlight w:val="none"/>
        </w:rPr>
      </w:r>
      <w:r/>
    </w:p>
    <w:p>
      <w:pPr>
        <w:pStyle w:val="906"/>
        <w:jc w:val="center"/>
        <w:spacing w:line="360" w:lineRule="auto"/>
        <w:rPr>
          <w:b/>
          <w:color w:val="000000"/>
          <w:sz w:val="36"/>
          <w:szCs w:val="36"/>
          <w:highlight w:val="none"/>
        </w:rPr>
        <w:outlineLvl w:val="0"/>
      </w:pPr>
      <w:r>
        <w:rPr>
          <w:b/>
          <w:color w:val="000000"/>
          <w:sz w:val="36"/>
          <w:szCs w:val="36"/>
          <w:highlight w:val="none"/>
        </w:rPr>
        <w:br w:type="page" w:clear="all"/>
      </w:r>
      <w:bookmarkStart w:id="788" w:name="_Toc4339"/>
      <w:r>
        <w:rPr>
          <w:b/>
          <w:color w:val="000000"/>
          <w:sz w:val="36"/>
          <w:szCs w:val="36"/>
          <w:highlight w:val="none"/>
        </w:rPr>
        <w:t xml:space="preserve">第六章   拟签订的合同文本</w:t>
      </w:r>
      <w:bookmarkEnd w:id="788"/>
      <w:r>
        <w:rPr>
          <w:b/>
          <w:color w:val="000000"/>
          <w:sz w:val="36"/>
          <w:szCs w:val="36"/>
          <w:highlight w:val="none"/>
        </w:rPr>
      </w:r>
      <w:r/>
    </w:p>
    <w:p>
      <w:pPr>
        <w:pStyle w:val="90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以下为中标后签定本项目合同的条款，中标人不得提出实质性的修改。</w:t>
      </w:r>
      <w:r>
        <w:rPr>
          <w:rFonts w:ascii="宋体" w:hAnsi="宋体"/>
          <w:bCs/>
          <w:color w:val="000000"/>
          <w:sz w:val="24"/>
          <w:highlight w:val="none"/>
        </w:rPr>
      </w:r>
      <w:r/>
    </w:p>
    <w:p>
      <w:pPr>
        <w:pStyle w:val="906"/>
        <w:jc w:val="center"/>
        <w:spacing w:line="480" w:lineRule="auto"/>
        <w:rPr>
          <w:rFonts w:hint="eastAsia" w:ascii="黑体" w:hAnsi="黑体" w:eastAsia="黑体" w:cs="Times New Roman"/>
          <w:color w:val="000000"/>
          <w:sz w:val="44"/>
          <w:szCs w:val="48"/>
          <w:highlight w:val="none"/>
          <w:lang w:eastAsia="zh-CN"/>
        </w:rPr>
      </w:pPr>
      <w:r/>
      <w:bookmarkStart w:id="789" w:name="_Toc481082224"/>
      <w:r/>
      <w:bookmarkStart w:id="790" w:name="_Toc481257152"/>
      <w:r/>
      <w:bookmarkStart w:id="791" w:name="_Toc481082095"/>
      <w:r>
        <w:rPr>
          <w:rFonts w:hint="eastAsia" w:ascii="黑体" w:hAnsi="黑体" w:eastAsia="黑体" w:cs="Times New Roman"/>
          <w:color w:val="000000"/>
          <w:sz w:val="44"/>
          <w:szCs w:val="48"/>
          <w:highlight w:val="none"/>
          <w:lang w:eastAsia="zh-CN"/>
        </w:rPr>
      </w:r>
      <w:r/>
    </w:p>
    <w:p>
      <w:pPr>
        <w:pStyle w:val="906"/>
        <w:jc w:val="center"/>
        <w:spacing w:line="480" w:lineRule="auto"/>
        <w:rPr>
          <w:rFonts w:hint="eastAsia" w:ascii="黑体" w:hAnsi="黑体" w:eastAsia="黑体" w:cs="Times New Roman"/>
          <w:color w:val="000000"/>
          <w:sz w:val="36"/>
          <w:szCs w:val="36"/>
          <w:highlight w:val="none"/>
          <w:lang w:eastAsia="zh-CN"/>
        </w:rPr>
      </w:pPr>
      <w:r/>
      <w:bookmarkEnd w:id="789"/>
      <w:r/>
      <w:bookmarkEnd w:id="790"/>
      <w:r/>
      <w:bookmarkEnd w:id="791"/>
      <w:r>
        <w:rPr>
          <w:rFonts w:hint="eastAsia" w:ascii="黑体" w:hAnsi="黑体" w:eastAsia="黑体" w:cs="Times New Roman"/>
          <w:color w:val="000000"/>
          <w:sz w:val="36"/>
          <w:szCs w:val="36"/>
          <w:highlight w:val="none"/>
          <w:lang w:eastAsia="zh-CN"/>
        </w:rPr>
        <w:t xml:space="preserve">2026-2028年新北区园林绿化垃圾收运及资源化利用服务项目</w:t>
      </w:r>
      <w:r>
        <w:rPr>
          <w:rFonts w:hint="eastAsia" w:ascii="黑体" w:hAnsi="黑体" w:eastAsia="黑体" w:cs="Times New Roman"/>
          <w:color w:val="000000"/>
          <w:sz w:val="36"/>
          <w:szCs w:val="36"/>
          <w:highlight w:val="none"/>
          <w:lang w:eastAsia="zh-CN"/>
        </w:rPr>
      </w:r>
      <w:r/>
    </w:p>
    <w:p>
      <w:pPr>
        <w:pStyle w:val="906"/>
        <w:jc w:val="center"/>
        <w:spacing w:line="360" w:lineRule="auto"/>
        <w:rPr>
          <w:rFonts w:ascii="黑体" w:hAnsi="黑体" w:eastAsia="黑体" w:cs="Times New Roman"/>
          <w:color w:val="000000"/>
          <w:sz w:val="48"/>
          <w:szCs w:val="52"/>
          <w:highlight w:val="none"/>
        </w:rPr>
      </w:pPr>
      <w:r>
        <w:rPr>
          <w:rFonts w:ascii="黑体" w:hAnsi="黑体" w:eastAsia="黑体" w:cs="Times New Roman"/>
          <w:color w:val="000000"/>
          <w:sz w:val="48"/>
          <w:szCs w:val="52"/>
          <w:highlight w:val="none"/>
        </w:rPr>
      </w:r>
      <w:r/>
    </w:p>
    <w:p>
      <w:pPr>
        <w:pStyle w:val="906"/>
        <w:jc w:val="center"/>
        <w:spacing w:line="360" w:lineRule="auto"/>
        <w:rPr>
          <w:rFonts w:ascii="黑体" w:hAnsi="黑体" w:eastAsia="黑体" w:cs="Times New Roman"/>
          <w:color w:val="000000"/>
          <w:sz w:val="48"/>
          <w:szCs w:val="52"/>
          <w:highlight w:val="none"/>
        </w:rPr>
      </w:pPr>
      <w:r>
        <w:rPr>
          <w:rFonts w:ascii="黑体" w:hAnsi="黑体" w:eastAsia="黑体" w:cs="Times New Roman"/>
          <w:color w:val="000000"/>
          <w:sz w:val="48"/>
          <w:szCs w:val="52"/>
          <w:highlight w:val="none"/>
        </w:rPr>
      </w:r>
      <w:r/>
    </w:p>
    <w:p>
      <w:pPr>
        <w:pStyle w:val="906"/>
        <w:jc w:val="center"/>
        <w:spacing w:line="360" w:lineRule="auto"/>
        <w:rPr>
          <w:rFonts w:hint="eastAsia" w:ascii="黑体" w:hAnsi="黑体" w:eastAsia="黑体" w:cs="Times New Roman"/>
          <w:color w:val="000000"/>
          <w:sz w:val="72"/>
          <w:szCs w:val="96"/>
          <w:highlight w:val="none"/>
        </w:rPr>
      </w:pPr>
      <w:r>
        <w:rPr>
          <w:rFonts w:hint="eastAsia" w:ascii="黑体" w:hAnsi="黑体" w:eastAsia="黑体" w:cs="Times New Roman"/>
          <w:color w:val="000000"/>
          <w:sz w:val="72"/>
          <w:szCs w:val="96"/>
          <w:highlight w:val="none"/>
        </w:rPr>
        <w:t xml:space="preserve">采购合同</w:t>
      </w:r>
      <w:r>
        <w:rPr>
          <w:rFonts w:hint="eastAsia" w:ascii="黑体" w:hAnsi="黑体" w:eastAsia="黑体" w:cs="Times New Roman"/>
          <w:color w:val="000000"/>
          <w:sz w:val="72"/>
          <w:szCs w:val="96"/>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jc w:val="center"/>
        <w:spacing w:line="360" w:lineRule="auto"/>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 】年【 】月【 】日</w:t>
      </w:r>
      <w:r>
        <w:rPr>
          <w:rFonts w:ascii="黑体" w:hAnsi="黑体" w:eastAsia="黑体" w:cs="黑体"/>
          <w:color w:val="000000"/>
          <w:sz w:val="32"/>
          <w:szCs w:val="32"/>
          <w:highlight w:val="none"/>
        </w:rPr>
      </w:r>
      <w:r/>
    </w:p>
    <w:p>
      <w:pPr>
        <w:pStyle w:val="906"/>
        <w:jc w:val="center"/>
        <w:spacing w:line="360" w:lineRule="auto"/>
        <w:rPr>
          <w:rFonts w:ascii="Calibri" w:hAnsi="Calibri" w:eastAsia="仿宋" w:cs="Times New Roman"/>
          <w:b/>
          <w:color w:val="000000"/>
          <w:sz w:val="28"/>
          <w:szCs w:val="28"/>
          <w:highlight w:val="none"/>
        </w:rPr>
      </w:pPr>
      <w:r>
        <w:rPr>
          <w:rFonts w:ascii="Calibri" w:hAnsi="Calibri" w:eastAsia="仿宋" w:cs="Times New Roman"/>
          <w:color w:val="000000"/>
          <w:sz w:val="28"/>
          <w:szCs w:val="28"/>
          <w:highlight w:val="none"/>
        </w:rPr>
        <w:br w:type="page" w:clear="all"/>
      </w:r>
      <w:r>
        <w:rPr>
          <w:rFonts w:hint="eastAsia" w:ascii="Calibri" w:hAnsi="Calibri" w:eastAsia="仿宋" w:cs="Times New Roman"/>
          <w:b/>
          <w:color w:val="000000"/>
          <w:sz w:val="28"/>
          <w:szCs w:val="28"/>
          <w:highlight w:val="none"/>
        </w:rPr>
        <w:t xml:space="preserve">本合同</w:t>
      </w:r>
      <w:r>
        <w:rPr>
          <w:rFonts w:ascii="Calibri" w:hAnsi="Calibri" w:eastAsia="仿宋" w:cs="Times New Roman"/>
          <w:b/>
          <w:color w:val="000000"/>
          <w:sz w:val="28"/>
          <w:szCs w:val="28"/>
          <w:highlight w:val="none"/>
        </w:rPr>
        <w:t xml:space="preserve">由以下双方于</w:t>
      </w:r>
      <w:r>
        <w:rPr>
          <w:rFonts w:ascii="Calibri" w:hAnsi="Calibri" w:eastAsia="仿宋" w:cs="Times New Roman"/>
          <w:b/>
          <w:color w:val="000000"/>
          <w:sz w:val="28"/>
          <w:szCs w:val="28"/>
          <w:highlight w:val="none"/>
          <w:u w:val="single"/>
        </w:rPr>
        <w:t xml:space="preserve">     </w:t>
      </w:r>
      <w:r>
        <w:rPr>
          <w:rFonts w:ascii="Calibri" w:hAnsi="Calibri" w:eastAsia="仿宋" w:cs="Times New Roman"/>
          <w:b/>
          <w:color w:val="000000"/>
          <w:sz w:val="28"/>
          <w:szCs w:val="28"/>
          <w:highlight w:val="none"/>
        </w:rPr>
        <w:t xml:space="preserve">年</w:t>
      </w:r>
      <w:r>
        <w:rPr>
          <w:rFonts w:ascii="Calibri" w:hAnsi="Calibri" w:eastAsia="仿宋" w:cs="Times New Roman"/>
          <w:b/>
          <w:color w:val="000000"/>
          <w:sz w:val="28"/>
          <w:szCs w:val="28"/>
          <w:highlight w:val="none"/>
          <w:u w:val="single"/>
        </w:rPr>
        <w:t xml:space="preserve">     </w:t>
      </w:r>
      <w:r>
        <w:rPr>
          <w:rFonts w:ascii="Calibri" w:hAnsi="Calibri" w:eastAsia="仿宋" w:cs="Times New Roman"/>
          <w:b/>
          <w:color w:val="000000"/>
          <w:sz w:val="28"/>
          <w:szCs w:val="28"/>
          <w:highlight w:val="none"/>
        </w:rPr>
        <w:t xml:space="preserve">月</w:t>
      </w:r>
      <w:r>
        <w:rPr>
          <w:rFonts w:ascii="Calibri" w:hAnsi="Calibri" w:eastAsia="仿宋" w:cs="Times New Roman"/>
          <w:b/>
          <w:color w:val="000000"/>
          <w:sz w:val="28"/>
          <w:szCs w:val="28"/>
          <w:highlight w:val="none"/>
          <w:u w:val="single"/>
        </w:rPr>
        <w:t xml:space="preserve">     </w:t>
      </w:r>
      <w:r>
        <w:rPr>
          <w:rFonts w:ascii="Calibri" w:hAnsi="Calibri" w:eastAsia="仿宋" w:cs="Times New Roman"/>
          <w:b/>
          <w:color w:val="000000"/>
          <w:sz w:val="28"/>
          <w:szCs w:val="28"/>
          <w:highlight w:val="none"/>
        </w:rPr>
        <w:t xml:space="preserve">日在</w:t>
      </w:r>
      <w:r>
        <w:rPr>
          <w:rFonts w:hint="eastAsia" w:ascii="Calibri" w:hAnsi="Calibri" w:eastAsia="仿宋" w:cs="Times New Roman"/>
          <w:b/>
          <w:color w:val="000000"/>
          <w:sz w:val="28"/>
          <w:szCs w:val="28"/>
          <w:highlight w:val="none"/>
          <w:u w:val="single"/>
        </w:rPr>
        <w:t xml:space="preserve">常州市新北区</w:t>
      </w:r>
      <w:r>
        <w:rPr>
          <w:rFonts w:ascii="Calibri" w:hAnsi="Calibri" w:eastAsia="仿宋" w:cs="Times New Roman"/>
          <w:b/>
          <w:color w:val="000000"/>
          <w:sz w:val="28"/>
          <w:szCs w:val="28"/>
          <w:highlight w:val="none"/>
        </w:rPr>
        <w:t xml:space="preserve">签署：</w:t>
      </w:r>
      <w:r>
        <w:rPr>
          <w:rFonts w:ascii="Calibri" w:hAnsi="Calibri" w:eastAsia="仿宋" w:cs="Times New Roman"/>
          <w:b/>
          <w:color w:val="000000"/>
          <w:sz w:val="28"/>
          <w:szCs w:val="28"/>
          <w:highlight w:val="none"/>
        </w:rPr>
      </w:r>
      <w:r/>
    </w:p>
    <w:p>
      <w:pPr>
        <w:pStyle w:val="906"/>
        <w:ind w:firstLine="562"/>
        <w:spacing w:before="120" w:line="360" w:lineRule="auto"/>
        <w:rPr>
          <w:rFonts w:ascii="Times New Roman" w:hAnsi="Times New Roman" w:eastAsia="仿宋" w:cs="Times New Roman"/>
          <w:b/>
          <w:color w:val="000000"/>
          <w:sz w:val="28"/>
          <w:szCs w:val="28"/>
          <w:highlight w:val="none"/>
        </w:rPr>
      </w:pPr>
      <w:r>
        <w:rPr>
          <w:rFonts w:ascii="Calibri" w:hAnsi="Calibri" w:eastAsia="仿宋" w:cs="Times New Roman"/>
          <w:b/>
          <w:color w:val="000000"/>
          <w:sz w:val="28"/>
          <w:szCs w:val="28"/>
          <w:highlight w:val="none"/>
        </w:rPr>
        <w:t xml:space="preserve">甲方</w:t>
      </w:r>
      <w:r>
        <w:rPr>
          <w:rFonts w:ascii="Times New Roman" w:hAnsi="Times New Roman" w:eastAsia="仿宋" w:cs="Times New Roman"/>
          <w:b/>
          <w:color w:val="000000"/>
          <w:sz w:val="28"/>
          <w:szCs w:val="28"/>
          <w:highlight w:val="none"/>
        </w:rPr>
        <w:t xml:space="preserve">：</w:t>
      </w:r>
      <w:r>
        <w:rPr>
          <w:rFonts w:hint="eastAsia" w:ascii="Times New Roman" w:hAnsi="Times New Roman" w:eastAsia="仿宋" w:cs="Times New Roman"/>
          <w:b/>
          <w:color w:val="000000"/>
          <w:sz w:val="28"/>
          <w:szCs w:val="28"/>
          <w:highlight w:val="none"/>
        </w:rPr>
        <w:t xml:space="preserve">常州市新北区市政绿化管理所</w:t>
      </w:r>
      <w:r>
        <w:rPr>
          <w:rFonts w:ascii="Times New Roman" w:hAnsi="Times New Roman" w:eastAsia="仿宋" w:cs="Times New Roman"/>
          <w:b/>
          <w:color w:val="000000"/>
          <w:sz w:val="28"/>
          <w:szCs w:val="28"/>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地址：</w:t>
      </w:r>
      <w:r>
        <w:rPr>
          <w:rFonts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负责人：</w:t>
      </w:r>
      <w:r>
        <w:rPr>
          <w:rFonts w:ascii="Calibri" w:hAnsi="Calibri" w:eastAsia="仿宋" w:cs="Times New Roman"/>
          <w:bCs/>
          <w:color w:val="000000"/>
          <w:sz w:val="28"/>
          <w:szCs w:val="28"/>
          <w:highlight w:val="none"/>
        </w:rPr>
      </w:r>
      <w:r/>
    </w:p>
    <w:p>
      <w:pPr>
        <w:pStyle w:val="906"/>
        <w:ind w:right="-1701" w:firstLine="562"/>
        <w:spacing w:line="360" w:lineRule="auto"/>
        <w:rPr>
          <w:rFonts w:ascii="Calibri" w:hAnsi="Calibri" w:eastAsia="仿宋" w:cs="Times New Roman"/>
          <w:b/>
          <w:color w:val="000000"/>
          <w:sz w:val="28"/>
          <w:szCs w:val="28"/>
          <w:highlight w:val="none"/>
          <w:u w:val="single"/>
        </w:rPr>
      </w:pPr>
      <w:r>
        <w:rPr>
          <w:rFonts w:ascii="Calibri" w:hAnsi="Calibri" w:eastAsia="仿宋" w:cs="Times New Roman"/>
          <w:b/>
          <w:color w:val="000000"/>
          <w:sz w:val="28"/>
          <w:szCs w:val="28"/>
          <w:highlight w:val="none"/>
          <w:u w:val="single"/>
        </w:rPr>
      </w:r>
      <w:r/>
    </w:p>
    <w:p>
      <w:pPr>
        <w:pStyle w:val="906"/>
        <w:ind w:firstLine="562"/>
        <w:spacing w:line="360" w:lineRule="auto"/>
        <w:rPr>
          <w:rFonts w:ascii="Calibri" w:hAnsi="Calibri" w:eastAsia="仿宋" w:cs="Times New Roman"/>
          <w:b/>
          <w:color w:val="000000"/>
          <w:sz w:val="28"/>
          <w:szCs w:val="28"/>
          <w:highlight w:val="none"/>
        </w:rPr>
      </w:pPr>
      <w:r>
        <w:rPr>
          <w:rFonts w:ascii="Calibri" w:hAnsi="Calibri" w:eastAsia="仿宋" w:cs="Times New Roman"/>
          <w:b/>
          <w:color w:val="000000"/>
          <w:sz w:val="28"/>
          <w:szCs w:val="28"/>
          <w:highlight w:val="none"/>
        </w:rPr>
        <w:t xml:space="preserve">乙方：</w:t>
      </w:r>
      <w:r>
        <w:rPr>
          <w:rFonts w:ascii="Calibri" w:hAnsi="Calibri" w:eastAsia="仿宋" w:cs="Times New Roman"/>
          <w:b/>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住所：</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法定代表人：</w:t>
      </w:r>
      <w:r>
        <w:rPr>
          <w:rFonts w:ascii="Calibri" w:hAnsi="Calibri" w:eastAsia="仿宋" w:cs="Times New Roman"/>
          <w:color w:val="000000"/>
          <w:sz w:val="28"/>
          <w:szCs w:val="28"/>
          <w:highlight w:val="none"/>
        </w:rPr>
      </w:r>
      <w:r/>
    </w:p>
    <w:p>
      <w:pPr>
        <w:pStyle w:val="906"/>
        <w:ind w:firstLine="482"/>
        <w:spacing w:line="440" w:lineRule="exact"/>
        <w:rPr>
          <w:rFonts w:ascii="Calibri" w:hAnsi="Calibri" w:eastAsia="仿宋" w:cs="Times New Roman"/>
          <w:b/>
          <w:color w:val="000000"/>
          <w:sz w:val="24"/>
          <w:szCs w:val="28"/>
          <w:highlight w:val="none"/>
        </w:rPr>
      </w:pPr>
      <w:r>
        <w:rPr>
          <w:rFonts w:ascii="Calibri" w:hAnsi="Calibri" w:eastAsia="仿宋" w:cs="Times New Roman"/>
          <w:b/>
          <w:color w:val="000000"/>
          <w:sz w:val="24"/>
          <w:szCs w:val="28"/>
          <w:highlight w:val="none"/>
        </w:rPr>
      </w:r>
      <w:r/>
    </w:p>
    <w:p>
      <w:pPr>
        <w:pStyle w:val="906"/>
        <w:ind w:firstLine="562"/>
        <w:spacing w:line="360" w:lineRule="auto"/>
        <w:rPr>
          <w:rFonts w:ascii="Calibri" w:hAnsi="Calibri" w:eastAsia="仿宋" w:cs="Times New Roman"/>
          <w:b/>
          <w:bCs/>
          <w:color w:val="000000"/>
          <w:sz w:val="28"/>
          <w:szCs w:val="28"/>
          <w:highlight w:val="none"/>
        </w:rPr>
      </w:pPr>
      <w:r>
        <w:rPr>
          <w:rFonts w:ascii="Calibri" w:hAnsi="Calibri" w:eastAsia="仿宋" w:cs="Times New Roman"/>
          <w:b/>
          <w:bCs/>
          <w:color w:val="000000"/>
          <w:sz w:val="28"/>
          <w:szCs w:val="28"/>
          <w:highlight w:val="none"/>
        </w:rPr>
        <w:t xml:space="preserve">鉴于：</w:t>
      </w:r>
      <w:r>
        <w:rPr>
          <w:rFonts w:ascii="Calibri" w:hAnsi="Calibri" w:eastAsia="仿宋" w:cs="Times New Roman"/>
          <w:b/>
          <w:bCs/>
          <w:color w:val="000000"/>
          <w:sz w:val="28"/>
          <w:szCs w:val="28"/>
          <w:highlight w:val="none"/>
        </w:rPr>
      </w:r>
      <w:r/>
    </w:p>
    <w:p>
      <w:pPr>
        <w:pStyle w:val="906"/>
        <w:ind w:firstLine="560"/>
        <w:spacing w:line="360" w:lineRule="auto"/>
        <w:rPr>
          <w:rFonts w:hint="eastAsia"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为</w:t>
      </w:r>
      <w:r>
        <w:rPr>
          <w:rFonts w:hint="eastAsia" w:ascii="仿宋" w:hAnsi="仿宋" w:eastAsia="仿宋" w:cs="Times New Roman"/>
          <w:color w:val="000000"/>
          <w:sz w:val="28"/>
          <w:szCs w:val="28"/>
          <w:highlight w:val="none"/>
        </w:rPr>
        <w:t xml:space="preserve">将园林绿化垃圾进行无害化处理和资源化利用</w:t>
      </w:r>
      <w:r>
        <w:rPr>
          <w:rFonts w:ascii="Calibri" w:hAnsi="Calibri" w:eastAsia="仿宋" w:cs="Times New Roman"/>
          <w:bCs/>
          <w:color w:val="000000"/>
          <w:sz w:val="28"/>
          <w:szCs w:val="28"/>
          <w:highlight w:val="none"/>
        </w:rPr>
        <w:t xml:space="preserve">，</w:t>
      </w:r>
      <w:r>
        <w:rPr>
          <w:rFonts w:hint="eastAsia" w:ascii="Calibri" w:hAnsi="Calibri" w:eastAsia="仿宋" w:cs="Times New Roman"/>
          <w:bCs/>
          <w:color w:val="000000"/>
          <w:sz w:val="28"/>
          <w:szCs w:val="28"/>
          <w:highlight w:val="none"/>
        </w:rPr>
        <w:t xml:space="preserve">甲方于</w:t>
      </w:r>
      <w:r>
        <w:rPr>
          <w:rFonts w:hint="eastAsia" w:ascii="Calibri" w:hAnsi="Calibri" w:eastAsia="仿宋" w:cs="Times New Roman"/>
          <w:bCs/>
          <w:color w:val="000000"/>
          <w:sz w:val="28"/>
          <w:szCs w:val="28"/>
          <w:highlight w:val="none"/>
        </w:rPr>
        <w:t xml:space="preserve">【】</w:t>
      </w:r>
      <w:r>
        <w:rPr>
          <w:rFonts w:hint="eastAsia" w:ascii="Calibri" w:hAnsi="Calibri" w:eastAsia="仿宋" w:cs="Times New Roman"/>
          <w:bCs/>
          <w:color w:val="000000"/>
          <w:sz w:val="28"/>
          <w:szCs w:val="28"/>
          <w:highlight w:val="none"/>
        </w:rPr>
        <w:t xml:space="preserve">年【】月【】日通过公开招标方式选择乙方作为供应商负责提</w:t>
      </w:r>
      <w:r>
        <w:rPr>
          <w:rFonts w:hint="eastAsia" w:ascii="Times New Roman" w:hAnsi="Times New Roman" w:eastAsia="仿宋" w:cs="Times New Roman"/>
          <w:bCs/>
          <w:color w:val="000000"/>
          <w:sz w:val="28"/>
          <w:szCs w:val="28"/>
          <w:highlight w:val="none"/>
        </w:rPr>
        <w:t xml:space="preserve">供</w:t>
      </w:r>
      <w:r>
        <w:rPr>
          <w:rFonts w:hint="eastAsia" w:ascii="Times New Roman" w:hAnsi="Times New Roman" w:eastAsia="仿宋" w:cs="Times New Roman"/>
          <w:b/>
          <w:color w:val="000000"/>
          <w:sz w:val="28"/>
          <w:szCs w:val="28"/>
          <w:highlight w:val="none"/>
          <w:lang w:eastAsia="zh-CN"/>
        </w:rPr>
        <w:t xml:space="preserve">2026-2028年新北区园林绿化垃圾收运及资源化利用服务项目</w:t>
      </w:r>
      <w:r>
        <w:rPr>
          <w:rFonts w:hint="eastAsia" w:ascii="Times New Roman" w:hAnsi="Times New Roman" w:eastAsia="仿宋" w:cs="Times New Roman"/>
          <w:bCs/>
          <w:color w:val="000000"/>
          <w:sz w:val="28"/>
          <w:szCs w:val="28"/>
          <w:highlight w:val="none"/>
        </w:rPr>
        <w:t xml:space="preserve">（下称“本项目”）服务</w:t>
      </w:r>
      <w:r>
        <w:rPr>
          <w:rFonts w:hint="eastAsia" w:ascii="Calibri" w:hAnsi="Calibri" w:eastAsia="仿宋" w:cs="Times New Roman"/>
          <w:bCs/>
          <w:color w:val="000000"/>
          <w:sz w:val="28"/>
          <w:szCs w:val="28"/>
          <w:highlight w:val="none"/>
        </w:rPr>
        <w:t xml:space="preserve">。</w:t>
      </w:r>
      <w:r>
        <w:rPr>
          <w:rFonts w:hint="eastAsia" w:ascii="Calibri" w:hAnsi="Calibri" w:eastAsia="仿宋" w:cs="Times New Roman"/>
          <w:bCs/>
          <w:color w:val="000000"/>
          <w:sz w:val="28"/>
          <w:szCs w:val="28"/>
          <w:highlight w:val="none"/>
        </w:rPr>
      </w:r>
      <w:r/>
    </w:p>
    <w:p>
      <w:pPr>
        <w:pStyle w:val="906"/>
        <w:ind w:firstLine="560"/>
        <w:spacing w:line="360" w:lineRule="auto"/>
        <w:rPr>
          <w:rFonts w:hint="eastAsia" w:ascii="Calibri" w:hAnsi="Calibri" w:eastAsia="仿宋" w:cs="Times New Roman"/>
          <w:bCs/>
          <w:color w:val="000000"/>
          <w:sz w:val="28"/>
          <w:szCs w:val="28"/>
          <w:highlight w:val="none"/>
        </w:rPr>
      </w:pPr>
      <w:r>
        <w:rPr>
          <w:rFonts w:hint="eastAsia" w:ascii="Calibri" w:hAnsi="Calibri" w:eastAsia="仿宋" w:cs="Times New Roman"/>
          <w:bCs/>
          <w:color w:val="000000"/>
          <w:sz w:val="28"/>
          <w:szCs w:val="28"/>
          <w:highlight w:val="none"/>
        </w:rPr>
        <w:t xml:space="preserve">合同价格为</w:t>
      </w:r>
      <w:r>
        <w:rPr>
          <w:rFonts w:hint="eastAsia" w:ascii="方正仿宋_GB2312" w:hAnsi="方正仿宋_GB2312" w:eastAsia="方正仿宋_GB2312" w:cs="方正仿宋_GB2312"/>
          <w:bCs/>
          <w:color w:val="000000"/>
          <w:sz w:val="28"/>
          <w:szCs w:val="28"/>
          <w:highlight w:val="none"/>
        </w:rPr>
        <w:t xml:space="preserve">：</w:t>
      </w:r>
      <w:r>
        <w:rPr>
          <w:rFonts w:hint="eastAsia" w:ascii="方正仿宋_GB2312" w:hAnsi="方正仿宋_GB2312" w:eastAsia="方正仿宋_GB2312" w:cs="方正仿宋_GB2312"/>
          <w:bCs/>
          <w:color w:val="000000"/>
          <w:sz w:val="28"/>
          <w:szCs w:val="28"/>
          <w:highlight w:val="none"/>
          <w:lang w:val="en-US" w:eastAsia="zh-CN"/>
        </w:rPr>
        <w:t xml:space="preserve">       </w:t>
      </w:r>
      <w:r>
        <w:rPr>
          <w:rFonts w:hint="eastAsia" w:ascii="Calibri" w:hAnsi="Calibri" w:eastAsia="仿宋" w:cs="Times New Roman"/>
          <w:bCs/>
          <w:color w:val="000000"/>
          <w:sz w:val="28"/>
          <w:szCs w:val="28"/>
          <w:highlight w:val="none"/>
        </w:rPr>
        <w:t xml:space="preserve">。</w:t>
      </w:r>
      <w:r>
        <w:rPr>
          <w:rFonts w:hint="eastAsia"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依照</w:t>
      </w:r>
      <w:r>
        <w:rPr>
          <w:rFonts w:hint="eastAsia" w:ascii="Calibri" w:hAnsi="Calibri" w:eastAsia="仿宋" w:cs="Times New Roman"/>
          <w:color w:val="000000"/>
          <w:sz w:val="28"/>
          <w:szCs w:val="28"/>
          <w:highlight w:val="none"/>
        </w:rPr>
        <w:t xml:space="preserve">《中华人民共和国政府采购法》</w:t>
      </w:r>
      <w:r>
        <w:rPr>
          <w:rFonts w:ascii="Calibri" w:hAnsi="Calibri" w:eastAsia="仿宋" w:cs="Times New Roman"/>
          <w:color w:val="000000"/>
          <w:sz w:val="28"/>
          <w:szCs w:val="28"/>
          <w:highlight w:val="none"/>
        </w:rPr>
        <w:t xml:space="preserve">《中华人民共和国</w:t>
      </w:r>
      <w:r>
        <w:rPr>
          <w:rFonts w:hint="eastAsia" w:ascii="Calibri" w:hAnsi="Calibri" w:eastAsia="仿宋" w:cs="Times New Roman"/>
          <w:color w:val="000000"/>
          <w:sz w:val="28"/>
          <w:szCs w:val="28"/>
          <w:highlight w:val="none"/>
        </w:rPr>
        <w:t xml:space="preserve">民法典</w:t>
      </w:r>
      <w:r>
        <w:rPr>
          <w:rFonts w:ascii="Calibri" w:hAnsi="Calibri" w:eastAsia="仿宋" w:cs="Times New Roman"/>
          <w:color w:val="000000"/>
          <w:sz w:val="28"/>
          <w:szCs w:val="28"/>
          <w:highlight w:val="none"/>
        </w:rPr>
        <w:t xml:space="preserve">》及其他有关法律、行政法规约定，遵循平等、自愿、公平和诚实信用的原则，就</w:t>
      </w:r>
      <w:r>
        <w:rPr>
          <w:rFonts w:hint="eastAsia" w:ascii="Calibri" w:hAnsi="Calibri" w:eastAsia="仿宋" w:cs="Times New Roman"/>
          <w:color w:val="000000"/>
          <w:sz w:val="28"/>
          <w:szCs w:val="28"/>
          <w:highlight w:val="none"/>
        </w:rPr>
        <w:t xml:space="preserve">本项目</w:t>
      </w:r>
      <w:r>
        <w:rPr>
          <w:rFonts w:ascii="Calibri" w:hAnsi="Calibri" w:eastAsia="仿宋" w:cs="Times New Roman"/>
          <w:color w:val="000000"/>
          <w:sz w:val="28"/>
          <w:szCs w:val="28"/>
          <w:highlight w:val="none"/>
        </w:rPr>
        <w:t xml:space="preserve">事项协商一致，订立</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r>
      <w:r/>
    </w:p>
    <w:p>
      <w:pPr>
        <w:pStyle w:val="906"/>
        <w:numPr>
          <w:ilvl w:val="1"/>
          <w:numId w:val="0"/>
        </w:numPr>
        <w:jc w:val="center"/>
        <w:keepLines/>
        <w:keepNext/>
        <w:spacing w:before="260" w:after="260" w:line="360" w:lineRule="auto"/>
        <w:rPr>
          <w:rFonts w:hint="eastAsia" w:ascii="Times New Roman" w:hAnsi="Times New Roman" w:eastAsia="仿宋" w:cs="Times New Roman"/>
          <w:b/>
          <w:bCs/>
          <w:color w:val="000000"/>
          <w:sz w:val="32"/>
          <w:szCs w:val="36"/>
          <w:highlight w:val="none"/>
        </w:rPr>
        <w:outlineLvl w:val="1"/>
      </w:pPr>
      <w:r>
        <w:rPr>
          <w:rFonts w:hint="eastAsia" w:ascii="Calibri" w:hAnsi="Calibri" w:eastAsia="仿宋" w:cs="Times New Roman"/>
          <w:color w:val="000000"/>
          <w:sz w:val="28"/>
          <w:szCs w:val="28"/>
          <w:highlight w:val="none"/>
        </w:rPr>
        <w:br w:type="page" w:clear="all"/>
      </w:r>
      <w:bookmarkStart w:id="792" w:name="_Hlk169192024"/>
      <w:r/>
      <w:bookmarkStart w:id="793" w:name="_Toc65154739"/>
      <w:r/>
      <w:bookmarkStart w:id="794" w:name="_Toc63262840"/>
      <w:r/>
      <w:bookmarkStart w:id="795" w:name="_Toc3237"/>
      <w:r/>
      <w:bookmarkStart w:id="796" w:name="_Toc65153776"/>
      <w:r/>
      <w:bookmarkStart w:id="797" w:name="_Toc63263154"/>
      <w:r>
        <w:rPr>
          <w:rFonts w:hint="eastAsia" w:ascii="Times New Roman" w:hAnsi="Times New Roman" w:eastAsia="仿宋" w:cs="Times New Roman"/>
          <w:b/>
          <w:bCs/>
          <w:color w:val="000000"/>
          <w:sz w:val="32"/>
          <w:szCs w:val="36"/>
          <w:highlight w:val="none"/>
        </w:rPr>
        <w:t xml:space="preserve">第一章  </w:t>
      </w:r>
      <w:bookmarkEnd w:id="792"/>
      <w:r>
        <w:rPr>
          <w:rFonts w:hint="eastAsia" w:ascii="Times New Roman" w:hAnsi="Times New Roman" w:eastAsia="仿宋" w:cs="Times New Roman"/>
          <w:b/>
          <w:bCs/>
          <w:color w:val="000000"/>
          <w:sz w:val="32"/>
          <w:szCs w:val="36"/>
          <w:highlight w:val="none"/>
        </w:rPr>
        <w:t xml:space="preserve">定义与解释</w:t>
      </w:r>
      <w:bookmarkEnd w:id="793"/>
      <w:r/>
      <w:bookmarkEnd w:id="794"/>
      <w:r/>
      <w:bookmarkEnd w:id="795"/>
      <w:r/>
      <w:bookmarkEnd w:id="796"/>
      <w:r/>
      <w:bookmarkEnd w:id="797"/>
      <w:r>
        <w:rPr>
          <w:rFonts w:hint="eastAsia" w:ascii="Times New Roman" w:hAnsi="Times New Roman"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798" w:name="_Toc65153777"/>
      <w:r/>
      <w:bookmarkStart w:id="799" w:name="_Toc65154740"/>
      <w:r/>
      <w:bookmarkStart w:id="800" w:name="_Toc20099"/>
      <w:r/>
      <w:bookmarkStart w:id="801" w:name="_Toc63262841"/>
      <w:r/>
      <w:bookmarkStart w:id="802" w:name="_Toc63263155"/>
      <w:r/>
      <w:bookmarkStart w:id="803" w:name="_Toc22634573"/>
      <w:r>
        <w:rPr>
          <w:rFonts w:eastAsia="仿宋" w:cs="Times New Roman"/>
          <w:b/>
          <w:bCs/>
          <w:color w:val="000000"/>
          <w:sz w:val="30"/>
          <w:szCs w:val="32"/>
          <w:highlight w:val="none"/>
        </w:rPr>
        <w:t xml:space="preserve">定义</w:t>
      </w:r>
      <w:bookmarkEnd w:id="798"/>
      <w:r/>
      <w:bookmarkEnd w:id="799"/>
      <w:r/>
      <w:bookmarkEnd w:id="800"/>
      <w:r/>
      <w:bookmarkEnd w:id="801"/>
      <w:r/>
      <w:bookmarkEnd w:id="802"/>
      <w:r>
        <w:rPr>
          <w:rFonts w:eastAsia="仿宋" w:cs="Times New Roman"/>
          <w:b/>
          <w:bCs/>
          <w:color w:val="000000"/>
          <w:sz w:val="30"/>
          <w:szCs w:val="32"/>
          <w:highlight w:val="none"/>
        </w:rPr>
      </w:r>
      <w:r/>
    </w:p>
    <w:p>
      <w:pPr>
        <w:pStyle w:val="906"/>
        <w:ind w:firstLine="496"/>
        <w:spacing w:line="48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除</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另有约定外，下列术语应具有本款所指的含义：</w:t>
      </w:r>
      <w:r>
        <w:rPr>
          <w:rFonts w:ascii="Calibri" w:hAnsi="Calibri" w:eastAsia="仿宋" w:cs="Times New Roman"/>
          <w:color w:val="000000"/>
          <w:sz w:val="28"/>
          <w:szCs w:val="28"/>
          <w:highlight w:val="none"/>
        </w:rPr>
      </w:r>
      <w:r/>
    </w:p>
    <w:tbl>
      <w:tblPr>
        <w:tblW w:w="88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2"/>
        <w:gridCol w:w="7274"/>
      </w:tblGrid>
      <w:tr>
        <w:trPr>
          <w:trHeight w:val="20"/>
          <w:tblHeader/>
        </w:trPr>
        <w:tc>
          <w:tcPr>
            <w:tcW w:w="1622" w:type="dxa"/>
            <w:vAlign w:val="center"/>
            <w:textDirection w:val="lrTb"/>
            <w:noWrap w:val="false"/>
          </w:tcPr>
          <w:p>
            <w:pPr>
              <w:pStyle w:val="906"/>
              <w:jc w:val="center"/>
              <w:spacing w:line="480" w:lineRule="auto"/>
              <w:rPr>
                <w:rFonts w:ascii="Calibri" w:hAnsi="Calibri" w:eastAsia="仿宋" w:cs="Times New Roman"/>
                <w:b/>
                <w:color w:val="000000"/>
                <w:sz w:val="28"/>
                <w:szCs w:val="28"/>
                <w:highlight w:val="none"/>
              </w:rPr>
            </w:pPr>
            <w:r>
              <w:rPr>
                <w:rFonts w:ascii="Calibri" w:hAnsi="Calibri" w:eastAsia="仿宋" w:cs="Times New Roman"/>
                <w:b/>
                <w:color w:val="000000"/>
                <w:sz w:val="28"/>
                <w:szCs w:val="28"/>
                <w:highlight w:val="none"/>
              </w:rPr>
              <w:t xml:space="preserve">术语</w:t>
            </w:r>
            <w:r>
              <w:rPr>
                <w:rFonts w:ascii="Calibri" w:hAnsi="Calibri" w:eastAsia="仿宋" w:cs="Times New Roman"/>
                <w:b/>
                <w:color w:val="000000"/>
                <w:sz w:val="28"/>
                <w:szCs w:val="28"/>
                <w:highlight w:val="none"/>
              </w:rPr>
            </w:r>
            <w:r/>
          </w:p>
        </w:tc>
        <w:tc>
          <w:tcPr>
            <w:tcW w:w="7274" w:type="dxa"/>
            <w:vAlign w:val="center"/>
            <w:textDirection w:val="lrTb"/>
            <w:noWrap w:val="false"/>
          </w:tcPr>
          <w:p>
            <w:pPr>
              <w:pStyle w:val="906"/>
              <w:jc w:val="center"/>
              <w:spacing w:line="480" w:lineRule="auto"/>
              <w:rPr>
                <w:rFonts w:ascii="Calibri" w:hAnsi="Calibri" w:eastAsia="仿宋" w:cs="Times New Roman"/>
                <w:b/>
                <w:color w:val="000000"/>
                <w:sz w:val="28"/>
                <w:szCs w:val="28"/>
                <w:highlight w:val="none"/>
              </w:rPr>
            </w:pPr>
            <w:r>
              <w:rPr>
                <w:rFonts w:ascii="Calibri" w:hAnsi="Calibri" w:eastAsia="仿宋" w:cs="Times New Roman"/>
                <w:b/>
                <w:color w:val="000000"/>
                <w:sz w:val="28"/>
                <w:szCs w:val="28"/>
                <w:highlight w:val="none"/>
              </w:rPr>
              <w:t xml:space="preserve">定义</w:t>
            </w:r>
            <w:r>
              <w:rPr>
                <w:rFonts w:ascii="Calibri" w:hAnsi="Calibri" w:eastAsia="仿宋" w:cs="Times New Roman"/>
                <w:b/>
                <w:color w:val="000000"/>
                <w:sz w:val="28"/>
                <w:szCs w:val="28"/>
                <w:highlight w:val="none"/>
              </w:rPr>
            </w:r>
            <w:r/>
          </w:p>
        </w:tc>
      </w:tr>
      <w:tr>
        <w:trPr>
          <w:trHeight w:val="20"/>
        </w:trPr>
        <w:tc>
          <w:tcPr>
            <w:tcW w:w="1622" w:type="dxa"/>
            <w:vAlign w:val="center"/>
            <w:textDirection w:val="lrTb"/>
            <w:noWrap w:val="false"/>
          </w:tcPr>
          <w:p>
            <w:pPr>
              <w:pStyle w:val="906"/>
              <w:jc w:val="center"/>
              <w:spacing w:line="48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本项目</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jc w:val="left"/>
              <w:spacing w:line="360" w:lineRule="auto"/>
              <w:rPr>
                <w:rFonts w:ascii="Calibri" w:hAnsi="Calibri" w:eastAsia="仿宋" w:cs="Times New Roman"/>
                <w:bCs/>
                <w:color w:val="000000"/>
                <w:sz w:val="28"/>
                <w:szCs w:val="28"/>
                <w:highlight w:val="none"/>
              </w:rPr>
            </w:pPr>
            <w:r>
              <w:rPr>
                <w:rFonts w:hint="eastAsia" w:ascii="Calibri" w:hAnsi="Calibri" w:eastAsia="仿宋" w:cs="Times New Roman"/>
                <w:bCs/>
                <w:color w:val="000000"/>
                <w:sz w:val="28"/>
                <w:szCs w:val="28"/>
                <w:highlight w:val="none"/>
              </w:rPr>
              <w:t xml:space="preserve">指</w:t>
            </w:r>
            <w:r>
              <w:rPr>
                <w:rFonts w:hint="eastAsia" w:ascii="Times New Roman" w:hAnsi="Times New Roman" w:eastAsia="仿宋" w:cs="Times New Roman"/>
                <w:color w:val="000000"/>
                <w:sz w:val="28"/>
                <w:szCs w:val="28"/>
                <w:highlight w:val="none"/>
                <w:lang w:eastAsia="zh-CN"/>
              </w:rPr>
              <w:t xml:space="preserve">2026-2028年新北区园林绿化垃圾收运及资源化利用服务项目</w:t>
            </w:r>
            <w:r>
              <w:rPr>
                <w:rFonts w:hint="eastAsia" w:ascii="Times New Roman" w:hAnsi="Times New Roman" w:eastAsia="仿宋" w:cs="Times New Roman"/>
                <w:color w:val="000000"/>
                <w:sz w:val="28"/>
                <w:szCs w:val="28"/>
                <w:highlight w:val="none"/>
              </w:rPr>
              <w:t xml:space="preserve">。</w:t>
            </w:r>
            <w:r>
              <w:rPr>
                <w:rFonts w:ascii="Calibri" w:hAnsi="Calibri" w:eastAsia="仿宋" w:cs="Times New Roman"/>
                <w:bCs/>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指甲、乙双方共同签署的《</w:t>
            </w:r>
            <w:r>
              <w:rPr>
                <w:rFonts w:hint="eastAsia" w:ascii="Times New Roman" w:hAnsi="Times New Roman" w:eastAsia="仿宋" w:cs="Times New Roman"/>
                <w:color w:val="000000"/>
                <w:sz w:val="28"/>
                <w:szCs w:val="28"/>
                <w:highlight w:val="none"/>
                <w:lang w:eastAsia="zh-CN"/>
              </w:rPr>
              <w:t xml:space="preserve">2026-2028年新北区园林绿化垃圾收运及资源化利用服务项目</w:t>
            </w:r>
            <w:r>
              <w:rPr>
                <w:rFonts w:hint="eastAsia" w:ascii="Times New Roman" w:hAnsi="Times New Roman" w:eastAsia="仿宋" w:cs="Times New Roman"/>
                <w:color w:val="000000"/>
                <w:sz w:val="28"/>
                <w:szCs w:val="28"/>
                <w:highlight w:val="none"/>
              </w:rPr>
              <w:t xml:space="preserve">采购合同》</w:t>
            </w:r>
            <w:r>
              <w:rPr>
                <w:rFonts w:ascii="Calibri" w:hAnsi="Calibri" w:eastAsia="仿宋" w:cs="Times New Roman"/>
                <w:color w:val="000000"/>
                <w:sz w:val="28"/>
                <w:szCs w:val="28"/>
                <w:highlight w:val="none"/>
              </w:rPr>
              <w:t xml:space="preserve">，以及日后可能签署的任何前述</w:t>
            </w:r>
            <w:r>
              <w:rPr>
                <w:rFonts w:hint="eastAsia" w:ascii="Calibri" w:hAnsi="Calibri" w:eastAsia="仿宋" w:cs="Times New Roman"/>
                <w:color w:val="000000"/>
                <w:sz w:val="28"/>
                <w:szCs w:val="28"/>
                <w:highlight w:val="none"/>
              </w:rPr>
              <w:t xml:space="preserve">合同</w:t>
            </w:r>
            <w:r>
              <w:rPr>
                <w:rFonts w:ascii="Calibri" w:hAnsi="Calibri" w:eastAsia="仿宋" w:cs="Times New Roman"/>
                <w:color w:val="000000"/>
                <w:sz w:val="28"/>
                <w:szCs w:val="28"/>
                <w:highlight w:val="none"/>
              </w:rPr>
              <w:t xml:space="preserve">之补充/修改协议和附件。</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甲方</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指常州市新北区市政绿化管理所</w:t>
            </w: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乙方</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指</w:t>
            </w:r>
            <w:r>
              <w:rPr>
                <w:rFonts w:ascii="Calibri" w:hAnsi="Calibri" w:eastAsia="仿宋" w:cs="Times New Roman"/>
                <w:color w:val="000000"/>
                <w:sz w:val="28"/>
                <w:szCs w:val="28"/>
                <w:highlight w:val="none"/>
                <w:u w:val="single"/>
              </w:rPr>
              <w:t xml:space="preserve">                     </w:t>
            </w:r>
            <w:r>
              <w:rPr>
                <w:rFonts w:ascii="Calibri" w:hAnsi="Calibri" w:eastAsia="仿宋" w:cs="Times New Roman"/>
                <w:color w:val="000000"/>
                <w:sz w:val="28"/>
                <w:szCs w:val="28"/>
                <w:highlight w:val="none"/>
              </w:rPr>
              <w:t xml:space="preserve">，由</w:t>
            </w:r>
            <w:r>
              <w:rPr>
                <w:rFonts w:hint="eastAsia" w:ascii="Calibri" w:hAnsi="Calibri" w:eastAsia="仿宋" w:cs="Times New Roman"/>
                <w:color w:val="000000"/>
                <w:sz w:val="28"/>
                <w:szCs w:val="28"/>
                <w:highlight w:val="none"/>
              </w:rPr>
              <w:t xml:space="preserve">甲方</w:t>
            </w:r>
            <w:r>
              <w:rPr>
                <w:rFonts w:ascii="Calibri" w:hAnsi="Calibri" w:eastAsia="仿宋" w:cs="Times New Roman"/>
                <w:color w:val="000000"/>
                <w:sz w:val="28"/>
                <w:szCs w:val="28"/>
                <w:highlight w:val="none"/>
              </w:rPr>
              <w:t xml:space="preserve">依法通过公开招标方式选定的</w:t>
            </w:r>
            <w:r>
              <w:rPr>
                <w:rFonts w:hint="eastAsia" w:ascii="Calibri" w:hAnsi="Calibri" w:eastAsia="仿宋" w:cs="Times New Roman"/>
                <w:color w:val="000000"/>
                <w:sz w:val="28"/>
                <w:szCs w:val="28"/>
                <w:highlight w:val="none"/>
              </w:rPr>
              <w:t xml:space="preserve">供应商</w:t>
            </w:r>
            <w:r>
              <w:rPr>
                <w:rFonts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生效日</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指依据</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第</w:t>
            </w:r>
            <w:r>
              <w:rPr>
                <w:rFonts w:hint="eastAsia" w:ascii="Calibri" w:hAnsi="Calibri" w:eastAsia="仿宋" w:cs="Times New Roman"/>
                <w:color w:val="000000"/>
                <w:sz w:val="28"/>
                <w:szCs w:val="28"/>
                <w:highlight w:val="none"/>
              </w:rPr>
              <w:t xml:space="preserve">三</w:t>
            </w:r>
            <w:r>
              <w:rPr>
                <w:rFonts w:ascii="Calibri" w:hAnsi="Calibri" w:eastAsia="仿宋" w:cs="Times New Roman"/>
                <w:color w:val="000000"/>
                <w:sz w:val="28"/>
                <w:szCs w:val="28"/>
                <w:highlight w:val="none"/>
              </w:rPr>
              <w:t xml:space="preserve">条的约定，满足</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生效条件之日。</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服务费</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指甲方依据本合同应向乙方支付的服务费。</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服务季度</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hint="eastAsia" w:ascii="Calibri" w:hAnsi="Calibri" w:eastAsia="仿宋" w:cs="Times New Roman"/>
                <w:color w:val="000000"/>
                <w:sz w:val="28"/>
                <w:szCs w:val="28"/>
                <w:highlight w:val="none"/>
                <w:lang w:eastAsia="zh-CN"/>
              </w:rPr>
            </w:pPr>
            <w:r>
              <w:rPr>
                <w:rFonts w:hint="eastAsia" w:ascii="Calibri" w:hAnsi="Calibri" w:eastAsia="仿宋" w:cs="Times New Roman"/>
                <w:color w:val="000000"/>
                <w:sz w:val="28"/>
                <w:szCs w:val="28"/>
                <w:highlight w:val="none"/>
                <w:lang w:val="en-US" w:eastAsia="zh-CN"/>
              </w:rPr>
              <w:t xml:space="preserve">/</w:t>
            </w:r>
            <w:r>
              <w:rPr>
                <w:rFonts w:hint="eastAsia" w:ascii="Calibri" w:hAnsi="Calibri" w:eastAsia="仿宋" w:cs="Times New Roman"/>
                <w:color w:val="000000"/>
                <w:sz w:val="28"/>
                <w:szCs w:val="28"/>
                <w:highlight w:val="none"/>
                <w:lang w:eastAsia="zh-CN"/>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服务年度</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lang w:val="en-US" w:eastAsia="zh-CN"/>
              </w:rPr>
            </w:pPr>
            <w:r>
              <w:rPr>
                <w:rFonts w:hint="eastAsia" w:ascii="Calibri" w:hAnsi="Calibri" w:eastAsia="仿宋" w:cs="Times New Roman"/>
                <w:color w:val="000000"/>
                <w:sz w:val="28"/>
                <w:szCs w:val="28"/>
                <w:highlight w:val="none"/>
              </w:rPr>
              <w:t xml:space="preserve">指自本合同生效日起算，</w:t>
            </w:r>
            <w:r>
              <w:rPr>
                <w:rFonts w:hint="eastAsia" w:ascii="Calibri" w:hAnsi="Calibri" w:eastAsia="仿宋" w:cs="Times New Roman"/>
                <w:color w:val="000000"/>
                <w:sz w:val="28"/>
                <w:szCs w:val="28"/>
                <w:highlight w:val="none"/>
                <w:lang w:val="en-US" w:eastAsia="zh-CN"/>
              </w:rPr>
              <w:t xml:space="preserve">至当年度12月31日止。</w:t>
            </w:r>
            <w:r>
              <w:rPr>
                <w:rFonts w:ascii="Calibri" w:hAnsi="Calibri" w:eastAsia="仿宋" w:cs="Times New Roman"/>
                <w:color w:val="000000"/>
                <w:sz w:val="28"/>
                <w:szCs w:val="28"/>
                <w:highlight w:val="none"/>
                <w:lang w:val="en-US" w:eastAsia="zh-CN"/>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政府部门</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指：</w:t>
            </w: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hint="eastAsia" w:ascii="宋体" w:hAnsi="宋体" w:eastAsia="宋体" w:cs="宋体"/>
                <w:color w:val="000000"/>
                <w:sz w:val="28"/>
                <w:szCs w:val="28"/>
                <w:highlight w:val="none"/>
              </w:rPr>
              <w:t xml:space="preserve">①</w:t>
            </w:r>
            <w:r>
              <w:rPr>
                <w:rFonts w:ascii="Calibri" w:hAnsi="Calibri" w:eastAsia="仿宋" w:cs="Times New Roman"/>
                <w:color w:val="000000"/>
                <w:sz w:val="28"/>
                <w:szCs w:val="28"/>
                <w:highlight w:val="none"/>
              </w:rPr>
              <w:t xml:space="preserve">中国国务院及其下属的部、委、局、署、行，中国的任何司法或军事当局，或具有中央政府行政管理功能的其他行政实体；</w:t>
            </w: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hint="eastAsia" w:ascii="宋体" w:hAnsi="宋体" w:eastAsia="宋体" w:cs="宋体"/>
                <w:color w:val="000000"/>
                <w:sz w:val="28"/>
                <w:szCs w:val="28"/>
                <w:highlight w:val="none"/>
              </w:rPr>
              <w:t xml:space="preserve">②</w:t>
            </w:r>
            <w:r>
              <w:rPr>
                <w:rFonts w:ascii="Calibri" w:hAnsi="Calibri" w:eastAsia="仿宋" w:cs="Times New Roman"/>
                <w:color w:val="000000"/>
                <w:sz w:val="28"/>
                <w:szCs w:val="28"/>
                <w:highlight w:val="none"/>
              </w:rPr>
              <w:t xml:space="preserve">省、市、县各级地方政府及其职能部门；</w:t>
            </w:r>
            <w:r>
              <w:rPr>
                <w:rFonts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但不包括香港特别行政区、澳门特别行政区和台湾地区。</w:t>
            </w:r>
            <w:r>
              <w:rPr>
                <w:rFonts w:ascii="Calibri" w:hAnsi="Calibri" w:eastAsia="仿宋" w:cs="Times New Roman"/>
                <w:color w:val="000000"/>
                <w:sz w:val="28"/>
                <w:szCs w:val="28"/>
                <w:highlight w:val="none"/>
              </w:rPr>
            </w:r>
            <w:r/>
          </w:p>
        </w:tc>
      </w:tr>
      <w:tr>
        <w:trPr>
          <w:trHeight w:val="20"/>
        </w:trPr>
        <w:tc>
          <w:tcPr>
            <w:tcW w:w="1622" w:type="dxa"/>
            <w:vAlign w:val="center"/>
            <w:textDirection w:val="lrTb"/>
            <w:noWrap w:val="false"/>
          </w:tcPr>
          <w:p>
            <w:pPr>
              <w:pStyle w:val="906"/>
              <w:jc w:val="center"/>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适用法律</w:t>
            </w:r>
            <w:r>
              <w:rPr>
                <w:rFonts w:ascii="Calibri" w:hAnsi="Calibri" w:eastAsia="仿宋" w:cs="Times New Roman"/>
                <w:color w:val="000000"/>
                <w:sz w:val="28"/>
                <w:szCs w:val="28"/>
                <w:highlight w:val="none"/>
              </w:rPr>
            </w:r>
            <w:r/>
          </w:p>
        </w:tc>
        <w:tc>
          <w:tcPr>
            <w:tcW w:w="7274" w:type="dxa"/>
            <w:vAlign w:val="center"/>
            <w:textDirection w:val="lrTb"/>
            <w:noWrap w:val="false"/>
          </w:tcPr>
          <w:p>
            <w:pPr>
              <w:pStyle w:val="906"/>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指中华人民共和国法律、行政法规、地方性法规、自治条例、单行条例、部门规章、地方政府规章及其它具有普遍约束力的强制性规范性文件（包括国家、地方和行业的技术标准、规范和要求），但不应包括香港特别行政区、澳门特别行政区和台湾地区的法律。</w:t>
            </w:r>
            <w:r>
              <w:rPr>
                <w:rFonts w:ascii="Calibri" w:hAnsi="Calibri" w:eastAsia="仿宋" w:cs="Times New Roman"/>
                <w:color w:val="000000"/>
                <w:sz w:val="28"/>
                <w:szCs w:val="28"/>
                <w:highlight w:val="none"/>
              </w:rPr>
            </w:r>
            <w:r/>
          </w:p>
        </w:tc>
      </w:tr>
    </w:tbl>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04" w:name="_Toc65153781"/>
      <w:r/>
      <w:bookmarkStart w:id="805" w:name="_Toc65154744"/>
      <w:r/>
      <w:bookmarkStart w:id="806" w:name="_Toc63262842"/>
      <w:r/>
      <w:bookmarkStart w:id="807" w:name="_Toc63263156"/>
      <w:r/>
      <w:bookmarkStart w:id="808" w:name="_Toc31703"/>
      <w:r>
        <w:rPr>
          <w:rFonts w:hint="eastAsia" w:eastAsia="仿宋" w:cs="Times New Roman"/>
          <w:b/>
          <w:bCs/>
          <w:color w:val="000000"/>
          <w:sz w:val="30"/>
          <w:szCs w:val="32"/>
          <w:highlight w:val="none"/>
        </w:rPr>
        <w:t xml:space="preserve">解释</w:t>
      </w:r>
      <w:bookmarkEnd w:id="804"/>
      <w:r/>
      <w:bookmarkEnd w:id="805"/>
      <w:r/>
      <w:bookmarkEnd w:id="806"/>
      <w:r/>
      <w:bookmarkEnd w:id="807"/>
      <w:r/>
      <w:bookmarkEnd w:id="808"/>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中的标题仅为参考所设，不应影响条文的解释。下列约定同样适用于对</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进行解释，除非其上下文明确显示其不适用。在</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中：</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（1）</w:t>
      </w:r>
      <w:r>
        <w:rPr>
          <w:rFonts w:hint="eastAsia" w:ascii="Calibri" w:hAnsi="Calibri" w:eastAsia="仿宋" w:cs="Times New Roman"/>
          <w:color w:val="000000"/>
          <w:sz w:val="28"/>
          <w:szCs w:val="28"/>
          <w:highlight w:val="none"/>
        </w:rPr>
        <w:t xml:space="preserve">合同</w:t>
      </w:r>
      <w:r>
        <w:rPr>
          <w:rFonts w:ascii="Calibri" w:hAnsi="Calibri" w:eastAsia="仿宋" w:cs="Times New Roman"/>
          <w:color w:val="000000"/>
          <w:sz w:val="28"/>
          <w:szCs w:val="28"/>
          <w:highlight w:val="none"/>
        </w:rPr>
        <w:t xml:space="preserve">或文件，指包括经修订、更新、补充或替代后的该</w:t>
      </w:r>
      <w:r>
        <w:rPr>
          <w:rFonts w:hint="eastAsia" w:ascii="Calibri" w:hAnsi="Calibri" w:eastAsia="仿宋" w:cs="Times New Roman"/>
          <w:color w:val="000000"/>
          <w:sz w:val="28"/>
          <w:szCs w:val="28"/>
          <w:highlight w:val="none"/>
        </w:rPr>
        <w:t xml:space="preserve">合同</w:t>
      </w:r>
      <w:r>
        <w:rPr>
          <w:rFonts w:ascii="Calibri" w:hAnsi="Calibri" w:eastAsia="仿宋" w:cs="Times New Roman"/>
          <w:color w:val="000000"/>
          <w:sz w:val="28"/>
          <w:szCs w:val="28"/>
          <w:highlight w:val="none"/>
        </w:rPr>
        <w:t xml:space="preserve">或文件；</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（2）“元”，指中国的法定货币单位“人民币”；</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（3）条款或附件，指</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的条款或附件；</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（4）一方、双方、各方，指</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中的一方或双方或各方，并且包括经允许的替代该方的主体或该方的受让人；</w:t>
      </w:r>
      <w:r>
        <w:rPr>
          <w:rFonts w:ascii="Calibri" w:hAnsi="Calibri" w:eastAsia="仿宋" w:cs="Times New Roman"/>
          <w:color w:val="000000"/>
          <w:sz w:val="28"/>
          <w:szCs w:val="28"/>
          <w:highlight w:val="none"/>
        </w:rPr>
      </w:r>
      <w:r/>
    </w:p>
    <w:p>
      <w:pPr>
        <w:pStyle w:val="906"/>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（5）“包括”，指包括但不限于；</w:t>
      </w:r>
      <w:r>
        <w:rPr>
          <w:rFonts w:ascii="仿宋" w:hAnsi="仿宋" w:eastAsia="仿宋" w:cs="仿宋"/>
          <w:color w:val="000000"/>
          <w:sz w:val="28"/>
          <w:szCs w:val="28"/>
          <w:highlight w:val="none"/>
        </w:rPr>
      </w:r>
      <w:r/>
    </w:p>
    <w:p>
      <w:pPr>
        <w:pStyle w:val="906"/>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（6）“以上”、“以下”、“以内”或“内”均含本数，“超过”、“以外”均不含本数；</w:t>
      </w:r>
      <w:r>
        <w:rPr>
          <w:rFonts w:ascii="仿宋" w:hAnsi="仿宋" w:eastAsia="仿宋" w:cs="仿宋"/>
          <w:color w:val="000000"/>
          <w:sz w:val="28"/>
          <w:szCs w:val="28"/>
          <w:highlight w:val="none"/>
        </w:rPr>
      </w:r>
      <w:r/>
    </w:p>
    <w:p>
      <w:pPr>
        <w:pStyle w:val="906"/>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（7）日、月、季、年，均指公历的日、月、季、年；</w:t>
      </w:r>
      <w:r>
        <w:rPr>
          <w:rFonts w:ascii="仿宋" w:hAnsi="仿宋" w:eastAsia="仿宋" w:cs="仿宋"/>
          <w:color w:val="000000"/>
          <w:sz w:val="28"/>
          <w:szCs w:val="28"/>
          <w:highlight w:val="none"/>
        </w:rPr>
      </w:r>
      <w:r/>
    </w:p>
    <w:p>
      <w:pPr>
        <w:pStyle w:val="906"/>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（8）本合同并不限制或以其他方式影响甲方及其他政府部门行使其法定行政职权。</w:t>
      </w:r>
      <w:r>
        <w:rPr>
          <w:rFonts w:ascii="仿宋" w:hAnsi="仿宋" w:eastAsia="仿宋" w:cs="仿宋"/>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809" w:name="_Toc65153782"/>
      <w:r/>
      <w:bookmarkStart w:id="810" w:name="_Toc11907"/>
      <w:r/>
      <w:bookmarkStart w:id="811" w:name="_Toc63263157"/>
      <w:r/>
      <w:bookmarkStart w:id="812" w:name="_Toc65154745"/>
      <w:r/>
      <w:bookmarkStart w:id="813" w:name="_Toc63262843"/>
      <w:r>
        <w:rPr>
          <w:rFonts w:hint="eastAsia" w:ascii="Calibri" w:hAnsi="Calibri" w:eastAsia="仿宋" w:cs="Times New Roman"/>
          <w:b/>
          <w:bCs/>
          <w:color w:val="000000"/>
          <w:sz w:val="32"/>
          <w:szCs w:val="36"/>
          <w:highlight w:val="none"/>
        </w:rPr>
        <w:t xml:space="preserve">第二章  合同</w:t>
      </w:r>
      <w:r>
        <w:rPr>
          <w:rFonts w:ascii="Calibri" w:hAnsi="Calibri" w:eastAsia="仿宋" w:cs="Times New Roman"/>
          <w:b/>
          <w:bCs/>
          <w:color w:val="000000"/>
          <w:sz w:val="32"/>
          <w:szCs w:val="36"/>
          <w:highlight w:val="none"/>
        </w:rPr>
        <w:t xml:space="preserve">的生效和有效期</w:t>
      </w:r>
      <w:bookmarkEnd w:id="809"/>
      <w:r/>
      <w:bookmarkEnd w:id="810"/>
      <w:r/>
      <w:bookmarkEnd w:id="811"/>
      <w:r/>
      <w:bookmarkEnd w:id="812"/>
      <w:r/>
      <w:bookmarkEnd w:id="813"/>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14" w:name="_Toc65153783"/>
      <w:r/>
      <w:bookmarkStart w:id="815" w:name="_Toc65154746"/>
      <w:r/>
      <w:bookmarkStart w:id="816" w:name="_Toc63263158"/>
      <w:r/>
      <w:bookmarkStart w:id="817" w:name="_Toc63262844"/>
      <w:r/>
      <w:bookmarkStart w:id="818" w:name="_Toc27709"/>
      <w:r>
        <w:rPr>
          <w:rFonts w:eastAsia="仿宋" w:cs="Times New Roman"/>
          <w:b/>
          <w:bCs/>
          <w:color w:val="000000"/>
          <w:sz w:val="30"/>
          <w:szCs w:val="32"/>
          <w:highlight w:val="none"/>
        </w:rPr>
        <w:t xml:space="preserve">生效日</w:t>
      </w:r>
      <w:bookmarkEnd w:id="814"/>
      <w:r/>
      <w:bookmarkEnd w:id="815"/>
      <w:r/>
      <w:bookmarkEnd w:id="816"/>
      <w:r/>
      <w:bookmarkEnd w:id="817"/>
      <w:r/>
      <w:bookmarkEnd w:id="818"/>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自双方法定代表人</w:t>
      </w:r>
      <w:r>
        <w:rPr>
          <w:rFonts w:hint="eastAsia" w:ascii="Calibri" w:hAnsi="Calibri" w:eastAsia="仿宋" w:cs="Times New Roman"/>
          <w:color w:val="000000"/>
          <w:sz w:val="28"/>
          <w:szCs w:val="28"/>
          <w:highlight w:val="none"/>
        </w:rPr>
        <w:t xml:space="preserve">（负责人）</w:t>
      </w:r>
      <w:r>
        <w:rPr>
          <w:rFonts w:ascii="Calibri" w:hAnsi="Calibri" w:eastAsia="仿宋" w:cs="Times New Roman"/>
          <w:color w:val="000000"/>
          <w:sz w:val="28"/>
          <w:szCs w:val="28"/>
          <w:highlight w:val="none"/>
        </w:rPr>
        <w:t xml:space="preserve">或授权代表签字并加盖公章之日起生效。</w:t>
      </w:r>
      <w:r>
        <w:rPr>
          <w:rFonts w:ascii="Calibri" w:hAnsi="Calibri"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819" w:name="_Toc63263160"/>
      <w:r/>
      <w:bookmarkStart w:id="820" w:name="_Toc63262846"/>
      <w:r/>
      <w:bookmarkStart w:id="821" w:name="_Toc65154748"/>
      <w:r/>
      <w:bookmarkStart w:id="822" w:name="_Toc65153785"/>
      <w:r/>
      <w:bookmarkStart w:id="823" w:name="_Toc24768"/>
      <w:r>
        <w:rPr>
          <w:rFonts w:hint="eastAsia" w:ascii="Calibri" w:hAnsi="Calibri" w:eastAsia="仿宋" w:cs="Times New Roman"/>
          <w:b/>
          <w:bCs/>
          <w:color w:val="000000"/>
          <w:sz w:val="32"/>
          <w:szCs w:val="36"/>
          <w:highlight w:val="none"/>
        </w:rPr>
        <w:t xml:space="preserve">第三章  服务</w:t>
      </w:r>
      <w:r>
        <w:rPr>
          <w:rFonts w:ascii="Calibri" w:hAnsi="Calibri" w:eastAsia="仿宋" w:cs="Times New Roman"/>
          <w:b/>
          <w:bCs/>
          <w:color w:val="000000"/>
          <w:sz w:val="32"/>
          <w:szCs w:val="36"/>
          <w:highlight w:val="none"/>
        </w:rPr>
        <w:t xml:space="preserve">内容</w:t>
      </w:r>
      <w:bookmarkEnd w:id="803"/>
      <w:r/>
      <w:bookmarkEnd w:id="819"/>
      <w:r/>
      <w:bookmarkEnd w:id="820"/>
      <w:r/>
      <w:bookmarkEnd w:id="821"/>
      <w:r/>
      <w:bookmarkEnd w:id="822"/>
      <w:r>
        <w:rPr>
          <w:rFonts w:hint="eastAsia" w:ascii="Calibri" w:hAnsi="Calibri" w:eastAsia="仿宋" w:cs="Times New Roman"/>
          <w:b/>
          <w:bCs/>
          <w:color w:val="000000"/>
          <w:sz w:val="32"/>
          <w:szCs w:val="36"/>
          <w:highlight w:val="none"/>
        </w:rPr>
        <w:t xml:space="preserve">和期限</w:t>
      </w:r>
      <w:bookmarkEnd w:id="823"/>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24" w:name="_Toc11599"/>
      <w:r>
        <w:rPr>
          <w:rFonts w:hint="eastAsia" w:eastAsia="仿宋" w:cs="Times New Roman"/>
          <w:b/>
          <w:bCs/>
          <w:color w:val="000000"/>
          <w:sz w:val="30"/>
          <w:szCs w:val="32"/>
          <w:highlight w:val="none"/>
        </w:rPr>
        <w:t xml:space="preserve">服务内容</w:t>
      </w:r>
      <w:bookmarkEnd w:id="824"/>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bookmarkStart w:id="825" w:name="_Toc7973"/>
      <w:r/>
      <w:bookmarkStart w:id="826" w:name="_Toc22064"/>
      <w:r>
        <w:rPr>
          <w:rFonts w:hint="eastAsia" w:ascii="Calibri" w:hAnsi="Calibri" w:eastAsia="仿宋" w:cs="Times New Roman"/>
          <w:color w:val="000000"/>
          <w:sz w:val="28"/>
          <w:szCs w:val="28"/>
          <w:highlight w:val="none"/>
        </w:rPr>
        <w:t xml:space="preserve">（1）园林绿化垃圾运输</w:t>
      </w:r>
      <w:bookmarkEnd w:id="825"/>
      <w:r/>
      <w:bookmarkEnd w:id="826"/>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供应商负责收集园林绿化垃圾并运输至自己的处理终端。如需设置临时中转站（或堆放点），由供应商自行考虑。</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bookmarkStart w:id="827" w:name="_Toc10884"/>
      <w:r/>
      <w:bookmarkStart w:id="828" w:name="_Toc25489"/>
      <w:r>
        <w:rPr>
          <w:rFonts w:hint="eastAsia" w:ascii="Calibri" w:hAnsi="Calibri" w:eastAsia="仿宋" w:cs="Times New Roman"/>
          <w:color w:val="000000"/>
          <w:sz w:val="28"/>
          <w:szCs w:val="28"/>
          <w:highlight w:val="none"/>
        </w:rPr>
        <w:t xml:space="preserve">（2）园林绿化垃圾处理</w:t>
      </w:r>
      <w:bookmarkEnd w:id="827"/>
      <w:r/>
      <w:bookmarkEnd w:id="828"/>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乙方将园林绿化垃圾进行无害化处理和资源化利用，资源化产品率不低于60%。</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根据《市政府办公室关于印发&lt;常州市园林绿化垃圾处理和资源化利用试点工作实施意见&gt;的通知》（常政办发〔2023〕30号），园林绿化垃圾资源化产品率是指园林绿化垃圾处置点以固碳减排、增加碳汇为目的的资源化产品（如生物炭、有机覆盖物、有机基质、木材等）总量占总处理产生产品总量的比例。</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bookmarkStart w:id="829" w:name="_Toc1613"/>
      <w:r/>
      <w:bookmarkStart w:id="830" w:name="_Toc24149"/>
      <w:r>
        <w:rPr>
          <w:rFonts w:hint="eastAsia" w:ascii="Calibri" w:hAnsi="Calibri" w:eastAsia="仿宋" w:cs="Times New Roman"/>
          <w:color w:val="000000"/>
          <w:sz w:val="28"/>
          <w:szCs w:val="28"/>
          <w:highlight w:val="none"/>
        </w:rPr>
        <w:t xml:space="preserve">（3）产品推广利用</w:t>
      </w:r>
      <w:bookmarkEnd w:id="829"/>
      <w:r/>
      <w:bookmarkEnd w:id="830"/>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乙方按资源化利用产品（有机基质）50%的比例向甲方提供产品。</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31" w:name="_Toc65154750"/>
      <w:r/>
      <w:bookmarkStart w:id="832" w:name="_Toc65153787"/>
      <w:r/>
      <w:bookmarkStart w:id="833" w:name="_Toc63262848"/>
      <w:r/>
      <w:bookmarkStart w:id="834" w:name="_Toc63263162"/>
      <w:r/>
      <w:bookmarkStart w:id="835" w:name="_Toc28621"/>
      <w:r>
        <w:rPr>
          <w:rFonts w:hint="eastAsia" w:eastAsia="仿宋" w:cs="Times New Roman"/>
          <w:b/>
          <w:bCs/>
          <w:color w:val="000000"/>
          <w:sz w:val="30"/>
          <w:szCs w:val="32"/>
          <w:highlight w:val="none"/>
        </w:rPr>
        <w:t xml:space="preserve">服务</w:t>
      </w:r>
      <w:r>
        <w:rPr>
          <w:rFonts w:eastAsia="仿宋" w:cs="Times New Roman"/>
          <w:b/>
          <w:bCs/>
          <w:color w:val="000000"/>
          <w:sz w:val="30"/>
          <w:szCs w:val="32"/>
          <w:highlight w:val="none"/>
        </w:rPr>
        <w:t xml:space="preserve">期限</w:t>
      </w:r>
      <w:bookmarkEnd w:id="831"/>
      <w:r/>
      <w:bookmarkEnd w:id="832"/>
      <w:r/>
      <w:bookmarkEnd w:id="833"/>
      <w:r/>
      <w:bookmarkEnd w:id="834"/>
      <w:r/>
      <w:bookmarkEnd w:id="835"/>
      <w:r>
        <w:rPr>
          <w:rFonts w:eastAsia="仿宋" w:cs="Times New Roman"/>
          <w:b/>
          <w:bCs/>
          <w:color w:val="000000"/>
          <w:sz w:val="30"/>
          <w:szCs w:val="32"/>
          <w:highlight w:val="none"/>
        </w:rPr>
      </w:r>
      <w:r/>
    </w:p>
    <w:p>
      <w:pPr>
        <w:pStyle w:val="906"/>
        <w:ind w:firstLine="560"/>
        <w:spacing w:line="360" w:lineRule="auto"/>
        <w:rPr>
          <w:rFonts w:hint="eastAsia"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本项目</w:t>
      </w:r>
      <w:r>
        <w:rPr>
          <w:rFonts w:hint="eastAsia" w:ascii="Calibri" w:hAnsi="Calibri" w:eastAsia="仿宋" w:cs="Times New Roman"/>
          <w:color w:val="000000"/>
          <w:sz w:val="28"/>
          <w:szCs w:val="28"/>
          <w:highlight w:val="none"/>
        </w:rPr>
        <w:t xml:space="preserve">服务</w:t>
      </w:r>
      <w:r>
        <w:rPr>
          <w:rFonts w:ascii="Calibri" w:hAnsi="Calibri" w:eastAsia="仿宋" w:cs="Times New Roman"/>
          <w:color w:val="000000"/>
          <w:sz w:val="28"/>
          <w:szCs w:val="28"/>
          <w:highlight w:val="none"/>
        </w:rPr>
        <w:t xml:space="preserve">期限为</w:t>
      </w:r>
      <w:r>
        <w:rPr>
          <w:rFonts w:hint="eastAsia" w:ascii="Calibri" w:hAnsi="Calibri" w:eastAsia="仿宋" w:cs="Times New Roman"/>
          <w:color w:val="000000"/>
          <w:sz w:val="28"/>
          <w:szCs w:val="28"/>
          <w:highlight w:val="none"/>
        </w:rPr>
        <w:t xml:space="preserve">本合同生效之</w:t>
      </w:r>
      <w:r>
        <w:rPr>
          <w:rFonts w:hint="eastAsia" w:ascii="Calibri" w:hAnsi="Calibri" w:eastAsia="仿宋" w:cs="Times New Roman"/>
          <w:color w:val="000000"/>
          <w:sz w:val="28"/>
          <w:szCs w:val="28"/>
          <w:highlight w:val="none"/>
        </w:rPr>
        <w:t xml:space="preserve">日起</w:t>
      </w:r>
      <w:r>
        <w:rPr>
          <w:rFonts w:hint="eastAsia" w:ascii="Calibri" w:hAnsi="Calibri" w:eastAsia="仿宋" w:cs="Times New Roman"/>
          <w:color w:val="000000"/>
          <w:sz w:val="28"/>
          <w:szCs w:val="28"/>
          <w:highlight w:val="none"/>
          <w:lang w:val="en-US" w:eastAsia="zh-CN"/>
        </w:rPr>
        <w:t xml:space="preserve">至2028年12月31日</w:t>
      </w:r>
      <w:r>
        <w:rPr>
          <w:rFonts w:hint="eastAsia" w:ascii="Calibri" w:hAnsi="Calibri" w:eastAsia="仿宋" w:cs="Times New Roman"/>
          <w:color w:val="000000"/>
          <w:sz w:val="28"/>
          <w:szCs w:val="28"/>
          <w:highlight w:val="none"/>
        </w:rPr>
        <w:t xml:space="preserve">。</w:t>
      </w:r>
      <w:r>
        <w:rPr>
          <w:rFonts w:hint="eastAsia" w:ascii="Calibri" w:hAnsi="Calibri" w:eastAsia="仿宋" w:cs="Times New Roman"/>
          <w:color w:val="000000"/>
          <w:sz w:val="28"/>
          <w:szCs w:val="28"/>
          <w:highlight w:val="none"/>
        </w:rPr>
      </w:r>
      <w:r/>
    </w:p>
    <w:p>
      <w:pPr>
        <w:pStyle w:val="906"/>
        <w:ind w:firstLine="560"/>
        <w:spacing w:line="360" w:lineRule="auto"/>
        <w:rPr>
          <w:rFonts w:hint="eastAsia" w:ascii="Calibri" w:hAnsi="Calibri" w:eastAsia="仿宋" w:cs="Times New Roman"/>
          <w:bCs/>
          <w:color w:val="000000"/>
          <w:sz w:val="28"/>
          <w:szCs w:val="28"/>
          <w:highlight w:val="none"/>
        </w:rPr>
      </w:pPr>
      <w:r>
        <w:rPr>
          <w:rFonts w:hint="eastAsia" w:ascii="Calibri" w:hAnsi="Calibri" w:eastAsia="仿宋" w:cs="Times New Roman"/>
          <w:bCs/>
          <w:color w:val="000000"/>
          <w:sz w:val="28"/>
          <w:szCs w:val="28"/>
          <w:highlight w:val="none"/>
        </w:rPr>
        <w:t xml:space="preserve">本合同采取年度续约方式，即在每个服务年度结束后，若经甲方评估并确认乙方服务满足合同要求，双方进行下一年的合同续签。</w:t>
      </w:r>
      <w:r>
        <w:rPr>
          <w:rFonts w:hint="eastAsia" w:ascii="Calibri" w:hAnsi="Calibri" w:eastAsia="仿宋" w:cs="Times New Roman"/>
          <w:bCs/>
          <w:color w:val="000000"/>
          <w:sz w:val="28"/>
          <w:szCs w:val="28"/>
          <w:highlight w:val="none"/>
        </w:rPr>
      </w:r>
      <w:r/>
    </w:p>
    <w:p>
      <w:pPr>
        <w:pStyle w:val="906"/>
        <w:ind w:firstLine="560"/>
        <w:spacing w:line="360" w:lineRule="auto"/>
        <w:rPr>
          <w:rFonts w:hint="eastAsia" w:ascii="Calibri" w:hAnsi="Calibri" w:eastAsia="仿宋" w:cs="Times New Roman"/>
          <w:bCs/>
          <w:color w:val="000000"/>
          <w:sz w:val="28"/>
          <w:szCs w:val="28"/>
          <w:highlight w:val="none"/>
        </w:rPr>
      </w:pPr>
      <w:r>
        <w:rPr>
          <w:rFonts w:hint="eastAsia" w:ascii="Calibri" w:hAnsi="Calibri" w:eastAsia="仿宋" w:cs="Times New Roman"/>
          <w:color w:val="000000"/>
          <w:sz w:val="28"/>
          <w:szCs w:val="28"/>
          <w:highlight w:val="none"/>
          <w:lang w:val="en-US" w:eastAsia="zh-CN"/>
        </w:rPr>
        <w:t xml:space="preserve">第一年的年度服务期为</w:t>
      </w:r>
      <w:r>
        <w:rPr>
          <w:rFonts w:hint="eastAsia" w:ascii="Calibri" w:hAnsi="Calibri" w:eastAsia="仿宋" w:cs="Times New Roman"/>
          <w:color w:val="000000"/>
          <w:sz w:val="28"/>
          <w:szCs w:val="28"/>
          <w:highlight w:val="none"/>
          <w:u w:val="single"/>
          <w:lang w:val="en-US" w:eastAsia="zh-CN"/>
        </w:rPr>
        <w:t xml:space="preserve">2026年  月  日至2026年12月31日</w:t>
      </w:r>
      <w:r>
        <w:rPr>
          <w:rFonts w:hint="eastAsia" w:ascii="Calibri" w:hAnsi="Calibri" w:eastAsia="仿宋" w:cs="Times New Roman"/>
          <w:color w:val="000000"/>
          <w:sz w:val="28"/>
          <w:szCs w:val="28"/>
          <w:highlight w:val="none"/>
          <w:lang w:val="en-US" w:eastAsia="zh-CN"/>
        </w:rPr>
        <w:t xml:space="preserve">。</w:t>
      </w:r>
      <w:r>
        <w:rPr>
          <w:rFonts w:hint="eastAsia" w:ascii="Calibri" w:hAnsi="Calibri" w:eastAsia="仿宋" w:cs="Times New Roman"/>
          <w:bCs/>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836" w:name="_Toc63262850"/>
      <w:r/>
      <w:bookmarkStart w:id="837" w:name="_Toc65154752"/>
      <w:r/>
      <w:bookmarkStart w:id="838" w:name="_Toc22634574"/>
      <w:r/>
      <w:bookmarkStart w:id="839" w:name="_Toc31874"/>
      <w:r/>
      <w:bookmarkStart w:id="840" w:name="_Toc65153789"/>
      <w:r/>
      <w:bookmarkStart w:id="841" w:name="_Toc63263164"/>
      <w:r>
        <w:rPr>
          <w:rFonts w:hint="eastAsia" w:ascii="Calibri" w:hAnsi="Calibri" w:eastAsia="仿宋" w:cs="Times New Roman"/>
          <w:b/>
          <w:bCs/>
          <w:color w:val="000000"/>
          <w:sz w:val="32"/>
          <w:szCs w:val="36"/>
          <w:highlight w:val="none"/>
        </w:rPr>
        <w:t xml:space="preserve">第四章  </w:t>
      </w:r>
      <w:r>
        <w:rPr>
          <w:rFonts w:ascii="Calibri" w:hAnsi="Calibri" w:eastAsia="仿宋" w:cs="Times New Roman"/>
          <w:b/>
          <w:bCs/>
          <w:color w:val="000000"/>
          <w:sz w:val="32"/>
          <w:szCs w:val="36"/>
          <w:highlight w:val="none"/>
        </w:rPr>
        <w:t xml:space="preserve">各方的权利和义务</w:t>
      </w:r>
      <w:bookmarkEnd w:id="836"/>
      <w:r/>
      <w:bookmarkEnd w:id="837"/>
      <w:r/>
      <w:bookmarkEnd w:id="838"/>
      <w:r/>
      <w:bookmarkEnd w:id="839"/>
      <w:r/>
      <w:bookmarkEnd w:id="840"/>
      <w:r/>
      <w:bookmarkEnd w:id="841"/>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42" w:name="_Toc65154753"/>
      <w:r/>
      <w:bookmarkStart w:id="843" w:name="_Toc13256"/>
      <w:r/>
      <w:bookmarkStart w:id="844" w:name="_Toc63263165"/>
      <w:r/>
      <w:bookmarkStart w:id="845" w:name="_Toc65153790"/>
      <w:r/>
      <w:bookmarkStart w:id="846" w:name="_Toc63262851"/>
      <w:r>
        <w:rPr>
          <w:rFonts w:eastAsia="仿宋" w:cs="Times New Roman"/>
          <w:b/>
          <w:bCs/>
          <w:color w:val="000000"/>
          <w:sz w:val="30"/>
          <w:szCs w:val="32"/>
          <w:highlight w:val="none"/>
        </w:rPr>
        <w:t xml:space="preserve">甲方的权利义务</w:t>
      </w:r>
      <w:bookmarkEnd w:id="842"/>
      <w:r/>
      <w:bookmarkEnd w:id="843"/>
      <w:r/>
      <w:bookmarkEnd w:id="844"/>
      <w:r/>
      <w:bookmarkEnd w:id="845"/>
      <w:r/>
      <w:bookmarkEnd w:id="846"/>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（1）</w:t>
      </w:r>
      <w:r>
        <w:rPr>
          <w:rFonts w:hint="eastAsia" w:ascii="Calibri" w:hAnsi="Calibri" w:eastAsia="仿宋" w:cs="Times New Roman"/>
          <w:color w:val="000000"/>
          <w:sz w:val="28"/>
          <w:szCs w:val="28"/>
          <w:highlight w:val="none"/>
        </w:rPr>
        <w:t xml:space="preserve">按照本合同的约定，及时足额向乙方支付服务费；</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2</w:t>
      </w:r>
      <w:r>
        <w:rPr>
          <w:rFonts w:hint="eastAsia" w:ascii="Calibri" w:hAnsi="Calibri" w:eastAsia="仿宋" w:cs="Times New Roman"/>
          <w:color w:val="000000"/>
          <w:sz w:val="28"/>
          <w:szCs w:val="28"/>
          <w:highlight w:val="none"/>
        </w:rPr>
        <w:t xml:space="preserve">）依据本项目适用法律、法规、规章以及行业规范标准等对乙方提供的服务予以监管；</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3</w:t>
      </w:r>
      <w:r>
        <w:rPr>
          <w:rFonts w:hint="eastAsia" w:ascii="Calibri" w:hAnsi="Calibri" w:eastAsia="仿宋" w:cs="Times New Roman"/>
          <w:color w:val="000000"/>
          <w:sz w:val="28"/>
          <w:szCs w:val="28"/>
          <w:highlight w:val="none"/>
        </w:rPr>
        <w:t xml:space="preserve">）依据本合同的约定及本项目服务质量标准的规定对乙方本合同项下服务的质量进行抽查、监督；</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4</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约定的其他权利义务。</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47" w:name="_Toc65154755"/>
      <w:r/>
      <w:bookmarkStart w:id="848" w:name="_Toc65154754"/>
      <w:r/>
      <w:bookmarkEnd w:id="848"/>
      <w:r/>
      <w:bookmarkStart w:id="849" w:name="_Toc65142270"/>
      <w:r/>
      <w:bookmarkEnd w:id="849"/>
      <w:r/>
      <w:bookmarkStart w:id="850" w:name="_Toc65156923"/>
      <w:r/>
      <w:bookmarkEnd w:id="850"/>
      <w:r/>
      <w:bookmarkStart w:id="851" w:name="_Toc65142034"/>
      <w:r/>
      <w:bookmarkEnd w:id="851"/>
      <w:r/>
      <w:bookmarkStart w:id="852" w:name="_Toc65153791"/>
      <w:r/>
      <w:bookmarkEnd w:id="852"/>
      <w:r/>
      <w:bookmarkStart w:id="853" w:name="_Toc63262852"/>
      <w:r/>
      <w:bookmarkStart w:id="854" w:name="_Toc63263166"/>
      <w:r/>
      <w:bookmarkStart w:id="855" w:name="_Toc65153792"/>
      <w:r/>
      <w:bookmarkStart w:id="856" w:name="_Toc10227"/>
      <w:r>
        <w:rPr>
          <w:rFonts w:eastAsia="仿宋" w:cs="Times New Roman"/>
          <w:b/>
          <w:bCs/>
          <w:color w:val="000000"/>
          <w:sz w:val="30"/>
          <w:szCs w:val="32"/>
          <w:highlight w:val="none"/>
        </w:rPr>
        <w:t xml:space="preserve">乙方的权利义务</w:t>
      </w:r>
      <w:bookmarkEnd w:id="847"/>
      <w:r/>
      <w:bookmarkEnd w:id="853"/>
      <w:r/>
      <w:bookmarkEnd w:id="854"/>
      <w:r/>
      <w:bookmarkEnd w:id="855"/>
      <w:r/>
      <w:bookmarkEnd w:id="856"/>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（1）按照本</w:t>
      </w:r>
      <w:r>
        <w:rPr>
          <w:rFonts w:hint="eastAsia" w:ascii="Calibri" w:hAnsi="Calibri" w:eastAsia="仿宋" w:cs="Times New Roman"/>
          <w:bCs/>
          <w:color w:val="000000"/>
          <w:sz w:val="28"/>
          <w:szCs w:val="28"/>
          <w:highlight w:val="none"/>
        </w:rPr>
        <w:t xml:space="preserve">合同</w:t>
      </w:r>
      <w:r>
        <w:rPr>
          <w:rFonts w:ascii="Calibri" w:hAnsi="Calibri" w:eastAsia="仿宋" w:cs="Times New Roman"/>
          <w:bCs/>
          <w:color w:val="000000"/>
          <w:sz w:val="28"/>
          <w:szCs w:val="28"/>
          <w:highlight w:val="none"/>
        </w:rPr>
        <w:t xml:space="preserve">约定</w:t>
      </w:r>
      <w:r>
        <w:rPr>
          <w:rFonts w:hint="eastAsia" w:ascii="Calibri" w:hAnsi="Calibri" w:eastAsia="仿宋" w:cs="Times New Roman"/>
          <w:bCs/>
          <w:color w:val="000000"/>
          <w:sz w:val="28"/>
          <w:szCs w:val="28"/>
          <w:highlight w:val="none"/>
        </w:rPr>
        <w:t xml:space="preserve">提供服务</w:t>
      </w:r>
      <w:r>
        <w:rPr>
          <w:rFonts w:ascii="Calibri" w:hAnsi="Calibri" w:eastAsia="仿宋" w:cs="Times New Roman"/>
          <w:bCs/>
          <w:color w:val="000000"/>
          <w:sz w:val="28"/>
          <w:szCs w:val="28"/>
          <w:highlight w:val="none"/>
        </w:rPr>
        <w:t xml:space="preserve">，提供</w:t>
      </w:r>
      <w:r>
        <w:rPr>
          <w:rFonts w:hint="eastAsia" w:ascii="Calibri" w:hAnsi="Calibri" w:eastAsia="仿宋" w:cs="Times New Roman"/>
          <w:bCs/>
          <w:color w:val="000000"/>
          <w:sz w:val="28"/>
          <w:szCs w:val="28"/>
          <w:highlight w:val="none"/>
        </w:rPr>
        <w:t xml:space="preserve">的</w:t>
      </w:r>
      <w:r>
        <w:rPr>
          <w:rFonts w:ascii="Calibri" w:hAnsi="Calibri" w:eastAsia="仿宋" w:cs="Times New Roman"/>
          <w:bCs/>
          <w:color w:val="000000"/>
          <w:sz w:val="28"/>
          <w:szCs w:val="28"/>
          <w:highlight w:val="none"/>
        </w:rPr>
        <w:t xml:space="preserve">服务</w:t>
      </w:r>
      <w:r>
        <w:rPr>
          <w:rFonts w:ascii="Calibri" w:hAnsi="Calibri" w:eastAsia="仿宋" w:cs="Times New Roman"/>
          <w:color w:val="000000"/>
          <w:sz w:val="28"/>
          <w:szCs w:val="28"/>
          <w:highlight w:val="none"/>
        </w:rPr>
        <w:t xml:space="preserve">达到本</w:t>
      </w:r>
      <w:r>
        <w:rPr>
          <w:rFonts w:hint="eastAsia" w:ascii="Calibri" w:hAnsi="Calibri" w:eastAsia="仿宋" w:cs="Times New Roman"/>
          <w:color w:val="000000"/>
          <w:sz w:val="28"/>
          <w:szCs w:val="28"/>
          <w:highlight w:val="none"/>
        </w:rPr>
        <w:t xml:space="preserve">合同</w:t>
      </w:r>
      <w:r>
        <w:rPr>
          <w:rFonts w:ascii="Calibri" w:hAnsi="Calibri" w:eastAsia="仿宋" w:cs="Times New Roman"/>
          <w:color w:val="000000"/>
          <w:sz w:val="28"/>
          <w:szCs w:val="28"/>
          <w:highlight w:val="none"/>
        </w:rPr>
        <w:t xml:space="preserve">约定</w:t>
      </w: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国家及地方法律法规、行业标准等规范性文件等要求的标准</w:t>
      </w:r>
      <w:r>
        <w:rPr>
          <w:rFonts w:hint="eastAsia" w:ascii="Calibri" w:hAnsi="Calibri" w:eastAsia="仿宋" w:cs="Times New Roman"/>
          <w:color w:val="000000"/>
          <w:sz w:val="28"/>
          <w:szCs w:val="28"/>
          <w:highlight w:val="none"/>
        </w:rPr>
        <w:t xml:space="preserve">，并自行承担相应的成本及风险</w:t>
      </w:r>
      <w:r>
        <w:rPr>
          <w:rFonts w:ascii="Calibri" w:hAnsi="Calibri" w:eastAsia="仿宋" w:cs="Times New Roman"/>
          <w:color w:val="000000"/>
          <w:sz w:val="28"/>
          <w:szCs w:val="28"/>
          <w:highlight w:val="none"/>
        </w:rPr>
        <w:t xml:space="preserve">；</w:t>
      </w:r>
      <w:r>
        <w:rPr>
          <w:rFonts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bCs/>
          <w:color w:val="000000"/>
          <w:sz w:val="28"/>
          <w:szCs w:val="28"/>
          <w:highlight w:val="none"/>
        </w:rPr>
        <w:t xml:space="preserve">（2）</w:t>
      </w:r>
      <w:r>
        <w:rPr>
          <w:rFonts w:hint="eastAsia" w:ascii="Calibri" w:hAnsi="Calibri" w:eastAsia="仿宋" w:cs="Times New Roman"/>
          <w:bCs/>
          <w:color w:val="000000"/>
          <w:sz w:val="28"/>
          <w:szCs w:val="28"/>
          <w:highlight w:val="none"/>
        </w:rPr>
        <w:t xml:space="preserve">负责整个服务期间的防火、防盗、安全生产管理，若发生安全生产责任事故，甲方不承担任何经济赔偿责任；</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（3）</w:t>
      </w:r>
      <w:r>
        <w:rPr>
          <w:rFonts w:hint="eastAsia" w:ascii="Calibri" w:hAnsi="Calibri" w:eastAsia="仿宋" w:cs="Times New Roman"/>
          <w:color w:val="000000"/>
          <w:sz w:val="28"/>
          <w:szCs w:val="28"/>
          <w:highlight w:val="none"/>
        </w:rPr>
        <w:t xml:space="preserve">因乙方提供服务过程中发生的用工、行政等所有法律风险由乙方自行承担；</w:t>
      </w:r>
      <w:r>
        <w:rPr>
          <w:rFonts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（4）遵守适用法律及本合同的约定，积极配合甲方或政府相关部门的监督检查和绩效评价工作；</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hint="eastAsia" w:ascii="Calibri" w:hAnsi="Calibri" w:eastAsia="仿宋" w:cs="Times New Roman"/>
          <w:color w:val="000000"/>
          <w:sz w:val="28"/>
          <w:szCs w:val="28"/>
          <w:highlight w:val="none"/>
        </w:rPr>
        <w:t xml:space="preserve">（5）本合同</w:t>
      </w:r>
      <w:r>
        <w:rPr>
          <w:rFonts w:ascii="Calibri" w:hAnsi="Calibri" w:eastAsia="仿宋" w:cs="Times New Roman"/>
          <w:color w:val="000000"/>
          <w:sz w:val="28"/>
          <w:szCs w:val="28"/>
          <w:highlight w:val="none"/>
        </w:rPr>
        <w:t xml:space="preserve">约定的其他权利义务。</w:t>
      </w:r>
      <w:r>
        <w:rPr>
          <w:rFonts w:ascii="Calibri" w:hAnsi="Calibri" w:eastAsia="仿宋" w:cs="Times New Roman"/>
          <w:bCs/>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857" w:name="_Toc65153794"/>
      <w:r/>
      <w:bookmarkStart w:id="858" w:name="_Toc65154757"/>
      <w:r/>
      <w:bookmarkStart w:id="859" w:name="_Toc63262853"/>
      <w:r/>
      <w:bookmarkStart w:id="860" w:name="_Toc9968"/>
      <w:r/>
      <w:bookmarkStart w:id="861" w:name="_Toc63263167"/>
      <w:r>
        <w:rPr>
          <w:rFonts w:hint="eastAsia" w:ascii="Calibri" w:hAnsi="Calibri" w:eastAsia="仿宋" w:cs="Times New Roman"/>
          <w:b/>
          <w:bCs/>
          <w:color w:val="000000"/>
          <w:sz w:val="32"/>
          <w:szCs w:val="36"/>
          <w:highlight w:val="none"/>
        </w:rPr>
        <w:t xml:space="preserve">第五章  服务</w:t>
      </w:r>
      <w:r>
        <w:rPr>
          <w:rFonts w:ascii="Calibri" w:hAnsi="Calibri" w:eastAsia="仿宋" w:cs="Times New Roman"/>
          <w:b/>
          <w:bCs/>
          <w:color w:val="000000"/>
          <w:sz w:val="32"/>
          <w:szCs w:val="36"/>
          <w:highlight w:val="none"/>
        </w:rPr>
        <w:t xml:space="preserve">要求</w:t>
      </w:r>
      <w:bookmarkEnd w:id="857"/>
      <w:r/>
      <w:bookmarkEnd w:id="858"/>
      <w:r/>
      <w:bookmarkEnd w:id="859"/>
      <w:r/>
      <w:bookmarkEnd w:id="860"/>
      <w:r/>
      <w:bookmarkEnd w:id="861"/>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862" w:name="_Toc65156928"/>
      <w:r/>
      <w:bookmarkEnd w:id="862"/>
      <w:r/>
      <w:bookmarkStart w:id="863" w:name="_Toc65156930"/>
      <w:r/>
      <w:bookmarkEnd w:id="863"/>
      <w:r/>
      <w:bookmarkStart w:id="864" w:name="_Toc65142041"/>
      <w:r/>
      <w:bookmarkEnd w:id="864"/>
      <w:r/>
      <w:bookmarkStart w:id="865" w:name="_Toc65142275"/>
      <w:r/>
      <w:bookmarkEnd w:id="865"/>
      <w:r/>
      <w:bookmarkStart w:id="866" w:name="_Toc65142039"/>
      <w:r/>
      <w:bookmarkEnd w:id="866"/>
      <w:r/>
      <w:bookmarkStart w:id="867" w:name="_Toc65154765"/>
      <w:r/>
      <w:bookmarkEnd w:id="867"/>
      <w:r/>
      <w:bookmarkStart w:id="868" w:name="_Toc65154763"/>
      <w:r/>
      <w:bookmarkEnd w:id="868"/>
      <w:r/>
      <w:bookmarkStart w:id="869" w:name="_Toc65156936"/>
      <w:r/>
      <w:bookmarkEnd w:id="869"/>
      <w:r/>
      <w:bookmarkStart w:id="870" w:name="_Toc65156934"/>
      <w:r/>
      <w:bookmarkEnd w:id="870"/>
      <w:r/>
      <w:bookmarkStart w:id="871" w:name="_Toc65153796"/>
      <w:r/>
      <w:bookmarkEnd w:id="871"/>
      <w:r/>
      <w:bookmarkStart w:id="872" w:name="_Toc65154758"/>
      <w:r/>
      <w:bookmarkEnd w:id="872"/>
      <w:r/>
      <w:bookmarkStart w:id="873" w:name="_Toc65156935"/>
      <w:r/>
      <w:bookmarkEnd w:id="873"/>
      <w:r/>
      <w:bookmarkStart w:id="874" w:name="_Toc65142281"/>
      <w:r/>
      <w:bookmarkEnd w:id="874"/>
      <w:r/>
      <w:bookmarkStart w:id="875" w:name="_Toc65142282"/>
      <w:r/>
      <w:bookmarkEnd w:id="875"/>
      <w:r/>
      <w:bookmarkStart w:id="876" w:name="_Toc65154767"/>
      <w:r/>
      <w:bookmarkEnd w:id="876"/>
      <w:r/>
      <w:bookmarkStart w:id="877" w:name="_Toc65156929"/>
      <w:r/>
      <w:bookmarkEnd w:id="877"/>
      <w:r/>
      <w:bookmarkStart w:id="878" w:name="_Toc65154764"/>
      <w:r/>
      <w:bookmarkEnd w:id="878"/>
      <w:r/>
      <w:bookmarkStart w:id="879" w:name="_Toc65142043"/>
      <w:r/>
      <w:bookmarkEnd w:id="879"/>
      <w:r/>
      <w:bookmarkStart w:id="880" w:name="_Toc65153800"/>
      <w:r/>
      <w:bookmarkEnd w:id="880"/>
      <w:r/>
      <w:bookmarkStart w:id="881" w:name="_Toc65154761"/>
      <w:r/>
      <w:bookmarkEnd w:id="881"/>
      <w:r/>
      <w:bookmarkStart w:id="882" w:name="_Toc65142283"/>
      <w:r/>
      <w:bookmarkEnd w:id="882"/>
      <w:r/>
      <w:bookmarkStart w:id="883" w:name="_Toc65153799"/>
      <w:r/>
      <w:bookmarkEnd w:id="883"/>
      <w:r/>
      <w:bookmarkStart w:id="884" w:name="_Toc65154762"/>
      <w:r/>
      <w:bookmarkEnd w:id="884"/>
      <w:r/>
      <w:bookmarkStart w:id="885" w:name="_Toc65142276"/>
      <w:r/>
      <w:bookmarkEnd w:id="885"/>
      <w:r/>
      <w:bookmarkStart w:id="886" w:name="_Toc65154766"/>
      <w:r/>
      <w:bookmarkEnd w:id="886"/>
      <w:r/>
      <w:bookmarkStart w:id="887" w:name="_Toc65142047"/>
      <w:r/>
      <w:bookmarkEnd w:id="887"/>
      <w:r/>
      <w:bookmarkStart w:id="888" w:name="_Toc65142046"/>
      <w:r/>
      <w:bookmarkEnd w:id="888"/>
      <w:r/>
      <w:bookmarkStart w:id="889" w:name="_Toc65153795"/>
      <w:r/>
      <w:bookmarkEnd w:id="889"/>
      <w:r/>
      <w:bookmarkStart w:id="890" w:name="_Toc65156931"/>
      <w:r/>
      <w:bookmarkEnd w:id="890"/>
      <w:r/>
      <w:bookmarkStart w:id="891" w:name="_Toc65142277"/>
      <w:r/>
      <w:bookmarkEnd w:id="891"/>
      <w:r/>
      <w:bookmarkStart w:id="892" w:name="_Toc65153797"/>
      <w:r/>
      <w:bookmarkEnd w:id="892"/>
      <w:r/>
      <w:bookmarkStart w:id="893" w:name="_Toc65142044"/>
      <w:r/>
      <w:bookmarkEnd w:id="893"/>
      <w:r/>
      <w:bookmarkStart w:id="894" w:name="_Toc65153802"/>
      <w:r/>
      <w:bookmarkEnd w:id="894"/>
      <w:r/>
      <w:bookmarkStart w:id="895" w:name="_Toc65154759"/>
      <w:r/>
      <w:bookmarkEnd w:id="895"/>
      <w:r/>
      <w:bookmarkStart w:id="896" w:name="_Toc65142279"/>
      <w:r/>
      <w:bookmarkEnd w:id="896"/>
      <w:r/>
      <w:bookmarkStart w:id="897" w:name="_Toc65153803"/>
      <w:r/>
      <w:bookmarkEnd w:id="897"/>
      <w:r/>
      <w:bookmarkStart w:id="898" w:name="_Toc63263169"/>
      <w:r/>
      <w:bookmarkStart w:id="899" w:name="_Toc63262855"/>
      <w:r/>
      <w:bookmarkStart w:id="900" w:name="_Toc65154768"/>
      <w:r/>
      <w:bookmarkStart w:id="901" w:name="_Toc23344"/>
      <w:r/>
      <w:bookmarkStart w:id="902" w:name="_Toc65153805"/>
      <w:r/>
      <w:bookmarkStart w:id="903" w:name="_Toc65153801"/>
      <w:r/>
      <w:bookmarkEnd w:id="903"/>
      <w:r/>
      <w:bookmarkStart w:id="904" w:name="_Toc65153804"/>
      <w:r/>
      <w:bookmarkEnd w:id="904"/>
      <w:r/>
      <w:bookmarkStart w:id="905" w:name="_Toc65142045"/>
      <w:r/>
      <w:bookmarkEnd w:id="905"/>
      <w:r/>
      <w:bookmarkStart w:id="906" w:name="_Toc65156927"/>
      <w:r/>
      <w:bookmarkEnd w:id="906"/>
      <w:r/>
      <w:bookmarkStart w:id="907" w:name="_Toc65142040"/>
      <w:r/>
      <w:bookmarkEnd w:id="907"/>
      <w:r/>
      <w:bookmarkStart w:id="908" w:name="_Toc65142042"/>
      <w:r/>
      <w:bookmarkEnd w:id="908"/>
      <w:r/>
      <w:bookmarkStart w:id="909" w:name="_Toc65154760"/>
      <w:r/>
      <w:bookmarkEnd w:id="909"/>
      <w:r/>
      <w:bookmarkStart w:id="910" w:name="_Toc65156932"/>
      <w:r/>
      <w:bookmarkEnd w:id="910"/>
      <w:r/>
      <w:bookmarkStart w:id="911" w:name="_Toc65142274"/>
      <w:r/>
      <w:bookmarkEnd w:id="911"/>
      <w:r/>
      <w:bookmarkStart w:id="912" w:name="_Toc65142280"/>
      <w:r/>
      <w:bookmarkEnd w:id="912"/>
      <w:r/>
      <w:bookmarkStart w:id="913" w:name="_Toc65156933"/>
      <w:r/>
      <w:bookmarkEnd w:id="913"/>
      <w:r/>
      <w:bookmarkStart w:id="914" w:name="_Toc65142038"/>
      <w:r/>
      <w:bookmarkEnd w:id="914"/>
      <w:r/>
      <w:bookmarkStart w:id="915" w:name="_Toc65142278"/>
      <w:r/>
      <w:bookmarkEnd w:id="915"/>
      <w:r/>
      <w:bookmarkStart w:id="916" w:name="_Toc65153798"/>
      <w:r/>
      <w:bookmarkEnd w:id="916"/>
      <w:r>
        <w:rPr>
          <w:rFonts w:hint="eastAsia" w:eastAsia="仿宋" w:cs="Times New Roman"/>
          <w:b/>
          <w:bCs/>
          <w:color w:val="000000"/>
          <w:sz w:val="30"/>
          <w:szCs w:val="32"/>
          <w:highlight w:val="none"/>
        </w:rPr>
        <w:t xml:space="preserve">收运一般要求</w:t>
      </w:r>
      <w:bookmarkEnd w:id="898"/>
      <w:r/>
      <w:bookmarkEnd w:id="899"/>
      <w:r/>
      <w:bookmarkEnd w:id="900"/>
      <w:r/>
      <w:bookmarkEnd w:id="901"/>
      <w:r/>
      <w:bookmarkEnd w:id="902"/>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bookmarkStart w:id="917" w:name="_Toc25751"/>
      <w:r/>
      <w:bookmarkStart w:id="918" w:name="_Toc3851"/>
      <w:r>
        <w:rPr>
          <w:rFonts w:hint="eastAsia" w:ascii="Calibri" w:hAnsi="Calibri" w:eastAsia="仿宋" w:cs="Times New Roman"/>
          <w:color w:val="000000"/>
          <w:sz w:val="28"/>
          <w:szCs w:val="28"/>
          <w:highlight w:val="none"/>
        </w:rPr>
        <w:t xml:space="preserve">（1）收运范围</w:t>
      </w:r>
      <w:bookmarkEnd w:id="917"/>
      <w:r/>
      <w:bookmarkEnd w:id="918"/>
      <w:r>
        <w:rPr>
          <w:rFonts w:ascii="Calibri" w:hAnsi="Calibri" w:eastAsia="仿宋" w:cs="Times New Roman"/>
          <w:color w:val="000000"/>
          <w:sz w:val="28"/>
          <w:szCs w:val="28"/>
          <w:highlight w:val="none"/>
        </w:rPr>
      </w:r>
      <w:r/>
    </w:p>
    <w:p>
      <w:pPr>
        <w:pStyle w:val="906"/>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收运范围：甲方管辖范围内由区财政性资金养护的公共绿地产生的园林绿化垃圾。</w:t>
      </w:r>
      <w:r>
        <w:rPr>
          <w:rFonts w:hint="eastAsia" w:ascii="Times New Roman" w:hAnsi="Times New Roman" w:eastAsia="仿宋" w:cs="Times New Roman"/>
          <w:color w:val="000000"/>
          <w:sz w:val="28"/>
          <w:szCs w:val="28"/>
          <w:highlight w:val="none"/>
        </w:rPr>
      </w:r>
      <w:r/>
    </w:p>
    <w:p>
      <w:pPr>
        <w:pStyle w:val="906"/>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收运方式：属于政府财政性资金养护的公共绿地区域产生的园林绿化垃圾由园林绿化管养单位收集并运送至中转站（或堆放点）。</w:t>
      </w:r>
      <w:r>
        <w:rPr>
          <w:rFonts w:hint="eastAsia" w:ascii="Times New Roman" w:hAnsi="Times New Roman" w:eastAsia="仿宋" w:cs="Times New Roman"/>
          <w:color w:val="000000"/>
          <w:sz w:val="28"/>
          <w:szCs w:val="28"/>
          <w:highlight w:val="none"/>
        </w:rPr>
      </w:r>
      <w:r/>
    </w:p>
    <w:p>
      <w:pPr>
        <w:pStyle w:val="906"/>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乙方应自行考虑具体收运方案，可采用货车直运、中转站（或堆放点）收集+现场初步破碎+分类运输方式。乙方负责从指定的收运中转站（或堆放点）收集园林绿化垃圾并运输至自己的处理终端。如需设置临时中转站（或堆放点），由乙方自行考虑。</w:t>
      </w:r>
      <w:r>
        <w:rPr>
          <w:rFonts w:hint="eastAsia" w:ascii="Times New Roman" w:hAnsi="Times New Roman"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（2）收运要求</w:t>
      </w:r>
      <w:r>
        <w:rPr>
          <w:rFonts w:ascii="Calibri" w:hAnsi="Calibri" w:eastAsia="仿宋" w:cs="Times New Roman"/>
          <w:color w:val="000000"/>
          <w:sz w:val="28"/>
          <w:szCs w:val="28"/>
          <w:highlight w:val="none"/>
        </w:rPr>
      </w:r>
      <w:r/>
    </w:p>
    <w:p>
      <w:pPr>
        <w:pStyle w:val="906"/>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根据《关于印发&lt;关于加强城市绿化废弃物管理的若干规定&gt;的通知》（常城管规〔2022〕1号），园林绿化垃圾的收集和运输应当按照环境卫生作业标准和作业规范，在规定的时间内及时收运；受病菌或者虫体危害的园林绿化垃圾应当单独收集，并进行特殊预处理；用于运输园林绿化垃圾的车辆应当采取覆盖或者其他措施防止散落，并按照规定的路线和时间进行运输。</w:t>
      </w:r>
      <w:r>
        <w:rPr>
          <w:rFonts w:hint="eastAsia" w:ascii="Times New Roman" w:hAnsi="Times New Roman" w:eastAsia="仿宋" w:cs="Times New Roman"/>
          <w:color w:val="000000"/>
          <w:sz w:val="28"/>
          <w:szCs w:val="28"/>
          <w:highlight w:val="none"/>
        </w:rPr>
      </w:r>
      <w:r/>
    </w:p>
    <w:p>
      <w:pPr>
        <w:pStyle w:val="906"/>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园林垃圾收运过程产生的粉尘、噪声等污染物应达标排放。园林垃圾在进行解体、破碎等预处理及装车、卸料时，可能会产生粉尘、噪声等污染物，收运过程应符合《绿化植物废弃物处置和应用技术规程》（GB/T 31755-2015）等相关规定，粉尘的排放应符合《大气污染物综合排放标准》（GB 16297-1996）的有关规定，噪声水平应符合《声环境质量标准》（GB 3096-2008）、《社会生活环境噪音排放标准》（GB22337-2008）等标准的有关规定。</w:t>
      </w:r>
      <w:r>
        <w:rPr>
          <w:rFonts w:hint="eastAsia" w:ascii="Times New Roman" w:hAnsi="Times New Roman"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对于本合同范围内的园林绿化垃圾，如在中转站（</w:t>
      </w:r>
      <w:r>
        <w:rPr>
          <w:rFonts w:hint="eastAsia" w:ascii="仿宋" w:hAnsi="仿宋" w:eastAsia="仿宋" w:cs="Times New Roman"/>
          <w:color w:val="000000"/>
          <w:sz w:val="28"/>
          <w:szCs w:val="28"/>
          <w:highlight w:val="none"/>
        </w:rPr>
        <w:t xml:space="preserve">或堆放点）未计量、需要在终端计量的，应单独收运，不得与本合同范围之外的园林绿化垃圾混收混运。</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919" w:name="_Toc8119"/>
      <w:r/>
      <w:bookmarkStart w:id="920" w:name="_Hlk149220946"/>
      <w:r/>
      <w:bookmarkStart w:id="921" w:name="_Toc29418"/>
      <w:r>
        <w:rPr>
          <w:rFonts w:hint="eastAsia" w:eastAsia="仿宋" w:cs="Times New Roman"/>
          <w:b/>
          <w:bCs/>
          <w:color w:val="000000"/>
          <w:sz w:val="30"/>
          <w:szCs w:val="32"/>
          <w:highlight w:val="none"/>
        </w:rPr>
        <w:t xml:space="preserve">资源化利用处理服务</w:t>
      </w:r>
      <w:bookmarkEnd w:id="920"/>
      <w:r/>
      <w:bookmarkEnd w:id="921"/>
      <w:r>
        <w:rPr>
          <w:rFonts w:hint="eastAsia" w:eastAsia="仿宋" w:cs="Times New Roman"/>
          <w:b/>
          <w:bCs/>
          <w:color w:val="000000"/>
          <w:sz w:val="30"/>
          <w:szCs w:val="32"/>
          <w:highlight w:val="none"/>
        </w:rPr>
        <w:t xml:space="preserve">一般要求</w:t>
      </w:r>
      <w:bookmarkEnd w:id="919"/>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乙方应按照减量化、资源化、无害化的方式对园林绿化垃圾进行处理利用，生产有机基质等产品，处理过程、资源化利用产品应满足《绿化植物废弃物处置和应用技术规程》（GB/T 31755-2015）、《绿化用有机基质》（GB/T 33891-2017）中“绿地、林地用”技术指标等相关规定。</w:t>
      </w:r>
      <w:r>
        <w:rPr>
          <w:rFonts w:ascii="Calibri" w:hAnsi="Calibri" w:eastAsia="仿宋" w:cs="Times New Roman"/>
          <w:color w:val="000000"/>
          <w:sz w:val="28"/>
          <w:szCs w:val="28"/>
          <w:highlight w:val="none"/>
        </w:rPr>
      </w:r>
      <w:r/>
    </w:p>
    <w:p>
      <w:pPr>
        <w:pStyle w:val="906"/>
        <w:ind w:firstLine="560"/>
        <w:jc w:val="left"/>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乙方应当建立操作管理制度、安全制度</w:t>
      </w:r>
      <w:r>
        <w:rPr>
          <w:rFonts w:hint="eastAsia" w:ascii="仿宋" w:hAnsi="仿宋" w:eastAsia="仿宋" w:cs="Times New Roman"/>
          <w:color w:val="000000"/>
          <w:sz w:val="28"/>
          <w:szCs w:val="28"/>
          <w:highlight w:val="none"/>
        </w:rPr>
        <w:t xml:space="preserve">、环境保护制度（包括粉尘、噪音、污水处理等）、消防制度、设施设备管理制度、场地管理制度等，经按照制度严格落实相应措施。</w:t>
      </w:r>
      <w:r>
        <w:rPr>
          <w:rFonts w:hint="eastAsia" w:ascii="Calibri" w:hAnsi="Calibri" w:eastAsia="仿宋" w:cs="Times New Roman"/>
          <w:color w:val="000000"/>
          <w:sz w:val="28"/>
          <w:szCs w:val="28"/>
          <w:highlight w:val="none"/>
        </w:rPr>
        <w:t xml:space="preserve">在处置场所张贴操作流程、警示标识，并配备安全消防设施。</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rPr>
          <w:rFonts w:hint="eastAsia" w:eastAsia="仿宋" w:cs="Times New Roman"/>
          <w:b/>
          <w:bCs/>
          <w:color w:val="000000"/>
          <w:sz w:val="30"/>
          <w:szCs w:val="32"/>
          <w:highlight w:val="none"/>
        </w:rPr>
        <w:t xml:space="preserve">环保、消防等要求</w:t>
      </w:r>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园林绿化垃圾收运处过程产生的粉尘、噪声等污染物应达标排放。收运处过程应符合《绿化植物废弃物处置和应用技术规程》（GB/T 31755-2015）等相关规定，粉尘的排放应符合《大气污染物综合排放标准》（GB 16297-1996）的有关规定，噪声水平应符合《声环境质量标准》（GB 3096-2008）、《社会生活环境噪音排放标准》（GB22337-2008）等标准的有关规定，并有效落实消防安全措施。</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园林绿化垃圾收运处过程中，不得有擅自倾倒、堆放、丢弃、遗撒、露天焚烧等污染环境或影响环境卫生的行为。</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922" w:name="_Toc22234168"/>
      <w:r/>
      <w:bookmarkStart w:id="923" w:name="_Toc63263176"/>
      <w:r/>
      <w:bookmarkStart w:id="924" w:name="_Toc22634576"/>
      <w:r/>
      <w:bookmarkStart w:id="925" w:name="_Toc3965"/>
      <w:r/>
      <w:bookmarkStart w:id="926" w:name="_Toc65153851"/>
      <w:r/>
      <w:bookmarkStart w:id="927" w:name="_Toc63262862"/>
      <w:r/>
      <w:bookmarkStart w:id="928" w:name="_Toc65154814"/>
      <w:r>
        <w:rPr>
          <w:rFonts w:eastAsia="仿宋" w:cs="Times New Roman"/>
          <w:b/>
          <w:bCs/>
          <w:color w:val="000000"/>
          <w:sz w:val="30"/>
          <w:szCs w:val="32"/>
          <w:highlight w:val="none"/>
        </w:rPr>
        <w:t xml:space="preserve">对新标准的执行</w:t>
      </w:r>
      <w:bookmarkEnd w:id="922"/>
      <w:r/>
      <w:bookmarkEnd w:id="923"/>
      <w:r/>
      <w:bookmarkEnd w:id="925"/>
      <w:r/>
      <w:bookmarkEnd w:id="926"/>
      <w:r/>
      <w:bookmarkEnd w:id="927"/>
      <w:r/>
      <w:bookmarkEnd w:id="928"/>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中约定的乙方应执行或达到的标准如遇国家标准或行业标准、江苏省、</w:t>
      </w:r>
      <w:r>
        <w:rPr>
          <w:rFonts w:hint="eastAsia" w:ascii="Calibri" w:hAnsi="Calibri" w:eastAsia="仿宋" w:cs="Times New Roman"/>
          <w:color w:val="000000"/>
          <w:sz w:val="28"/>
          <w:szCs w:val="28"/>
          <w:highlight w:val="none"/>
        </w:rPr>
        <w:t xml:space="preserve">常州</w:t>
      </w:r>
      <w:r>
        <w:rPr>
          <w:rFonts w:ascii="Calibri" w:hAnsi="Calibri" w:eastAsia="仿宋" w:cs="Times New Roman"/>
          <w:color w:val="000000"/>
          <w:sz w:val="28"/>
          <w:szCs w:val="28"/>
          <w:highlight w:val="none"/>
        </w:rPr>
        <w:t xml:space="preserve">市地方标准对此有更新或补充或新颁布标准的，乙方应执行并达到该等新的标准。</w:t>
      </w:r>
      <w:r>
        <w:rPr>
          <w:rFonts w:ascii="Calibri" w:hAnsi="Calibri"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929" w:name="_Toc63262863"/>
      <w:r/>
      <w:bookmarkStart w:id="930" w:name="_Toc22234169"/>
      <w:r/>
      <w:bookmarkStart w:id="931" w:name="_Toc65154815"/>
      <w:r/>
      <w:bookmarkStart w:id="932" w:name="_Toc63263177"/>
      <w:r/>
      <w:bookmarkStart w:id="933" w:name="_Toc65153852"/>
      <w:r/>
      <w:bookmarkStart w:id="934" w:name="_Toc9351"/>
      <w:r>
        <w:rPr>
          <w:rFonts w:hint="eastAsia" w:ascii="Calibri" w:hAnsi="Calibri" w:eastAsia="仿宋" w:cs="Times New Roman"/>
          <w:b/>
          <w:bCs/>
          <w:color w:val="000000"/>
          <w:sz w:val="32"/>
          <w:szCs w:val="36"/>
          <w:highlight w:val="none"/>
        </w:rPr>
        <w:t xml:space="preserve">第六章  </w:t>
      </w:r>
      <w:r>
        <w:rPr>
          <w:rFonts w:ascii="Calibri" w:hAnsi="Calibri" w:eastAsia="仿宋" w:cs="Times New Roman"/>
          <w:b/>
          <w:bCs/>
          <w:color w:val="000000"/>
          <w:sz w:val="32"/>
          <w:szCs w:val="36"/>
          <w:highlight w:val="none"/>
        </w:rPr>
        <w:t xml:space="preserve">检查及处理</w:t>
      </w:r>
      <w:bookmarkEnd w:id="929"/>
      <w:r/>
      <w:bookmarkEnd w:id="930"/>
      <w:r/>
      <w:bookmarkEnd w:id="931"/>
      <w:r/>
      <w:bookmarkEnd w:id="932"/>
      <w:r/>
      <w:bookmarkEnd w:id="933"/>
      <w:r/>
      <w:bookmarkEnd w:id="934"/>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935" w:name="_Toc65154819"/>
      <w:r/>
      <w:bookmarkStart w:id="936" w:name="_Toc63262867"/>
      <w:r/>
      <w:bookmarkStart w:id="937" w:name="_Toc65153856"/>
      <w:r/>
      <w:bookmarkStart w:id="938" w:name="_Toc63263181"/>
      <w:r/>
      <w:bookmarkStart w:id="939" w:name="_Toc8968"/>
      <w:r/>
      <w:bookmarkStart w:id="940" w:name="_Toc22234174"/>
      <w:r>
        <w:rPr>
          <w:rFonts w:eastAsia="仿宋" w:cs="Times New Roman"/>
          <w:b/>
          <w:bCs/>
          <w:color w:val="000000"/>
          <w:sz w:val="30"/>
          <w:szCs w:val="32"/>
          <w:highlight w:val="none"/>
        </w:rPr>
        <w:t xml:space="preserve">检查及结果通知</w:t>
      </w:r>
      <w:bookmarkEnd w:id="935"/>
      <w:r/>
      <w:bookmarkEnd w:id="936"/>
      <w:r/>
      <w:bookmarkEnd w:id="937"/>
      <w:r/>
      <w:bookmarkEnd w:id="938"/>
      <w:r/>
      <w:bookmarkEnd w:id="939"/>
      <w:r/>
      <w:bookmarkEnd w:id="940"/>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甲方有权指定代表在任何时候对乙方</w:t>
      </w:r>
      <w:r>
        <w:rPr>
          <w:rFonts w:hint="eastAsia" w:ascii="Calibri" w:hAnsi="Calibri" w:eastAsia="仿宋" w:cs="Times New Roman"/>
          <w:color w:val="000000"/>
          <w:sz w:val="28"/>
          <w:szCs w:val="28"/>
          <w:highlight w:val="none"/>
        </w:rPr>
        <w:t xml:space="preserve">提供的服务</w:t>
      </w:r>
      <w:r>
        <w:rPr>
          <w:rFonts w:ascii="Calibri" w:hAnsi="Calibri" w:eastAsia="仿宋" w:cs="Times New Roman"/>
          <w:color w:val="000000"/>
          <w:sz w:val="28"/>
          <w:szCs w:val="28"/>
          <w:highlight w:val="none"/>
        </w:rPr>
        <w:t xml:space="preserve">进行现场检查和检测。</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乙方应接受甲方或其委托机构对</w:t>
      </w:r>
      <w:r>
        <w:rPr>
          <w:rFonts w:hint="eastAsia" w:ascii="Calibri" w:hAnsi="Calibri" w:eastAsia="仿宋" w:cs="Times New Roman"/>
          <w:color w:val="000000"/>
          <w:sz w:val="28"/>
          <w:szCs w:val="28"/>
          <w:highlight w:val="none"/>
        </w:rPr>
        <w:t xml:space="preserve">本项目</w:t>
      </w:r>
      <w:r>
        <w:rPr>
          <w:rFonts w:ascii="Calibri" w:hAnsi="Calibri" w:eastAsia="仿宋" w:cs="Times New Roman"/>
          <w:color w:val="000000"/>
          <w:sz w:val="28"/>
          <w:szCs w:val="28"/>
          <w:highlight w:val="none"/>
        </w:rPr>
        <w:t xml:space="preserve">随时进行的检查。</w:t>
      </w:r>
      <w:r>
        <w:rPr>
          <w:rFonts w:ascii="Calibri" w:hAnsi="Calibri"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Calibri" w:hAnsi="Calibri" w:eastAsia="仿宋" w:cs="Times New Roman"/>
          <w:b/>
          <w:bCs/>
          <w:color w:val="000000"/>
          <w:sz w:val="32"/>
          <w:szCs w:val="36"/>
          <w:highlight w:val="none"/>
        </w:rPr>
        <w:outlineLvl w:val="1"/>
      </w:pPr>
      <w:r/>
      <w:bookmarkStart w:id="941" w:name="_Toc65153861"/>
      <w:r/>
      <w:bookmarkStart w:id="942" w:name="_Toc63263184"/>
      <w:r/>
      <w:bookmarkStart w:id="943" w:name="_Toc28311"/>
      <w:r/>
      <w:bookmarkStart w:id="944" w:name="_Toc65142338"/>
      <w:r/>
      <w:bookmarkEnd w:id="944"/>
      <w:r/>
      <w:bookmarkStart w:id="945" w:name="_Toc65154822"/>
      <w:r/>
      <w:bookmarkEnd w:id="945"/>
      <w:r/>
      <w:bookmarkStart w:id="946" w:name="_Toc65142339"/>
      <w:r/>
      <w:bookmarkEnd w:id="946"/>
      <w:r/>
      <w:bookmarkStart w:id="947" w:name="_Toc65156992"/>
      <w:r/>
      <w:bookmarkEnd w:id="947"/>
      <w:r/>
      <w:bookmarkStart w:id="948" w:name="_Toc65153859"/>
      <w:r/>
      <w:bookmarkEnd w:id="948"/>
      <w:r/>
      <w:bookmarkStart w:id="949" w:name="_Toc65142102"/>
      <w:r/>
      <w:bookmarkEnd w:id="949"/>
      <w:r/>
      <w:bookmarkStart w:id="950" w:name="_Toc65156991"/>
      <w:r/>
      <w:bookmarkEnd w:id="950"/>
      <w:r/>
      <w:bookmarkStart w:id="951" w:name="_Toc65153860"/>
      <w:r/>
      <w:bookmarkEnd w:id="951"/>
      <w:r/>
      <w:bookmarkStart w:id="952" w:name="_Toc65154823"/>
      <w:r/>
      <w:bookmarkEnd w:id="952"/>
      <w:r/>
      <w:bookmarkStart w:id="953" w:name="_Toc65142103"/>
      <w:r/>
      <w:bookmarkEnd w:id="953"/>
      <w:r/>
      <w:bookmarkStart w:id="954" w:name="_Toc65154824"/>
      <w:r/>
      <w:bookmarkStart w:id="955" w:name="_Toc63262870"/>
      <w:r/>
      <w:bookmarkStart w:id="956" w:name="_Toc22234177"/>
      <w:r>
        <w:rPr>
          <w:rFonts w:hint="eastAsia" w:ascii="Calibri" w:hAnsi="Calibri" w:eastAsia="仿宋" w:cs="Times New Roman"/>
          <w:b/>
          <w:bCs/>
          <w:color w:val="000000"/>
          <w:sz w:val="32"/>
          <w:szCs w:val="36"/>
          <w:highlight w:val="none"/>
        </w:rPr>
        <w:t xml:space="preserve">第七章  园林绿化垃圾计量</w:t>
      </w:r>
      <w:bookmarkEnd w:id="941"/>
      <w:r/>
      <w:bookmarkEnd w:id="942"/>
      <w:r/>
      <w:bookmarkEnd w:id="943"/>
      <w:r/>
      <w:bookmarkEnd w:id="954"/>
      <w:r/>
      <w:bookmarkEnd w:id="955"/>
      <w:r/>
      <w:bookmarkEnd w:id="956"/>
      <w:r>
        <w:rPr>
          <w:rFonts w:ascii="Calibri" w:hAnsi="Calibri"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957" w:name="_Toc65156998"/>
      <w:r/>
      <w:bookmarkEnd w:id="957"/>
      <w:r/>
      <w:bookmarkStart w:id="958" w:name="_Toc65153871"/>
      <w:r/>
      <w:bookmarkEnd w:id="958"/>
      <w:r/>
      <w:bookmarkStart w:id="959" w:name="_Toc65154830"/>
      <w:r/>
      <w:bookmarkEnd w:id="959"/>
      <w:r/>
      <w:bookmarkStart w:id="960" w:name="_Toc65142115"/>
      <w:r/>
      <w:bookmarkEnd w:id="960"/>
      <w:r/>
      <w:bookmarkStart w:id="961" w:name="_Toc65153865"/>
      <w:r/>
      <w:bookmarkEnd w:id="961"/>
      <w:r/>
      <w:bookmarkStart w:id="962" w:name="_Toc65156996"/>
      <w:r/>
      <w:bookmarkEnd w:id="962"/>
      <w:r/>
      <w:bookmarkStart w:id="963" w:name="_Toc65142114"/>
      <w:r/>
      <w:bookmarkEnd w:id="963"/>
      <w:r/>
      <w:bookmarkStart w:id="964" w:name="_Toc65153863"/>
      <w:r/>
      <w:bookmarkEnd w:id="964"/>
      <w:r/>
      <w:bookmarkStart w:id="965" w:name="_Toc65154829"/>
      <w:r/>
      <w:bookmarkEnd w:id="965"/>
      <w:r/>
      <w:bookmarkStart w:id="966" w:name="_Toc65153867"/>
      <w:r/>
      <w:bookmarkEnd w:id="966"/>
      <w:r/>
      <w:bookmarkStart w:id="967" w:name="_Toc65142342"/>
      <w:r/>
      <w:bookmarkEnd w:id="967"/>
      <w:r/>
      <w:bookmarkStart w:id="968" w:name="_Toc65142111"/>
      <w:r/>
      <w:bookmarkEnd w:id="968"/>
      <w:r/>
      <w:bookmarkStart w:id="969" w:name="_Toc65153870"/>
      <w:r/>
      <w:bookmarkEnd w:id="969"/>
      <w:r/>
      <w:bookmarkStart w:id="970" w:name="_Toc65142112"/>
      <w:r/>
      <w:bookmarkEnd w:id="970"/>
      <w:r/>
      <w:bookmarkStart w:id="971" w:name="_Toc65142113"/>
      <w:r/>
      <w:bookmarkEnd w:id="971"/>
      <w:r/>
      <w:bookmarkStart w:id="972" w:name="_Toc65154827"/>
      <w:r/>
      <w:bookmarkEnd w:id="972"/>
      <w:r/>
      <w:bookmarkStart w:id="973" w:name="_Toc65154831"/>
      <w:r/>
      <w:bookmarkEnd w:id="973"/>
      <w:r/>
      <w:bookmarkStart w:id="974" w:name="_Toc65142107"/>
      <w:r/>
      <w:bookmarkEnd w:id="974"/>
      <w:r/>
      <w:bookmarkStart w:id="975" w:name="_Toc65142110"/>
      <w:r/>
      <w:bookmarkEnd w:id="975"/>
      <w:r/>
      <w:bookmarkStart w:id="976" w:name="_Toc65142106"/>
      <w:r/>
      <w:bookmarkEnd w:id="976"/>
      <w:r/>
      <w:bookmarkStart w:id="977" w:name="_Toc65154834"/>
      <w:r/>
      <w:bookmarkEnd w:id="977"/>
      <w:r/>
      <w:bookmarkStart w:id="978" w:name="_Toc65142108"/>
      <w:r/>
      <w:bookmarkEnd w:id="978"/>
      <w:r/>
      <w:bookmarkStart w:id="979" w:name="_Toc65153872"/>
      <w:r/>
      <w:bookmarkEnd w:id="979"/>
      <w:r/>
      <w:bookmarkStart w:id="980" w:name="_Toc65156997"/>
      <w:r/>
      <w:bookmarkEnd w:id="980"/>
      <w:r/>
      <w:bookmarkStart w:id="981" w:name="_Toc65142347"/>
      <w:r/>
      <w:bookmarkEnd w:id="981"/>
      <w:r/>
      <w:bookmarkStart w:id="982" w:name="_Toc65153868"/>
      <w:r/>
      <w:bookmarkEnd w:id="982"/>
      <w:r/>
      <w:bookmarkStart w:id="983" w:name="_Toc65154835"/>
      <w:r/>
      <w:bookmarkEnd w:id="983"/>
      <w:r/>
      <w:bookmarkStart w:id="984" w:name="_Toc65157003"/>
      <w:r/>
      <w:bookmarkEnd w:id="984"/>
      <w:r/>
      <w:bookmarkStart w:id="985" w:name="_Toc65142349"/>
      <w:r/>
      <w:bookmarkEnd w:id="985"/>
      <w:r/>
      <w:bookmarkStart w:id="986" w:name="_Toc65153864"/>
      <w:r/>
      <w:bookmarkEnd w:id="986"/>
      <w:r/>
      <w:bookmarkStart w:id="987" w:name="_Toc65157000"/>
      <w:r/>
      <w:bookmarkEnd w:id="987"/>
      <w:r/>
      <w:bookmarkStart w:id="988" w:name="_项目公司应使用符合适用法律要求的流量计连续测量、计算和记录在进水计量点提取的进"/>
      <w:r/>
      <w:bookmarkEnd w:id="988"/>
      <w:r/>
      <w:bookmarkStart w:id="989" w:name="_Toc65154832"/>
      <w:r/>
      <w:bookmarkEnd w:id="989"/>
      <w:r/>
      <w:bookmarkStart w:id="990" w:name="_Toc65142109"/>
      <w:r/>
      <w:bookmarkEnd w:id="990"/>
      <w:r/>
      <w:bookmarkStart w:id="991" w:name="_Toc65153866"/>
      <w:r/>
      <w:bookmarkEnd w:id="991"/>
      <w:r/>
      <w:bookmarkStart w:id="992" w:name="_Toc65153869"/>
      <w:r/>
      <w:bookmarkEnd w:id="992"/>
      <w:r/>
      <w:bookmarkStart w:id="993" w:name="_Toc30436"/>
      <w:r/>
      <w:bookmarkStart w:id="994" w:name="_Ref69542381"/>
      <w:r/>
      <w:bookmarkStart w:id="995" w:name="_Toc63262873"/>
      <w:r/>
      <w:bookmarkStart w:id="996" w:name="_Ref69587934"/>
      <w:r/>
      <w:bookmarkStart w:id="997" w:name="_Toc65154836"/>
      <w:r/>
      <w:bookmarkStart w:id="998" w:name="_Toc63263187"/>
      <w:r/>
      <w:bookmarkStart w:id="999" w:name="_Toc65153873"/>
      <w:r/>
      <w:bookmarkStart w:id="1000" w:name="_Ref69562398"/>
      <w:r/>
      <w:bookmarkStart w:id="1001" w:name="_Toc22234180"/>
      <w:r/>
      <w:bookmarkStart w:id="1002" w:name="_Toc65154833"/>
      <w:r/>
      <w:bookmarkEnd w:id="1002"/>
      <w:r/>
      <w:bookmarkStart w:id="1003" w:name="_Toc65156995"/>
      <w:r/>
      <w:bookmarkEnd w:id="1003"/>
      <w:r/>
      <w:bookmarkStart w:id="1004" w:name="_Toc65156999"/>
      <w:r/>
      <w:bookmarkEnd w:id="1004"/>
      <w:r/>
      <w:bookmarkStart w:id="1005" w:name="_Toc65142346"/>
      <w:r/>
      <w:bookmarkEnd w:id="1005"/>
      <w:r/>
      <w:bookmarkStart w:id="1006" w:name="_Toc65142350"/>
      <w:r/>
      <w:bookmarkEnd w:id="1006"/>
      <w:r/>
      <w:bookmarkStart w:id="1007" w:name="_Toc65157001"/>
      <w:r/>
      <w:bookmarkEnd w:id="1007"/>
      <w:r/>
      <w:bookmarkStart w:id="1008" w:name="_Toc65142345"/>
      <w:r/>
      <w:bookmarkEnd w:id="1008"/>
      <w:r/>
      <w:bookmarkStart w:id="1009" w:name="_Toc65154826"/>
      <w:r/>
      <w:bookmarkEnd w:id="1009"/>
      <w:r/>
      <w:bookmarkStart w:id="1010" w:name="_Toc65142344"/>
      <w:r/>
      <w:bookmarkEnd w:id="1010"/>
      <w:r/>
      <w:bookmarkStart w:id="1011" w:name="_Toc65142348"/>
      <w:r/>
      <w:bookmarkEnd w:id="1011"/>
      <w:r/>
      <w:bookmarkStart w:id="1012" w:name="_Toc65142343"/>
      <w:r/>
      <w:bookmarkEnd w:id="1012"/>
      <w:r/>
      <w:bookmarkStart w:id="1013" w:name="_Toc65157002"/>
      <w:r/>
      <w:bookmarkEnd w:id="1013"/>
      <w:r/>
      <w:bookmarkStart w:id="1014" w:name="_Toc65142351"/>
      <w:r/>
      <w:bookmarkEnd w:id="1014"/>
      <w:r/>
      <w:bookmarkStart w:id="1015" w:name="_Toc65157004"/>
      <w:r/>
      <w:bookmarkEnd w:id="1015"/>
      <w:r/>
      <w:bookmarkStart w:id="1016" w:name="_Toc65154828"/>
      <w:r/>
      <w:bookmarkEnd w:id="1016"/>
      <w:r>
        <w:rPr>
          <w:rFonts w:hint="eastAsia" w:eastAsia="仿宋" w:cs="Times New Roman"/>
          <w:b/>
          <w:bCs/>
          <w:color w:val="000000"/>
          <w:sz w:val="30"/>
          <w:szCs w:val="32"/>
          <w:highlight w:val="none"/>
        </w:rPr>
        <w:t xml:space="preserve">园林绿化垃圾计量</w:t>
      </w:r>
      <w:bookmarkEnd w:id="993"/>
      <w:r/>
      <w:bookmarkEnd w:id="994"/>
      <w:r/>
      <w:bookmarkEnd w:id="995"/>
      <w:r/>
      <w:bookmarkEnd w:id="996"/>
      <w:r/>
      <w:bookmarkEnd w:id="997"/>
      <w:r/>
      <w:bookmarkEnd w:id="998"/>
      <w:r/>
      <w:bookmarkEnd w:id="999"/>
      <w:r/>
      <w:bookmarkEnd w:id="1000"/>
      <w:r/>
      <w:bookmarkEnd w:id="1001"/>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（1）在现场收集点设有称重设备，以现场称重计量为准。</w:t>
      </w:r>
      <w:r>
        <w:rPr>
          <w:rFonts w:ascii="Calibri" w:hAnsi="Calibri" w:eastAsia="仿宋" w:cs="Times New Roman"/>
          <w:color w:val="000000"/>
          <w:sz w:val="28"/>
          <w:szCs w:val="28"/>
          <w:highlight w:val="none"/>
        </w:rPr>
      </w:r>
      <w:r/>
    </w:p>
    <w:p>
      <w:pPr>
        <w:pStyle w:val="906"/>
        <w:ind w:firstLine="560"/>
        <w:spacing w:line="360" w:lineRule="auto"/>
        <w:rPr>
          <w:rFonts w:hint="eastAsia"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2</w:t>
      </w:r>
      <w:r>
        <w:rPr>
          <w:rFonts w:hint="eastAsia" w:ascii="Calibri" w:hAnsi="Calibri" w:eastAsia="仿宋" w:cs="Times New Roman"/>
          <w:color w:val="000000"/>
          <w:sz w:val="28"/>
          <w:szCs w:val="28"/>
          <w:highlight w:val="none"/>
        </w:rPr>
        <w:t xml:space="preserve">）合同一方有权要求双方共同对现场收集点、乙方处理终端的称重设备进行校准，另一方应予以配合。</w:t>
      </w:r>
      <w:r>
        <w:rPr>
          <w:rFonts w:hint="eastAsia" w:ascii="Calibri" w:hAnsi="Calibri" w:eastAsia="仿宋" w:cs="Times New Roman"/>
          <w:color w:val="000000"/>
          <w:sz w:val="28"/>
          <w:szCs w:val="28"/>
          <w:highlight w:val="none"/>
        </w:rPr>
      </w:r>
      <w:r/>
    </w:p>
    <w:p>
      <w:pPr>
        <w:pStyle w:val="906"/>
        <w:ind w:firstLine="560"/>
        <w:spacing w:line="360" w:lineRule="auto"/>
        <w:rPr>
          <w:rFonts w:hint="eastAsia"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3）为保障作业规范和安全，乙方应在现场收集点、处理终端设有高性能、高可靠性的监控设备，监控数据至少保存1年（必须满足检查及考核需要）。甲方及第三方审计单位有权随时调取监控信息以供数据核查。</w:t>
      </w:r>
      <w:r>
        <w:rPr>
          <w:rFonts w:hint="eastAsia" w:ascii="Calibri" w:hAnsi="Calibri" w:eastAsia="仿宋" w:cs="Times New Roman"/>
          <w:color w:val="000000"/>
          <w:sz w:val="28"/>
          <w:szCs w:val="28"/>
          <w:highlight w:val="none"/>
        </w:rPr>
      </w:r>
      <w:r/>
    </w:p>
    <w:p>
      <w:pPr>
        <w:pStyle w:val="906"/>
        <w:ind w:firstLine="560"/>
        <w:spacing w:line="360" w:lineRule="auto"/>
        <w:rPr>
          <w:rFonts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4）乙方的处置终端需按常州市城市管理局的要求配备绿化垃圾信息化监管系统，乙方负责相关数据的申报工作。信息化监管系统应包括身份识别系统、道闸控制系统、视频抓拍系统、防作弊光电检测子系统、语音播报指挥子系统、称重系统、控制系统等。</w:t>
      </w:r>
      <w:r>
        <w:rPr>
          <w:rFonts w:ascii="Times New Roman" w:hAnsi="Times New Roman"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End w:id="924"/>
      <w:r/>
      <w:bookmarkStart w:id="1017" w:name="_Toc65154851"/>
      <w:r/>
      <w:bookmarkEnd w:id="1017"/>
      <w:r/>
      <w:bookmarkStart w:id="1018" w:name="_Toc65142366"/>
      <w:r/>
      <w:bookmarkEnd w:id="1018"/>
      <w:r/>
      <w:bookmarkStart w:id="1019" w:name="_Toc65142357"/>
      <w:r/>
      <w:bookmarkEnd w:id="1019"/>
      <w:r/>
      <w:bookmarkStart w:id="1020" w:name="_Toc65142360"/>
      <w:r/>
      <w:bookmarkEnd w:id="1020"/>
      <w:r/>
      <w:bookmarkStart w:id="1021" w:name="_Toc65157010"/>
      <w:r/>
      <w:bookmarkEnd w:id="1021"/>
      <w:r/>
      <w:bookmarkStart w:id="1022" w:name="_Toc65142358"/>
      <w:r/>
      <w:bookmarkEnd w:id="1022"/>
      <w:r/>
      <w:bookmarkStart w:id="1023" w:name="_Toc65153885"/>
      <w:r/>
      <w:bookmarkEnd w:id="1023"/>
      <w:r/>
      <w:bookmarkStart w:id="1024" w:name="_Toc65154850"/>
      <w:r/>
      <w:bookmarkEnd w:id="1024"/>
      <w:r/>
      <w:bookmarkStart w:id="1025" w:name="_Toc65142134"/>
      <w:r/>
      <w:bookmarkEnd w:id="1025"/>
      <w:r/>
      <w:bookmarkStart w:id="1026" w:name="_Toc65157019"/>
      <w:r/>
      <w:bookmarkEnd w:id="1026"/>
      <w:r/>
      <w:bookmarkStart w:id="1027" w:name="_Toc65154845"/>
      <w:r/>
      <w:bookmarkEnd w:id="1027"/>
      <w:r/>
      <w:bookmarkStart w:id="1028" w:name="_Toc65154841"/>
      <w:r/>
      <w:bookmarkEnd w:id="1028"/>
      <w:r/>
      <w:bookmarkStart w:id="1029" w:name="_Toc65153891"/>
      <w:r/>
      <w:bookmarkEnd w:id="1029"/>
      <w:r/>
      <w:bookmarkStart w:id="1030" w:name="_Toc65142362"/>
      <w:r/>
      <w:bookmarkEnd w:id="1030"/>
      <w:r/>
      <w:bookmarkStart w:id="1031" w:name="_Toc65154849"/>
      <w:r/>
      <w:bookmarkEnd w:id="1031"/>
      <w:r/>
      <w:bookmarkStart w:id="1032" w:name="_Toc65142117"/>
      <w:r/>
      <w:bookmarkEnd w:id="1032"/>
      <w:r/>
      <w:bookmarkStart w:id="1033" w:name="_Toc65142125"/>
      <w:r/>
      <w:bookmarkEnd w:id="1033"/>
      <w:r/>
      <w:bookmarkStart w:id="1034" w:name="_Toc65153880"/>
      <w:r/>
      <w:bookmarkEnd w:id="1034"/>
      <w:r/>
      <w:bookmarkStart w:id="1035" w:name="_Toc65142367"/>
      <w:r/>
      <w:bookmarkEnd w:id="1035"/>
      <w:r/>
      <w:bookmarkStart w:id="1036" w:name="_Toc65142131"/>
      <w:r/>
      <w:bookmarkEnd w:id="1036"/>
      <w:r/>
      <w:bookmarkStart w:id="1037" w:name="_Toc65154853"/>
      <w:r/>
      <w:bookmarkEnd w:id="1037"/>
      <w:r/>
      <w:bookmarkStart w:id="1038" w:name="_Toc65142121"/>
      <w:r/>
      <w:bookmarkEnd w:id="1038"/>
      <w:r/>
      <w:bookmarkStart w:id="1039" w:name="_Toc65154847"/>
      <w:r/>
      <w:bookmarkEnd w:id="1039"/>
      <w:r/>
      <w:bookmarkStart w:id="1040" w:name="_Toc65142356"/>
      <w:r/>
      <w:bookmarkEnd w:id="1040"/>
      <w:r/>
      <w:bookmarkStart w:id="1041" w:name="_Toc65142370"/>
      <w:r/>
      <w:bookmarkEnd w:id="1041"/>
      <w:r/>
      <w:bookmarkStart w:id="1042" w:name="_Toc65153879"/>
      <w:r/>
      <w:bookmarkEnd w:id="1042"/>
      <w:r/>
      <w:bookmarkStart w:id="1043" w:name="_Toc65154844"/>
      <w:r/>
      <w:bookmarkEnd w:id="1043"/>
      <w:r/>
      <w:bookmarkStart w:id="1044" w:name="_Toc65154837"/>
      <w:r/>
      <w:bookmarkEnd w:id="1044"/>
      <w:r/>
      <w:bookmarkStart w:id="1045" w:name="_Toc65157015"/>
      <w:r/>
      <w:bookmarkEnd w:id="1045"/>
      <w:r/>
      <w:bookmarkStart w:id="1046" w:name="_Toc65142363"/>
      <w:r/>
      <w:bookmarkEnd w:id="1046"/>
      <w:r/>
      <w:bookmarkStart w:id="1047" w:name="_Toc65154842"/>
      <w:r/>
      <w:bookmarkEnd w:id="1047"/>
      <w:r/>
      <w:bookmarkStart w:id="1048" w:name="_Toc65157021"/>
      <w:r/>
      <w:bookmarkEnd w:id="1048"/>
      <w:r/>
      <w:bookmarkStart w:id="1049" w:name="_Toc65142126"/>
      <w:r/>
      <w:bookmarkEnd w:id="1049"/>
      <w:r/>
      <w:bookmarkStart w:id="1050" w:name="_Toc65142123"/>
      <w:r/>
      <w:bookmarkEnd w:id="1050"/>
      <w:r/>
      <w:bookmarkStart w:id="1051" w:name="_Toc65154843"/>
      <w:r/>
      <w:bookmarkEnd w:id="1051"/>
      <w:r/>
      <w:bookmarkStart w:id="1052" w:name="_Toc65157014"/>
      <w:r/>
      <w:bookmarkEnd w:id="1052"/>
      <w:r/>
      <w:bookmarkStart w:id="1053" w:name="_Toc65142120"/>
      <w:r/>
      <w:bookmarkEnd w:id="1053"/>
      <w:r/>
      <w:bookmarkStart w:id="1054" w:name="_Toc65142132"/>
      <w:r/>
      <w:bookmarkEnd w:id="1054"/>
      <w:r/>
      <w:bookmarkStart w:id="1055" w:name="_Toc65153884"/>
      <w:r/>
      <w:bookmarkEnd w:id="1055"/>
      <w:r/>
      <w:bookmarkStart w:id="1056" w:name="_Toc65154838"/>
      <w:r/>
      <w:bookmarkEnd w:id="1056"/>
      <w:r/>
      <w:bookmarkStart w:id="1057" w:name="_Toc65153887"/>
      <w:r/>
      <w:bookmarkEnd w:id="1057"/>
      <w:r/>
      <w:bookmarkStart w:id="1058" w:name="_Toc65153882"/>
      <w:r/>
      <w:bookmarkEnd w:id="1058"/>
      <w:r/>
      <w:bookmarkStart w:id="1059" w:name="_Toc65153877"/>
      <w:r/>
      <w:bookmarkEnd w:id="1059"/>
      <w:r/>
      <w:bookmarkStart w:id="1060" w:name="_Toc65157018"/>
      <w:r/>
      <w:bookmarkEnd w:id="1060"/>
      <w:r/>
      <w:bookmarkStart w:id="1061" w:name="_Toc65153878"/>
      <w:r/>
      <w:bookmarkEnd w:id="1061"/>
      <w:r/>
      <w:bookmarkStart w:id="1062" w:name="_Toc65153886"/>
      <w:r/>
      <w:bookmarkEnd w:id="1062"/>
      <w:r/>
      <w:bookmarkStart w:id="1063" w:name="_Toc65142133"/>
      <w:r/>
      <w:bookmarkEnd w:id="1063"/>
      <w:r/>
      <w:bookmarkStart w:id="1064" w:name="_Toc65142129"/>
      <w:r/>
      <w:bookmarkEnd w:id="1064"/>
      <w:r/>
      <w:bookmarkStart w:id="1065" w:name="_Toc65154854"/>
      <w:r/>
      <w:bookmarkEnd w:id="1065"/>
      <w:r/>
      <w:bookmarkStart w:id="1066" w:name="_Toc65142119"/>
      <w:r/>
      <w:bookmarkEnd w:id="1066"/>
      <w:r/>
      <w:bookmarkStart w:id="1067" w:name="_Toc65157011"/>
      <w:r/>
      <w:bookmarkEnd w:id="1067"/>
      <w:r/>
      <w:bookmarkStart w:id="1068" w:name="_Toc65157020"/>
      <w:r/>
      <w:bookmarkEnd w:id="1068"/>
      <w:r/>
      <w:bookmarkStart w:id="1069" w:name="_Toc65153874"/>
      <w:r/>
      <w:bookmarkEnd w:id="1069"/>
      <w:r/>
      <w:bookmarkStart w:id="1070" w:name="_Toc65142365"/>
      <w:r/>
      <w:bookmarkEnd w:id="1070"/>
      <w:r/>
      <w:bookmarkStart w:id="1071" w:name="_Toc65142361"/>
      <w:r/>
      <w:bookmarkEnd w:id="1071"/>
      <w:r/>
      <w:bookmarkStart w:id="1072" w:name="_Toc65157009"/>
      <w:r/>
      <w:bookmarkEnd w:id="1072"/>
      <w:r/>
      <w:bookmarkStart w:id="1073" w:name="_Toc65153883"/>
      <w:r/>
      <w:bookmarkEnd w:id="1073"/>
      <w:r/>
      <w:bookmarkStart w:id="1074" w:name="_Toc65154852"/>
      <w:r/>
      <w:bookmarkEnd w:id="1074"/>
      <w:r/>
      <w:bookmarkStart w:id="1075" w:name="_Toc65153888"/>
      <w:r/>
      <w:bookmarkEnd w:id="1075"/>
      <w:r/>
      <w:bookmarkStart w:id="1076" w:name="_Toc65154840"/>
      <w:r/>
      <w:bookmarkEnd w:id="1076"/>
      <w:r/>
      <w:bookmarkStart w:id="1077" w:name="_Toc65153889"/>
      <w:r/>
      <w:bookmarkEnd w:id="1077"/>
      <w:r/>
      <w:bookmarkStart w:id="1078" w:name="_Toc65157013"/>
      <w:r/>
      <w:bookmarkEnd w:id="1078"/>
      <w:r/>
      <w:bookmarkStart w:id="1079" w:name="_Toc65142369"/>
      <w:r/>
      <w:bookmarkEnd w:id="1079"/>
      <w:r/>
      <w:bookmarkStart w:id="1080" w:name="_Toc65154846"/>
      <w:r/>
      <w:bookmarkEnd w:id="1080"/>
      <w:r/>
      <w:bookmarkStart w:id="1081" w:name="_Toc65153890"/>
      <w:r/>
      <w:bookmarkEnd w:id="1081"/>
      <w:r/>
      <w:bookmarkStart w:id="1082" w:name="_Toc65142364"/>
      <w:r/>
      <w:bookmarkEnd w:id="1082"/>
      <w:r/>
      <w:bookmarkStart w:id="1083" w:name="_Toc65142359"/>
      <w:r/>
      <w:bookmarkEnd w:id="1083"/>
      <w:r/>
      <w:bookmarkStart w:id="1084" w:name="_Toc65142124"/>
      <w:r/>
      <w:bookmarkEnd w:id="1084"/>
      <w:r/>
      <w:bookmarkStart w:id="1085" w:name="_Toc65142118"/>
      <w:r/>
      <w:bookmarkEnd w:id="1085"/>
      <w:r/>
      <w:bookmarkStart w:id="1086" w:name="_Toc65142354"/>
      <w:r/>
      <w:bookmarkEnd w:id="1086"/>
      <w:r/>
      <w:bookmarkStart w:id="1087" w:name="_Toc65157017"/>
      <w:r/>
      <w:bookmarkEnd w:id="1087"/>
      <w:r/>
      <w:bookmarkStart w:id="1088" w:name="_Toc65142122"/>
      <w:r/>
      <w:bookmarkEnd w:id="1088"/>
      <w:r/>
      <w:bookmarkStart w:id="1089" w:name="_Toc65154848"/>
      <w:r/>
      <w:bookmarkEnd w:id="1089"/>
      <w:r/>
      <w:bookmarkStart w:id="1090" w:name="_Toc65157023"/>
      <w:r/>
      <w:bookmarkEnd w:id="1090"/>
      <w:r/>
      <w:bookmarkStart w:id="1091" w:name="_Toc65142130"/>
      <w:r/>
      <w:bookmarkEnd w:id="1091"/>
      <w:r/>
      <w:bookmarkStart w:id="1092" w:name="_Toc65142353"/>
      <w:r/>
      <w:bookmarkEnd w:id="1092"/>
      <w:r/>
      <w:bookmarkStart w:id="1093" w:name="_Toc7298"/>
      <w:r/>
      <w:bookmarkStart w:id="1094" w:name="_Toc65157007"/>
      <w:r/>
      <w:bookmarkEnd w:id="1094"/>
      <w:r/>
      <w:bookmarkStart w:id="1095" w:name="_Toc65142355"/>
      <w:r/>
      <w:bookmarkEnd w:id="1095"/>
      <w:r/>
      <w:bookmarkStart w:id="1096" w:name="_Toc65142128"/>
      <w:r/>
      <w:bookmarkEnd w:id="1096"/>
      <w:r/>
      <w:bookmarkStart w:id="1097" w:name="_Toc65142127"/>
      <w:r/>
      <w:bookmarkEnd w:id="1097"/>
      <w:r/>
      <w:bookmarkStart w:id="1098" w:name="_Toc65153875"/>
      <w:r/>
      <w:bookmarkEnd w:id="1098"/>
      <w:r/>
      <w:bookmarkStart w:id="1099" w:name="_Toc65157022"/>
      <w:r/>
      <w:bookmarkEnd w:id="1099"/>
      <w:r/>
      <w:bookmarkStart w:id="1100" w:name="_Toc65153881"/>
      <w:r/>
      <w:bookmarkEnd w:id="1100"/>
      <w:r/>
      <w:bookmarkStart w:id="1101" w:name="_Toc65154839"/>
      <w:r/>
      <w:bookmarkEnd w:id="1101"/>
      <w:r/>
      <w:bookmarkStart w:id="1102" w:name="_Toc65157006"/>
      <w:r/>
      <w:bookmarkEnd w:id="1102"/>
      <w:r/>
      <w:bookmarkStart w:id="1103" w:name="_Toc65157012"/>
      <w:r/>
      <w:bookmarkEnd w:id="1103"/>
      <w:r/>
      <w:bookmarkStart w:id="1104" w:name="_Toc65153876"/>
      <w:r/>
      <w:bookmarkEnd w:id="1104"/>
      <w:r/>
      <w:bookmarkStart w:id="1105" w:name="_Toc65157008"/>
      <w:r/>
      <w:bookmarkEnd w:id="1105"/>
      <w:r/>
      <w:bookmarkStart w:id="1106" w:name="_Toc65142368"/>
      <w:r/>
      <w:bookmarkEnd w:id="1106"/>
      <w:r/>
      <w:bookmarkStart w:id="1107" w:name="_Toc65157016"/>
      <w:r/>
      <w:bookmarkEnd w:id="1107"/>
      <w:r>
        <w:rPr>
          <w:rFonts w:hint="eastAsia" w:ascii="Calibri" w:hAnsi="Calibri" w:eastAsia="仿宋" w:cs="Times New Roman"/>
          <w:b/>
          <w:bCs/>
          <w:color w:val="000000"/>
          <w:sz w:val="32"/>
          <w:szCs w:val="36"/>
          <w:highlight w:val="none"/>
        </w:rPr>
        <w:t xml:space="preserve">第八章  </w:t>
      </w:r>
      <w:r>
        <w:rPr>
          <w:rFonts w:hint="eastAsia" w:ascii="仿宋" w:hAnsi="仿宋" w:eastAsia="仿宋" w:cs="Times New Roman"/>
          <w:b/>
          <w:bCs/>
          <w:color w:val="000000"/>
          <w:sz w:val="32"/>
          <w:szCs w:val="36"/>
          <w:highlight w:val="none"/>
        </w:rPr>
        <w:t xml:space="preserve">服务费</w:t>
      </w:r>
      <w:bookmarkEnd w:id="1093"/>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108" w:name="_Toc12744"/>
      <w:r/>
      <w:bookmarkStart w:id="1109" w:name="_Toc63262880"/>
      <w:r/>
      <w:bookmarkStart w:id="1110" w:name="_Toc63263194"/>
      <w:r/>
      <w:bookmarkStart w:id="1111" w:name="_Toc65154858"/>
      <w:r/>
      <w:bookmarkStart w:id="1112" w:name="_Toc65153895"/>
      <w:r>
        <w:rPr>
          <w:rFonts w:hint="eastAsia" w:eastAsia="仿宋" w:cs="Times New Roman"/>
          <w:b/>
          <w:bCs/>
          <w:color w:val="000000"/>
          <w:sz w:val="30"/>
          <w:szCs w:val="32"/>
          <w:highlight w:val="none"/>
        </w:rPr>
        <w:t xml:space="preserve">服务费支付原则</w:t>
      </w:r>
      <w:bookmarkEnd w:id="1108"/>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按照“谁产生，谁付费”的原则，财政性资金养护的公共绿地由财政性资金承担，服务费计费方法详见第十五条；</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113" w:name="_Toc23169"/>
      <w:r>
        <w:rPr>
          <w:rFonts w:hint="eastAsia" w:eastAsia="仿宋" w:cs="Times New Roman"/>
          <w:b/>
          <w:bCs/>
          <w:color w:val="000000"/>
          <w:sz w:val="30"/>
          <w:szCs w:val="32"/>
          <w:highlight w:val="none"/>
        </w:rPr>
        <w:t xml:space="preserve">服务费计费方法</w:t>
      </w:r>
      <w:bookmarkEnd w:id="1109"/>
      <w:r/>
      <w:bookmarkEnd w:id="1110"/>
      <w:r/>
      <w:bookmarkEnd w:id="1111"/>
      <w:r/>
      <w:bookmarkEnd w:id="1112"/>
      <w:r/>
      <w:bookmarkEnd w:id="1113"/>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bookmarkStart w:id="1114" w:name="_Hlk63351619"/>
      <w:r>
        <w:rPr>
          <w:rFonts w:hint="eastAsia" w:ascii="Calibri" w:hAnsi="Calibri" w:eastAsia="仿宋" w:cs="Times New Roman"/>
          <w:color w:val="000000"/>
          <w:sz w:val="28"/>
          <w:szCs w:val="28"/>
          <w:highlight w:val="none"/>
        </w:rPr>
        <w:t xml:space="preserve">甲方向乙方支付的收运服务费、资源化利用处理费，计算公式如下：</w:t>
      </w:r>
      <w:r>
        <w:rPr>
          <w:rFonts w:ascii="Calibri" w:hAnsi="Calibri" w:eastAsia="仿宋" w:cs="Times New Roman"/>
          <w:color w:val="000000"/>
          <w:sz w:val="28"/>
          <w:szCs w:val="28"/>
          <w:highlight w:val="none"/>
        </w:rPr>
      </w:r>
      <w:r/>
    </w:p>
    <w:p>
      <w:pPr>
        <w:pStyle w:val="906"/>
        <w:jc w:val="center"/>
        <w:spacing w:line="360" w:lineRule="auto"/>
        <w:rPr>
          <w:rFonts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rPr>
        <w:t xml:space="preserve">服务费=收运服务费+资源化利用处理费</w:t>
      </w:r>
      <w:r>
        <w:rPr>
          <w:rFonts w:ascii="仿宋" w:hAnsi="仿宋" w:eastAsia="仿宋" w:cs="Times New Roman"/>
          <w:b/>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bookmarkStart w:id="1115" w:name="_Toc26948"/>
      <w:r/>
      <w:bookmarkStart w:id="1116" w:name="_Toc18506"/>
      <w:r>
        <w:rPr>
          <w:rFonts w:hint="eastAsia" w:ascii="Calibri" w:hAnsi="Calibri" w:eastAsia="仿宋" w:cs="Times New Roman"/>
          <w:color w:val="000000"/>
          <w:sz w:val="28"/>
          <w:szCs w:val="28"/>
          <w:highlight w:val="none"/>
        </w:rPr>
        <w:t xml:space="preserve">（1）收运服务费</w:t>
      </w:r>
      <w:bookmarkEnd w:id="1115"/>
      <w:r/>
      <w:bookmarkEnd w:id="1116"/>
      <w:r>
        <w:rPr>
          <w:rFonts w:ascii="Calibri" w:hAnsi="Calibri" w:eastAsia="仿宋" w:cs="Times New Roman"/>
          <w:color w:val="000000"/>
          <w:sz w:val="28"/>
          <w:szCs w:val="28"/>
          <w:highlight w:val="none"/>
        </w:rPr>
      </w:r>
      <w:r/>
    </w:p>
    <w:p>
      <w:pPr>
        <w:pStyle w:val="906"/>
        <w:jc w:val="center"/>
        <w:spacing w:line="360" w:lineRule="auto"/>
        <w:rPr>
          <w:rFonts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rPr>
        <w:t xml:space="preserve">收运服务费=收运单价A×理论收运量+收运单价B×实际收运量</w:t>
      </w:r>
      <w:r>
        <w:rPr>
          <w:rFonts w:ascii="仿宋" w:hAnsi="仿宋" w:eastAsia="仿宋" w:cs="Times New Roman"/>
          <w:b/>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其中：</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①理论收运量</w:t>
      </w:r>
      <w:r>
        <w:rPr>
          <w:rFonts w:hint="eastAsia" w:ascii="Times New Roman" w:hAnsi="Times New Roman" w:eastAsia="仿宋" w:cs="Times New Roman"/>
          <w:color w:val="000000"/>
          <w:sz w:val="28"/>
          <w:szCs w:val="28"/>
          <w:highlight w:val="none"/>
        </w:rPr>
        <w:t xml:space="preserve">为7138吨/年，实际收</w:t>
      </w:r>
      <w:r>
        <w:rPr>
          <w:rFonts w:hint="eastAsia" w:ascii="Calibri" w:hAnsi="Calibri" w:eastAsia="仿宋" w:cs="Times New Roman"/>
          <w:color w:val="000000"/>
          <w:sz w:val="28"/>
          <w:szCs w:val="28"/>
          <w:highlight w:val="none"/>
        </w:rPr>
        <w:t xml:space="preserve">运量为乙方至中转站（</w:t>
      </w:r>
      <w:r>
        <w:rPr>
          <w:rFonts w:hint="eastAsia" w:ascii="仿宋" w:hAnsi="仿宋" w:eastAsia="仿宋" w:cs="Times New Roman"/>
          <w:color w:val="000000"/>
          <w:sz w:val="28"/>
          <w:szCs w:val="28"/>
          <w:highlight w:val="none"/>
        </w:rPr>
        <w:t xml:space="preserve">或堆放点）</w:t>
      </w:r>
      <w:r>
        <w:rPr>
          <w:rFonts w:hint="eastAsia" w:ascii="Calibri" w:hAnsi="Calibri" w:eastAsia="仿宋" w:cs="Times New Roman"/>
          <w:color w:val="000000"/>
          <w:sz w:val="28"/>
          <w:szCs w:val="28"/>
          <w:highlight w:val="none"/>
        </w:rPr>
        <w:t xml:space="preserve">实际收运的园林绿化垃圾量。</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②收运单价A、收运单价B由乙方报价确定。</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bookmarkStart w:id="1117" w:name="_Toc15191"/>
      <w:r/>
      <w:bookmarkStart w:id="1118" w:name="_Toc9781"/>
      <w:r>
        <w:rPr>
          <w:rFonts w:hint="eastAsia" w:ascii="Calibri" w:hAnsi="Calibri" w:eastAsia="仿宋" w:cs="Times New Roman"/>
          <w:color w:val="000000"/>
          <w:sz w:val="28"/>
          <w:szCs w:val="28"/>
          <w:highlight w:val="none"/>
        </w:rPr>
        <w:t xml:space="preserve">（2）资源化利用处理费</w:t>
      </w:r>
      <w:bookmarkEnd w:id="1117"/>
      <w:r/>
      <w:bookmarkEnd w:id="1118"/>
      <w:r>
        <w:rPr>
          <w:rFonts w:ascii="Calibri" w:hAnsi="Calibri" w:eastAsia="仿宋" w:cs="Times New Roman"/>
          <w:color w:val="000000"/>
          <w:sz w:val="28"/>
          <w:szCs w:val="28"/>
          <w:highlight w:val="none"/>
        </w:rPr>
      </w:r>
      <w:r/>
    </w:p>
    <w:p>
      <w:pPr>
        <w:pStyle w:val="906"/>
        <w:jc w:val="center"/>
        <w:spacing w:line="360" w:lineRule="auto"/>
        <w:rPr>
          <w:rFonts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rPr>
        <w:t xml:space="preserve">资源化利用处理费=</w:t>
      </w:r>
      <w:bookmarkStart w:id="1119" w:name="_Hlk151736491"/>
      <w:r>
        <w:rPr>
          <w:rFonts w:hint="eastAsia" w:ascii="仿宋" w:hAnsi="仿宋" w:eastAsia="仿宋" w:cs="Times New Roman"/>
          <w:b/>
          <w:bCs/>
          <w:color w:val="000000"/>
          <w:sz w:val="28"/>
          <w:szCs w:val="28"/>
          <w:highlight w:val="none"/>
        </w:rPr>
        <w:t xml:space="preserve">处理单价A×理论处理量</w:t>
      </w:r>
      <w:bookmarkEnd w:id="1119"/>
      <w:r>
        <w:rPr>
          <w:rFonts w:hint="eastAsia" w:ascii="仿宋" w:hAnsi="仿宋" w:eastAsia="仿宋" w:cs="Times New Roman"/>
          <w:b/>
          <w:bCs/>
          <w:color w:val="000000"/>
          <w:sz w:val="28"/>
          <w:szCs w:val="28"/>
          <w:highlight w:val="none"/>
        </w:rPr>
        <w:t xml:space="preserve">+处理单价B×实际处理量</w:t>
      </w:r>
      <w:r>
        <w:rPr>
          <w:rFonts w:ascii="仿宋" w:hAnsi="仿宋" w:eastAsia="仿宋" w:cs="Times New Roman"/>
          <w:b/>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①理论处理量为</w:t>
      </w:r>
      <w:r>
        <w:rPr>
          <w:rFonts w:hint="eastAsia" w:ascii="Times New Roman" w:hAnsi="Times New Roman" w:eastAsia="仿宋" w:cs="Times New Roman"/>
          <w:color w:val="000000"/>
          <w:sz w:val="28"/>
          <w:szCs w:val="28"/>
          <w:highlight w:val="none"/>
        </w:rPr>
        <w:t xml:space="preserve">7138吨/年</w:t>
      </w:r>
      <w:r>
        <w:rPr>
          <w:rFonts w:hint="eastAsia" w:ascii="Calibri" w:hAnsi="Calibri" w:eastAsia="仿宋" w:cs="Times New Roman"/>
          <w:color w:val="000000"/>
          <w:sz w:val="28"/>
          <w:szCs w:val="28"/>
          <w:highlight w:val="none"/>
        </w:rPr>
        <w:t xml:space="preserve">，实际处理量为乙方实际处理的园林绿化垃圾量。</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②处理单价A、处理单价B由乙方报价确定。</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③每吨园林绿化垃圾资源化利用处理费中，包含0.32吨有机基质的产品费用。</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End w:id="1114"/>
      <w:r/>
      <w:bookmarkStart w:id="1120" w:name="_Toc65142223"/>
      <w:r/>
      <w:bookmarkEnd w:id="1120"/>
      <w:r/>
      <w:bookmarkStart w:id="1121" w:name="_Toc65157030"/>
      <w:r/>
      <w:bookmarkEnd w:id="1121"/>
      <w:r/>
      <w:bookmarkStart w:id="1122" w:name="_Toc65154861"/>
      <w:r/>
      <w:bookmarkEnd w:id="1122"/>
      <w:r/>
      <w:bookmarkStart w:id="1123" w:name="_Toc65142460"/>
      <w:r/>
      <w:bookmarkEnd w:id="1123"/>
      <w:r/>
      <w:bookmarkStart w:id="1124" w:name="_Toc65153901"/>
      <w:r/>
      <w:bookmarkEnd w:id="1124"/>
      <w:r/>
      <w:bookmarkStart w:id="1125" w:name="_Toc65142145"/>
      <w:r/>
      <w:bookmarkEnd w:id="1125"/>
      <w:r/>
      <w:bookmarkStart w:id="1126" w:name="_Toc65142375"/>
      <w:r/>
      <w:bookmarkEnd w:id="1126"/>
      <w:r/>
      <w:bookmarkStart w:id="1127" w:name="_Toc65157113"/>
      <w:r/>
      <w:bookmarkEnd w:id="1127"/>
      <w:r/>
      <w:bookmarkStart w:id="1128" w:name="_Toc65154943"/>
      <w:r/>
      <w:bookmarkEnd w:id="1128"/>
      <w:r/>
      <w:bookmarkStart w:id="1129" w:name="_Toc65142142"/>
      <w:r/>
      <w:bookmarkEnd w:id="1129"/>
      <w:r/>
      <w:bookmarkStart w:id="1130" w:name="_Toc65154860"/>
      <w:r/>
      <w:bookmarkEnd w:id="1130"/>
      <w:r/>
      <w:bookmarkStart w:id="1131" w:name="_Toc65142461"/>
      <w:r/>
      <w:bookmarkEnd w:id="1131"/>
      <w:r/>
      <w:bookmarkStart w:id="1132" w:name="_Toc65157111"/>
      <w:r/>
      <w:bookmarkEnd w:id="1132"/>
      <w:r/>
      <w:bookmarkStart w:id="1133" w:name="_Toc65142458"/>
      <w:r/>
      <w:bookmarkEnd w:id="1133"/>
      <w:r/>
      <w:bookmarkStart w:id="1134" w:name="_Toc65157035"/>
      <w:r/>
      <w:bookmarkEnd w:id="1134"/>
      <w:r/>
      <w:bookmarkStart w:id="1135" w:name="_Toc65142381"/>
      <w:r/>
      <w:bookmarkEnd w:id="1135"/>
      <w:r/>
      <w:bookmarkStart w:id="1136" w:name="_Toc65154859"/>
      <w:r/>
      <w:bookmarkEnd w:id="1136"/>
      <w:r/>
      <w:bookmarkStart w:id="1137" w:name="_Toc65142378"/>
      <w:r/>
      <w:bookmarkEnd w:id="1137"/>
      <w:r/>
      <w:bookmarkStart w:id="1138" w:name="_Toc65157031"/>
      <w:r/>
      <w:bookmarkEnd w:id="1138"/>
      <w:r/>
      <w:bookmarkStart w:id="1139" w:name="_Toc65157028"/>
      <w:r/>
      <w:bookmarkEnd w:id="1139"/>
      <w:r/>
      <w:bookmarkStart w:id="1140" w:name="_Toc65153982"/>
      <w:r/>
      <w:bookmarkEnd w:id="1140"/>
      <w:r/>
      <w:bookmarkStart w:id="1141" w:name="_Toc65142382"/>
      <w:r/>
      <w:bookmarkEnd w:id="1141"/>
      <w:r/>
      <w:bookmarkStart w:id="1142" w:name="_Toc65153903"/>
      <w:r/>
      <w:bookmarkEnd w:id="1142"/>
      <w:r/>
      <w:bookmarkStart w:id="1143" w:name="_Toc65157029"/>
      <w:r/>
      <w:bookmarkEnd w:id="1143"/>
      <w:r/>
      <w:bookmarkStart w:id="1144" w:name="_Toc65142144"/>
      <w:r/>
      <w:bookmarkEnd w:id="1144"/>
      <w:r/>
      <w:bookmarkStart w:id="1145" w:name="_Toc65153897"/>
      <w:r/>
      <w:bookmarkEnd w:id="1145"/>
      <w:r/>
      <w:bookmarkStart w:id="1146" w:name="_Toc65157036"/>
      <w:r/>
      <w:bookmarkEnd w:id="1146"/>
      <w:r/>
      <w:bookmarkStart w:id="1147" w:name="_Toc65153981"/>
      <w:r/>
      <w:bookmarkEnd w:id="1147"/>
      <w:r/>
      <w:bookmarkStart w:id="1148" w:name="_Toc65142459"/>
      <w:r/>
      <w:bookmarkEnd w:id="1148"/>
      <w:r/>
      <w:bookmarkStart w:id="1149" w:name="_Toc65142377"/>
      <w:r/>
      <w:bookmarkEnd w:id="1149"/>
      <w:r/>
      <w:bookmarkStart w:id="1150" w:name="_Toc65154944"/>
      <w:r/>
      <w:bookmarkEnd w:id="1150"/>
      <w:r/>
      <w:bookmarkStart w:id="1151" w:name="_Toc65142383"/>
      <w:r/>
      <w:bookmarkEnd w:id="1151"/>
      <w:r/>
      <w:bookmarkStart w:id="1152" w:name="_Toc65153896"/>
      <w:r/>
      <w:bookmarkEnd w:id="1152"/>
      <w:r/>
      <w:bookmarkStart w:id="1153" w:name="_Toc65153900"/>
      <w:r/>
      <w:bookmarkEnd w:id="1153"/>
      <w:r/>
      <w:bookmarkStart w:id="1154" w:name="_Toc65153898"/>
      <w:r/>
      <w:bookmarkEnd w:id="1154"/>
      <w:r/>
      <w:bookmarkStart w:id="1155" w:name="_Toc65154866"/>
      <w:r/>
      <w:bookmarkEnd w:id="1155"/>
      <w:r/>
      <w:bookmarkStart w:id="1156" w:name="_Toc65154867"/>
      <w:r/>
      <w:bookmarkEnd w:id="1156"/>
      <w:r/>
      <w:bookmarkStart w:id="1157" w:name="_Toc65153902"/>
      <w:r/>
      <w:bookmarkEnd w:id="1157"/>
      <w:r/>
      <w:bookmarkStart w:id="1158" w:name="_Toc65153899"/>
      <w:r/>
      <w:bookmarkEnd w:id="1158"/>
      <w:r/>
      <w:bookmarkStart w:id="1159" w:name="_Toc65154942"/>
      <w:r/>
      <w:bookmarkEnd w:id="1159"/>
      <w:r/>
      <w:bookmarkStart w:id="1160" w:name="_Toc65157032"/>
      <w:r/>
      <w:bookmarkEnd w:id="1160"/>
      <w:r/>
      <w:bookmarkStart w:id="1161" w:name="_Toc65154865"/>
      <w:r/>
      <w:bookmarkEnd w:id="1161"/>
      <w:r/>
      <w:bookmarkStart w:id="1162" w:name="_Toc65142140"/>
      <w:r/>
      <w:bookmarkEnd w:id="1162"/>
      <w:r/>
      <w:bookmarkStart w:id="1163" w:name="_Toc65142380"/>
      <w:r/>
      <w:bookmarkEnd w:id="1163"/>
      <w:r/>
      <w:bookmarkStart w:id="1164" w:name="_Toc65154945"/>
      <w:r/>
      <w:bookmarkEnd w:id="1164"/>
      <w:r/>
      <w:bookmarkStart w:id="1165" w:name="_Toc65154863"/>
      <w:r/>
      <w:bookmarkEnd w:id="1165"/>
      <w:r/>
      <w:bookmarkStart w:id="1166" w:name="_Toc65157034"/>
      <w:r/>
      <w:bookmarkEnd w:id="1166"/>
      <w:r/>
      <w:bookmarkStart w:id="1167" w:name="_Toc65154862"/>
      <w:r/>
      <w:bookmarkEnd w:id="1167"/>
      <w:r/>
      <w:bookmarkStart w:id="1168" w:name="_Toc65157033"/>
      <w:r/>
      <w:bookmarkEnd w:id="1168"/>
      <w:r/>
      <w:bookmarkStart w:id="1169" w:name="_Toc65154864"/>
      <w:r/>
      <w:bookmarkEnd w:id="1169"/>
      <w:r/>
      <w:bookmarkStart w:id="1170" w:name="_Toc65157112"/>
      <w:r/>
      <w:bookmarkEnd w:id="1170"/>
      <w:r/>
      <w:bookmarkStart w:id="1171" w:name="_Toc65153983"/>
      <w:r/>
      <w:bookmarkStart w:id="1172" w:name="_Toc30184"/>
      <w:r/>
      <w:bookmarkStart w:id="1173" w:name="_Toc63262882"/>
      <w:r/>
      <w:bookmarkStart w:id="1174" w:name="_Toc63263196"/>
      <w:r/>
      <w:bookmarkStart w:id="1175" w:name="_Toc65154946"/>
      <w:r/>
      <w:bookmarkStart w:id="1176" w:name="_Toc65142139"/>
      <w:r/>
      <w:bookmarkEnd w:id="1176"/>
      <w:r/>
      <w:bookmarkStart w:id="1177" w:name="_Toc65142224"/>
      <w:r/>
      <w:bookmarkEnd w:id="1177"/>
      <w:r/>
      <w:bookmarkStart w:id="1178" w:name="_Toc65157114"/>
      <w:r/>
      <w:bookmarkEnd w:id="1178"/>
      <w:r/>
      <w:bookmarkStart w:id="1179" w:name="_Toc65153979"/>
      <w:r/>
      <w:bookmarkEnd w:id="1179"/>
      <w:r/>
      <w:bookmarkStart w:id="1180" w:name="_Toc65142141"/>
      <w:r/>
      <w:bookmarkEnd w:id="1180"/>
      <w:r/>
      <w:bookmarkStart w:id="1181" w:name="_Toc65142376"/>
      <w:r/>
      <w:bookmarkEnd w:id="1181"/>
      <w:r/>
      <w:bookmarkStart w:id="1182" w:name="_Toc65142146"/>
      <w:r/>
      <w:bookmarkEnd w:id="1182"/>
      <w:r/>
      <w:bookmarkStart w:id="1183" w:name="_Toc65142379"/>
      <w:r/>
      <w:bookmarkEnd w:id="1183"/>
      <w:r/>
      <w:bookmarkStart w:id="1184" w:name="_Toc65142222"/>
      <w:r/>
      <w:bookmarkEnd w:id="1184"/>
      <w:r/>
      <w:bookmarkStart w:id="1185" w:name="_Toc65153980"/>
      <w:r/>
      <w:bookmarkEnd w:id="1185"/>
      <w:r/>
      <w:bookmarkStart w:id="1186" w:name="_Toc65142147"/>
      <w:r/>
      <w:bookmarkEnd w:id="1186"/>
      <w:r/>
      <w:bookmarkStart w:id="1187" w:name="_Toc65142225"/>
      <w:r/>
      <w:bookmarkEnd w:id="1187"/>
      <w:r/>
      <w:bookmarkStart w:id="1188" w:name="_Toc65142143"/>
      <w:r/>
      <w:bookmarkEnd w:id="1188"/>
      <w:r/>
      <w:bookmarkStart w:id="1189" w:name="_Toc65153904"/>
      <w:r/>
      <w:bookmarkEnd w:id="1189"/>
      <w:r>
        <w:rPr>
          <w:rFonts w:hint="eastAsia" w:eastAsia="仿宋" w:cs="Times New Roman"/>
          <w:b/>
          <w:bCs/>
          <w:color w:val="000000"/>
          <w:sz w:val="30"/>
          <w:szCs w:val="32"/>
          <w:highlight w:val="none"/>
        </w:rPr>
        <w:t xml:space="preserve">服务费支付</w:t>
      </w:r>
      <w:bookmarkEnd w:id="1171"/>
      <w:r/>
      <w:bookmarkEnd w:id="1172"/>
      <w:r/>
      <w:bookmarkEnd w:id="1173"/>
      <w:r/>
      <w:bookmarkEnd w:id="1174"/>
      <w:r/>
      <w:bookmarkEnd w:id="1175"/>
      <w:r>
        <w:rPr>
          <w:rFonts w:eastAsia="仿宋" w:cs="Times New Roman"/>
          <w:b/>
          <w:bCs/>
          <w:color w:val="000000"/>
          <w:sz w:val="30"/>
          <w:szCs w:val="32"/>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（1）合同签订后30日内且在收到中标供应商开具的发票后10个工作日内，甲方支付年度合同金额服务费的10%作为项目预付款。</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（2）中标供应商在年度资源化利用实际处理量达到理论处理量的70%后向甲方提交已完工作量台账等材料，经审计单位审核且甲方认可后支付至年度合同金额服务费的70%。</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（3）中标供应商在年度资源化利用实际处理量达到理论处理量的90%后向甲方提交已完工作量台账等材料，经审计单位审核且甲方认可后支付至年度合同金额服务费的90%。</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（4）中标供应商在每个年度服务结束后报送结算资料至审计单位进行审计并出具审计意见且经甲方认可后支付至审定价的100%。年度累计支付不超过合同金额，</w:t>
      </w:r>
      <w:r>
        <w:rPr>
          <w:rFonts w:hint="eastAsia" w:ascii="仿宋" w:hAnsi="仿宋" w:eastAsia="仿宋" w:cs="Times New Roman"/>
          <w:color w:val="000000"/>
          <w:sz w:val="28"/>
          <w:szCs w:val="28"/>
          <w:highlight w:val="none"/>
          <w:lang w:val="en-US" w:eastAsia="zh-CN"/>
        </w:rPr>
        <w:t xml:space="preserve">年度</w:t>
      </w:r>
      <w:r>
        <w:rPr>
          <w:rFonts w:hint="eastAsia" w:ascii="仿宋" w:hAnsi="仿宋" w:eastAsia="仿宋" w:cs="Times New Roman"/>
          <w:color w:val="000000"/>
          <w:sz w:val="28"/>
          <w:szCs w:val="28"/>
          <w:highlight w:val="none"/>
        </w:rPr>
        <w:t xml:space="preserve">资源化利用实际处理量超出理论处理量的，由中标供应商自行处置，甲方不再支付任何费用。</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注：①若年度资源化利用实际处理量未达到理论处理量的70%的，甲方不予支付后续合同款项，并有权解除合同。</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②甲方于每个服务年度结束后1个月内对上一服务年度供应商履约状况进行绩效评价，并将年度绩效评价结果以书面形式通知供应商，绩效评价扣费在后续综合服务费中扣除。</w:t>
      </w:r>
      <w:r>
        <w:rPr>
          <w:rFonts w:hint="eastAsia"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190" w:name="_Toc13679"/>
      <w:r>
        <w:rPr>
          <w:rFonts w:hint="eastAsia" w:eastAsia="仿宋" w:cs="Times New Roman"/>
          <w:b/>
          <w:bCs/>
          <w:color w:val="000000"/>
          <w:sz w:val="30"/>
          <w:szCs w:val="32"/>
          <w:highlight w:val="none"/>
        </w:rPr>
        <w:t xml:space="preserve">资源化利用产品提取</w:t>
      </w:r>
      <w:bookmarkEnd w:id="1190"/>
      <w:r>
        <w:rPr>
          <w:rFonts w:eastAsia="仿宋" w:cs="Times New Roman"/>
          <w:b/>
          <w:bCs/>
          <w:color w:val="000000"/>
          <w:sz w:val="30"/>
          <w:szCs w:val="32"/>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甲方支付上一</w:t>
      </w:r>
      <w:r>
        <w:rPr>
          <w:rFonts w:hint="eastAsia" w:ascii="仿宋" w:hAnsi="仿宋" w:eastAsia="仿宋" w:cs="Times New Roman"/>
          <w:color w:val="000000"/>
          <w:sz w:val="28"/>
          <w:szCs w:val="28"/>
          <w:highlight w:val="none"/>
          <w:lang w:val="en-US" w:eastAsia="zh-CN"/>
        </w:rPr>
        <w:t xml:space="preserve">年度</w:t>
      </w:r>
      <w:r>
        <w:rPr>
          <w:rFonts w:hint="eastAsia" w:ascii="仿宋" w:hAnsi="仿宋" w:eastAsia="仿宋" w:cs="Times New Roman"/>
          <w:color w:val="000000"/>
          <w:sz w:val="28"/>
          <w:szCs w:val="28"/>
          <w:highlight w:val="none"/>
        </w:rPr>
        <w:t xml:space="preserve">服务费30日后，可至乙方指定地点提取其回购的资源化利用产品。提取的有机基质重量（单位：吨）=</w:t>
      </w:r>
      <w:r>
        <w:rPr>
          <w:rFonts w:hint="eastAsia" w:ascii="仿宋" w:hAnsi="仿宋" w:eastAsia="仿宋" w:cs="Times New Roman"/>
          <w:color w:val="000000"/>
          <w:sz w:val="28"/>
          <w:szCs w:val="28"/>
          <w:highlight w:val="none"/>
        </w:rPr>
        <w:t xml:space="preserve">上一</w:t>
      </w:r>
      <w:r>
        <w:rPr>
          <w:rFonts w:hint="eastAsia" w:ascii="仿宋" w:hAnsi="仿宋" w:eastAsia="仿宋" w:cs="Times New Roman"/>
          <w:color w:val="000000"/>
          <w:sz w:val="28"/>
          <w:szCs w:val="28"/>
          <w:highlight w:val="none"/>
          <w:lang w:val="en-US" w:eastAsia="zh-CN"/>
        </w:rPr>
        <w:t xml:space="preserve">年度</w:t>
      </w:r>
      <w:r>
        <w:rPr>
          <w:rFonts w:hint="eastAsia" w:ascii="仿宋" w:hAnsi="仿宋" w:eastAsia="仿宋" w:cs="Times New Roman"/>
          <w:color w:val="000000"/>
          <w:sz w:val="28"/>
          <w:szCs w:val="28"/>
          <w:highlight w:val="none"/>
        </w:rPr>
        <w:t xml:space="preserve">实际处理的园林绿化垃圾（单位：吨）×0.32。</w:t>
      </w:r>
      <w:r>
        <w:rPr>
          <w:rFonts w:hint="eastAsia"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年度有机基质重量（单位：吨）不低于年度理论处理量的70%×0.32；</w:t>
      </w:r>
      <w:r>
        <w:rPr>
          <w:rFonts w:ascii="仿宋" w:hAnsi="仿宋"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Start w:id="1191" w:name="_Toc65157116"/>
      <w:r/>
      <w:bookmarkEnd w:id="1191"/>
      <w:r/>
      <w:bookmarkStart w:id="1192" w:name="_Toc65153985"/>
      <w:r/>
      <w:bookmarkStart w:id="1193" w:name="_Toc65154947"/>
      <w:r/>
      <w:bookmarkEnd w:id="1193"/>
      <w:r/>
      <w:bookmarkStart w:id="1194" w:name="_Toc65142463"/>
      <w:r/>
      <w:bookmarkEnd w:id="1194"/>
      <w:r/>
      <w:bookmarkStart w:id="1195" w:name="_Toc65142227"/>
      <w:r/>
      <w:bookmarkEnd w:id="1195"/>
      <w:r/>
      <w:bookmarkStart w:id="1196" w:name="_Toc65153984"/>
      <w:r/>
      <w:bookmarkEnd w:id="1196"/>
      <w:r/>
      <w:bookmarkStart w:id="1197" w:name="_Toc63262883"/>
      <w:r/>
      <w:bookmarkStart w:id="1198" w:name="_Toc63263197"/>
      <w:r/>
      <w:bookmarkStart w:id="1199" w:name="_Toc65154948"/>
      <w:r/>
      <w:bookmarkStart w:id="1200" w:name="_Toc2650"/>
      <w:r>
        <w:rPr>
          <w:rFonts w:hint="eastAsia" w:ascii="Calibri" w:hAnsi="Calibri" w:eastAsia="仿宋" w:cs="Times New Roman"/>
          <w:b/>
          <w:bCs/>
          <w:color w:val="000000"/>
          <w:sz w:val="32"/>
          <w:szCs w:val="36"/>
          <w:highlight w:val="none"/>
        </w:rPr>
        <w:t xml:space="preserve">第九章  </w:t>
      </w:r>
      <w:r>
        <w:rPr>
          <w:rFonts w:hint="eastAsia" w:ascii="仿宋" w:hAnsi="仿宋" w:eastAsia="仿宋" w:cs="Times New Roman"/>
          <w:b/>
          <w:bCs/>
          <w:color w:val="000000"/>
          <w:sz w:val="32"/>
          <w:szCs w:val="36"/>
          <w:highlight w:val="none"/>
        </w:rPr>
        <w:t xml:space="preserve">项目绩效评价</w:t>
      </w:r>
      <w:bookmarkEnd w:id="1192"/>
      <w:r/>
      <w:bookmarkEnd w:id="1197"/>
      <w:r/>
      <w:bookmarkEnd w:id="1198"/>
      <w:r/>
      <w:bookmarkEnd w:id="1199"/>
      <w:r/>
      <w:bookmarkEnd w:id="1200"/>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01" w:name="_Toc65153986"/>
      <w:r/>
      <w:bookmarkStart w:id="1202" w:name="_Toc63263198"/>
      <w:r/>
      <w:bookmarkStart w:id="1203" w:name="_Toc65154949"/>
      <w:r/>
      <w:bookmarkStart w:id="1204" w:name="_Toc63262884"/>
      <w:r/>
      <w:bookmarkStart w:id="1205" w:name="_Toc14085"/>
      <w:r>
        <w:rPr>
          <w:rFonts w:hint="eastAsia" w:eastAsia="仿宋" w:cs="Times New Roman"/>
          <w:b/>
          <w:bCs/>
          <w:color w:val="000000"/>
          <w:sz w:val="30"/>
          <w:szCs w:val="32"/>
          <w:highlight w:val="none"/>
        </w:rPr>
        <w:t xml:space="preserve">项目绩效评价</w:t>
      </w:r>
      <w:bookmarkEnd w:id="1201"/>
      <w:r/>
      <w:bookmarkEnd w:id="1202"/>
      <w:r/>
      <w:bookmarkEnd w:id="1203"/>
      <w:r/>
      <w:bookmarkEnd w:id="1204"/>
      <w:r/>
      <w:bookmarkEnd w:id="1205"/>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（1）绩效评价主体</w:t>
      </w:r>
      <w:bookmarkStart w:id="1206" w:name="_Toc248087600"/>
      <w:r/>
      <w:bookmarkStart w:id="1207" w:name="_Toc248217964"/>
      <w:r/>
      <w:bookmarkStart w:id="1208" w:name="_Toc22634577"/>
      <w:r/>
      <w:bookmarkStart w:id="1209" w:name="_Toc248087324"/>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甲方负责组织实施项目绩效评价工作，并向乙方通报绩效评价情况。</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bookmarkStart w:id="1210" w:name="_Toc12388"/>
      <w:r>
        <w:rPr>
          <w:rFonts w:hint="eastAsia" w:ascii="仿宋" w:hAnsi="仿宋" w:eastAsia="仿宋" w:cs="Times New Roman"/>
          <w:color w:val="000000"/>
          <w:sz w:val="28"/>
          <w:szCs w:val="28"/>
          <w:highlight w:val="none"/>
        </w:rPr>
        <w:t xml:space="preserve">（2）绩效评价方式</w:t>
      </w:r>
      <w:bookmarkEnd w:id="1210"/>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项目绩效评价在每个服务年度完成后一个月内进行。乙方应当在每个服务年度结束后二十日内向甲方提交上一服务年度履约报告。甲方根据履约报告和日常检查情况，对乙方进行绩效评价评分。</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bookmarkStart w:id="1211" w:name="_Toc11292"/>
      <w:r>
        <w:rPr>
          <w:rFonts w:hint="eastAsia" w:ascii="仿宋" w:hAnsi="仿宋" w:eastAsia="仿宋" w:cs="Times New Roman"/>
          <w:color w:val="000000"/>
          <w:sz w:val="28"/>
          <w:szCs w:val="28"/>
          <w:highlight w:val="none"/>
        </w:rPr>
        <w:t xml:space="preserve">（3）绩效评价结果的应用</w:t>
      </w:r>
      <w:bookmarkEnd w:id="1211"/>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上一年度综合服务费与绩效评价结果挂钩。当绩效评价得分≥90分时，无需扣减服务费；当绩效评价得分＜90分时，服务费应进行相应扣减，计算方式如下：</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上一服务年度绩效评价扣费=上一服务年度服务费×（1－绩效评价得分/90）</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绩效评价扣费在确定绩效评价结果后的首次支付的服务费中扣除。如应扣费额高于首次支付的服务费，则在下一次付费中继续扣除，依此类推，直至扣费额达到要求为止。</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服务期最后一次付费在最后一年绩效评价完毕且扣除最后一年的绩效评价应扣费后予以支付。如最后一次的付费低于最后一年的绩效评价应扣费金额，则乙方应向甲方另行补足。</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如绩效评价得分低于60分，甲方有权立即解除本合同。</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bookmarkStart w:id="1212" w:name="_Toc13313"/>
      <w:r>
        <w:rPr>
          <w:rFonts w:hint="eastAsia" w:ascii="仿宋" w:hAnsi="仿宋" w:eastAsia="仿宋" w:cs="Times New Roman"/>
          <w:color w:val="000000"/>
          <w:sz w:val="28"/>
          <w:szCs w:val="28"/>
          <w:highlight w:val="none"/>
        </w:rPr>
        <w:t xml:space="preserve">（4）绩效评价指标</w:t>
      </w:r>
      <w:bookmarkEnd w:id="1212"/>
      <w:r>
        <w:rPr>
          <w:rFonts w:ascii="仿宋" w:hAnsi="仿宋" w:eastAsia="仿宋" w:cs="Times New Roman"/>
          <w:color w:val="000000"/>
          <w:sz w:val="28"/>
          <w:szCs w:val="28"/>
          <w:highlight w:val="none"/>
        </w:rPr>
      </w:r>
      <w:r/>
    </w:p>
    <w:p>
      <w:pPr>
        <w:pStyle w:val="906"/>
        <w:jc w:val="center"/>
        <w:spacing w:line="360" w:lineRule="auto"/>
        <w:rPr>
          <w:rFonts w:ascii="仿宋" w:hAnsi="仿宋" w:eastAsia="仿宋" w:cs="Times New Roman"/>
          <w:b/>
          <w:color w:val="000000"/>
          <w:sz w:val="28"/>
          <w:szCs w:val="28"/>
          <w:highlight w:val="none"/>
        </w:rPr>
      </w:pPr>
      <w:r>
        <w:rPr>
          <w:rFonts w:ascii="仿宋" w:hAnsi="仿宋" w:eastAsia="仿宋" w:cs="Times New Roman"/>
          <w:b/>
          <w:color w:val="000000"/>
          <w:sz w:val="28"/>
          <w:szCs w:val="28"/>
          <w:highlight w:val="none"/>
        </w:rPr>
        <w:t xml:space="preserve">绩效</w:t>
      </w:r>
      <w:r>
        <w:rPr>
          <w:rFonts w:hint="eastAsia" w:ascii="仿宋" w:hAnsi="仿宋" w:eastAsia="仿宋" w:cs="Times New Roman"/>
          <w:b/>
          <w:color w:val="000000"/>
          <w:sz w:val="28"/>
          <w:szCs w:val="28"/>
          <w:highlight w:val="none"/>
        </w:rPr>
        <w:t xml:space="preserve">评价</w:t>
      </w:r>
      <w:r>
        <w:rPr>
          <w:rFonts w:ascii="仿宋" w:hAnsi="仿宋" w:eastAsia="仿宋" w:cs="Times New Roman"/>
          <w:b/>
          <w:color w:val="000000"/>
          <w:sz w:val="28"/>
          <w:szCs w:val="28"/>
          <w:highlight w:val="none"/>
        </w:rPr>
        <w:t xml:space="preserve">指标表</w:t>
      </w:r>
      <w:r>
        <w:rPr>
          <w:rFonts w:ascii="仿宋" w:hAnsi="仿宋" w:eastAsia="仿宋" w:cs="Times New Roman"/>
          <w:b/>
          <w:color w:val="000000"/>
          <w:sz w:val="28"/>
          <w:szCs w:val="28"/>
          <w:highlight w:val="none"/>
        </w:rPr>
      </w:r>
      <w:r/>
    </w:p>
    <w:tbl>
      <w:tblPr>
        <w:tblW w:w="49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861"/>
        <w:gridCol w:w="1286"/>
        <w:gridCol w:w="889"/>
        <w:gridCol w:w="6221"/>
      </w:tblGrid>
      <w:tr>
        <w:trPr>
          <w:trHeight w:val="397"/>
          <w:tblHeader/>
        </w:trPr>
        <w:tc>
          <w:tcPr>
            <w:tcW w:w="465" w:type="dxa"/>
            <w:vAlign w:val="center"/>
            <w:textDirection w:val="lrTb"/>
            <w:noWrap w:val="false"/>
          </w:tcPr>
          <w:p>
            <w:pPr>
              <w:pStyle w:val="906"/>
              <w:jc w:val="center"/>
              <w:widowControl/>
              <w:rPr>
                <w:rFonts w:ascii="仿宋" w:hAnsi="仿宋" w:eastAsia="仿宋" w:cs="仿宋"/>
                <w:b/>
                <w:bCs/>
                <w:color w:val="000000"/>
                <w:sz w:val="24"/>
                <w:highlight w:val="none"/>
              </w:rPr>
            </w:pPr>
            <w:r/>
            <w:bookmarkStart w:id="1213" w:name="_Hlk151716548"/>
            <w:r/>
            <w:bookmarkStart w:id="1214" w:name="_Toc510040885"/>
            <w:r>
              <w:rPr>
                <w:rFonts w:hint="eastAsia" w:ascii="仿宋" w:hAnsi="仿宋" w:eastAsia="仿宋" w:cs="仿宋"/>
                <w:b/>
                <w:bCs/>
                <w:color w:val="000000"/>
                <w:sz w:val="24"/>
                <w:highlight w:val="none"/>
              </w:rPr>
              <w:t xml:space="preserve">一级</w:t>
            </w:r>
            <w:r>
              <w:rPr>
                <w:rFonts w:ascii="仿宋" w:hAnsi="仿宋" w:eastAsia="仿宋" w:cs="仿宋"/>
                <w:b/>
                <w:bCs/>
                <w:color w:val="000000"/>
                <w:sz w:val="24"/>
                <w:highlight w:val="none"/>
              </w:rPr>
            </w:r>
            <w:r/>
          </w:p>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指标</w:t>
            </w:r>
            <w:r>
              <w:rPr>
                <w:rFonts w:ascii="仿宋" w:hAnsi="仿宋" w:eastAsia="仿宋" w:cs="仿宋"/>
                <w:b/>
                <w:bCs/>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二级</w:t>
            </w:r>
            <w:r>
              <w:rPr>
                <w:rFonts w:ascii="仿宋" w:hAnsi="仿宋" w:eastAsia="仿宋" w:cs="仿宋"/>
                <w:b/>
                <w:bCs/>
                <w:color w:val="000000"/>
                <w:sz w:val="24"/>
                <w:highlight w:val="none"/>
              </w:rPr>
            </w:r>
            <w:r/>
          </w:p>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指标</w:t>
            </w:r>
            <w:r>
              <w:rPr>
                <w:rFonts w:ascii="仿宋" w:hAnsi="仿宋" w:eastAsia="仿宋" w:cs="仿宋"/>
                <w:b/>
                <w:bCs/>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指标</w:t>
            </w:r>
            <w:r>
              <w:rPr>
                <w:rFonts w:ascii="仿宋" w:hAnsi="仿宋" w:eastAsia="仿宋" w:cs="仿宋"/>
                <w:b/>
                <w:bCs/>
                <w:color w:val="000000"/>
                <w:sz w:val="24"/>
                <w:highlight w:val="none"/>
              </w:rPr>
            </w:r>
            <w:r/>
          </w:p>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分值</w:t>
            </w:r>
            <w:r>
              <w:rPr>
                <w:rFonts w:ascii="仿宋" w:hAnsi="仿宋" w:eastAsia="仿宋" w:cs="仿宋"/>
                <w:b/>
                <w:bCs/>
                <w:color w:val="000000"/>
                <w:sz w:val="24"/>
                <w:highlight w:val="none"/>
              </w:rPr>
            </w:r>
            <w:r/>
          </w:p>
        </w:tc>
        <w:tc>
          <w:tcPr>
            <w:tcW w:w="3358" w:type="dxa"/>
            <w:vAlign w:val="center"/>
            <w:textDirection w:val="lrTb"/>
            <w:noWrap w:val="false"/>
          </w:tcPr>
          <w:p>
            <w:pPr>
              <w:pStyle w:val="906"/>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评价标准及评分办法</w:t>
            </w:r>
            <w:r>
              <w:rPr>
                <w:rFonts w:ascii="仿宋" w:hAnsi="仿宋" w:eastAsia="仿宋" w:cs="仿宋"/>
                <w:b/>
                <w:bCs/>
                <w:color w:val="000000"/>
                <w:sz w:val="24"/>
                <w:highlight w:val="none"/>
              </w:rPr>
            </w:r>
            <w:r/>
          </w:p>
        </w:tc>
      </w:tr>
      <w:tr>
        <w:trPr>
          <w:trHeight w:val="397"/>
        </w:trPr>
        <w:tc>
          <w:tcPr>
            <w:tcW w:w="465"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收运管理</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园林绿化垃圾收运</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园林绿化垃圾的收集和运输应当按照环境卫生作业标准和作业规范，在规定的时间内及时收运；受病菌或者虫体危害的园林绿化垃圾应当单独收集，并进行特殊预处理；用于运输园林绿化垃圾的车辆应当采取覆盖或者其他措施防止散落，并按照规定的路线和时间进行运输。不符合要求的，每发现一次扣1分。</w:t>
            </w:r>
            <w:r>
              <w:rPr>
                <w:rFonts w:ascii="仿宋" w:hAnsi="仿宋" w:eastAsia="仿宋" w:cs="仿宋"/>
                <w:color w:val="000000"/>
                <w:sz w:val="24"/>
                <w:highlight w:val="none"/>
              </w:rPr>
            </w:r>
            <w:r/>
          </w:p>
        </w:tc>
      </w:tr>
      <w:tr>
        <w:trPr>
          <w:trHeight w:val="397"/>
        </w:trPr>
        <w:tc>
          <w:tcPr>
            <w:tcW w:w="465" w:type="dxa"/>
            <w:vAlign w:val="center"/>
            <w:vMerge w:val="restart"/>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处理和资源化利用</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园林绿化垃圾处理</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园林绿化垃圾处理能力应满足本合同要求。园林绿化垃圾收集、运输、处置过程中，不得有擅自倾倒、堆放、丢弃、遗撒、露天焚烧等污染环境或影响环境卫生的行为。不符合要求的，每发现一次扣2分。</w:t>
            </w:r>
            <w:r>
              <w:rPr>
                <w:rFonts w:ascii="仿宋" w:hAnsi="仿宋" w:eastAsia="仿宋" w:cs="仿宋"/>
                <w:color w:val="000000"/>
                <w:sz w:val="24"/>
                <w:highlight w:val="none"/>
              </w:rPr>
            </w:r>
            <w:r/>
          </w:p>
        </w:tc>
      </w:tr>
      <w:tr>
        <w:trPr>
          <w:trHeight w:val="397"/>
        </w:trPr>
        <w:tc>
          <w:tcPr>
            <w:tcW w:w="465" w:type="dxa"/>
            <w:vAlign w:val="center"/>
            <w:vMerge w:val="continue"/>
            <w:textDirection w:val="lrTb"/>
            <w:noWrap w:val="false"/>
          </w:tcPr>
          <w:p>
            <w:pPr>
              <w:pStyle w:val="906"/>
              <w:jc w:val="center"/>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资源化利用产品</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25</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（1）资源化利用产品应达到相关标准，产品质量以采购单位认可的有关部门或第三方检测机构的检测数据为准。一次检测数据不达标，扣1分，每次检测单独扣分；</w:t>
            </w:r>
            <w:r>
              <w:rPr>
                <w:rFonts w:hint="eastAsia"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（2）有关部门抽测产品质量不合格的，每次扣2分；</w:t>
            </w:r>
            <w:r>
              <w:rPr>
                <w:rFonts w:ascii="仿宋" w:hAnsi="仿宋" w:eastAsia="仿宋" w:cs="仿宋"/>
                <w:color w:val="000000"/>
                <w:sz w:val="24"/>
                <w:highlight w:val="none"/>
              </w:rPr>
            </w:r>
            <w:r/>
          </w:p>
        </w:tc>
      </w:tr>
      <w:tr>
        <w:trPr>
          <w:trHeight w:val="397"/>
        </w:trPr>
        <w:tc>
          <w:tcPr>
            <w:tcW w:w="465" w:type="dxa"/>
            <w:vAlign w:val="center"/>
            <w:vMerge w:val="continue"/>
            <w:textDirection w:val="lrTb"/>
            <w:noWrap w:val="false"/>
          </w:tcPr>
          <w:p>
            <w:pPr>
              <w:pStyle w:val="906"/>
              <w:jc w:val="lef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噪声、恶臭控制</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（1）处理厂区内噪声、恶臭控制完全符合环保及相关标准要求；</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（2）噪声、臭气明显，不符合环保要求的，每次扣1分。</w:t>
            </w:r>
            <w:r>
              <w:rPr>
                <w:rFonts w:ascii="仿宋" w:hAnsi="仿宋" w:eastAsia="仿宋" w:cs="仿宋"/>
                <w:color w:val="000000"/>
                <w:sz w:val="24"/>
                <w:highlight w:val="none"/>
              </w:rPr>
            </w:r>
            <w:r/>
          </w:p>
        </w:tc>
      </w:tr>
      <w:tr>
        <w:trPr>
          <w:trHeight w:val="397"/>
        </w:trPr>
        <w:tc>
          <w:tcPr>
            <w:tcW w:w="465" w:type="dxa"/>
            <w:vAlign w:val="center"/>
            <w:vMerge w:val="restart"/>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设施设备运行</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收运车辆运行状况</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（1）破碎车辆及运输车辆车容车貌规范，车辆无明显损坏，不符合要求的，发现一次扣1分；</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（2）破碎车辆和运输车辆建立维护、维修台账，且相关人员签名确认。台账不完善，酌情扣0.1-5分。</w:t>
            </w:r>
            <w:r>
              <w:rPr>
                <w:rFonts w:ascii="仿宋" w:hAnsi="仿宋" w:eastAsia="仿宋" w:cs="仿宋"/>
                <w:color w:val="000000"/>
                <w:sz w:val="24"/>
                <w:highlight w:val="none"/>
              </w:rPr>
            </w:r>
            <w:r/>
          </w:p>
        </w:tc>
      </w:tr>
      <w:tr>
        <w:trPr>
          <w:trHeight w:val="397"/>
        </w:trPr>
        <w:tc>
          <w:tcPr>
            <w:tcW w:w="465" w:type="dxa"/>
            <w:vAlign w:val="center"/>
            <w:vMerge w:val="continue"/>
            <w:textDirection w:val="lrTb"/>
            <w:noWrap w:val="false"/>
          </w:tcPr>
          <w:p>
            <w:pPr>
              <w:pStyle w:val="906"/>
              <w:jc w:val="center"/>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资源化利用处理设施运行状况</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（1）设施设备外观整洁，运行正常。每发现一起不符合要求，酌情扣0.1-1分；</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（2）项目设施无明显腐蚀损坏。发现一处明显腐蚀损坏且影响安全或正常使用的，酌情扣0.1-1分；</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（3）主要设备建立维护、维修台账，且相关人员签名确认。台账不完善，酌情扣0.1-5分。</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（4）存在有关部门提出的设施设备运行问题未及时整改，或被通报批评的，每次扣1分。</w:t>
            </w:r>
            <w:r>
              <w:rPr>
                <w:rFonts w:ascii="仿宋" w:hAnsi="仿宋" w:eastAsia="仿宋" w:cs="仿宋"/>
                <w:color w:val="000000"/>
                <w:sz w:val="24"/>
                <w:highlight w:val="none"/>
              </w:rPr>
            </w:r>
            <w:r/>
          </w:p>
        </w:tc>
      </w:tr>
      <w:tr>
        <w:trPr>
          <w:trHeight w:val="397"/>
        </w:trPr>
        <w:tc>
          <w:tcPr>
            <w:tcW w:w="465" w:type="dxa"/>
            <w:vAlign w:val="center"/>
            <w:vMerge w:val="restart"/>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安全保障</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安全管理</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（1）乙方应当建立操作管理制度及安全制度，在处置场所张贴操作流程、警示标识，并配备安全消防设施。不符合要求的，每发现一次扣1分；</w:t>
            </w:r>
            <w:r>
              <w:rPr>
                <w:rFonts w:ascii="仿宋" w:hAnsi="仿宋" w:eastAsia="仿宋" w:cs="仿宋"/>
                <w:color w:val="000000"/>
                <w:sz w:val="24"/>
                <w:highlight w:val="none"/>
              </w:rPr>
            </w:r>
            <w:r/>
          </w:p>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（1）乙方应保障生产和服务的稳定和安全，防止事故发生。存在相关部门提出的安全隐患事项，未及时整改或被通报批评的，每发现一起扣1分。</w:t>
            </w:r>
            <w:r>
              <w:rPr>
                <w:rFonts w:ascii="仿宋" w:hAnsi="仿宋" w:eastAsia="仿宋" w:cs="仿宋"/>
                <w:color w:val="000000"/>
                <w:sz w:val="24"/>
                <w:highlight w:val="none"/>
              </w:rPr>
            </w:r>
            <w:r/>
          </w:p>
        </w:tc>
      </w:tr>
      <w:tr>
        <w:trPr>
          <w:trHeight w:val="397"/>
        </w:trPr>
        <w:tc>
          <w:tcPr>
            <w:tcW w:w="465" w:type="dxa"/>
            <w:vAlign w:val="center"/>
            <w:vMerge w:val="continue"/>
            <w:textDirection w:val="lrTb"/>
            <w:noWrap w:val="false"/>
          </w:tcPr>
          <w:p>
            <w:pPr>
              <w:pStyle w:val="906"/>
              <w:jc w:val="lef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应急管理</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建立合理有效的应急预案，并报采购单位备案。无应急预案，本项不得分；已建立应急预案，未进行备案扣1分。</w:t>
            </w:r>
            <w:r>
              <w:rPr>
                <w:rFonts w:ascii="仿宋" w:hAnsi="仿宋" w:eastAsia="仿宋" w:cs="仿宋"/>
                <w:color w:val="000000"/>
                <w:sz w:val="24"/>
                <w:highlight w:val="none"/>
              </w:rPr>
            </w:r>
            <w:r/>
          </w:p>
        </w:tc>
      </w:tr>
      <w:tr>
        <w:trPr>
          <w:trHeight w:val="397"/>
        </w:trPr>
        <w:tc>
          <w:tcPr>
            <w:tcW w:w="465" w:type="dxa"/>
            <w:vAlign w:val="center"/>
            <w:vMerge w:val="continue"/>
            <w:textDirection w:val="lrTb"/>
            <w:noWrap w:val="false"/>
          </w:tcPr>
          <w:p>
            <w:pPr>
              <w:pStyle w:val="906"/>
              <w:jc w:val="lef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安全事故</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评价周期内，因乙方原因导致发生的安全责任事故，每次扣1分。</w:t>
            </w:r>
            <w:r>
              <w:rPr>
                <w:rFonts w:ascii="仿宋" w:hAnsi="仿宋" w:eastAsia="仿宋" w:cs="仿宋"/>
                <w:color w:val="000000"/>
                <w:sz w:val="24"/>
                <w:highlight w:val="none"/>
              </w:rPr>
            </w:r>
            <w:r/>
          </w:p>
        </w:tc>
      </w:tr>
      <w:tr>
        <w:trPr>
          <w:trHeight w:val="397"/>
        </w:trPr>
        <w:tc>
          <w:tcPr>
            <w:tcW w:w="465"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生态影响</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突发环境事件</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评价周期内，因乙方原因导致发生突发环境事件的，每次扣1分。</w:t>
            </w:r>
            <w:r>
              <w:rPr>
                <w:rFonts w:ascii="仿宋" w:hAnsi="仿宋" w:eastAsia="仿宋" w:cs="仿宋"/>
                <w:color w:val="000000"/>
                <w:sz w:val="24"/>
                <w:highlight w:val="none"/>
              </w:rPr>
            </w:r>
            <w:r/>
          </w:p>
        </w:tc>
      </w:tr>
      <w:tr>
        <w:trPr>
          <w:trHeight w:val="397"/>
        </w:trPr>
        <w:tc>
          <w:tcPr>
            <w:tcW w:w="465"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社会影响</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舆情与投诉</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（1）项目运行过程中每发生一次可归责于乙方的舆情或投诉事件，且乙方处理到位的，扣1分；</w:t>
            </w:r>
            <w:r>
              <w:rPr>
                <w:rFonts w:hint="eastAsia" w:ascii="仿宋" w:hAnsi="仿宋" w:eastAsia="仿宋" w:cs="仿宋"/>
                <w:color w:val="000000"/>
                <w:sz w:val="24"/>
                <w:highlight w:val="none"/>
              </w:rPr>
              <w:br w:type="textWrapping" w:clear="all"/>
            </w:r>
            <w:r>
              <w:rPr>
                <w:rFonts w:hint="eastAsia" w:ascii="仿宋" w:hAnsi="仿宋" w:eastAsia="仿宋" w:cs="仿宋"/>
                <w:color w:val="000000"/>
                <w:sz w:val="24"/>
                <w:highlight w:val="none"/>
              </w:rPr>
              <w:t xml:space="preserve">（2）项目运行过程中每发生一次可归责于乙方的舆情或投诉事件，且乙方处理不到位的，扣2分。</w:t>
            </w:r>
            <w:r>
              <w:rPr>
                <w:rFonts w:ascii="仿宋" w:hAnsi="仿宋" w:eastAsia="仿宋" w:cs="仿宋"/>
                <w:color w:val="000000"/>
                <w:sz w:val="24"/>
                <w:highlight w:val="none"/>
              </w:rPr>
            </w:r>
            <w:r/>
          </w:p>
        </w:tc>
      </w:tr>
      <w:tr>
        <w:trPr>
          <w:trHeight w:val="397"/>
        </w:trPr>
        <w:tc>
          <w:tcPr>
            <w:tcW w:w="465"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服务响应</w:t>
            </w:r>
            <w:r>
              <w:rPr>
                <w:rFonts w:ascii="仿宋" w:hAnsi="仿宋" w:eastAsia="仿宋" w:cs="仿宋"/>
                <w:color w:val="000000"/>
                <w:sz w:val="24"/>
                <w:highlight w:val="none"/>
              </w:rPr>
            </w:r>
            <w:r/>
          </w:p>
        </w:tc>
        <w:tc>
          <w:tcPr>
            <w:tcW w:w="694"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响应管理</w:t>
            </w:r>
            <w:r>
              <w:rPr>
                <w:rFonts w:ascii="仿宋" w:hAnsi="仿宋" w:eastAsia="仿宋" w:cs="仿宋"/>
                <w:color w:val="000000"/>
                <w:sz w:val="24"/>
                <w:highlight w:val="none"/>
              </w:rPr>
            </w:r>
            <w:r/>
          </w:p>
        </w:tc>
        <w:tc>
          <w:tcPr>
            <w:tcW w:w="480" w:type="dxa"/>
            <w:vAlign w:val="center"/>
            <w:textDirection w:val="lrTb"/>
            <w:noWrap w:val="false"/>
          </w:tcPr>
          <w:p>
            <w:pPr>
              <w:pStyle w:val="906"/>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3358" w:type="dxa"/>
            <w:vAlign w:val="center"/>
            <w:textDirection w:val="lrTb"/>
            <w:noWrap w:val="false"/>
          </w:tcPr>
          <w:p>
            <w:pPr>
              <w:pStyle w:val="906"/>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乙方应积极响应甲方的管理要求，无故不响应或不符合甲方管理要求的，每发生一次扣1分。</w:t>
            </w:r>
            <w:r>
              <w:rPr>
                <w:rFonts w:ascii="仿宋" w:hAnsi="仿宋" w:eastAsia="仿宋" w:cs="仿宋"/>
                <w:color w:val="000000"/>
                <w:sz w:val="24"/>
                <w:highlight w:val="none"/>
              </w:rPr>
            </w:r>
            <w:r/>
          </w:p>
        </w:tc>
      </w:tr>
    </w:tbl>
    <w:p>
      <w:pPr>
        <w:pStyle w:val="906"/>
        <w:spacing w:line="360" w:lineRule="auto"/>
        <w:rPr>
          <w:rFonts w:ascii="仿宋" w:hAnsi="仿宋" w:eastAsia="仿宋" w:cs="Times New Roman"/>
          <w:color w:val="000000"/>
          <w:sz w:val="24"/>
          <w:highlight w:val="none"/>
        </w:rPr>
      </w:pPr>
      <w:r/>
      <w:bookmarkEnd w:id="1213"/>
      <w:r>
        <w:rPr>
          <w:rFonts w:hint="eastAsia" w:ascii="仿宋" w:hAnsi="仿宋" w:eastAsia="仿宋" w:cs="Times New Roman"/>
          <w:color w:val="000000"/>
          <w:sz w:val="24"/>
          <w:highlight w:val="none"/>
        </w:rPr>
        <w:t xml:space="preserve">注：每项二级指标范围下的扣分不超过该二级指标的分值。</w:t>
      </w:r>
      <w:r>
        <w:rPr>
          <w:rFonts w:ascii="仿宋" w:hAnsi="仿宋" w:eastAsia="仿宋" w:cs="Times New Roman"/>
          <w:color w:val="000000"/>
          <w:sz w:val="24"/>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End w:id="1214"/>
      <w:r/>
      <w:bookmarkStart w:id="1215" w:name="_Toc65142469"/>
      <w:r/>
      <w:bookmarkEnd w:id="1215"/>
      <w:r/>
      <w:bookmarkStart w:id="1216" w:name="_Toc65153997"/>
      <w:r/>
      <w:bookmarkEnd w:id="1216"/>
      <w:r/>
      <w:bookmarkStart w:id="1217" w:name="_Toc65154952"/>
      <w:r/>
      <w:bookmarkEnd w:id="1217"/>
      <w:r/>
      <w:bookmarkStart w:id="1218" w:name="_Toc65142472"/>
      <w:r/>
      <w:bookmarkEnd w:id="1218"/>
      <w:r/>
      <w:bookmarkStart w:id="1219" w:name="_Toc65154961"/>
      <w:r/>
      <w:bookmarkEnd w:id="1219"/>
      <w:r/>
      <w:bookmarkStart w:id="1220" w:name="_Toc65153996"/>
      <w:r/>
      <w:bookmarkEnd w:id="1220"/>
      <w:r/>
      <w:bookmarkStart w:id="1221" w:name="_Toc65142468"/>
      <w:r/>
      <w:bookmarkEnd w:id="1221"/>
      <w:r/>
      <w:bookmarkStart w:id="1222" w:name="_Toc65157126"/>
      <w:r/>
      <w:bookmarkEnd w:id="1222"/>
      <w:r/>
      <w:bookmarkStart w:id="1223" w:name="_Toc65153994"/>
      <w:r/>
      <w:bookmarkEnd w:id="1223"/>
      <w:r/>
      <w:bookmarkStart w:id="1224" w:name="_Toc65157130"/>
      <w:r/>
      <w:bookmarkEnd w:id="1224"/>
      <w:r/>
      <w:bookmarkStart w:id="1225" w:name="_Toc65157119"/>
      <w:r/>
      <w:bookmarkEnd w:id="1225"/>
      <w:r/>
      <w:bookmarkStart w:id="1226" w:name="_Toc65153988"/>
      <w:r/>
      <w:bookmarkEnd w:id="1226"/>
      <w:r/>
      <w:bookmarkStart w:id="1227" w:name="_Toc65153989"/>
      <w:r/>
      <w:bookmarkEnd w:id="1227"/>
      <w:r/>
      <w:bookmarkStart w:id="1228" w:name="_Toc65153992"/>
      <w:r/>
      <w:bookmarkEnd w:id="1228"/>
      <w:r/>
      <w:bookmarkStart w:id="1229" w:name="_Toc65154951"/>
      <w:r/>
      <w:bookmarkEnd w:id="1229"/>
      <w:r/>
      <w:bookmarkStart w:id="1230" w:name="_Toc65142471"/>
      <w:r/>
      <w:bookmarkEnd w:id="1230"/>
      <w:r/>
      <w:bookmarkStart w:id="1231" w:name="_Toc65154950"/>
      <w:r/>
      <w:bookmarkEnd w:id="1231"/>
      <w:r/>
      <w:bookmarkStart w:id="1232" w:name="_Toc65153991"/>
      <w:r/>
      <w:bookmarkEnd w:id="1232"/>
      <w:r/>
      <w:bookmarkStart w:id="1233" w:name="_Toc65153987"/>
      <w:r/>
      <w:bookmarkEnd w:id="1233"/>
      <w:r/>
      <w:bookmarkStart w:id="1234" w:name="_Toc65142475"/>
      <w:r/>
      <w:bookmarkEnd w:id="1234"/>
      <w:r/>
      <w:bookmarkStart w:id="1235" w:name="_Toc65142467"/>
      <w:r/>
      <w:bookmarkEnd w:id="1235"/>
      <w:r/>
      <w:bookmarkStart w:id="1236" w:name="_Toc65157128"/>
      <w:r/>
      <w:bookmarkEnd w:id="1236"/>
      <w:r/>
      <w:bookmarkStart w:id="1237" w:name="_Toc65142470"/>
      <w:r/>
      <w:bookmarkEnd w:id="1237"/>
      <w:r/>
      <w:bookmarkStart w:id="1238" w:name="_Toc65157123"/>
      <w:r/>
      <w:bookmarkEnd w:id="1238"/>
      <w:r/>
      <w:bookmarkStart w:id="1239" w:name="_Toc65142236"/>
      <w:r/>
      <w:bookmarkEnd w:id="1239"/>
      <w:r/>
      <w:bookmarkStart w:id="1240" w:name="_Toc65157129"/>
      <w:r/>
      <w:bookmarkEnd w:id="1240"/>
      <w:r/>
      <w:bookmarkStart w:id="1241" w:name="_Toc65142477"/>
      <w:r/>
      <w:bookmarkEnd w:id="1241"/>
      <w:r/>
      <w:bookmarkStart w:id="1242" w:name="_Toc65157127"/>
      <w:r/>
      <w:bookmarkEnd w:id="1242"/>
      <w:r/>
      <w:bookmarkStart w:id="1243" w:name="_Toc65153993"/>
      <w:r/>
      <w:bookmarkEnd w:id="1243"/>
      <w:r/>
      <w:bookmarkStart w:id="1244" w:name="_Toc65153990"/>
      <w:r/>
      <w:bookmarkEnd w:id="1244"/>
      <w:r/>
      <w:bookmarkStart w:id="1245" w:name="_Toc65142473"/>
      <w:r/>
      <w:bookmarkEnd w:id="1245"/>
      <w:r/>
      <w:bookmarkStart w:id="1246" w:name="_Toc65142234"/>
      <w:r/>
      <w:bookmarkEnd w:id="1246"/>
      <w:r/>
      <w:bookmarkStart w:id="1247" w:name="_Toc65154958"/>
      <w:r/>
      <w:bookmarkEnd w:id="1247"/>
      <w:r/>
      <w:bookmarkStart w:id="1248" w:name="_Toc65153998"/>
      <w:r/>
      <w:bookmarkEnd w:id="1248"/>
      <w:r/>
      <w:bookmarkStart w:id="1249" w:name="_Toc65154959"/>
      <w:r/>
      <w:bookmarkEnd w:id="1249"/>
      <w:r/>
      <w:bookmarkStart w:id="1250" w:name="_Toc65154954"/>
      <w:r/>
      <w:bookmarkEnd w:id="1250"/>
      <w:r/>
      <w:bookmarkStart w:id="1251" w:name="_Toc65142238"/>
      <w:r/>
      <w:bookmarkEnd w:id="1251"/>
      <w:r/>
      <w:bookmarkStart w:id="1252" w:name="_Toc65142233"/>
      <w:r/>
      <w:bookmarkEnd w:id="1252"/>
      <w:r/>
      <w:bookmarkStart w:id="1253" w:name="_Toc65142235"/>
      <w:r/>
      <w:bookmarkEnd w:id="1253"/>
      <w:r/>
      <w:bookmarkStart w:id="1254" w:name="_Toc65142232"/>
      <w:r/>
      <w:bookmarkEnd w:id="1254"/>
      <w:r/>
      <w:bookmarkStart w:id="1255" w:name="_Toc65142237"/>
      <w:r/>
      <w:bookmarkEnd w:id="1255"/>
      <w:r/>
      <w:bookmarkStart w:id="1256" w:name="_Toc65154956"/>
      <w:r/>
      <w:bookmarkEnd w:id="1256"/>
      <w:r/>
      <w:bookmarkStart w:id="1257" w:name="_Toc63263201"/>
      <w:r/>
      <w:bookmarkStart w:id="1258" w:name="_Toc65153999"/>
      <w:r/>
      <w:bookmarkStart w:id="1259" w:name="_Toc65142241"/>
      <w:r/>
      <w:bookmarkEnd w:id="1259"/>
      <w:r/>
      <w:bookmarkStart w:id="1260" w:name="_Toc65154962"/>
      <w:r/>
      <w:bookmarkStart w:id="1261" w:name="_Toc63262887"/>
      <w:r/>
      <w:bookmarkStart w:id="1262" w:name="_Toc15594"/>
      <w:r/>
      <w:bookmarkStart w:id="1263" w:name="_Toc65154955"/>
      <w:r/>
      <w:bookmarkEnd w:id="1263"/>
      <w:r/>
      <w:bookmarkStart w:id="1264" w:name="_Toc65154957"/>
      <w:r/>
      <w:bookmarkEnd w:id="1264"/>
      <w:r/>
      <w:bookmarkStart w:id="1265" w:name="_Toc65142240"/>
      <w:r/>
      <w:bookmarkEnd w:id="1265"/>
      <w:r/>
      <w:bookmarkStart w:id="1266" w:name="_Toc65157120"/>
      <w:r/>
      <w:bookmarkEnd w:id="1266"/>
      <w:r/>
      <w:bookmarkStart w:id="1267" w:name="_Toc65154960"/>
      <w:r/>
      <w:bookmarkEnd w:id="1267"/>
      <w:r/>
      <w:bookmarkStart w:id="1268" w:name="_Toc65153995"/>
      <w:r/>
      <w:bookmarkEnd w:id="1268"/>
      <w:r/>
      <w:bookmarkStart w:id="1269" w:name="_Toc65142474"/>
      <w:r/>
      <w:bookmarkEnd w:id="1269"/>
      <w:r/>
      <w:bookmarkStart w:id="1270" w:name="_Toc65157121"/>
      <w:r/>
      <w:bookmarkEnd w:id="1270"/>
      <w:r/>
      <w:bookmarkStart w:id="1271" w:name="_Toc65142230"/>
      <w:r/>
      <w:bookmarkEnd w:id="1271"/>
      <w:r/>
      <w:bookmarkStart w:id="1272" w:name="_Toc65154953"/>
      <w:r/>
      <w:bookmarkEnd w:id="1272"/>
      <w:r/>
      <w:bookmarkStart w:id="1273" w:name="_Toc65157125"/>
      <w:r/>
      <w:bookmarkEnd w:id="1273"/>
      <w:r/>
      <w:bookmarkStart w:id="1274" w:name="_Toc65142231"/>
      <w:r/>
      <w:bookmarkEnd w:id="1274"/>
      <w:r/>
      <w:bookmarkStart w:id="1275" w:name="_Toc65157124"/>
      <w:r/>
      <w:bookmarkEnd w:id="1275"/>
      <w:r/>
      <w:bookmarkStart w:id="1276" w:name="_Toc65142466"/>
      <w:r/>
      <w:bookmarkEnd w:id="1276"/>
      <w:r/>
      <w:bookmarkStart w:id="1277" w:name="_Toc65142476"/>
      <w:r/>
      <w:bookmarkEnd w:id="1277"/>
      <w:r/>
      <w:bookmarkStart w:id="1278" w:name="_Toc65157122"/>
      <w:r/>
      <w:bookmarkEnd w:id="1278"/>
      <w:r/>
      <w:bookmarkStart w:id="1279" w:name="_Toc65142239"/>
      <w:r/>
      <w:bookmarkEnd w:id="1279"/>
      <w:r/>
      <w:bookmarkStart w:id="1280" w:name="_Toc22234192"/>
      <w:r>
        <w:rPr>
          <w:rFonts w:hint="eastAsia" w:ascii="Calibri" w:hAnsi="Calibri" w:eastAsia="仿宋" w:cs="Times New Roman"/>
          <w:b/>
          <w:bCs/>
          <w:color w:val="000000"/>
          <w:sz w:val="32"/>
          <w:szCs w:val="36"/>
          <w:highlight w:val="none"/>
        </w:rPr>
        <w:t xml:space="preserve">第十章  </w:t>
      </w:r>
      <w:r>
        <w:rPr>
          <w:rFonts w:hint="eastAsia" w:ascii="仿宋" w:hAnsi="仿宋" w:eastAsia="仿宋" w:cs="Times New Roman"/>
          <w:b/>
          <w:bCs/>
          <w:color w:val="000000"/>
          <w:sz w:val="32"/>
          <w:szCs w:val="36"/>
          <w:highlight w:val="none"/>
        </w:rPr>
        <w:t xml:space="preserve">违约责任</w:t>
      </w:r>
      <w:bookmarkEnd w:id="1257"/>
      <w:r/>
      <w:bookmarkEnd w:id="1258"/>
      <w:r/>
      <w:bookmarkEnd w:id="1260"/>
      <w:r/>
      <w:bookmarkEnd w:id="1261"/>
      <w:r/>
      <w:bookmarkEnd w:id="1262"/>
      <w:r/>
      <w:bookmarkEnd w:id="1280"/>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81" w:name="_Toc22234193"/>
      <w:r/>
      <w:bookmarkStart w:id="1282" w:name="_Toc65154000"/>
      <w:r/>
      <w:bookmarkStart w:id="1283" w:name="_Toc7416"/>
      <w:r/>
      <w:bookmarkStart w:id="1284" w:name="_Toc65154963"/>
      <w:r/>
      <w:bookmarkStart w:id="1285" w:name="_Toc63262888"/>
      <w:r/>
      <w:bookmarkStart w:id="1286" w:name="_Toc63263202"/>
      <w:r>
        <w:rPr>
          <w:rFonts w:hint="eastAsia" w:eastAsia="仿宋" w:cs="Times New Roman"/>
          <w:b/>
          <w:bCs/>
          <w:color w:val="000000"/>
          <w:sz w:val="30"/>
          <w:szCs w:val="32"/>
          <w:highlight w:val="none"/>
        </w:rPr>
        <w:t xml:space="preserve">违约责任</w:t>
      </w:r>
      <w:bookmarkEnd w:id="1281"/>
      <w:r/>
      <w:bookmarkEnd w:id="1282"/>
      <w:r/>
      <w:bookmarkEnd w:id="1283"/>
      <w:r/>
      <w:bookmarkEnd w:id="1284"/>
      <w:r/>
      <w:bookmarkEnd w:id="1285"/>
      <w:r/>
      <w:bookmarkEnd w:id="1286"/>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（1）除本合同另有约定外，当合同一方发生违反本合同的行为而使非违约方遭受任何损害、损失、增加支出或承担额外责任，非违约方有权获得赔偿，该项赔偿由违约方支付，</w:t>
      </w:r>
      <w:r>
        <w:rPr>
          <w:rFonts w:ascii="Calibri" w:hAnsi="Calibri" w:eastAsia="仿宋" w:cs="Times New Roman"/>
          <w:color w:val="000000"/>
          <w:sz w:val="28"/>
          <w:szCs w:val="28"/>
          <w:highlight w:val="none"/>
        </w:rPr>
        <w:t xml:space="preserve">该项赔偿不应超过违约方在签署</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时已经预见或应当预见到的因违反</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可能造成的损失。</w:t>
      </w:r>
      <w:r>
        <w:rPr>
          <w:rFonts w:ascii="Calibri" w:hAnsi="Calibri"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非违约方必须采取合理措施减轻或最大程度地减少违反本合同引起的损失，并有权从违约方获得为谋求减轻和减少损失而发生的任何合理费用。如非违约方未能采取上款所述措施，违约方可以请求从赔偿金额中扣除本应能够减轻或减少的损失金额。</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（3）如损失是部分由于非违约方的作为或不作为造成的，或产生于应由非违约方承担风险的另一事件，则应从赔偿的数额中扣除这些因素造成的损失。</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（4）除非本合同另有约定，各方均不应对另一方的任何间接损失负责。</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（5）除非本合同另有约定，否则非因乙方原因导致乙方违约或履约不能的，应免除乙方的违约责任。</w:t>
      </w:r>
      <w:r>
        <w:rPr>
          <w:rFonts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（6）本项目不收取履约保证金。</w:t>
      </w:r>
      <w:r>
        <w:rPr>
          <w:rFonts w:hint="eastAsia"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（7）乙方在中标后30</w:t>
      </w:r>
      <w:r>
        <w:rPr>
          <w:rFonts w:hint="eastAsia" w:ascii="仿宋" w:hAnsi="仿宋" w:eastAsia="仿宋" w:cs="Times New Roman"/>
          <w:color w:val="000000"/>
          <w:sz w:val="28"/>
          <w:szCs w:val="28"/>
          <w:highlight w:val="none"/>
          <w:lang w:val="en-US" w:eastAsia="zh-CN"/>
        </w:rPr>
        <w:t xml:space="preserve">个日历天内配备满足要求的绿化垃圾处置场地、绿化垃圾处理配套处置设备，须符合环卫设施用地要求，通过采购人验收。租赁或使用自有所产生的任何费用皆由乙方自行承担。若未在规定时间内配备齐全或未能满足要求的，甲方有权取消其中标资格或解除合同，乙方还须承担相应的违约责任并向甲方支付合同价的10%的赔偿金。</w:t>
      </w:r>
      <w:r>
        <w:rPr>
          <w:rFonts w:ascii="仿宋" w:hAnsi="仿宋" w:eastAsia="仿宋" w:cs="Times New Roman"/>
          <w:color w:val="000000"/>
          <w:sz w:val="28"/>
          <w:szCs w:val="28"/>
          <w:highlight w:val="none"/>
          <w:lang w:val="en-US" w:eastAsia="zh-CN"/>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87" w:name="_Toc10060"/>
      <w:r>
        <w:rPr>
          <w:rFonts w:hint="eastAsia" w:eastAsia="仿宋" w:cs="Times New Roman"/>
          <w:b/>
          <w:bCs/>
          <w:color w:val="000000"/>
          <w:sz w:val="30"/>
          <w:szCs w:val="32"/>
          <w:highlight w:val="none"/>
        </w:rPr>
        <w:t xml:space="preserve">违约事项</w:t>
      </w:r>
      <w:bookmarkEnd w:id="1287"/>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甲方按照合同约定及时支付服务费后，如合同期内发生以下情形，且乙方未能在甲方要求的期限内整改到位，乙方向甲方支付5000元/次的违约金。一个服务年度内，出现三次此类情形，甲方有权解除合同。</w:t>
      </w:r>
      <w:r>
        <w:rPr>
          <w:rFonts w:ascii="仿宋" w:hAnsi="仿宋" w:eastAsia="仿宋" w:cs="Times New Roman"/>
          <w:color w:val="000000"/>
          <w:sz w:val="28"/>
          <w:szCs w:val="28"/>
          <w:highlight w:val="none"/>
        </w:rPr>
      </w:r>
      <w:r/>
    </w:p>
    <w:p>
      <w:pPr>
        <w:pStyle w:val="906"/>
        <w:ind w:firstLine="560"/>
        <w:spacing w:line="36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①因乙方原因未能及时收运，导致现场收集点存储的园林绿化垃圾超过其存储能力；</w:t>
      </w:r>
      <w:r>
        <w:rPr>
          <w:rFonts w:hint="eastAsia"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②乙方资源化利用年度实际处理量低于理论处理量的70%的；或年度有机基质重量（单位：吨）低于年度理论处理量的70%×0.32的；</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③乙方未按照合同要求对园林绿化垃圾综合利用的；</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④乙方未按照合同要求对园林绿化垃圾进行资源化利用处理或资源化产品率低于60%的；</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⑤乙方未按照合同要求提供园林绿化垃圾资源化产品或未按处理后生产的资源化产品50%的比例向甲方提供产品的；</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⑥收运处过程中粉尘、噪音、废气、污水未达标；</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⑦发生安全生产事故。</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88" w:name="_Toc63262890"/>
      <w:r/>
      <w:bookmarkStart w:id="1289" w:name="_Toc63263204"/>
      <w:r/>
      <w:bookmarkStart w:id="1290" w:name="_Toc65154965"/>
      <w:r/>
      <w:bookmarkStart w:id="1291" w:name="_Toc65154002"/>
      <w:r/>
      <w:bookmarkStart w:id="1292" w:name="_Toc18893"/>
      <w:r>
        <w:rPr>
          <w:rFonts w:hint="eastAsia" w:eastAsia="仿宋" w:cs="Times New Roman"/>
          <w:b/>
          <w:bCs/>
          <w:color w:val="000000"/>
          <w:sz w:val="30"/>
          <w:szCs w:val="32"/>
          <w:highlight w:val="none"/>
        </w:rPr>
        <w:t xml:space="preserve">违约金的支付</w:t>
      </w:r>
      <w:bookmarkEnd w:id="1288"/>
      <w:r/>
      <w:bookmarkEnd w:id="1289"/>
      <w:r/>
      <w:bookmarkEnd w:id="1290"/>
      <w:r/>
      <w:bookmarkEnd w:id="1291"/>
      <w:r/>
      <w:bookmarkEnd w:id="1292"/>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如发生乙方应向甲方支付违约金的情形，则甲方有权从服务费中直接扣除相应金额。</w:t>
      </w:r>
      <w:r>
        <w:rPr>
          <w:rFonts w:ascii="仿宋" w:hAnsi="仿宋"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End w:id="1206"/>
      <w:r/>
      <w:bookmarkEnd w:id="1207"/>
      <w:r/>
      <w:bookmarkEnd w:id="1208"/>
      <w:r/>
      <w:bookmarkEnd w:id="1209"/>
      <w:r/>
      <w:bookmarkStart w:id="1293" w:name="_12.7提前终止后的补偿"/>
      <w:r/>
      <w:bookmarkEnd w:id="1293"/>
      <w:r/>
      <w:bookmarkStart w:id="1294" w:name="_Toc22634580"/>
      <w:r/>
      <w:bookmarkStart w:id="1295" w:name="_Toc6914"/>
      <w:r/>
      <w:bookmarkStart w:id="1296" w:name="_12.8提前终止"/>
      <w:r/>
      <w:bookmarkEnd w:id="1296"/>
      <w:r>
        <w:rPr>
          <w:rFonts w:hint="eastAsia" w:ascii="Calibri" w:hAnsi="Calibri" w:eastAsia="仿宋" w:cs="Times New Roman"/>
          <w:b/>
          <w:bCs/>
          <w:color w:val="000000"/>
          <w:sz w:val="32"/>
          <w:szCs w:val="36"/>
          <w:highlight w:val="none"/>
        </w:rPr>
        <w:t xml:space="preserve">第十一章  </w:t>
      </w:r>
      <w:r>
        <w:rPr>
          <w:rFonts w:ascii="仿宋" w:hAnsi="仿宋" w:eastAsia="仿宋" w:cs="Times New Roman"/>
          <w:b/>
          <w:bCs/>
          <w:color w:val="000000"/>
          <w:sz w:val="32"/>
          <w:szCs w:val="36"/>
          <w:highlight w:val="none"/>
        </w:rPr>
        <w:t xml:space="preserve">不可抗力</w:t>
      </w:r>
      <w:bookmarkEnd w:id="1295"/>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97" w:name="_Toc17836"/>
      <w:r>
        <w:rPr>
          <w:rFonts w:eastAsia="仿宋" w:cs="Times New Roman"/>
          <w:b/>
          <w:bCs/>
          <w:color w:val="000000"/>
          <w:sz w:val="30"/>
          <w:szCs w:val="32"/>
          <w:highlight w:val="none"/>
        </w:rPr>
        <w:t xml:space="preserve">不可抗力事件</w:t>
      </w:r>
      <w:bookmarkEnd w:id="1297"/>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不可抗力事件任何一方由于出现不可抗力事件使该方无法全部或部分履行其本合同项下的义务时，该方应有权中止履行本合同项下的义务。不可抗力应包括但不限于下列事件：</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1）雷电、干旱、火灾、地震、火山爆发、山崩、滑坡、水灾、暴风雨、海啸、台风或龙卷风；</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2）流行病、饥荒或疫情；</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3）战争行为（无论是否宣战）、入侵、武装冲突或外敌行为、封锁或军事力量的使用、禁运、暴乱或民众骚乱、恐怖行为、军事演习或政变；</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4）化学或放射性污染或核辐射；</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5）</w:t>
      </w:r>
      <w:r>
        <w:rPr>
          <w:rFonts w:hint="eastAsia" w:ascii="仿宋" w:hAnsi="仿宋" w:eastAsia="仿宋" w:cs="Times New Roman"/>
          <w:color w:val="000000"/>
          <w:sz w:val="28"/>
          <w:szCs w:val="28"/>
          <w:highlight w:val="none"/>
        </w:rPr>
        <w:t xml:space="preserve">法律法规规定的</w:t>
      </w:r>
      <w:r>
        <w:rPr>
          <w:rFonts w:ascii="仿宋" w:hAnsi="仿宋" w:eastAsia="仿宋" w:cs="Times New Roman"/>
          <w:color w:val="000000"/>
          <w:sz w:val="28"/>
          <w:szCs w:val="28"/>
          <w:highlight w:val="none"/>
        </w:rPr>
        <w:t xml:space="preserve">其他</w:t>
      </w:r>
      <w:r>
        <w:rPr>
          <w:rFonts w:hint="eastAsia" w:ascii="仿宋" w:hAnsi="仿宋" w:eastAsia="仿宋" w:cs="Times New Roman"/>
          <w:color w:val="000000"/>
          <w:sz w:val="28"/>
          <w:szCs w:val="28"/>
          <w:highlight w:val="none"/>
        </w:rPr>
        <w:t xml:space="preserve">事件。</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98" w:name="_Toc20864"/>
      <w:r>
        <w:rPr>
          <w:rFonts w:hint="eastAsia" w:eastAsia="仿宋" w:cs="Times New Roman"/>
          <w:b/>
          <w:bCs/>
          <w:color w:val="000000"/>
          <w:sz w:val="30"/>
          <w:szCs w:val="32"/>
          <w:highlight w:val="none"/>
        </w:rPr>
        <w:t xml:space="preserve">不可抗力</w:t>
      </w:r>
      <w:r>
        <w:rPr>
          <w:rFonts w:eastAsia="仿宋" w:cs="Times New Roman"/>
          <w:b/>
          <w:bCs/>
          <w:color w:val="000000"/>
          <w:sz w:val="30"/>
          <w:szCs w:val="32"/>
          <w:highlight w:val="none"/>
        </w:rPr>
        <w:t xml:space="preserve">通知</w:t>
      </w:r>
      <w:bookmarkEnd w:id="1298"/>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声称受到不可抗力影响的一方应在知道不可抗力后</w:t>
      </w:r>
      <w:r>
        <w:rPr>
          <w:rFonts w:ascii="仿宋" w:hAnsi="仿宋" w:eastAsia="仿宋" w:cs="Times New Roman"/>
          <w:color w:val="000000"/>
          <w:sz w:val="28"/>
          <w:szCs w:val="28"/>
          <w:highlight w:val="none"/>
        </w:rPr>
        <w:t xml:space="preserve">3日内书面通知另一方，详细描述不可抗力的发生情况和可能导致的后果，并根据对方要求提供证明。</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299" w:name="_Toc5756"/>
      <w:r>
        <w:rPr>
          <w:rFonts w:hint="eastAsia" w:eastAsia="仿宋" w:cs="Times New Roman"/>
          <w:b/>
          <w:bCs/>
          <w:color w:val="000000"/>
          <w:sz w:val="30"/>
          <w:szCs w:val="32"/>
          <w:highlight w:val="none"/>
        </w:rPr>
        <w:t xml:space="preserve">不可抗力</w:t>
      </w:r>
      <w:r>
        <w:rPr>
          <w:rFonts w:eastAsia="仿宋" w:cs="Times New Roman"/>
          <w:b/>
          <w:bCs/>
          <w:color w:val="000000"/>
          <w:sz w:val="30"/>
          <w:szCs w:val="32"/>
          <w:highlight w:val="none"/>
        </w:rPr>
        <w:t xml:space="preserve">损失承担原则</w:t>
      </w:r>
      <w:bookmarkEnd w:id="1299"/>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发生不可抗力时，双方应各自承担由于不可抗力对其造成的费用损失。</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00" w:name="_Toc10828"/>
      <w:r>
        <w:rPr>
          <w:rFonts w:eastAsia="仿宋" w:cs="Times New Roman"/>
          <w:b/>
          <w:bCs/>
          <w:color w:val="000000"/>
          <w:sz w:val="30"/>
          <w:szCs w:val="32"/>
          <w:highlight w:val="none"/>
        </w:rPr>
        <w:t xml:space="preserve">减少损失的责任与补救义务</w:t>
      </w:r>
      <w:bookmarkEnd w:id="1300"/>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受到不可抗力影响的一方应努力减少不可抗力的影响。双方应协商采取合理的补救措施尽量减少不可抗力给各方造成的损失。声称受到不可抗力影响的一方在不可抗力消除后应尽快恢复履行本合同项下的义务。</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01" w:name="_Toc12802"/>
      <w:r>
        <w:rPr>
          <w:rFonts w:eastAsia="仿宋" w:cs="Times New Roman"/>
          <w:b/>
          <w:bCs/>
          <w:color w:val="000000"/>
          <w:sz w:val="30"/>
          <w:szCs w:val="32"/>
          <w:highlight w:val="none"/>
        </w:rPr>
        <w:t xml:space="preserve">不可抗力情形下项目设施的运维义务</w:t>
      </w:r>
      <w:bookmarkEnd w:id="1301"/>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发生不可抗力时，乙方仍应尽最大努力保证服务的持续。</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02" w:name="_Toc20261"/>
      <w:r>
        <w:rPr>
          <w:rFonts w:eastAsia="仿宋" w:cs="Times New Roman"/>
          <w:b/>
          <w:bCs/>
          <w:color w:val="000000"/>
          <w:sz w:val="30"/>
          <w:szCs w:val="32"/>
          <w:highlight w:val="none"/>
        </w:rPr>
        <w:t xml:space="preserve">不可抗力结束后的继续履行</w:t>
      </w:r>
      <w:bookmarkEnd w:id="1302"/>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不可抗力事件结束后，本合同尚具备继续履行条件的，双方应继续履行并就风险责任分担进行协商，协商不成或已不具备继续履行条件的，双方可协商终止本合同。</w:t>
      </w:r>
      <w:r>
        <w:rPr>
          <w:rFonts w:ascii="仿宋" w:hAnsi="仿宋"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Start w:id="1303" w:name="_Toc8668"/>
      <w:r>
        <w:rPr>
          <w:rFonts w:hint="eastAsia" w:ascii="Calibri" w:hAnsi="Calibri" w:eastAsia="仿宋" w:cs="Times New Roman"/>
          <w:b/>
          <w:bCs/>
          <w:color w:val="000000"/>
          <w:sz w:val="32"/>
          <w:szCs w:val="36"/>
          <w:highlight w:val="none"/>
        </w:rPr>
        <w:t xml:space="preserve">第十二章  </w:t>
      </w:r>
      <w:r>
        <w:rPr>
          <w:rFonts w:hint="eastAsia" w:ascii="仿宋" w:hAnsi="仿宋" w:eastAsia="仿宋" w:cs="Times New Roman"/>
          <w:b/>
          <w:bCs/>
          <w:color w:val="000000"/>
          <w:sz w:val="32"/>
          <w:szCs w:val="36"/>
          <w:highlight w:val="none"/>
        </w:rPr>
        <w:t xml:space="preserve">合同</w:t>
      </w:r>
      <w:r>
        <w:rPr>
          <w:rFonts w:ascii="仿宋" w:hAnsi="仿宋" w:eastAsia="仿宋" w:cs="Times New Roman"/>
          <w:b/>
          <w:bCs/>
          <w:color w:val="000000"/>
          <w:sz w:val="32"/>
          <w:szCs w:val="36"/>
          <w:highlight w:val="none"/>
        </w:rPr>
        <w:t xml:space="preserve">变更和转让</w:t>
      </w:r>
      <w:bookmarkEnd w:id="1303"/>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04" w:name="_Toc5762"/>
      <w:r>
        <w:rPr>
          <w:rFonts w:hint="eastAsia" w:eastAsia="仿宋" w:cs="Times New Roman"/>
          <w:b/>
          <w:bCs/>
          <w:color w:val="000000"/>
          <w:sz w:val="30"/>
          <w:szCs w:val="32"/>
          <w:highlight w:val="none"/>
        </w:rPr>
        <w:t xml:space="preserve">合同</w:t>
      </w:r>
      <w:r>
        <w:rPr>
          <w:rFonts w:eastAsia="仿宋" w:cs="Times New Roman"/>
          <w:b/>
          <w:bCs/>
          <w:color w:val="000000"/>
          <w:sz w:val="30"/>
          <w:szCs w:val="32"/>
          <w:highlight w:val="none"/>
        </w:rPr>
        <w:t xml:space="preserve">的变更</w:t>
      </w:r>
      <w:bookmarkEnd w:id="1304"/>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w:t>
      </w:r>
      <w:r>
        <w:rPr>
          <w:rFonts w:ascii="仿宋" w:hAnsi="仿宋" w:eastAsia="仿宋" w:cs="Times New Roman"/>
          <w:color w:val="000000"/>
          <w:sz w:val="28"/>
          <w:szCs w:val="28"/>
          <w:highlight w:val="none"/>
        </w:rPr>
        <w:t xml:space="preserve">未经双方书面同意，任何一方不得对</w:t>
      </w: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进行单方修改或变更。</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（2）本合同</w:t>
      </w:r>
      <w:r>
        <w:rPr>
          <w:rFonts w:ascii="仿宋" w:hAnsi="仿宋" w:eastAsia="仿宋" w:cs="Times New Roman"/>
          <w:color w:val="000000"/>
          <w:sz w:val="28"/>
          <w:szCs w:val="28"/>
          <w:highlight w:val="none"/>
        </w:rPr>
        <w:t xml:space="preserve">任何修改、补充或变更必须经双方协商一致并签字盖章后方具有法律约束力。如果根据届时有效的适用法律的规定而需要政府有关部门审查批准的，则自政府有关部门审查批准之日起相应变更对甲、乙双方产生约束力。</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（3）本合同</w:t>
      </w:r>
      <w:r>
        <w:rPr>
          <w:rFonts w:ascii="仿宋" w:hAnsi="仿宋" w:eastAsia="仿宋" w:cs="Times New Roman"/>
          <w:color w:val="000000"/>
          <w:sz w:val="28"/>
          <w:szCs w:val="28"/>
          <w:highlight w:val="none"/>
        </w:rPr>
        <w:t xml:space="preserve">未尽事宜，由双方另行签署补充协议。</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w:t>
      </w:r>
      <w:r>
        <w:rPr>
          <w:rFonts w:ascii="仿宋" w:hAnsi="仿宋" w:eastAsia="仿宋" w:cs="Times New Roman"/>
          <w:color w:val="000000"/>
          <w:sz w:val="28"/>
          <w:szCs w:val="28"/>
          <w:highlight w:val="none"/>
        </w:rPr>
        <w:t xml:space="preserve">如果</w:t>
      </w: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的任何条款不合法、无效或不能执行，则</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①</w:t>
      </w:r>
      <w:r>
        <w:rPr>
          <w:rFonts w:ascii="仿宋" w:hAnsi="仿宋" w:eastAsia="仿宋" w:cs="Times New Roman"/>
          <w:color w:val="000000"/>
          <w:sz w:val="28"/>
          <w:szCs w:val="28"/>
          <w:highlight w:val="none"/>
        </w:rPr>
        <w:t xml:space="preserve">并不影响其他条款的效力和执行；</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②</w:t>
      </w:r>
      <w:r>
        <w:rPr>
          <w:rFonts w:ascii="仿宋" w:hAnsi="仿宋" w:eastAsia="仿宋" w:cs="Times New Roman"/>
          <w:color w:val="000000"/>
          <w:sz w:val="28"/>
          <w:szCs w:val="28"/>
          <w:highlight w:val="none"/>
        </w:rPr>
        <w:t xml:space="preserve">双方应商定对不合法、无效或不能执行的条款进行修改，使之合法、有效、合理并可执行。</w:t>
      </w:r>
      <w:r>
        <w:rPr>
          <w:rFonts w:ascii="仿宋" w:hAnsi="仿宋"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05" w:name="_Toc28826"/>
      <w:r/>
      <w:bookmarkStart w:id="1306" w:name="_Ref69573690"/>
      <w:r>
        <w:rPr>
          <w:rFonts w:hint="eastAsia" w:eastAsia="仿宋" w:cs="Times New Roman"/>
          <w:b/>
          <w:bCs/>
          <w:color w:val="000000"/>
          <w:sz w:val="30"/>
          <w:szCs w:val="32"/>
          <w:highlight w:val="none"/>
        </w:rPr>
        <w:t xml:space="preserve">合同</w:t>
      </w:r>
      <w:r>
        <w:rPr>
          <w:rFonts w:eastAsia="仿宋" w:cs="Times New Roman"/>
          <w:b/>
          <w:bCs/>
          <w:color w:val="000000"/>
          <w:sz w:val="30"/>
          <w:szCs w:val="32"/>
          <w:highlight w:val="none"/>
        </w:rPr>
        <w:t xml:space="preserve">的转让</w:t>
      </w:r>
      <w:bookmarkEnd w:id="1305"/>
      <w:r/>
      <w:bookmarkEnd w:id="1306"/>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ascii="仿宋" w:hAnsi="仿宋" w:eastAsia="仿宋" w:cs="Times New Roman"/>
          <w:color w:val="000000"/>
          <w:sz w:val="28"/>
          <w:szCs w:val="28"/>
          <w:highlight w:val="none"/>
        </w:rPr>
        <w:t xml:space="preserve">甲方可将</w:t>
      </w: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或与本项目有关的其他协议项下的全部或部分权利或义务转让给本级人民政府指定的政府机构或部门，但受让</w:t>
      </w:r>
      <w:r>
        <w:rPr>
          <w:rFonts w:hint="eastAsia" w:ascii="仿宋" w:hAnsi="仿宋" w:eastAsia="仿宋" w:cs="Times New Roman"/>
          <w:color w:val="000000"/>
          <w:sz w:val="28"/>
          <w:szCs w:val="28"/>
          <w:highlight w:val="none"/>
        </w:rPr>
        <w:t xml:space="preserve">合同</w:t>
      </w:r>
      <w:r>
        <w:rPr>
          <w:rFonts w:ascii="仿宋" w:hAnsi="仿宋" w:eastAsia="仿宋" w:cs="Times New Roman"/>
          <w:color w:val="000000"/>
          <w:sz w:val="28"/>
          <w:szCs w:val="28"/>
          <w:highlight w:val="none"/>
        </w:rPr>
        <w:t xml:space="preserve">的政府机构或部门应当具备：</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w:t>
      </w:r>
      <w:r>
        <w:rPr>
          <w:rFonts w:ascii="仿宋" w:hAnsi="仿宋" w:eastAsia="仿宋" w:cs="Times New Roman"/>
          <w:color w:val="000000"/>
          <w:sz w:val="28"/>
          <w:szCs w:val="28"/>
          <w:highlight w:val="none"/>
        </w:rPr>
        <w:t xml:space="preserve">具有承担甲方在</w:t>
      </w: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及其他相关协议项下所承担的所有权利、义务和责任的能力和授权；</w:t>
      </w:r>
      <w:r>
        <w:rPr>
          <w:rFonts w:ascii="仿宋" w:hAnsi="仿宋" w:eastAsia="仿宋" w:cs="Times New Roman"/>
          <w:color w:val="000000"/>
          <w:sz w:val="28"/>
          <w:szCs w:val="28"/>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w:t>
      </w:r>
      <w:r>
        <w:rPr>
          <w:rFonts w:ascii="仿宋" w:hAnsi="仿宋" w:eastAsia="仿宋" w:cs="Times New Roman"/>
          <w:color w:val="000000"/>
          <w:sz w:val="28"/>
          <w:szCs w:val="28"/>
          <w:highlight w:val="none"/>
        </w:rPr>
        <w:t xml:space="preserve">承继并继续履行甲方在</w:t>
      </w: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及其他相关协议项下的义务。</w:t>
      </w:r>
      <w:r>
        <w:rPr>
          <w:rFonts w:ascii="仿宋" w:hAnsi="仿宋" w:eastAsia="仿宋" w:cs="Times New Roman"/>
          <w:color w:val="000000"/>
          <w:sz w:val="28"/>
          <w:szCs w:val="28"/>
          <w:highlight w:val="none"/>
        </w:rPr>
      </w:r>
      <w:r/>
    </w:p>
    <w:p>
      <w:pPr>
        <w:pStyle w:val="906"/>
        <w:numPr>
          <w:ilvl w:val="1"/>
          <w:numId w:val="0"/>
        </w:numPr>
        <w:jc w:val="center"/>
        <w:keepLines/>
        <w:keepNext/>
        <w:spacing w:before="260" w:after="260" w:line="360" w:lineRule="auto"/>
        <w:rPr>
          <w:rFonts w:ascii="仿宋" w:hAnsi="仿宋" w:eastAsia="仿宋" w:cs="Times New Roman"/>
          <w:b/>
          <w:bCs/>
          <w:color w:val="000000"/>
          <w:sz w:val="32"/>
          <w:szCs w:val="36"/>
          <w:highlight w:val="none"/>
        </w:rPr>
        <w:outlineLvl w:val="1"/>
      </w:pPr>
      <w:r/>
      <w:bookmarkStart w:id="1307" w:name="_Toc63262895"/>
      <w:r/>
      <w:bookmarkStart w:id="1308" w:name="_Toc65154009"/>
      <w:r/>
      <w:bookmarkStart w:id="1309" w:name="_Toc32485"/>
      <w:r/>
      <w:bookmarkStart w:id="1310" w:name="_Toc63263209"/>
      <w:r/>
      <w:bookmarkStart w:id="1311" w:name="_Toc65154972"/>
      <w:r>
        <w:rPr>
          <w:rFonts w:hint="eastAsia" w:ascii="Calibri" w:hAnsi="Calibri" w:eastAsia="仿宋" w:cs="Times New Roman"/>
          <w:b/>
          <w:bCs/>
          <w:color w:val="000000"/>
          <w:sz w:val="32"/>
          <w:szCs w:val="36"/>
          <w:highlight w:val="none"/>
        </w:rPr>
        <w:t xml:space="preserve">第十三章  </w:t>
      </w:r>
      <w:r>
        <w:rPr>
          <w:rFonts w:ascii="仿宋" w:hAnsi="仿宋" w:eastAsia="仿宋" w:cs="Times New Roman"/>
          <w:b/>
          <w:bCs/>
          <w:color w:val="000000"/>
          <w:sz w:val="32"/>
          <w:szCs w:val="36"/>
          <w:highlight w:val="none"/>
        </w:rPr>
        <w:t xml:space="preserve">争议解决与适用法律</w:t>
      </w:r>
      <w:bookmarkEnd w:id="1294"/>
      <w:r/>
      <w:bookmarkEnd w:id="1307"/>
      <w:r/>
      <w:bookmarkEnd w:id="1308"/>
      <w:r/>
      <w:bookmarkEnd w:id="1309"/>
      <w:r/>
      <w:bookmarkEnd w:id="1310"/>
      <w:r/>
      <w:bookmarkEnd w:id="1311"/>
      <w:r>
        <w:rPr>
          <w:rFonts w:ascii="仿宋" w:hAnsi="仿宋" w:eastAsia="仿宋" w:cs="Times New Roman"/>
          <w:b/>
          <w:bCs/>
          <w:color w:val="000000"/>
          <w:sz w:val="32"/>
          <w:szCs w:val="36"/>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12" w:name="_Toc248087609"/>
      <w:r/>
      <w:bookmarkStart w:id="1313" w:name="_Toc248217972"/>
      <w:r/>
      <w:bookmarkStart w:id="1314" w:name="_Toc248087337"/>
      <w:r/>
      <w:bookmarkStart w:id="1315" w:name="_Ref71232702"/>
      <w:r/>
      <w:bookmarkStart w:id="1316" w:name="_Toc65154010"/>
      <w:r/>
      <w:bookmarkStart w:id="1317" w:name="_Toc63263210"/>
      <w:r/>
      <w:bookmarkStart w:id="1318" w:name="_Ref71232415"/>
      <w:r/>
      <w:bookmarkStart w:id="1319" w:name="_Toc28729"/>
      <w:r/>
      <w:bookmarkStart w:id="1320" w:name="_Toc63262896"/>
      <w:r/>
      <w:bookmarkStart w:id="1321" w:name="_Toc65154973"/>
      <w:r>
        <w:rPr>
          <w:rFonts w:hint="eastAsia" w:eastAsia="仿宋" w:cs="Times New Roman"/>
          <w:b/>
          <w:bCs/>
          <w:color w:val="000000"/>
          <w:sz w:val="30"/>
          <w:szCs w:val="32"/>
          <w:highlight w:val="none"/>
        </w:rPr>
        <w:t xml:space="preserve">争议解决方式</w:t>
      </w:r>
      <w:bookmarkEnd w:id="1315"/>
      <w:r/>
      <w:bookmarkEnd w:id="1316"/>
      <w:r/>
      <w:bookmarkEnd w:id="1317"/>
      <w:r/>
      <w:bookmarkEnd w:id="1318"/>
      <w:r/>
      <w:bookmarkEnd w:id="1319"/>
      <w:r/>
      <w:bookmarkEnd w:id="1320"/>
      <w:r/>
      <w:bookmarkEnd w:id="1321"/>
      <w:r>
        <w:rPr>
          <w:rFonts w:eastAsia="仿宋" w:cs="Times New Roman"/>
          <w:b/>
          <w:bCs/>
          <w:color w:val="000000"/>
          <w:sz w:val="30"/>
          <w:szCs w:val="32"/>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（1）协商</w:t>
      </w:r>
      <w:r>
        <w:rPr>
          <w:rFonts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与</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有关的任何争议由双方进行协商解决，双方协商一致，另行订立补充协议。</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bCs/>
          <w:color w:val="000000"/>
          <w:sz w:val="28"/>
          <w:szCs w:val="28"/>
          <w:highlight w:val="none"/>
        </w:rPr>
      </w:pPr>
      <w:r>
        <w:rPr>
          <w:rFonts w:ascii="Calibri" w:hAnsi="Calibri" w:eastAsia="仿宋" w:cs="Times New Roman"/>
          <w:bCs/>
          <w:color w:val="000000"/>
          <w:sz w:val="28"/>
          <w:szCs w:val="28"/>
          <w:highlight w:val="none"/>
        </w:rPr>
        <w:t xml:space="preserve">（2）</w:t>
      </w:r>
      <w:r>
        <w:rPr>
          <w:rFonts w:hint="eastAsia" w:ascii="Calibri" w:hAnsi="Calibri" w:eastAsia="仿宋" w:cs="Times New Roman"/>
          <w:bCs/>
          <w:color w:val="000000"/>
          <w:sz w:val="28"/>
          <w:szCs w:val="28"/>
          <w:highlight w:val="none"/>
        </w:rPr>
        <w:t xml:space="preserve">仲裁/诉讼</w:t>
      </w:r>
      <w:r>
        <w:rPr>
          <w:rFonts w:ascii="Calibri" w:hAnsi="Calibri" w:eastAsia="仿宋" w:cs="Times New Roman"/>
          <w:bCs/>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如果争议未能根据</w:t>
      </w:r>
      <w:r>
        <w:rPr>
          <w:rFonts w:ascii="Calibri" w:hAnsi="Calibri" w:eastAsia="仿宋" w:cs="Times New Roman"/>
          <w:color w:val="000000"/>
          <w:sz w:val="28"/>
          <w:szCs w:val="28"/>
          <w:highlight w:val="none"/>
        </w:rPr>
        <w:fldChar w:fldCharType="begin"/>
      </w:r>
      <w:r>
        <w:rPr>
          <w:rFonts w:ascii="Calibri" w:hAnsi="Calibri" w:eastAsia="仿宋" w:cs="Times New Roman"/>
          <w:color w:val="000000"/>
          <w:sz w:val="28"/>
          <w:szCs w:val="28"/>
          <w:highlight w:val="none"/>
        </w:rPr>
        <w:instrText xml:space="preserve"> </w:instrText>
      </w:r>
      <w:r>
        <w:rPr>
          <w:rFonts w:hint="eastAsia" w:ascii="Calibri" w:hAnsi="Calibri" w:eastAsia="仿宋" w:cs="Times New Roman"/>
          <w:color w:val="000000"/>
          <w:sz w:val="28"/>
          <w:szCs w:val="28"/>
          <w:highlight w:val="none"/>
        </w:rPr>
        <w:instrText xml:space="preserve">REF _Ref71232415 \r \h</w:instrText>
      </w:r>
      <w:r>
        <w:rPr>
          <w:rFonts w:ascii="Calibri" w:hAnsi="Calibri" w:eastAsia="仿宋" w:cs="Times New Roman"/>
          <w:color w:val="000000"/>
          <w:sz w:val="28"/>
          <w:szCs w:val="28"/>
          <w:highlight w:val="none"/>
        </w:rPr>
        <w:instrText xml:space="preserve"> </w:instrText>
      </w:r>
      <w:r>
        <w:rPr>
          <w:rFonts w:ascii="Calibri" w:hAnsi="Calibri" w:eastAsia="仿宋" w:cs="Times New Roman"/>
          <w:color w:val="000000"/>
          <w:sz w:val="28"/>
          <w:szCs w:val="28"/>
          <w:highlight w:val="none"/>
        </w:rPr>
        <w:fldChar w:fldCharType="separate"/>
      </w:r>
      <w:r>
        <w:rPr>
          <w:rFonts w:hint="eastAsia" w:ascii="Calibri" w:hAnsi="Calibri" w:eastAsia="仿宋" w:cs="Times New Roman"/>
          <w:color w:val="000000"/>
          <w:sz w:val="28"/>
          <w:szCs w:val="28"/>
          <w:highlight w:val="none"/>
        </w:rPr>
        <w:t xml:space="preserve">第三十条</w:t>
      </w:r>
      <w:r>
        <w:rPr>
          <w:rFonts w:ascii="Calibri" w:hAnsi="Calibri" w:eastAsia="仿宋" w:cs="Times New Roman"/>
          <w:color w:val="000000"/>
          <w:sz w:val="28"/>
          <w:szCs w:val="28"/>
          <w:highlight w:val="none"/>
        </w:rPr>
        <w:fldChar w:fldCharType="end"/>
      </w:r>
      <w:r>
        <w:rPr>
          <w:rFonts w:hint="eastAsia" w:ascii="Calibri" w:hAnsi="Calibri" w:eastAsia="仿宋" w:cs="Times New Roman"/>
          <w:color w:val="000000"/>
          <w:sz w:val="28"/>
          <w:szCs w:val="28"/>
          <w:highlight w:val="none"/>
        </w:rPr>
        <w:t xml:space="preserve">第（1）</w:t>
      </w:r>
      <w:r>
        <w:rPr>
          <w:rFonts w:ascii="Calibri" w:hAnsi="Calibri" w:eastAsia="仿宋" w:cs="Times New Roman"/>
          <w:color w:val="000000"/>
          <w:sz w:val="28"/>
          <w:szCs w:val="28"/>
          <w:highlight w:val="none"/>
        </w:rPr>
        <w:t xml:space="preserve">款解决的，双方应采取以下第</w:t>
      </w:r>
      <w:r>
        <w:rPr>
          <w:rFonts w:hint="eastAsia" w:ascii="Calibri" w:hAnsi="Calibri" w:eastAsia="仿宋" w:cs="Times New Roman"/>
          <w:color w:val="000000"/>
          <w:sz w:val="28"/>
          <w:szCs w:val="28"/>
          <w:highlight w:val="none"/>
        </w:rPr>
        <w:t xml:space="preserve">②</w:t>
      </w:r>
      <w:r>
        <w:rPr>
          <w:rFonts w:ascii="Calibri" w:hAnsi="Calibri" w:eastAsia="仿宋" w:cs="Times New Roman"/>
          <w:color w:val="000000"/>
          <w:sz w:val="28"/>
          <w:szCs w:val="28"/>
          <w:highlight w:val="none"/>
        </w:rPr>
        <w:t xml:space="preserve">种争议解决方式：</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①</w:t>
      </w:r>
      <w:r>
        <w:rPr>
          <w:rFonts w:ascii="Calibri" w:hAnsi="Calibri" w:eastAsia="仿宋" w:cs="Times New Roman"/>
          <w:color w:val="000000"/>
          <w:sz w:val="28"/>
          <w:szCs w:val="28"/>
          <w:highlight w:val="none"/>
        </w:rPr>
        <w:t xml:space="preserve">提交</w:t>
      </w:r>
      <w:r>
        <w:rPr>
          <w:rFonts w:hint="eastAsia" w:ascii="Calibri" w:hAnsi="Calibri" w:eastAsia="仿宋" w:cs="Times New Roman"/>
          <w:color w:val="000000"/>
          <w:sz w:val="28"/>
          <w:szCs w:val="28"/>
          <w:highlight w:val="none"/>
        </w:rPr>
        <w:t xml:space="preserve">常州</w:t>
      </w:r>
      <w:r>
        <w:rPr>
          <w:rFonts w:ascii="Calibri" w:hAnsi="Calibri" w:eastAsia="仿宋" w:cs="Times New Roman"/>
          <w:color w:val="000000"/>
          <w:sz w:val="28"/>
          <w:szCs w:val="28"/>
          <w:highlight w:val="none"/>
        </w:rPr>
        <w:t xml:space="preserve">仲裁委员会申请仲裁；</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②</w:t>
      </w:r>
      <w:r>
        <w:rPr>
          <w:rFonts w:ascii="Calibri" w:hAnsi="Calibri" w:eastAsia="仿宋" w:cs="Times New Roman"/>
          <w:color w:val="000000"/>
          <w:sz w:val="28"/>
          <w:szCs w:val="28"/>
          <w:highlight w:val="none"/>
        </w:rPr>
        <w:t xml:space="preserve">向</w:t>
      </w:r>
      <w:r>
        <w:rPr>
          <w:rFonts w:hint="eastAsia" w:ascii="Calibri" w:hAnsi="Calibri" w:eastAsia="仿宋" w:cs="Times New Roman"/>
          <w:color w:val="000000"/>
          <w:sz w:val="28"/>
          <w:szCs w:val="28"/>
          <w:highlight w:val="none"/>
        </w:rPr>
        <w:t xml:space="preserve">具有管辖权的</w:t>
      </w:r>
      <w:r>
        <w:rPr>
          <w:rFonts w:ascii="Calibri" w:hAnsi="Calibri" w:eastAsia="仿宋" w:cs="Times New Roman"/>
          <w:color w:val="000000"/>
          <w:sz w:val="28"/>
          <w:szCs w:val="28"/>
          <w:highlight w:val="none"/>
        </w:rPr>
        <w:t xml:space="preserve">人民法院提起诉讼。</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（3）</w:t>
      </w:r>
      <w:r>
        <w:rPr>
          <w:rFonts w:ascii="Calibri" w:hAnsi="Calibri" w:eastAsia="仿宋" w:cs="Times New Roman"/>
          <w:color w:val="000000"/>
          <w:sz w:val="28"/>
          <w:szCs w:val="28"/>
          <w:highlight w:val="none"/>
        </w:rPr>
        <w:t xml:space="preserve">争议解决期间的继续履行</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在争议协商或者仲裁、诉讼期间，各方应继续履行其在本合同项下的各项义务并继续享有其在本合同项下的所有权利，且不影响以后根据仲裁委员会做出的裁决或法院做出的生效判决进行最终调整。</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4</w:t>
      </w:r>
      <w:r>
        <w:rPr>
          <w:rFonts w:hint="eastAsia" w:ascii="Calibri" w:hAnsi="Calibri" w:eastAsia="仿宋" w:cs="Times New Roman"/>
          <w:color w:val="000000"/>
          <w:sz w:val="28"/>
          <w:szCs w:val="28"/>
          <w:highlight w:val="none"/>
        </w:rPr>
        <w:t xml:space="preserve">）</w:t>
      </w:r>
      <w:r>
        <w:rPr>
          <w:rFonts w:ascii="Calibri" w:hAnsi="Calibri" w:eastAsia="仿宋" w:cs="Times New Roman"/>
          <w:color w:val="000000"/>
          <w:sz w:val="28"/>
          <w:szCs w:val="28"/>
          <w:highlight w:val="none"/>
        </w:rPr>
        <w:t xml:space="preserve">继续有效</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fldChar w:fldCharType="begin"/>
      </w:r>
      <w:r>
        <w:rPr>
          <w:rFonts w:ascii="Calibri" w:hAnsi="Calibri" w:eastAsia="仿宋" w:cs="Times New Roman"/>
          <w:color w:val="000000"/>
          <w:sz w:val="28"/>
          <w:szCs w:val="28"/>
          <w:highlight w:val="none"/>
        </w:rPr>
        <w:instrText xml:space="preserve"> </w:instrText>
      </w:r>
      <w:r>
        <w:rPr>
          <w:rFonts w:hint="eastAsia" w:ascii="Calibri" w:hAnsi="Calibri" w:eastAsia="仿宋" w:cs="Times New Roman"/>
          <w:color w:val="000000"/>
          <w:sz w:val="28"/>
          <w:szCs w:val="28"/>
          <w:highlight w:val="none"/>
        </w:rPr>
        <w:instrText xml:space="preserve">REF _Ref71232702 \r \h</w:instrText>
      </w:r>
      <w:r>
        <w:rPr>
          <w:rFonts w:ascii="Calibri" w:hAnsi="Calibri" w:eastAsia="仿宋" w:cs="Times New Roman"/>
          <w:color w:val="000000"/>
          <w:sz w:val="28"/>
          <w:szCs w:val="28"/>
          <w:highlight w:val="none"/>
        </w:rPr>
        <w:instrText xml:space="preserve"> </w:instrText>
      </w:r>
      <w:r>
        <w:rPr>
          <w:rFonts w:ascii="Calibri" w:hAnsi="Calibri" w:eastAsia="仿宋" w:cs="Times New Roman"/>
          <w:color w:val="000000"/>
          <w:sz w:val="28"/>
          <w:szCs w:val="28"/>
          <w:highlight w:val="none"/>
        </w:rPr>
        <w:fldChar w:fldCharType="separate"/>
      </w:r>
      <w:r>
        <w:rPr>
          <w:rFonts w:hint="eastAsia" w:ascii="Calibri" w:hAnsi="Calibri" w:eastAsia="仿宋" w:cs="Times New Roman"/>
          <w:color w:val="000000"/>
          <w:sz w:val="28"/>
          <w:szCs w:val="28"/>
          <w:highlight w:val="none"/>
        </w:rPr>
        <w:t xml:space="preserve">第三十条</w:t>
      </w:r>
      <w:r>
        <w:rPr>
          <w:rFonts w:ascii="Calibri" w:hAnsi="Calibri" w:eastAsia="仿宋" w:cs="Times New Roman"/>
          <w:color w:val="000000"/>
          <w:sz w:val="28"/>
          <w:szCs w:val="28"/>
          <w:highlight w:val="none"/>
        </w:rPr>
        <w:fldChar w:fldCharType="end"/>
      </w:r>
      <w:r>
        <w:rPr>
          <w:rFonts w:ascii="Calibri" w:hAnsi="Calibri" w:eastAsia="仿宋" w:cs="Times New Roman"/>
          <w:color w:val="000000"/>
          <w:sz w:val="28"/>
          <w:szCs w:val="28"/>
          <w:highlight w:val="none"/>
        </w:rPr>
        <w:t xml:space="preserve">的约定，在</w:t>
      </w:r>
      <w:r>
        <w:rPr>
          <w:rFonts w:hint="eastAsia" w:ascii="Calibri" w:hAnsi="Calibri" w:eastAsia="仿宋" w:cs="Times New Roman"/>
          <w:color w:val="000000"/>
          <w:sz w:val="28"/>
          <w:szCs w:val="28"/>
          <w:highlight w:val="none"/>
        </w:rPr>
        <w:t xml:space="preserve">本合同</w:t>
      </w:r>
      <w:r>
        <w:rPr>
          <w:rFonts w:ascii="Calibri" w:hAnsi="Calibri" w:eastAsia="仿宋" w:cs="Times New Roman"/>
          <w:color w:val="000000"/>
          <w:sz w:val="28"/>
          <w:szCs w:val="28"/>
          <w:highlight w:val="none"/>
        </w:rPr>
        <w:t xml:space="preserve">终止后继续有效。</w:t>
      </w:r>
      <w:r>
        <w:rPr>
          <w:rFonts w:ascii="Calibri" w:hAnsi="Calibri" w:eastAsia="仿宋" w:cs="Times New Roman"/>
          <w:color w:val="000000"/>
          <w:sz w:val="28"/>
          <w:szCs w:val="28"/>
          <w:highlight w:val="none"/>
        </w:rPr>
      </w:r>
      <w:r/>
    </w:p>
    <w:p>
      <w:pPr>
        <w:pStyle w:val="1000"/>
        <w:numPr>
          <w:ilvl w:val="0"/>
          <w:numId w:val="10"/>
        </w:numPr>
        <w:ind w:firstLine="602"/>
        <w:keepLines/>
        <w:keepNext/>
        <w:spacing w:before="120" w:after="120" w:line="360" w:lineRule="auto"/>
        <w:rPr>
          <w:rFonts w:eastAsia="仿宋" w:cs="Times New Roman"/>
          <w:b/>
          <w:bCs/>
          <w:color w:val="000000"/>
          <w:sz w:val="30"/>
          <w:szCs w:val="32"/>
          <w:highlight w:val="none"/>
        </w:rPr>
        <w:outlineLvl w:val="2"/>
      </w:pPr>
      <w:r/>
      <w:bookmarkStart w:id="1322" w:name="_Toc65154011"/>
      <w:r/>
      <w:bookmarkStart w:id="1323" w:name="_Toc22634581"/>
      <w:r/>
      <w:bookmarkStart w:id="1324" w:name="_Toc63262897"/>
      <w:r/>
      <w:bookmarkStart w:id="1325" w:name="_Toc63263211"/>
      <w:r/>
      <w:bookmarkStart w:id="1326" w:name="_Toc12752"/>
      <w:r/>
      <w:bookmarkStart w:id="1327" w:name="_Toc65154974"/>
      <w:r>
        <w:rPr>
          <w:rFonts w:eastAsia="仿宋" w:cs="Times New Roman"/>
          <w:b/>
          <w:bCs/>
          <w:color w:val="000000"/>
          <w:sz w:val="30"/>
          <w:szCs w:val="32"/>
          <w:highlight w:val="none"/>
        </w:rPr>
        <w:t xml:space="preserve">其他</w:t>
      </w:r>
      <w:bookmarkEnd w:id="1322"/>
      <w:r/>
      <w:bookmarkEnd w:id="1323"/>
      <w:r/>
      <w:bookmarkEnd w:id="1324"/>
      <w:r/>
      <w:bookmarkEnd w:id="1325"/>
      <w:r/>
      <w:bookmarkEnd w:id="1326"/>
      <w:r/>
      <w:bookmarkEnd w:id="1327"/>
      <w:r>
        <w:rPr>
          <w:rFonts w:eastAsia="仿宋" w:cs="Times New Roman"/>
          <w:b/>
          <w:bCs/>
          <w:color w:val="000000"/>
          <w:sz w:val="30"/>
          <w:szCs w:val="32"/>
          <w:highlight w:val="none"/>
        </w:rPr>
      </w:r>
      <w:r/>
    </w:p>
    <w:p>
      <w:pPr>
        <w:pStyle w:val="906"/>
        <w:ind w:firstLine="560"/>
        <w:spacing w:line="360" w:lineRule="auto"/>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本合同</w:t>
      </w:r>
      <w:r>
        <w:rPr>
          <w:rFonts w:ascii="仿宋" w:hAnsi="仿宋" w:eastAsia="仿宋" w:cs="Times New Roman"/>
          <w:color w:val="000000"/>
          <w:sz w:val="28"/>
          <w:szCs w:val="28"/>
          <w:highlight w:val="none"/>
        </w:rPr>
        <w:t xml:space="preserve">一式</w:t>
      </w:r>
      <w:r>
        <w:rPr>
          <w:rFonts w:hint="eastAsia" w:ascii="仿宋" w:hAnsi="仿宋" w:eastAsia="仿宋" w:cs="Times New Roman"/>
          <w:color w:val="000000"/>
          <w:sz w:val="28"/>
          <w:szCs w:val="28"/>
          <w:highlight w:val="none"/>
        </w:rPr>
        <w:t xml:space="preserve">陆</w:t>
      </w:r>
      <w:r>
        <w:rPr>
          <w:rFonts w:ascii="仿宋" w:hAnsi="仿宋" w:eastAsia="仿宋" w:cs="Times New Roman"/>
          <w:color w:val="000000"/>
          <w:sz w:val="28"/>
          <w:szCs w:val="28"/>
          <w:highlight w:val="none"/>
        </w:rPr>
        <w:t xml:space="preserve">份，双方各执</w:t>
      </w:r>
      <w:r>
        <w:rPr>
          <w:rFonts w:hint="eastAsia" w:ascii="仿宋" w:hAnsi="仿宋" w:eastAsia="仿宋" w:cs="Times New Roman"/>
          <w:color w:val="000000"/>
          <w:sz w:val="28"/>
          <w:szCs w:val="28"/>
          <w:highlight w:val="none"/>
        </w:rPr>
        <w:t xml:space="preserve">叁</w:t>
      </w:r>
      <w:r>
        <w:rPr>
          <w:rFonts w:ascii="仿宋" w:hAnsi="仿宋" w:eastAsia="仿宋" w:cs="Times New Roman"/>
          <w:color w:val="000000"/>
          <w:sz w:val="28"/>
          <w:szCs w:val="28"/>
          <w:highlight w:val="none"/>
        </w:rPr>
        <w:t xml:space="preserve">份。</w:t>
      </w:r>
      <w:r>
        <w:rPr>
          <w:rFonts w:ascii="仿宋" w:hAnsi="仿宋" w:eastAsia="仿宋" w:cs="Times New Roman"/>
          <w:color w:val="000000"/>
          <w:sz w:val="28"/>
          <w:szCs w:val="28"/>
          <w:highlight w:val="none"/>
        </w:rPr>
      </w:r>
      <w:r/>
    </w:p>
    <w:p>
      <w:pPr>
        <w:pStyle w:val="906"/>
        <w:jc w:val="left"/>
        <w:widowControl/>
        <w:rPr>
          <w:rFonts w:ascii="Calibri" w:hAnsi="Calibri" w:eastAsia="仿宋" w:cs="Times New Roman"/>
          <w:color w:val="000000"/>
          <w:sz w:val="28"/>
          <w:szCs w:val="28"/>
          <w:highlight w:val="none"/>
        </w:rPr>
      </w:pPr>
      <w:r/>
      <w:bookmarkEnd w:id="1312"/>
      <w:r/>
      <w:bookmarkEnd w:id="1313"/>
      <w:r/>
      <w:bookmarkEnd w:id="1314"/>
      <w:r/>
      <w:bookmarkStart w:id="1328" w:name="_附件5__在建项目经营权转让协议"/>
      <w:r/>
      <w:bookmarkEnd w:id="1328"/>
      <w:r>
        <w:rPr>
          <w:rFonts w:ascii="Calibri" w:hAnsi="Calibri" w:eastAsia="仿宋" w:cs="Times New Roman"/>
          <w:color w:val="000000"/>
          <w:sz w:val="28"/>
          <w:szCs w:val="28"/>
          <w:highlight w:val="none"/>
        </w:rPr>
      </w:r>
      <w:r/>
    </w:p>
    <w:p>
      <w:pPr>
        <w:pStyle w:val="906"/>
        <w:spacing w:line="360" w:lineRule="auto"/>
        <w:rPr>
          <w:rFonts w:hint="eastAsia"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br w:type="page" w:clear="all"/>
      </w:r>
      <w:r>
        <w:rPr>
          <w:rFonts w:hint="eastAsia" w:ascii="Calibri" w:hAnsi="Calibri" w:eastAsia="仿宋" w:cs="Times New Roman"/>
          <w:color w:val="000000"/>
          <w:sz w:val="28"/>
          <w:szCs w:val="28"/>
          <w:highlight w:val="none"/>
        </w:rPr>
        <w:t xml:space="preserve">（此页无正文，为盖章页）</w:t>
      </w:r>
      <w:r>
        <w:rPr>
          <w:rFonts w:hint="eastAsia" w:ascii="Calibri" w:hAnsi="Calibri" w:eastAsia="仿宋" w:cs="Times New Roman"/>
          <w:color w:val="000000"/>
          <w:sz w:val="28"/>
          <w:szCs w:val="28"/>
          <w:highlight w:val="none"/>
        </w:rPr>
      </w:r>
      <w:r/>
    </w:p>
    <w:p>
      <w:pPr>
        <w:pStyle w:val="906"/>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甲方</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（公章）</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法定代表人或授权代表：________________（签字）</w:t>
      </w:r>
      <w:r>
        <w:rPr>
          <w:rFonts w:ascii="Calibri" w:hAnsi="Calibri" w:eastAsia="仿宋" w:cs="Times New Roman"/>
          <w:color w:val="000000"/>
          <w:sz w:val="28"/>
          <w:szCs w:val="28"/>
          <w:highlight w:val="none"/>
        </w:rPr>
      </w:r>
      <w:r/>
    </w:p>
    <w:p>
      <w:pPr>
        <w:pStyle w:val="906"/>
        <w:ind w:firstLine="840"/>
        <w:jc w:val="right"/>
        <w:spacing w:line="360" w:lineRule="auto"/>
        <w:rPr>
          <w:rFonts w:ascii="Calibri" w:hAnsi="Calibri" w:eastAsia="仿宋" w:cs="Times New Roman"/>
          <w:color w:val="000000"/>
          <w:sz w:val="28"/>
          <w:szCs w:val="28"/>
          <w:highlight w:val="none"/>
        </w:rPr>
      </w:pPr>
      <w:r/>
      <w:bookmarkStart w:id="1329" w:name="_Hlk69558718"/>
      <w:r>
        <w:rPr>
          <w:rFonts w:ascii="Calibri" w:hAnsi="Calibri" w:eastAsia="仿宋" w:cs="Times New Roman"/>
          <w:color w:val="000000"/>
          <w:sz w:val="28"/>
          <w:szCs w:val="28"/>
          <w:highlight w:val="none"/>
        </w:rPr>
        <w:t xml:space="preserve">年</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  月</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  日</w:t>
      </w:r>
      <w:bookmarkEnd w:id="1329"/>
      <w:r>
        <w:rPr>
          <w:rFonts w:ascii="Calibri" w:hAnsi="Calibri" w:eastAsia="仿宋" w:cs="Times New Roman"/>
          <w:color w:val="000000"/>
          <w:sz w:val="28"/>
          <w:szCs w:val="28"/>
          <w:highlight w:val="none"/>
        </w:rPr>
      </w:r>
      <w:r/>
    </w:p>
    <w:p>
      <w:pPr>
        <w:pStyle w:val="906"/>
        <w:ind w:firstLine="840"/>
        <w:jc w:val="right"/>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840"/>
        <w:jc w:val="right"/>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乙方</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（公章）</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t xml:space="preserve">法定代表人或授权代表：________________（签字）</w:t>
      </w:r>
      <w:r>
        <w:rPr>
          <w:rFonts w:ascii="Calibri" w:hAnsi="Calibri" w:eastAsia="仿宋" w:cs="Times New Roman"/>
          <w:color w:val="000000"/>
          <w:sz w:val="28"/>
          <w:szCs w:val="28"/>
          <w:highlight w:val="none"/>
        </w:rPr>
      </w:r>
      <w:r/>
    </w:p>
    <w:p>
      <w:pPr>
        <w:pStyle w:val="906"/>
        <w:ind w:firstLine="560"/>
        <w:spacing w:line="360" w:lineRule="auto"/>
        <w:rPr>
          <w:rFonts w:ascii="Calibri" w:hAnsi="Calibri" w:eastAsia="仿宋" w:cs="Times New Roman"/>
          <w:color w:val="000000"/>
          <w:sz w:val="28"/>
          <w:szCs w:val="28"/>
          <w:highlight w:val="none"/>
        </w:rPr>
      </w:pPr>
      <w:r>
        <w:rPr>
          <w:rFonts w:ascii="Calibri" w:hAnsi="Calibri" w:eastAsia="仿宋" w:cs="Times New Roman"/>
          <w:color w:val="000000"/>
          <w:sz w:val="28"/>
          <w:szCs w:val="28"/>
          <w:highlight w:val="none"/>
        </w:rPr>
      </w:r>
      <w:r/>
    </w:p>
    <w:p>
      <w:pPr>
        <w:pStyle w:val="906"/>
        <w:jc w:val="right"/>
        <w:rPr>
          <w:color w:val="000000"/>
          <w:highlight w:val="none"/>
        </w:rPr>
      </w:pPr>
      <w:r>
        <w:rPr>
          <w:rFonts w:ascii="Calibri" w:hAnsi="Calibri" w:eastAsia="仿宋" w:cs="Times New Roman"/>
          <w:color w:val="000000"/>
          <w:sz w:val="28"/>
          <w:szCs w:val="28"/>
          <w:highlight w:val="none"/>
        </w:rPr>
        <w:t xml:space="preserve">年</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  月</w:t>
      </w:r>
      <w:r>
        <w:rPr>
          <w:rFonts w:hint="eastAsia" w:ascii="Calibri" w:hAnsi="Calibri" w:eastAsia="仿宋" w:cs="Times New Roman"/>
          <w:color w:val="000000"/>
          <w:sz w:val="28"/>
          <w:szCs w:val="28"/>
          <w:highlight w:val="none"/>
        </w:rPr>
        <w:t xml:space="preserve"> </w:t>
      </w:r>
      <w:r>
        <w:rPr>
          <w:rFonts w:ascii="Calibri" w:hAnsi="Calibri" w:eastAsia="仿宋" w:cs="Times New Roman"/>
          <w:color w:val="000000"/>
          <w:sz w:val="28"/>
          <w:szCs w:val="28"/>
          <w:highlight w:val="none"/>
        </w:rPr>
        <w:t xml:space="preserve">  日</w:t>
      </w:r>
      <w:r>
        <w:rPr>
          <w:color w:val="000000"/>
          <w:highlight w:val="none"/>
        </w:rPr>
      </w:r>
      <w:r/>
    </w:p>
    <w:p>
      <w:pPr>
        <w:pStyle w:val="937"/>
        <w:spacing w:line="360" w:lineRule="auto"/>
        <w:tabs>
          <w:tab w:val="left" w:pos="567" w:leader="none"/>
        </w:tabs>
        <w:rPr>
          <w:color w:val="000000"/>
          <w:highlight w:val="none"/>
        </w:rPr>
      </w:pPr>
      <w:r>
        <w:rPr>
          <w:color w:val="000000"/>
          <w:highlight w:val="none"/>
        </w:rPr>
      </w:r>
      <w:r/>
    </w:p>
    <w:p>
      <w:pPr>
        <w:pStyle w:val="906"/>
        <w:jc w:val="center"/>
        <w:spacing w:line="360" w:lineRule="auto"/>
        <w:rPr>
          <w:b/>
          <w:color w:val="000000"/>
          <w:sz w:val="36"/>
          <w:szCs w:val="36"/>
          <w:highlight w:val="none"/>
        </w:rPr>
        <w:outlineLvl w:val="0"/>
      </w:pPr>
      <w:r>
        <w:rPr>
          <w:b/>
          <w:color w:val="000000"/>
          <w:sz w:val="36"/>
          <w:szCs w:val="36"/>
          <w:highlight w:val="none"/>
        </w:rPr>
        <w:br w:type="page" w:clear="all"/>
      </w:r>
      <w:bookmarkStart w:id="1330" w:name="_Toc30692"/>
      <w:r>
        <w:rPr>
          <w:b/>
          <w:color w:val="000000"/>
          <w:sz w:val="36"/>
          <w:szCs w:val="36"/>
          <w:highlight w:val="none"/>
        </w:rPr>
        <w:t xml:space="preserve">第七章   投标文件格式</w:t>
      </w:r>
      <w:bookmarkEnd w:id="1330"/>
      <w:r>
        <w:rPr>
          <w:b/>
          <w:color w:val="000000"/>
          <w:sz w:val="36"/>
          <w:szCs w:val="36"/>
          <w:highlight w:val="none"/>
        </w:rPr>
      </w:r>
      <w:r/>
    </w:p>
    <w:p>
      <w:pPr>
        <w:pStyle w:val="906"/>
        <w:spacing w:line="360" w:lineRule="auto"/>
        <w:tabs>
          <w:tab w:val="left" w:pos="900" w:leader="none"/>
          <w:tab w:val="left" w:pos="1980" w:leader="none"/>
        </w:tabs>
        <w:rPr>
          <w:rFonts w:hint="eastAsia"/>
          <w:b/>
          <w:color w:val="000000"/>
          <w:sz w:val="24"/>
          <w:highlight w:val="none"/>
        </w:rPr>
      </w:pPr>
      <w:r>
        <w:rPr>
          <w:rFonts w:hint="eastAsia"/>
          <w:b/>
          <w:color w:val="000000"/>
          <w:sz w:val="24"/>
          <w:highlight w:val="none"/>
        </w:rPr>
      </w:r>
      <w:r/>
    </w:p>
    <w:p>
      <w:pPr>
        <w:pStyle w:val="906"/>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06"/>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6"/>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06"/>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06"/>
        <w:jc w:val="left"/>
        <w:widowControl/>
        <w:rPr>
          <w:color w:val="000000"/>
          <w:sz w:val="24"/>
          <w:highlight w:val="none"/>
        </w:rPr>
      </w:pPr>
      <w:r>
        <w:rPr>
          <w:color w:val="000000"/>
          <w:sz w:val="24"/>
          <w:highlight w:val="none"/>
        </w:rPr>
      </w:r>
      <w:r/>
    </w:p>
    <w:p>
      <w:pPr>
        <w:pStyle w:val="906"/>
        <w:jc w:val="left"/>
        <w:keepLines/>
        <w:keepNext/>
        <w:spacing w:before="120" w:line="300" w:lineRule="auto"/>
        <w:rPr>
          <w:b/>
          <w:color w:val="000000"/>
          <w:sz w:val="30"/>
          <w:szCs w:val="20"/>
          <w:highlight w:val="none"/>
        </w:rPr>
        <w:outlineLvl w:val="1"/>
      </w:pPr>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b/>
          <w:color w:val="000000"/>
          <w:spacing w:val="20"/>
          <w:sz w:val="24"/>
          <w:highlight w:val="none"/>
        </w:rPr>
        <w:br w:type="page" w:clear="all"/>
      </w:r>
      <w:r>
        <w:rPr>
          <w:b/>
          <w:color w:val="000000"/>
          <w:sz w:val="30"/>
          <w:szCs w:val="20"/>
          <w:highlight w:val="none"/>
        </w:rPr>
        <w:t xml:space="preserve"> </w:t>
      </w:r>
      <w:r>
        <w:rPr>
          <w:b/>
          <w:color w:val="000000"/>
          <w:spacing w:val="20"/>
          <w:sz w:val="24"/>
          <w:highlight w:val="none"/>
        </w:rPr>
        <w:t xml:space="preserve">投标文件</w:t>
      </w:r>
      <w:r>
        <w:rPr>
          <w:b/>
          <w:color w:val="000000"/>
          <w:sz w:val="24"/>
          <w:highlight w:val="none"/>
        </w:rPr>
        <w:t xml:space="preserve">封面（非实质性格式）</w:t>
      </w:r>
      <w:r>
        <w:rPr>
          <w:b/>
          <w:color w:val="000000"/>
          <w:sz w:val="30"/>
          <w:szCs w:val="20"/>
          <w:highlight w:val="none"/>
        </w:rPr>
      </w:r>
      <w:r/>
    </w:p>
    <w:p>
      <w:pPr>
        <w:pStyle w:val="906"/>
        <w:jc w:val="center"/>
        <w:rPr>
          <w:color w:val="000000"/>
          <w:szCs w:val="21"/>
          <w:highlight w:val="none"/>
        </w:rPr>
      </w:pPr>
      <w:r>
        <w:rPr>
          <w:color w:val="000000"/>
          <w:szCs w:val="21"/>
          <w:highlight w:val="none"/>
        </w:rPr>
      </w:r>
      <w:r/>
    </w:p>
    <w:p>
      <w:pPr>
        <w:pStyle w:val="906"/>
        <w:jc w:val="center"/>
        <w:rPr>
          <w:b/>
          <w:color w:val="000000"/>
          <w:spacing w:val="60"/>
          <w:sz w:val="84"/>
          <w:szCs w:val="84"/>
          <w:highlight w:val="none"/>
        </w:rPr>
      </w:pPr>
      <w:r>
        <w:rPr>
          <w:b/>
          <w:color w:val="000000"/>
          <w:spacing w:val="60"/>
          <w:sz w:val="84"/>
          <w:szCs w:val="84"/>
          <w:highlight w:val="none"/>
        </w:rPr>
      </w:r>
      <w:r/>
    </w:p>
    <w:p>
      <w:pPr>
        <w:pStyle w:val="906"/>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0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0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b/>
          <w:color w:val="000000"/>
          <w:spacing w:val="20"/>
          <w:sz w:val="32"/>
          <w:szCs w:val="32"/>
          <w:highlight w:val="none"/>
        </w:rPr>
      </w:pPr>
      <w:r>
        <w:rPr>
          <w:b/>
          <w:color w:val="000000"/>
          <w:spacing w:val="20"/>
          <w:sz w:val="32"/>
          <w:szCs w:val="32"/>
          <w:highlight w:val="none"/>
        </w:rPr>
      </w:r>
      <w:r/>
    </w:p>
    <w:p>
      <w:pPr>
        <w:pStyle w:val="906"/>
        <w:ind w:firstLine="542"/>
        <w:rPr>
          <w:rFonts w:hint="eastAsia"/>
          <w:b/>
          <w:color w:val="000000"/>
          <w:spacing w:val="20"/>
          <w:sz w:val="32"/>
          <w:szCs w:val="32"/>
          <w:highlight w:val="none"/>
        </w:rPr>
      </w:pPr>
      <w:r>
        <w:rPr>
          <w:rFonts w:hint="eastAsia"/>
          <w:b/>
          <w:color w:val="000000"/>
          <w:spacing w:val="20"/>
          <w:sz w:val="32"/>
          <w:szCs w:val="32"/>
          <w:highlight w:val="none"/>
        </w:rPr>
      </w:r>
      <w:r/>
    </w:p>
    <w:p>
      <w:pPr>
        <w:pStyle w:val="906"/>
        <w:rPr>
          <w:rFonts w:hint="eastAsia"/>
          <w:b/>
          <w:color w:val="000000"/>
          <w:spacing w:val="20"/>
          <w:sz w:val="32"/>
          <w:szCs w:val="32"/>
          <w:highlight w:val="none"/>
        </w:rPr>
      </w:pPr>
      <w:r>
        <w:rPr>
          <w:rFonts w:hint="eastAsia"/>
          <w:b/>
          <w:color w:val="000000"/>
          <w:spacing w:val="20"/>
          <w:sz w:val="32"/>
          <w:szCs w:val="32"/>
          <w:highlight w:val="none"/>
        </w:rPr>
      </w:r>
      <w:r/>
    </w:p>
    <w:p>
      <w:pPr>
        <w:pStyle w:val="90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6"/>
        <w:jc w:val="center"/>
        <w:rPr>
          <w:b/>
          <w:color w:val="000000"/>
          <w:sz w:val="32"/>
          <w:szCs w:val="32"/>
          <w:highlight w:val="none"/>
        </w:rPr>
      </w:pPr>
      <w:r>
        <w:rPr>
          <w:b/>
          <w:color w:val="000000"/>
          <w:sz w:val="32"/>
          <w:szCs w:val="32"/>
          <w:highlight w:val="none"/>
        </w:rPr>
      </w:r>
      <w:r/>
    </w:p>
    <w:p>
      <w:pPr>
        <w:pStyle w:val="906"/>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6"/>
        <w:rPr>
          <w:b/>
          <w:color w:val="000000"/>
          <w:highlight w:val="none"/>
        </w:rPr>
      </w:pPr>
      <w:r>
        <w:rPr>
          <w:b/>
          <w:color w:val="000000"/>
          <w:highlight w:val="none"/>
        </w:rPr>
      </w:r>
      <w:r/>
    </w:p>
    <w:p>
      <w:pPr>
        <w:pStyle w:val="906"/>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09"/>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0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20"/>
        <w:ind w:firstLine="480"/>
        <w:spacing w:line="460" w:lineRule="exact"/>
        <w:rPr>
          <w:color w:val="000000"/>
          <w:highlight w:val="none"/>
        </w:rPr>
      </w:pPr>
      <w:r>
        <w:rPr>
          <w:color w:val="000000"/>
          <w:highlight w:val="none"/>
        </w:rPr>
      </w:r>
      <w:r/>
    </w:p>
    <w:p>
      <w:pPr>
        <w:pStyle w:val="920"/>
        <w:ind w:firstLine="480"/>
        <w:spacing w:line="460" w:lineRule="exact"/>
        <w:rPr>
          <w:color w:val="000000"/>
          <w:highlight w:val="none"/>
          <w:u w:val="single"/>
        </w:rPr>
      </w:pPr>
      <w:r>
        <w:rPr>
          <w:rFonts w:hint="eastAsia"/>
          <w:color w:val="000000"/>
          <w:highlight w:val="none"/>
        </w:rPr>
        <w:t xml:space="preserve">致：</w:t>
      </w:r>
      <w:r>
        <w:rPr>
          <w:rFonts w:hint="eastAsia"/>
          <w:color w:val="000000"/>
          <w:highlight w:val="none"/>
          <w:u w:val="single"/>
        </w:rPr>
        <w:t xml:space="preserve">江苏嘉德全过程工程咨询有限公司</w:t>
      </w:r>
      <w:r>
        <w:rPr>
          <w:color w:val="000000"/>
          <w:highlight w:val="none"/>
          <w:u w:val="single"/>
        </w:rPr>
      </w:r>
      <w:r/>
    </w:p>
    <w:p>
      <w:pPr>
        <w:pStyle w:val="920"/>
        <w:ind w:firstLine="960"/>
        <w:spacing w:line="460" w:lineRule="exact"/>
        <w:rPr>
          <w:color w:val="000000"/>
          <w:highlight w:val="none"/>
          <w:u w:val="single"/>
        </w:rPr>
      </w:pPr>
      <w:r>
        <w:rPr>
          <w:rFonts w:hint="eastAsia"/>
          <w:color w:val="000000"/>
          <w:highlight w:val="none"/>
          <w:u w:val="single"/>
          <w:lang w:eastAsia="zh-CN"/>
        </w:rPr>
        <w:t xml:space="preserve">常州市新北区市政绿化管理所</w:t>
      </w:r>
      <w:r>
        <w:rPr>
          <w:rFonts w:hint="eastAsia"/>
          <w:color w:val="000000"/>
          <w:highlight w:val="none"/>
          <w:u w:val="single"/>
        </w:rPr>
        <w:t xml:space="preserve">（采购人名称）</w:t>
      </w:r>
      <w:r>
        <w:rPr>
          <w:color w:val="000000"/>
          <w:highlight w:val="none"/>
          <w:u w:val="single"/>
        </w:rPr>
      </w:r>
      <w:r/>
    </w:p>
    <w:p>
      <w:pPr>
        <w:pStyle w:val="920"/>
        <w:ind w:firstLine="480"/>
        <w:spacing w:line="460" w:lineRule="exact"/>
        <w:rPr>
          <w:color w:val="000000"/>
          <w:highlight w:val="none"/>
        </w:rPr>
      </w:pP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2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2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2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20"/>
        <w:ind w:firstLine="480"/>
        <w:spacing w:line="460" w:lineRule="exact"/>
        <w:rPr>
          <w:color w:val="000000"/>
          <w:highlight w:val="none"/>
        </w:rPr>
      </w:pP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20"/>
        <w:ind w:firstLine="480"/>
        <w:spacing w:line="460" w:lineRule="exact"/>
        <w:rPr>
          <w:color w:val="000000"/>
          <w:highlight w:val="none"/>
        </w:rPr>
      </w:pPr>
      <w:r>
        <w:rPr>
          <w:color w:val="000000"/>
          <w:highlight w:val="none"/>
        </w:rPr>
      </w:r>
      <w:r/>
    </w:p>
    <w:p>
      <w:pPr>
        <w:pStyle w:val="920"/>
        <w:ind w:firstLine="480"/>
        <w:spacing w:line="460" w:lineRule="exact"/>
        <w:rPr>
          <w:color w:val="000000"/>
          <w:highlight w:val="none"/>
        </w:rPr>
      </w:pP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2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20"/>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06"/>
        <w:spacing w:line="360" w:lineRule="auto"/>
        <w:rPr>
          <w:rFonts w:hint="eastAsia"/>
          <w:color w:val="000000"/>
          <w:sz w:val="24"/>
          <w:highlight w:val="none"/>
        </w:rPr>
      </w:pPr>
      <w:r>
        <w:rPr>
          <w:rFonts w:hint="eastAsia"/>
          <w:color w:val="000000"/>
          <w:sz w:val="24"/>
          <w:highlight w:val="none"/>
        </w:rPr>
      </w:r>
      <w:r/>
    </w:p>
    <w:p>
      <w:pPr>
        <w:pStyle w:val="906"/>
        <w:spacing w:line="360" w:lineRule="auto"/>
        <w:rPr>
          <w:rFonts w:hint="eastAsia"/>
          <w:color w:val="000000"/>
          <w:sz w:val="24"/>
          <w:highlight w:val="none"/>
        </w:rPr>
      </w:pPr>
      <w:r>
        <w:rPr>
          <w:rFonts w:hint="eastAsia"/>
          <w:color w:val="000000"/>
          <w:sz w:val="24"/>
          <w:highlight w:val="none"/>
        </w:rPr>
      </w:r>
      <w:r/>
    </w:p>
    <w:p>
      <w:pPr>
        <w:pStyle w:val="906"/>
        <w:spacing w:line="360" w:lineRule="auto"/>
        <w:rPr>
          <w:rFonts w:hint="eastAsia"/>
          <w:color w:val="000000"/>
          <w:sz w:val="24"/>
          <w:highlight w:val="none"/>
        </w:rPr>
      </w:pPr>
      <w:r>
        <w:rPr>
          <w:rFonts w:hint="eastAsia"/>
          <w:color w:val="000000"/>
          <w:sz w:val="24"/>
          <w:highlight w:val="none"/>
        </w:rPr>
      </w:r>
      <w:r/>
    </w:p>
    <w:p>
      <w:pPr>
        <w:pStyle w:val="906"/>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6"/>
        <w:spacing w:line="360" w:lineRule="auto"/>
        <w:rPr>
          <w:color w:val="000000"/>
          <w:sz w:val="24"/>
          <w:highlight w:val="none"/>
        </w:rPr>
      </w:pPr>
      <w:r>
        <w:rPr>
          <w:color w:val="000000"/>
          <w:sz w:val="24"/>
          <w:highlight w:val="none"/>
        </w:rPr>
      </w:r>
      <w:r/>
    </w:p>
    <w:p>
      <w:pPr>
        <w:pStyle w:val="906"/>
        <w:spacing w:line="360" w:lineRule="auto"/>
        <w:rPr>
          <w:color w:val="000000"/>
          <w:sz w:val="24"/>
          <w:highlight w:val="none"/>
        </w:rPr>
      </w:pPr>
      <w:r>
        <w:rPr>
          <w:color w:val="000000"/>
          <w:sz w:val="24"/>
          <w:highlight w:val="none"/>
        </w:rPr>
        <w:br w:type="page" w:clear="all"/>
      </w:r>
      <w:r>
        <w:rPr>
          <w:rFonts w:hint="eastAsia"/>
          <w:color w:val="000000"/>
          <w:sz w:val="24"/>
          <w:highlight w:val="none"/>
        </w:rPr>
        <w:t xml:space="preserve">附：投标人</w:t>
      </w:r>
      <w:r>
        <w:rPr>
          <w:rFonts w:hint="eastAsia" w:ascii="Times New Roman" w:hAnsi="Times New Roman" w:eastAsia="宋体" w:cs="Times New Roman"/>
          <w:color w:val="000000"/>
          <w:sz w:val="24"/>
          <w:highlight w:val="none"/>
        </w:rPr>
        <w:t xml:space="preserve">营业执照</w:t>
      </w:r>
      <w:r>
        <w:rPr>
          <w:color w:val="000000"/>
          <w:sz w:val="24"/>
          <w:highlight w:val="none"/>
        </w:rPr>
      </w:r>
      <w:r/>
    </w:p>
    <w:p>
      <w:pPr>
        <w:pStyle w:val="906"/>
        <w:spacing w:line="360" w:lineRule="auto"/>
        <w:rPr>
          <w:color w:val="000000"/>
          <w:sz w:val="24"/>
          <w:highlight w:val="none"/>
        </w:rPr>
      </w:pPr>
      <w:r>
        <w:rPr>
          <w:color w:val="000000"/>
          <w:sz w:val="24"/>
          <w:highlight w:val="none"/>
        </w:rPr>
      </w:r>
      <w:r/>
    </w:p>
    <w:p>
      <w:pPr>
        <w:pStyle w:val="909"/>
        <w:rPr>
          <w:rFonts w:ascii="Times New Roman" w:hAnsi="Times New Roman" w:eastAsia="宋体" w:cs="Times New Roman"/>
          <w:b w:val="0"/>
          <w:bCs/>
          <w:color w:val="000000"/>
          <w:highlight w:val="none"/>
          <w:u w:val="none"/>
        </w:rPr>
      </w:pPr>
      <w:r>
        <w:rPr>
          <w:color w:val="000000"/>
          <w:sz w:val="24"/>
          <w:highlight w:val="none"/>
        </w:rPr>
        <w:br w:type="page" w:clear="all"/>
      </w:r>
      <w:r>
        <w:rPr>
          <w:rFonts w:hint="eastAsia" w:ascii="Times New Roman" w:hAnsi="Times New Roman" w:eastAsia="宋体" w:cs="Times New Roman"/>
          <w:b w:val="0"/>
          <w:bCs/>
          <w:color w:val="000000"/>
          <w:highlight w:val="none"/>
          <w:u w:val="none"/>
          <w:lang w:val="en-US" w:eastAsia="zh-CN"/>
        </w:rPr>
        <w:t xml:space="preserve">1-2 </w:t>
      </w:r>
      <w:r>
        <w:rPr>
          <w:rFonts w:ascii="Times New Roman" w:hAnsi="Times New Roman" w:eastAsia="宋体" w:cs="Times New Roman"/>
          <w:b w:val="0"/>
          <w:bCs/>
          <w:color w:val="000000"/>
          <w:highlight w:val="none"/>
          <w:u w:val="none"/>
        </w:rPr>
        <w:t xml:space="preserve">投标人信用记录</w:t>
      </w:r>
      <w:r>
        <w:rPr>
          <w:rFonts w:ascii="Times New Roman" w:hAnsi="Times New Roman" w:eastAsia="宋体" w:cs="Times New Roman"/>
          <w:b w:val="0"/>
          <w:bCs/>
          <w:color w:val="000000"/>
          <w:highlight w:val="none"/>
          <w:u w:val="none"/>
        </w:rPr>
      </w:r>
      <w:r/>
    </w:p>
    <w:p>
      <w:pPr>
        <w:pStyle w:val="906"/>
        <w:spacing w:line="360" w:lineRule="auto"/>
        <w:rPr>
          <w:color w:val="000000"/>
          <w:sz w:val="24"/>
          <w:highlight w:val="none"/>
        </w:rPr>
        <w:outlineLvl w:val="2"/>
      </w:pPr>
      <w:r>
        <w:rPr>
          <w:color w:val="000000"/>
          <w:sz w:val="24"/>
          <w:highlight w:val="none"/>
        </w:rPr>
      </w:r>
      <w:r/>
    </w:p>
    <w:p>
      <w:pPr>
        <w:pStyle w:val="906"/>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无须投标人提供，由采购人查询。</w:t>
      </w:r>
      <w:r>
        <w:rPr>
          <w:rFonts w:hint="eastAsia" w:ascii="Times New Roman" w:hAnsi="Times New Roman" w:eastAsia="宋体" w:cs="Times New Roman"/>
          <w:color w:val="000000"/>
          <w:sz w:val="24"/>
          <w:highlight w:val="none"/>
        </w:rPr>
      </w:r>
      <w:r/>
    </w:p>
    <w:p>
      <w:pPr>
        <w:pStyle w:val="906"/>
        <w:spacing w:line="360" w:lineRule="auto"/>
        <w:rPr>
          <w:color w:val="000000"/>
          <w:sz w:val="24"/>
          <w:highlight w:val="none"/>
        </w:rPr>
        <w:outlineLvl w:val="2"/>
      </w:pPr>
      <w:r>
        <w:rPr>
          <w:color w:val="000000"/>
          <w:sz w:val="24"/>
          <w:highlight w:val="none"/>
        </w:rPr>
      </w:r>
      <w:r/>
    </w:p>
    <w:p>
      <w:pPr>
        <w:pStyle w:val="906"/>
        <w:spacing w:line="360" w:lineRule="auto"/>
        <w:rPr>
          <w:color w:val="000000"/>
          <w:sz w:val="24"/>
          <w:szCs w:val="20"/>
          <w:highlight w:val="none"/>
        </w:rPr>
        <w:outlineLvl w:val="2"/>
      </w:pPr>
      <w:r>
        <w:rPr>
          <w:color w:val="000000"/>
          <w:sz w:val="24"/>
          <w:highlight w:val="none"/>
        </w:rPr>
        <w:br w:type="page" w:clear="all"/>
      </w:r>
      <w:r>
        <w:rPr>
          <w:color w:val="000000"/>
          <w:sz w:val="24"/>
          <w:szCs w:val="20"/>
          <w:highlight w:val="none"/>
        </w:rPr>
        <w:t xml:space="preserve">2 落实政府采购政策需满足的资格要求</w:t>
      </w:r>
      <w:r>
        <w:rPr>
          <w:color w:val="000000"/>
          <w:sz w:val="24"/>
          <w:szCs w:val="20"/>
          <w:highlight w:val="none"/>
        </w:rPr>
      </w:r>
      <w:r/>
    </w:p>
    <w:p>
      <w:pPr>
        <w:pStyle w:val="906"/>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906"/>
        <w:spacing w:line="360" w:lineRule="auto"/>
        <w:tabs>
          <w:tab w:val="left" w:pos="5580" w:leader="none"/>
        </w:tabs>
        <w:rPr>
          <w:color w:val="000000"/>
          <w:sz w:val="24"/>
          <w:highlight w:val="none"/>
        </w:rPr>
      </w:pPr>
      <w:r>
        <w:rPr>
          <w:color w:val="000000"/>
          <w:sz w:val="24"/>
          <w:highlight w:val="none"/>
        </w:rPr>
      </w:r>
      <w:r/>
    </w:p>
    <w:p>
      <w:pPr>
        <w:pStyle w:val="906"/>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906"/>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906"/>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906"/>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906"/>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906"/>
        <w:spacing w:line="360" w:lineRule="auto"/>
        <w:tabs>
          <w:tab w:val="left" w:pos="5580" w:leader="none"/>
        </w:tabs>
        <w:rPr>
          <w:color w:val="000000"/>
          <w:sz w:val="24"/>
          <w:highlight w:val="none"/>
        </w:rPr>
      </w:pPr>
      <w:r>
        <w:rPr>
          <w:color w:val="000000"/>
          <w:sz w:val="24"/>
          <w:highlight w:val="none"/>
        </w:rPr>
      </w:r>
      <w:r/>
    </w:p>
    <w:p>
      <w:pPr>
        <w:pStyle w:val="906"/>
        <w:jc w:val="left"/>
        <w:widowControl/>
        <w:rPr>
          <w:color w:val="000000"/>
          <w:sz w:val="24"/>
          <w:highlight w:val="none"/>
        </w:rPr>
      </w:pPr>
      <w:r>
        <w:rPr>
          <w:color w:val="000000"/>
          <w:sz w:val="24"/>
          <w:highlight w:val="none"/>
        </w:rPr>
        <w:br w:type="page" w:clear="all"/>
      </w:r>
      <w:r>
        <w:rPr>
          <w:color w:val="000000"/>
          <w:sz w:val="24"/>
          <w:highlight w:val="none"/>
        </w:rPr>
      </w:r>
      <w:r/>
    </w:p>
    <w:p>
      <w:pPr>
        <w:pStyle w:val="906"/>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本公司（联合体）郑重声明，根据《政府采购促进中小企业发展管理办法》（财库﹝2020﹞46 号）的规定，本公司</w:t>
      </w:r>
      <w:r>
        <w:rPr>
          <w:rFonts w:hint="eastAsia" w:ascii="宋体" w:hAnsi="宋体" w:cs="宋体"/>
          <w:i/>
          <w:iCs/>
          <w:color w:val="000000"/>
          <w:spacing w:val="6"/>
          <w:sz w:val="24"/>
          <w:highlight w:val="none"/>
          <w:u w:val="single"/>
        </w:rPr>
        <w:t xml:space="preserve">（联合体）</w:t>
      </w:r>
      <w:r>
        <w:rPr>
          <w:rFonts w:hint="eastAsia" w:ascii="宋体" w:hAnsi="宋体" w:cs="宋体"/>
          <w:color w:val="000000"/>
          <w:spacing w:val="6"/>
          <w:sz w:val="24"/>
          <w:highlight w:val="none"/>
        </w:rPr>
        <w:t xml:space="preserve">参加</w:t>
      </w:r>
      <w:r>
        <w:rPr>
          <w:rFonts w:hint="eastAsia" w:ascii="宋体" w:hAnsi="宋体" w:cs="宋体"/>
          <w:i/>
          <w:iCs/>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i/>
          <w:iCs/>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i/>
          <w:iCs/>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（其他未列明行业）</w:t>
      </w:r>
      <w:r>
        <w:rPr>
          <w:rFonts w:hint="eastAsia" w:ascii="宋体" w:hAnsi="宋体" w:cs="宋体"/>
          <w:color w:val="000000"/>
          <w:spacing w:val="6"/>
          <w:sz w:val="24"/>
          <w:highlight w:val="none"/>
        </w:rPr>
        <w:t xml:space="preserve">行业；承建（承接）企业为</w:t>
      </w:r>
      <w:r>
        <w:rPr>
          <w:rFonts w:hint="eastAsia" w:ascii="宋体" w:hAnsi="宋体" w:cs="宋体"/>
          <w:i/>
          <w:iCs/>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i/>
          <w:iCs/>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（其他未列明行业）</w:t>
      </w:r>
      <w:r>
        <w:rPr>
          <w:rFonts w:hint="eastAsia" w:ascii="宋体" w:hAnsi="宋体" w:cs="宋体"/>
          <w:color w:val="000000"/>
          <w:spacing w:val="6"/>
          <w:sz w:val="24"/>
          <w:highlight w:val="none"/>
        </w:rPr>
        <w:t xml:space="preserve">行业；承建（承接）企业为</w:t>
      </w:r>
      <w:r>
        <w:rPr>
          <w:rFonts w:hint="eastAsia" w:ascii="宋体" w:hAnsi="宋体" w:cs="宋体"/>
          <w:i/>
          <w:iCs/>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i/>
          <w:iCs/>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90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906"/>
        <w:jc w:val="left"/>
        <w:rPr>
          <w:rFonts w:ascii="宋体" w:hAnsi="宋体"/>
          <w:color w:val="000000"/>
          <w:sz w:val="24"/>
          <w:szCs w:val="21"/>
          <w:highlight w:val="none"/>
        </w:rPr>
      </w:pPr>
      <w:r>
        <w:rPr>
          <w:rFonts w:ascii="宋体" w:hAnsi="宋体"/>
          <w:color w:val="000000"/>
          <w:sz w:val="24"/>
          <w:szCs w:val="21"/>
          <w:highlight w:val="none"/>
        </w:rPr>
      </w:r>
      <w:r/>
    </w:p>
    <w:p>
      <w:pPr>
        <w:pStyle w:val="906"/>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906"/>
        <w:jc w:val="center"/>
        <w:rPr>
          <w:rFonts w:ascii="宋体" w:hAnsi="宋体"/>
          <w:color w:val="000000"/>
          <w:sz w:val="24"/>
          <w:highlight w:val="none"/>
        </w:rPr>
      </w:pPr>
      <w:r>
        <w:rPr>
          <w:rFonts w:ascii="宋体" w:hAnsi="宋体"/>
          <w:color w:val="000000"/>
          <w:sz w:val="24"/>
          <w:highlight w:val="none"/>
        </w:rPr>
      </w:r>
      <w:r/>
    </w:p>
    <w:p>
      <w:pPr>
        <w:pStyle w:val="906"/>
        <w:jc w:val="left"/>
        <w:rPr>
          <w:color w:val="000000"/>
          <w:szCs w:val="21"/>
          <w:highlight w:val="none"/>
          <w:vertAlign w:val="superscript"/>
        </w:rPr>
      </w:pPr>
      <w:r>
        <w:rPr>
          <w:color w:val="000000"/>
          <w:szCs w:val="21"/>
          <w:highlight w:val="none"/>
          <w:vertAlign w:val="superscript"/>
        </w:rPr>
      </w:r>
      <w:r/>
    </w:p>
    <w:p>
      <w:pPr>
        <w:pStyle w:val="906"/>
        <w:ind w:right="360" w:firstLine="480"/>
        <w:jc w:val="right"/>
        <w:spacing w:line="360" w:lineRule="auto"/>
        <w:rPr>
          <w:color w:val="000000"/>
          <w:sz w:val="24"/>
          <w:highlight w:val="none"/>
        </w:rPr>
      </w:pPr>
      <w:r>
        <w:rPr>
          <w:color w:val="000000"/>
          <w:sz w:val="24"/>
          <w:highlight w:val="none"/>
        </w:rPr>
      </w:r>
      <w:r/>
    </w:p>
    <w:p>
      <w:pPr>
        <w:pStyle w:val="906"/>
        <w:ind w:right="360" w:firstLine="480"/>
        <w:jc w:val="right"/>
        <w:spacing w:line="360" w:lineRule="auto"/>
        <w:rPr>
          <w:color w:val="000000"/>
          <w:sz w:val="24"/>
          <w:highlight w:val="none"/>
        </w:rPr>
      </w:pPr>
      <w:r>
        <w:rPr>
          <w:color w:val="000000"/>
          <w:sz w:val="24"/>
          <w:highlight w:val="none"/>
        </w:rPr>
      </w:r>
      <w:r/>
    </w:p>
    <w:p>
      <w:pPr>
        <w:pStyle w:val="906"/>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06"/>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r>
      <w:r/>
    </w:p>
    <w:p>
      <w:pPr>
        <w:pStyle w:val="906"/>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6"/>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6"/>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06"/>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6"/>
        <w:ind w:firstLine="504"/>
        <w:spacing w:line="588" w:lineRule="exact"/>
        <w:rPr>
          <w:color w:val="000000"/>
          <w:spacing w:val="6"/>
          <w:sz w:val="24"/>
          <w:highlight w:val="none"/>
        </w:rPr>
      </w:pPr>
      <w:r>
        <w:rPr>
          <w:color w:val="000000"/>
          <w:spacing w:val="6"/>
          <w:sz w:val="24"/>
          <w:highlight w:val="none"/>
        </w:rPr>
      </w:r>
      <w:r/>
    </w:p>
    <w:p>
      <w:pPr>
        <w:pStyle w:val="906"/>
        <w:ind w:firstLine="504"/>
        <w:spacing w:line="588" w:lineRule="exact"/>
        <w:rPr>
          <w:color w:val="000000"/>
          <w:spacing w:val="6"/>
          <w:sz w:val="24"/>
          <w:highlight w:val="none"/>
        </w:rPr>
      </w:pPr>
      <w:r>
        <w:rPr>
          <w:color w:val="000000"/>
          <w:spacing w:val="6"/>
          <w:sz w:val="24"/>
          <w:highlight w:val="none"/>
        </w:rPr>
      </w:r>
      <w:r/>
    </w:p>
    <w:p>
      <w:pPr>
        <w:pStyle w:val="90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06"/>
        <w:ind w:right="1560" w:firstLine="504"/>
        <w:jc w:val="center"/>
        <w:spacing w:line="588" w:lineRule="exact"/>
        <w:tabs>
          <w:tab w:val="left" w:pos="4860" w:leader="none"/>
        </w:tabs>
        <w:rPr>
          <w:rFonts w:hint="eastAsia"/>
          <w:color w:val="000000"/>
          <w:spacing w:val="6"/>
          <w:sz w:val="24"/>
          <w:highlight w:val="none"/>
        </w:rPr>
      </w:pPr>
      <w:r>
        <w:rPr>
          <w:color w:val="000000"/>
          <w:spacing w:val="6"/>
          <w:sz w:val="24"/>
          <w:highlight w:val="none"/>
        </w:rPr>
        <w:t xml:space="preserve">       日  期：</w:t>
      </w:r>
      <w:r>
        <w:rPr>
          <w:rFonts w:hint="eastAsia"/>
          <w:color w:val="000000"/>
          <w:spacing w:val="6"/>
          <w:sz w:val="24"/>
          <w:highlight w:val="none"/>
        </w:rPr>
      </w:r>
      <w:r/>
    </w:p>
    <w:p>
      <w:pPr>
        <w:pStyle w:val="906"/>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906"/>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906"/>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906"/>
        <w:spacing w:line="360" w:lineRule="auto"/>
        <w:rPr>
          <w:rFonts w:hint="eastAsia"/>
          <w:color w:val="000000"/>
          <w:sz w:val="24"/>
          <w:highlight w:val="none"/>
        </w:rPr>
        <w:outlineLvl w:val="2"/>
      </w:pPr>
      <w:r>
        <w:rPr>
          <w:rFonts w:hint="eastAsia"/>
          <w:color w:val="000000"/>
          <w:sz w:val="24"/>
          <w:highlight w:val="none"/>
        </w:rPr>
      </w:r>
      <w:r/>
    </w:p>
    <w:p>
      <w:pPr>
        <w:pStyle w:val="906"/>
        <w:jc w:val="center"/>
        <w:widowControl/>
        <w:rPr>
          <w:rFonts w:hint="eastAsia" w:ascii="宋体" w:hAnsi="宋体"/>
          <w:b/>
          <w:color w:val="000000"/>
          <w:sz w:val="32"/>
          <w:szCs w:val="32"/>
          <w:highlight w:val="none"/>
        </w:rPr>
      </w:pPr>
      <w:r>
        <w:rPr>
          <w:color w:val="000000"/>
          <w:sz w:val="24"/>
          <w:szCs w:val="20"/>
          <w:highlight w:val="none"/>
        </w:rPr>
        <w:br w:type="page" w:clear="all"/>
      </w:r>
      <w:r>
        <w:rPr>
          <w:rFonts w:ascii="宋体" w:hAnsi="宋体"/>
          <w:b/>
          <w:color w:val="000000"/>
          <w:sz w:val="32"/>
          <w:szCs w:val="32"/>
          <w:highlight w:val="none"/>
        </w:rPr>
        <w:t xml:space="preserve">二、商务技术文件格式</w:t>
      </w:r>
      <w:bookmarkStart w:id="1331" w:name="_Toc226337252"/>
      <w:r/>
      <w:bookmarkStart w:id="1332" w:name="_Toc480942349"/>
      <w:r/>
      <w:bookmarkStart w:id="1333" w:name="_Ref467988698"/>
      <w:r/>
      <w:bookmarkStart w:id="1334" w:name="_Toc142311058"/>
      <w:r/>
      <w:bookmarkStart w:id="1335" w:name="_Toc226309800"/>
      <w:r/>
      <w:bookmarkStart w:id="1336" w:name="_Toc150480794"/>
      <w:r/>
      <w:bookmarkStart w:id="1337" w:name="_Toc150774761"/>
      <w:r/>
      <w:bookmarkStart w:id="1338" w:name="_Toc226965829"/>
      <w:r/>
      <w:bookmarkStart w:id="1339" w:name="_Toc127151556"/>
      <w:r/>
      <w:bookmarkStart w:id="1340" w:name="_Toc195842921"/>
      <w:r/>
      <w:bookmarkStart w:id="1341" w:name="_Toc520356217"/>
      <w:r/>
      <w:bookmarkStart w:id="1342" w:name="_Toc226965746"/>
      <w:r>
        <w:rPr>
          <w:rFonts w:hint="eastAsia" w:ascii="宋体" w:hAnsi="宋体"/>
          <w:b/>
          <w:color w:val="000000"/>
          <w:sz w:val="32"/>
          <w:szCs w:val="32"/>
          <w:highlight w:val="none"/>
        </w:rPr>
      </w:r>
      <w:r/>
    </w:p>
    <w:p>
      <w:pPr>
        <w:pStyle w:val="90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6"/>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1331"/>
      <w:r/>
      <w:bookmarkEnd w:id="1332"/>
      <w:r/>
      <w:bookmarkEnd w:id="1333"/>
      <w:r/>
      <w:bookmarkEnd w:id="1334"/>
      <w:r/>
      <w:bookmarkEnd w:id="1335"/>
      <w:r/>
      <w:bookmarkEnd w:id="1336"/>
      <w:r/>
      <w:bookmarkEnd w:id="1337"/>
      <w:r/>
      <w:bookmarkEnd w:id="1338"/>
      <w:r/>
      <w:bookmarkEnd w:id="1339"/>
      <w:r/>
      <w:bookmarkEnd w:id="1340"/>
      <w:r/>
      <w:bookmarkEnd w:id="1341"/>
      <w:r/>
      <w:bookmarkEnd w:id="134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06"/>
        <w:spacing w:line="360" w:lineRule="auto"/>
        <w:tabs>
          <w:tab w:val="left" w:pos="5580" w:leader="none"/>
        </w:tabs>
        <w:rPr>
          <w:color w:val="000000"/>
          <w:sz w:val="24"/>
          <w:highlight w:val="none"/>
        </w:rPr>
      </w:pPr>
      <w:r>
        <w:rPr>
          <w:color w:val="000000"/>
          <w:sz w:val="24"/>
          <w:highlight w:val="none"/>
        </w:rPr>
      </w:r>
      <w:r/>
    </w:p>
    <w:p>
      <w:pPr>
        <w:pStyle w:val="906"/>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06"/>
        <w:spacing w:line="360" w:lineRule="auto"/>
        <w:tabs>
          <w:tab w:val="left" w:pos="5580" w:leader="none"/>
        </w:tabs>
        <w:rPr>
          <w:color w:val="000000"/>
          <w:sz w:val="24"/>
          <w:szCs w:val="20"/>
          <w:highlight w:val="none"/>
        </w:rPr>
      </w:pPr>
      <w:r>
        <w:rPr>
          <w:rFonts w:hint="eastAsia"/>
          <w:color w:val="000000"/>
          <w:sz w:val="24"/>
          <w:szCs w:val="20"/>
          <w:highlight w:val="none"/>
        </w:rPr>
        <w:t xml:space="preserve">致：</w:t>
      </w:r>
      <w:r>
        <w:rPr>
          <w:rFonts w:hint="eastAsia"/>
          <w:color w:val="000000"/>
          <w:sz w:val="24"/>
          <w:szCs w:val="20"/>
          <w:highlight w:val="none"/>
          <w:u w:val="single"/>
        </w:rPr>
        <w:t xml:space="preserve">江苏嘉德全过程工程咨询有限公司</w:t>
      </w:r>
      <w:r>
        <w:rPr>
          <w:color w:val="000000"/>
          <w:sz w:val="24"/>
          <w:szCs w:val="20"/>
          <w:highlight w:val="none"/>
        </w:rPr>
      </w:r>
      <w:r/>
    </w:p>
    <w:p>
      <w:pPr>
        <w:pStyle w:val="906"/>
        <w:ind w:firstLine="408"/>
        <w:spacing w:line="360" w:lineRule="auto"/>
        <w:tabs>
          <w:tab w:val="left" w:pos="5580" w:leader="none"/>
        </w:tabs>
        <w:rPr>
          <w:color w:val="000000"/>
          <w:sz w:val="24"/>
          <w:szCs w:val="20"/>
          <w:highlight w:val="none"/>
        </w:rPr>
      </w:pPr>
      <w:r>
        <w:rPr>
          <w:rFonts w:hint="eastAsia"/>
          <w:color w:val="000000"/>
          <w:sz w:val="24"/>
          <w:szCs w:val="20"/>
          <w:highlight w:val="none"/>
          <w:u w:val="single"/>
          <w:lang w:eastAsia="zh-CN"/>
        </w:rPr>
        <w:t xml:space="preserve">常州市新北区市政绿化管理所</w:t>
      </w:r>
      <w:r>
        <w:rPr>
          <w:rFonts w:hint="eastAsia"/>
          <w:color w:val="000000"/>
          <w:sz w:val="24"/>
          <w:szCs w:val="20"/>
          <w:highlight w:val="none"/>
          <w:u w:val="single"/>
        </w:rPr>
        <w:t xml:space="preserve">（采购人名称</w:t>
      </w:r>
      <w:r>
        <w:rPr>
          <w:rFonts w:hint="eastAsia"/>
          <w:color w:val="000000"/>
          <w:sz w:val="24"/>
          <w:szCs w:val="20"/>
          <w:highlight w:val="none"/>
        </w:rPr>
        <w:t xml:space="preserve">）</w:t>
      </w:r>
      <w:r>
        <w:rPr>
          <w:color w:val="000000"/>
          <w:sz w:val="24"/>
          <w:szCs w:val="20"/>
          <w:highlight w:val="none"/>
        </w:rPr>
      </w:r>
      <w:r/>
    </w:p>
    <w:p>
      <w:pPr>
        <w:pStyle w:val="906"/>
        <w:spacing w:line="360" w:lineRule="auto"/>
        <w:tabs>
          <w:tab w:val="left" w:pos="5580" w:leader="none"/>
        </w:tabs>
        <w:rPr>
          <w:color w:val="000000"/>
          <w:sz w:val="24"/>
          <w:szCs w:val="20"/>
          <w:highlight w:val="none"/>
        </w:rPr>
      </w:pPr>
      <w:r>
        <w:rPr>
          <w:color w:val="000000"/>
          <w:sz w:val="24"/>
          <w:szCs w:val="20"/>
          <w:highlight w:val="none"/>
        </w:rPr>
      </w:r>
      <w:r/>
    </w:p>
    <w:p>
      <w:pPr>
        <w:pStyle w:val="906"/>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906"/>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0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0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06"/>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06"/>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906"/>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06"/>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06"/>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06"/>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06"/>
        <w:jc w:val="left"/>
        <w:widowControl/>
        <w:rPr>
          <w:rFonts w:hint="eastAsia"/>
          <w:color w:val="000000"/>
          <w:sz w:val="24"/>
          <w:highlight w:val="none"/>
        </w:rPr>
      </w:pPr>
      <w:r/>
      <w:bookmarkStart w:id="1343" w:name="_Hlt520356243"/>
      <w:r/>
      <w:bookmarkEnd w:id="1343"/>
      <w:r/>
      <w:bookmarkStart w:id="1344" w:name="_Hlt520355938"/>
      <w:r/>
      <w:bookmarkEnd w:id="1344"/>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0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ascii="宋体" w:hAnsi="宋体"/>
          <w:color w:val="000000"/>
          <w:sz w:val="24"/>
          <w:highlight w:val="none"/>
        </w:rPr>
      </w:r>
      <w:r/>
    </w:p>
    <w:p>
      <w:pPr>
        <w:pStyle w:val="93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0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0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投标人为自然人的情形，可不提供本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授权委托书</w:t>
      </w:r>
      <w:r>
        <w:rPr>
          <w:color w:val="000000"/>
          <w:sz w:val="24"/>
          <w:highlight w:val="none"/>
        </w:rPr>
        <w:t xml:space="preserve">（实质性格式）</w:t>
      </w:r>
      <w:r>
        <w:rPr>
          <w:rFonts w:hint="eastAsia"/>
          <w:color w:val="000000"/>
          <w:sz w:val="24"/>
          <w:highlight w:val="none"/>
        </w:rPr>
      </w:r>
      <w:r/>
    </w:p>
    <w:p>
      <w:pPr>
        <w:pStyle w:val="90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90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90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90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0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9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联系电话：</w:t>
      </w:r>
      <w:r>
        <w:rPr>
          <w:rFonts w:hint="eastAsia" w:ascii="宋体" w:hAnsi="宋体" w:cs="宋体"/>
          <w:color w:val="000000"/>
          <w:sz w:val="24"/>
          <w:highlight w:val="none"/>
        </w:rPr>
      </w:r>
      <w:r/>
    </w:p>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06"/>
        <w:spacing w:line="400" w:lineRule="exact"/>
        <w:rPr>
          <w:rFonts w:ascii="宋体" w:hAnsi="宋体" w:cs="宋体"/>
          <w:color w:val="000000"/>
          <w:sz w:val="24"/>
          <w:highlight w:val="none"/>
        </w:rPr>
      </w:pPr>
      <w:r>
        <w:rPr>
          <w:rFonts w:ascii="宋体" w:hAnsi="宋体" w:cs="宋体"/>
          <w:color w:val="000000"/>
          <w:sz w:val="24"/>
          <w:highlight w:val="none"/>
        </w:rPr>
      </w:r>
      <w:r/>
    </w:p>
    <w:p>
      <w:pPr>
        <w:pStyle w:val="90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委托代理人（被授权人）签字或盖章：           联系电话：</w:t>
      </w:r>
      <w:r>
        <w:rPr>
          <w:rFonts w:ascii="宋体" w:hAnsi="宋体" w:cs="宋体"/>
          <w:color w:val="000000"/>
          <w:sz w:val="24"/>
          <w:highlight w:val="none"/>
        </w:rPr>
      </w:r>
      <w:r/>
    </w:p>
    <w:p>
      <w:pPr>
        <w:pStyle w:val="90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906"/>
        <w:spacing w:line="400" w:lineRule="exact"/>
        <w:rPr>
          <w:rFonts w:ascii="宋体" w:hAnsi="宋体" w:cs="宋体"/>
          <w:color w:val="000000"/>
          <w:sz w:val="24"/>
          <w:highlight w:val="none"/>
        </w:rPr>
      </w:pPr>
      <w:r>
        <w:rPr>
          <w:rFonts w:ascii="宋体" w:hAnsi="宋体" w:cs="宋体"/>
          <w:color w:val="000000"/>
          <w:sz w:val="24"/>
          <w:highlight w:val="none"/>
        </w:rPr>
      </w:r>
      <w:r/>
    </w:p>
    <w:p>
      <w:pPr>
        <w:pStyle w:val="937"/>
        <w:ind w:right="-46"/>
        <w:spacing w:line="583" w:lineRule="auto"/>
        <w:tabs>
          <w:tab w:val="left" w:pos="567" w:leader="none"/>
        </w:tabs>
        <w:rPr>
          <w:b/>
          <w:color w:val="000000"/>
          <w:spacing w:val="-3"/>
          <w:highlight w:val="none"/>
        </w:rPr>
      </w:pPr>
      <w:r>
        <w:rPr>
          <w:b/>
          <w:color w:val="000000"/>
          <w:highlight w:val="none"/>
        </w:rPr>
        <w:t xml:space="preserve">附：</w:t>
      </w:r>
      <w:r>
        <w:rPr>
          <w:rFonts w:hint="eastAsia"/>
          <w:b/>
          <w:color w:val="000000"/>
          <w:highlight w:val="none"/>
        </w:rPr>
        <w:t xml:space="preserve">1.</w:t>
      </w:r>
      <w:r>
        <w:rPr>
          <w:rFonts w:hint="eastAsia" w:cs="宋体"/>
          <w:b/>
          <w:color w:val="000000"/>
          <w:highlight w:val="none"/>
        </w:rPr>
        <w:t xml:space="preserve">委托代理人（被授权人）</w:t>
      </w:r>
      <w:r>
        <w:rPr>
          <w:b/>
          <w:color w:val="000000"/>
          <w:spacing w:val="-3"/>
          <w:highlight w:val="none"/>
        </w:rPr>
        <w:t xml:space="preserve">有效期内的身</w:t>
      </w:r>
      <w:r>
        <w:rPr>
          <w:rFonts w:hint="eastAsia"/>
          <w:b/>
          <w:color w:val="000000"/>
          <w:spacing w:val="-3"/>
          <w:highlight w:val="none"/>
        </w:rPr>
        <w:t xml:space="preserve">份</w:t>
      </w:r>
      <w:r>
        <w:rPr>
          <w:b/>
          <w:color w:val="000000"/>
          <w:spacing w:val="-3"/>
          <w:highlight w:val="none"/>
        </w:rPr>
        <w:t xml:space="preserve">证正反面</w:t>
      </w:r>
      <w:r>
        <w:rPr>
          <w:rFonts w:hint="eastAsia"/>
          <w:b/>
          <w:color w:val="000000"/>
          <w:spacing w:val="-3"/>
          <w:highlight w:val="none"/>
        </w:rPr>
        <w:t xml:space="preserve">。</w:t>
      </w:r>
      <w:r>
        <w:rPr>
          <w:b/>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0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90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0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9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1.法定代表人参加开标会议时，不需要提供本授权委托书，需携带本人身份证原件。</w:t>
      </w:r>
      <w:r>
        <w:rPr>
          <w:rFonts w:ascii="宋体" w:hAnsi="宋体" w:cs="宋体"/>
          <w:color w:val="000000"/>
          <w:szCs w:val="21"/>
          <w:highlight w:val="none"/>
        </w:rPr>
      </w:r>
      <w:r/>
    </w:p>
    <w:p>
      <w:pPr>
        <w:pStyle w:val="906"/>
        <w:rPr>
          <w:rFonts w:hint="eastAsia" w:ascii="宋体" w:hAnsi="宋体" w:cs="宋体"/>
          <w:color w:val="000000"/>
          <w:szCs w:val="21"/>
          <w:highlight w:val="none"/>
        </w:rPr>
      </w:pPr>
      <w:r>
        <w:rPr>
          <w:rFonts w:hint="eastAsia" w:ascii="宋体" w:hAnsi="宋体" w:cs="宋体"/>
          <w:color w:val="000000"/>
          <w:szCs w:val="21"/>
          <w:highlight w:val="none"/>
        </w:rPr>
        <w:t xml:space="preserve">2.委托代理人参加开标会议时，需携带本授权委托书和本人身份证原件。</w:t>
      </w:r>
      <w:r>
        <w:rPr>
          <w:rFonts w:hint="eastAsia" w:ascii="宋体" w:hAnsi="宋体" w:cs="宋体"/>
          <w:color w:val="000000"/>
          <w:szCs w:val="21"/>
          <w:highlight w:val="none"/>
        </w:rPr>
      </w:r>
      <w:r/>
    </w:p>
    <w:p>
      <w:pPr>
        <w:pStyle w:val="1160"/>
        <w:spacing w:line="360" w:lineRule="exact"/>
        <w:rPr>
          <w:rFonts w:cs="宋体"/>
          <w:color w:val="000000"/>
          <w:sz w:val="21"/>
          <w:szCs w:val="21"/>
          <w:highlight w:val="none"/>
        </w:rPr>
      </w:pPr>
      <w:r>
        <w:rPr>
          <w:rFonts w:hint="eastAsia" w:cs="宋体"/>
          <w:color w:val="000000"/>
          <w:sz w:val="21"/>
          <w:szCs w:val="21"/>
          <w:highlight w:val="none"/>
        </w:rPr>
        <w:t xml:space="preserve">3.投标人为自然人的情形，可不提供本《授权委托书》。</w:t>
      </w:r>
      <w:r>
        <w:rPr>
          <w:rFonts w:cs="宋体"/>
          <w:color w:val="000000"/>
          <w:sz w:val="21"/>
          <w:szCs w:val="21"/>
          <w:highlight w:val="none"/>
        </w:rPr>
      </w:r>
      <w:r/>
    </w:p>
    <w:p>
      <w:pPr>
        <w:pStyle w:val="906"/>
        <w:jc w:val="left"/>
        <w:widowControl/>
        <w:rPr>
          <w:rFonts w:hint="eastAsia"/>
          <w:color w:val="000000"/>
          <w:sz w:val="24"/>
          <w:highlight w:val="none"/>
        </w:rPr>
      </w:pPr>
      <w:r>
        <w:rPr>
          <w:rFonts w:hint="eastAsia"/>
          <w:color w:val="000000"/>
          <w:sz w:val="24"/>
          <w:highlight w:val="none"/>
        </w:rPr>
      </w:r>
      <w:r/>
    </w:p>
    <w:p>
      <w:pPr>
        <w:pStyle w:val="906"/>
        <w:jc w:val="left"/>
        <w:spacing w:line="360" w:lineRule="auto"/>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906"/>
        <w:jc w:val="center"/>
        <w:spacing w:line="360" w:lineRule="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06"/>
        <w:ind w:firstLine="640"/>
        <w:rPr>
          <w:color w:val="000000"/>
          <w:highlight w:val="none"/>
        </w:rPr>
      </w:pPr>
      <w:r>
        <w:rPr>
          <w:color w:val="000000"/>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53"/>
        <w:ind w:right="0" w:firstLine="480"/>
        <w:jc w:val="both"/>
        <w:spacing w:line="360"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06"/>
        <w:ind w:firstLine="480"/>
        <w:spacing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6"/>
        <w:ind w:firstLine="480"/>
        <w:spacing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jc w:val="left"/>
        <w:widowControl/>
        <w:rPr>
          <w:color w:val="000000"/>
          <w:sz w:val="24"/>
          <w:szCs w:val="20"/>
          <w:highlight w:val="none"/>
        </w:rPr>
      </w:pPr>
      <w:r/>
      <w:bookmarkStart w:id="1345" w:name="_Hlt520273711"/>
      <w:r/>
      <w:bookmarkEnd w:id="1345"/>
      <w:r/>
      <w:bookmarkStart w:id="1346" w:name="_Hlt520355504"/>
      <w:r/>
      <w:bookmarkEnd w:id="1346"/>
      <w:r/>
      <w:bookmarkStart w:id="1347" w:name="_Hlt520343392"/>
      <w:r/>
      <w:bookmarkEnd w:id="1347"/>
      <w:r/>
      <w:bookmarkStart w:id="1348" w:name="_Hlt520274121"/>
      <w:r/>
      <w:bookmarkEnd w:id="1348"/>
      <w:r/>
      <w:bookmarkStart w:id="1349" w:name="_Hlt520274393"/>
      <w:r/>
      <w:bookmarkEnd w:id="1349"/>
      <w:r/>
      <w:bookmarkStart w:id="1350" w:name="_Hlt520274065"/>
      <w:r/>
      <w:bookmarkEnd w:id="1350"/>
      <w:r/>
      <w:bookmarkStart w:id="1351" w:name="_Hlt520343000"/>
      <w:r/>
      <w:bookmarkEnd w:id="1351"/>
      <w:r/>
      <w:bookmarkStart w:id="1352" w:name="_Hlt520350918"/>
      <w:r/>
      <w:bookmarkEnd w:id="1352"/>
      <w:r/>
      <w:bookmarkStart w:id="1353" w:name="_Hlt520271212"/>
      <w:r/>
      <w:bookmarkEnd w:id="1353"/>
      <w:r/>
      <w:bookmarkStart w:id="1354" w:name="_Hlt520274407"/>
      <w:r/>
      <w:bookmarkEnd w:id="1354"/>
      <w:r/>
      <w:bookmarkStart w:id="1355" w:name="_Toc480942350"/>
      <w:r/>
      <w:bookmarkStart w:id="1356" w:name="_Toc226309801"/>
      <w:r/>
      <w:bookmarkStart w:id="1357" w:name="_Toc264969247"/>
      <w:r/>
      <w:bookmarkStart w:id="1358" w:name="_Toc226965747"/>
      <w:r/>
      <w:bookmarkStart w:id="1359" w:name="_Toc265228395"/>
      <w:r/>
      <w:bookmarkStart w:id="1360" w:name="_Toc195842922"/>
      <w:r/>
      <w:bookmarkStart w:id="1361" w:name="_Ref467988705"/>
      <w:r/>
      <w:bookmarkStart w:id="1362" w:name="_Toc150480795"/>
      <w:r/>
      <w:bookmarkStart w:id="1363" w:name="_Toc226965830"/>
      <w:r/>
      <w:bookmarkStart w:id="1364" w:name="_Toc142311059"/>
      <w:r/>
      <w:bookmarkStart w:id="1365" w:name="_Toc226337253"/>
      <w:r/>
      <w:bookmarkStart w:id="1366" w:name="_Toc305158899"/>
      <w:r/>
      <w:bookmarkStart w:id="1367" w:name="_Toc305158825"/>
      <w:r/>
      <w:bookmarkStart w:id="1368" w:name="_Toc150774762"/>
      <w:r/>
      <w:bookmarkStart w:id="1369" w:name="_Toc127151557"/>
      <w:r/>
      <w:bookmarkStart w:id="1370" w:name="_Toc520356218"/>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1355"/>
      <w:r/>
      <w:bookmarkEnd w:id="1356"/>
      <w:r/>
      <w:bookmarkEnd w:id="1357"/>
      <w:r/>
      <w:bookmarkEnd w:id="1358"/>
      <w:r/>
      <w:bookmarkEnd w:id="1359"/>
      <w:r/>
      <w:bookmarkEnd w:id="1360"/>
      <w:r/>
      <w:bookmarkEnd w:id="1361"/>
      <w:r/>
      <w:bookmarkEnd w:id="1362"/>
      <w:r/>
      <w:bookmarkEnd w:id="1363"/>
      <w:r/>
      <w:bookmarkEnd w:id="1364"/>
      <w:r/>
      <w:bookmarkEnd w:id="1365"/>
      <w:r/>
      <w:bookmarkEnd w:id="1366"/>
      <w:r/>
      <w:bookmarkEnd w:id="1367"/>
      <w:r/>
      <w:bookmarkEnd w:id="1368"/>
      <w:r/>
      <w:bookmarkEnd w:id="1369"/>
      <w:r/>
      <w:bookmarkEnd w:id="1370"/>
      <w:r>
        <w:rPr>
          <w:color w:val="000000"/>
          <w:sz w:val="24"/>
          <w:szCs w:val="20"/>
          <w:highlight w:val="none"/>
        </w:rPr>
        <w:t xml:space="preserve">（实质性格式）</w:t>
      </w:r>
      <w:r>
        <w:rPr>
          <w:color w:val="000000"/>
          <w:sz w:val="24"/>
          <w:szCs w:val="20"/>
          <w:highlight w:val="none"/>
        </w:rPr>
      </w:r>
      <w:r/>
    </w:p>
    <w:p>
      <w:pPr>
        <w:pStyle w:val="906"/>
        <w:jc w:val="center"/>
        <w:spacing w:line="360" w:lineRule="exact"/>
        <w:rPr>
          <w:b/>
          <w:color w:val="000000"/>
          <w:sz w:val="36"/>
          <w:szCs w:val="36"/>
          <w:highlight w:val="none"/>
        </w:rPr>
      </w:pPr>
      <w:r/>
      <w:bookmarkStart w:id="1371" w:name="_Toc164608672"/>
      <w:r/>
      <w:bookmarkStart w:id="1372" w:name="_Toc226337254"/>
      <w:r/>
      <w:bookmarkStart w:id="1373" w:name="_Toc264969248"/>
      <w:r/>
      <w:bookmarkStart w:id="1374" w:name="_Toc265228396"/>
      <w:r/>
      <w:bookmarkStart w:id="1375" w:name="_Toc226309802"/>
      <w:r/>
      <w:bookmarkStart w:id="1376" w:name="_Toc226965831"/>
      <w:r/>
      <w:bookmarkStart w:id="1377" w:name="_Toc195842923"/>
      <w:r/>
      <w:bookmarkStart w:id="1378" w:name="_Toc305158826"/>
      <w:r/>
      <w:bookmarkStart w:id="1379" w:name="_Toc305158900"/>
      <w:r/>
      <w:bookmarkStart w:id="1380" w:name="_Toc164608827"/>
      <w:r/>
      <w:bookmarkStart w:id="1381" w:name="_Toc226965748"/>
      <w:r>
        <w:rPr>
          <w:rFonts w:hint="eastAsia"/>
          <w:b/>
          <w:color w:val="000000"/>
          <w:sz w:val="36"/>
          <w:szCs w:val="36"/>
          <w:highlight w:val="none"/>
        </w:rPr>
        <w:t xml:space="preserve">开标一览表</w:t>
      </w:r>
      <w:bookmarkEnd w:id="1371"/>
      <w:r/>
      <w:bookmarkEnd w:id="1372"/>
      <w:r/>
      <w:bookmarkEnd w:id="1373"/>
      <w:r/>
      <w:bookmarkEnd w:id="1374"/>
      <w:r/>
      <w:bookmarkEnd w:id="1375"/>
      <w:r/>
      <w:bookmarkEnd w:id="1376"/>
      <w:r/>
      <w:bookmarkEnd w:id="1377"/>
      <w:r/>
      <w:bookmarkEnd w:id="1378"/>
      <w:r/>
      <w:bookmarkEnd w:id="1379"/>
      <w:r/>
      <w:bookmarkEnd w:id="1380"/>
      <w:r/>
      <w:bookmarkEnd w:id="1381"/>
      <w:r>
        <w:rPr>
          <w:b/>
          <w:color w:val="000000"/>
          <w:sz w:val="36"/>
          <w:szCs w:val="36"/>
          <w:highlight w:val="none"/>
        </w:rPr>
      </w:r>
      <w:r/>
    </w:p>
    <w:p>
      <w:pPr>
        <w:pStyle w:val="906"/>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06"/>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0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8"/>
        <w:gridCol w:w="3754"/>
        <w:gridCol w:w="2013"/>
        <w:gridCol w:w="2008"/>
      </w:tblGrid>
      <w:tr>
        <w:trPr>
          <w:trHeight w:val="531"/>
        </w:trPr>
        <w:tc>
          <w:tcPr>
            <w:tcW w:w="412" w:type="dxa"/>
            <w:vAlign w:val="center"/>
            <w:vMerge w:val="restart"/>
            <w:textDirection w:val="lrTb"/>
            <w:noWrap w:val="false"/>
          </w:tcPr>
          <w:p>
            <w:pPr>
              <w:pStyle w:val="906"/>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215" w:type="dxa"/>
            <w:vAlign w:val="center"/>
            <w:vMerge w:val="restart"/>
            <w:textDirection w:val="lrTb"/>
            <w:noWrap w:val="false"/>
          </w:tcPr>
          <w:p>
            <w:pPr>
              <w:pStyle w:val="906"/>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021" w:type="dxa"/>
            <w:vAlign w:val="center"/>
            <w:textDirection w:val="lrTb"/>
            <w:noWrap w:val="false"/>
          </w:tcPr>
          <w:p>
            <w:pPr>
              <w:pStyle w:val="906"/>
              <w:jc w:val="center"/>
              <w:tabs>
                <w:tab w:val="left" w:pos="5580" w:leader="none"/>
              </w:tabs>
              <w:rPr>
                <w:b/>
                <w:color w:val="000000"/>
                <w:sz w:val="24"/>
                <w:highlight w:val="none"/>
              </w:rPr>
            </w:pPr>
            <w:r>
              <w:rPr>
                <w:b/>
                <w:color w:val="000000"/>
                <w:sz w:val="24"/>
                <w:highlight w:val="none"/>
              </w:rPr>
              <w:t xml:space="preserve">投标报价</w:t>
            </w:r>
            <w:r>
              <w:rPr>
                <w:b/>
                <w:color w:val="000000"/>
                <w:sz w:val="24"/>
                <w:highlight w:val="none"/>
              </w:rPr>
            </w:r>
            <w:r/>
          </w:p>
        </w:tc>
      </w:tr>
      <w:tr>
        <w:trPr>
          <w:trHeight w:val="674"/>
        </w:trPr>
        <w:tc>
          <w:tcPr>
            <w:tcW w:w="412" w:type="dxa"/>
            <w:vAlign w:val="center"/>
            <w:vMerge w:val="continue"/>
            <w:textDirection w:val="lrTb"/>
            <w:noWrap w:val="false"/>
          </w:tcPr>
          <w:p>
            <w:pPr>
              <w:pStyle w:val="906"/>
              <w:jc w:val="center"/>
              <w:tabs>
                <w:tab w:val="left" w:pos="5580" w:leader="none"/>
              </w:tabs>
              <w:rPr>
                <w:color w:val="000000"/>
                <w:sz w:val="24"/>
                <w:highlight w:val="none"/>
              </w:rPr>
            </w:pPr>
            <w:r>
              <w:rPr>
                <w:color w:val="000000"/>
                <w:sz w:val="24"/>
                <w:highlight w:val="none"/>
              </w:rPr>
            </w:r>
            <w:r/>
          </w:p>
        </w:tc>
        <w:tc>
          <w:tcPr>
            <w:tcW w:w="2215" w:type="dxa"/>
            <w:vAlign w:val="center"/>
            <w:vMerge w:val="continue"/>
            <w:textDirection w:val="lrTb"/>
            <w:noWrap w:val="false"/>
          </w:tcPr>
          <w:p>
            <w:pPr>
              <w:pStyle w:val="906"/>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906"/>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182" w:type="dxa"/>
            <w:vAlign w:val="center"/>
            <w:textDirection w:val="lrTb"/>
            <w:noWrap w:val="false"/>
          </w:tcPr>
          <w:p>
            <w:pPr>
              <w:pStyle w:val="906"/>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412" w:type="dxa"/>
            <w:vAlign w:val="center"/>
            <w:textDirection w:val="lrTb"/>
            <w:noWrap w:val="false"/>
          </w:tcPr>
          <w:p>
            <w:pPr>
              <w:pStyle w:val="906"/>
              <w:jc w:val="center"/>
              <w:tabs>
                <w:tab w:val="left" w:pos="5580" w:leader="none"/>
              </w:tabs>
              <w:rPr>
                <w:color w:val="000000"/>
                <w:sz w:val="24"/>
                <w:highlight w:val="none"/>
              </w:rPr>
            </w:pPr>
            <w:r>
              <w:rPr>
                <w:color w:val="000000"/>
                <w:sz w:val="24"/>
                <w:highlight w:val="none"/>
              </w:rPr>
            </w:r>
            <w:r/>
          </w:p>
        </w:tc>
        <w:tc>
          <w:tcPr>
            <w:tcW w:w="2215" w:type="dxa"/>
            <w:vAlign w:val="center"/>
            <w:textDirection w:val="lrTb"/>
            <w:noWrap w:val="false"/>
          </w:tcPr>
          <w:p>
            <w:pPr>
              <w:pStyle w:val="906"/>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906"/>
              <w:jc w:val="center"/>
              <w:tabs>
                <w:tab w:val="left" w:pos="5580" w:leader="none"/>
              </w:tabs>
              <w:rPr>
                <w:color w:val="000000"/>
                <w:sz w:val="24"/>
                <w:highlight w:val="none"/>
              </w:rPr>
            </w:pPr>
            <w:r>
              <w:rPr>
                <w:color w:val="000000"/>
                <w:sz w:val="24"/>
                <w:highlight w:val="none"/>
              </w:rPr>
            </w:r>
            <w:r/>
          </w:p>
        </w:tc>
        <w:tc>
          <w:tcPr>
            <w:tcW w:w="1182" w:type="dxa"/>
            <w:vAlign w:val="center"/>
            <w:textDirection w:val="lrTb"/>
            <w:noWrap w:val="false"/>
          </w:tcPr>
          <w:p>
            <w:pPr>
              <w:pStyle w:val="906"/>
              <w:jc w:val="center"/>
              <w:tabs>
                <w:tab w:val="left" w:pos="5580" w:leader="none"/>
              </w:tabs>
              <w:rPr>
                <w:color w:val="000000"/>
                <w:sz w:val="24"/>
                <w:highlight w:val="none"/>
              </w:rPr>
            </w:pPr>
            <w:r>
              <w:rPr>
                <w:color w:val="000000"/>
                <w:sz w:val="24"/>
                <w:highlight w:val="none"/>
              </w:rPr>
            </w:r>
            <w:r/>
          </w:p>
        </w:tc>
      </w:tr>
    </w:tbl>
    <w:p>
      <w:pPr>
        <w:pStyle w:val="906"/>
        <w:jc w:val="left"/>
        <w:rPr>
          <w:color w:val="000000"/>
          <w:sz w:val="24"/>
          <w:highlight w:val="none"/>
        </w:rPr>
      </w:pPr>
      <w:r>
        <w:rPr>
          <w:color w:val="000000"/>
          <w:sz w:val="24"/>
          <w:highlight w:val="none"/>
        </w:rPr>
      </w:r>
      <w:r/>
    </w:p>
    <w:p>
      <w:pPr>
        <w:pStyle w:val="906"/>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.此表中，每包的投标报价应和《投标分项报价表》中的总价相一致。</w:t>
      </w:r>
      <w:r>
        <w:rPr>
          <w:color w:val="000000"/>
          <w:sz w:val="24"/>
          <w:szCs w:val="20"/>
          <w:highlight w:val="none"/>
        </w:rPr>
      </w:r>
      <w:r/>
    </w:p>
    <w:p>
      <w:pPr>
        <w:pStyle w:val="906"/>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906"/>
        <w:spacing w:before="25" w:after="25" w:line="360" w:lineRule="auto"/>
        <w:rPr>
          <w:color w:val="000000"/>
          <w:sz w:val="24"/>
          <w:highlight w:val="none"/>
          <w:lang w:val="zh-CN"/>
        </w:rPr>
      </w:pP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spacing w:line="360" w:lineRule="auto"/>
        <w:widowControl/>
        <w:rPr>
          <w:rFonts w:hint="eastAsia"/>
          <w:color w:val="000000"/>
          <w:sz w:val="24"/>
          <w:szCs w:val="20"/>
          <w:highlight w:val="none"/>
        </w:rPr>
        <w:sectPr>
          <w:headerReference w:type="even" r:id="rId9"/>
          <w:headerReference w:type="first" r:id="rId10"/>
          <w:footerReference w:type="default" r:id="rId11"/>
          <w:footerReference w:type="even" r:id="rId12"/>
          <w:footerReference w:type="first" r:id="rId13"/>
          <w:footnotePr/>
          <w:endnotePr/>
          <w:type w:val="nextPage"/>
          <w:pgSz w:w="11907" w:h="16840" w:orient="portrait"/>
          <w:pgMar w:top="1417" w:right="1304" w:bottom="1417" w:left="1361" w:header="851" w:footer="851" w:gutter="0"/>
          <w:cols w:num="1" w:sep="0" w:space="1701" w:equalWidth="1"/>
          <w:docGrid w:linePitch="360"/>
        </w:sectPr>
      </w:pPr>
      <w:r/>
      <w:bookmarkStart w:id="1382" w:name="_Toc264969249"/>
      <w:r/>
      <w:bookmarkStart w:id="1383" w:name="_Toc226965832"/>
      <w:r/>
      <w:bookmarkStart w:id="1384" w:name="_Toc195842924"/>
      <w:r/>
      <w:bookmarkStart w:id="1385" w:name="_Toc142311060"/>
      <w:r/>
      <w:bookmarkStart w:id="1386" w:name="_Toc226337255"/>
      <w:r/>
      <w:bookmarkStart w:id="1387" w:name="_Toc150480796"/>
      <w:r/>
      <w:bookmarkStart w:id="1388" w:name="_Toc226965749"/>
      <w:r/>
      <w:bookmarkStart w:id="1389" w:name="_Toc305158901"/>
      <w:r/>
      <w:bookmarkStart w:id="1390" w:name="_Toc150774763"/>
      <w:r/>
      <w:bookmarkStart w:id="1391" w:name="_Toc265228397"/>
      <w:r/>
      <w:bookmarkStart w:id="1392" w:name="_Toc226309803"/>
      <w:r/>
      <w:bookmarkStart w:id="1393" w:name="_Toc127151558"/>
      <w:r/>
      <w:bookmarkStart w:id="1394" w:name="_Toc305158827"/>
      <w:r>
        <w:rPr>
          <w:rFonts w:hint="eastAsia"/>
          <w:color w:val="000000"/>
          <w:sz w:val="24"/>
          <w:szCs w:val="20"/>
          <w:highlight w:val="none"/>
        </w:rPr>
      </w:r>
      <w:r/>
    </w:p>
    <w:p>
      <w:pPr>
        <w:pStyle w:val="906"/>
        <w:spacing w:line="360" w:lineRule="auto"/>
        <w:widowControl/>
        <w:rPr>
          <w:color w:val="000000"/>
          <w:sz w:val="24"/>
          <w:szCs w:val="20"/>
          <w:highlight w:val="none"/>
        </w:rPr>
      </w:pPr>
      <w:r>
        <w:rPr>
          <w:rFonts w:hint="eastAsia"/>
          <w:color w:val="000000"/>
          <w:sz w:val="24"/>
          <w:szCs w:val="20"/>
          <w:highlight w:val="none"/>
        </w:rPr>
        <w:t xml:space="preserve">5</w:t>
      </w:r>
      <w:r>
        <w:rPr>
          <w:color w:val="000000"/>
          <w:sz w:val="24"/>
          <w:szCs w:val="20"/>
          <w:highlight w:val="none"/>
        </w:rPr>
        <w:t xml:space="preserve">  投标分项报价表</w:t>
      </w:r>
      <w:bookmarkEnd w:id="1382"/>
      <w:r/>
      <w:bookmarkEnd w:id="1383"/>
      <w:r/>
      <w:bookmarkEnd w:id="1384"/>
      <w:r/>
      <w:bookmarkEnd w:id="1385"/>
      <w:r/>
      <w:bookmarkEnd w:id="1386"/>
      <w:r/>
      <w:bookmarkEnd w:id="1387"/>
      <w:r/>
      <w:bookmarkEnd w:id="1388"/>
      <w:r/>
      <w:bookmarkEnd w:id="1389"/>
      <w:r/>
      <w:bookmarkEnd w:id="1390"/>
      <w:r/>
      <w:bookmarkEnd w:id="1391"/>
      <w:r/>
      <w:bookmarkEnd w:id="1392"/>
      <w:r/>
      <w:bookmarkEnd w:id="1393"/>
      <w:r/>
      <w:bookmarkEnd w:id="1394"/>
      <w:r>
        <w:rPr>
          <w:color w:val="000000"/>
          <w:sz w:val="24"/>
          <w:szCs w:val="20"/>
          <w:highlight w:val="none"/>
        </w:rPr>
        <w:t xml:space="preserve">（实质性格式）</w:t>
      </w:r>
      <w:r>
        <w:rPr>
          <w:color w:val="000000"/>
          <w:sz w:val="24"/>
          <w:szCs w:val="20"/>
          <w:highlight w:val="none"/>
        </w:rPr>
      </w:r>
      <w:r/>
    </w:p>
    <w:p>
      <w:pPr>
        <w:pStyle w:val="906"/>
        <w:jc w:val="center"/>
        <w:spacing w:line="360" w:lineRule="auto"/>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06"/>
        <w:jc w:val="center"/>
        <w:spacing w:line="360" w:lineRule="auto"/>
        <w:widowControl/>
        <w:rPr>
          <w:rFonts w:ascii="宋体" w:hAnsi="宋体" w:cs="宋体"/>
          <w:b/>
          <w:bCs/>
          <w:i/>
          <w:iCs/>
          <w:color w:val="000000"/>
          <w:sz w:val="32"/>
          <w:szCs w:val="24"/>
          <w:highlight w:val="none"/>
          <w:u w:val="single"/>
        </w:rPr>
      </w:pPr>
      <w:r/>
      <w:bookmarkStart w:id="1395" w:name="_Toc150774765"/>
      <w:r/>
      <w:bookmarkStart w:id="1396" w:name="_Toc142311062"/>
      <w:r/>
      <w:bookmarkStart w:id="1397" w:name="_Toc127151562"/>
      <w:r/>
      <w:bookmarkStart w:id="1398" w:name="_Toc195842927"/>
      <w:r/>
      <w:bookmarkStart w:id="1399" w:name="_Toc305158904"/>
      <w:r/>
      <w:bookmarkStart w:id="1400" w:name="_Toc305158830"/>
      <w:r/>
      <w:bookmarkStart w:id="1401" w:name="_Toc150480798"/>
      <w:r/>
      <w:bookmarkStart w:id="1402" w:name="_Toc226309806"/>
      <w:r/>
      <w:bookmarkStart w:id="1403" w:name="_Toc264969252"/>
      <w:r/>
      <w:bookmarkStart w:id="1404" w:name="_Toc265228400"/>
      <w:r/>
      <w:bookmarkStart w:id="1405" w:name="_Toc226337258"/>
      <w:r/>
      <w:bookmarkStart w:id="1406" w:name="_Toc226965752"/>
      <w:r/>
      <w:bookmarkStart w:id="1407" w:name="_Toc226965835"/>
      <w:r/>
      <w:bookmarkStart w:id="1408" w:name="_Toc305158903"/>
      <w:r/>
      <w:bookmarkStart w:id="1409" w:name="_Toc226965834"/>
      <w:r/>
      <w:bookmarkStart w:id="1410" w:name="_Toc226337257"/>
      <w:r/>
      <w:bookmarkStart w:id="1411" w:name="_Toc142311061"/>
      <w:r/>
      <w:bookmarkStart w:id="1412" w:name="_Toc150480797"/>
      <w:r/>
      <w:bookmarkStart w:id="1413" w:name="_Toc305158829"/>
      <w:r/>
      <w:bookmarkStart w:id="1414" w:name="_Toc195842926"/>
      <w:r/>
      <w:bookmarkStart w:id="1415" w:name="_Toc150774764"/>
      <w:r/>
      <w:bookmarkStart w:id="1416" w:name="_Toc226309805"/>
      <w:r/>
      <w:bookmarkStart w:id="1417" w:name="_Toc265228399"/>
      <w:r/>
      <w:bookmarkStart w:id="1418" w:name="_Toc127151561"/>
      <w:r/>
      <w:bookmarkStart w:id="1419" w:name="_Toc226965751"/>
      <w:r/>
      <w:bookmarkStart w:id="1420" w:name="_Toc264969251"/>
      <w:r>
        <w:rPr>
          <w:rFonts w:ascii="宋体" w:hAnsi="宋体" w:cs="宋体"/>
          <w:b/>
          <w:bCs/>
          <w:i/>
          <w:iCs/>
          <w:color w:val="000000"/>
          <w:sz w:val="32"/>
          <w:szCs w:val="24"/>
          <w:highlight w:val="none"/>
          <w:u w:val="single"/>
        </w:rPr>
      </w:r>
      <w:r/>
    </w:p>
    <w:p>
      <w:pPr>
        <w:pStyle w:val="906"/>
        <w:jc w:val="right"/>
        <w:widowControl/>
        <w:rPr>
          <w:rFonts w:ascii="宋体" w:hAnsi="宋体" w:cs="宋体"/>
          <w:color w:val="000000"/>
          <w:sz w:val="24"/>
          <w:highlight w:val="none"/>
        </w:rPr>
      </w:pPr>
      <w:r>
        <w:rPr>
          <w:rFonts w:hint="eastAsia" w:ascii="宋体" w:hAnsi="宋体" w:cs="宋体"/>
          <w:color w:val="000000"/>
          <w:sz w:val="24"/>
          <w:highlight w:val="none"/>
        </w:rPr>
        <w:t xml:space="preserve">报价单位：人民币元</w:t>
      </w:r>
      <w:r>
        <w:rPr>
          <w:rFonts w:ascii="宋体" w:hAnsi="宋体" w:cs="宋体"/>
          <w:color w:val="000000"/>
          <w:sz w:val="24"/>
          <w:highlight w:val="none"/>
        </w:rPr>
      </w:r>
      <w:r/>
    </w:p>
    <w:tbl>
      <w:tblPr>
        <w:tblW w:w="144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3"/>
        <w:gridCol w:w="2299"/>
        <w:gridCol w:w="1659"/>
        <w:gridCol w:w="1881"/>
        <w:gridCol w:w="1830"/>
        <w:gridCol w:w="1790"/>
        <w:gridCol w:w="4214"/>
      </w:tblGrid>
      <w:tr>
        <w:trPr>
          <w:trHeight w:val="678"/>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2299"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pStyle w:val="906"/>
              <w:ind w:left="-181" w:right="-111"/>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年度数量</w:t>
            </w:r>
            <w:r>
              <w:rPr>
                <w:rFonts w:ascii="宋体" w:hAnsi="宋体" w:eastAsia="宋体" w:cs="宋体"/>
                <w:color w:val="000000"/>
                <w:highlight w:val="none"/>
              </w:rPr>
            </w:r>
            <w:r/>
          </w:p>
          <w:p>
            <w:pPr>
              <w:pStyle w:val="906"/>
              <w:ind w:left="-181" w:right="-111"/>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（吨，暂估）</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81" w:type="dxa"/>
            <w:vAlign w:val="center"/>
            <w:textDirection w:val="lrTb"/>
            <w:noWrap w:val="false"/>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单价A（元/吨）</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30" w:type="dxa"/>
            <w:vAlign w:val="center"/>
            <w:textDirection w:val="lrTb"/>
            <w:noWrap w:val="false"/>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单价B（元/吨）</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val="false"/>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年度报价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备注</w:t>
            </w:r>
            <w:r>
              <w:rPr>
                <w:rFonts w:ascii="宋体" w:hAnsi="宋体" w:eastAsia="宋体" w:cs="宋体"/>
                <w:color w:val="00000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2299" w:type="dxa"/>
            <w:vAlign w:val="center"/>
            <w:textDirection w:val="lrTb"/>
            <w:noWrap/>
          </w:tcPr>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收运服务费</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7138</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81"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3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单价A最高限价129.29元/吨</w:t>
            </w:r>
            <w:r>
              <w:rPr>
                <w:rFonts w:ascii="宋体" w:hAnsi="宋体" w:eastAsia="宋体" w:cs="宋体"/>
                <w:color w:val="000000"/>
                <w:highlight w:val="none"/>
              </w:rPr>
            </w:r>
            <w:r/>
          </w:p>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单价B最高限价106.40元/吨</w:t>
            </w:r>
            <w:r>
              <w:rPr>
                <w:rFonts w:ascii="宋体" w:hAnsi="宋体" w:eastAsia="宋体" w:cs="宋体"/>
                <w:color w:val="00000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2299" w:type="dxa"/>
            <w:vAlign w:val="center"/>
            <w:textDirection w:val="lrTb"/>
            <w:noWrap/>
          </w:tcPr>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资源化利用处理费</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7138</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81"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3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单价A最高限价307.43元/吨</w:t>
            </w:r>
            <w:r>
              <w:rPr>
                <w:rFonts w:ascii="宋体" w:hAnsi="宋体" w:eastAsia="宋体" w:cs="宋体"/>
                <w:color w:val="000000"/>
                <w:highlight w:val="none"/>
              </w:rPr>
            </w:r>
            <w:r/>
          </w:p>
          <w:p>
            <w:pPr>
              <w:pStyle w:val="906"/>
              <w:jc w:val="left"/>
              <w:widowControl/>
              <w:rPr>
                <w:rFonts w:ascii="宋体" w:hAnsi="宋体" w:eastAsia="宋体" w:cs="宋体"/>
                <w:color w:val="000000"/>
                <w:highlight w:val="none"/>
              </w:rPr>
            </w:pPr>
            <w:r>
              <w:rPr>
                <w:rFonts w:hint="eastAsia" w:ascii="宋体" w:hAnsi="宋体" w:eastAsia="宋体" w:cs="宋体"/>
                <w:color w:val="000000"/>
                <w:highlight w:val="none"/>
              </w:rPr>
              <w:t xml:space="preserve">单价B最高限价48.94元/吨</w:t>
            </w:r>
            <w:r>
              <w:rPr>
                <w:rFonts w:ascii="宋体" w:hAnsi="宋体" w:eastAsia="宋体" w:cs="宋体"/>
                <w:color w:val="00000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r>
            <w:r/>
          </w:p>
        </w:tc>
        <w:tc>
          <w:tcPr>
            <w:gridSpan w:val="4"/>
            <w:tcBorders>
              <w:top w:val="single" w:color="000000" w:sz="4" w:space="0"/>
              <w:left w:val="none" w:color="000000" w:sz="4" w:space="0"/>
              <w:bottom w:val="single" w:color="000000" w:sz="4" w:space="0"/>
              <w:right w:val="single" w:color="000000" w:sz="4" w:space="0"/>
            </w:tcBorders>
            <w:tcW w:w="7669"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年度报价合计（元）</w:t>
            </w:r>
            <w:r>
              <w:rPr>
                <w:rFonts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pStyle w:val="906"/>
              <w:widowControl/>
              <w:rPr>
                <w:rFonts w:ascii="宋体" w:hAnsi="宋体" w:eastAsia="宋体" w:cs="宋体"/>
                <w:color w:val="000000"/>
                <w:highlight w:val="none"/>
              </w:rPr>
            </w:pPr>
            <w:r>
              <w:rPr>
                <w:rFonts w:hint="eastAsia" w:ascii="宋体" w:hAnsi="宋体" w:eastAsia="宋体" w:cs="宋体"/>
                <w:color w:val="000000"/>
                <w:highlight w:val="none"/>
              </w:rPr>
              <w:t xml:space="preserve">（1）+（2）</w:t>
            </w:r>
            <w:r>
              <w:rPr>
                <w:rFonts w:ascii="宋体" w:hAnsi="宋体" w:eastAsia="宋体" w:cs="宋体"/>
                <w:color w:val="00000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06"/>
              <w:jc w:val="center"/>
              <w:widowControl/>
              <w:rPr>
                <w:rFonts w:ascii="宋体" w:hAnsi="宋体" w:eastAsia="宋体" w:cs="宋体"/>
                <w:color w:val="000000"/>
                <w:highlight w:val="none"/>
              </w:rPr>
            </w:pPr>
            <w:r>
              <w:rPr>
                <w:rFonts w:hint="eastAsia" w:ascii="宋体" w:hAnsi="宋体" w:eastAsia="宋体" w:cs="宋体"/>
                <w:color w:val="000000"/>
                <w:highlight w:val="none"/>
              </w:rPr>
              <w:t xml:space="preserve">4</w:t>
            </w:r>
            <w:r>
              <w:rPr>
                <w:rFonts w:ascii="宋体" w:hAnsi="宋体" w:eastAsia="宋体" w:cs="宋体"/>
                <w:color w:val="000000"/>
                <w:highlight w:val="none"/>
              </w:rPr>
            </w:r>
            <w:r/>
          </w:p>
        </w:tc>
        <w:tc>
          <w:tcPr>
            <w:gridSpan w:val="4"/>
            <w:tcBorders>
              <w:top w:val="single" w:color="000000" w:sz="4" w:space="0"/>
              <w:left w:val="none" w:color="000000" w:sz="4" w:space="0"/>
              <w:bottom w:val="single" w:color="000000" w:sz="4" w:space="0"/>
              <w:right w:val="single" w:color="000000" w:sz="4" w:space="0"/>
            </w:tcBorders>
            <w:tcW w:w="7669" w:type="dxa"/>
            <w:vAlign w:val="center"/>
            <w:textDirection w:val="lrTb"/>
            <w:noWrap/>
          </w:tcPr>
          <w:p>
            <w:pPr>
              <w:pStyle w:val="906"/>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三年总报价（元）</w:t>
            </w: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pStyle w:val="906"/>
              <w:jc w:val="center"/>
              <w:widowControl/>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pStyle w:val="906"/>
              <w:widowControl/>
              <w:rPr>
                <w:rFonts w:ascii="宋体" w:hAnsi="宋体" w:eastAsia="宋体" w:cs="宋体"/>
                <w:color w:val="000000"/>
                <w:highlight w:val="none"/>
              </w:rPr>
            </w:pPr>
            <w:r>
              <w:rPr>
                <w:rFonts w:hint="eastAsia" w:ascii="宋体" w:hAnsi="宋体" w:eastAsia="宋体" w:cs="宋体"/>
                <w:color w:val="000000"/>
                <w:highlight w:val="none"/>
              </w:rPr>
              <w:t xml:space="preserve">（3）×3年，最高限价</w:t>
            </w:r>
            <w:r>
              <w:rPr>
                <w:rFonts w:hint="eastAsia" w:ascii="宋体" w:hAnsi="宋体" w:eastAsia="宋体" w:cs="宋体"/>
                <w:color w:val="000000"/>
                <w:sz w:val="22"/>
                <w:szCs w:val="22"/>
                <w:highlight w:val="none"/>
              </w:rPr>
              <w:t xml:space="preserve">1267.837284</w:t>
            </w:r>
            <w:r>
              <w:rPr>
                <w:rFonts w:hint="eastAsia" w:ascii="宋体" w:hAnsi="宋体" w:eastAsia="宋体" w:cs="宋体"/>
                <w:color w:val="000000"/>
                <w:highlight w:val="none"/>
              </w:rPr>
              <w:t xml:space="preserve">万元 </w:t>
            </w:r>
            <w:r>
              <w:rPr>
                <w:rFonts w:ascii="宋体" w:hAnsi="宋体" w:eastAsia="宋体" w:cs="宋体"/>
                <w:color w:val="000000"/>
                <w:highlight w:val="none"/>
              </w:rPr>
            </w:r>
            <w:r/>
          </w:p>
        </w:tc>
      </w:tr>
    </w:tbl>
    <w:p>
      <w:pPr>
        <w:pStyle w:val="906"/>
        <w:jc w:val="left"/>
        <w:widowControl/>
        <w:rPr>
          <w:rFonts w:ascii="宋体" w:hAnsi="宋体" w:cs="宋体"/>
          <w:color w:val="000000"/>
          <w:sz w:val="24"/>
          <w:highlight w:val="none"/>
        </w:rPr>
      </w:pPr>
      <w:r>
        <w:rPr>
          <w:rFonts w:hint="eastAsia" w:ascii="宋体" w:hAnsi="宋体" w:cs="宋体"/>
          <w:color w:val="000000"/>
          <w:sz w:val="24"/>
          <w:highlight w:val="none"/>
        </w:rPr>
        <w:t xml:space="preserve">注：1、年度报价=年度数量×（单价A+单价B）</w:t>
      </w:r>
      <w:r>
        <w:rPr>
          <w:rFonts w:ascii="宋体" w:hAnsi="宋体" w:cs="宋体"/>
          <w:color w:val="000000"/>
          <w:sz w:val="24"/>
          <w:highlight w:val="none"/>
        </w:rPr>
      </w:r>
      <w:r/>
    </w:p>
    <w:p>
      <w:pPr>
        <w:pStyle w:val="906"/>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2、三年总报价转入投标报价汇总表。</w:t>
      </w:r>
      <w:r>
        <w:rPr>
          <w:rFonts w:ascii="宋体" w:hAnsi="宋体" w:cs="宋体"/>
          <w:color w:val="000000"/>
          <w:sz w:val="24"/>
          <w:highlight w:val="none"/>
        </w:rPr>
      </w:r>
      <w:r/>
    </w:p>
    <w:p>
      <w:pPr>
        <w:pStyle w:val="906"/>
        <w:spacing w:before="25" w:after="25" w:line="360" w:lineRule="auto"/>
        <w:rPr>
          <w:color w:val="000000"/>
          <w:sz w:val="24"/>
          <w:highlight w:val="none"/>
        </w:rPr>
      </w:pPr>
      <w:r>
        <w:rPr>
          <w:color w:val="000000"/>
          <w:sz w:val="24"/>
          <w:highlight w:val="none"/>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spacing w:line="360" w:lineRule="auto"/>
        <w:rPr>
          <w:rFonts w:hint="eastAsia"/>
          <w:color w:val="000000"/>
          <w:sz w:val="24"/>
          <w:szCs w:val="20"/>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2"/>
      </w:pPr>
      <w:r>
        <w:rPr>
          <w:rFonts w:hint="eastAsia"/>
          <w:color w:val="000000"/>
          <w:sz w:val="24"/>
          <w:szCs w:val="20"/>
          <w:highlight w:val="none"/>
        </w:rPr>
      </w:r>
      <w:r/>
    </w:p>
    <w:p>
      <w:pPr>
        <w:pStyle w:val="906"/>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合同条款偏离表</w:t>
      </w:r>
      <w:bookmarkEnd w:id="1395"/>
      <w:r/>
      <w:bookmarkEnd w:id="1396"/>
      <w:r/>
      <w:bookmarkEnd w:id="1397"/>
      <w:r/>
      <w:bookmarkEnd w:id="1398"/>
      <w:r/>
      <w:bookmarkEnd w:id="1399"/>
      <w:r/>
      <w:bookmarkEnd w:id="1400"/>
      <w:r/>
      <w:bookmarkEnd w:id="1401"/>
      <w:r/>
      <w:bookmarkEnd w:id="1402"/>
      <w:r/>
      <w:bookmarkEnd w:id="1403"/>
      <w:r/>
      <w:bookmarkEnd w:id="1404"/>
      <w:r/>
      <w:bookmarkEnd w:id="1405"/>
      <w:r/>
      <w:bookmarkEnd w:id="1406"/>
      <w:r/>
      <w:bookmarkEnd w:id="1407"/>
      <w:r>
        <w:rPr>
          <w:color w:val="000000"/>
          <w:sz w:val="24"/>
          <w:szCs w:val="20"/>
          <w:highlight w:val="none"/>
        </w:rPr>
        <w:t xml:space="preserve">（实质性格式）</w:t>
      </w:r>
      <w:r>
        <w:rPr>
          <w:color w:val="000000"/>
          <w:sz w:val="24"/>
          <w:szCs w:val="20"/>
          <w:highlight w:val="none"/>
        </w:rPr>
      </w:r>
      <w:r/>
    </w:p>
    <w:p>
      <w:pPr>
        <w:pStyle w:val="906"/>
        <w:spacing w:line="360" w:lineRule="auto"/>
        <w:rPr>
          <w:color w:val="000000"/>
          <w:sz w:val="24"/>
          <w:szCs w:val="20"/>
          <w:highlight w:val="none"/>
        </w:rPr>
      </w:pPr>
      <w:r>
        <w:rPr>
          <w:color w:val="000000"/>
          <w:sz w:val="24"/>
          <w:szCs w:val="20"/>
          <w:highlight w:val="none"/>
        </w:rPr>
      </w:r>
      <w:r/>
    </w:p>
    <w:p>
      <w:pPr>
        <w:pStyle w:val="906"/>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06"/>
        <w:spacing w:line="360" w:lineRule="auto"/>
        <w:rPr>
          <w:color w:val="000000"/>
          <w:sz w:val="24"/>
          <w:szCs w:val="20"/>
          <w:highlight w:val="none"/>
        </w:rPr>
      </w:pPr>
      <w:r>
        <w:rPr>
          <w:color w:val="000000"/>
          <w:sz w:val="24"/>
          <w:szCs w:val="20"/>
          <w:highlight w:val="none"/>
        </w:rPr>
      </w:r>
      <w:r/>
    </w:p>
    <w:p>
      <w:pPr>
        <w:pStyle w:val="906"/>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6"/>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0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6"/>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906"/>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06"/>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06"/>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06"/>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906"/>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0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06"/>
              <w:jc w:val="center"/>
              <w:rPr>
                <w:color w:val="000000"/>
                <w:sz w:val="24"/>
                <w:highlight w:val="none"/>
              </w:rPr>
            </w:pPr>
            <w:r>
              <w:rPr>
                <w:color w:val="000000"/>
                <w:sz w:val="24"/>
                <w:highlight w:val="none"/>
              </w:rPr>
            </w:r>
            <w:r/>
          </w:p>
        </w:tc>
        <w:tc>
          <w:tcPr>
            <w:tcW w:w="1301" w:type="dxa"/>
            <w:vAlign w:val="center"/>
            <w:textDirection w:val="lrTb"/>
            <w:noWrap w:val="false"/>
          </w:tcPr>
          <w:p>
            <w:pPr>
              <w:pStyle w:val="906"/>
              <w:jc w:val="center"/>
              <w:rPr>
                <w:color w:val="000000"/>
                <w:sz w:val="24"/>
                <w:highlight w:val="none"/>
              </w:rPr>
            </w:pPr>
            <w:r>
              <w:rPr>
                <w:color w:val="000000"/>
                <w:sz w:val="24"/>
                <w:highlight w:val="none"/>
              </w:rPr>
            </w:r>
            <w:r/>
          </w:p>
        </w:tc>
        <w:tc>
          <w:tcPr>
            <w:tcW w:w="2007" w:type="dxa"/>
            <w:vAlign w:val="center"/>
            <w:textDirection w:val="lrTb"/>
            <w:noWrap w:val="false"/>
          </w:tcPr>
          <w:p>
            <w:pPr>
              <w:pStyle w:val="906"/>
              <w:jc w:val="center"/>
              <w:rPr>
                <w:color w:val="000000"/>
                <w:sz w:val="24"/>
                <w:highlight w:val="none"/>
              </w:rPr>
            </w:pPr>
            <w:r>
              <w:rPr>
                <w:color w:val="000000"/>
                <w:sz w:val="24"/>
                <w:highlight w:val="none"/>
              </w:rPr>
            </w:r>
            <w:r/>
          </w:p>
        </w:tc>
        <w:tc>
          <w:tcPr>
            <w:tcW w:w="2008" w:type="dxa"/>
            <w:vAlign w:val="center"/>
            <w:textDirection w:val="lrTb"/>
            <w:noWrap w:val="false"/>
          </w:tcPr>
          <w:p>
            <w:pPr>
              <w:pStyle w:val="906"/>
              <w:jc w:val="center"/>
              <w:rPr>
                <w:color w:val="000000"/>
                <w:sz w:val="24"/>
                <w:highlight w:val="none"/>
              </w:rPr>
            </w:pPr>
            <w:r>
              <w:rPr>
                <w:color w:val="000000"/>
                <w:sz w:val="24"/>
                <w:highlight w:val="none"/>
              </w:rPr>
            </w:r>
            <w:r/>
          </w:p>
        </w:tc>
        <w:tc>
          <w:tcPr>
            <w:tcW w:w="2458" w:type="dxa"/>
            <w:vAlign w:val="center"/>
            <w:textDirection w:val="lrTb"/>
            <w:noWrap w:val="false"/>
          </w:tcPr>
          <w:p>
            <w:pPr>
              <w:pStyle w:val="906"/>
              <w:jc w:val="center"/>
              <w:rPr>
                <w:color w:val="000000"/>
                <w:sz w:val="24"/>
                <w:highlight w:val="none"/>
              </w:rPr>
            </w:pPr>
            <w:r>
              <w:rPr>
                <w:color w:val="000000"/>
                <w:sz w:val="24"/>
                <w:highlight w:val="none"/>
              </w:rPr>
            </w:r>
            <w:r/>
          </w:p>
        </w:tc>
        <w:tc>
          <w:tcPr>
            <w:tcW w:w="788"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6"/>
              <w:jc w:val="center"/>
              <w:rPr>
                <w:color w:val="000000"/>
                <w:sz w:val="24"/>
                <w:highlight w:val="none"/>
              </w:rPr>
            </w:pPr>
            <w:r>
              <w:rPr>
                <w:color w:val="000000"/>
                <w:sz w:val="24"/>
                <w:highlight w:val="none"/>
              </w:rPr>
            </w:r>
            <w:r/>
          </w:p>
        </w:tc>
        <w:tc>
          <w:tcPr>
            <w:tcW w:w="1301" w:type="dxa"/>
            <w:vAlign w:val="center"/>
            <w:textDirection w:val="lrTb"/>
            <w:noWrap w:val="false"/>
          </w:tcPr>
          <w:p>
            <w:pPr>
              <w:pStyle w:val="906"/>
              <w:jc w:val="center"/>
              <w:rPr>
                <w:color w:val="000000"/>
                <w:sz w:val="24"/>
                <w:highlight w:val="none"/>
              </w:rPr>
            </w:pPr>
            <w:r>
              <w:rPr>
                <w:color w:val="000000"/>
                <w:sz w:val="24"/>
                <w:highlight w:val="none"/>
              </w:rPr>
            </w:r>
            <w:r/>
          </w:p>
        </w:tc>
        <w:tc>
          <w:tcPr>
            <w:tcW w:w="2007" w:type="dxa"/>
            <w:vAlign w:val="center"/>
            <w:textDirection w:val="lrTb"/>
            <w:noWrap w:val="false"/>
          </w:tcPr>
          <w:p>
            <w:pPr>
              <w:pStyle w:val="906"/>
              <w:jc w:val="center"/>
              <w:rPr>
                <w:color w:val="000000"/>
                <w:sz w:val="24"/>
                <w:highlight w:val="none"/>
              </w:rPr>
            </w:pPr>
            <w:r>
              <w:rPr>
                <w:color w:val="000000"/>
                <w:sz w:val="24"/>
                <w:highlight w:val="none"/>
              </w:rPr>
            </w:r>
            <w:r/>
          </w:p>
        </w:tc>
        <w:tc>
          <w:tcPr>
            <w:tcW w:w="2008" w:type="dxa"/>
            <w:vAlign w:val="center"/>
            <w:textDirection w:val="lrTb"/>
            <w:noWrap w:val="false"/>
          </w:tcPr>
          <w:p>
            <w:pPr>
              <w:pStyle w:val="906"/>
              <w:jc w:val="center"/>
              <w:rPr>
                <w:color w:val="000000"/>
                <w:sz w:val="24"/>
                <w:highlight w:val="none"/>
              </w:rPr>
            </w:pPr>
            <w:r>
              <w:rPr>
                <w:color w:val="000000"/>
                <w:sz w:val="24"/>
                <w:highlight w:val="none"/>
              </w:rPr>
            </w:r>
            <w:r/>
          </w:p>
        </w:tc>
        <w:tc>
          <w:tcPr>
            <w:tcW w:w="2458" w:type="dxa"/>
            <w:vAlign w:val="center"/>
            <w:textDirection w:val="lrTb"/>
            <w:noWrap w:val="false"/>
          </w:tcPr>
          <w:p>
            <w:pPr>
              <w:pStyle w:val="906"/>
              <w:jc w:val="center"/>
              <w:rPr>
                <w:color w:val="000000"/>
                <w:sz w:val="24"/>
                <w:highlight w:val="none"/>
              </w:rPr>
            </w:pPr>
            <w:r>
              <w:rPr>
                <w:color w:val="000000"/>
                <w:sz w:val="24"/>
                <w:highlight w:val="none"/>
              </w:rPr>
            </w:r>
            <w:r/>
          </w:p>
        </w:tc>
        <w:tc>
          <w:tcPr>
            <w:tcW w:w="788"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6"/>
              <w:jc w:val="center"/>
              <w:rPr>
                <w:color w:val="000000"/>
                <w:sz w:val="24"/>
                <w:highlight w:val="none"/>
              </w:rPr>
            </w:pPr>
            <w:r>
              <w:rPr>
                <w:color w:val="000000"/>
                <w:sz w:val="24"/>
                <w:highlight w:val="none"/>
              </w:rPr>
            </w:r>
            <w:r/>
          </w:p>
        </w:tc>
        <w:tc>
          <w:tcPr>
            <w:tcW w:w="1301" w:type="dxa"/>
            <w:vAlign w:val="center"/>
            <w:textDirection w:val="lrTb"/>
            <w:noWrap w:val="false"/>
          </w:tcPr>
          <w:p>
            <w:pPr>
              <w:pStyle w:val="906"/>
              <w:jc w:val="center"/>
              <w:rPr>
                <w:color w:val="000000"/>
                <w:sz w:val="24"/>
                <w:highlight w:val="none"/>
              </w:rPr>
            </w:pPr>
            <w:r>
              <w:rPr>
                <w:color w:val="000000"/>
                <w:sz w:val="24"/>
                <w:highlight w:val="none"/>
              </w:rPr>
            </w:r>
            <w:r/>
          </w:p>
        </w:tc>
        <w:tc>
          <w:tcPr>
            <w:tcW w:w="2007" w:type="dxa"/>
            <w:vAlign w:val="center"/>
            <w:textDirection w:val="lrTb"/>
            <w:noWrap w:val="false"/>
          </w:tcPr>
          <w:p>
            <w:pPr>
              <w:pStyle w:val="906"/>
              <w:jc w:val="center"/>
              <w:rPr>
                <w:color w:val="000000"/>
                <w:sz w:val="24"/>
                <w:highlight w:val="none"/>
              </w:rPr>
            </w:pPr>
            <w:r>
              <w:rPr>
                <w:color w:val="000000"/>
                <w:sz w:val="24"/>
                <w:highlight w:val="none"/>
              </w:rPr>
            </w:r>
            <w:r/>
          </w:p>
        </w:tc>
        <w:tc>
          <w:tcPr>
            <w:tcW w:w="2008" w:type="dxa"/>
            <w:vAlign w:val="center"/>
            <w:textDirection w:val="lrTb"/>
            <w:noWrap w:val="false"/>
          </w:tcPr>
          <w:p>
            <w:pPr>
              <w:pStyle w:val="906"/>
              <w:jc w:val="center"/>
              <w:rPr>
                <w:color w:val="000000"/>
                <w:sz w:val="24"/>
                <w:highlight w:val="none"/>
              </w:rPr>
            </w:pPr>
            <w:r>
              <w:rPr>
                <w:color w:val="000000"/>
                <w:sz w:val="24"/>
                <w:highlight w:val="none"/>
              </w:rPr>
            </w:r>
            <w:r/>
          </w:p>
        </w:tc>
        <w:tc>
          <w:tcPr>
            <w:tcW w:w="2458" w:type="dxa"/>
            <w:vAlign w:val="center"/>
            <w:textDirection w:val="lrTb"/>
            <w:noWrap w:val="false"/>
          </w:tcPr>
          <w:p>
            <w:pPr>
              <w:pStyle w:val="906"/>
              <w:jc w:val="center"/>
              <w:rPr>
                <w:color w:val="000000"/>
                <w:sz w:val="24"/>
                <w:highlight w:val="none"/>
              </w:rPr>
            </w:pPr>
            <w:r>
              <w:rPr>
                <w:color w:val="000000"/>
                <w:sz w:val="24"/>
                <w:highlight w:val="none"/>
              </w:rPr>
            </w:r>
            <w:r/>
          </w:p>
        </w:tc>
        <w:tc>
          <w:tcPr>
            <w:tcW w:w="788"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6"/>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06"/>
              <w:jc w:val="center"/>
              <w:rPr>
                <w:color w:val="000000"/>
                <w:sz w:val="24"/>
                <w:highlight w:val="none"/>
              </w:rPr>
            </w:pPr>
            <w:r>
              <w:rPr>
                <w:color w:val="000000"/>
                <w:sz w:val="24"/>
                <w:highlight w:val="none"/>
              </w:rPr>
            </w:r>
            <w:r/>
          </w:p>
        </w:tc>
        <w:tc>
          <w:tcPr>
            <w:tcW w:w="2007" w:type="dxa"/>
            <w:vAlign w:val="center"/>
            <w:textDirection w:val="lrTb"/>
            <w:noWrap w:val="false"/>
          </w:tcPr>
          <w:p>
            <w:pPr>
              <w:pStyle w:val="906"/>
              <w:jc w:val="center"/>
              <w:rPr>
                <w:color w:val="000000"/>
                <w:sz w:val="24"/>
                <w:highlight w:val="none"/>
              </w:rPr>
            </w:pPr>
            <w:r>
              <w:rPr>
                <w:color w:val="000000"/>
                <w:sz w:val="24"/>
                <w:highlight w:val="none"/>
              </w:rPr>
            </w:r>
            <w:r/>
          </w:p>
        </w:tc>
        <w:tc>
          <w:tcPr>
            <w:tcW w:w="2008" w:type="dxa"/>
            <w:vAlign w:val="center"/>
            <w:textDirection w:val="lrTb"/>
            <w:noWrap w:val="false"/>
          </w:tcPr>
          <w:p>
            <w:pPr>
              <w:pStyle w:val="906"/>
              <w:jc w:val="center"/>
              <w:rPr>
                <w:color w:val="000000"/>
                <w:sz w:val="24"/>
                <w:highlight w:val="none"/>
              </w:rPr>
            </w:pPr>
            <w:r>
              <w:rPr>
                <w:color w:val="000000"/>
                <w:sz w:val="24"/>
                <w:highlight w:val="none"/>
              </w:rPr>
            </w:r>
            <w:r/>
          </w:p>
        </w:tc>
        <w:tc>
          <w:tcPr>
            <w:tcW w:w="2458" w:type="dxa"/>
            <w:vAlign w:val="center"/>
            <w:textDirection w:val="lrTb"/>
            <w:noWrap w:val="false"/>
          </w:tcPr>
          <w:p>
            <w:pPr>
              <w:pStyle w:val="906"/>
              <w:jc w:val="center"/>
              <w:rPr>
                <w:color w:val="000000"/>
                <w:sz w:val="24"/>
                <w:highlight w:val="none"/>
              </w:rPr>
            </w:pPr>
            <w:r>
              <w:rPr>
                <w:color w:val="000000"/>
                <w:sz w:val="24"/>
                <w:highlight w:val="none"/>
              </w:rPr>
            </w:r>
            <w:r/>
          </w:p>
        </w:tc>
        <w:tc>
          <w:tcPr>
            <w:tcW w:w="788" w:type="dxa"/>
            <w:vAlign w:val="center"/>
            <w:textDirection w:val="lrTb"/>
            <w:noWrap w:val="false"/>
          </w:tcPr>
          <w:p>
            <w:pPr>
              <w:pStyle w:val="906"/>
              <w:jc w:val="center"/>
              <w:rPr>
                <w:color w:val="000000"/>
                <w:sz w:val="24"/>
                <w:highlight w:val="none"/>
              </w:rPr>
            </w:pPr>
            <w:r>
              <w:rPr>
                <w:color w:val="000000"/>
                <w:sz w:val="24"/>
                <w:highlight w:val="none"/>
              </w:rPr>
            </w:r>
            <w:r/>
          </w:p>
        </w:tc>
      </w:tr>
    </w:tbl>
    <w:p>
      <w:pPr>
        <w:pStyle w:val="906"/>
        <w:jc w:val="left"/>
        <w:tabs>
          <w:tab w:val="left" w:pos="1800" w:leader="none"/>
          <w:tab w:val="left" w:pos="5580" w:leader="none"/>
        </w:tabs>
        <w:rPr>
          <w:color w:val="000000"/>
          <w:sz w:val="24"/>
          <w:highlight w:val="none"/>
        </w:rPr>
      </w:pPr>
      <w:r>
        <w:rPr>
          <w:color w:val="000000"/>
          <w:sz w:val="24"/>
          <w:highlight w:val="none"/>
        </w:rPr>
      </w:r>
      <w:r/>
    </w:p>
    <w:p>
      <w:pPr>
        <w:pStyle w:val="90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06"/>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6"/>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06"/>
        <w:spacing w:line="360" w:lineRule="auto"/>
        <w:rPr>
          <w:color w:val="000000"/>
          <w:sz w:val="24"/>
          <w:szCs w:val="20"/>
          <w:highlight w:val="none"/>
        </w:rPr>
      </w:pPr>
      <w:r>
        <w:rPr>
          <w:color w:val="000000"/>
          <w:sz w:val="24"/>
          <w:szCs w:val="20"/>
          <w:highlight w:val="none"/>
        </w:rPr>
      </w:r>
      <w:r/>
    </w:p>
    <w:p>
      <w:pPr>
        <w:pStyle w:val="90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1408"/>
      <w:r/>
      <w:bookmarkEnd w:id="1409"/>
      <w:r/>
      <w:bookmarkEnd w:id="1410"/>
      <w:r/>
      <w:bookmarkEnd w:id="1411"/>
      <w:r/>
      <w:bookmarkEnd w:id="1412"/>
      <w:r/>
      <w:bookmarkEnd w:id="1413"/>
      <w:r/>
      <w:bookmarkEnd w:id="1414"/>
      <w:r/>
      <w:bookmarkEnd w:id="1415"/>
      <w:r/>
      <w:bookmarkEnd w:id="1416"/>
      <w:r/>
      <w:bookmarkEnd w:id="1417"/>
      <w:r/>
      <w:bookmarkEnd w:id="1418"/>
      <w:r/>
      <w:bookmarkEnd w:id="1419"/>
      <w:r/>
      <w:bookmarkEnd w:id="1420"/>
      <w:r>
        <w:rPr>
          <w:color w:val="000000"/>
          <w:sz w:val="24"/>
          <w:szCs w:val="20"/>
          <w:highlight w:val="none"/>
        </w:rPr>
        <w:t xml:space="preserve">采购需求偏离表（实质性格式）</w:t>
      </w:r>
      <w:r>
        <w:rPr>
          <w:color w:val="000000"/>
          <w:sz w:val="24"/>
          <w:szCs w:val="20"/>
          <w:highlight w:val="none"/>
        </w:rPr>
      </w:r>
      <w:r/>
    </w:p>
    <w:p>
      <w:pPr>
        <w:pStyle w:val="906"/>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06"/>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0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6"/>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06"/>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06"/>
              <w:jc w:val="center"/>
              <w:rPr>
                <w:color w:val="000000"/>
                <w:sz w:val="24"/>
                <w:highlight w:val="none"/>
              </w:rPr>
            </w:pPr>
            <w:r>
              <w:rPr>
                <w:color w:val="000000"/>
                <w:sz w:val="24"/>
                <w:highlight w:val="none"/>
              </w:rPr>
            </w:r>
            <w:r/>
          </w:p>
        </w:tc>
        <w:tc>
          <w:tcPr>
            <w:tcW w:w="2384" w:type="dxa"/>
            <w:vAlign w:val="center"/>
            <w:textDirection w:val="lrTb"/>
            <w:noWrap w:val="false"/>
          </w:tcPr>
          <w:p>
            <w:pPr>
              <w:pStyle w:val="906"/>
              <w:jc w:val="center"/>
              <w:rPr>
                <w:color w:val="000000"/>
                <w:sz w:val="24"/>
                <w:highlight w:val="none"/>
              </w:rPr>
            </w:pPr>
            <w:r>
              <w:rPr>
                <w:color w:val="000000"/>
                <w:sz w:val="24"/>
                <w:highlight w:val="none"/>
              </w:rPr>
            </w:r>
            <w:r/>
          </w:p>
        </w:tc>
        <w:tc>
          <w:tcPr>
            <w:tcW w:w="2126" w:type="dxa"/>
            <w:vAlign w:val="center"/>
            <w:textDirection w:val="lrTb"/>
            <w:noWrap w:val="false"/>
          </w:tcPr>
          <w:p>
            <w:pPr>
              <w:pStyle w:val="906"/>
              <w:jc w:val="center"/>
              <w:rPr>
                <w:color w:val="000000"/>
                <w:sz w:val="24"/>
                <w:highlight w:val="none"/>
              </w:rPr>
            </w:pPr>
            <w:r>
              <w:rPr>
                <w:color w:val="000000"/>
                <w:sz w:val="24"/>
                <w:highlight w:val="none"/>
              </w:rPr>
            </w:r>
            <w:r/>
          </w:p>
        </w:tc>
        <w:tc>
          <w:tcPr>
            <w:tcW w:w="1875" w:type="dxa"/>
            <w:vAlign w:val="center"/>
            <w:textDirection w:val="lrTb"/>
            <w:noWrap w:val="false"/>
          </w:tcPr>
          <w:p>
            <w:pPr>
              <w:pStyle w:val="906"/>
              <w:jc w:val="center"/>
              <w:rPr>
                <w:color w:val="000000"/>
                <w:sz w:val="24"/>
                <w:highlight w:val="none"/>
              </w:rPr>
            </w:pPr>
            <w:r>
              <w:rPr>
                <w:color w:val="000000"/>
                <w:sz w:val="24"/>
                <w:highlight w:val="none"/>
              </w:rPr>
            </w:r>
            <w:r/>
          </w:p>
        </w:tc>
        <w:tc>
          <w:tcPr>
            <w:tcW w:w="1009" w:type="dxa"/>
            <w:vAlign w:val="center"/>
            <w:textDirection w:val="lrTb"/>
            <w:noWrap w:val="false"/>
          </w:tcPr>
          <w:p>
            <w:pPr>
              <w:pStyle w:val="906"/>
              <w:jc w:val="center"/>
              <w:rPr>
                <w:color w:val="000000"/>
                <w:sz w:val="24"/>
                <w:highlight w:val="none"/>
              </w:rPr>
            </w:pPr>
            <w:r>
              <w:rPr>
                <w:color w:val="000000"/>
                <w:sz w:val="24"/>
                <w:highlight w:val="none"/>
              </w:rPr>
            </w:r>
            <w:r/>
          </w:p>
        </w:tc>
      </w:tr>
    </w:tbl>
    <w:p>
      <w:pPr>
        <w:pStyle w:val="90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0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06"/>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06"/>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06"/>
        <w:jc w:val="left"/>
        <w:tabs>
          <w:tab w:val="left" w:pos="1800" w:leader="none"/>
          <w:tab w:val="left" w:pos="5580" w:leader="none"/>
        </w:tabs>
        <w:rPr>
          <w:color w:val="000000"/>
          <w:sz w:val="24"/>
          <w:highlight w:val="none"/>
        </w:rPr>
      </w:pPr>
      <w:r>
        <w:rPr>
          <w:color w:val="000000"/>
          <w:sz w:val="24"/>
          <w:highlight w:val="none"/>
        </w:rPr>
      </w:r>
      <w:r/>
    </w:p>
    <w:p>
      <w:pPr>
        <w:pStyle w:val="906"/>
        <w:jc w:val="left"/>
        <w:tabs>
          <w:tab w:val="left" w:pos="1800" w:leader="none"/>
          <w:tab w:val="left" w:pos="5580" w:leader="none"/>
        </w:tabs>
        <w:rPr>
          <w:color w:val="000000"/>
          <w:sz w:val="24"/>
          <w:highlight w:val="none"/>
        </w:rPr>
      </w:pPr>
      <w:r>
        <w:rPr>
          <w:color w:val="000000"/>
          <w:sz w:val="24"/>
          <w:highlight w:val="none"/>
        </w:rPr>
      </w:r>
      <w:r/>
    </w:p>
    <w:p>
      <w:pPr>
        <w:pStyle w:val="90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06"/>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906"/>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906"/>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981"/>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906"/>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06"/>
        <w:jc w:val="left"/>
        <w:widowControl/>
        <w:rPr>
          <w:color w:val="000000"/>
          <w:sz w:val="24"/>
          <w:highlight w:val="none"/>
        </w:rPr>
      </w:pPr>
      <w:r>
        <w:rPr>
          <w:color w:val="000000"/>
          <w:sz w:val="24"/>
          <w:highlight w:val="none"/>
        </w:rPr>
      </w:r>
      <w:r/>
    </w:p>
    <w:p>
      <w:pPr>
        <w:pStyle w:val="906"/>
        <w:jc w:val="center"/>
        <w:spacing w:before="240" w:after="240" w:line="360" w:lineRule="auto"/>
        <w:rPr>
          <w:b/>
          <w:bCs/>
          <w:color w:val="000000"/>
          <w:sz w:val="36"/>
          <w:szCs w:val="36"/>
          <w:highlight w:val="none"/>
        </w:rPr>
      </w:pPr>
      <w:r>
        <w:rPr>
          <w:color w:val="000000"/>
          <w:sz w:val="24"/>
          <w:highlight w:val="none"/>
        </w:rPr>
        <w:br w:type="page" w:clear="all"/>
      </w:r>
      <w:r>
        <w:rPr>
          <w:b/>
          <w:bCs/>
          <w:color w:val="000000"/>
          <w:sz w:val="36"/>
          <w:szCs w:val="36"/>
          <w:highlight w:val="none"/>
        </w:rPr>
        <w:t xml:space="preserve">中小企业声明函（服务）格式</w:t>
      </w:r>
      <w:r>
        <w:rPr>
          <w:b/>
          <w:bCs/>
          <w:color w:val="000000"/>
          <w:sz w:val="36"/>
          <w:szCs w:val="36"/>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本公司（联合体）郑重声明，根据《政府采购促进中小企业发展管理办法》（财库﹝2020﹞46 号）的规定，本公司</w:t>
      </w:r>
      <w:r>
        <w:rPr>
          <w:rFonts w:hint="eastAsia" w:ascii="宋体" w:hAnsi="宋体" w:cs="宋体"/>
          <w:i/>
          <w:iCs/>
          <w:color w:val="000000"/>
          <w:spacing w:val="6"/>
          <w:sz w:val="24"/>
          <w:highlight w:val="none"/>
          <w:u w:val="single"/>
        </w:rPr>
        <w:t xml:space="preserve">（联合体）</w:t>
      </w:r>
      <w:r>
        <w:rPr>
          <w:rFonts w:hint="eastAsia" w:ascii="宋体" w:hAnsi="宋体" w:cs="宋体"/>
          <w:color w:val="000000"/>
          <w:spacing w:val="6"/>
          <w:sz w:val="24"/>
          <w:highlight w:val="none"/>
        </w:rPr>
        <w:t xml:space="preserve">参加</w:t>
      </w:r>
      <w:r>
        <w:rPr>
          <w:rFonts w:hint="eastAsia" w:ascii="宋体" w:hAnsi="宋体" w:cs="宋体"/>
          <w:i/>
          <w:iCs/>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i/>
          <w:iCs/>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i/>
          <w:iCs/>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（其他未列明行业）</w:t>
      </w:r>
      <w:r>
        <w:rPr>
          <w:rFonts w:hint="eastAsia" w:ascii="宋体" w:hAnsi="宋体" w:cs="宋体"/>
          <w:color w:val="000000"/>
          <w:spacing w:val="6"/>
          <w:sz w:val="24"/>
          <w:highlight w:val="none"/>
        </w:rPr>
        <w:t xml:space="preserve">行业；承建（承接）企业为</w:t>
      </w:r>
      <w:r>
        <w:rPr>
          <w:rFonts w:hint="eastAsia" w:ascii="宋体" w:hAnsi="宋体" w:cs="宋体"/>
          <w:i/>
          <w:iCs/>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i/>
          <w:iCs/>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i/>
          <w:iCs/>
          <w:color w:val="000000"/>
          <w:spacing w:val="6"/>
          <w:sz w:val="24"/>
          <w:highlight w:val="none"/>
          <w:u w:val="single"/>
        </w:rPr>
        <w:t xml:space="preserve">（其他未列明行业）</w:t>
      </w:r>
      <w:r>
        <w:rPr>
          <w:rFonts w:hint="eastAsia" w:ascii="宋体" w:hAnsi="宋体" w:cs="宋体"/>
          <w:color w:val="000000"/>
          <w:spacing w:val="6"/>
          <w:sz w:val="24"/>
          <w:highlight w:val="none"/>
        </w:rPr>
        <w:t xml:space="preserve">行业；承建（承接）企业为</w:t>
      </w:r>
      <w:r>
        <w:rPr>
          <w:rFonts w:hint="eastAsia" w:ascii="宋体" w:hAnsi="宋体" w:cs="宋体"/>
          <w:i/>
          <w:iCs/>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i/>
          <w:iCs/>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90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90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906"/>
        <w:jc w:val="left"/>
        <w:rPr>
          <w:rFonts w:ascii="宋体" w:hAnsi="宋体"/>
          <w:color w:val="000000"/>
          <w:sz w:val="24"/>
          <w:szCs w:val="21"/>
          <w:highlight w:val="none"/>
        </w:rPr>
      </w:pPr>
      <w:r>
        <w:rPr>
          <w:rFonts w:ascii="宋体" w:hAnsi="宋体"/>
          <w:color w:val="000000"/>
          <w:sz w:val="24"/>
          <w:szCs w:val="21"/>
          <w:highlight w:val="none"/>
        </w:rPr>
      </w:r>
      <w:r/>
    </w:p>
    <w:p>
      <w:pPr>
        <w:pStyle w:val="906"/>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906"/>
        <w:ind w:right="360" w:firstLine="480"/>
        <w:jc w:val="right"/>
        <w:spacing w:line="360" w:lineRule="auto"/>
        <w:rPr>
          <w:color w:val="000000"/>
          <w:sz w:val="24"/>
          <w:highlight w:val="none"/>
        </w:rPr>
      </w:pPr>
      <w:r>
        <w:rPr>
          <w:color w:val="000000"/>
          <w:sz w:val="24"/>
          <w:highlight w:val="none"/>
        </w:rPr>
      </w:r>
      <w:r/>
    </w:p>
    <w:p>
      <w:pPr>
        <w:pStyle w:val="906"/>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06"/>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06"/>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6"/>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6"/>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06"/>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6"/>
        <w:ind w:firstLine="504"/>
        <w:spacing w:line="588" w:lineRule="exact"/>
        <w:rPr>
          <w:color w:val="000000"/>
          <w:spacing w:val="6"/>
          <w:sz w:val="24"/>
          <w:highlight w:val="none"/>
        </w:rPr>
      </w:pPr>
      <w:r>
        <w:rPr>
          <w:color w:val="000000"/>
          <w:spacing w:val="6"/>
          <w:sz w:val="24"/>
          <w:highlight w:val="none"/>
        </w:rPr>
      </w:r>
      <w:r/>
    </w:p>
    <w:p>
      <w:pPr>
        <w:pStyle w:val="906"/>
        <w:ind w:firstLine="504"/>
        <w:spacing w:line="588" w:lineRule="exact"/>
        <w:rPr>
          <w:color w:val="000000"/>
          <w:spacing w:val="6"/>
          <w:sz w:val="24"/>
          <w:highlight w:val="none"/>
        </w:rPr>
      </w:pPr>
      <w:r>
        <w:rPr>
          <w:color w:val="000000"/>
          <w:spacing w:val="6"/>
          <w:sz w:val="24"/>
          <w:highlight w:val="none"/>
        </w:rPr>
      </w:r>
      <w:r/>
    </w:p>
    <w:p>
      <w:pPr>
        <w:pStyle w:val="90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0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906"/>
        <w:jc w:val="left"/>
        <w:spacing w:before="240" w:after="240" w:line="360" w:lineRule="auto"/>
        <w:rPr>
          <w:rFonts w:ascii="Times New Roman" w:hAnsi="Times New Roman" w:eastAsia="宋体" w:cs="Times New Roman"/>
          <w:b w:val="0"/>
          <w:bCs w:val="0"/>
          <w:color w:val="000000"/>
          <w:sz w:val="24"/>
          <w:highlight w:val="none"/>
        </w:rPr>
      </w:pPr>
      <w:r>
        <w:rPr>
          <w:b/>
          <w:color w:val="000000"/>
          <w:sz w:val="24"/>
          <w:highlight w:val="none"/>
        </w:rPr>
        <w:br w:type="page" w:clear="all"/>
      </w:r>
      <w:r>
        <w:rPr>
          <w:rFonts w:hint="eastAsia"/>
          <w:b w:val="0"/>
          <w:bCs w:val="0"/>
          <w:color w:val="000000"/>
          <w:sz w:val="24"/>
          <w:szCs w:val="20"/>
          <w:highlight w:val="none"/>
          <w:lang w:val="en-US" w:eastAsia="zh-CN"/>
        </w:rPr>
        <w:t xml:space="preserve">9</w:t>
      </w:r>
      <w:r>
        <w:rPr>
          <w:b w:val="0"/>
          <w:bCs w:val="0"/>
          <w:color w:val="000000"/>
          <w:sz w:val="24"/>
          <w:szCs w:val="20"/>
          <w:highlight w:val="none"/>
        </w:rPr>
        <w:t xml:space="preserve">  </w:t>
      </w:r>
      <w:r>
        <w:rPr>
          <w:rFonts w:hint="eastAsia" w:ascii="Times New Roman" w:hAnsi="Times New Roman" w:eastAsia="宋体" w:cs="Times New Roman"/>
          <w:b w:val="0"/>
          <w:bCs w:val="0"/>
          <w:color w:val="000000"/>
          <w:sz w:val="24"/>
          <w:highlight w:val="none"/>
        </w:rPr>
        <w:t xml:space="preserve">关于符合本国产品标准的声明函</w:t>
      </w:r>
      <w:r>
        <w:rPr>
          <w:rFonts w:ascii="Times New Roman" w:hAnsi="Times New Roman" w:eastAsia="宋体" w:cs="Times New Roman"/>
          <w:b w:val="0"/>
          <w:bCs w:val="0"/>
          <w:color w:val="000000"/>
          <w:sz w:val="24"/>
          <w:highlight w:val="none"/>
        </w:rPr>
      </w:r>
      <w:r/>
    </w:p>
    <w:p>
      <w:pPr>
        <w:pStyle w:val="906"/>
        <w:jc w:val="center"/>
        <w:spacing w:before="240" w:after="240" w:line="360" w:lineRule="auto"/>
        <w:rPr>
          <w:rFonts w:hint="eastAsia" w:ascii="Times New Roman" w:hAnsi="Times New Roman" w:eastAsia="宋体" w:cs="Times New Roman"/>
          <w:b/>
          <w:bCs/>
          <w:color w:val="000000"/>
          <w:sz w:val="36"/>
          <w:szCs w:val="36"/>
          <w:highlight w:val="none"/>
        </w:rPr>
      </w:pPr>
      <w:r>
        <w:rPr>
          <w:rFonts w:hint="eastAsia" w:ascii="Times New Roman" w:hAnsi="Times New Roman" w:eastAsia="宋体" w:cs="Times New Roman"/>
          <w:b/>
          <w:bCs/>
          <w:color w:val="000000"/>
          <w:sz w:val="36"/>
          <w:szCs w:val="36"/>
          <w:highlight w:val="none"/>
        </w:rPr>
        <w:t xml:space="preserve">关于符合本国产品标准的声明函</w:t>
      </w:r>
      <w:r>
        <w:rPr>
          <w:rFonts w:hint="eastAsia" w:ascii="Times New Roman" w:hAnsi="Times New Roman" w:eastAsia="宋体" w:cs="Times New Roman"/>
          <w:b/>
          <w:bCs/>
          <w:color w:val="000000"/>
          <w:sz w:val="36"/>
          <w:szCs w:val="36"/>
          <w:highlight w:val="none"/>
        </w:rPr>
      </w:r>
      <w:r/>
    </w:p>
    <w:p>
      <w:pPr>
        <w:pStyle w:val="906"/>
        <w:ind w:firstLine="420"/>
        <w:jc w:val="left"/>
        <w:spacing w:before="0" w:beforeAutospacing="0" w:after="0" w:afterAutospacing="0" w:line="0" w:lineRule="atLeast"/>
        <w:widowControl/>
        <w:rPr>
          <w:rFonts w:ascii="方正魏碑_GBK" w:hAnsi="方正魏碑_GBK" w:eastAsia="方正魏碑_GBK" w:cs="方正魏碑_GBK"/>
          <w:color w:val="000000"/>
          <w:sz w:val="24"/>
          <w:szCs w:val="24"/>
          <w:highlight w:val="none"/>
          <w:lang w:val="en-US" w:eastAsia="zh-CN" w:bidi="ar-SA"/>
        </w:rPr>
      </w:pPr>
      <w:r>
        <w:rPr>
          <w:rFonts w:ascii="方正魏碑_GBK" w:hAnsi="方正魏碑_GBK" w:eastAsia="方正魏碑_GBK" w:cs="方正魏碑_GBK"/>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4563745</wp:posOffset>
                </wp:positionH>
                <wp:positionV relativeFrom="paragraph">
                  <wp:posOffset>880110</wp:posOffset>
                </wp:positionV>
                <wp:extent cx="743585" cy="18859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359.3pt;mso-position-horizontal:absolute;mso-position-vertical-relative:text;margin-top:69.3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2233930</wp:posOffset>
                </wp:positionH>
                <wp:positionV relativeFrom="paragraph">
                  <wp:posOffset>574675</wp:posOffset>
                </wp:positionV>
                <wp:extent cx="743585" cy="18859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7;o:allowoverlap:true;o:allowincell:true;mso-position-horizontal-relative:text;margin-left:175.9pt;mso-position-horizontal:absolute;mso-position-vertical-relative:text;margin-top:45.2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1052830</wp:posOffset>
                </wp:positionH>
                <wp:positionV relativeFrom="paragraph">
                  <wp:posOffset>574675</wp:posOffset>
                </wp:positionV>
                <wp:extent cx="743585" cy="1885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6;o:allowoverlap:true;o:allowincell:true;mso-position-horizontal-relative:text;margin-left:82.9pt;mso-position-horizontal:absolute;mso-position-vertical-relative:text;margin-top:45.2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4812030</wp:posOffset>
                </wp:positionH>
                <wp:positionV relativeFrom="paragraph">
                  <wp:posOffset>847725</wp:posOffset>
                </wp:positionV>
                <wp:extent cx="743585" cy="1885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378.9pt;mso-position-horizontal:absolute;mso-position-vertical-relative:text;margin-top:66.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4615180</wp:posOffset>
                </wp:positionH>
                <wp:positionV relativeFrom="paragraph">
                  <wp:posOffset>307975</wp:posOffset>
                </wp:positionV>
                <wp:extent cx="743585" cy="1885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63.4pt;mso-position-horizontal:absolute;mso-position-vertical-relative:text;margin-top:24.2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3465830</wp:posOffset>
                </wp:positionH>
                <wp:positionV relativeFrom="paragraph">
                  <wp:posOffset>314325</wp:posOffset>
                </wp:positionV>
                <wp:extent cx="743585" cy="18859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72.9pt;mso-position-horizontal:absolute;mso-position-vertical-relative:text;margin-top:24.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2297430</wp:posOffset>
                </wp:positionH>
                <wp:positionV relativeFrom="paragraph">
                  <wp:posOffset>314325</wp:posOffset>
                </wp:positionV>
                <wp:extent cx="743585" cy="1885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80.9pt;mso-position-horizontal:absolute;mso-position-vertical-relative:text;margin-top:24.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2081530</wp:posOffset>
                </wp:positionH>
                <wp:positionV relativeFrom="paragraph">
                  <wp:posOffset>593725</wp:posOffset>
                </wp:positionV>
                <wp:extent cx="743585" cy="1885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163.9pt;mso-position-horizontal:absolute;mso-position-vertical-relative:text;margin-top:46.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1103630</wp:posOffset>
                </wp:positionH>
                <wp:positionV relativeFrom="paragraph">
                  <wp:posOffset>542925</wp:posOffset>
                </wp:positionV>
                <wp:extent cx="743585" cy="1885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86.9pt;mso-position-horizontal:absolute;mso-position-vertical-relative:text;margin-top:42.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2183130</wp:posOffset>
                </wp:positionH>
                <wp:positionV relativeFrom="paragraph">
                  <wp:posOffset>352425</wp:posOffset>
                </wp:positionV>
                <wp:extent cx="743585" cy="1885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171.9pt;mso-position-horizontal:absolute;mso-position-vertical-relative:text;margin-top:27.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4564380</wp:posOffset>
                </wp:positionH>
                <wp:positionV relativeFrom="paragraph">
                  <wp:posOffset>314325</wp:posOffset>
                </wp:positionV>
                <wp:extent cx="743585" cy="1885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59.4pt;mso-position-horizontal:absolute;mso-position-vertical-relative:text;margin-top:24.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3313430</wp:posOffset>
                </wp:positionH>
                <wp:positionV relativeFrom="paragraph">
                  <wp:posOffset>301625</wp:posOffset>
                </wp:positionV>
                <wp:extent cx="743585" cy="1885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0.9pt;mso-position-horizontal:absolute;mso-position-vertical-relative:text;margin-top:23.8pt;mso-position-vertical:absolute;width:58.5pt;height:14.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06"/>
        <w:ind w:right="0" w:firstLine="45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906"/>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906"/>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906"/>
        <w:ind w:right="0" w:firstLine="482"/>
        <w:keepLines w:val="0"/>
        <w:keepNext w:val="0"/>
        <w:pageBreakBefore w:val="0"/>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r>
      <w:r/>
    </w:p>
    <w:p>
      <w:pPr>
        <w:pStyle w:val="906"/>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r>
        <w:rPr>
          <w:rFonts w:hint="eastAsia"/>
          <w:color w:val="000000"/>
          <w:sz w:val="24"/>
          <w:szCs w:val="20"/>
          <w:highlight w:val="none"/>
        </w:rPr>
        <w:t xml:space="preserve">项目实施方案等</w:t>
      </w:r>
      <w:r>
        <w:rPr>
          <w:color w:val="000000"/>
          <w:sz w:val="24"/>
          <w:szCs w:val="20"/>
          <w:highlight w:val="none"/>
        </w:rPr>
      </w:r>
      <w:r/>
    </w:p>
    <w:p>
      <w:pPr>
        <w:pStyle w:val="906"/>
        <w:spacing w:line="360" w:lineRule="auto"/>
        <w:rPr>
          <w:rFonts w:ascii="宋体" w:hAnsi="宋体"/>
          <w:b/>
          <w:bCs/>
          <w:color w:val="000000"/>
          <w:sz w:val="24"/>
          <w:highlight w:val="none"/>
        </w:rPr>
        <w:outlineLvl w:val="2"/>
      </w:pPr>
      <w:r>
        <w:rPr>
          <w:rFonts w:ascii="宋体" w:hAnsi="宋体"/>
          <w:b/>
          <w:bCs/>
          <w:color w:val="000000"/>
          <w:sz w:val="24"/>
          <w:highlight w:val="none"/>
        </w:rPr>
      </w:r>
      <w:r/>
    </w:p>
    <w:p>
      <w:pPr>
        <w:pStyle w:val="906"/>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格式自拟</w:t>
      </w:r>
      <w:r>
        <w:rPr>
          <w:rFonts w:hint="eastAsia" w:ascii="宋体" w:hAnsi="宋体"/>
          <w:b/>
          <w:bCs/>
          <w:color w:val="000000"/>
          <w:sz w:val="24"/>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rPr>
          <w:color w:val="000000"/>
          <w:sz w:val="24"/>
          <w:szCs w:val="20"/>
          <w:highlight w:val="none"/>
        </w:rPr>
      </w:r>
      <w:r/>
    </w:p>
    <w:p>
      <w:pPr>
        <w:pStyle w:val="90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6"/>
        <w:spacing w:line="360" w:lineRule="auto"/>
        <w:rPr>
          <w:rFonts w:ascii="宋体" w:hAnsi="宋体"/>
          <w:color w:val="000000"/>
          <w:sz w:val="22"/>
          <w:highlight w:val="none"/>
        </w:rPr>
      </w:pPr>
      <w:r>
        <w:rPr>
          <w:rFonts w:ascii="宋体" w:hAnsi="宋体"/>
          <w:color w:val="000000"/>
          <w:sz w:val="22"/>
          <w:highlight w:val="none"/>
        </w:rPr>
      </w:r>
      <w:r/>
    </w:p>
    <w:p>
      <w:pPr>
        <w:pStyle w:val="90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0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6"/>
        <w:spacing w:line="360" w:lineRule="auto"/>
        <w:rPr>
          <w:rFonts w:ascii="宋体" w:hAnsi="宋体"/>
          <w:color w:val="000000"/>
          <w:sz w:val="24"/>
          <w:highlight w:val="none"/>
        </w:rPr>
      </w:pPr>
      <w:r>
        <w:rPr>
          <w:rFonts w:ascii="宋体" w:hAnsi="宋体"/>
          <w:color w:val="000000"/>
          <w:sz w:val="24"/>
          <w:highlight w:val="none"/>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rPr>
          <w:color w:val="000000"/>
          <w:sz w:val="22"/>
          <w:highlight w:val="none"/>
        </w:rPr>
      </w:pPr>
      <w:r>
        <w:rPr>
          <w:color w:val="000000"/>
          <w:sz w:val="22"/>
          <w:highlight w:val="none"/>
        </w:rPr>
        <w:br w:type="page" w:clear="all"/>
      </w:r>
      <w:bookmarkStart w:id="1421" w:name="_Toc288738397"/>
      <w:r/>
      <w:bookmarkStart w:id="1422"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rPr>
          <w:color w:val="000000"/>
          <w:sz w:val="22"/>
          <w:highlight w:val="none"/>
        </w:rPr>
      </w:r>
      <w:r/>
    </w:p>
    <w:p>
      <w:pPr>
        <w:pStyle w:val="906"/>
        <w:rPr>
          <w:color w:val="000000"/>
          <w:sz w:val="24"/>
          <w:szCs w:val="20"/>
          <w:highlight w:val="none"/>
        </w:rPr>
      </w:pPr>
      <w:r>
        <w:rPr>
          <w:color w:val="000000"/>
          <w:sz w:val="24"/>
          <w:szCs w:val="20"/>
          <w:highlight w:val="none"/>
        </w:rPr>
      </w:r>
      <w:r/>
    </w:p>
    <w:p>
      <w:pPr>
        <w:pStyle w:val="90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1421"/>
      <w:r/>
      <w:bookmarkEnd w:id="1422"/>
      <w:r>
        <w:rPr>
          <w:rFonts w:ascii="宋体" w:hAnsi="宋体"/>
          <w:b/>
          <w:color w:val="000000"/>
          <w:sz w:val="32"/>
          <w:szCs w:val="32"/>
          <w:highlight w:val="none"/>
        </w:rPr>
      </w:r>
      <w:r/>
    </w:p>
    <w:p>
      <w:pPr>
        <w:pStyle w:val="90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0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06"/>
        <w:spacing w:line="360" w:lineRule="auto"/>
        <w:rPr>
          <w:rFonts w:ascii="宋体" w:hAnsi="宋体" w:cs="宋体"/>
          <w:color w:val="000000"/>
          <w:sz w:val="24"/>
          <w:highlight w:val="none"/>
        </w:rPr>
      </w:pPr>
      <w:r>
        <w:rPr>
          <w:rFonts w:ascii="宋体" w:hAnsi="宋体" w:cs="宋体"/>
          <w:color w:val="000000"/>
          <w:sz w:val="24"/>
          <w:highlight w:val="none"/>
        </w:rPr>
      </w:r>
      <w:r/>
    </w:p>
    <w:p>
      <w:pPr>
        <w:pStyle w:val="9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6"/>
        <w:spacing w:line="360" w:lineRule="auto"/>
        <w:rPr>
          <w:rFonts w:hint="eastAsia"/>
          <w:color w:val="000000"/>
          <w:sz w:val="24"/>
          <w:szCs w:val="20"/>
          <w:highlight w:val="none"/>
        </w:rPr>
        <w:outlineLvl w:val="2"/>
      </w:pPr>
      <w:r>
        <w:rPr>
          <w:rFonts w:hint="eastAsia"/>
          <w:color w:val="000000"/>
          <w:sz w:val="24"/>
          <w:szCs w:val="20"/>
          <w:highlight w:val="none"/>
        </w:rPr>
      </w:r>
      <w:r/>
    </w:p>
    <w:p>
      <w:pPr>
        <w:pStyle w:val="906"/>
        <w:spacing w:line="360" w:lineRule="auto"/>
        <w:rPr>
          <w:rFonts w:hint="eastAsia" w:ascii="Times New Roman" w:hAnsi="Times New Roman" w:eastAsia="宋体" w:cs="Times New Roman"/>
          <w:color w:val="000000"/>
          <w:sz w:val="24"/>
          <w:szCs w:val="20"/>
          <w:highlight w:val="none"/>
        </w:rPr>
        <w:outlineLvl w:val="2"/>
      </w:pPr>
      <w:r>
        <w:rPr>
          <w:color w:val="000000"/>
          <w:sz w:val="24"/>
          <w:szCs w:val="20"/>
          <w:highlight w:val="none"/>
        </w:rPr>
        <w:br w:type="page" w:clear="all"/>
      </w: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rPr>
        <w:t xml:space="preserve">  ★承诺函</w:t>
      </w:r>
      <w:r>
        <w:rPr>
          <w:rFonts w:hint="eastAsia" w:ascii="Times New Roman" w:hAnsi="Times New Roman" w:eastAsia="宋体" w:cs="Times New Roman"/>
          <w:color w:val="000000"/>
          <w:sz w:val="24"/>
          <w:szCs w:val="20"/>
          <w:highlight w:val="none"/>
        </w:rPr>
      </w:r>
      <w:r/>
    </w:p>
    <w:p>
      <w:pPr>
        <w:pStyle w:val="906"/>
        <w:rPr>
          <w:rFonts w:ascii="宋体" w:hAnsi="宋体" w:eastAsia="宋体" w:cs="Times New Roman"/>
          <w:color w:val="000000"/>
          <w:highlight w:val="none"/>
        </w:rPr>
      </w:pPr>
      <w:r>
        <w:rPr>
          <w:rFonts w:ascii="宋体" w:hAnsi="宋体" w:eastAsia="宋体" w:cs="Times New Roman"/>
          <w:color w:val="000000"/>
          <w:highlight w:val="none"/>
        </w:rPr>
      </w:r>
      <w:r/>
    </w:p>
    <w:p>
      <w:pPr>
        <w:pStyle w:val="906"/>
        <w:jc w:val="center"/>
        <w:widowControl/>
        <w:rPr>
          <w:rFonts w:ascii="宋体" w:hAnsi="宋体" w:eastAsia="宋体" w:cs="宋体"/>
          <w:i/>
          <w:iCs/>
          <w:color w:val="000000"/>
          <w:sz w:val="24"/>
          <w:highlight w:val="none"/>
          <w:u w:val="single"/>
        </w:rPr>
      </w:pPr>
      <w:r>
        <w:rPr>
          <w:rFonts w:hint="eastAsia" w:ascii="宋体" w:hAnsi="宋体" w:eastAsia="宋体" w:cs="宋体"/>
          <w:b/>
          <w:bCs/>
          <w:i/>
          <w:iCs/>
          <w:color w:val="000000"/>
          <w:sz w:val="32"/>
          <w:szCs w:val="32"/>
          <w:highlight w:val="none"/>
          <w:u w:val="single"/>
        </w:rPr>
        <w:t xml:space="preserve">承诺函</w:t>
      </w:r>
      <w:r>
        <w:rPr>
          <w:rFonts w:ascii="宋体" w:hAnsi="宋体" w:eastAsia="宋体" w:cs="宋体"/>
          <w:i/>
          <w:iCs/>
          <w:color w:val="000000"/>
          <w:sz w:val="24"/>
          <w:highlight w:val="none"/>
          <w:u w:val="single"/>
        </w:rPr>
      </w:r>
      <w:r/>
    </w:p>
    <w:p>
      <w:pPr>
        <w:pStyle w:val="906"/>
        <w:rPr>
          <w:rFonts w:ascii="宋体" w:hAnsi="宋体" w:eastAsia="宋体" w:cs="Times New Roman"/>
          <w:color w:val="000000"/>
          <w:highlight w:val="none"/>
        </w:rPr>
      </w:pPr>
      <w:r>
        <w:rPr>
          <w:rFonts w:ascii="宋体" w:hAnsi="宋体" w:eastAsia="宋体" w:cs="Times New Roman"/>
          <w:color w:val="000000"/>
          <w:highlight w:val="none"/>
        </w:rPr>
      </w:r>
      <w:r/>
    </w:p>
    <w:p>
      <w:pPr>
        <w:pStyle w:val="90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我公司承诺：</w:t>
      </w:r>
      <w:r>
        <w:rPr>
          <w:rFonts w:ascii="宋体" w:hAnsi="宋体" w:eastAsia="宋体" w:cs="宋体"/>
          <w:color w:val="000000"/>
          <w:sz w:val="24"/>
          <w:highlight w:val="none"/>
        </w:rPr>
      </w:r>
      <w:r/>
    </w:p>
    <w:p>
      <w:pPr>
        <w:pStyle w:val="90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1、对服务范围内的园林绿化垃圾进行无害化处理和资源化利用，资源化产品率不低于60%；</w:t>
      </w:r>
      <w:r>
        <w:rPr>
          <w:rFonts w:hint="eastAsia" w:ascii="宋体" w:hAnsi="宋体" w:eastAsia="宋体" w:cs="宋体"/>
          <w:color w:val="000000"/>
          <w:sz w:val="24"/>
          <w:highlight w:val="none"/>
        </w:rPr>
      </w:r>
      <w:r/>
    </w:p>
    <w:p>
      <w:pPr>
        <w:pStyle w:val="90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2、按处理后生产的资源化产品50%的比例向采购人提供产品。其费用包含在投标报价中；</w:t>
      </w:r>
      <w:r>
        <w:rPr>
          <w:rFonts w:hint="eastAsia" w:ascii="宋体" w:hAnsi="宋体" w:eastAsia="宋体" w:cs="宋体"/>
          <w:color w:val="000000"/>
          <w:sz w:val="24"/>
          <w:highlight w:val="none"/>
        </w:rPr>
      </w:r>
      <w:r/>
    </w:p>
    <w:p>
      <w:pPr>
        <w:pStyle w:val="906"/>
        <w:ind w:right="22" w:firstLine="4962"/>
        <w:jc w:val="left"/>
        <w:spacing w:line="588" w:lineRule="exact"/>
        <w:tabs>
          <w:tab w:val="left" w:pos="4860"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供应商全称（加盖CA电子公章）：</w:t>
      </w:r>
      <w:r>
        <w:rPr>
          <w:rFonts w:ascii="宋体" w:hAnsi="宋体" w:eastAsia="宋体" w:cs="Times New Roman"/>
          <w:color w:val="000000"/>
          <w:sz w:val="24"/>
          <w:highlight w:val="none"/>
        </w:rPr>
      </w:r>
      <w:r/>
    </w:p>
    <w:p>
      <w:pPr>
        <w:pStyle w:val="906"/>
        <w:ind w:right="1560" w:firstLine="4962"/>
        <w:jc w:val="left"/>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日  期：</w:t>
      </w:r>
      <w:r>
        <w:rPr>
          <w:rFonts w:hint="eastAsia" w:ascii="宋体" w:hAnsi="宋体" w:eastAsia="宋体" w:cs="宋体"/>
          <w:color w:val="000000"/>
          <w:sz w:val="24"/>
          <w:highlight w:val="none"/>
        </w:rPr>
      </w:r>
      <w:r/>
    </w:p>
    <w:p>
      <w:pPr>
        <w:pStyle w:val="906"/>
        <w:rPr>
          <w:rFonts w:hint="eastAsia"/>
          <w:color w:val="000000"/>
          <w:highlight w:val="none"/>
        </w:rPr>
      </w:pPr>
      <w:r>
        <w:rPr>
          <w:rFonts w:hint="eastAsia"/>
          <w:color w:val="000000"/>
          <w:highlight w:val="none"/>
        </w:rPr>
      </w:r>
      <w:r/>
    </w:p>
    <w:p>
      <w:pPr>
        <w:pStyle w:val="906"/>
        <w:spacing w:line="360" w:lineRule="auto"/>
        <w:rPr>
          <w:color w:val="000000"/>
          <w:sz w:val="24"/>
          <w:szCs w:val="20"/>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14 </w:t>
      </w:r>
      <w:r>
        <w:rPr>
          <w:color w:val="000000"/>
          <w:sz w:val="24"/>
          <w:szCs w:val="20"/>
          <w:highlight w:val="none"/>
        </w:rPr>
        <w:t xml:space="preserve">招标文件要求提供或投标人认为应附的其他材料</w:t>
      </w:r>
      <w:r>
        <w:rPr>
          <w:color w:val="000000"/>
          <w:sz w:val="24"/>
          <w:szCs w:val="20"/>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left"/>
        <w:widowControl/>
        <w:rPr>
          <w:rFonts w:hint="eastAsia"/>
          <w:b/>
          <w:color w:val="000000"/>
          <w:sz w:val="36"/>
          <w:szCs w:val="36"/>
          <w:highlight w:val="none"/>
        </w:rPr>
      </w:pPr>
      <w:r>
        <w:rPr>
          <w:rFonts w:hint="eastAsia"/>
          <w:b/>
          <w:color w:val="000000"/>
          <w:sz w:val="36"/>
          <w:szCs w:val="36"/>
          <w:highlight w:val="none"/>
        </w:rPr>
      </w:r>
      <w:r/>
    </w:p>
    <w:p>
      <w:pPr>
        <w:pStyle w:val="906"/>
        <w:jc w:val="left"/>
        <w:widowControl/>
        <w:rPr>
          <w:b/>
          <w:color w:val="000000"/>
          <w:sz w:val="36"/>
          <w:szCs w:val="36"/>
          <w:highlight w:val="none"/>
        </w:rPr>
      </w:pPr>
      <w:r>
        <w:rPr>
          <w:b/>
          <w:color w:val="000000"/>
          <w:sz w:val="36"/>
          <w:szCs w:val="36"/>
          <w:highlight w:val="none"/>
        </w:rPr>
      </w:r>
      <w:r/>
    </w:p>
    <w:p>
      <w:pPr>
        <w:pStyle w:val="906"/>
        <w:jc w:val="center"/>
        <w:spacing w:line="480" w:lineRule="exact"/>
        <w:rPr>
          <w:rFonts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本招标文件的最终解释权归江苏嘉德全过程工程咨询有限公司所有。</w:t>
      </w:r>
      <w:r>
        <w:rPr>
          <w:rFonts w:ascii="黑体" w:hAnsi="黑体" w:eastAsia="黑体" w:cs="黑体"/>
          <w:b/>
          <w:bCs/>
          <w:color w:val="000000"/>
          <w:sz w:val="24"/>
          <w:highlight w:val="none"/>
        </w:rPr>
      </w:r>
      <w:r/>
    </w:p>
    <w:p>
      <w:pPr>
        <w:pStyle w:val="906"/>
        <w:jc w:val="center"/>
        <w:widowControl/>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t xml:space="preserve">（全文完）</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楷体">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sz w:val="20"/>
      </w:rPr>
    </w:pPr>
    <w:r>
      <w:rPr>
        <w:sz w:val="20"/>
      </w:rPr>
      <w:fldChar w:fldCharType="begin"/>
    </w:r>
    <w:r>
      <w:rPr>
        <w:sz w:val="20"/>
      </w:rPr>
      <w:instrText xml:space="preserve">PAGE   \* MERGEFORMAT</w:instrText>
    </w:r>
    <w:r>
      <w:rPr>
        <w:sz w:val="20"/>
      </w:rPr>
      <w:fldChar w:fldCharType="separate"/>
    </w:r>
    <w:r>
      <w:rPr>
        <w:sz w:val="20"/>
        <w:lang w:val="zh-CN"/>
      </w:rPr>
      <w:t xml:space="preserve">2</w:t>
    </w:r>
    <w:r>
      <w:rPr>
        <w:sz w:val="20"/>
      </w:rPr>
      <w:fldChar w:fldCharType="end"/>
    </w:r>
    <w:r>
      <w:rPr>
        <w:sz w:val="20"/>
      </w:rPr>
    </w:r>
    <w:r/>
  </w:p>
  <w:p>
    <w:pPr>
      <w:pStyle w:val="95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78"/>
      </w:rPr>
      <w:framePr w:wrap="around" w:vAnchor="text" w:hAnchor="margin" w:xAlign="right" w:y="1"/>
    </w:pPr>
    <w:r>
      <w:rPr>
        <w:rStyle w:val="978"/>
      </w:rPr>
      <w:fldChar w:fldCharType="begin"/>
    </w:r>
    <w:r>
      <w:rPr>
        <w:rStyle w:val="978"/>
      </w:rPr>
      <w:instrText xml:space="preserve">PAGE  </w:instrText>
    </w:r>
    <w:r>
      <w:rPr>
        <w:rStyle w:val="978"/>
      </w:rPr>
      <w:fldChar w:fldCharType="end"/>
    </w:r>
    <w:r>
      <w:rPr>
        <w:rStyle w:val="978"/>
      </w:rPr>
    </w:r>
    <w:r/>
  </w:p>
  <w:p>
    <w:pPr>
      <w:pStyle w:val="954"/>
      <w:ind w:right="360"/>
      <w:tabs>
        <w:tab w:val="center" w:pos="4153" w:leader="none"/>
        <w:tab w:val="right" w:pos="8306" w:leader="none"/>
      </w:tabs>
    </w:pPr>
    <w:r/>
    <w:r/>
  </w:p>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p>
    <w:pPr>
      <w:pStyle w:val="9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条"/>
      <w:lvlJc w:val="left"/>
      <w:pPr>
        <w:pStyle w:val="906"/>
        <w:ind w:left="440" w:hanging="440"/>
      </w:pPr>
      <w:rPr>
        <w:rFonts w:hint="eastAsia"/>
      </w:rPr>
    </w:lvl>
    <w:lvl w:ilvl="1">
      <w:start w:val="1"/>
      <w:numFmt w:val="lowerLetter"/>
      <w:isLgl w:val="false"/>
      <w:suff w:val="tab"/>
      <w:lvlText w:val="%2)"/>
      <w:lvlJc w:val="left"/>
      <w:pPr>
        <w:pStyle w:val="906"/>
        <w:ind w:left="880" w:hanging="440"/>
      </w:pPr>
    </w:lvl>
    <w:lvl w:ilvl="2">
      <w:start w:val="1"/>
      <w:numFmt w:val="lowerRoman"/>
      <w:isLgl w:val="false"/>
      <w:suff w:val="tab"/>
      <w:lvlText w:val="%3."/>
      <w:lvlJc w:val="right"/>
      <w:pPr>
        <w:pStyle w:val="906"/>
        <w:ind w:left="1320" w:hanging="440"/>
      </w:pPr>
    </w:lvl>
    <w:lvl w:ilvl="3">
      <w:start w:val="1"/>
      <w:numFmt w:val="decimal"/>
      <w:isLgl w:val="false"/>
      <w:suff w:val="tab"/>
      <w:lvlText w:val="%4."/>
      <w:lvlJc w:val="left"/>
      <w:pPr>
        <w:pStyle w:val="906"/>
        <w:ind w:left="1760" w:hanging="440"/>
      </w:pPr>
    </w:lvl>
    <w:lvl w:ilvl="4">
      <w:start w:val="1"/>
      <w:numFmt w:val="lowerLetter"/>
      <w:isLgl w:val="false"/>
      <w:suff w:val="tab"/>
      <w:lvlText w:val="%5)"/>
      <w:lvlJc w:val="left"/>
      <w:pPr>
        <w:pStyle w:val="906"/>
        <w:ind w:left="2200" w:hanging="440"/>
      </w:pPr>
    </w:lvl>
    <w:lvl w:ilvl="5">
      <w:start w:val="1"/>
      <w:numFmt w:val="lowerRoman"/>
      <w:isLgl w:val="false"/>
      <w:suff w:val="tab"/>
      <w:lvlText w:val="%6."/>
      <w:lvlJc w:val="right"/>
      <w:pPr>
        <w:pStyle w:val="906"/>
        <w:ind w:left="2640" w:hanging="440"/>
      </w:pPr>
    </w:lvl>
    <w:lvl w:ilvl="6">
      <w:start w:val="1"/>
      <w:numFmt w:val="decimal"/>
      <w:isLgl w:val="false"/>
      <w:suff w:val="tab"/>
      <w:lvlText w:val="%7."/>
      <w:lvlJc w:val="left"/>
      <w:pPr>
        <w:pStyle w:val="906"/>
        <w:ind w:left="3080" w:hanging="440"/>
      </w:pPr>
    </w:lvl>
    <w:lvl w:ilvl="7">
      <w:start w:val="1"/>
      <w:numFmt w:val="lowerLetter"/>
      <w:isLgl w:val="false"/>
      <w:suff w:val="tab"/>
      <w:lvlText w:val="%8)"/>
      <w:lvlJc w:val="left"/>
      <w:pPr>
        <w:pStyle w:val="906"/>
        <w:ind w:left="3520" w:hanging="440"/>
      </w:pPr>
    </w:lvl>
    <w:lvl w:ilvl="8">
      <w:start w:val="1"/>
      <w:numFmt w:val="lowerRoman"/>
      <w:isLgl w:val="false"/>
      <w:suff w:val="tab"/>
      <w:lvlText w:val="%9."/>
      <w:lvlJc w:val="right"/>
      <w:pPr>
        <w:pStyle w:val="906"/>
        <w:ind w:left="3960" w:hanging="440"/>
      </w:pPr>
    </w:lvl>
  </w:abstractNum>
  <w:abstractNum w:abstractNumId="1">
    <w:multiLevelType w:val="hybridMultilevel"/>
    <w:lvl w:ilvl="0">
      <w:start w:val="1"/>
      <w:numFmt w:val="japaneseCounting"/>
      <w:isLgl w:val="false"/>
      <w:suff w:val="tab"/>
      <w:lvlText w:val="第%1章"/>
      <w:lvlJc w:val="left"/>
      <w:pPr>
        <w:pStyle w:val="906"/>
        <w:ind w:left="4941" w:hanging="1140"/>
        <w:tabs>
          <w:tab w:val="num" w:pos="4941" w:leader="none"/>
        </w:tabs>
      </w:pPr>
      <w:rPr>
        <w:rFonts w:hint="eastAsia"/>
      </w:rPr>
    </w:lvl>
    <w:lvl w:ilvl="1">
      <w:start w:val="1"/>
      <w:numFmt w:val="lowerLetter"/>
      <w:isLgl w:val="false"/>
      <w:suff w:val="tab"/>
      <w:lvlText w:val="%2)"/>
      <w:lvlJc w:val="left"/>
      <w:pPr>
        <w:pStyle w:val="906"/>
        <w:ind w:left="4641" w:hanging="420"/>
        <w:tabs>
          <w:tab w:val="num" w:pos="4641" w:leader="none"/>
        </w:tabs>
      </w:pPr>
    </w:lvl>
    <w:lvl w:ilvl="2">
      <w:start w:val="1"/>
      <w:numFmt w:val="lowerRoman"/>
      <w:isLgl w:val="false"/>
      <w:suff w:val="tab"/>
      <w:lvlText w:val="%3."/>
      <w:lvlJc w:val="right"/>
      <w:pPr>
        <w:pStyle w:val="906"/>
        <w:ind w:left="5061" w:hanging="420"/>
        <w:tabs>
          <w:tab w:val="num" w:pos="5061" w:leader="none"/>
        </w:tabs>
      </w:pPr>
    </w:lvl>
    <w:lvl w:ilvl="3">
      <w:start w:val="1"/>
      <w:numFmt w:val="decimal"/>
      <w:isLgl w:val="false"/>
      <w:suff w:val="tab"/>
      <w:lvlText w:val="%4."/>
      <w:lvlJc w:val="left"/>
      <w:pPr>
        <w:pStyle w:val="906"/>
        <w:ind w:left="5481" w:hanging="420"/>
        <w:tabs>
          <w:tab w:val="num" w:pos="5481" w:leader="none"/>
        </w:tabs>
      </w:pPr>
    </w:lvl>
    <w:lvl w:ilvl="4">
      <w:start w:val="1"/>
      <w:numFmt w:val="lowerLetter"/>
      <w:isLgl w:val="false"/>
      <w:suff w:val="tab"/>
      <w:lvlText w:val="%5)"/>
      <w:lvlJc w:val="left"/>
      <w:pPr>
        <w:pStyle w:val="906"/>
        <w:ind w:left="5901" w:hanging="420"/>
        <w:tabs>
          <w:tab w:val="num" w:pos="5901" w:leader="none"/>
        </w:tabs>
      </w:pPr>
    </w:lvl>
    <w:lvl w:ilvl="5">
      <w:start w:val="1"/>
      <w:numFmt w:val="lowerRoman"/>
      <w:isLgl w:val="false"/>
      <w:suff w:val="tab"/>
      <w:lvlText w:val="%6."/>
      <w:lvlJc w:val="right"/>
      <w:pPr>
        <w:pStyle w:val="906"/>
        <w:ind w:left="6321" w:hanging="420"/>
        <w:tabs>
          <w:tab w:val="num" w:pos="6321" w:leader="none"/>
        </w:tabs>
      </w:pPr>
    </w:lvl>
    <w:lvl w:ilvl="6">
      <w:start w:val="1"/>
      <w:numFmt w:val="decimal"/>
      <w:isLgl w:val="false"/>
      <w:suff w:val="tab"/>
      <w:lvlText w:val="%7."/>
      <w:lvlJc w:val="left"/>
      <w:pPr>
        <w:pStyle w:val="906"/>
        <w:ind w:left="6741" w:hanging="420"/>
        <w:tabs>
          <w:tab w:val="num" w:pos="6741" w:leader="none"/>
        </w:tabs>
      </w:pPr>
    </w:lvl>
    <w:lvl w:ilvl="7">
      <w:start w:val="1"/>
      <w:numFmt w:val="lowerLetter"/>
      <w:isLgl w:val="false"/>
      <w:suff w:val="tab"/>
      <w:lvlText w:val="%8)"/>
      <w:lvlJc w:val="left"/>
      <w:pPr>
        <w:pStyle w:val="906"/>
        <w:ind w:left="7161" w:hanging="420"/>
        <w:tabs>
          <w:tab w:val="num" w:pos="7161" w:leader="none"/>
        </w:tabs>
      </w:pPr>
    </w:lvl>
    <w:lvl w:ilvl="8">
      <w:start w:val="1"/>
      <w:numFmt w:val="lowerRoman"/>
      <w:isLgl w:val="false"/>
      <w:suff w:val="tab"/>
      <w:lvlText w:val="%9."/>
      <w:lvlJc w:val="right"/>
      <w:pPr>
        <w:pStyle w:val="906"/>
        <w:ind w:left="7581" w:hanging="420"/>
        <w:tabs>
          <w:tab w:val="num" w:pos="7581" w:leader="none"/>
        </w:tabs>
      </w:pPr>
    </w:lvl>
  </w:abstractNum>
  <w:abstractNum w:abstractNumId="2">
    <w:multiLevelType w:val="hybridMultilevel"/>
    <w:lvl w:ilvl="0">
      <w:start w:val="1"/>
      <w:numFmt w:val="decimal"/>
      <w:pStyle w:val="1014"/>
      <w:isLgl w:val="false"/>
      <w:suff w:val="tab"/>
      <w:lvlText w:val="%1."/>
      <w:lvlJc w:val="left"/>
      <w:pPr>
        <w:pStyle w:val="906"/>
        <w:ind w:left="420" w:hanging="420"/>
      </w:pPr>
    </w:lvl>
    <w:lvl w:ilvl="1">
      <w:start w:val="1"/>
      <w:numFmt w:val="decimal"/>
      <w:isLgl w:val="false"/>
      <w:suff w:val="tab"/>
      <w:lvlText w:val="（%2）"/>
      <w:lvlJc w:val="left"/>
      <w:pPr>
        <w:pStyle w:val="906"/>
        <w:ind w:left="1140" w:hanging="720"/>
        <w:tabs>
          <w:tab w:val="num" w:pos="1140" w:leader="none"/>
        </w:tabs>
      </w:pPr>
      <w:rPr>
        <w:rFonts w:hint="eastAsia"/>
      </w:r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3">
    <w:multiLevelType w:val="hybridMultilevel"/>
    <w:lvl w:ilvl="0">
      <w:start w:val="1"/>
      <w:numFmt w:val="lowerLetter"/>
      <w:pStyle w:val="1089"/>
      <w:isLgl w:val="false"/>
      <w:suff w:val="tab"/>
      <w:lvlText w:val="%1)"/>
      <w:lvlJc w:val="left"/>
      <w:pPr>
        <w:pStyle w:val="906"/>
        <w:ind w:left="902" w:hanging="420"/>
      </w:pPr>
      <w:rPr>
        <w:color w:val="000000"/>
      </w:rPr>
    </w:lvl>
    <w:lvl w:ilvl="1">
      <w:start w:val="1"/>
      <w:numFmt w:val="lowerLetter"/>
      <w:isLgl w:val="false"/>
      <w:suff w:val="tab"/>
      <w:lvlText w:val="%2)"/>
      <w:lvlJc w:val="left"/>
      <w:pPr>
        <w:pStyle w:val="906"/>
        <w:ind w:left="1322" w:hanging="420"/>
      </w:pPr>
    </w:lvl>
    <w:lvl w:ilvl="2">
      <w:start w:val="1"/>
      <w:numFmt w:val="lowerRoman"/>
      <w:isLgl w:val="false"/>
      <w:suff w:val="tab"/>
      <w:lvlText w:val="%3."/>
      <w:lvlJc w:val="right"/>
      <w:pPr>
        <w:pStyle w:val="906"/>
        <w:ind w:left="1742" w:hanging="420"/>
      </w:pPr>
    </w:lvl>
    <w:lvl w:ilvl="3">
      <w:start w:val="1"/>
      <w:numFmt w:val="decimal"/>
      <w:isLgl w:val="false"/>
      <w:suff w:val="tab"/>
      <w:lvlText w:val="%4."/>
      <w:lvlJc w:val="left"/>
      <w:pPr>
        <w:pStyle w:val="906"/>
        <w:ind w:left="2162" w:hanging="420"/>
      </w:pPr>
    </w:lvl>
    <w:lvl w:ilvl="4">
      <w:start w:val="1"/>
      <w:numFmt w:val="lowerLetter"/>
      <w:isLgl w:val="false"/>
      <w:suff w:val="tab"/>
      <w:lvlText w:val="%5)"/>
      <w:lvlJc w:val="left"/>
      <w:pPr>
        <w:pStyle w:val="906"/>
        <w:ind w:left="2582" w:hanging="420"/>
      </w:pPr>
    </w:lvl>
    <w:lvl w:ilvl="5">
      <w:start w:val="1"/>
      <w:numFmt w:val="lowerRoman"/>
      <w:isLgl w:val="false"/>
      <w:suff w:val="tab"/>
      <w:lvlText w:val="%6."/>
      <w:lvlJc w:val="right"/>
      <w:pPr>
        <w:pStyle w:val="906"/>
        <w:ind w:left="3002" w:hanging="420"/>
      </w:pPr>
    </w:lvl>
    <w:lvl w:ilvl="6">
      <w:start w:val="1"/>
      <w:numFmt w:val="decimal"/>
      <w:isLgl w:val="false"/>
      <w:suff w:val="tab"/>
      <w:lvlText w:val="%7."/>
      <w:lvlJc w:val="left"/>
      <w:pPr>
        <w:pStyle w:val="906"/>
        <w:ind w:left="3422" w:hanging="420"/>
      </w:pPr>
    </w:lvl>
    <w:lvl w:ilvl="7">
      <w:start w:val="1"/>
      <w:numFmt w:val="lowerLetter"/>
      <w:isLgl w:val="false"/>
      <w:suff w:val="tab"/>
      <w:lvlText w:val="%8)"/>
      <w:lvlJc w:val="left"/>
      <w:pPr>
        <w:pStyle w:val="906"/>
        <w:ind w:left="3842" w:hanging="420"/>
      </w:pPr>
    </w:lvl>
    <w:lvl w:ilvl="8">
      <w:start w:val="1"/>
      <w:numFmt w:val="lowerRoman"/>
      <w:isLgl w:val="false"/>
      <w:suff w:val="tab"/>
      <w:lvlText w:val="%9."/>
      <w:lvlJc w:val="right"/>
      <w:pPr>
        <w:pStyle w:val="906"/>
        <w:ind w:left="4262" w:hanging="420"/>
      </w:pPr>
    </w:lvl>
  </w:abstractNum>
  <w:abstractNum w:abstractNumId="4">
    <w:multiLevelType w:val="hybridMultilevel"/>
    <w:lvl w:ilvl="0">
      <w:start w:val="1"/>
      <w:numFmt w:val="decimal"/>
      <w:pStyle w:val="1059"/>
      <w:isLgl w:val="false"/>
      <w:suff w:val="tab"/>
      <w:lvlText w:val="%1."/>
      <w:lvlJc w:val="left"/>
      <w:pPr>
        <w:pStyle w:val="90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8"/>
      <w:isLgl w:val="false"/>
      <w:suff w:val="nothing"/>
      <w:lvlText w:val="%1　"/>
      <w:lvlJc w:val="left"/>
      <w:pPr>
        <w:pStyle w:val="90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6"/>
        <w:ind w:left="-25" w:firstLine="0"/>
      </w:pPr>
      <w:rPr>
        <w:rFonts w:ascii="Times New Roman" w:hAnsi="Times New Roman" w:eastAsia="黑体"/>
        <w:b/>
        <w:i w:val="0"/>
        <w:sz w:val="28"/>
      </w:rPr>
    </w:lvl>
    <w:lvl w:ilvl="3">
      <w:start w:val="1"/>
      <w:numFmt w:val="decimal"/>
      <w:pStyle w:val="1044"/>
      <w:isLgl w:val="false"/>
      <w:suff w:val="nothing"/>
      <w:lvlText w:val="%1.%2.%3.%4　"/>
      <w:lvlJc w:val="left"/>
      <w:pPr>
        <w:pStyle w:val="90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6"/>
        <w:ind w:left="-25" w:firstLine="0"/>
      </w:pPr>
      <w:rPr>
        <w:rFonts w:ascii="Times New Roman" w:hAnsi="Times New Roman" w:eastAsia="宋体"/>
        <w:b/>
        <w:i w:val="0"/>
        <w:sz w:val="28"/>
      </w:rPr>
    </w:lvl>
    <w:lvl w:ilvl="6">
      <w:start w:val="1"/>
      <w:numFmt w:val="lowerLetter"/>
      <w:pStyle w:val="1065"/>
      <w:isLgl w:val="false"/>
      <w:suff w:val="tab"/>
      <w:lvlText w:val="%7) "/>
      <w:lvlJc w:val="left"/>
      <w:pPr>
        <w:pStyle w:val="906"/>
        <w:ind w:left="-125" w:firstLine="400"/>
        <w:tabs>
          <w:tab w:val="num"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pStyle w:val="90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06"/>
        <w:ind w:left="768" w:hanging="360"/>
        <w:tabs>
          <w:tab w:val="num" w:pos="768" w:leader="none"/>
        </w:tabs>
      </w:pPr>
      <w:rPr>
        <w:rFonts w:hint="eastAsia"/>
      </w:rPr>
    </w:lvl>
    <w:lvl w:ilvl="1">
      <w:start w:val="1"/>
      <w:numFmt w:val="decimal"/>
      <w:pStyle w:val="1046"/>
      <w:isLgl w:val="false"/>
      <w:suff w:val="tab"/>
      <w:lvlText w:val="%2、"/>
      <w:lvlJc w:val="left"/>
      <w:pPr>
        <w:pStyle w:val="906"/>
        <w:ind w:left="1188" w:hanging="360"/>
        <w:tabs>
          <w:tab w:val="num" w:pos="1188" w:leader="none"/>
        </w:tabs>
      </w:pPr>
      <w:rPr>
        <w:rFonts w:hint="eastAsia"/>
      </w:rPr>
    </w:lvl>
    <w:lvl w:ilvl="2">
      <w:start w:val="1"/>
      <w:numFmt w:val="decimal"/>
      <w:isLgl w:val="false"/>
      <w:suff w:val="tab"/>
      <w:lvlText w:val="（%3）"/>
      <w:lvlJc w:val="left"/>
      <w:pPr>
        <w:pStyle w:val="906"/>
        <w:ind w:left="1968" w:hanging="720"/>
        <w:tabs>
          <w:tab w:val="num" w:pos="1968" w:leader="none"/>
        </w:tabs>
      </w:pPr>
      <w:rPr>
        <w:rFonts w:hint="eastAsia"/>
        <w:u w:val="none"/>
      </w:rPr>
    </w:lvl>
    <w:lvl w:ilvl="3">
      <w:start w:val="1"/>
      <w:numFmt w:val="decimal"/>
      <w:isLgl w:val="false"/>
      <w:suff w:val="tab"/>
      <w:lvlText w:val="%4."/>
      <w:lvlJc w:val="left"/>
      <w:pPr>
        <w:pStyle w:val="906"/>
        <w:ind w:left="2088" w:hanging="420"/>
        <w:tabs>
          <w:tab w:val="num" w:pos="2088" w:leader="none"/>
        </w:tabs>
      </w:pPr>
    </w:lvl>
    <w:lvl w:ilvl="4">
      <w:start w:val="1"/>
      <w:numFmt w:val="lowerLetter"/>
      <w:isLgl w:val="false"/>
      <w:suff w:val="tab"/>
      <w:lvlText w:val="%5)"/>
      <w:lvlJc w:val="left"/>
      <w:pPr>
        <w:pStyle w:val="906"/>
        <w:ind w:left="2508" w:hanging="420"/>
        <w:tabs>
          <w:tab w:val="num" w:pos="2508" w:leader="none"/>
        </w:tabs>
      </w:pPr>
    </w:lvl>
    <w:lvl w:ilvl="5">
      <w:start w:val="1"/>
      <w:numFmt w:val="lowerRoman"/>
      <w:isLgl w:val="false"/>
      <w:suff w:val="tab"/>
      <w:lvlText w:val="%6."/>
      <w:lvlJc w:val="right"/>
      <w:pPr>
        <w:pStyle w:val="906"/>
        <w:ind w:left="2928" w:hanging="420"/>
        <w:tabs>
          <w:tab w:val="num" w:pos="2928" w:leader="none"/>
        </w:tabs>
      </w:pPr>
    </w:lvl>
    <w:lvl w:ilvl="6">
      <w:start w:val="1"/>
      <w:numFmt w:val="decimal"/>
      <w:isLgl w:val="false"/>
      <w:suff w:val="tab"/>
      <w:lvlText w:val="%7."/>
      <w:lvlJc w:val="left"/>
      <w:pPr>
        <w:pStyle w:val="906"/>
        <w:ind w:left="3348" w:hanging="420"/>
        <w:tabs>
          <w:tab w:val="num" w:pos="3348" w:leader="none"/>
        </w:tabs>
      </w:pPr>
    </w:lvl>
    <w:lvl w:ilvl="7">
      <w:start w:val="1"/>
      <w:numFmt w:val="lowerLetter"/>
      <w:isLgl w:val="false"/>
      <w:suff w:val="tab"/>
      <w:lvlText w:val="%8)"/>
      <w:lvlJc w:val="left"/>
      <w:pPr>
        <w:pStyle w:val="906"/>
        <w:ind w:left="3768" w:hanging="420"/>
        <w:tabs>
          <w:tab w:val="num" w:pos="3768" w:leader="none"/>
        </w:tabs>
      </w:pPr>
    </w:lvl>
    <w:lvl w:ilvl="8">
      <w:start w:val="1"/>
      <w:numFmt w:val="lowerRoman"/>
      <w:isLgl w:val="false"/>
      <w:suff w:val="tab"/>
      <w:lvlText w:val="%9."/>
      <w:lvlJc w:val="right"/>
      <w:pPr>
        <w:pStyle w:val="90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宋体" w:hAnsi="宋体" w:eastAsia="宋体" w:cs="Times New Roman"/>
        <w:sz w:val="22"/>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8">
    <w:multiLevelType w:val="hybridMultilevel"/>
    <w:lvl w:ilvl="0">
      <w:start w:val="1"/>
      <w:numFmt w:val="decimal"/>
      <w:pStyle w:val="1013"/>
      <w:isLgl w:val="false"/>
      <w:suff w:val="tab"/>
      <w:lvlText w:val="%1)"/>
      <w:lvlJc w:val="left"/>
      <w:pPr>
        <w:pStyle w:val="906"/>
        <w:ind w:left="420" w:hanging="42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9">
    <w:multiLevelType w:val="hybridMultilevel"/>
    <w:lvl w:ilvl="0">
      <w:start w:val="1"/>
      <w:numFmt w:val="decimal"/>
      <w:pStyle w:val="1114"/>
      <w:isLgl w:val="false"/>
      <w:suff w:val="tab"/>
      <w:lvlText w:val="%1"/>
      <w:lvlJc w:val="left"/>
      <w:pPr>
        <w:pStyle w:val="906"/>
        <w:ind w:left="680" w:hanging="680"/>
      </w:pPr>
      <w:rPr>
        <w:rFonts w:hint="eastAsia" w:ascii="宋体" w:hAnsi="宋体" w:eastAsia="宋体"/>
      </w:rPr>
    </w:lvl>
    <w:lvl w:ilvl="1">
      <w:start w:val="1"/>
      <w:numFmt w:val="decimal"/>
      <w:pStyle w:val="1115"/>
      <w:isLgl w:val="false"/>
      <w:suff w:val="tab"/>
      <w:lvlText w:val="%1.%2"/>
      <w:lvlJc w:val="left"/>
      <w:pPr>
        <w:pStyle w:val="906"/>
        <w:ind w:left="851" w:hanging="851"/>
      </w:pPr>
      <w:rPr>
        <w:rFonts w:hint="eastAsia" w:ascii="宋体" w:hAnsi="宋体" w:eastAsia="宋体"/>
        <w:color w:val="000000"/>
      </w:rPr>
    </w:lvl>
    <w:lvl w:ilvl="2">
      <w:start w:val="1"/>
      <w:numFmt w:val="decimal"/>
      <w:pStyle w:val="1116"/>
      <w:isLgl w:val="false"/>
      <w:suff w:val="tab"/>
      <w:lvlText w:val="%1.%2.%3"/>
      <w:lvlJc w:val="left"/>
      <w:pPr>
        <w:pStyle w:val="906"/>
        <w:ind w:left="851" w:hanging="851"/>
      </w:pPr>
      <w:rPr>
        <w:rFonts w:hint="eastAsia"/>
      </w:rPr>
    </w:lvl>
    <w:lvl w:ilvl="3">
      <w:start w:val="1"/>
      <w:numFmt w:val="decimal"/>
      <w:isLgl w:val="false"/>
      <w:suff w:val="tab"/>
      <w:lvlText w:val="%1.%2.%3.%4"/>
      <w:lvlJc w:val="left"/>
      <w:pPr>
        <w:pStyle w:val="906"/>
        <w:ind w:left="680" w:hanging="680"/>
      </w:pPr>
      <w:rPr>
        <w:rFonts w:hint="eastAsia"/>
      </w:rPr>
    </w:lvl>
    <w:lvl w:ilvl="4">
      <w:start w:val="1"/>
      <w:numFmt w:val="decimal"/>
      <w:isLgl w:val="false"/>
      <w:suff w:val="tab"/>
      <w:lvlText w:val="%1.%2.%3.%4.%5"/>
      <w:lvlJc w:val="left"/>
      <w:pPr>
        <w:pStyle w:val="906"/>
        <w:ind w:left="680" w:hanging="680"/>
      </w:pPr>
      <w:rPr>
        <w:rFonts w:hint="eastAsia"/>
      </w:rPr>
    </w:lvl>
    <w:lvl w:ilvl="5">
      <w:start w:val="1"/>
      <w:numFmt w:val="decimal"/>
      <w:isLgl w:val="false"/>
      <w:suff w:val="tab"/>
      <w:lvlText w:val="%1.%2.%3.%4.%5.%6"/>
      <w:lvlJc w:val="left"/>
      <w:pPr>
        <w:pStyle w:val="906"/>
        <w:ind w:left="680" w:hanging="680"/>
      </w:pPr>
      <w:rPr>
        <w:rFonts w:hint="eastAsia"/>
      </w:rPr>
    </w:lvl>
    <w:lvl w:ilvl="6">
      <w:start w:val="1"/>
      <w:numFmt w:val="decimal"/>
      <w:isLgl w:val="false"/>
      <w:suff w:val="tab"/>
      <w:lvlText w:val="%1.%2.%3.%4.%5.%6.%7"/>
      <w:lvlJc w:val="left"/>
      <w:pPr>
        <w:pStyle w:val="906"/>
        <w:ind w:left="680" w:hanging="680"/>
      </w:pPr>
      <w:rPr>
        <w:rFonts w:hint="eastAsia"/>
      </w:rPr>
    </w:lvl>
    <w:lvl w:ilvl="7">
      <w:start w:val="1"/>
      <w:numFmt w:val="decimal"/>
      <w:isLgl w:val="false"/>
      <w:suff w:val="tab"/>
      <w:lvlText w:val="%1.%2.%3.%4.%5.%6.%7.%8"/>
      <w:lvlJc w:val="left"/>
      <w:pPr>
        <w:pStyle w:val="906"/>
        <w:ind w:left="680" w:hanging="680"/>
      </w:pPr>
      <w:rPr>
        <w:rFonts w:hint="eastAsia"/>
      </w:rPr>
    </w:lvl>
    <w:lvl w:ilvl="8">
      <w:start w:val="1"/>
      <w:numFmt w:val="decimal"/>
      <w:isLgl w:val="false"/>
      <w:suff w:val="tab"/>
      <w:lvlText w:val="%1.%2.%3.%4.%5.%6.%7.%8.%9"/>
      <w:lvlJc w:val="left"/>
      <w:pPr>
        <w:pStyle w:val="906"/>
        <w:ind w:left="680" w:hanging="680"/>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6"/>
    <w:next w:val="90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4"/>
      <w:lang w:val="en-US" w:eastAsia="zh-CN" w:bidi="ar-SA"/>
    </w:rPr>
  </w:style>
  <w:style w:type="paragraph" w:styleId="907">
    <w:name w:val="标题 1"/>
    <w:basedOn w:val="906"/>
    <w:next w:val="906"/>
    <w:link w:val="918"/>
    <w:qFormat/>
    <w:pPr>
      <w:jc w:val="center"/>
      <w:keepLines/>
      <w:keepNext/>
      <w:spacing w:before="240" w:after="120" w:line="300" w:lineRule="auto"/>
      <w:outlineLvl w:val="0"/>
    </w:pPr>
    <w:rPr>
      <w:rFonts w:ascii="宋体"/>
      <w:b/>
      <w:sz w:val="32"/>
      <w:szCs w:val="20"/>
    </w:rPr>
  </w:style>
  <w:style w:type="paragraph" w:styleId="908">
    <w:name w:val="标题 2"/>
    <w:basedOn w:val="906"/>
    <w:next w:val="920"/>
    <w:link w:val="919"/>
    <w:qFormat/>
    <w:pPr>
      <w:jc w:val="center"/>
      <w:keepLines/>
      <w:keepNext/>
      <w:spacing w:before="120" w:line="300" w:lineRule="auto"/>
      <w:outlineLvl w:val="1"/>
    </w:pPr>
    <w:rPr>
      <w:rFonts w:ascii="Arial" w:hAnsi="Arial" w:eastAsia="黑体"/>
      <w:b/>
      <w:sz w:val="30"/>
      <w:szCs w:val="20"/>
    </w:rPr>
  </w:style>
  <w:style w:type="paragraph" w:styleId="909">
    <w:name w:val="标题 3"/>
    <w:basedOn w:val="906"/>
    <w:next w:val="906"/>
    <w:link w:val="922"/>
    <w:qFormat/>
    <w:pPr>
      <w:jc w:val="left"/>
      <w:keepLines/>
      <w:keepNext/>
      <w:spacing w:before="360" w:after="120"/>
      <w:outlineLvl w:val="2"/>
    </w:pPr>
    <w:rPr>
      <w:rFonts w:ascii="宋体"/>
      <w:b/>
      <w:sz w:val="24"/>
      <w:szCs w:val="20"/>
      <w:u w:val="single"/>
    </w:rPr>
  </w:style>
  <w:style w:type="paragraph" w:styleId="910">
    <w:name w:val="标题 4"/>
    <w:basedOn w:val="906"/>
    <w:next w:val="906"/>
    <w:link w:val="923"/>
    <w:qFormat/>
    <w:pPr>
      <w:keepLines/>
      <w:keepNext/>
      <w:spacing w:before="280" w:after="290" w:line="376" w:lineRule="atLeast"/>
      <w:outlineLvl w:val="3"/>
    </w:pPr>
    <w:rPr>
      <w:rFonts w:ascii="Arial" w:hAnsi="Arial" w:eastAsia="黑体"/>
      <w:b/>
      <w:sz w:val="28"/>
      <w:szCs w:val="20"/>
    </w:rPr>
  </w:style>
  <w:style w:type="paragraph" w:styleId="911">
    <w:name w:val="标题 5"/>
    <w:basedOn w:val="906"/>
    <w:next w:val="906"/>
    <w:link w:val="924"/>
    <w:qFormat/>
    <w:pPr>
      <w:keepLines/>
      <w:keepNext/>
      <w:spacing w:before="280" w:after="290" w:line="376" w:lineRule="atLeast"/>
      <w:outlineLvl w:val="4"/>
    </w:pPr>
    <w:rPr>
      <w:b/>
      <w:sz w:val="28"/>
      <w:szCs w:val="20"/>
    </w:rPr>
  </w:style>
  <w:style w:type="paragraph" w:styleId="912">
    <w:name w:val="标题 6"/>
    <w:basedOn w:val="906"/>
    <w:next w:val="906"/>
    <w:link w:val="925"/>
    <w:qFormat/>
    <w:pPr>
      <w:keepLines/>
      <w:keepNext/>
      <w:spacing w:before="240" w:after="64" w:line="320" w:lineRule="atLeast"/>
      <w:outlineLvl w:val="5"/>
    </w:pPr>
    <w:rPr>
      <w:rFonts w:ascii="Arial" w:hAnsi="Arial" w:eastAsia="黑体"/>
      <w:b/>
      <w:sz w:val="24"/>
      <w:szCs w:val="20"/>
    </w:rPr>
  </w:style>
  <w:style w:type="paragraph" w:styleId="913">
    <w:name w:val="标题 7"/>
    <w:basedOn w:val="906"/>
    <w:next w:val="906"/>
    <w:link w:val="926"/>
    <w:qFormat/>
    <w:pPr>
      <w:keepLines/>
      <w:keepNext/>
      <w:spacing w:before="240" w:after="64" w:line="320" w:lineRule="atLeast"/>
      <w:outlineLvl w:val="6"/>
    </w:pPr>
    <w:rPr>
      <w:b/>
      <w:sz w:val="24"/>
      <w:szCs w:val="20"/>
    </w:rPr>
  </w:style>
  <w:style w:type="paragraph" w:styleId="914">
    <w:name w:val="标题 8"/>
    <w:basedOn w:val="906"/>
    <w:next w:val="906"/>
    <w:link w:val="927"/>
    <w:qFormat/>
    <w:pPr>
      <w:keepLines/>
      <w:keepNext/>
      <w:spacing w:before="240" w:after="64" w:line="320" w:lineRule="atLeast"/>
      <w:outlineLvl w:val="7"/>
    </w:pPr>
    <w:rPr>
      <w:rFonts w:ascii="Arial" w:hAnsi="Arial" w:eastAsia="黑体"/>
      <w:sz w:val="24"/>
      <w:szCs w:val="20"/>
    </w:rPr>
  </w:style>
  <w:style w:type="paragraph" w:styleId="915">
    <w:name w:val="标题 9"/>
    <w:basedOn w:val="906"/>
    <w:next w:val="906"/>
    <w:link w:val="928"/>
    <w:qFormat/>
    <w:pPr>
      <w:keepLines/>
      <w:keepNext/>
      <w:spacing w:before="240" w:after="64" w:line="320" w:lineRule="atLeast"/>
      <w:outlineLvl w:val="8"/>
    </w:pPr>
    <w:rPr>
      <w:rFonts w:ascii="Arial" w:hAnsi="Arial" w:eastAsia="黑体"/>
      <w:szCs w:val="20"/>
    </w:rPr>
  </w:style>
  <w:style w:type="character" w:styleId="916">
    <w:name w:val="默认段落字体"/>
    <w:next w:val="916"/>
    <w:link w:val="906"/>
    <w:uiPriority w:val="1"/>
    <w:unhideWhenUsed/>
    <w:qFormat/>
  </w:style>
  <w:style w:type="table" w:styleId="917">
    <w:name w:val="普通表格"/>
    <w:next w:val="917"/>
    <w:link w:val="90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8">
    <w:name w:val="标题 1 Char"/>
    <w:next w:val="918"/>
    <w:link w:val="907"/>
    <w:qFormat/>
    <w:rPr>
      <w:rFonts w:ascii="宋体"/>
      <w:b/>
      <w:sz w:val="32"/>
    </w:rPr>
  </w:style>
  <w:style w:type="character" w:styleId="919">
    <w:name w:val="标题 2 Char1"/>
    <w:next w:val="919"/>
    <w:link w:val="908"/>
    <w:qFormat/>
    <w:rPr>
      <w:rFonts w:ascii="Arial" w:hAnsi="Arial" w:eastAsia="黑体"/>
      <w:b/>
      <w:sz w:val="30"/>
      <w:lang w:val="en-US" w:eastAsia="zh-CN" w:bidi="ar-SA"/>
    </w:rPr>
  </w:style>
  <w:style w:type="paragraph" w:styleId="920">
    <w:name w:val="正文缩进"/>
    <w:basedOn w:val="906"/>
    <w:next w:val="920"/>
    <w:link w:val="921"/>
    <w:qFormat/>
    <w:pPr>
      <w:ind w:firstLine="420"/>
      <w:jc w:val="left"/>
    </w:pPr>
    <w:rPr>
      <w:rFonts w:ascii="宋体"/>
      <w:sz w:val="24"/>
    </w:rPr>
  </w:style>
  <w:style w:type="character" w:styleId="921">
    <w:name w:val="正文缩进 Char1"/>
    <w:next w:val="921"/>
    <w:link w:val="920"/>
    <w:qFormat/>
    <w:rPr>
      <w:rFonts w:ascii="宋体" w:eastAsia="宋体"/>
      <w:sz w:val="24"/>
      <w:szCs w:val="24"/>
      <w:lang w:val="en-US" w:eastAsia="zh-CN" w:bidi="ar-SA"/>
    </w:rPr>
  </w:style>
  <w:style w:type="character" w:styleId="922">
    <w:name w:val="标题 3 Char1"/>
    <w:next w:val="922"/>
    <w:link w:val="909"/>
    <w:qFormat/>
    <w:rPr>
      <w:rFonts w:ascii="宋体" w:eastAsia="宋体"/>
      <w:b/>
      <w:sz w:val="24"/>
      <w:u w:val="single"/>
      <w:lang w:val="en-US" w:eastAsia="zh-CN" w:bidi="ar-SA"/>
    </w:rPr>
  </w:style>
  <w:style w:type="character" w:styleId="923">
    <w:name w:val="标题 4 Char"/>
    <w:next w:val="923"/>
    <w:link w:val="910"/>
    <w:qFormat/>
    <w:rPr>
      <w:rFonts w:ascii="Arial" w:hAnsi="Arial" w:eastAsia="黑体"/>
      <w:b/>
      <w:sz w:val="28"/>
    </w:rPr>
  </w:style>
  <w:style w:type="character" w:styleId="924">
    <w:name w:val="标题 5 Char"/>
    <w:next w:val="924"/>
    <w:link w:val="911"/>
    <w:qFormat/>
    <w:rPr>
      <w:b/>
      <w:sz w:val="28"/>
    </w:rPr>
  </w:style>
  <w:style w:type="character" w:styleId="925">
    <w:name w:val="标题 6 Char"/>
    <w:next w:val="925"/>
    <w:link w:val="912"/>
    <w:qFormat/>
    <w:rPr>
      <w:rFonts w:ascii="Arial" w:hAnsi="Arial" w:eastAsia="黑体"/>
      <w:b/>
      <w:sz w:val="24"/>
    </w:rPr>
  </w:style>
  <w:style w:type="character" w:styleId="926">
    <w:name w:val="标题 7 Char"/>
    <w:next w:val="926"/>
    <w:link w:val="913"/>
    <w:qFormat/>
    <w:rPr>
      <w:b/>
      <w:sz w:val="24"/>
    </w:rPr>
  </w:style>
  <w:style w:type="character" w:styleId="927">
    <w:name w:val="标题 8 Char"/>
    <w:next w:val="927"/>
    <w:link w:val="914"/>
    <w:qFormat/>
    <w:rPr>
      <w:rFonts w:ascii="Arial" w:hAnsi="Arial" w:eastAsia="黑体"/>
      <w:sz w:val="24"/>
    </w:rPr>
  </w:style>
  <w:style w:type="character" w:styleId="928">
    <w:name w:val="标题 9 Char"/>
    <w:next w:val="928"/>
    <w:link w:val="915"/>
    <w:qFormat/>
    <w:rPr>
      <w:rFonts w:ascii="Arial" w:hAnsi="Arial" w:eastAsia="黑体"/>
      <w:sz w:val="21"/>
    </w:rPr>
  </w:style>
  <w:style w:type="paragraph" w:styleId="929">
    <w:name w:val="目录 7"/>
    <w:basedOn w:val="906"/>
    <w:next w:val="906"/>
    <w:link w:val="906"/>
    <w:qFormat/>
    <w:pPr>
      <w:ind w:left="2520"/>
    </w:pPr>
  </w:style>
  <w:style w:type="paragraph" w:styleId="930">
    <w:name w:val="题注"/>
    <w:basedOn w:val="906"/>
    <w:next w:val="906"/>
    <w:link w:val="906"/>
    <w:qFormat/>
    <w:pPr>
      <w:spacing w:line="480" w:lineRule="auto"/>
    </w:pPr>
    <w:rPr>
      <w:rFonts w:ascii="华文中宋" w:hAnsi="华文中宋" w:eastAsia="华文中宋"/>
      <w:sz w:val="36"/>
      <w:szCs w:val="20"/>
    </w:rPr>
  </w:style>
  <w:style w:type="paragraph" w:styleId="931">
    <w:name w:val="文档结构图"/>
    <w:basedOn w:val="906"/>
    <w:next w:val="931"/>
    <w:link w:val="932"/>
    <w:qFormat/>
    <w:pPr>
      <w:shd w:val="clear" w:color="auto" w:fill="000080"/>
    </w:pPr>
  </w:style>
  <w:style w:type="character" w:styleId="932">
    <w:name w:val="文档结构图 Char"/>
    <w:next w:val="932"/>
    <w:link w:val="931"/>
    <w:qFormat/>
    <w:rPr>
      <w:sz w:val="21"/>
      <w:szCs w:val="24"/>
      <w:shd w:val="clear" w:color="auto" w:fill="000080"/>
    </w:rPr>
  </w:style>
  <w:style w:type="paragraph" w:styleId="933">
    <w:name w:val="批注文字"/>
    <w:basedOn w:val="906"/>
    <w:next w:val="933"/>
    <w:link w:val="934"/>
    <w:uiPriority w:val="99"/>
    <w:qFormat/>
    <w:pPr>
      <w:jc w:val="left"/>
    </w:pPr>
  </w:style>
  <w:style w:type="character" w:styleId="934">
    <w:name w:val="批注文字 Char1"/>
    <w:next w:val="934"/>
    <w:link w:val="933"/>
    <w:uiPriority w:val="99"/>
    <w:qFormat/>
    <w:rPr>
      <w:sz w:val="21"/>
      <w:szCs w:val="24"/>
    </w:rPr>
  </w:style>
  <w:style w:type="paragraph" w:styleId="935">
    <w:name w:val="正文文本 3"/>
    <w:basedOn w:val="906"/>
    <w:next w:val="935"/>
    <w:link w:val="936"/>
    <w:qFormat/>
    <w:pPr>
      <w:spacing w:after="120"/>
    </w:pPr>
    <w:rPr>
      <w:sz w:val="16"/>
      <w:szCs w:val="16"/>
    </w:rPr>
  </w:style>
  <w:style w:type="character" w:styleId="936">
    <w:name w:val="正文文本 3 Char"/>
    <w:next w:val="936"/>
    <w:link w:val="935"/>
    <w:qFormat/>
    <w:rPr>
      <w:sz w:val="16"/>
      <w:szCs w:val="16"/>
    </w:rPr>
  </w:style>
  <w:style w:type="paragraph" w:styleId="937">
    <w:name w:val="正文文本"/>
    <w:basedOn w:val="906"/>
    <w:next w:val="906"/>
    <w:link w:val="938"/>
    <w:qFormat/>
    <w:pPr>
      <w:spacing w:before="120" w:line="22" w:lineRule="atLeast"/>
      <w:tabs>
        <w:tab w:val="left" w:pos="567" w:leader="none"/>
      </w:tabs>
    </w:pPr>
    <w:rPr>
      <w:rFonts w:ascii="宋体" w:hAnsi="宋体"/>
      <w:sz w:val="24"/>
    </w:rPr>
  </w:style>
  <w:style w:type="character" w:styleId="938">
    <w:name w:val="正文文本 Char"/>
    <w:next w:val="938"/>
    <w:link w:val="937"/>
    <w:qFormat/>
    <w:rPr>
      <w:rFonts w:ascii="宋体" w:hAnsi="宋体"/>
      <w:sz w:val="24"/>
      <w:szCs w:val="24"/>
    </w:rPr>
  </w:style>
  <w:style w:type="paragraph" w:styleId="939">
    <w:name w:val="正文文本缩进"/>
    <w:basedOn w:val="906"/>
    <w:next w:val="939"/>
    <w:link w:val="940"/>
    <w:qFormat/>
    <w:pPr>
      <w:ind w:firstLine="570"/>
      <w:spacing w:line="360" w:lineRule="auto"/>
    </w:pPr>
    <w:rPr>
      <w:sz w:val="24"/>
    </w:rPr>
  </w:style>
  <w:style w:type="character" w:styleId="940">
    <w:name w:val="正文文本缩进 Char2"/>
    <w:next w:val="940"/>
    <w:link w:val="939"/>
    <w:qFormat/>
    <w:rPr>
      <w:rFonts w:eastAsia="宋体"/>
      <w:sz w:val="24"/>
      <w:szCs w:val="24"/>
      <w:lang w:val="en-US" w:eastAsia="zh-CN" w:bidi="ar-SA"/>
    </w:rPr>
  </w:style>
  <w:style w:type="paragraph" w:styleId="941">
    <w:name w:val="列表 2"/>
    <w:basedOn w:val="906"/>
    <w:next w:val="941"/>
    <w:link w:val="906"/>
    <w:qFormat/>
    <w:pPr>
      <w:ind w:left="100" w:hanging="200"/>
    </w:pPr>
  </w:style>
  <w:style w:type="paragraph" w:styleId="942">
    <w:name w:val="文本块"/>
    <w:basedOn w:val="906"/>
    <w:next w:val="942"/>
    <w:link w:val="906"/>
    <w:qFormat/>
    <w:pPr>
      <w:ind w:left="480" w:right="-341" w:firstLine="513"/>
      <w:widowControl/>
    </w:pPr>
    <w:rPr>
      <w:sz w:val="24"/>
      <w:szCs w:val="20"/>
    </w:rPr>
  </w:style>
  <w:style w:type="paragraph" w:styleId="943">
    <w:name w:val="目录 5"/>
    <w:basedOn w:val="906"/>
    <w:next w:val="906"/>
    <w:link w:val="906"/>
    <w:qFormat/>
    <w:pPr>
      <w:ind w:left="1680"/>
    </w:pPr>
  </w:style>
  <w:style w:type="paragraph" w:styleId="944">
    <w:name w:val="目录 3"/>
    <w:basedOn w:val="906"/>
    <w:next w:val="906"/>
    <w:link w:val="906"/>
    <w:uiPriority w:val="39"/>
    <w:qFormat/>
    <w:pPr>
      <w:ind w:left="840"/>
    </w:pPr>
  </w:style>
  <w:style w:type="paragraph" w:styleId="945">
    <w:name w:val="纯文本"/>
    <w:basedOn w:val="906"/>
    <w:next w:val="945"/>
    <w:link w:val="946"/>
    <w:uiPriority w:val="99"/>
    <w:qFormat/>
    <w:rPr>
      <w:rFonts w:hint="eastAsia" w:ascii="宋体" w:hAnsi="Courier New"/>
      <w:szCs w:val="20"/>
    </w:rPr>
  </w:style>
  <w:style w:type="character" w:styleId="946">
    <w:name w:val="纯文本 Char"/>
    <w:next w:val="946"/>
    <w:link w:val="945"/>
    <w:qFormat/>
    <w:rPr>
      <w:rFonts w:hint="eastAsia" w:ascii="宋体" w:hAnsi="Courier New" w:eastAsia="宋体" w:cs="宋体"/>
      <w:sz w:val="21"/>
    </w:rPr>
  </w:style>
  <w:style w:type="paragraph" w:styleId="947">
    <w:name w:val="目录 8"/>
    <w:basedOn w:val="906"/>
    <w:next w:val="906"/>
    <w:link w:val="906"/>
    <w:qFormat/>
    <w:pPr>
      <w:ind w:left="2940"/>
    </w:pPr>
  </w:style>
  <w:style w:type="paragraph" w:styleId="948">
    <w:name w:val="日期"/>
    <w:basedOn w:val="906"/>
    <w:next w:val="906"/>
    <w:link w:val="949"/>
    <w:qFormat/>
    <w:pPr>
      <w:ind w:left="100"/>
    </w:pPr>
    <w:rPr>
      <w:rFonts w:ascii="仿宋_GB2312" w:hAnsi="宋体" w:eastAsia="仿宋_GB2312"/>
      <w:color w:val="000000"/>
      <w:sz w:val="24"/>
    </w:rPr>
  </w:style>
  <w:style w:type="character" w:styleId="949">
    <w:name w:val="日期 Char"/>
    <w:next w:val="949"/>
    <w:link w:val="948"/>
    <w:qFormat/>
    <w:rPr>
      <w:rFonts w:ascii="仿宋_GB2312" w:hAnsi="宋体" w:eastAsia="仿宋_GB2312"/>
      <w:color w:val="000000"/>
      <w:sz w:val="24"/>
      <w:szCs w:val="24"/>
    </w:rPr>
  </w:style>
  <w:style w:type="paragraph" w:styleId="950">
    <w:name w:val="正文文本缩进 2"/>
    <w:basedOn w:val="906"/>
    <w:next w:val="950"/>
    <w:link w:val="951"/>
    <w:qFormat/>
    <w:pPr>
      <w:ind w:firstLine="480"/>
    </w:pPr>
    <w:rPr>
      <w:rFonts w:ascii="仿宋_GB2312" w:eastAsia="仿宋_GB2312"/>
      <w:sz w:val="24"/>
    </w:rPr>
  </w:style>
  <w:style w:type="character" w:styleId="951">
    <w:name w:val="正文文本缩进 2 Char"/>
    <w:next w:val="951"/>
    <w:link w:val="950"/>
    <w:qFormat/>
    <w:rPr>
      <w:rFonts w:ascii="仿宋_GB2312" w:eastAsia="仿宋_GB2312"/>
      <w:sz w:val="24"/>
      <w:szCs w:val="24"/>
    </w:rPr>
  </w:style>
  <w:style w:type="paragraph" w:styleId="952">
    <w:name w:val="批注框文本"/>
    <w:basedOn w:val="906"/>
    <w:next w:val="952"/>
    <w:link w:val="953"/>
    <w:qFormat/>
    <w:rPr>
      <w:sz w:val="18"/>
      <w:szCs w:val="18"/>
    </w:rPr>
  </w:style>
  <w:style w:type="character" w:styleId="953">
    <w:name w:val="批注框文本 Char"/>
    <w:next w:val="953"/>
    <w:link w:val="952"/>
    <w:qFormat/>
    <w:rPr>
      <w:sz w:val="18"/>
      <w:szCs w:val="18"/>
    </w:rPr>
  </w:style>
  <w:style w:type="paragraph" w:styleId="954">
    <w:name w:val="页脚"/>
    <w:basedOn w:val="906"/>
    <w:next w:val="954"/>
    <w:link w:val="955"/>
    <w:uiPriority w:val="99"/>
    <w:qFormat/>
    <w:pPr>
      <w:jc w:val="left"/>
      <w:tabs>
        <w:tab w:val="center" w:pos="4153" w:leader="none"/>
        <w:tab w:val="right" w:pos="8306" w:leader="none"/>
      </w:tabs>
    </w:pPr>
    <w:rPr>
      <w:rFonts w:ascii="宋体"/>
      <w:sz w:val="18"/>
      <w:szCs w:val="20"/>
    </w:rPr>
  </w:style>
  <w:style w:type="character" w:styleId="955">
    <w:name w:val="页脚 Char1"/>
    <w:next w:val="955"/>
    <w:link w:val="954"/>
    <w:uiPriority w:val="99"/>
    <w:qFormat/>
    <w:rPr>
      <w:rFonts w:ascii="宋体" w:eastAsia="宋体"/>
      <w:sz w:val="18"/>
      <w:lang w:val="en-US" w:eastAsia="zh-CN" w:bidi="ar-SA"/>
    </w:rPr>
  </w:style>
  <w:style w:type="paragraph" w:styleId="956">
    <w:name w:val="页眉"/>
    <w:basedOn w:val="906"/>
    <w:next w:val="956"/>
    <w:link w:val="957"/>
    <w:qFormat/>
    <w:pPr>
      <w:jc w:val="center"/>
      <w:tabs>
        <w:tab w:val="center" w:pos="4153" w:leader="none"/>
        <w:tab w:val="right" w:pos="8306" w:leader="none"/>
      </w:tabs>
      <w:pBdr>
        <w:bottom w:val="single" w:color="000000" w:sz="6" w:space="1"/>
      </w:pBdr>
    </w:pPr>
    <w:rPr>
      <w:sz w:val="18"/>
      <w:szCs w:val="18"/>
    </w:rPr>
  </w:style>
  <w:style w:type="character" w:styleId="957">
    <w:name w:val="页眉 Char1"/>
    <w:next w:val="957"/>
    <w:link w:val="956"/>
    <w:qFormat/>
    <w:rPr>
      <w:rFonts w:eastAsia="宋体"/>
      <w:sz w:val="18"/>
      <w:szCs w:val="18"/>
      <w:lang w:val="en-US" w:eastAsia="zh-CN" w:bidi="ar-SA"/>
    </w:rPr>
  </w:style>
  <w:style w:type="paragraph" w:styleId="958">
    <w:name w:val="目录 1"/>
    <w:basedOn w:val="906"/>
    <w:next w:val="906"/>
    <w:link w:val="906"/>
    <w:uiPriority w:val="39"/>
    <w:qFormat/>
    <w:pPr>
      <w:spacing w:line="300" w:lineRule="auto"/>
      <w:tabs>
        <w:tab w:val="left" w:pos="1050" w:leader="none"/>
        <w:tab w:val="right" w:pos="8937" w:leader="dot"/>
      </w:tabs>
    </w:pPr>
    <w:rPr>
      <w:rFonts w:ascii="宋体" w:hAnsi="宋体"/>
      <w:b/>
      <w:sz w:val="24"/>
    </w:rPr>
  </w:style>
  <w:style w:type="paragraph" w:styleId="959">
    <w:name w:val="目录 4"/>
    <w:basedOn w:val="906"/>
    <w:next w:val="906"/>
    <w:link w:val="906"/>
    <w:qFormat/>
    <w:pPr>
      <w:ind w:left="1260"/>
    </w:pPr>
  </w:style>
  <w:style w:type="paragraph" w:styleId="960">
    <w:name w:val="目录 6"/>
    <w:basedOn w:val="906"/>
    <w:next w:val="906"/>
    <w:link w:val="906"/>
    <w:qFormat/>
    <w:pPr>
      <w:ind w:left="2100"/>
    </w:pPr>
  </w:style>
  <w:style w:type="paragraph" w:styleId="961">
    <w:name w:val="正文文本缩进 3"/>
    <w:basedOn w:val="906"/>
    <w:next w:val="961"/>
    <w:link w:val="962"/>
    <w:qFormat/>
    <w:pPr>
      <w:ind w:left="720" w:firstLine="480"/>
      <w:jc w:val="left"/>
      <w:spacing w:before="120" w:line="22" w:lineRule="atLeast"/>
    </w:pPr>
    <w:rPr>
      <w:rFonts w:ascii="宋体"/>
      <w:sz w:val="24"/>
      <w:szCs w:val="20"/>
    </w:rPr>
  </w:style>
  <w:style w:type="character" w:styleId="962">
    <w:name w:val="正文文本缩进 3 Char"/>
    <w:next w:val="962"/>
    <w:link w:val="961"/>
    <w:qFormat/>
    <w:rPr>
      <w:rFonts w:ascii="宋体"/>
      <w:sz w:val="24"/>
    </w:rPr>
  </w:style>
  <w:style w:type="paragraph" w:styleId="963">
    <w:name w:val="目录 2"/>
    <w:basedOn w:val="906"/>
    <w:next w:val="906"/>
    <w:link w:val="906"/>
    <w:uiPriority w:val="39"/>
    <w:qFormat/>
    <w:pPr>
      <w:ind w:left="420"/>
      <w:spacing w:line="312" w:lineRule="auto"/>
      <w:tabs>
        <w:tab w:val="right" w:pos="8937" w:leader="dot"/>
      </w:tabs>
    </w:pPr>
  </w:style>
  <w:style w:type="paragraph" w:styleId="964">
    <w:name w:val="目录 9"/>
    <w:basedOn w:val="906"/>
    <w:next w:val="906"/>
    <w:link w:val="906"/>
    <w:qFormat/>
    <w:pPr>
      <w:ind w:left="3360"/>
    </w:pPr>
  </w:style>
  <w:style w:type="paragraph" w:styleId="965">
    <w:name w:val="HTML 预设格式"/>
    <w:basedOn w:val="906"/>
    <w:next w:val="965"/>
    <w:link w:val="9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6">
    <w:name w:val="HTML 预设格式 Char"/>
    <w:next w:val="966"/>
    <w:link w:val="965"/>
    <w:qFormat/>
    <w:rPr>
      <w:rFonts w:ascii="宋体" w:hAnsi="宋体" w:cs="宋体"/>
      <w:sz w:val="24"/>
      <w:szCs w:val="24"/>
    </w:rPr>
  </w:style>
  <w:style w:type="paragraph" w:styleId="967">
    <w:name w:val="普通(网站)"/>
    <w:basedOn w:val="906"/>
    <w:next w:val="967"/>
    <w:link w:val="906"/>
    <w:uiPriority w:val="99"/>
    <w:unhideWhenUsed/>
    <w:qFormat/>
    <w:pPr>
      <w:jc w:val="left"/>
      <w:spacing w:before="100" w:beforeAutospacing="1" w:after="100" w:afterAutospacing="1"/>
      <w:widowControl/>
    </w:pPr>
    <w:rPr>
      <w:rFonts w:ascii="宋体" w:hAnsi="宋体" w:cs="宋体"/>
      <w:sz w:val="24"/>
    </w:rPr>
  </w:style>
  <w:style w:type="paragraph" w:styleId="968">
    <w:name w:val="索引 1"/>
    <w:basedOn w:val="906"/>
    <w:next w:val="906"/>
    <w:link w:val="906"/>
    <w:qFormat/>
    <w:rPr>
      <w:szCs w:val="20"/>
    </w:rPr>
  </w:style>
  <w:style w:type="paragraph" w:styleId="969">
    <w:name w:val="标题"/>
    <w:basedOn w:val="906"/>
    <w:next w:val="969"/>
    <w:link w:val="970"/>
    <w:qFormat/>
    <w:pPr>
      <w:jc w:val="center"/>
      <w:outlineLvl w:val="0"/>
    </w:pPr>
    <w:rPr>
      <w:b/>
      <w:sz w:val="32"/>
      <w:szCs w:val="20"/>
    </w:rPr>
  </w:style>
  <w:style w:type="character" w:styleId="970">
    <w:name w:val="标题 Char1"/>
    <w:next w:val="970"/>
    <w:link w:val="969"/>
    <w:qFormat/>
    <w:rPr>
      <w:b/>
      <w:sz w:val="32"/>
    </w:rPr>
  </w:style>
  <w:style w:type="paragraph" w:styleId="971">
    <w:name w:val="批注主题"/>
    <w:basedOn w:val="933"/>
    <w:next w:val="933"/>
    <w:link w:val="972"/>
    <w:qFormat/>
    <w:rPr>
      <w:b/>
      <w:bCs/>
    </w:rPr>
  </w:style>
  <w:style w:type="character" w:styleId="972">
    <w:name w:val="批注主题 Char"/>
    <w:next w:val="972"/>
    <w:link w:val="971"/>
    <w:qFormat/>
    <w:rPr>
      <w:rFonts w:ascii="Times New Roman" w:hAnsi="Times New Roman" w:eastAsia="宋体" w:cs="Times New Roman"/>
      <w:b/>
      <w:bCs/>
      <w:sz w:val="21"/>
      <w:szCs w:val="24"/>
      <w:lang w:val="en-US" w:eastAsia="zh-CN" w:bidi="ar-SA"/>
    </w:rPr>
  </w:style>
  <w:style w:type="paragraph" w:styleId="973">
    <w:name w:val="正文首行缩进 2"/>
    <w:basedOn w:val="939"/>
    <w:next w:val="973"/>
    <w:link w:val="974"/>
    <w:qFormat/>
    <w:pPr>
      <w:ind w:left="420" w:firstLine="420"/>
      <w:spacing w:after="120" w:line="480" w:lineRule="exact"/>
    </w:pPr>
    <w:rPr>
      <w:szCs w:val="20"/>
    </w:rPr>
  </w:style>
  <w:style w:type="character" w:styleId="974">
    <w:name w:val="正文首行缩进 2 Char"/>
    <w:next w:val="974"/>
    <w:link w:val="973"/>
    <w:qFormat/>
    <w:rPr>
      <w:rFonts w:eastAsia="宋体"/>
      <w:sz w:val="24"/>
      <w:szCs w:val="24"/>
      <w:lang w:val="en-US" w:eastAsia="zh-CN" w:bidi="ar-SA"/>
    </w:rPr>
  </w:style>
  <w:style w:type="table" w:styleId="975">
    <w:name w:val="网格型"/>
    <w:basedOn w:val="917"/>
    <w:next w:val="975"/>
    <w:link w:val="906"/>
    <w:uiPriority w:val="39"/>
    <w:qFormat/>
    <w:tblPr/>
  </w:style>
  <w:style w:type="table" w:styleId="976">
    <w:name w:val="中等深浅网格 1 - 强调文字颜色 2"/>
    <w:basedOn w:val="917"/>
    <w:next w:val="976"/>
    <w:link w:val="906"/>
    <w:qFormat/>
    <w:rPr>
      <w:sz w:val="21"/>
      <w:szCs w:val="24"/>
    </w:rPr>
    <w:tblPr/>
  </w:style>
  <w:style w:type="character" w:styleId="977">
    <w:name w:val="要点"/>
    <w:next w:val="977"/>
    <w:link w:val="906"/>
    <w:uiPriority w:val="22"/>
    <w:qFormat/>
    <w:rPr>
      <w:b/>
      <w:bCs/>
    </w:rPr>
  </w:style>
  <w:style w:type="character" w:styleId="978">
    <w:name w:val="页码"/>
    <w:next w:val="978"/>
    <w:link w:val="906"/>
    <w:qFormat/>
  </w:style>
  <w:style w:type="character" w:styleId="979">
    <w:name w:val="已访问的超链接"/>
    <w:next w:val="979"/>
    <w:link w:val="906"/>
    <w:qFormat/>
    <w:rPr>
      <w:color w:val="800080"/>
      <w:u w:val="single"/>
    </w:rPr>
  </w:style>
  <w:style w:type="character" w:styleId="980">
    <w:name w:val="强调"/>
    <w:next w:val="980"/>
    <w:link w:val="906"/>
    <w:qFormat/>
    <w:rPr>
      <w:color w:val="cc0033"/>
    </w:rPr>
  </w:style>
  <w:style w:type="character" w:styleId="981">
    <w:name w:val="超链接"/>
    <w:next w:val="981"/>
    <w:link w:val="906"/>
    <w:uiPriority w:val="99"/>
    <w:qFormat/>
    <w:rPr>
      <w:color w:val="0000ff"/>
      <w:u w:val="single"/>
    </w:rPr>
  </w:style>
  <w:style w:type="character" w:styleId="982">
    <w:name w:val="批注引用"/>
    <w:next w:val="982"/>
    <w:link w:val="906"/>
    <w:uiPriority w:val="99"/>
    <w:qFormat/>
    <w:rPr>
      <w:sz w:val="21"/>
      <w:szCs w:val="21"/>
    </w:rPr>
  </w:style>
  <w:style w:type="character" w:styleId="983">
    <w:name w:val="HTML 引文"/>
    <w:next w:val="983"/>
    <w:link w:val="906"/>
    <w:qFormat/>
    <w:rPr>
      <w:i/>
      <w:iCs/>
    </w:rPr>
  </w:style>
  <w:style w:type="character" w:styleId="984">
    <w:name w:val="批注文字 字符"/>
    <w:next w:val="984"/>
    <w:link w:val="906"/>
    <w:uiPriority w:val="99"/>
    <w:qFormat/>
    <w:rPr>
      <w:rFonts w:ascii="Times New Roman" w:hAnsi="Times New Roman" w:eastAsia="宋体" w:cs="Times New Roman"/>
      <w:sz w:val="24"/>
      <w:lang w:val="en-US" w:eastAsia="zh-CN" w:bidi="ar-SA"/>
    </w:rPr>
  </w:style>
  <w:style w:type="character" w:styleId="985">
    <w:name w:val="c21"/>
    <w:next w:val="985"/>
    <w:link w:val="906"/>
    <w:qFormat/>
    <w:rPr>
      <w:rFonts w:ascii="ˎ̥" w:hAnsi="ˎ̥"/>
      <w:color w:val="000000"/>
      <w:sz w:val="20"/>
      <w:szCs w:val="20"/>
      <w:u w:val="none"/>
    </w:rPr>
  </w:style>
  <w:style w:type="character" w:styleId="986">
    <w:name w:val="title4"/>
    <w:next w:val="986"/>
    <w:link w:val="906"/>
    <w:qFormat/>
    <w:rPr>
      <w:b/>
      <w:bCs/>
      <w:color w:val="1d87b3"/>
      <w:sz w:val="15"/>
      <w:szCs w:val="15"/>
    </w:rPr>
  </w:style>
  <w:style w:type="character" w:styleId="987">
    <w:name w:val="标题 2 Char Char"/>
    <w:next w:val="987"/>
    <w:link w:val="906"/>
    <w:qFormat/>
    <w:rPr>
      <w:rFonts w:ascii="Arial" w:hAnsi="Arial" w:eastAsia="黑体"/>
      <w:b/>
      <w:bCs/>
      <w:sz w:val="32"/>
      <w:szCs w:val="32"/>
      <w:lang w:val="en-US" w:eastAsia="zh-CN" w:bidi="ar-SA"/>
    </w:rPr>
  </w:style>
  <w:style w:type="character" w:styleId="988">
    <w:name w:val="black1"/>
    <w:next w:val="988"/>
    <w:link w:val="906"/>
    <w:qFormat/>
    <w:rPr>
      <w:color w:val="000000"/>
    </w:rPr>
  </w:style>
  <w:style w:type="character" w:styleId="989">
    <w:name w:val="street-address"/>
    <w:next w:val="989"/>
    <w:link w:val="906"/>
    <w:qFormat/>
  </w:style>
  <w:style w:type="character" w:styleId="990">
    <w:name w:val="locality"/>
    <w:next w:val="990"/>
    <w:link w:val="906"/>
    <w:qFormat/>
  </w:style>
  <w:style w:type="character" w:styleId="991">
    <w:name w:val="正文文本缩进 Char1"/>
    <w:next w:val="991"/>
    <w:link w:val="992"/>
    <w:qFormat/>
    <w:rPr>
      <w:rFonts w:ascii="宋体" w:hAnsi="宋体" w:eastAsia="宋体"/>
      <w:sz w:val="24"/>
      <w:szCs w:val="24"/>
      <w:lang w:bidi="ar-SA"/>
    </w:rPr>
  </w:style>
  <w:style w:type="paragraph" w:styleId="992">
    <w:name w:val="正文文本缩进1"/>
    <w:basedOn w:val="906"/>
    <w:next w:val="992"/>
    <w:link w:val="991"/>
    <w:qFormat/>
    <w:pPr>
      <w:ind w:firstLine="480"/>
      <w:spacing w:line="480" w:lineRule="exact"/>
    </w:pPr>
    <w:rPr>
      <w:rFonts w:ascii="宋体" w:hAnsi="宋体"/>
      <w:sz w:val="24"/>
    </w:rPr>
  </w:style>
  <w:style w:type="character" w:styleId="993">
    <w:name w:val="Char Char11"/>
    <w:next w:val="993"/>
    <w:link w:val="906"/>
    <w:qFormat/>
    <w:rPr>
      <w:rFonts w:ascii="宋体" w:eastAsia="宋体"/>
      <w:b/>
      <w:sz w:val="24"/>
      <w:u w:val="single"/>
      <w:lang w:val="en-US" w:eastAsia="zh-CN" w:bidi="ar-SA"/>
    </w:rPr>
  </w:style>
  <w:style w:type="character" w:styleId="994">
    <w:name w:val="txt"/>
    <w:next w:val="994"/>
    <w:link w:val="906"/>
    <w:qFormat/>
  </w:style>
  <w:style w:type="character" w:styleId="995">
    <w:name w:val="正文缩进 Char Char"/>
    <w:next w:val="995"/>
    <w:link w:val="996"/>
    <w:qFormat/>
    <w:rPr>
      <w:rFonts w:ascii="宋体" w:eastAsia="宋体"/>
      <w:color w:val="000000"/>
      <w:sz w:val="28"/>
      <w:lang w:bidi="ar-SA"/>
    </w:rPr>
  </w:style>
  <w:style w:type="paragraph" w:styleId="996">
    <w:name w:val="正文缩进1"/>
    <w:basedOn w:val="906"/>
    <w:next w:val="996"/>
    <w:link w:val="995"/>
    <w:qFormat/>
    <w:pPr>
      <w:ind w:firstLine="567"/>
      <w:spacing w:line="480" w:lineRule="exact"/>
      <w:widowControl/>
    </w:pPr>
    <w:rPr>
      <w:rFonts w:ascii="宋体"/>
      <w:color w:val="000000"/>
      <w:sz w:val="28"/>
      <w:szCs w:val="20"/>
    </w:rPr>
  </w:style>
  <w:style w:type="character" w:styleId="997">
    <w:name w:val="普通文字1 Char1"/>
    <w:next w:val="997"/>
    <w:link w:val="906"/>
    <w:qFormat/>
    <w:rPr>
      <w:rFonts w:ascii="宋体" w:hAnsi="Courier New" w:eastAsia="宋体"/>
      <w:sz w:val="21"/>
      <w:lang w:val="en-US" w:eastAsia="zh-CN" w:bidi="ar-SA"/>
    </w:rPr>
  </w:style>
  <w:style w:type="character" w:styleId="998">
    <w:name w:val="chanpin1"/>
    <w:next w:val="998"/>
    <w:link w:val="906"/>
    <w:qFormat/>
    <w:rPr>
      <w:rFonts w:ascii="ˎ̥" w:hAnsi="ˎ̥"/>
      <w:color w:val="000000"/>
      <w:sz w:val="20"/>
      <w:szCs w:val="20"/>
      <w:u w:val="none"/>
    </w:rPr>
  </w:style>
  <w:style w:type="character" w:styleId="999">
    <w:name w:val="列出段落 Char1"/>
    <w:next w:val="999"/>
    <w:link w:val="1000"/>
    <w:uiPriority w:val="34"/>
    <w:qFormat/>
    <w:rPr>
      <w:rFonts w:ascii="Calibri" w:hAnsi="Calibri" w:eastAsia="宋体"/>
      <w:sz w:val="21"/>
      <w:szCs w:val="22"/>
      <w:lang w:val="en-US" w:eastAsia="zh-CN" w:bidi="ar-SA"/>
    </w:rPr>
  </w:style>
  <w:style w:type="paragraph" w:styleId="1000">
    <w:name w:val="列出段落"/>
    <w:basedOn w:val="906"/>
    <w:next w:val="1000"/>
    <w:link w:val="999"/>
    <w:uiPriority w:val="99"/>
    <w:qFormat/>
    <w:pPr>
      <w:ind w:firstLine="420"/>
    </w:pPr>
    <w:rPr>
      <w:rFonts w:ascii="Calibri" w:hAnsi="Calibri"/>
      <w:szCs w:val="22"/>
    </w:rPr>
  </w:style>
  <w:style w:type="character" w:styleId="1001">
    <w:name w:val="标题 3 Char Char"/>
    <w:next w:val="1001"/>
    <w:link w:val="906"/>
    <w:qFormat/>
    <w:rPr>
      <w:rFonts w:eastAsia="宋体"/>
      <w:b/>
      <w:bCs/>
      <w:sz w:val="32"/>
      <w:szCs w:val="32"/>
      <w:lang w:val="en-US" w:eastAsia="zh-CN" w:bidi="ar-SA"/>
    </w:rPr>
  </w:style>
  <w:style w:type="character" w:styleId="1002">
    <w:name w:val="段1 Char"/>
    <w:next w:val="1002"/>
    <w:link w:val="906"/>
    <w:qFormat/>
    <w:rPr>
      <w:rFonts w:ascii="宋体" w:eastAsia="宋体"/>
      <w:sz w:val="24"/>
      <w:lang w:val="en-US" w:eastAsia="zh-CN" w:bidi="ar-SA"/>
    </w:rPr>
  </w:style>
  <w:style w:type="character" w:styleId="1003">
    <w:name w:val="chanpin拷贝"/>
    <w:next w:val="1003"/>
    <w:link w:val="906"/>
    <w:qFormat/>
  </w:style>
  <w:style w:type="character" w:styleId="1004">
    <w:name w:val="纯文本 Char1"/>
    <w:next w:val="1004"/>
    <w:link w:val="906"/>
    <w:qFormat/>
    <w:rPr>
      <w:rFonts w:ascii="宋体" w:hAnsi="Courier New" w:eastAsia="宋体"/>
      <w:sz w:val="21"/>
      <w:lang w:val="en-US" w:eastAsia="zh-CN" w:bidi="ar-SA"/>
    </w:rPr>
  </w:style>
  <w:style w:type="character" w:styleId="1005">
    <w:name w:val="apple-style-span"/>
    <w:next w:val="1005"/>
    <w:link w:val="906"/>
    <w:qFormat/>
    <w:rPr>
      <w:rFonts w:cs="Times New Roman"/>
    </w:rPr>
  </w:style>
  <w:style w:type="paragraph" w:styleId="1006">
    <w:name w:val="二级条标题"/>
    <w:basedOn w:val="1007"/>
    <w:next w:val="906"/>
    <w:link w:val="906"/>
    <w:qFormat/>
    <w:pPr>
      <w:numPr>
        <w:ilvl w:val="0"/>
        <w:numId w:val="0"/>
      </w:numPr>
      <w:ind w:hanging="840"/>
      <w:tabs>
        <w:tab w:val="left" w:pos="360" w:leader="none"/>
        <w:tab w:val="left" w:pos="840" w:leader="none"/>
      </w:tabs>
      <w:outlineLvl w:val="2"/>
    </w:pPr>
    <w:rPr>
      <w:rFonts w:ascii="宋体" w:eastAsia="宋体"/>
      <w:b w:val="0"/>
    </w:rPr>
  </w:style>
  <w:style w:type="paragraph" w:styleId="1007">
    <w:name w:val="一级条标题"/>
    <w:basedOn w:val="1008"/>
    <w:next w:val="906"/>
    <w:link w:val="906"/>
    <w:qFormat/>
    <w:pPr>
      <w:numPr>
        <w:ilvl w:val="1"/>
      </w:numPr>
      <w:ind w:left="0" w:hanging="840"/>
      <w:tabs>
        <w:tab w:val="left" w:pos="360" w:leader="none"/>
        <w:tab w:val="left" w:pos="840" w:leader="none"/>
      </w:tabs>
      <w:outlineLvl w:val="1"/>
    </w:pPr>
  </w:style>
  <w:style w:type="paragraph" w:styleId="1008">
    <w:name w:val="章标题"/>
    <w:next w:val="906"/>
    <w:link w:val="90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09">
    <w:name w:val="font7"/>
    <w:basedOn w:val="906"/>
    <w:next w:val="1009"/>
    <w:link w:val="906"/>
    <w:qFormat/>
    <w:pPr>
      <w:jc w:val="left"/>
      <w:spacing w:before="100" w:beforeAutospacing="1" w:after="100" w:afterAutospacing="1"/>
      <w:widowControl/>
    </w:pPr>
    <w:rPr>
      <w:rFonts w:eastAsia="Arial Unicode MS"/>
      <w:b/>
      <w:bCs/>
      <w:color w:val="000000"/>
      <w:sz w:val="20"/>
      <w:szCs w:val="20"/>
    </w:rPr>
  </w:style>
  <w:style w:type="paragraph" w:styleId="1010">
    <w:name w:val="字元 字元"/>
    <w:basedOn w:val="906"/>
    <w:next w:val="1010"/>
    <w:link w:val="906"/>
    <w:qFormat/>
    <w:rPr>
      <w:rFonts w:ascii="Tahoma" w:hAnsi="Tahoma"/>
      <w:sz w:val="24"/>
      <w:szCs w:val="20"/>
    </w:rPr>
  </w:style>
  <w:style w:type="paragraph" w:styleId="1011">
    <w:name w:val="Char3 Char Char Char"/>
    <w:basedOn w:val="906"/>
    <w:next w:val="1011"/>
    <w:link w:val="906"/>
    <w:qFormat/>
    <w:rPr>
      <w:rFonts w:ascii="Tahoma" w:hAnsi="Tahoma"/>
      <w:sz w:val="24"/>
      <w:szCs w:val="20"/>
    </w:rPr>
  </w:style>
  <w:style w:type="paragraph" w:styleId="1012">
    <w:name w:val="font6"/>
    <w:basedOn w:val="906"/>
    <w:next w:val="1012"/>
    <w:link w:val="906"/>
    <w:qFormat/>
    <w:pPr>
      <w:jc w:val="left"/>
      <w:spacing w:before="100" w:beforeAutospacing="1" w:after="100" w:afterAutospacing="1"/>
      <w:widowControl/>
    </w:pPr>
    <w:rPr>
      <w:rFonts w:ascii="宋体" w:hAnsi="宋体" w:cs="宋体"/>
      <w:sz w:val="20"/>
      <w:szCs w:val="20"/>
    </w:rPr>
  </w:style>
  <w:style w:type="paragraph" w:styleId="1013">
    <w:name w:val="项目编号2"/>
    <w:basedOn w:val="1014"/>
    <w:next w:val="1013"/>
    <w:link w:val="906"/>
    <w:qFormat/>
    <w:pPr>
      <w:numPr>
        <w:numId w:val="3"/>
      </w:numPr>
    </w:pPr>
  </w:style>
  <w:style w:type="paragraph" w:styleId="1014">
    <w:name w:val="项目编号1"/>
    <w:basedOn w:val="906"/>
    <w:next w:val="1014"/>
    <w:link w:val="906"/>
    <w:qFormat/>
    <w:pPr>
      <w:numPr>
        <w:ilvl w:val="0"/>
        <w:numId w:val="2"/>
      </w:numPr>
      <w:spacing w:before="100" w:beforeAutospacing="1" w:after="100" w:afterAutospacing="1" w:line="360" w:lineRule="auto"/>
    </w:pPr>
    <w:rPr>
      <w:sz w:val="24"/>
    </w:rPr>
  </w:style>
  <w:style w:type="paragraph" w:styleId="1015">
    <w:name w:val="图中文字"/>
    <w:basedOn w:val="906"/>
    <w:next w:val="1015"/>
    <w:link w:val="906"/>
    <w:qFormat/>
    <w:pPr>
      <w:jc w:val="center"/>
      <w:spacing w:line="0" w:lineRule="atLeast"/>
    </w:pPr>
    <w:rPr>
      <w:sz w:val="24"/>
      <w:szCs w:val="20"/>
    </w:rPr>
  </w:style>
  <w:style w:type="paragraph" w:styleId="1016">
    <w:name w:val="xl46"/>
    <w:basedOn w:val="906"/>
    <w:next w:val="1016"/>
    <w:link w:val="9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xl25"/>
    <w:basedOn w:val="906"/>
    <w:next w:val="1017"/>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Char2"/>
    <w:basedOn w:val="906"/>
    <w:next w:val="1018"/>
    <w:link w:val="906"/>
    <w:qFormat/>
    <w:rPr>
      <w:rFonts w:ascii="Tahoma" w:hAnsi="Tahoma"/>
      <w:sz w:val="24"/>
      <w:szCs w:val="20"/>
    </w:rPr>
  </w:style>
  <w:style w:type="paragraph" w:styleId="1019">
    <w:name w:val="xl35"/>
    <w:basedOn w:val="906"/>
    <w:next w:val="1019"/>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name w:val="xl40"/>
    <w:basedOn w:val="906"/>
    <w:next w:val="1020"/>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52"/>
    <w:basedOn w:val="906"/>
    <w:next w:val="1021"/>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name w:val="xl43"/>
    <w:basedOn w:val="906"/>
    <w:next w:val="1022"/>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name w:val="background1"/>
    <w:basedOn w:val="906"/>
    <w:next w:val="1023"/>
    <w:link w:val="906"/>
    <w:qFormat/>
    <w:pPr>
      <w:jc w:val="left"/>
      <w:spacing w:before="100" w:beforeAutospacing="1" w:after="100" w:afterAutospacing="1"/>
      <w:widowControl/>
    </w:pPr>
    <w:rPr>
      <w:rFonts w:ascii="宋体" w:hAnsi="宋体" w:cs="宋体"/>
      <w:sz w:val="24"/>
    </w:rPr>
  </w:style>
  <w:style w:type="paragraph" w:styleId="1024">
    <w:name w:val="Char Char Char Char Char Char Char"/>
    <w:basedOn w:val="906"/>
    <w:next w:val="1024"/>
    <w:link w:val="906"/>
    <w:qFormat/>
    <w:pPr>
      <w:ind w:firstLine="200"/>
      <w:spacing w:line="360" w:lineRule="auto"/>
    </w:pPr>
    <w:rPr>
      <w:rFonts w:eastAsia="仿宋_GB2312"/>
      <w:sz w:val="24"/>
    </w:rPr>
  </w:style>
  <w:style w:type="paragraph" w:styleId="1025">
    <w:name w:val="xl38"/>
    <w:basedOn w:val="906"/>
    <w:next w:val="1025"/>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name w:val="xl36"/>
    <w:basedOn w:val="906"/>
    <w:next w:val="1026"/>
    <w:link w:val="9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name w:val="正文 + 宋体"/>
    <w:basedOn w:val="906"/>
    <w:next w:val="1027"/>
    <w:link w:val="906"/>
    <w:qFormat/>
    <w:pPr>
      <w:ind w:left="360" w:hanging="360"/>
      <w:jc w:val="left"/>
      <w:widowControl/>
    </w:pPr>
    <w:rPr>
      <w:rFonts w:ascii="宋体" w:hAnsi="宋体" w:cs="宋体"/>
      <w:b/>
      <w:bCs/>
      <w:color w:val="000000"/>
      <w:sz w:val="18"/>
      <w:szCs w:val="18"/>
    </w:rPr>
  </w:style>
  <w:style w:type="paragraph" w:styleId="1028">
    <w:name w:val="正文列项_数字"/>
    <w:basedOn w:val="906"/>
    <w:next w:val="1028"/>
    <w:link w:val="906"/>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name w:val="xl39"/>
    <w:basedOn w:val="906"/>
    <w:next w:val="1029"/>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xl37"/>
    <w:basedOn w:val="906"/>
    <w:next w:val="1030"/>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name w:val="xl32"/>
    <w:basedOn w:val="906"/>
    <w:next w:val="1031"/>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font8"/>
    <w:basedOn w:val="906"/>
    <w:next w:val="1032"/>
    <w:link w:val="906"/>
    <w:qFormat/>
    <w:pPr>
      <w:jc w:val="left"/>
      <w:spacing w:before="100" w:beforeAutospacing="1" w:after="100" w:afterAutospacing="1"/>
      <w:widowControl/>
    </w:pPr>
    <w:rPr>
      <w:sz w:val="36"/>
      <w:szCs w:val="36"/>
    </w:rPr>
  </w:style>
  <w:style w:type="paragraph" w:styleId="1033">
    <w:name w:val="Char"/>
    <w:basedOn w:val="906"/>
    <w:next w:val="1033"/>
    <w:link w:val="906"/>
    <w:qFormat/>
    <w:pPr>
      <w:tabs>
        <w:tab w:val="left" w:pos="360" w:leader="none"/>
      </w:tabs>
    </w:pPr>
    <w:rPr>
      <w:sz w:val="24"/>
    </w:rPr>
  </w:style>
  <w:style w:type="paragraph" w:styleId="1034">
    <w:name w:val="Char Char Char Char Char Char Char Char Char Char Char Char Char Char Char Char"/>
    <w:basedOn w:val="906"/>
    <w:next w:val="1034"/>
    <w:link w:val="906"/>
    <w:qFormat/>
    <w:pPr>
      <w:jc w:val="center"/>
      <w:spacing w:after="160" w:line="240" w:lineRule="exact"/>
      <w:widowControl/>
    </w:pPr>
    <w:rPr>
      <w:rFonts w:ascii="宋体" w:hAnsi="宋体"/>
      <w:b/>
      <w:sz w:val="30"/>
      <w:szCs w:val="30"/>
      <w:lang w:eastAsia="en-US"/>
    </w:rPr>
  </w:style>
  <w:style w:type="paragraph" w:styleId="1035">
    <w:name w:val="xl45"/>
    <w:basedOn w:val="906"/>
    <w:next w:val="1035"/>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Char Char1 Char Char Char Char Char Char"/>
    <w:basedOn w:val="906"/>
    <w:next w:val="1036"/>
    <w:link w:val="906"/>
    <w:qFormat/>
    <w:pPr>
      <w:jc w:val="left"/>
      <w:spacing w:after="160" w:line="240" w:lineRule="exact"/>
      <w:widowControl/>
    </w:pPr>
    <w:rPr>
      <w:rFonts w:ascii="Verdana" w:hAnsi="Verdana" w:eastAsia="仿宋_GB2312"/>
      <w:sz w:val="24"/>
      <w:szCs w:val="20"/>
      <w:lang w:eastAsia="en-US"/>
    </w:rPr>
  </w:style>
  <w:style w:type="paragraph" w:styleId="1037">
    <w:name w:val="Char Char1"/>
    <w:basedOn w:val="931"/>
    <w:next w:val="1037"/>
    <w:link w:val="906"/>
    <w:qFormat/>
    <w:rPr>
      <w:rFonts w:ascii="Tahoma" w:hAnsi="Tahoma"/>
      <w:sz w:val="24"/>
    </w:rPr>
  </w:style>
  <w:style w:type="paragraph" w:styleId="1038">
    <w:name w:val="xl26"/>
    <w:basedOn w:val="906"/>
    <w:next w:val="1038"/>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name w:val="xl30"/>
    <w:basedOn w:val="906"/>
    <w:next w:val="1039"/>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41"/>
    <w:basedOn w:val="906"/>
    <w:next w:val="1040"/>
    <w:link w:val="9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name w:val="样式 宋体 五号 行距: 单倍行距"/>
    <w:basedOn w:val="906"/>
    <w:next w:val="1041"/>
    <w:link w:val="906"/>
    <w:qFormat/>
    <w:pPr>
      <w:jc w:val="left"/>
    </w:pPr>
    <w:rPr>
      <w:rFonts w:ascii="宋体" w:hAnsi="宋体"/>
      <w:szCs w:val="20"/>
    </w:rPr>
  </w:style>
  <w:style w:type="paragraph" w:styleId="1042">
    <w:name w:val="Char1 Char Char Char1"/>
    <w:basedOn w:val="906"/>
    <w:next w:val="1042"/>
    <w:link w:val="906"/>
    <w:qFormat/>
    <w:rPr>
      <w:rFonts w:ascii="Tahoma" w:hAnsi="Tahoma" w:cs="仿宋_GB2312"/>
      <w:sz w:val="24"/>
      <w:szCs w:val="28"/>
    </w:rPr>
  </w:style>
  <w:style w:type="paragraph" w:styleId="1043">
    <w:name w:val="四级条标题"/>
    <w:basedOn w:val="1044"/>
    <w:next w:val="906"/>
    <w:link w:val="906"/>
    <w:qFormat/>
    <w:pPr>
      <w:numPr>
        <w:ilvl w:val="4"/>
      </w:numPr>
      <w:ind w:left="0" w:hanging="840"/>
      <w:tabs>
        <w:tab w:val="left" w:pos="360" w:leader="none"/>
        <w:tab w:val="left" w:pos="840" w:leader="none"/>
      </w:tabs>
      <w:outlineLvl w:val="4"/>
    </w:pPr>
  </w:style>
  <w:style w:type="paragraph" w:styleId="1044">
    <w:name w:val="三级条标题"/>
    <w:basedOn w:val="1006"/>
    <w:next w:val="906"/>
    <w:link w:val="906"/>
    <w:qFormat/>
    <w:pPr>
      <w:numPr>
        <w:ilvl w:val="3"/>
        <w:numId w:val="1"/>
      </w:numPr>
      <w:ind w:left="0" w:hanging="840"/>
      <w:tabs>
        <w:tab w:val="left" w:pos="360" w:leader="none"/>
        <w:tab w:val="left" w:pos="840" w:leader="none"/>
      </w:tabs>
      <w:outlineLvl w:val="3"/>
    </w:pPr>
  </w:style>
  <w:style w:type="paragraph" w:styleId="1045">
    <w:name w:val="??"/>
    <w:next w:val="1045"/>
    <w:link w:val="906"/>
    <w:qFormat/>
    <w:pPr>
      <w:jc w:val="both"/>
      <w:widowControl w:val="off"/>
    </w:pPr>
    <w:rPr>
      <w:sz w:val="21"/>
      <w:lang w:val="en-US" w:eastAsia="en-US" w:bidi="ar-SA"/>
    </w:rPr>
  </w:style>
  <w:style w:type="paragraph" w:styleId="1046">
    <w:name w:val="样式 标题 2 + 宋体 五号 行距: 单倍行距"/>
    <w:basedOn w:val="908"/>
    <w:next w:val="1046"/>
    <w:link w:val="9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7">
    <w:name w:val="List Paragraph1"/>
    <w:basedOn w:val="906"/>
    <w:next w:val="1047"/>
    <w:link w:val="906"/>
    <w:qFormat/>
    <w:pPr>
      <w:ind w:firstLine="420"/>
    </w:pPr>
    <w:rPr>
      <w:rFonts w:ascii="Calibri" w:hAnsi="Calibri"/>
      <w:szCs w:val="22"/>
    </w:rPr>
  </w:style>
  <w:style w:type="paragraph" w:styleId="1048">
    <w:name w:val="项目符号1"/>
    <w:basedOn w:val="1049"/>
    <w:next w:val="1048"/>
    <w:link w:val="906"/>
    <w:qFormat/>
    <w:pPr>
      <w:ind w:left="-25" w:firstLine="0"/>
    </w:pPr>
  </w:style>
  <w:style w:type="paragraph" w:styleId="1049">
    <w:name w:val="正文文本样式"/>
    <w:basedOn w:val="906"/>
    <w:next w:val="1049"/>
    <w:link w:val="906"/>
    <w:qFormat/>
    <w:pPr>
      <w:ind w:firstLine="482"/>
      <w:spacing w:line="360" w:lineRule="auto"/>
    </w:pPr>
    <w:rPr>
      <w:rFonts w:cs="宋体"/>
      <w:sz w:val="24"/>
      <w:szCs w:val="20"/>
    </w:rPr>
  </w:style>
  <w:style w:type="paragraph" w:styleId="1050">
    <w:name w:val="xl27"/>
    <w:basedOn w:val="906"/>
    <w:next w:val="1050"/>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font5"/>
    <w:basedOn w:val="906"/>
    <w:next w:val="1051"/>
    <w:link w:val="906"/>
    <w:qFormat/>
    <w:pPr>
      <w:jc w:val="left"/>
      <w:spacing w:before="100" w:beforeAutospacing="1" w:after="100" w:afterAutospacing="1"/>
      <w:widowControl/>
    </w:pPr>
    <w:rPr>
      <w:rFonts w:ascii="宋体" w:hAnsi="宋体" w:cs="宋体"/>
      <w:sz w:val="18"/>
      <w:szCs w:val="18"/>
    </w:rPr>
  </w:style>
  <w:style w:type="paragraph" w:styleId="1052">
    <w:name w:val="五级条标题"/>
    <w:basedOn w:val="1043"/>
    <w:next w:val="906"/>
    <w:link w:val="906"/>
    <w:qFormat/>
    <w:pPr>
      <w:numPr>
        <w:ilvl w:val="5"/>
      </w:numPr>
      <w:ind w:left="0" w:hanging="840"/>
      <w:tabs>
        <w:tab w:val="left" w:pos="360" w:leader="none"/>
        <w:tab w:val="left" w:pos="840" w:leader="none"/>
      </w:tabs>
      <w:outlineLvl w:val="5"/>
    </w:pPr>
  </w:style>
  <w:style w:type="paragraph" w:styleId="1053">
    <w:name w:val="xl49"/>
    <w:basedOn w:val="906"/>
    <w:next w:val="1053"/>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name w:val="文档正文"/>
    <w:basedOn w:val="906"/>
    <w:next w:val="1054"/>
    <w:link w:val="906"/>
    <w:qFormat/>
    <w:pPr>
      <w:spacing w:before="120" w:after="120" w:line="180" w:lineRule="auto"/>
    </w:pPr>
    <w:rPr>
      <w:rFonts w:ascii="Arial" w:hAnsi="Arial"/>
      <w:szCs w:val="20"/>
    </w:rPr>
  </w:style>
  <w:style w:type="paragraph" w:styleId="1055">
    <w:name w:val="xl33"/>
    <w:basedOn w:val="906"/>
    <w:next w:val="1055"/>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name w:val="xl42"/>
    <w:basedOn w:val="906"/>
    <w:next w:val="1056"/>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name w:val="Char Char Char1 Char"/>
    <w:basedOn w:val="906"/>
    <w:next w:val="1057"/>
    <w:link w:val="906"/>
    <w:qFormat/>
    <w:rPr>
      <w:rFonts w:ascii="Tahoma" w:hAnsi="Tahoma"/>
      <w:sz w:val="24"/>
      <w:szCs w:val="20"/>
    </w:rPr>
  </w:style>
  <w:style w:type="paragraph" w:styleId="1058">
    <w:name w:val="xl44"/>
    <w:basedOn w:val="906"/>
    <w:next w:val="1058"/>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name w:val="1名"/>
    <w:basedOn w:val="906"/>
    <w:next w:val="1059"/>
    <w:link w:val="906"/>
    <w:qFormat/>
    <w:pPr>
      <w:numPr>
        <w:ilvl w:val="0"/>
        <w:numId w:val="5"/>
      </w:numPr>
      <w:spacing w:before="120"/>
      <w:tabs>
        <w:tab w:val="left" w:pos="360" w:leader="none"/>
      </w:tabs>
    </w:pPr>
    <w:rPr>
      <w:rFonts w:ascii="宋体"/>
      <w:sz w:val="28"/>
      <w:szCs w:val="20"/>
    </w:rPr>
  </w:style>
  <w:style w:type="paragraph" w:styleId="1060">
    <w:name w:val="font9"/>
    <w:basedOn w:val="906"/>
    <w:next w:val="1060"/>
    <w:link w:val="906"/>
    <w:qFormat/>
    <w:pPr>
      <w:jc w:val="left"/>
      <w:spacing w:before="100" w:beforeAutospacing="1" w:after="100" w:afterAutospacing="1"/>
      <w:widowControl/>
    </w:pPr>
    <w:rPr>
      <w:rFonts w:hint="eastAsia" w:ascii="宋体" w:hAnsi="宋体" w:cs="Arial Unicode MS"/>
      <w:color w:val="000000"/>
      <w:sz w:val="20"/>
      <w:szCs w:val="20"/>
    </w:rPr>
  </w:style>
  <w:style w:type="paragraph" w:styleId="1061">
    <w:name w:val="Char Char Char1 Char1"/>
    <w:basedOn w:val="906"/>
    <w:next w:val="1061"/>
    <w:link w:val="906"/>
    <w:qFormat/>
    <w:rPr>
      <w:rFonts w:ascii="Tahoma" w:hAnsi="Tahoma"/>
      <w:sz w:val="24"/>
      <w:szCs w:val="20"/>
    </w:rPr>
  </w:style>
  <w:style w:type="paragraph" w:styleId="1062">
    <w:name w:val="Char Char Char Char Char Char Char Char Char Char"/>
    <w:basedOn w:val="906"/>
    <w:next w:val="1062"/>
    <w:link w:val="906"/>
    <w:qFormat/>
  </w:style>
  <w:style w:type="paragraph" w:styleId="1063">
    <w:name w:val="Char Char1 Char Char Char Char Char Char Char Char"/>
    <w:basedOn w:val="906"/>
    <w:next w:val="1063"/>
    <w:link w:val="906"/>
    <w:qFormat/>
    <w:pPr>
      <w:jc w:val="left"/>
      <w:spacing w:after="160" w:line="240" w:lineRule="exact"/>
      <w:widowControl/>
    </w:pPr>
    <w:rPr>
      <w:rFonts w:ascii="Verdana" w:hAnsi="Verdana"/>
      <w:sz w:val="20"/>
      <w:szCs w:val="20"/>
      <w:lang w:eastAsia="en-US"/>
    </w:rPr>
  </w:style>
  <w:style w:type="paragraph" w:styleId="1064">
    <w:name w:val="Char1"/>
    <w:basedOn w:val="906"/>
    <w:next w:val="1064"/>
    <w:link w:val="906"/>
    <w:qFormat/>
    <w:pPr>
      <w:tabs>
        <w:tab w:val="left" w:pos="360" w:leader="none"/>
      </w:tabs>
    </w:pPr>
    <w:rPr>
      <w:sz w:val="24"/>
    </w:rPr>
  </w:style>
  <w:style w:type="paragraph" w:styleId="1065">
    <w:name w:val="正文列项_字母"/>
    <w:basedOn w:val="906"/>
    <w:next w:val="1065"/>
    <w:link w:val="906"/>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name w:val="xl28"/>
    <w:basedOn w:val="906"/>
    <w:next w:val="1066"/>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xl47"/>
    <w:basedOn w:val="906"/>
    <w:next w:val="1067"/>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默认段落字体 Para Char Char Char Char"/>
    <w:basedOn w:val="906"/>
    <w:next w:val="1068"/>
    <w:link w:val="906"/>
    <w:qFormat/>
    <w:rPr>
      <w:rFonts w:ascii="Arial" w:hAnsi="Arial" w:cs="Arial"/>
      <w:szCs w:val="21"/>
    </w:rPr>
  </w:style>
  <w:style w:type="paragraph" w:styleId="1069">
    <w:name w:val="xl48"/>
    <w:basedOn w:val="906"/>
    <w:next w:val="1069"/>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name w:val="xl31"/>
    <w:basedOn w:val="906"/>
    <w:next w:val="1070"/>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name w:val="xl53"/>
    <w:basedOn w:val="906"/>
    <w:next w:val="1071"/>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name w:val="Char Char Char"/>
    <w:basedOn w:val="906"/>
    <w:next w:val="1072"/>
    <w:link w:val="906"/>
    <w:qFormat/>
    <w:rPr>
      <w:rFonts w:ascii="Tahoma" w:hAnsi="Tahoma"/>
      <w:sz w:val="24"/>
      <w:szCs w:val="20"/>
    </w:rPr>
  </w:style>
  <w:style w:type="paragraph" w:styleId="1073">
    <w:name w:val="xl50"/>
    <w:basedOn w:val="906"/>
    <w:next w:val="1073"/>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name w:val="缺省文本"/>
    <w:basedOn w:val="906"/>
    <w:next w:val="1074"/>
    <w:link w:val="906"/>
    <w:qFormat/>
    <w:pPr>
      <w:jc w:val="left"/>
    </w:pPr>
    <w:rPr>
      <w:sz w:val="24"/>
    </w:rPr>
  </w:style>
  <w:style w:type="paragraph" w:styleId="1075">
    <w:name w:val="Char Char Char1"/>
    <w:basedOn w:val="906"/>
    <w:next w:val="1075"/>
    <w:link w:val="906"/>
    <w:qFormat/>
    <w:rPr>
      <w:rFonts w:ascii="Tahoma" w:hAnsi="Tahoma"/>
      <w:sz w:val="24"/>
      <w:szCs w:val="20"/>
    </w:rPr>
  </w:style>
  <w:style w:type="paragraph" w:styleId="1076">
    <w:name w:val="Char Char Char Char Char Char Char1"/>
    <w:basedOn w:val="906"/>
    <w:next w:val="1076"/>
    <w:link w:val="906"/>
    <w:qFormat/>
    <w:pPr>
      <w:ind w:firstLine="200"/>
      <w:spacing w:line="360" w:lineRule="auto"/>
    </w:pPr>
    <w:rPr>
      <w:rFonts w:eastAsia="仿宋_GB2312"/>
      <w:sz w:val="24"/>
    </w:rPr>
  </w:style>
  <w:style w:type="paragraph" w:styleId="1077">
    <w:name w:val="xl51"/>
    <w:basedOn w:val="906"/>
    <w:next w:val="1077"/>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样式2"/>
    <w:basedOn w:val="968"/>
    <w:next w:val="1078"/>
    <w:link w:val="906"/>
    <w:qFormat/>
    <w:pPr>
      <w:jc w:val="center"/>
      <w:spacing w:line="360" w:lineRule="auto"/>
    </w:pPr>
    <w:rPr>
      <w:sz w:val="24"/>
    </w:rPr>
  </w:style>
  <w:style w:type="paragraph" w:styleId="1079">
    <w:name w:val="xl24"/>
    <w:basedOn w:val="906"/>
    <w:next w:val="1079"/>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xl29"/>
    <w:basedOn w:val="906"/>
    <w:next w:val="1080"/>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name w:val="正文 + 楷体_GB2312"/>
    <w:basedOn w:val="906"/>
    <w:next w:val="1081"/>
    <w:link w:val="906"/>
    <w:qFormat/>
    <w:pPr>
      <w:jc w:val="left"/>
      <w:widowControl/>
    </w:pPr>
    <w:rPr>
      <w:rFonts w:ascii="楷体_GB2312" w:eastAsia="楷体_GB2312" w:cs="Arial"/>
      <w:sz w:val="24"/>
    </w:rPr>
  </w:style>
  <w:style w:type="paragraph" w:styleId="1082">
    <w:name w:val="xl34"/>
    <w:basedOn w:val="906"/>
    <w:next w:val="1082"/>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name w:val="1 Char Char Char Char"/>
    <w:basedOn w:val="906"/>
    <w:next w:val="1083"/>
    <w:link w:val="906"/>
    <w:qFormat/>
    <w:rPr>
      <w:rFonts w:ascii="Tahoma" w:hAnsi="Tahoma"/>
      <w:sz w:val="24"/>
      <w:szCs w:val="20"/>
    </w:rPr>
  </w:style>
  <w:style w:type="paragraph" w:styleId="1084">
    <w:name w:val="Default"/>
    <w:next w:val="1084"/>
    <w:link w:val="906"/>
    <w:qFormat/>
    <w:pPr>
      <w:widowControl w:val="off"/>
    </w:pPr>
    <w:rPr>
      <w:rFonts w:ascii="Symbol" w:hAnsi="Symbol" w:cs="Symbol"/>
      <w:color w:val="000000"/>
      <w:sz w:val="24"/>
      <w:szCs w:val="24"/>
      <w:lang w:val="en-US" w:eastAsia="zh-CN" w:bidi="ar-SA"/>
    </w:rPr>
  </w:style>
  <w:style w:type="paragraph" w:styleId="1085">
    <w:name w:val="列出段落1"/>
    <w:basedOn w:val="906"/>
    <w:next w:val="1085"/>
    <w:link w:val="906"/>
    <w:qFormat/>
    <w:pPr>
      <w:ind w:firstLine="420"/>
    </w:pPr>
    <w:rPr>
      <w:rFonts w:ascii="Calibri" w:hAnsi="Calibri"/>
      <w:szCs w:val="22"/>
    </w:rPr>
  </w:style>
  <w:style w:type="paragraph" w:styleId="1086">
    <w:name w:val="default"/>
    <w:basedOn w:val="906"/>
    <w:next w:val="1086"/>
    <w:link w:val="906"/>
    <w:qFormat/>
    <w:pPr>
      <w:jc w:val="left"/>
      <w:spacing w:before="100" w:beforeAutospacing="1" w:after="100" w:afterAutospacing="1"/>
      <w:widowControl/>
    </w:pPr>
    <w:rPr>
      <w:rFonts w:ascii="宋体" w:hAnsi="宋体" w:cs="宋体"/>
      <w:sz w:val="24"/>
    </w:rPr>
  </w:style>
  <w:style w:type="paragraph" w:styleId="1087">
    <w:name w:val="字元 字元1"/>
    <w:basedOn w:val="906"/>
    <w:next w:val="1087"/>
    <w:link w:val="906"/>
    <w:qFormat/>
    <w:rPr>
      <w:rFonts w:ascii="Tahoma" w:hAnsi="Tahoma"/>
      <w:sz w:val="24"/>
      <w:szCs w:val="20"/>
    </w:rPr>
  </w:style>
  <w:style w:type="paragraph" w:styleId="1088">
    <w:name w:val="_Style 160"/>
    <w:next w:val="1088"/>
    <w:link w:val="906"/>
    <w:qFormat/>
    <w:rPr>
      <w:sz w:val="21"/>
      <w:szCs w:val="24"/>
      <w:lang w:val="en-US" w:eastAsia="zh-CN" w:bidi="ar-SA"/>
    </w:rPr>
  </w:style>
  <w:style w:type="paragraph" w:styleId="1089">
    <w:name w:val="项目编号3"/>
    <w:basedOn w:val="1049"/>
    <w:next w:val="1089"/>
    <w:link w:val="906"/>
    <w:qFormat/>
    <w:pPr>
      <w:numPr>
        <w:ilvl w:val="0"/>
        <w:numId w:val="6"/>
      </w:numPr>
    </w:pPr>
  </w:style>
  <w:style w:type="paragraph" w:styleId="1090">
    <w:name w:val="Char21"/>
    <w:basedOn w:val="906"/>
    <w:next w:val="1090"/>
    <w:link w:val="906"/>
    <w:qFormat/>
    <w:rPr>
      <w:rFonts w:ascii="Tahoma" w:hAnsi="Tahoma"/>
      <w:sz w:val="24"/>
      <w:szCs w:val="20"/>
    </w:rPr>
  </w:style>
  <w:style w:type="paragraph" w:styleId="1091">
    <w:name w:val="表格文字"/>
    <w:basedOn w:val="939"/>
    <w:next w:val="1091"/>
    <w:link w:val="906"/>
    <w:qFormat/>
    <w:pPr>
      <w:ind w:firstLine="0"/>
      <w:spacing w:before="20" w:after="20" w:line="240" w:lineRule="auto"/>
    </w:pPr>
    <w:rPr>
      <w:rFonts w:ascii="Century Gothic" w:hAnsi="Century Gothic"/>
      <w:sz w:val="20"/>
      <w:szCs w:val="20"/>
    </w:rPr>
  </w:style>
  <w:style w:type="paragraph" w:styleId="1092">
    <w:name w:val="Char Char Char Char Char Char Char Char Char Char1"/>
    <w:basedOn w:val="906"/>
    <w:next w:val="1092"/>
    <w:link w:val="906"/>
    <w:qFormat/>
    <w:rPr>
      <w:rFonts w:ascii="宋体" w:hAnsi="宋体" w:cs="Courier New"/>
      <w:sz w:val="32"/>
      <w:szCs w:val="32"/>
    </w:rPr>
  </w:style>
  <w:style w:type="paragraph" w:styleId="1093">
    <w:name w:val="正文文本样式 加粗"/>
    <w:basedOn w:val="1049"/>
    <w:next w:val="1093"/>
    <w:link w:val="906"/>
    <w:qFormat/>
    <w:rPr>
      <w:b/>
    </w:rPr>
  </w:style>
  <w:style w:type="paragraph" w:styleId="1094">
    <w:name w:val="Char2 Char Char Char Char Char Char"/>
    <w:basedOn w:val="906"/>
    <w:next w:val="1094"/>
    <w:link w:val="906"/>
    <w:qFormat/>
    <w:pPr>
      <w:jc w:val="center"/>
      <w:spacing w:line="400" w:lineRule="exact"/>
      <w:widowControl/>
    </w:pPr>
  </w:style>
  <w:style w:type="paragraph" w:styleId="1095">
    <w:name w:val="Char Char4"/>
    <w:basedOn w:val="906"/>
    <w:next w:val="1095"/>
    <w:link w:val="906"/>
    <w:qFormat/>
    <w:pPr>
      <w:jc w:val="center"/>
      <w:spacing w:line="400" w:lineRule="exact"/>
      <w:widowControl/>
    </w:pPr>
  </w:style>
  <w:style w:type="paragraph" w:styleId="1096">
    <w:name w:val="Char3 Char Char Char1"/>
    <w:basedOn w:val="906"/>
    <w:next w:val="1096"/>
    <w:link w:val="906"/>
    <w:qFormat/>
    <w:rPr>
      <w:rFonts w:ascii="Tahoma" w:hAnsi="Tahoma"/>
      <w:sz w:val="24"/>
      <w:szCs w:val="20"/>
    </w:rPr>
  </w:style>
  <w:style w:type="paragraph" w:styleId="1097">
    <w:name w:val="无间隔"/>
    <w:next w:val="1097"/>
    <w:link w:val="906"/>
    <w:qFormat/>
    <w:pPr>
      <w:jc w:val="both"/>
      <w:widowControl w:val="off"/>
    </w:pPr>
    <w:rPr>
      <w:sz w:val="21"/>
      <w:szCs w:val="24"/>
      <w:lang w:val="en-US" w:eastAsia="zh-CN" w:bidi="ar-SA"/>
    </w:rPr>
  </w:style>
  <w:style w:type="paragraph" w:styleId="1098">
    <w:name w:val="22222222222222"/>
    <w:basedOn w:val="906"/>
    <w:next w:val="1098"/>
    <w:link w:val="906"/>
    <w:qFormat/>
    <w:pPr>
      <w:ind w:firstLine="480"/>
      <w:jc w:val="left"/>
      <w:spacing w:line="360" w:lineRule="auto"/>
      <w:widowControl/>
    </w:pPr>
    <w:rPr>
      <w:color w:val="ff0000"/>
      <w:sz w:val="24"/>
      <w:szCs w:val="20"/>
    </w:rPr>
  </w:style>
  <w:style w:type="character" w:styleId="1099">
    <w:name w:val="中等深浅网格 1 - 强调文字颜色 2 Char"/>
    <w:next w:val="1099"/>
    <w:link w:val="1100"/>
    <w:qFormat/>
    <w:rPr>
      <w:sz w:val="21"/>
      <w:szCs w:val="24"/>
      <w:lang w:val="zh-CN" w:eastAsia="zh-CN" w:bidi="ar-SA"/>
    </w:rPr>
  </w:style>
  <w:style w:type="paragraph" w:styleId="1100">
    <w:name w:val="1"/>
    <w:next w:val="1100"/>
    <w:link w:val="1099"/>
    <w:qFormat/>
    <w:rPr>
      <w:sz w:val="21"/>
      <w:szCs w:val="24"/>
      <w:lang w:val="zh-CN" w:eastAsia="zh-CN" w:bidi="ar-SA"/>
    </w:rPr>
  </w:style>
  <w:style w:type="paragraph" w:styleId="1101">
    <w:name w:val="图文"/>
    <w:basedOn w:val="906"/>
    <w:next w:val="1101"/>
    <w:link w:val="906"/>
    <w:qFormat/>
    <w:pPr>
      <w:spacing w:after="50" w:line="360" w:lineRule="auto"/>
    </w:pPr>
    <w:rPr>
      <w:sz w:val="24"/>
    </w:rPr>
  </w:style>
  <w:style w:type="paragraph" w:styleId="1102">
    <w:name w:val="xl23"/>
    <w:basedOn w:val="906"/>
    <w:next w:val="1102"/>
    <w:link w:val="906"/>
    <w:qFormat/>
    <w:pPr>
      <w:spacing w:before="100" w:beforeAutospacing="1" w:after="100" w:afterAutospacing="1" w:line="360" w:lineRule="auto"/>
      <w:widowControl/>
    </w:pPr>
    <w:rPr>
      <w:sz w:val="24"/>
      <w:szCs w:val="20"/>
    </w:rPr>
  </w:style>
  <w:style w:type="paragraph" w:styleId="1103">
    <w:name w:val="正文表格"/>
    <w:basedOn w:val="906"/>
    <w:next w:val="1103"/>
    <w:link w:val="1104"/>
    <w:qFormat/>
    <w:pPr>
      <w:jc w:val="left"/>
    </w:pPr>
    <w:rPr>
      <w:rFonts w:ascii="宋体" w:hAnsi="宋体"/>
      <w:color w:val="000000"/>
      <w:szCs w:val="21"/>
    </w:rPr>
  </w:style>
  <w:style w:type="character" w:styleId="1104">
    <w:name w:val="正文表格 Char"/>
    <w:next w:val="1104"/>
    <w:link w:val="1103"/>
    <w:qFormat/>
    <w:rPr>
      <w:rFonts w:ascii="宋体" w:hAnsi="宋体"/>
      <w:color w:val="000000"/>
      <w:sz w:val="21"/>
      <w:szCs w:val="21"/>
    </w:rPr>
  </w:style>
  <w:style w:type="paragraph" w:styleId="1105">
    <w:name w:val="正文重点"/>
    <w:basedOn w:val="906"/>
    <w:next w:val="1105"/>
    <w:link w:val="1106"/>
    <w:qFormat/>
    <w:pPr>
      <w:ind w:firstLine="482"/>
      <w:jc w:val="left"/>
      <w:spacing w:line="360" w:lineRule="auto"/>
    </w:pPr>
    <w:rPr>
      <w:b/>
      <w:sz w:val="24"/>
      <w:szCs w:val="20"/>
    </w:rPr>
  </w:style>
  <w:style w:type="character" w:styleId="1106">
    <w:name w:val="正文重点 Char"/>
    <w:next w:val="1106"/>
    <w:link w:val="1105"/>
    <w:qFormat/>
    <w:rPr>
      <w:b/>
      <w:sz w:val="24"/>
    </w:rPr>
  </w:style>
  <w:style w:type="paragraph" w:styleId="1107">
    <w:name w:val="标题1-附件"/>
    <w:basedOn w:val="907"/>
    <w:next w:val="1107"/>
    <w:link w:val="906"/>
    <w:qFormat/>
    <w:pPr>
      <w:jc w:val="left"/>
    </w:pPr>
    <w:rPr>
      <w:sz w:val="24"/>
      <w:szCs w:val="24"/>
    </w:rPr>
  </w:style>
  <w:style w:type="paragraph" w:styleId="1108">
    <w:name w:val="正文小标题"/>
    <w:basedOn w:val="906"/>
    <w:next w:val="920"/>
    <w:link w:val="1109"/>
    <w:qFormat/>
    <w:pPr>
      <w:ind w:firstLine="482"/>
      <w:jc w:val="left"/>
      <w:spacing w:before="312" w:after="312"/>
    </w:pPr>
    <w:rPr>
      <w:rFonts w:ascii="宋体" w:hAnsi="宋体"/>
      <w:b/>
      <w:i/>
      <w:color w:val="ff0000"/>
      <w:sz w:val="24"/>
      <w:szCs w:val="20"/>
    </w:rPr>
  </w:style>
  <w:style w:type="character" w:styleId="1109">
    <w:name w:val="正文小标题 Char"/>
    <w:next w:val="1109"/>
    <w:link w:val="1108"/>
    <w:qFormat/>
    <w:rPr>
      <w:rFonts w:ascii="宋体" w:hAnsi="宋体"/>
      <w:b/>
      <w:i/>
      <w:color w:val="ff0000"/>
      <w:sz w:val="24"/>
    </w:rPr>
  </w:style>
  <w:style w:type="paragraph" w:styleId="1110">
    <w:name w:val="正文大标题"/>
    <w:basedOn w:val="1108"/>
    <w:next w:val="920"/>
    <w:link w:val="1111"/>
    <w:qFormat/>
    <w:pPr>
      <w:jc w:val="center"/>
    </w:pPr>
    <w:rPr>
      <w:i w:val="0"/>
      <w:color w:val="000000"/>
      <w:sz w:val="28"/>
      <w:szCs w:val="21"/>
    </w:rPr>
  </w:style>
  <w:style w:type="character" w:styleId="1111">
    <w:name w:val="正文大标题 Char"/>
    <w:next w:val="1111"/>
    <w:link w:val="1110"/>
    <w:qFormat/>
    <w:rPr>
      <w:rFonts w:ascii="宋体" w:hAnsi="宋体"/>
      <w:b/>
      <w:color w:val="000000"/>
      <w:sz w:val="28"/>
      <w:szCs w:val="21"/>
    </w:rPr>
  </w:style>
  <w:style w:type="paragraph" w:styleId="1112">
    <w:name w:val="注释"/>
    <w:basedOn w:val="906"/>
    <w:next w:val="1112"/>
    <w:link w:val="1113"/>
    <w:qFormat/>
    <w:pPr>
      <w:ind w:left="420" w:hanging="420"/>
      <w:jc w:val="left"/>
    </w:pPr>
    <w:rPr>
      <w:rFonts w:ascii="宋体" w:hAnsi="宋体"/>
      <w:szCs w:val="21"/>
    </w:rPr>
  </w:style>
  <w:style w:type="character" w:styleId="1113">
    <w:name w:val="注释 Char"/>
    <w:next w:val="1113"/>
    <w:link w:val="1112"/>
    <w:qFormat/>
    <w:rPr>
      <w:rFonts w:ascii="宋体" w:hAnsi="宋体"/>
      <w:sz w:val="21"/>
      <w:szCs w:val="21"/>
    </w:rPr>
  </w:style>
  <w:style w:type="paragraph" w:styleId="1114">
    <w:name w:val="正文须知-1级"/>
    <w:basedOn w:val="906"/>
    <w:next w:val="906"/>
    <w:link w:val="906"/>
    <w:qFormat/>
    <w:pPr>
      <w:numPr>
        <w:ilvl w:val="0"/>
        <w:numId w:val="7"/>
      </w:numPr>
      <w:spacing w:line="300" w:lineRule="auto"/>
    </w:pPr>
    <w:rPr>
      <w:rFonts w:ascii="宋体" w:hAnsi="Calibri"/>
      <w:sz w:val="24"/>
      <w:szCs w:val="21"/>
    </w:rPr>
  </w:style>
  <w:style w:type="paragraph" w:styleId="1115">
    <w:name w:val="正文须知-2级"/>
    <w:basedOn w:val="906"/>
    <w:next w:val="1115"/>
    <w:link w:val="906"/>
    <w:qFormat/>
    <w:pPr>
      <w:numPr>
        <w:ilvl w:val="1"/>
        <w:numId w:val="7"/>
      </w:numPr>
      <w:spacing w:line="300" w:lineRule="auto"/>
    </w:pPr>
    <w:rPr>
      <w:rFonts w:ascii="宋体" w:hAnsi="Calibri"/>
      <w:sz w:val="24"/>
      <w:szCs w:val="21"/>
    </w:rPr>
  </w:style>
  <w:style w:type="paragraph" w:styleId="1116">
    <w:name w:val="正文须知-3级"/>
    <w:basedOn w:val="906"/>
    <w:next w:val="1116"/>
    <w:link w:val="906"/>
    <w:qFormat/>
    <w:pPr>
      <w:numPr>
        <w:ilvl w:val="2"/>
        <w:numId w:val="7"/>
      </w:numPr>
      <w:ind w:hanging="355"/>
      <w:spacing w:line="300" w:lineRule="auto"/>
    </w:pPr>
    <w:rPr>
      <w:rFonts w:ascii="宋体" w:hAnsi="Calibri"/>
      <w:sz w:val="24"/>
      <w:szCs w:val="21"/>
    </w:rPr>
  </w:style>
  <w:style w:type="character" w:styleId="1117">
    <w:name w:val="纯文本 字符"/>
    <w:next w:val="1117"/>
    <w:link w:val="906"/>
    <w:uiPriority w:val="99"/>
    <w:qFormat/>
    <w:rPr>
      <w:rFonts w:ascii="宋体" w:hAnsi="Courier New" w:eastAsia="宋体" w:cs="Times New Roman"/>
      <w:sz w:val="21"/>
      <w:szCs w:val="21"/>
      <w:lang w:val="en-US" w:eastAsia="zh-CN" w:bidi="ar-SA"/>
    </w:rPr>
  </w:style>
  <w:style w:type="paragraph" w:styleId="1118">
    <w:name w:val="表格1"/>
    <w:basedOn w:val="906"/>
    <w:next w:val="1118"/>
    <w:link w:val="906"/>
    <w:qFormat/>
    <w:pPr>
      <w:ind w:firstLine="480"/>
      <w:jc w:val="center"/>
    </w:pPr>
    <w:rPr>
      <w:sz w:val="24"/>
      <w:szCs w:val="20"/>
    </w:rPr>
  </w:style>
  <w:style w:type="character" w:styleId="1119">
    <w:name w:val="纯文本 字符1"/>
    <w:next w:val="1119"/>
    <w:link w:val="906"/>
    <w:qFormat/>
    <w:rPr>
      <w:rFonts w:ascii="宋体" w:hAnsi="Courier New"/>
    </w:rPr>
  </w:style>
  <w:style w:type="character" w:styleId="1120">
    <w:name w:val="bjh-p"/>
    <w:next w:val="1120"/>
    <w:link w:val="906"/>
    <w:qFormat/>
  </w:style>
  <w:style w:type="paragraph" w:styleId="1121">
    <w:name w:val="无标题条"/>
    <w:next w:val="906"/>
    <w:link w:val="906"/>
    <w:qFormat/>
    <w:pPr>
      <w:jc w:val="both"/>
    </w:pPr>
    <w:rPr>
      <w:sz w:val="21"/>
      <w:lang w:val="en-US" w:eastAsia="zh-CN" w:bidi="ar-SA"/>
    </w:rPr>
  </w:style>
  <w:style w:type="character" w:styleId="1122">
    <w:name w:val="正文格式 Char"/>
    <w:next w:val="1122"/>
    <w:link w:val="1123"/>
    <w:qFormat/>
    <w:rPr>
      <w:rFonts w:ascii="宋体" w:hAnsi="宋体"/>
      <w:sz w:val="24"/>
      <w:szCs w:val="24"/>
      <w:lang w:val="en-GB"/>
    </w:rPr>
  </w:style>
  <w:style w:type="paragraph" w:styleId="1123">
    <w:name w:val="正文格式"/>
    <w:basedOn w:val="906"/>
    <w:next w:val="1123"/>
    <w:link w:val="1122"/>
    <w:qFormat/>
    <w:pPr>
      <w:ind w:firstLine="480"/>
      <w:spacing w:line="360" w:lineRule="auto"/>
    </w:pPr>
    <w:rPr>
      <w:rFonts w:ascii="宋体" w:hAnsi="宋体"/>
      <w:sz w:val="24"/>
      <w:lang w:val="en-GB"/>
    </w:rPr>
  </w:style>
  <w:style w:type="character" w:styleId="1124">
    <w:name w:val="标题 3 Char"/>
    <w:next w:val="1124"/>
    <w:link w:val="906"/>
    <w:qFormat/>
    <w:rPr>
      <w:rFonts w:ascii="宋体" w:eastAsia="宋体"/>
      <w:b/>
      <w:sz w:val="24"/>
      <w:u w:val="single"/>
      <w:lang w:val="en-US" w:eastAsia="zh-CN" w:bidi="ar-SA"/>
    </w:rPr>
  </w:style>
  <w:style w:type="character" w:styleId="1125">
    <w:name w:val="正文缩进 Char"/>
    <w:next w:val="1125"/>
    <w:link w:val="906"/>
    <w:qFormat/>
    <w:rPr>
      <w:rFonts w:ascii="宋体" w:eastAsia="宋体"/>
      <w:sz w:val="24"/>
      <w:szCs w:val="24"/>
      <w:lang w:val="en-US" w:eastAsia="zh-CN" w:bidi="ar-SA"/>
    </w:rPr>
  </w:style>
  <w:style w:type="character" w:styleId="1126">
    <w:name w:val="Char Char111"/>
    <w:next w:val="1126"/>
    <w:link w:val="906"/>
    <w:qFormat/>
    <w:rPr>
      <w:rFonts w:ascii="宋体" w:eastAsia="宋体"/>
      <w:b/>
      <w:sz w:val="24"/>
      <w:u w:val="single"/>
      <w:lang w:val="en-US" w:eastAsia="zh-CN" w:bidi="ar-SA"/>
    </w:rPr>
  </w:style>
  <w:style w:type="character" w:styleId="1127">
    <w:name w:val="正文文本缩进 Char"/>
    <w:next w:val="1127"/>
    <w:link w:val="906"/>
    <w:qFormat/>
    <w:rPr>
      <w:rFonts w:eastAsia="宋体"/>
      <w:sz w:val="24"/>
      <w:szCs w:val="24"/>
      <w:lang w:val="en-US" w:eastAsia="zh-CN" w:bidi="ar-SA"/>
    </w:rPr>
  </w:style>
  <w:style w:type="character" w:styleId="1128">
    <w:name w:val="列出段落 Char"/>
    <w:next w:val="1128"/>
    <w:link w:val="906"/>
    <w:qFormat/>
    <w:rPr>
      <w:rFonts w:ascii="Calibri" w:hAnsi="Calibri" w:eastAsia="宋体"/>
      <w:sz w:val="21"/>
      <w:szCs w:val="22"/>
      <w:lang w:val="en-US" w:eastAsia="zh-CN" w:bidi="ar-SA"/>
    </w:rPr>
  </w:style>
  <w:style w:type="character" w:styleId="1129">
    <w:name w:val="页眉 Char"/>
    <w:next w:val="1129"/>
    <w:link w:val="906"/>
    <w:qFormat/>
    <w:rPr>
      <w:rFonts w:eastAsia="宋体"/>
      <w:sz w:val="18"/>
      <w:szCs w:val="18"/>
      <w:lang w:val="en-US" w:eastAsia="zh-CN" w:bidi="ar-SA"/>
    </w:rPr>
  </w:style>
  <w:style w:type="character" w:styleId="1130">
    <w:name w:val="标题 2 Char"/>
    <w:next w:val="1130"/>
    <w:link w:val="906"/>
    <w:qFormat/>
    <w:rPr>
      <w:rFonts w:ascii="Arial" w:hAnsi="Arial" w:eastAsia="黑体"/>
      <w:b/>
      <w:sz w:val="30"/>
      <w:lang w:val="en-US" w:eastAsia="zh-CN" w:bidi="ar-SA"/>
    </w:rPr>
  </w:style>
  <w:style w:type="paragraph" w:styleId="1131">
    <w:name w:val="字元 字元2"/>
    <w:basedOn w:val="906"/>
    <w:next w:val="1131"/>
    <w:link w:val="906"/>
    <w:qFormat/>
    <w:rPr>
      <w:rFonts w:ascii="Tahoma" w:hAnsi="Tahoma"/>
      <w:sz w:val="24"/>
      <w:szCs w:val="20"/>
    </w:rPr>
  </w:style>
  <w:style w:type="paragraph" w:styleId="1132">
    <w:name w:val="Char3 Char Char Char2"/>
    <w:basedOn w:val="906"/>
    <w:next w:val="1132"/>
    <w:link w:val="906"/>
    <w:qFormat/>
    <w:rPr>
      <w:rFonts w:ascii="Tahoma" w:hAnsi="Tahoma"/>
      <w:sz w:val="24"/>
      <w:szCs w:val="20"/>
    </w:rPr>
  </w:style>
  <w:style w:type="paragraph" w:styleId="1133">
    <w:name w:val="正文文本缩进2"/>
    <w:basedOn w:val="906"/>
    <w:next w:val="1133"/>
    <w:link w:val="906"/>
    <w:qFormat/>
    <w:pPr>
      <w:ind w:firstLine="480"/>
      <w:spacing w:line="480" w:lineRule="exact"/>
    </w:pPr>
    <w:rPr>
      <w:rFonts w:ascii="宋体" w:hAnsi="宋体"/>
      <w:sz w:val="24"/>
      <w:lang w:val="zh-CN" w:eastAsia="zh-CN"/>
    </w:rPr>
  </w:style>
  <w:style w:type="paragraph" w:styleId="1134">
    <w:name w:val="Char3"/>
    <w:basedOn w:val="906"/>
    <w:next w:val="1134"/>
    <w:link w:val="906"/>
    <w:qFormat/>
    <w:pPr>
      <w:tabs>
        <w:tab w:val="left" w:pos="360" w:leader="none"/>
      </w:tabs>
    </w:pPr>
    <w:rPr>
      <w:sz w:val="24"/>
    </w:rPr>
  </w:style>
  <w:style w:type="paragraph" w:styleId="1135">
    <w:name w:val="Char Char Char Char Char Char Char Char Char Char Char Char Char Char Char Char1"/>
    <w:basedOn w:val="906"/>
    <w:next w:val="1135"/>
    <w:link w:val="906"/>
    <w:qFormat/>
    <w:pPr>
      <w:jc w:val="center"/>
      <w:spacing w:after="160" w:line="240" w:lineRule="exact"/>
      <w:widowControl/>
    </w:pPr>
    <w:rPr>
      <w:rFonts w:ascii="宋体" w:hAnsi="宋体"/>
      <w:b/>
      <w:sz w:val="30"/>
      <w:szCs w:val="30"/>
      <w:lang w:eastAsia="en-US"/>
    </w:rPr>
  </w:style>
  <w:style w:type="paragraph" w:styleId="1136">
    <w:name w:val="Char Char1 Char Char Char Char Char Char1"/>
    <w:basedOn w:val="906"/>
    <w:next w:val="1136"/>
    <w:link w:val="906"/>
    <w:qFormat/>
    <w:pPr>
      <w:jc w:val="left"/>
      <w:spacing w:after="160" w:line="240" w:lineRule="exact"/>
      <w:widowControl/>
    </w:pPr>
    <w:rPr>
      <w:rFonts w:ascii="Verdana" w:hAnsi="Verdana" w:eastAsia="仿宋_GB2312"/>
      <w:sz w:val="24"/>
      <w:szCs w:val="20"/>
      <w:lang w:eastAsia="en-US"/>
    </w:rPr>
  </w:style>
  <w:style w:type="paragraph" w:styleId="1137">
    <w:name w:val="列出段落2"/>
    <w:basedOn w:val="906"/>
    <w:next w:val="1137"/>
    <w:link w:val="906"/>
    <w:qFormat/>
    <w:pPr>
      <w:ind w:firstLine="420"/>
    </w:pPr>
    <w:rPr>
      <w:rFonts w:ascii="Calibri" w:hAnsi="Calibri"/>
      <w:szCs w:val="22"/>
    </w:rPr>
  </w:style>
  <w:style w:type="paragraph" w:styleId="1138">
    <w:name w:val="Char Char Char1 Char2"/>
    <w:basedOn w:val="906"/>
    <w:next w:val="1138"/>
    <w:link w:val="906"/>
    <w:qFormat/>
    <w:rPr>
      <w:rFonts w:ascii="Tahoma" w:hAnsi="Tahoma"/>
      <w:sz w:val="24"/>
      <w:szCs w:val="20"/>
    </w:rPr>
  </w:style>
  <w:style w:type="paragraph" w:styleId="1139">
    <w:name w:val="Char Char Char2"/>
    <w:basedOn w:val="906"/>
    <w:next w:val="1139"/>
    <w:link w:val="906"/>
    <w:qFormat/>
    <w:rPr>
      <w:rFonts w:ascii="Tahoma" w:hAnsi="Tahoma"/>
      <w:sz w:val="24"/>
      <w:szCs w:val="20"/>
    </w:rPr>
  </w:style>
  <w:style w:type="paragraph" w:styleId="1140">
    <w:name w:val="Char Char Char Char Char Char Char2"/>
    <w:basedOn w:val="906"/>
    <w:next w:val="1140"/>
    <w:link w:val="906"/>
    <w:qFormat/>
    <w:pPr>
      <w:ind w:firstLine="200"/>
      <w:spacing w:line="360" w:lineRule="auto"/>
    </w:pPr>
    <w:rPr>
      <w:rFonts w:eastAsia="仿宋_GB2312"/>
      <w:sz w:val="24"/>
    </w:rPr>
  </w:style>
  <w:style w:type="paragraph" w:styleId="1141">
    <w:name w:val="正文缩进2"/>
    <w:basedOn w:val="906"/>
    <w:next w:val="1141"/>
    <w:link w:val="906"/>
    <w:qFormat/>
    <w:pPr>
      <w:ind w:firstLine="567"/>
      <w:spacing w:line="480" w:lineRule="exact"/>
      <w:widowControl/>
    </w:pPr>
    <w:rPr>
      <w:rFonts w:ascii="宋体"/>
      <w:color w:val="000000"/>
      <w:sz w:val="28"/>
      <w:szCs w:val="20"/>
      <w:lang w:val="zh-CN" w:eastAsia="zh-CN"/>
    </w:rPr>
  </w:style>
  <w:style w:type="paragraph" w:styleId="1142">
    <w:name w:val="Revision"/>
    <w:next w:val="1142"/>
    <w:link w:val="906"/>
    <w:qFormat/>
    <w:rPr>
      <w:sz w:val="21"/>
      <w:szCs w:val="24"/>
      <w:lang w:val="en-US" w:eastAsia="zh-CN" w:bidi="ar-SA"/>
    </w:rPr>
  </w:style>
  <w:style w:type="paragraph" w:styleId="1143">
    <w:name w:val="Char22"/>
    <w:basedOn w:val="906"/>
    <w:next w:val="1143"/>
    <w:link w:val="906"/>
    <w:qFormat/>
    <w:rPr>
      <w:rFonts w:ascii="Tahoma" w:hAnsi="Tahoma"/>
      <w:sz w:val="24"/>
      <w:szCs w:val="20"/>
    </w:rPr>
  </w:style>
  <w:style w:type="paragraph" w:styleId="1144">
    <w:name w:val="Char Char Char Char Char Char Char Char Char Char2"/>
    <w:basedOn w:val="906"/>
    <w:next w:val="1144"/>
    <w:link w:val="906"/>
    <w:qFormat/>
    <w:rPr>
      <w:rFonts w:ascii="宋体" w:hAnsi="宋体" w:cs="Courier New"/>
      <w:sz w:val="32"/>
      <w:szCs w:val="32"/>
    </w:rPr>
  </w:style>
  <w:style w:type="paragraph" w:styleId="1145">
    <w:name w:val="Char2 Char Char Char Char Char Char1"/>
    <w:basedOn w:val="906"/>
    <w:next w:val="1145"/>
    <w:link w:val="906"/>
    <w:qFormat/>
    <w:pPr>
      <w:jc w:val="center"/>
      <w:spacing w:line="400" w:lineRule="exact"/>
      <w:widowControl/>
    </w:pPr>
  </w:style>
  <w:style w:type="character" w:styleId="1146">
    <w:name w:val="页脚 Char"/>
    <w:next w:val="1146"/>
    <w:link w:val="906"/>
    <w:qFormat/>
    <w:rPr>
      <w:rFonts w:ascii="宋体" w:eastAsia="宋体"/>
      <w:sz w:val="18"/>
      <w:lang w:val="en-US" w:eastAsia="zh-CN" w:bidi="ar-SA"/>
    </w:rPr>
  </w:style>
  <w:style w:type="paragraph" w:styleId="1147">
    <w:name w:val="Char Char41"/>
    <w:basedOn w:val="906"/>
    <w:next w:val="1147"/>
    <w:link w:val="906"/>
    <w:qFormat/>
    <w:pPr>
      <w:jc w:val="center"/>
      <w:spacing w:line="400" w:lineRule="exact"/>
      <w:widowControl/>
    </w:pPr>
  </w:style>
  <w:style w:type="character" w:styleId="1148">
    <w:name w:val="批注文字 Char"/>
    <w:next w:val="1148"/>
    <w:link w:val="906"/>
    <w:uiPriority w:val="99"/>
    <w:qFormat/>
    <w:rPr>
      <w:sz w:val="21"/>
      <w:szCs w:val="24"/>
    </w:rPr>
  </w:style>
  <w:style w:type="character" w:styleId="1149">
    <w:name w:val="标题 Char"/>
    <w:next w:val="1149"/>
    <w:link w:val="906"/>
    <w:qFormat/>
    <w:rPr>
      <w:b/>
      <w:sz w:val="32"/>
    </w:rPr>
  </w:style>
  <w:style w:type="paragraph" w:styleId="1150">
    <w:name w:val="图例"/>
    <w:basedOn w:val="906"/>
    <w:next w:val="1150"/>
    <w:link w:val="906"/>
    <w:qFormat/>
    <w:pPr>
      <w:jc w:val="center"/>
      <w:spacing w:before="120" w:after="120" w:line="360" w:lineRule="auto"/>
    </w:pPr>
    <w:rPr>
      <w:rFonts w:eastAsia="仿宋_GB2312"/>
      <w:b/>
      <w:sz w:val="24"/>
      <w:szCs w:val="20"/>
    </w:rPr>
  </w:style>
  <w:style w:type="table" w:styleId="1151">
    <w:name w:val="Table Normal"/>
    <w:next w:val="1151"/>
    <w:link w:val="906"/>
    <w:uiPriority w:val="2"/>
    <w:unhideWhenUsed/>
    <w:qFormat/>
    <w:pPr>
      <w:widowControl w:val="off"/>
    </w:pPr>
    <w:rPr>
      <w:rFonts w:ascii="Calibri" w:hAnsi="Calibri"/>
      <w:sz w:val="22"/>
      <w:szCs w:val="22"/>
      <w:lang w:val="en-US" w:eastAsia="en-US" w:bidi="ar-SA"/>
    </w:rPr>
    <w:tblPr/>
  </w:style>
  <w:style w:type="paragraph" w:styleId="1152">
    <w:name w:val="Table Paragraph"/>
    <w:basedOn w:val="906"/>
    <w:next w:val="1152"/>
    <w:link w:val="906"/>
    <w:uiPriority w:val="1"/>
    <w:qFormat/>
    <w:pPr>
      <w:jc w:val="left"/>
    </w:pPr>
    <w:rPr>
      <w:rFonts w:ascii="宋体" w:hAnsi="宋体" w:cs="宋体"/>
      <w:sz w:val="22"/>
      <w:szCs w:val="22"/>
      <w:lang w:eastAsia="en-US"/>
    </w:rPr>
  </w:style>
  <w:style w:type="paragraph" w:styleId="1153">
    <w:name w:val="成文日期"/>
    <w:basedOn w:val="906"/>
    <w:next w:val="1153"/>
    <w:link w:val="1154"/>
    <w:qFormat/>
    <w:pPr>
      <w:ind w:right="400" w:firstLine="200"/>
      <w:jc w:val="right"/>
      <w:spacing w:line="570" w:lineRule="exact"/>
    </w:pPr>
    <w:rPr>
      <w:rFonts w:ascii="仿宋_GB2312" w:eastAsia="仿宋_GB2312"/>
      <w:sz w:val="32"/>
      <w:szCs w:val="20"/>
    </w:rPr>
  </w:style>
  <w:style w:type="character" w:styleId="1154">
    <w:name w:val="成文日期 Char"/>
    <w:next w:val="1154"/>
    <w:link w:val="1153"/>
    <w:rPr>
      <w:rFonts w:ascii="仿宋_GB2312" w:eastAsia="仿宋_GB2312"/>
      <w:sz w:val="32"/>
    </w:rPr>
  </w:style>
  <w:style w:type="paragraph" w:styleId="1155">
    <w:name w:val="修订"/>
    <w:next w:val="1155"/>
    <w:link w:val="906"/>
    <w:uiPriority w:val="99"/>
    <w:unhideWhenUsed/>
    <w:rPr>
      <w:sz w:val="21"/>
      <w:szCs w:val="24"/>
      <w:lang w:val="en-US" w:eastAsia="zh-CN" w:bidi="ar-SA"/>
    </w:rPr>
  </w:style>
  <w:style w:type="character" w:styleId="1156">
    <w:name w:val="纯文本 字符2"/>
    <w:next w:val="1156"/>
    <w:link w:val="906"/>
    <w:qFormat/>
    <w:rPr>
      <w:rFonts w:hint="eastAsia" w:ascii="宋体" w:hAnsi="Courier New" w:eastAsia="宋体" w:cs="宋体"/>
      <w:sz w:val="21"/>
    </w:rPr>
  </w:style>
  <w:style w:type="character" w:styleId="1157">
    <w:name w:val="正文文本 字符1"/>
    <w:next w:val="1157"/>
    <w:link w:val="906"/>
    <w:qFormat/>
    <w:rPr>
      <w:rFonts w:ascii="宋体" w:hAnsi="宋体"/>
      <w:sz w:val="24"/>
      <w:szCs w:val="24"/>
    </w:rPr>
  </w:style>
  <w:style w:type="paragraph" w:styleId="1158">
    <w:name w:val="列出段落3"/>
    <w:basedOn w:val="906"/>
    <w:next w:val="1158"/>
    <w:link w:val="906"/>
    <w:uiPriority w:val="99"/>
    <w:qFormat/>
    <w:pPr>
      <w:ind w:firstLine="420"/>
    </w:pPr>
    <w:rPr>
      <w:rFonts w:ascii="华文楷体" w:hAnsi="华文楷体" w:eastAsia="华文楷体"/>
      <w:sz w:val="28"/>
      <w:szCs w:val="20"/>
    </w:rPr>
  </w:style>
  <w:style w:type="character" w:styleId="1159">
    <w:name w:val="页脚 字符"/>
    <w:basedOn w:val="916"/>
    <w:next w:val="1159"/>
    <w:link w:val="906"/>
    <w:uiPriority w:val="99"/>
  </w:style>
  <w:style w:type="paragraph" w:styleId="1160">
    <w:name w:val="纯文本1"/>
    <w:next w:val="959"/>
    <w:link w:val="906"/>
    <w:qFormat/>
    <w:pPr>
      <w:jc w:val="both"/>
      <w:widowControl w:val="off"/>
    </w:pPr>
    <w:rPr>
      <w:rFonts w:ascii="宋体" w:hAnsi="宋体"/>
      <w:sz w:val="26"/>
      <w:szCs w:val="24"/>
      <w:lang w:val="en-US" w:eastAsia="zh-CN" w:bidi="ar-SA"/>
    </w:rPr>
  </w:style>
  <w:style w:type="character" w:styleId="1161">
    <w:name w:val="15"/>
    <w:basedOn w:val="916"/>
    <w:next w:val="1161"/>
    <w:link w:val="906"/>
    <w:rPr>
      <w:rFonts w:ascii="Times New Roman" w:hAnsi="Times New Roman" w:cs="Times New Roman"/>
    </w:rPr>
  </w:style>
  <w:style w:type="paragraph" w:styleId="1162">
    <w:name w:val="null3"/>
    <w:next w:val="1162"/>
    <w:link w:val="906"/>
    <w:qFormat/>
    <w:rPr>
      <w:rFonts w:hint="eastAsia" w:ascii="Calibri" w:hAnsi="Calibri" w:eastAsia="宋体" w:cs="Times New Roman"/>
      <w:lang w:val="en-US" w:eastAsia="en-US"/>
    </w:rPr>
  </w:style>
  <w:style w:type="character" w:styleId="1163" w:default="1">
    <w:name w:val="Default Paragraph Font"/>
    <w:uiPriority w:val="1"/>
    <w:semiHidden/>
    <w:unhideWhenUsed/>
  </w:style>
  <w:style w:type="numbering" w:styleId="1164" w:default="1">
    <w:name w:val="No List"/>
    <w:uiPriority w:val="99"/>
    <w:semiHidden/>
    <w:unhideWhenUsed/>
  </w:style>
  <w:style w:type="table" w:styleId="11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吕康迪</cp:lastModifiedBy>
  <cp:revision>11</cp:revision>
  <dcterms:created xsi:type="dcterms:W3CDTF">2022-05-30T08:08:00Z</dcterms:created>
  <dcterms:modified xsi:type="dcterms:W3CDTF">2026-04-14T01:09:20Z</dcterms:modified>
</cp:coreProperties>
</file>